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62A" w:rsidRPr="008C6029" w:rsidRDefault="00C0724E" w:rsidP="002A462A">
      <w:pPr>
        <w:spacing w:line="240" w:lineRule="auto"/>
        <w:contextualSpacing/>
        <w:jc w:val="center"/>
        <w:rPr>
          <w:rFonts w:ascii="Times New Roman" w:hAnsi="Times New Roman"/>
          <w:b/>
          <w:bCs/>
          <w:sz w:val="36"/>
          <w:szCs w:val="36"/>
        </w:rPr>
      </w:pPr>
      <w:r>
        <w:rPr>
          <w:rFonts w:ascii="Times New Roman" w:hAnsi="Times New Roman"/>
          <w:b/>
          <w:bCs/>
          <w:sz w:val="36"/>
          <w:szCs w:val="36"/>
        </w:rPr>
        <w:t xml:space="preserve">Methodologies for </w:t>
      </w:r>
      <w:r w:rsidR="00C64B33">
        <w:rPr>
          <w:rFonts w:ascii="Times New Roman" w:hAnsi="Times New Roman"/>
          <w:b/>
          <w:bCs/>
          <w:sz w:val="36"/>
          <w:szCs w:val="36"/>
        </w:rPr>
        <w:t>Scenario Generation</w:t>
      </w:r>
      <w:r w:rsidR="0019668A">
        <w:rPr>
          <w:rFonts w:ascii="Times New Roman" w:hAnsi="Times New Roman"/>
          <w:b/>
          <w:bCs/>
          <w:sz w:val="36"/>
          <w:szCs w:val="36"/>
        </w:rPr>
        <w:t xml:space="preserve"> and Dependency Structures in </w:t>
      </w:r>
      <w:r w:rsidR="007A33E1">
        <w:rPr>
          <w:rFonts w:ascii="Times New Roman" w:hAnsi="Times New Roman"/>
          <w:b/>
          <w:bCs/>
          <w:sz w:val="36"/>
          <w:szCs w:val="36"/>
        </w:rPr>
        <w:t>the</w:t>
      </w:r>
      <w:r w:rsidR="0019668A">
        <w:rPr>
          <w:rFonts w:ascii="Times New Roman" w:hAnsi="Times New Roman"/>
          <w:b/>
          <w:bCs/>
          <w:sz w:val="36"/>
          <w:szCs w:val="36"/>
        </w:rPr>
        <w:t xml:space="preserve"> </w:t>
      </w:r>
      <w:r w:rsidR="0019668A" w:rsidRPr="008C6029">
        <w:rPr>
          <w:rFonts w:ascii="Times New Roman" w:hAnsi="Times New Roman"/>
          <w:b/>
          <w:bCs/>
          <w:sz w:val="36"/>
          <w:szCs w:val="36"/>
        </w:rPr>
        <w:t>Stress Testing</w:t>
      </w:r>
      <w:r w:rsidR="0019668A">
        <w:rPr>
          <w:rFonts w:ascii="Times New Roman" w:hAnsi="Times New Roman"/>
          <w:b/>
          <w:bCs/>
          <w:sz w:val="36"/>
          <w:szCs w:val="36"/>
        </w:rPr>
        <w:t xml:space="preserve"> </w:t>
      </w:r>
      <w:r w:rsidR="007A33E1">
        <w:rPr>
          <w:rFonts w:ascii="Times New Roman" w:hAnsi="Times New Roman"/>
          <w:b/>
          <w:bCs/>
          <w:sz w:val="36"/>
          <w:szCs w:val="36"/>
        </w:rPr>
        <w:t>of Credit Risk</w:t>
      </w:r>
      <w:r w:rsidR="00DD3503">
        <w:rPr>
          <w:rFonts w:ascii="Times New Roman" w:hAnsi="Times New Roman"/>
          <w:b/>
          <w:bCs/>
          <w:sz w:val="36"/>
          <w:szCs w:val="36"/>
        </w:rPr>
        <w:t xml:space="preserve"> </w:t>
      </w:r>
    </w:p>
    <w:p w:rsidR="00250038" w:rsidRPr="008C6029" w:rsidRDefault="00250038" w:rsidP="00E7003C">
      <w:pPr>
        <w:spacing w:line="240" w:lineRule="auto"/>
        <w:contextualSpacing/>
        <w:jc w:val="center"/>
        <w:rPr>
          <w:rFonts w:ascii="Times New Roman" w:hAnsi="Times New Roman"/>
          <w:b/>
          <w:bCs/>
          <w:sz w:val="36"/>
          <w:szCs w:val="36"/>
        </w:rPr>
      </w:pPr>
    </w:p>
    <w:p w:rsidR="00E16189" w:rsidRPr="00E16189" w:rsidRDefault="00E16189" w:rsidP="00E16189">
      <w:pPr>
        <w:pStyle w:val="NoSpacing"/>
        <w:jc w:val="center"/>
        <w:rPr>
          <w:rFonts w:ascii="Times New Roman" w:hAnsi="Times New Roman"/>
          <w:bCs/>
          <w:sz w:val="24"/>
          <w:szCs w:val="24"/>
        </w:rPr>
      </w:pPr>
      <w:r w:rsidRPr="00E16189">
        <w:rPr>
          <w:rFonts w:ascii="Times New Roman" w:hAnsi="Times New Roman"/>
          <w:bCs/>
          <w:sz w:val="24"/>
          <w:szCs w:val="24"/>
        </w:rPr>
        <w:t>Michael Jacobs, Jr.</w:t>
      </w:r>
      <w:r w:rsidRPr="00BB3240">
        <w:rPr>
          <w:rFonts w:ascii="Times New Roman" w:hAnsi="Times New Roman"/>
          <w:bCs/>
          <w:sz w:val="24"/>
          <w:szCs w:val="24"/>
          <w:vertAlign w:val="superscript"/>
        </w:rPr>
        <w:footnoteReference w:id="1"/>
      </w:r>
    </w:p>
    <w:p w:rsidR="00E16189" w:rsidRDefault="009D1387" w:rsidP="009D1387">
      <w:pPr>
        <w:pStyle w:val="NoSpacing"/>
        <w:tabs>
          <w:tab w:val="center" w:pos="4680"/>
          <w:tab w:val="left" w:pos="7515"/>
        </w:tabs>
        <w:rPr>
          <w:rFonts w:ascii="Times New Roman" w:hAnsi="Times New Roman"/>
          <w:bCs/>
          <w:sz w:val="24"/>
          <w:szCs w:val="24"/>
        </w:rPr>
      </w:pPr>
      <w:r>
        <w:rPr>
          <w:rFonts w:ascii="Times New Roman" w:hAnsi="Times New Roman"/>
          <w:bCs/>
          <w:sz w:val="24"/>
          <w:szCs w:val="24"/>
        </w:rPr>
        <w:tab/>
      </w:r>
      <w:r w:rsidR="00E16189" w:rsidRPr="00E16189">
        <w:rPr>
          <w:rFonts w:ascii="Times New Roman" w:hAnsi="Times New Roman"/>
          <w:bCs/>
          <w:sz w:val="24"/>
          <w:szCs w:val="24"/>
        </w:rPr>
        <w:t xml:space="preserve">Accenture Consulting </w:t>
      </w:r>
      <w:r>
        <w:rPr>
          <w:rFonts w:ascii="Times New Roman" w:hAnsi="Times New Roman"/>
          <w:bCs/>
          <w:sz w:val="24"/>
          <w:szCs w:val="24"/>
        </w:rPr>
        <w:tab/>
      </w:r>
    </w:p>
    <w:p w:rsidR="00B163B2" w:rsidRDefault="00B163B2" w:rsidP="009D1387">
      <w:pPr>
        <w:pStyle w:val="NoSpacing"/>
        <w:tabs>
          <w:tab w:val="center" w:pos="4680"/>
          <w:tab w:val="left" w:pos="7515"/>
        </w:tabs>
        <w:rPr>
          <w:rFonts w:ascii="Times New Roman" w:hAnsi="Times New Roman"/>
          <w:bCs/>
          <w:sz w:val="24"/>
          <w:szCs w:val="24"/>
        </w:rPr>
      </w:pPr>
    </w:p>
    <w:p w:rsidR="00147120" w:rsidRDefault="00147120" w:rsidP="0019668A">
      <w:pPr>
        <w:pStyle w:val="NoSpacing"/>
        <w:jc w:val="center"/>
        <w:rPr>
          <w:rFonts w:ascii="Times New Roman" w:hAnsi="Times New Roman"/>
          <w:bCs/>
          <w:sz w:val="24"/>
          <w:szCs w:val="24"/>
        </w:rPr>
      </w:pPr>
    </w:p>
    <w:p w:rsidR="00147120" w:rsidRPr="00AF2CEA" w:rsidRDefault="0019668A" w:rsidP="0019668A">
      <w:pPr>
        <w:pStyle w:val="NoSpacing"/>
        <w:jc w:val="center"/>
        <w:rPr>
          <w:rFonts w:ascii="Times New Roman" w:hAnsi="Times New Roman"/>
          <w:bCs/>
          <w:sz w:val="24"/>
          <w:szCs w:val="24"/>
        </w:rPr>
      </w:pPr>
      <w:r w:rsidRPr="00AF2CEA">
        <w:rPr>
          <w:rFonts w:ascii="Times New Roman" w:hAnsi="Times New Roman"/>
          <w:bCs/>
          <w:sz w:val="24"/>
          <w:szCs w:val="24"/>
        </w:rPr>
        <w:t>Frank J. Sensenbrenner</w:t>
      </w:r>
      <w:r w:rsidRPr="00BB3240">
        <w:rPr>
          <w:vertAlign w:val="superscript"/>
        </w:rPr>
        <w:footnoteReference w:id="2"/>
      </w:r>
    </w:p>
    <w:p w:rsidR="0019668A" w:rsidRPr="00AF2CEA" w:rsidRDefault="0019668A" w:rsidP="0019668A">
      <w:pPr>
        <w:pStyle w:val="NoSpacing"/>
        <w:jc w:val="center"/>
        <w:rPr>
          <w:rFonts w:ascii="Times New Roman" w:hAnsi="Times New Roman"/>
          <w:bCs/>
          <w:sz w:val="24"/>
          <w:szCs w:val="24"/>
        </w:rPr>
      </w:pPr>
      <w:r w:rsidRPr="00AF2CEA">
        <w:rPr>
          <w:rFonts w:ascii="Times New Roman" w:hAnsi="Times New Roman"/>
          <w:bCs/>
          <w:sz w:val="24"/>
          <w:szCs w:val="24"/>
        </w:rPr>
        <w:t>Johns Hopkins University</w:t>
      </w:r>
    </w:p>
    <w:p w:rsidR="00023573" w:rsidRDefault="00023573" w:rsidP="005417C7">
      <w:pPr>
        <w:spacing w:before="100" w:beforeAutospacing="1" w:after="100" w:afterAutospacing="1" w:line="240" w:lineRule="auto"/>
        <w:jc w:val="center"/>
        <w:rPr>
          <w:rFonts w:ascii="Times New Roman" w:hAnsi="Times New Roman"/>
          <w:bCs/>
          <w:sz w:val="24"/>
          <w:szCs w:val="24"/>
        </w:rPr>
      </w:pPr>
    </w:p>
    <w:p w:rsidR="009244B5" w:rsidRPr="005417C7" w:rsidRDefault="009244B5" w:rsidP="005417C7">
      <w:pPr>
        <w:spacing w:before="100" w:beforeAutospacing="1" w:after="100" w:afterAutospacing="1" w:line="240" w:lineRule="auto"/>
        <w:jc w:val="center"/>
        <w:rPr>
          <w:rFonts w:ascii="Times New Roman" w:hAnsi="Times New Roman"/>
          <w:bCs/>
          <w:sz w:val="24"/>
          <w:szCs w:val="24"/>
        </w:rPr>
      </w:pPr>
      <w:r w:rsidRPr="009244B5">
        <w:rPr>
          <w:rFonts w:ascii="Times New Roman" w:hAnsi="Times New Roman"/>
          <w:bCs/>
          <w:sz w:val="24"/>
          <w:szCs w:val="24"/>
        </w:rPr>
        <w:t xml:space="preserve">Draft: </w:t>
      </w:r>
      <w:r w:rsidR="00CA3609">
        <w:rPr>
          <w:rFonts w:ascii="Times New Roman" w:hAnsi="Times New Roman"/>
          <w:bCs/>
          <w:sz w:val="24"/>
          <w:szCs w:val="24"/>
        </w:rPr>
        <w:t>September</w:t>
      </w:r>
      <w:r w:rsidR="009B6BED">
        <w:rPr>
          <w:rFonts w:ascii="Times New Roman" w:hAnsi="Times New Roman"/>
          <w:bCs/>
          <w:sz w:val="24"/>
          <w:szCs w:val="24"/>
        </w:rPr>
        <w:t xml:space="preserve"> </w:t>
      </w:r>
      <w:r w:rsidR="00CA3609">
        <w:rPr>
          <w:rFonts w:ascii="Times New Roman" w:hAnsi="Times New Roman"/>
          <w:bCs/>
          <w:sz w:val="24"/>
          <w:szCs w:val="24"/>
        </w:rPr>
        <w:t>22</w:t>
      </w:r>
      <w:r w:rsidR="00CA3609">
        <w:rPr>
          <w:rFonts w:ascii="Times New Roman" w:hAnsi="Times New Roman"/>
          <w:bCs/>
          <w:sz w:val="24"/>
          <w:szCs w:val="24"/>
          <w:vertAlign w:val="superscript"/>
        </w:rPr>
        <w:t>nd</w:t>
      </w:r>
      <w:r w:rsidR="005F6284">
        <w:rPr>
          <w:rFonts w:ascii="Times New Roman" w:hAnsi="Times New Roman"/>
          <w:bCs/>
          <w:sz w:val="24"/>
          <w:szCs w:val="24"/>
        </w:rPr>
        <w:t xml:space="preserve">, </w:t>
      </w:r>
      <w:r w:rsidRPr="009244B5">
        <w:rPr>
          <w:rFonts w:ascii="Times New Roman" w:hAnsi="Times New Roman"/>
          <w:bCs/>
          <w:sz w:val="24"/>
          <w:szCs w:val="24"/>
        </w:rPr>
        <w:t>201</w:t>
      </w:r>
      <w:r w:rsidR="0019668A">
        <w:rPr>
          <w:rFonts w:ascii="Times New Roman" w:hAnsi="Times New Roman"/>
          <w:bCs/>
          <w:sz w:val="24"/>
          <w:szCs w:val="24"/>
        </w:rPr>
        <w:t>7</w:t>
      </w:r>
    </w:p>
    <w:p w:rsidR="00023573" w:rsidRDefault="00023573" w:rsidP="00C64B33">
      <w:pPr>
        <w:spacing w:line="240" w:lineRule="auto"/>
        <w:jc w:val="both"/>
        <w:rPr>
          <w:rFonts w:ascii="Times New Roman" w:hAnsi="Times New Roman"/>
          <w:b/>
          <w:bCs/>
          <w:color w:val="000000"/>
          <w:sz w:val="24"/>
          <w:szCs w:val="24"/>
        </w:rPr>
      </w:pPr>
    </w:p>
    <w:p w:rsidR="00C64B33" w:rsidRDefault="00C64B33" w:rsidP="00C64B33">
      <w:pPr>
        <w:spacing w:line="240" w:lineRule="auto"/>
        <w:jc w:val="both"/>
        <w:rPr>
          <w:rFonts w:ascii="Times New Roman" w:hAnsi="Times New Roman"/>
          <w:b/>
          <w:bCs/>
          <w:color w:val="000000"/>
          <w:sz w:val="24"/>
          <w:szCs w:val="24"/>
        </w:rPr>
      </w:pPr>
      <w:r w:rsidRPr="00A33E8E">
        <w:rPr>
          <w:rFonts w:ascii="Times New Roman" w:hAnsi="Times New Roman"/>
          <w:b/>
          <w:bCs/>
          <w:color w:val="000000"/>
          <w:sz w:val="24"/>
          <w:szCs w:val="24"/>
        </w:rPr>
        <w:t>Abstract</w:t>
      </w:r>
      <w:r>
        <w:rPr>
          <w:rFonts w:ascii="Times New Roman" w:hAnsi="Times New Roman"/>
          <w:b/>
          <w:bCs/>
          <w:color w:val="000000"/>
          <w:sz w:val="24"/>
          <w:szCs w:val="24"/>
        </w:rPr>
        <w:t xml:space="preserve"> </w:t>
      </w:r>
    </w:p>
    <w:p w:rsidR="00C64B33" w:rsidRDefault="00C64B33" w:rsidP="007B64B7">
      <w:pPr>
        <w:spacing w:line="240" w:lineRule="auto"/>
        <w:jc w:val="both"/>
        <w:rPr>
          <w:rFonts w:ascii="Times New Roman" w:hAnsi="Times New Roman"/>
          <w:bCs/>
          <w:sz w:val="24"/>
          <w:szCs w:val="24"/>
        </w:rPr>
      </w:pPr>
      <w:r w:rsidRPr="00ED5478">
        <w:rPr>
          <w:rFonts w:ascii="Times New Roman" w:hAnsi="Times New Roman"/>
          <w:color w:val="000000"/>
          <w:sz w:val="20"/>
          <w:szCs w:val="20"/>
        </w:rPr>
        <w:t xml:space="preserve">A critical question that banking supervisors are trying to answer is what is the amount of capital or liquidity resources required by an institution in order to support the risks taken in the course of business.  The financial crises of the last several years have revealed that traditional approaches such as regulatory capital ratios to be inadequate, giving rise to supervisory stress testing as a primary tool.  A critical input into this process are macroeconomic scenarios that are provided by the prudential supervisors to institutions for exercises </w:t>
      </w:r>
      <w:r w:rsidR="000046FD" w:rsidRPr="00ED5478">
        <w:rPr>
          <w:rFonts w:ascii="Times New Roman" w:hAnsi="Times New Roman"/>
          <w:color w:val="000000"/>
          <w:sz w:val="20"/>
          <w:szCs w:val="20"/>
        </w:rPr>
        <w:t xml:space="preserve">such as </w:t>
      </w:r>
      <w:r w:rsidR="000046FD" w:rsidRPr="00ED5478">
        <w:rPr>
          <w:rFonts w:ascii="Times New Roman" w:hAnsi="Times New Roman" w:cs="Calibri"/>
          <w:color w:val="000000"/>
          <w:sz w:val="20"/>
          <w:szCs w:val="20"/>
        </w:rPr>
        <w:t xml:space="preserve">the Federal Reserve’s </w:t>
      </w:r>
      <w:r w:rsidR="000046FD" w:rsidRPr="00ED5478">
        <w:rPr>
          <w:rFonts w:ascii="Times New Roman" w:hAnsi="Times New Roman" w:cs="Calibri"/>
          <w:i/>
          <w:color w:val="000000"/>
          <w:sz w:val="20"/>
          <w:szCs w:val="20"/>
        </w:rPr>
        <w:t>Comprehensive Capital Analysis and Review</w:t>
      </w:r>
      <w:r w:rsidR="000046FD" w:rsidRPr="00ED5478">
        <w:rPr>
          <w:rFonts w:ascii="Times New Roman" w:hAnsi="Times New Roman" w:cs="Calibri"/>
          <w:color w:val="000000"/>
          <w:sz w:val="20"/>
          <w:szCs w:val="20"/>
        </w:rPr>
        <w:t xml:space="preserve"> (“CCAR”) program</w:t>
      </w:r>
      <w:r w:rsidRPr="00ED5478">
        <w:rPr>
          <w:rFonts w:ascii="Times New Roman" w:hAnsi="Times New Roman"/>
          <w:color w:val="000000"/>
          <w:sz w:val="20"/>
          <w:szCs w:val="20"/>
        </w:rPr>
        <w:t>.</w:t>
      </w:r>
      <w:r w:rsidR="000046FD" w:rsidRPr="00ED5478">
        <w:rPr>
          <w:rFonts w:ascii="Times New Roman" w:hAnsi="Times New Roman"/>
          <w:color w:val="000000"/>
          <w:sz w:val="20"/>
          <w:szCs w:val="20"/>
        </w:rPr>
        <w:t xml:space="preserve">  </w:t>
      </w:r>
      <w:r w:rsidRPr="00ED5478">
        <w:rPr>
          <w:rFonts w:ascii="Times New Roman" w:hAnsi="Times New Roman"/>
          <w:color w:val="000000"/>
          <w:sz w:val="20"/>
          <w:szCs w:val="20"/>
        </w:rPr>
        <w:t>Addit</w:t>
      </w:r>
      <w:r w:rsidR="000046FD" w:rsidRPr="00ED5478">
        <w:rPr>
          <w:rFonts w:ascii="Times New Roman" w:hAnsi="Times New Roman"/>
          <w:color w:val="000000"/>
          <w:sz w:val="20"/>
          <w:szCs w:val="20"/>
        </w:rPr>
        <w:t>ionally, supervisors are requiring that banks develop their own macroeconomic scenarios.  A common approach is to combine management judgment with a statistical model, such as</w:t>
      </w:r>
      <w:r w:rsidRPr="00ED5478">
        <w:rPr>
          <w:rFonts w:ascii="Times New Roman" w:hAnsi="Times New Roman"/>
          <w:color w:val="000000"/>
          <w:sz w:val="20"/>
          <w:szCs w:val="20"/>
        </w:rPr>
        <w:t xml:space="preserve"> a </w:t>
      </w:r>
      <w:r w:rsidR="007B64B7" w:rsidRPr="00ED5478">
        <w:rPr>
          <w:rFonts w:ascii="Times New Roman" w:hAnsi="Times New Roman"/>
          <w:i/>
          <w:color w:val="000000"/>
          <w:sz w:val="20"/>
          <w:szCs w:val="20"/>
        </w:rPr>
        <w:t>V</w:t>
      </w:r>
      <w:r w:rsidRPr="00ED5478">
        <w:rPr>
          <w:rFonts w:ascii="Times New Roman" w:hAnsi="Times New Roman"/>
          <w:i/>
          <w:color w:val="000000"/>
          <w:sz w:val="20"/>
          <w:szCs w:val="20"/>
        </w:rPr>
        <w:t xml:space="preserve">ector </w:t>
      </w:r>
      <w:r w:rsidR="007B64B7" w:rsidRPr="00ED5478">
        <w:rPr>
          <w:rFonts w:ascii="Times New Roman" w:hAnsi="Times New Roman"/>
          <w:i/>
          <w:color w:val="000000"/>
          <w:sz w:val="20"/>
          <w:szCs w:val="20"/>
        </w:rPr>
        <w:t>A</w:t>
      </w:r>
      <w:r w:rsidRPr="00ED5478">
        <w:rPr>
          <w:rFonts w:ascii="Times New Roman" w:hAnsi="Times New Roman"/>
          <w:i/>
          <w:color w:val="000000"/>
          <w:sz w:val="20"/>
          <w:szCs w:val="20"/>
        </w:rPr>
        <w:t>utoregressi</w:t>
      </w:r>
      <w:r w:rsidR="00C30522" w:rsidRPr="00ED5478">
        <w:rPr>
          <w:rFonts w:ascii="Times New Roman" w:hAnsi="Times New Roman"/>
          <w:i/>
          <w:color w:val="000000"/>
          <w:sz w:val="20"/>
          <w:szCs w:val="20"/>
        </w:rPr>
        <w:t>on</w:t>
      </w:r>
      <w:r w:rsidRPr="00ED5478">
        <w:rPr>
          <w:rFonts w:ascii="Times New Roman" w:hAnsi="Times New Roman"/>
          <w:color w:val="000000"/>
          <w:sz w:val="20"/>
          <w:szCs w:val="20"/>
        </w:rPr>
        <w:t xml:space="preserve"> (“VAR”)</w:t>
      </w:r>
      <w:r w:rsidR="000046FD" w:rsidRPr="00ED5478">
        <w:rPr>
          <w:rFonts w:ascii="Times New Roman" w:hAnsi="Times New Roman"/>
          <w:color w:val="000000"/>
          <w:sz w:val="20"/>
          <w:szCs w:val="20"/>
        </w:rPr>
        <w:t>,</w:t>
      </w:r>
      <w:r w:rsidRPr="00ED5478">
        <w:rPr>
          <w:rFonts w:ascii="Times New Roman" w:hAnsi="Times New Roman"/>
          <w:color w:val="000000"/>
          <w:sz w:val="20"/>
          <w:szCs w:val="20"/>
        </w:rPr>
        <w:t xml:space="preserve"> to </w:t>
      </w:r>
      <w:r w:rsidR="000046FD" w:rsidRPr="00ED5478">
        <w:rPr>
          <w:rFonts w:ascii="Times New Roman" w:hAnsi="Times New Roman"/>
          <w:color w:val="000000"/>
          <w:sz w:val="20"/>
          <w:szCs w:val="20"/>
        </w:rPr>
        <w:t xml:space="preserve">exploit the </w:t>
      </w:r>
      <w:r w:rsidRPr="00ED5478">
        <w:rPr>
          <w:rFonts w:ascii="Times New Roman" w:hAnsi="Times New Roman"/>
          <w:color w:val="000000"/>
          <w:sz w:val="20"/>
          <w:szCs w:val="20"/>
        </w:rPr>
        <w:t xml:space="preserve">dependency structure between </w:t>
      </w:r>
      <w:r w:rsidR="000046FD" w:rsidRPr="00ED5478">
        <w:rPr>
          <w:rFonts w:ascii="Times New Roman" w:hAnsi="Times New Roman"/>
          <w:color w:val="000000"/>
          <w:sz w:val="20"/>
          <w:szCs w:val="20"/>
        </w:rPr>
        <w:t>bot</w:t>
      </w:r>
      <w:r w:rsidR="00EB6834" w:rsidRPr="00ED5478">
        <w:rPr>
          <w:rFonts w:ascii="Times New Roman" w:hAnsi="Times New Roman"/>
          <w:color w:val="000000"/>
          <w:sz w:val="20"/>
          <w:szCs w:val="20"/>
        </w:rPr>
        <w:t>h</w:t>
      </w:r>
      <w:r w:rsidR="000046FD" w:rsidRPr="00ED5478">
        <w:rPr>
          <w:rFonts w:ascii="Times New Roman" w:hAnsi="Times New Roman"/>
          <w:color w:val="000000"/>
          <w:sz w:val="20"/>
          <w:szCs w:val="20"/>
        </w:rPr>
        <w:t xml:space="preserve"> macroeconomic drivers, as well between </w:t>
      </w:r>
      <w:r w:rsidRPr="00ED5478">
        <w:rPr>
          <w:rFonts w:ascii="Times New Roman" w:hAnsi="Times New Roman"/>
          <w:sz w:val="20"/>
          <w:szCs w:val="20"/>
        </w:rPr>
        <w:t>modeling segments.</w:t>
      </w:r>
      <w:r w:rsidR="000046FD" w:rsidRPr="00ED5478">
        <w:rPr>
          <w:rFonts w:ascii="Times New Roman" w:hAnsi="Times New Roman"/>
          <w:sz w:val="20"/>
          <w:szCs w:val="20"/>
        </w:rPr>
        <w:t xml:space="preserve">  </w:t>
      </w:r>
      <w:r w:rsidR="007B64B7" w:rsidRPr="00ED5478">
        <w:rPr>
          <w:rFonts w:ascii="Times New Roman" w:hAnsi="Times New Roman"/>
          <w:sz w:val="20"/>
          <w:szCs w:val="20"/>
        </w:rPr>
        <w:t>However, it is well-known that linear models such as VAR are unable to explain the phenomenon of fat-tailed distributions that deviate from normality, an empirical fact that has been well documented in the empirical finance literature.  We pro</w:t>
      </w:r>
      <w:r w:rsidR="00EF4735" w:rsidRPr="00ED5478">
        <w:rPr>
          <w:rFonts w:ascii="Times New Roman" w:hAnsi="Times New Roman"/>
          <w:sz w:val="20"/>
          <w:szCs w:val="20"/>
        </w:rPr>
        <w:t>po</w:t>
      </w:r>
      <w:r w:rsidR="007B64B7" w:rsidRPr="00ED5478">
        <w:rPr>
          <w:rFonts w:ascii="Times New Roman" w:hAnsi="Times New Roman"/>
          <w:sz w:val="20"/>
          <w:szCs w:val="20"/>
        </w:rPr>
        <w:t xml:space="preserve">se a challenger approach, widely used in the academic literature, but not commonly employed in practice, </w:t>
      </w:r>
      <w:r w:rsidR="00EF4735" w:rsidRPr="00ED5478">
        <w:rPr>
          <w:rFonts w:ascii="Times New Roman" w:hAnsi="Times New Roman"/>
          <w:sz w:val="20"/>
          <w:szCs w:val="20"/>
        </w:rPr>
        <w:t>the</w:t>
      </w:r>
      <w:r w:rsidR="007B64B7" w:rsidRPr="00ED5478">
        <w:rPr>
          <w:rFonts w:ascii="Times New Roman" w:hAnsi="Times New Roman"/>
          <w:sz w:val="20"/>
          <w:szCs w:val="20"/>
        </w:rPr>
        <w:t xml:space="preserve"> </w:t>
      </w:r>
      <w:r w:rsidR="007B64B7" w:rsidRPr="00ED5478">
        <w:rPr>
          <w:rFonts w:ascii="Times New Roman" w:hAnsi="Times New Roman"/>
          <w:i/>
          <w:sz w:val="20"/>
          <w:szCs w:val="20"/>
        </w:rPr>
        <w:t>Markov Switching VAR</w:t>
      </w:r>
      <w:r w:rsidR="007B64B7" w:rsidRPr="00ED5478">
        <w:rPr>
          <w:rFonts w:ascii="Times New Roman" w:hAnsi="Times New Roman"/>
          <w:sz w:val="20"/>
          <w:szCs w:val="20"/>
        </w:rPr>
        <w:t xml:space="preserve"> (“MS-VAR”) model.</w:t>
      </w:r>
      <w:r w:rsidR="00FA54FB" w:rsidRPr="00ED5478">
        <w:rPr>
          <w:rFonts w:ascii="Times New Roman" w:hAnsi="Times New Roman"/>
          <w:sz w:val="20"/>
          <w:szCs w:val="20"/>
        </w:rPr>
        <w:t xml:space="preserve">  We empirically test these models using</w:t>
      </w:r>
      <w:r w:rsidR="00FA54FB" w:rsidRPr="00ED5478">
        <w:rPr>
          <w:rFonts w:ascii="Times New Roman" w:hAnsi="Times New Roman"/>
          <w:color w:val="000000"/>
          <w:sz w:val="20"/>
          <w:szCs w:val="20"/>
        </w:rPr>
        <w:t xml:space="preserve"> Federal Reserve Y-9 filing and macroeconomic data</w:t>
      </w:r>
      <w:r w:rsidR="00EF4735" w:rsidRPr="00ED5478">
        <w:rPr>
          <w:rFonts w:ascii="Times New Roman" w:hAnsi="Times New Roman"/>
          <w:color w:val="000000"/>
          <w:sz w:val="20"/>
          <w:szCs w:val="20"/>
        </w:rPr>
        <w:t xml:space="preserve">, gathered and </w:t>
      </w:r>
      <w:r w:rsidR="00FA54FB" w:rsidRPr="00ED5478">
        <w:rPr>
          <w:rFonts w:ascii="Times New Roman" w:hAnsi="Times New Roman"/>
          <w:color w:val="000000"/>
          <w:sz w:val="20"/>
          <w:szCs w:val="20"/>
        </w:rPr>
        <w:t xml:space="preserve">released by the regulators for CCAR purposes, </w:t>
      </w:r>
      <w:r w:rsidR="00EF4735" w:rsidRPr="00ED5478">
        <w:rPr>
          <w:rFonts w:ascii="Times New Roman" w:hAnsi="Times New Roman"/>
          <w:color w:val="000000"/>
          <w:sz w:val="20"/>
          <w:szCs w:val="20"/>
        </w:rPr>
        <w:t xml:space="preserve">respectively.  We </w:t>
      </w:r>
      <w:r w:rsidR="00FA54FB" w:rsidRPr="00ED5478">
        <w:rPr>
          <w:rFonts w:ascii="Times New Roman" w:hAnsi="Times New Roman"/>
          <w:color w:val="000000"/>
          <w:sz w:val="20"/>
          <w:szCs w:val="20"/>
        </w:rPr>
        <w:t>find the MS-VAR model to be more conservative than the VAR model, and also to exhibit greater accuracy in model testing</w:t>
      </w:r>
      <w:r w:rsidR="00EF4735" w:rsidRPr="00ED5478">
        <w:rPr>
          <w:rFonts w:ascii="Times New Roman" w:hAnsi="Times New Roman"/>
          <w:color w:val="000000"/>
          <w:sz w:val="20"/>
          <w:szCs w:val="20"/>
        </w:rPr>
        <w:t>, as the latter model can better capture extreme events observed in history</w:t>
      </w:r>
      <w:r w:rsidR="00FA54FB" w:rsidRPr="00ED5478">
        <w:rPr>
          <w:rFonts w:ascii="Times New Roman" w:hAnsi="Times New Roman"/>
          <w:color w:val="000000"/>
          <w:sz w:val="20"/>
          <w:szCs w:val="20"/>
        </w:rPr>
        <w:t>.</w:t>
      </w:r>
      <w:r w:rsidR="00ED5478" w:rsidRPr="00ED5478">
        <w:rPr>
          <w:rFonts w:ascii="Times New Roman" w:hAnsi="Times New Roman"/>
          <w:color w:val="000000"/>
          <w:sz w:val="20"/>
          <w:szCs w:val="20"/>
        </w:rPr>
        <w:t xml:space="preserve">  Furthermore, </w:t>
      </w:r>
      <w:r w:rsidR="00ED5478" w:rsidRPr="00ED5478">
        <w:rPr>
          <w:rFonts w:ascii="Times New Roman" w:hAnsi="Times New Roman"/>
          <w:sz w:val="20"/>
          <w:szCs w:val="20"/>
        </w:rPr>
        <w:t xml:space="preserve">we find that the multiple equation VAR model outperforms the single equation </w:t>
      </w:r>
      <w:r w:rsidR="00ED5478" w:rsidRPr="00ED5478">
        <w:rPr>
          <w:rFonts w:ascii="Times New Roman" w:hAnsi="Times New Roman"/>
          <w:i/>
          <w:sz w:val="20"/>
          <w:szCs w:val="20"/>
        </w:rPr>
        <w:t>autoregressive</w:t>
      </w:r>
      <w:r w:rsidR="00ED5478" w:rsidRPr="00ED5478">
        <w:rPr>
          <w:rFonts w:ascii="Times New Roman" w:hAnsi="Times New Roman"/>
          <w:sz w:val="20"/>
          <w:szCs w:val="20"/>
        </w:rPr>
        <w:t xml:space="preserve"> (“AR”) models according to various metrics across all modeling segments.</w:t>
      </w:r>
      <w:r w:rsidR="007B64B7" w:rsidRPr="00ED5478">
        <w:rPr>
          <w:rFonts w:ascii="Times New Roman" w:hAnsi="Times New Roman"/>
          <w:sz w:val="20"/>
          <w:szCs w:val="20"/>
        </w:rPr>
        <w:t xml:space="preserve">  </w:t>
      </w:r>
      <w:r w:rsidR="007B64B7">
        <w:rPr>
          <w:rFonts w:ascii="Times New Roman" w:hAnsi="Times New Roman"/>
          <w:sz w:val="24"/>
          <w:szCs w:val="24"/>
        </w:rPr>
        <w:t xml:space="preserve">. </w:t>
      </w:r>
    </w:p>
    <w:p w:rsidR="00C64B33" w:rsidRDefault="00C64B33" w:rsidP="00E7003C">
      <w:pPr>
        <w:spacing w:line="240" w:lineRule="auto"/>
        <w:contextualSpacing/>
        <w:jc w:val="both"/>
        <w:outlineLvl w:val="0"/>
        <w:rPr>
          <w:rFonts w:ascii="Times New Roman" w:hAnsi="Times New Roman"/>
          <w:bCs/>
          <w:sz w:val="24"/>
          <w:szCs w:val="24"/>
        </w:rPr>
      </w:pPr>
    </w:p>
    <w:p w:rsidR="00FC74FE" w:rsidRDefault="009244B5" w:rsidP="00E7003C">
      <w:pPr>
        <w:spacing w:line="240" w:lineRule="auto"/>
        <w:contextualSpacing/>
        <w:jc w:val="both"/>
        <w:outlineLvl w:val="0"/>
        <w:rPr>
          <w:rFonts w:ascii="Times New Roman" w:hAnsi="Times New Roman"/>
          <w:bCs/>
          <w:sz w:val="24"/>
          <w:szCs w:val="24"/>
        </w:rPr>
      </w:pPr>
      <w:r w:rsidRPr="009244B5">
        <w:rPr>
          <w:rFonts w:ascii="Times New Roman" w:hAnsi="Times New Roman"/>
          <w:bCs/>
          <w:sz w:val="24"/>
          <w:szCs w:val="24"/>
        </w:rPr>
        <w:t xml:space="preserve">Keywords: </w:t>
      </w:r>
      <w:r w:rsidR="0096712D">
        <w:rPr>
          <w:rFonts w:ascii="Times New Roman" w:hAnsi="Times New Roman"/>
          <w:bCs/>
          <w:sz w:val="24"/>
          <w:szCs w:val="24"/>
        </w:rPr>
        <w:t>Stress Testing</w:t>
      </w:r>
      <w:r w:rsidRPr="009244B5">
        <w:rPr>
          <w:rFonts w:ascii="Times New Roman" w:hAnsi="Times New Roman"/>
          <w:bCs/>
          <w:sz w:val="24"/>
          <w:szCs w:val="24"/>
        </w:rPr>
        <w:t xml:space="preserve">, </w:t>
      </w:r>
      <w:r w:rsidR="00A50F17">
        <w:rPr>
          <w:rFonts w:ascii="Times New Roman" w:hAnsi="Times New Roman"/>
          <w:bCs/>
          <w:sz w:val="24"/>
          <w:szCs w:val="24"/>
        </w:rPr>
        <w:t xml:space="preserve">CCAR, DFAST, </w:t>
      </w:r>
      <w:r w:rsidRPr="009244B5">
        <w:rPr>
          <w:rFonts w:ascii="Times New Roman" w:hAnsi="Times New Roman"/>
          <w:bCs/>
          <w:sz w:val="24"/>
          <w:szCs w:val="24"/>
        </w:rPr>
        <w:t xml:space="preserve">Credit Risk, Financial Crisis, </w:t>
      </w:r>
      <w:r w:rsidR="00A50F17">
        <w:rPr>
          <w:rFonts w:ascii="Times New Roman" w:hAnsi="Times New Roman"/>
          <w:bCs/>
          <w:sz w:val="24"/>
          <w:szCs w:val="24"/>
        </w:rPr>
        <w:t xml:space="preserve">Model Risk, </w:t>
      </w:r>
      <w:r w:rsidR="00C573DC">
        <w:rPr>
          <w:rFonts w:ascii="Times New Roman" w:hAnsi="Times New Roman"/>
          <w:bCs/>
          <w:sz w:val="24"/>
          <w:szCs w:val="24"/>
        </w:rPr>
        <w:t>Vector Autoregress</w:t>
      </w:r>
      <w:r w:rsidR="0051516A">
        <w:rPr>
          <w:rFonts w:ascii="Times New Roman" w:hAnsi="Times New Roman"/>
          <w:bCs/>
          <w:sz w:val="24"/>
          <w:szCs w:val="24"/>
        </w:rPr>
        <w:t>ion</w:t>
      </w:r>
      <w:r w:rsidR="001B0059" w:rsidRPr="001B0059">
        <w:rPr>
          <w:rFonts w:ascii="Times New Roman" w:hAnsi="Times New Roman"/>
          <w:bCs/>
          <w:sz w:val="24"/>
          <w:szCs w:val="24"/>
        </w:rPr>
        <w:t>, Markov Switching Model</w:t>
      </w:r>
      <w:r w:rsidR="00C64B33">
        <w:rPr>
          <w:rFonts w:ascii="Times New Roman" w:hAnsi="Times New Roman"/>
          <w:bCs/>
          <w:sz w:val="24"/>
          <w:szCs w:val="24"/>
        </w:rPr>
        <w:t>, Scenario Generation</w:t>
      </w:r>
    </w:p>
    <w:p w:rsidR="00A50F17" w:rsidRDefault="009244B5" w:rsidP="00E7003C">
      <w:pPr>
        <w:spacing w:line="240" w:lineRule="auto"/>
        <w:contextualSpacing/>
        <w:jc w:val="both"/>
        <w:outlineLvl w:val="0"/>
        <w:rPr>
          <w:rFonts w:ascii="Times New Roman" w:hAnsi="Times New Roman"/>
          <w:bCs/>
          <w:sz w:val="24"/>
          <w:szCs w:val="24"/>
        </w:rPr>
      </w:pPr>
      <w:r w:rsidRPr="009244B5">
        <w:rPr>
          <w:rFonts w:ascii="Times New Roman" w:hAnsi="Times New Roman"/>
          <w:bCs/>
          <w:sz w:val="24"/>
          <w:szCs w:val="24"/>
        </w:rPr>
        <w:t xml:space="preserve">JEL Classification: </w:t>
      </w:r>
      <w:r w:rsidR="00A352FD">
        <w:rPr>
          <w:rFonts w:ascii="Times New Roman" w:hAnsi="Times New Roman"/>
          <w:bCs/>
          <w:sz w:val="24"/>
          <w:szCs w:val="24"/>
        </w:rPr>
        <w:t xml:space="preserve">C31, C53, </w:t>
      </w:r>
      <w:r w:rsidR="00322C74">
        <w:rPr>
          <w:rFonts w:ascii="Times New Roman" w:hAnsi="Times New Roman"/>
          <w:bCs/>
          <w:sz w:val="24"/>
          <w:szCs w:val="24"/>
        </w:rPr>
        <w:t xml:space="preserve">E27, </w:t>
      </w:r>
      <w:r w:rsidR="0053345B">
        <w:rPr>
          <w:rFonts w:ascii="Times New Roman" w:hAnsi="Times New Roman"/>
          <w:bCs/>
          <w:sz w:val="24"/>
          <w:szCs w:val="24"/>
        </w:rPr>
        <w:t xml:space="preserve">E47, E58, </w:t>
      </w:r>
      <w:r w:rsidR="00903B54">
        <w:rPr>
          <w:rFonts w:ascii="Times New Roman" w:hAnsi="Times New Roman"/>
          <w:bCs/>
          <w:sz w:val="24"/>
          <w:szCs w:val="24"/>
        </w:rPr>
        <w:t xml:space="preserve">G01, G17, </w:t>
      </w:r>
      <w:r w:rsidR="00A352FD">
        <w:rPr>
          <w:rFonts w:ascii="Times New Roman" w:hAnsi="Times New Roman"/>
          <w:bCs/>
          <w:sz w:val="24"/>
          <w:szCs w:val="24"/>
        </w:rPr>
        <w:t xml:space="preserve">C54, </w:t>
      </w:r>
      <w:r w:rsidRPr="009244B5">
        <w:rPr>
          <w:rFonts w:ascii="Times New Roman" w:hAnsi="Times New Roman"/>
          <w:bCs/>
          <w:sz w:val="24"/>
          <w:szCs w:val="24"/>
        </w:rPr>
        <w:t>G21, G28, G3</w:t>
      </w:r>
      <w:r w:rsidR="008F73F8">
        <w:rPr>
          <w:rFonts w:ascii="Times New Roman" w:hAnsi="Times New Roman"/>
          <w:bCs/>
          <w:sz w:val="24"/>
          <w:szCs w:val="24"/>
        </w:rPr>
        <w:t>8</w:t>
      </w:r>
      <w:r w:rsidRPr="009244B5">
        <w:rPr>
          <w:rFonts w:ascii="Times New Roman" w:hAnsi="Times New Roman"/>
          <w:bCs/>
          <w:sz w:val="24"/>
          <w:szCs w:val="24"/>
        </w:rPr>
        <w:t>.</w:t>
      </w:r>
    </w:p>
    <w:p w:rsidR="007D4031" w:rsidRDefault="00067EE0" w:rsidP="00C64B33">
      <w:pPr>
        <w:rPr>
          <w:rFonts w:ascii="Times New Roman" w:hAnsi="Times New Roman" w:cs="Calibri"/>
          <w:color w:val="000000"/>
          <w:sz w:val="24"/>
          <w:szCs w:val="24"/>
        </w:rPr>
      </w:pPr>
      <w:r w:rsidRPr="00014971">
        <w:rPr>
          <w:rFonts w:ascii="Times New Roman" w:hAnsi="Times New Roman"/>
          <w:b/>
          <w:sz w:val="28"/>
          <w:szCs w:val="28"/>
        </w:rPr>
        <w:lastRenderedPageBreak/>
        <w:t>1</w:t>
      </w:r>
      <w:r w:rsidR="00014971" w:rsidRPr="00014971">
        <w:rPr>
          <w:rFonts w:ascii="Times New Roman" w:hAnsi="Times New Roman"/>
          <w:b/>
          <w:sz w:val="28"/>
          <w:szCs w:val="28"/>
        </w:rPr>
        <w:tab/>
      </w:r>
      <w:r w:rsidR="002E39E9" w:rsidRPr="00014971">
        <w:rPr>
          <w:rFonts w:ascii="Times New Roman" w:hAnsi="Times New Roman"/>
          <w:b/>
          <w:sz w:val="28"/>
          <w:szCs w:val="28"/>
        </w:rPr>
        <w:t>I</w:t>
      </w:r>
      <w:r w:rsidR="00E62565">
        <w:rPr>
          <w:rFonts w:ascii="Times New Roman" w:hAnsi="Times New Roman"/>
          <w:b/>
          <w:sz w:val="28"/>
          <w:szCs w:val="28"/>
        </w:rPr>
        <w:t>ntroduction</w:t>
      </w:r>
    </w:p>
    <w:p w:rsidR="007D4031" w:rsidRPr="007D4031" w:rsidRDefault="007D4031" w:rsidP="00E7003C">
      <w:pPr>
        <w:spacing w:line="240" w:lineRule="auto"/>
        <w:contextualSpacing/>
        <w:jc w:val="both"/>
        <w:rPr>
          <w:rFonts w:ascii="Times New Roman" w:hAnsi="Times New Roman" w:cs="Calibri"/>
          <w:color w:val="000000"/>
          <w:sz w:val="24"/>
          <w:szCs w:val="24"/>
        </w:rPr>
      </w:pPr>
      <w:r>
        <w:rPr>
          <w:rFonts w:ascii="Times New Roman" w:hAnsi="Times New Roman" w:cs="Calibri"/>
          <w:color w:val="000000"/>
          <w:sz w:val="24"/>
          <w:szCs w:val="24"/>
        </w:rPr>
        <w:br/>
        <w:t>In the aftermath of the financial crisis (</w:t>
      </w:r>
      <w:r w:rsidR="00600B5F" w:rsidRPr="0045072D">
        <w:rPr>
          <w:rFonts w:ascii="Times New Roman" w:hAnsi="Times New Roman"/>
        </w:rPr>
        <w:t>A</w:t>
      </w:r>
      <w:r w:rsidR="00600B5F">
        <w:rPr>
          <w:rFonts w:ascii="Times New Roman" w:hAnsi="Times New Roman"/>
        </w:rPr>
        <w:t>charya (2009)</w:t>
      </w:r>
      <w:r w:rsidR="008F73F8">
        <w:rPr>
          <w:rFonts w:ascii="Times New Roman" w:hAnsi="Times New Roman"/>
        </w:rPr>
        <w:t xml:space="preserve">, </w:t>
      </w:r>
      <w:r w:rsidR="008F73F8" w:rsidRPr="00857D75">
        <w:rPr>
          <w:rFonts w:ascii="Times New Roman" w:hAnsi="Times New Roman"/>
        </w:rPr>
        <w:t>Demirguc-Kunt</w:t>
      </w:r>
      <w:r w:rsidR="008F73F8">
        <w:rPr>
          <w:rFonts w:ascii="Times New Roman" w:hAnsi="Times New Roman"/>
        </w:rPr>
        <w:t xml:space="preserve"> et al (2010)</w:t>
      </w:r>
      <w:r>
        <w:rPr>
          <w:rFonts w:ascii="Times New Roman" w:hAnsi="Times New Roman" w:cs="Calibri"/>
          <w:color w:val="000000"/>
          <w:sz w:val="24"/>
          <w:szCs w:val="24"/>
        </w:rPr>
        <w:t>), regulators have utilized stress testing as a means to which to evaluate the soundness of financial institutions’ risk management procedures. The primary means of risk management, particularly in the field of credit risk (</w:t>
      </w:r>
      <w:r w:rsidR="00C83B91" w:rsidRPr="00C83B91">
        <w:rPr>
          <w:rFonts w:ascii="Times New Roman" w:hAnsi="Times New Roman" w:cs="Calibri"/>
          <w:color w:val="000000"/>
          <w:sz w:val="24"/>
          <w:szCs w:val="24"/>
        </w:rPr>
        <w:t>Merton, 1974</w:t>
      </w:r>
      <w:r>
        <w:rPr>
          <w:rFonts w:ascii="Times New Roman" w:hAnsi="Times New Roman" w:cs="Calibri"/>
          <w:color w:val="000000"/>
          <w:sz w:val="24"/>
          <w:szCs w:val="24"/>
        </w:rPr>
        <w:t>)</w:t>
      </w:r>
      <w:r w:rsidR="00CC717A">
        <w:rPr>
          <w:rFonts w:ascii="Times New Roman" w:hAnsi="Times New Roman" w:cs="Calibri"/>
          <w:color w:val="000000"/>
          <w:sz w:val="24"/>
          <w:szCs w:val="24"/>
        </w:rPr>
        <w:t>,</w:t>
      </w:r>
      <w:r>
        <w:rPr>
          <w:rFonts w:ascii="Times New Roman" w:hAnsi="Times New Roman" w:cs="Calibri"/>
          <w:color w:val="000000"/>
          <w:sz w:val="24"/>
          <w:szCs w:val="24"/>
        </w:rPr>
        <w:t xml:space="preserve"> is through advanced mathematical, statistical and quantitative techniques and models, which leads to </w:t>
      </w:r>
      <w:r w:rsidRPr="00C64B33">
        <w:rPr>
          <w:rFonts w:ascii="Times New Roman" w:hAnsi="Times New Roman" w:cs="Calibri"/>
          <w:i/>
          <w:color w:val="000000"/>
          <w:sz w:val="24"/>
          <w:szCs w:val="24"/>
        </w:rPr>
        <w:t>model risk</w:t>
      </w:r>
      <w:r>
        <w:rPr>
          <w:rFonts w:ascii="Times New Roman" w:hAnsi="Times New Roman" w:cs="Calibri"/>
          <w:color w:val="000000"/>
          <w:sz w:val="24"/>
          <w:szCs w:val="24"/>
        </w:rPr>
        <w:t xml:space="preserve">. </w:t>
      </w:r>
      <w:r w:rsidRPr="00CC717A">
        <w:rPr>
          <w:rFonts w:ascii="Times New Roman" w:hAnsi="Times New Roman" w:cs="Calibri"/>
          <w:color w:val="000000"/>
          <w:sz w:val="24"/>
          <w:szCs w:val="24"/>
        </w:rPr>
        <w:t xml:space="preserve">Model risk </w:t>
      </w:r>
      <w:r>
        <w:rPr>
          <w:rFonts w:ascii="Times New Roman" w:hAnsi="Times New Roman" w:cs="Calibri"/>
          <w:color w:val="000000"/>
          <w:sz w:val="24"/>
          <w:szCs w:val="24"/>
        </w:rPr>
        <w:t>(</w:t>
      </w:r>
      <w:r w:rsidR="000C3635" w:rsidRPr="000C3635">
        <w:rPr>
          <w:rFonts w:ascii="Times New Roman" w:hAnsi="Times New Roman" w:cs="Calibri"/>
          <w:color w:val="000000"/>
          <w:sz w:val="24"/>
          <w:szCs w:val="24"/>
        </w:rPr>
        <w:t>Board of Governors of the Federal Reserve System, 2011</w:t>
      </w:r>
      <w:r>
        <w:rPr>
          <w:rFonts w:ascii="Times New Roman" w:hAnsi="Times New Roman" w:cs="Calibri"/>
          <w:color w:val="000000"/>
          <w:sz w:val="24"/>
          <w:szCs w:val="24"/>
        </w:rPr>
        <w:t xml:space="preserve">) can be defined as the potential that a model does not sufficiently capture the risks it is used to assess, and the danger that it may underestimate potential risks in the future. </w:t>
      </w:r>
      <w:r w:rsidRPr="00C64B33">
        <w:rPr>
          <w:rFonts w:ascii="Times New Roman" w:hAnsi="Times New Roman" w:cs="Calibri"/>
          <w:i/>
          <w:color w:val="000000"/>
          <w:sz w:val="24"/>
          <w:szCs w:val="24"/>
        </w:rPr>
        <w:t xml:space="preserve">Stress </w:t>
      </w:r>
      <w:r w:rsidR="00CC717A" w:rsidRPr="00C64B33">
        <w:rPr>
          <w:rFonts w:ascii="Times New Roman" w:hAnsi="Times New Roman" w:cs="Calibri"/>
          <w:i/>
          <w:color w:val="000000"/>
          <w:sz w:val="24"/>
          <w:szCs w:val="24"/>
        </w:rPr>
        <w:t>t</w:t>
      </w:r>
      <w:r w:rsidRPr="00C64B33">
        <w:rPr>
          <w:rFonts w:ascii="Times New Roman" w:hAnsi="Times New Roman" w:cs="Calibri"/>
          <w:i/>
          <w:color w:val="000000"/>
          <w:sz w:val="24"/>
          <w:szCs w:val="24"/>
        </w:rPr>
        <w:t>esting</w:t>
      </w:r>
      <w:r>
        <w:rPr>
          <w:rFonts w:ascii="Times New Roman" w:hAnsi="Times New Roman" w:cs="Calibri"/>
          <w:color w:val="000000"/>
          <w:sz w:val="24"/>
          <w:szCs w:val="24"/>
        </w:rPr>
        <w:t xml:space="preserve"> </w:t>
      </w:r>
      <w:r w:rsidR="00CC717A">
        <w:rPr>
          <w:rFonts w:ascii="Times New Roman" w:hAnsi="Times New Roman" w:cs="Calibri"/>
          <w:color w:val="000000"/>
          <w:sz w:val="24"/>
          <w:szCs w:val="24"/>
        </w:rPr>
        <w:t xml:space="preserve">(“ST”) </w:t>
      </w:r>
      <w:r>
        <w:rPr>
          <w:rFonts w:ascii="Times New Roman" w:hAnsi="Times New Roman" w:cs="Calibri"/>
          <w:color w:val="000000"/>
          <w:sz w:val="24"/>
          <w:szCs w:val="24"/>
        </w:rPr>
        <w:t>has been used by supervisors to assess the reliability of credit risk models, as can be seen in the revised Basel framework (</w:t>
      </w:r>
      <w:r w:rsidR="004B18DE">
        <w:rPr>
          <w:rFonts w:ascii="Times New Roman" w:hAnsi="Times New Roman" w:cs="Calibri"/>
          <w:color w:val="000000"/>
          <w:sz w:val="24"/>
          <w:szCs w:val="24"/>
        </w:rPr>
        <w:t>Basel Committee for Banking Supervision 2006; 2009</w:t>
      </w:r>
      <w:r w:rsidR="001E393B">
        <w:rPr>
          <w:rFonts w:ascii="Times New Roman" w:hAnsi="Times New Roman" w:cs="Calibri"/>
          <w:color w:val="000000"/>
          <w:sz w:val="24"/>
          <w:szCs w:val="24"/>
        </w:rPr>
        <w:t xml:space="preserve"> </w:t>
      </w:r>
      <w:proofErr w:type="spellStart"/>
      <w:r w:rsidR="004B18DE">
        <w:rPr>
          <w:rFonts w:ascii="Times New Roman" w:hAnsi="Times New Roman" w:cs="Calibri"/>
          <w:color w:val="000000"/>
          <w:sz w:val="24"/>
          <w:szCs w:val="24"/>
        </w:rPr>
        <w:t>a</w:t>
      </w:r>
      <w:proofErr w:type="gramStart"/>
      <w:r w:rsidR="004B18DE">
        <w:rPr>
          <w:rFonts w:ascii="Times New Roman" w:hAnsi="Times New Roman" w:cs="Calibri"/>
          <w:color w:val="000000"/>
          <w:sz w:val="24"/>
          <w:szCs w:val="24"/>
        </w:rPr>
        <w:t>,b,c,d</w:t>
      </w:r>
      <w:proofErr w:type="spellEnd"/>
      <w:proofErr w:type="gramEnd"/>
      <w:r w:rsidR="004B18DE">
        <w:rPr>
          <w:rFonts w:ascii="Times New Roman" w:hAnsi="Times New Roman" w:cs="Calibri"/>
          <w:color w:val="000000"/>
          <w:sz w:val="24"/>
          <w:szCs w:val="24"/>
        </w:rPr>
        <w:t>; 1010 a</w:t>
      </w:r>
      <w:r w:rsidR="001E393B">
        <w:rPr>
          <w:rFonts w:ascii="Times New Roman" w:hAnsi="Times New Roman" w:cs="Calibri"/>
          <w:color w:val="000000"/>
          <w:sz w:val="24"/>
          <w:szCs w:val="24"/>
        </w:rPr>
        <w:t xml:space="preserve">, </w:t>
      </w:r>
      <w:r w:rsidR="004B18DE">
        <w:rPr>
          <w:rFonts w:ascii="Times New Roman" w:hAnsi="Times New Roman" w:cs="Calibri"/>
          <w:color w:val="000000"/>
          <w:sz w:val="24"/>
          <w:szCs w:val="24"/>
        </w:rPr>
        <w:t>b</w:t>
      </w:r>
      <w:r>
        <w:rPr>
          <w:rFonts w:ascii="Times New Roman" w:hAnsi="Times New Roman" w:cs="Calibri"/>
          <w:color w:val="000000"/>
          <w:sz w:val="24"/>
          <w:szCs w:val="24"/>
        </w:rPr>
        <w:t xml:space="preserve">) and the Federal Reserve’s </w:t>
      </w:r>
      <w:r>
        <w:rPr>
          <w:rFonts w:ascii="Times New Roman" w:hAnsi="Times New Roman" w:cs="Calibri"/>
          <w:i/>
          <w:color w:val="000000"/>
          <w:sz w:val="24"/>
          <w:szCs w:val="24"/>
        </w:rPr>
        <w:t>Comprehensive Capital Analysis and Review</w:t>
      </w:r>
      <w:r>
        <w:rPr>
          <w:rFonts w:ascii="Times New Roman" w:hAnsi="Times New Roman" w:cs="Calibri"/>
          <w:color w:val="000000"/>
          <w:sz w:val="24"/>
          <w:szCs w:val="24"/>
        </w:rPr>
        <w:t xml:space="preserve"> (</w:t>
      </w:r>
      <w:r w:rsidR="00CC717A">
        <w:rPr>
          <w:rFonts w:ascii="Times New Roman" w:hAnsi="Times New Roman" w:cs="Calibri"/>
          <w:color w:val="000000"/>
          <w:sz w:val="24"/>
          <w:szCs w:val="24"/>
        </w:rPr>
        <w:t>“</w:t>
      </w:r>
      <w:r>
        <w:rPr>
          <w:rFonts w:ascii="Times New Roman" w:hAnsi="Times New Roman" w:cs="Calibri"/>
          <w:color w:val="000000"/>
          <w:sz w:val="24"/>
          <w:szCs w:val="24"/>
        </w:rPr>
        <w:t>CCAR</w:t>
      </w:r>
      <w:r w:rsidR="00CC717A">
        <w:rPr>
          <w:rFonts w:ascii="Times New Roman" w:hAnsi="Times New Roman" w:cs="Calibri"/>
          <w:color w:val="000000"/>
          <w:sz w:val="24"/>
          <w:szCs w:val="24"/>
        </w:rPr>
        <w:t>”</w:t>
      </w:r>
      <w:r>
        <w:rPr>
          <w:rFonts w:ascii="Times New Roman" w:hAnsi="Times New Roman" w:cs="Calibri"/>
          <w:color w:val="000000"/>
          <w:sz w:val="24"/>
          <w:szCs w:val="24"/>
        </w:rPr>
        <w:t>) program.</w:t>
      </w:r>
    </w:p>
    <w:p w:rsidR="001A7178" w:rsidRDefault="001A7178" w:rsidP="00E7003C">
      <w:pPr>
        <w:spacing w:line="240" w:lineRule="auto"/>
        <w:contextualSpacing/>
        <w:jc w:val="both"/>
        <w:rPr>
          <w:rFonts w:ascii="Times New Roman" w:hAnsi="Times New Roman" w:cs="Calibri"/>
          <w:color w:val="000000"/>
          <w:sz w:val="24"/>
          <w:szCs w:val="24"/>
        </w:rPr>
      </w:pPr>
    </w:p>
    <w:p w:rsidR="00706BDE" w:rsidRDefault="00CF11D7" w:rsidP="00212ACE">
      <w:pPr>
        <w:jc w:val="both"/>
        <w:rPr>
          <w:rFonts w:ascii="Times New Roman" w:hAnsi="Times New Roman" w:cs="Calibri"/>
          <w:color w:val="000000"/>
          <w:sz w:val="24"/>
          <w:szCs w:val="24"/>
        </w:rPr>
      </w:pPr>
      <w:r>
        <w:rPr>
          <w:rFonts w:ascii="Times New Roman" w:hAnsi="Times New Roman" w:cs="Calibri"/>
          <w:color w:val="000000"/>
          <w:sz w:val="24"/>
          <w:szCs w:val="24"/>
        </w:rPr>
        <w:t xml:space="preserve">ST </w:t>
      </w:r>
      <w:r w:rsidR="001A7178">
        <w:rPr>
          <w:rFonts w:ascii="Times New Roman" w:hAnsi="Times New Roman" w:cs="Calibri"/>
          <w:color w:val="000000"/>
          <w:sz w:val="24"/>
          <w:szCs w:val="24"/>
        </w:rPr>
        <w:t>may be defined, in a general sense, a</w:t>
      </w:r>
      <w:r w:rsidR="001A7178" w:rsidRPr="001A7178">
        <w:rPr>
          <w:rFonts w:ascii="Times New Roman" w:hAnsi="Times New Roman" w:cs="Calibri"/>
          <w:color w:val="000000"/>
          <w:sz w:val="24"/>
          <w:szCs w:val="24"/>
        </w:rPr>
        <w:t xml:space="preserve">s a form of deliberately intense or thorough testing used to determine the stability of a given system or entity. </w:t>
      </w:r>
      <w:r>
        <w:rPr>
          <w:rFonts w:ascii="Times New Roman" w:hAnsi="Times New Roman" w:cs="Calibri"/>
          <w:color w:val="000000"/>
          <w:sz w:val="24"/>
          <w:szCs w:val="24"/>
        </w:rPr>
        <w:t xml:space="preserve"> </w:t>
      </w:r>
      <w:r w:rsidR="001A7178">
        <w:rPr>
          <w:rFonts w:ascii="Times New Roman" w:hAnsi="Times New Roman" w:cs="Calibri"/>
          <w:color w:val="000000"/>
          <w:sz w:val="24"/>
          <w:szCs w:val="24"/>
        </w:rPr>
        <w:t>This</w:t>
      </w:r>
      <w:r w:rsidR="001A7178" w:rsidRPr="001A7178">
        <w:rPr>
          <w:rFonts w:ascii="Times New Roman" w:hAnsi="Times New Roman" w:cs="Calibri"/>
          <w:color w:val="000000"/>
          <w:sz w:val="24"/>
          <w:szCs w:val="24"/>
        </w:rPr>
        <w:t xml:space="preserve"> involves testing beyond normal operational capacity, often to a breaking point, in order to observe the results.</w:t>
      </w:r>
      <w:r w:rsidR="001A7178">
        <w:rPr>
          <w:rFonts w:ascii="Times New Roman" w:hAnsi="Times New Roman" w:cs="Calibri"/>
          <w:color w:val="000000"/>
          <w:sz w:val="24"/>
          <w:szCs w:val="24"/>
        </w:rPr>
        <w:t xml:space="preserve">  In the financial risk management context, this involves scrutinizing the viability </w:t>
      </w:r>
      <w:r>
        <w:rPr>
          <w:rFonts w:ascii="Times New Roman" w:hAnsi="Times New Roman" w:cs="Calibri"/>
          <w:color w:val="000000"/>
          <w:sz w:val="24"/>
          <w:szCs w:val="24"/>
        </w:rPr>
        <w:t xml:space="preserve">of </w:t>
      </w:r>
      <w:r w:rsidR="001A7178">
        <w:rPr>
          <w:rFonts w:ascii="Times New Roman" w:hAnsi="Times New Roman" w:cs="Calibri"/>
          <w:color w:val="000000"/>
          <w:sz w:val="24"/>
          <w:szCs w:val="24"/>
        </w:rPr>
        <w:t xml:space="preserve">an institution </w:t>
      </w:r>
      <w:r>
        <w:rPr>
          <w:rFonts w:ascii="Times New Roman" w:hAnsi="Times New Roman" w:cs="Calibri"/>
          <w:color w:val="000000"/>
          <w:sz w:val="24"/>
          <w:szCs w:val="24"/>
        </w:rPr>
        <w:t>in its response to</w:t>
      </w:r>
      <w:r w:rsidR="001A7178">
        <w:rPr>
          <w:rFonts w:ascii="Times New Roman" w:hAnsi="Times New Roman" w:cs="Calibri"/>
          <w:color w:val="000000"/>
          <w:sz w:val="24"/>
          <w:szCs w:val="24"/>
        </w:rPr>
        <w:t xml:space="preserve"> various adverse configurations of </w:t>
      </w:r>
      <w:r w:rsidR="00C368D7">
        <w:rPr>
          <w:rFonts w:ascii="Times New Roman" w:hAnsi="Times New Roman" w:cs="Calibri"/>
          <w:color w:val="000000"/>
          <w:sz w:val="24"/>
          <w:szCs w:val="24"/>
        </w:rPr>
        <w:t>macro</w:t>
      </w:r>
      <w:r w:rsidR="001A7178">
        <w:rPr>
          <w:rFonts w:ascii="Times New Roman" w:hAnsi="Times New Roman" w:cs="Calibri"/>
          <w:color w:val="000000"/>
          <w:sz w:val="24"/>
          <w:szCs w:val="24"/>
        </w:rPr>
        <w:t xml:space="preserve">economic </w:t>
      </w:r>
      <w:r w:rsidR="00C368D7">
        <w:rPr>
          <w:rFonts w:ascii="Times New Roman" w:hAnsi="Times New Roman" w:cs="Calibri"/>
          <w:color w:val="000000"/>
          <w:sz w:val="24"/>
          <w:szCs w:val="24"/>
        </w:rPr>
        <w:t xml:space="preserve">and financial market </w:t>
      </w:r>
      <w:r w:rsidR="001A7178">
        <w:rPr>
          <w:rFonts w:ascii="Times New Roman" w:hAnsi="Times New Roman" w:cs="Calibri"/>
          <w:color w:val="000000"/>
          <w:sz w:val="24"/>
          <w:szCs w:val="24"/>
        </w:rPr>
        <w:t>events</w:t>
      </w:r>
      <w:r w:rsidR="007D4031">
        <w:rPr>
          <w:rFonts w:ascii="Times New Roman" w:hAnsi="Times New Roman" w:cs="Calibri"/>
          <w:color w:val="000000"/>
          <w:sz w:val="24"/>
          <w:szCs w:val="24"/>
        </w:rPr>
        <w:t>, which may include simulated financial crises</w:t>
      </w:r>
      <w:r w:rsidR="001A7178">
        <w:rPr>
          <w:rFonts w:ascii="Times New Roman" w:hAnsi="Times New Roman" w:cs="Calibri"/>
          <w:color w:val="000000"/>
          <w:sz w:val="24"/>
          <w:szCs w:val="24"/>
        </w:rPr>
        <w:t>.</w:t>
      </w:r>
      <w:r w:rsidR="00EE00FA">
        <w:rPr>
          <w:rFonts w:ascii="Times New Roman" w:hAnsi="Times New Roman" w:cs="Calibri"/>
          <w:color w:val="000000"/>
          <w:sz w:val="24"/>
          <w:szCs w:val="24"/>
        </w:rPr>
        <w:t xml:space="preserve"> </w:t>
      </w:r>
      <w:r>
        <w:rPr>
          <w:rFonts w:ascii="Times New Roman" w:hAnsi="Times New Roman" w:cs="Calibri"/>
          <w:color w:val="000000"/>
          <w:sz w:val="24"/>
          <w:szCs w:val="24"/>
        </w:rPr>
        <w:t xml:space="preserve"> </w:t>
      </w:r>
      <w:r w:rsidR="00EE00FA">
        <w:rPr>
          <w:rFonts w:ascii="Times New Roman" w:hAnsi="Times New Roman" w:cs="Calibri"/>
          <w:color w:val="000000"/>
          <w:sz w:val="24"/>
          <w:szCs w:val="24"/>
        </w:rPr>
        <w:t xml:space="preserve">ST is closely related to the concept and practice of </w:t>
      </w:r>
      <w:r w:rsidR="00EE00FA" w:rsidRPr="00036131">
        <w:rPr>
          <w:rFonts w:ascii="Times New Roman" w:hAnsi="Times New Roman" w:cs="Calibri"/>
          <w:i/>
          <w:color w:val="000000"/>
          <w:sz w:val="24"/>
          <w:szCs w:val="24"/>
        </w:rPr>
        <w:t>scenario analysis</w:t>
      </w:r>
      <w:r w:rsidR="00EE00FA">
        <w:rPr>
          <w:rFonts w:ascii="Times New Roman" w:hAnsi="Times New Roman" w:cs="Calibri"/>
          <w:color w:val="000000"/>
          <w:sz w:val="24"/>
          <w:szCs w:val="24"/>
        </w:rPr>
        <w:t xml:space="preserve"> (“SC”), which</w:t>
      </w:r>
      <w:r w:rsidR="00EE00FA" w:rsidRPr="00EE00FA">
        <w:rPr>
          <w:rFonts w:ascii="Times New Roman" w:hAnsi="Times New Roman" w:cs="Calibri"/>
          <w:color w:val="000000"/>
          <w:sz w:val="24"/>
          <w:szCs w:val="24"/>
        </w:rPr>
        <w:t xml:space="preserve"> in economics and finance</w:t>
      </w:r>
      <w:r w:rsidR="006D76B1">
        <w:rPr>
          <w:rFonts w:ascii="Times New Roman" w:hAnsi="Times New Roman" w:cs="Calibri"/>
          <w:color w:val="000000"/>
          <w:sz w:val="24"/>
          <w:szCs w:val="24"/>
        </w:rPr>
        <w:t xml:space="preserve"> </w:t>
      </w:r>
      <w:r w:rsidR="00EE00FA">
        <w:rPr>
          <w:rFonts w:ascii="Times New Roman" w:hAnsi="Times New Roman" w:cs="Calibri"/>
          <w:color w:val="000000"/>
          <w:sz w:val="24"/>
          <w:szCs w:val="24"/>
        </w:rPr>
        <w:t xml:space="preserve">is the </w:t>
      </w:r>
      <w:r w:rsidR="00EE00FA" w:rsidRPr="00EE00FA">
        <w:rPr>
          <w:rFonts w:ascii="Times New Roman" w:hAnsi="Times New Roman" w:cs="Calibri"/>
          <w:color w:val="000000"/>
          <w:sz w:val="24"/>
          <w:szCs w:val="24"/>
        </w:rPr>
        <w:t>attempt to forecast several possible scenarios for the economy (e.g. growth</w:t>
      </w:r>
      <w:r w:rsidR="007D4031">
        <w:rPr>
          <w:rFonts w:ascii="Times New Roman" w:hAnsi="Times New Roman" w:cs="Calibri"/>
          <w:color w:val="000000"/>
          <w:sz w:val="24"/>
          <w:szCs w:val="24"/>
        </w:rPr>
        <w:t xml:space="preserve"> levels</w:t>
      </w:r>
      <w:r w:rsidR="00EE00FA" w:rsidRPr="00EE00FA">
        <w:rPr>
          <w:rFonts w:ascii="Times New Roman" w:hAnsi="Times New Roman" w:cs="Calibri"/>
          <w:color w:val="000000"/>
          <w:sz w:val="24"/>
          <w:szCs w:val="24"/>
        </w:rPr>
        <w:t xml:space="preserve">) </w:t>
      </w:r>
      <w:r w:rsidR="00EE00FA">
        <w:rPr>
          <w:rFonts w:ascii="Times New Roman" w:hAnsi="Times New Roman" w:cs="Calibri"/>
          <w:color w:val="000000"/>
          <w:sz w:val="24"/>
          <w:szCs w:val="24"/>
        </w:rPr>
        <w:t>or an</w:t>
      </w:r>
      <w:r w:rsidR="00EE00FA" w:rsidRPr="00EE00FA">
        <w:rPr>
          <w:rFonts w:ascii="Times New Roman" w:hAnsi="Times New Roman" w:cs="Calibri"/>
          <w:color w:val="000000"/>
          <w:sz w:val="24"/>
          <w:szCs w:val="24"/>
        </w:rPr>
        <w:t xml:space="preserve"> attempt to forecast financial market returns (</w:t>
      </w:r>
      <w:r w:rsidR="00E8583C">
        <w:rPr>
          <w:rFonts w:ascii="Times New Roman" w:hAnsi="Times New Roman" w:cs="Calibri"/>
          <w:color w:val="000000"/>
          <w:sz w:val="24"/>
          <w:szCs w:val="24"/>
        </w:rPr>
        <w:t xml:space="preserve">e.g., </w:t>
      </w:r>
      <w:r w:rsidR="00EE00FA" w:rsidRPr="00EE00FA">
        <w:rPr>
          <w:rFonts w:ascii="Times New Roman" w:hAnsi="Times New Roman" w:cs="Calibri"/>
          <w:color w:val="000000"/>
          <w:sz w:val="24"/>
          <w:szCs w:val="24"/>
        </w:rPr>
        <w:t>for bonds, stocks and cash) in each of those scenarios.</w:t>
      </w:r>
      <w:r w:rsidR="00EE00FA">
        <w:rPr>
          <w:rFonts w:ascii="Times New Roman" w:hAnsi="Times New Roman" w:cs="Calibri"/>
          <w:color w:val="000000"/>
          <w:sz w:val="24"/>
          <w:szCs w:val="24"/>
        </w:rPr>
        <w:t xml:space="preserve"> </w:t>
      </w:r>
      <w:r>
        <w:rPr>
          <w:rFonts w:ascii="Times New Roman" w:hAnsi="Times New Roman" w:cs="Calibri"/>
          <w:color w:val="000000"/>
          <w:sz w:val="24"/>
          <w:szCs w:val="24"/>
        </w:rPr>
        <w:t xml:space="preserve"> </w:t>
      </w:r>
      <w:r w:rsidR="00EE00FA">
        <w:rPr>
          <w:rFonts w:ascii="Times New Roman" w:hAnsi="Times New Roman" w:cs="Calibri"/>
          <w:color w:val="000000"/>
          <w:sz w:val="24"/>
          <w:szCs w:val="24"/>
        </w:rPr>
        <w:t>This might involve</w:t>
      </w:r>
      <w:r w:rsidR="00EE00FA" w:rsidRPr="00EE00FA">
        <w:rPr>
          <w:rFonts w:ascii="Times New Roman" w:hAnsi="Times New Roman" w:cs="Calibri"/>
          <w:color w:val="000000"/>
          <w:sz w:val="24"/>
          <w:szCs w:val="24"/>
        </w:rPr>
        <w:t xml:space="preserve"> sub-sets of each of the possibilities</w:t>
      </w:r>
      <w:r w:rsidR="00EE00FA">
        <w:rPr>
          <w:rFonts w:ascii="Times New Roman" w:hAnsi="Times New Roman" w:cs="Calibri"/>
          <w:color w:val="000000"/>
          <w:sz w:val="24"/>
          <w:szCs w:val="24"/>
        </w:rPr>
        <w:t xml:space="preserve"> and even</w:t>
      </w:r>
      <w:r w:rsidR="00EE00FA" w:rsidRPr="00EE00FA">
        <w:rPr>
          <w:rFonts w:ascii="Times New Roman" w:hAnsi="Times New Roman" w:cs="Calibri"/>
          <w:color w:val="000000"/>
          <w:sz w:val="24"/>
          <w:szCs w:val="24"/>
        </w:rPr>
        <w:t xml:space="preserve"> further seek to determine correlations and assign probabilities to the scenarios</w:t>
      </w:r>
      <w:r w:rsidR="00EE00FA">
        <w:rPr>
          <w:rFonts w:ascii="Times New Roman" w:hAnsi="Times New Roman" w:cs="Calibri"/>
          <w:color w:val="000000"/>
          <w:sz w:val="24"/>
          <w:szCs w:val="24"/>
        </w:rPr>
        <w:t>.</w:t>
      </w:r>
      <w:r w:rsidR="00706BDE">
        <w:rPr>
          <w:rFonts w:ascii="Times New Roman" w:hAnsi="Times New Roman" w:cs="Calibri"/>
          <w:color w:val="000000"/>
          <w:sz w:val="24"/>
          <w:szCs w:val="24"/>
        </w:rPr>
        <w:t xml:space="preserve"> </w:t>
      </w:r>
    </w:p>
    <w:p w:rsidR="00B71E7E" w:rsidRPr="00B22940" w:rsidRDefault="007D4031" w:rsidP="00B71E7E">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Current risk models consider both capital adequacy and liquidity concerns, which regulators use to assess the relative health of banks in adverse potential scenarios.</w:t>
      </w:r>
      <w:r w:rsidR="00B71E7E">
        <w:rPr>
          <w:rFonts w:ascii="Times New Roman" w:hAnsi="Times New Roman" w:cs="Calibri"/>
          <w:color w:val="000000"/>
          <w:sz w:val="24"/>
          <w:szCs w:val="24"/>
        </w:rPr>
        <w:t xml:space="preserve"> </w:t>
      </w:r>
      <w:r>
        <w:rPr>
          <w:rFonts w:ascii="Times New Roman" w:hAnsi="Times New Roman" w:cs="Calibri"/>
          <w:color w:val="000000"/>
          <w:sz w:val="24"/>
          <w:szCs w:val="24"/>
        </w:rPr>
        <w:t>T</w:t>
      </w:r>
      <w:r w:rsidR="00B71E7E">
        <w:rPr>
          <w:rFonts w:ascii="Times New Roman" w:hAnsi="Times New Roman" w:cs="Calibri"/>
          <w:color w:val="000000"/>
          <w:sz w:val="24"/>
          <w:szCs w:val="24"/>
        </w:rPr>
        <w:t>he assessment process</w:t>
      </w:r>
      <w:r>
        <w:rPr>
          <w:rFonts w:ascii="Times New Roman" w:hAnsi="Times New Roman" w:cs="Calibri"/>
          <w:color w:val="000000"/>
          <w:sz w:val="24"/>
          <w:szCs w:val="24"/>
        </w:rPr>
        <w:t xml:space="preserve"> can be further segmented into</w:t>
      </w:r>
      <w:r w:rsidR="00B71E7E">
        <w:rPr>
          <w:rFonts w:ascii="Times New Roman" w:hAnsi="Times New Roman" w:cs="Calibri"/>
          <w:color w:val="000000"/>
          <w:sz w:val="24"/>
          <w:szCs w:val="24"/>
        </w:rPr>
        <w:t xml:space="preserve"> a consideration of c</w:t>
      </w:r>
      <w:r w:rsidR="00B71E7E" w:rsidRPr="00B22940">
        <w:rPr>
          <w:rFonts w:ascii="Times New Roman" w:hAnsi="Times New Roman" w:cs="Calibri"/>
          <w:color w:val="000000"/>
          <w:sz w:val="24"/>
          <w:szCs w:val="24"/>
        </w:rPr>
        <w:t xml:space="preserve">apital </w:t>
      </w:r>
      <w:r w:rsidR="00B71E7E">
        <w:rPr>
          <w:rFonts w:ascii="Times New Roman" w:hAnsi="Times New Roman" w:cs="Calibri"/>
          <w:color w:val="000000"/>
          <w:sz w:val="24"/>
          <w:szCs w:val="24"/>
        </w:rPr>
        <w:t xml:space="preserve">versus liquidity resources, corresponding to </w:t>
      </w:r>
      <w:r w:rsidR="00B71E7E" w:rsidRPr="00B22940">
        <w:rPr>
          <w:rFonts w:ascii="Times New Roman" w:hAnsi="Times New Roman" w:cs="Calibri"/>
          <w:color w:val="000000"/>
          <w:sz w:val="24"/>
          <w:szCs w:val="24"/>
        </w:rPr>
        <w:t xml:space="preserve">right </w:t>
      </w:r>
      <w:r w:rsidR="00B71E7E">
        <w:rPr>
          <w:rFonts w:ascii="Times New Roman" w:hAnsi="Times New Roman" w:cs="Calibri"/>
          <w:color w:val="000000"/>
          <w:sz w:val="24"/>
          <w:szCs w:val="24"/>
        </w:rPr>
        <w:t xml:space="preserve">and left sides of </w:t>
      </w:r>
      <w:r w:rsidR="00B71E7E" w:rsidRPr="00B22940">
        <w:rPr>
          <w:rFonts w:ascii="Times New Roman" w:hAnsi="Times New Roman" w:cs="Calibri"/>
          <w:color w:val="000000"/>
          <w:sz w:val="24"/>
          <w:szCs w:val="24"/>
        </w:rPr>
        <w:t>the balance sheet (</w:t>
      </w:r>
      <w:r w:rsidR="00B71E7E">
        <w:rPr>
          <w:rFonts w:ascii="Times New Roman" w:hAnsi="Times New Roman" w:cs="Calibri"/>
          <w:color w:val="000000"/>
          <w:sz w:val="24"/>
          <w:szCs w:val="24"/>
        </w:rPr>
        <w:t xml:space="preserve">i.e., </w:t>
      </w:r>
      <w:r w:rsidR="00B71E7E" w:rsidRPr="00B22940">
        <w:rPr>
          <w:rFonts w:ascii="Times New Roman" w:hAnsi="Times New Roman" w:cs="Calibri"/>
          <w:color w:val="000000"/>
          <w:sz w:val="24"/>
          <w:szCs w:val="24"/>
        </w:rPr>
        <w:t>net worth</w:t>
      </w:r>
      <w:r w:rsidR="00B71E7E">
        <w:rPr>
          <w:rFonts w:ascii="Times New Roman" w:hAnsi="Times New Roman" w:cs="Calibri"/>
          <w:color w:val="000000"/>
          <w:sz w:val="24"/>
          <w:szCs w:val="24"/>
        </w:rPr>
        <w:t xml:space="preserve"> versus the share of “liquid” assets</w:t>
      </w:r>
      <w:r w:rsidR="00B71E7E" w:rsidRPr="00B22940">
        <w:rPr>
          <w:rFonts w:ascii="Times New Roman" w:hAnsi="Times New Roman" w:cs="Calibri"/>
          <w:color w:val="000000"/>
          <w:sz w:val="24"/>
          <w:szCs w:val="24"/>
        </w:rPr>
        <w:t xml:space="preserve">), </w:t>
      </w:r>
      <w:r w:rsidR="00B71E7E">
        <w:rPr>
          <w:rFonts w:ascii="Times New Roman" w:hAnsi="Times New Roman" w:cs="Calibri"/>
          <w:color w:val="000000"/>
          <w:sz w:val="24"/>
          <w:szCs w:val="24"/>
        </w:rPr>
        <w:t>respectively.  In the best case scenario, not only do supervisory and bank models result in similar outputs, but also both do not produce outputs that far exceed the regulatory floor.</w:t>
      </w:r>
    </w:p>
    <w:p w:rsidR="00530C3E" w:rsidRDefault="000A4521" w:rsidP="00B71E7E">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P</w:t>
      </w:r>
      <w:r w:rsidR="00B71E7E">
        <w:rPr>
          <w:rFonts w:ascii="Times New Roman" w:hAnsi="Times New Roman" w:cs="Calibri"/>
          <w:color w:val="000000"/>
          <w:sz w:val="24"/>
          <w:szCs w:val="24"/>
        </w:rPr>
        <w:t xml:space="preserve">rior to the-financial crisis, </w:t>
      </w:r>
      <w:r>
        <w:rPr>
          <w:rFonts w:ascii="Times New Roman" w:hAnsi="Times New Roman" w:cs="Calibri"/>
          <w:color w:val="000000"/>
          <w:sz w:val="24"/>
          <w:szCs w:val="24"/>
        </w:rPr>
        <w:t xml:space="preserve">most of the most prominent financial institutions to fail </w:t>
      </w:r>
      <w:r w:rsidR="00B71E7E">
        <w:rPr>
          <w:rFonts w:ascii="Times New Roman" w:hAnsi="Times New Roman" w:cs="Calibri"/>
          <w:color w:val="000000"/>
          <w:sz w:val="24"/>
          <w:szCs w:val="24"/>
        </w:rPr>
        <w:t xml:space="preserve">(e.g., Lehman, Bear Stearns, Washington Mutual, Freddie Mac and Fannie Mae) were </w:t>
      </w:r>
      <w:r>
        <w:rPr>
          <w:rFonts w:ascii="Times New Roman" w:hAnsi="Times New Roman" w:cs="Calibri"/>
          <w:color w:val="000000"/>
          <w:sz w:val="24"/>
          <w:szCs w:val="24"/>
        </w:rPr>
        <w:t xml:space="preserve">considered to be </w:t>
      </w:r>
      <w:r w:rsidR="00B71E7E">
        <w:rPr>
          <w:rFonts w:ascii="Times New Roman" w:hAnsi="Times New Roman" w:cs="Calibri"/>
          <w:color w:val="000000"/>
          <w:sz w:val="24"/>
          <w:szCs w:val="24"/>
        </w:rPr>
        <w:t xml:space="preserve">well-capitalized according to the standards across a wide span of regulators Another commonality </w:t>
      </w:r>
      <w:r>
        <w:rPr>
          <w:rFonts w:ascii="Times New Roman" w:hAnsi="Times New Roman" w:cs="Calibri"/>
          <w:color w:val="000000"/>
          <w:sz w:val="24"/>
          <w:szCs w:val="24"/>
        </w:rPr>
        <w:t>among the large failed firms included</w:t>
      </w:r>
      <w:r w:rsidR="00B71E7E">
        <w:rPr>
          <w:rFonts w:ascii="Times New Roman" w:hAnsi="Times New Roman" w:cs="Calibri"/>
          <w:color w:val="000000"/>
          <w:sz w:val="24"/>
          <w:szCs w:val="24"/>
        </w:rPr>
        <w:t xml:space="preserve"> a general exposure to residential real estate</w:t>
      </w:r>
      <w:r>
        <w:rPr>
          <w:rFonts w:ascii="Times New Roman" w:hAnsi="Times New Roman" w:cs="Calibri"/>
          <w:color w:val="000000"/>
          <w:sz w:val="24"/>
          <w:szCs w:val="24"/>
        </w:rPr>
        <w:t>, either directly or through securitization</w:t>
      </w:r>
      <w:r w:rsidR="00B71E7E">
        <w:rPr>
          <w:rFonts w:ascii="Times New Roman" w:hAnsi="Times New Roman" w:cs="Calibri"/>
          <w:color w:val="000000"/>
          <w:sz w:val="24"/>
          <w:szCs w:val="24"/>
        </w:rPr>
        <w:t>. Further, it is widely believed that the internal risk models of these institutions were not wildly out of line with those of the regulators</w:t>
      </w:r>
      <w:r w:rsidR="00C83B91">
        <w:rPr>
          <w:rFonts w:ascii="Times New Roman" w:hAnsi="Times New Roman" w:cs="Calibri"/>
          <w:color w:val="000000"/>
          <w:sz w:val="24"/>
          <w:szCs w:val="24"/>
        </w:rPr>
        <w:t xml:space="preserve"> </w:t>
      </w:r>
      <w:r w:rsidR="00C83B91" w:rsidRPr="00C83B91">
        <w:rPr>
          <w:rFonts w:ascii="Times New Roman" w:hAnsi="Times New Roman" w:cs="Calibri"/>
          <w:color w:val="000000"/>
          <w:sz w:val="24"/>
          <w:szCs w:val="24"/>
        </w:rPr>
        <w:t>(</w:t>
      </w:r>
      <w:proofErr w:type="spellStart"/>
      <w:r w:rsidR="00C83B91" w:rsidRPr="00C83B91">
        <w:rPr>
          <w:rFonts w:ascii="Times New Roman" w:hAnsi="Times New Roman" w:cs="Calibri"/>
          <w:color w:val="000000"/>
          <w:sz w:val="24"/>
          <w:szCs w:val="24"/>
        </w:rPr>
        <w:t>Schuermann</w:t>
      </w:r>
      <w:proofErr w:type="spellEnd"/>
      <w:r w:rsidR="00C83B91" w:rsidRPr="00C83B91">
        <w:rPr>
          <w:rFonts w:ascii="Times New Roman" w:hAnsi="Times New Roman" w:cs="Calibri"/>
          <w:color w:val="000000"/>
          <w:sz w:val="24"/>
          <w:szCs w:val="24"/>
        </w:rPr>
        <w:t>, 201</w:t>
      </w:r>
      <w:r w:rsidR="001E393B">
        <w:rPr>
          <w:rFonts w:ascii="Times New Roman" w:hAnsi="Times New Roman" w:cs="Calibri"/>
          <w:color w:val="000000"/>
          <w:sz w:val="24"/>
          <w:szCs w:val="24"/>
        </w:rPr>
        <w:t>4</w:t>
      </w:r>
      <w:r w:rsidR="00C83B91" w:rsidRPr="00C83B91">
        <w:rPr>
          <w:rFonts w:ascii="Times New Roman" w:hAnsi="Times New Roman" w:cs="Calibri"/>
          <w:color w:val="000000"/>
          <w:sz w:val="24"/>
          <w:szCs w:val="24"/>
        </w:rPr>
        <w:t>)</w:t>
      </w:r>
      <w:r w:rsidR="00B71E7E">
        <w:rPr>
          <w:rFonts w:ascii="Times New Roman" w:hAnsi="Times New Roman" w:cs="Calibri"/>
          <w:color w:val="000000"/>
          <w:sz w:val="24"/>
          <w:szCs w:val="24"/>
        </w:rPr>
        <w:t xml:space="preserve">.  We learned through these unanticipated failures that the answer to the question of how much capital an institution needs to avoid failure was not satisfactory.  </w:t>
      </w:r>
      <w:r>
        <w:rPr>
          <w:rFonts w:ascii="Times New Roman" w:hAnsi="Times New Roman" w:cs="Calibri"/>
          <w:color w:val="000000"/>
          <w:sz w:val="24"/>
          <w:szCs w:val="24"/>
        </w:rPr>
        <w:t>While</w:t>
      </w:r>
      <w:r w:rsidR="00B71E7E">
        <w:rPr>
          <w:rFonts w:ascii="Times New Roman" w:hAnsi="Times New Roman" w:cs="Calibri"/>
          <w:color w:val="000000"/>
          <w:sz w:val="24"/>
          <w:szCs w:val="24"/>
        </w:rPr>
        <w:t xml:space="preserve"> </w:t>
      </w:r>
      <w:r>
        <w:rPr>
          <w:rFonts w:ascii="Times New Roman" w:hAnsi="Times New Roman" w:cs="Calibri"/>
          <w:color w:val="000000"/>
          <w:sz w:val="24"/>
          <w:szCs w:val="24"/>
        </w:rPr>
        <w:t xml:space="preserve">capital models </w:t>
      </w:r>
      <w:r w:rsidR="00B71E7E">
        <w:rPr>
          <w:rFonts w:ascii="Times New Roman" w:hAnsi="Times New Roman" w:cs="Calibri"/>
          <w:color w:val="000000"/>
          <w:sz w:val="24"/>
          <w:szCs w:val="24"/>
        </w:rPr>
        <w:t xml:space="preserve">accept a non-zero probability of default according to the risk aversion of the institution or the supervisor, the utter failure of these constructs to even come close to projecting the perils that these institutions faced was a great motivator for considering alternative tools to assess capital adequacy, such as the ST discipline. </w:t>
      </w:r>
    </w:p>
    <w:p w:rsidR="004C29CA" w:rsidRDefault="00530C3E" w:rsidP="00B71E7E">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lastRenderedPageBreak/>
        <w:t>Bank Holding Companies (</w:t>
      </w:r>
      <w:r w:rsidRPr="00530C3E">
        <w:rPr>
          <w:rFonts w:ascii="Times New Roman" w:hAnsi="Times New Roman" w:cs="Calibri"/>
          <w:color w:val="000000"/>
          <w:sz w:val="24"/>
          <w:szCs w:val="24"/>
        </w:rPr>
        <w:t>BHCs</w:t>
      </w:r>
      <w:r>
        <w:rPr>
          <w:rFonts w:ascii="Times New Roman" w:hAnsi="Times New Roman" w:cs="Calibri"/>
          <w:color w:val="000000"/>
          <w:sz w:val="24"/>
          <w:szCs w:val="24"/>
        </w:rPr>
        <w:t>)</w:t>
      </w:r>
      <w:r w:rsidRPr="00530C3E">
        <w:rPr>
          <w:rFonts w:ascii="Times New Roman" w:hAnsi="Times New Roman" w:cs="Calibri"/>
          <w:color w:val="000000"/>
          <w:sz w:val="24"/>
          <w:szCs w:val="24"/>
        </w:rPr>
        <w:t xml:space="preserve"> face a number of considerations in modeling losses for wholesale and retail lending portfolios.  CCAR participants face some particular challenges in estimating losses based on scenarios and their associated risk drivers.  The selection of modeling methodology must satisfy a number of criteria, such as suitability for portfolio type, materiality, data availability as well as alignment with chosen risk drivers.</w:t>
      </w:r>
      <w:r w:rsidR="00BD0170">
        <w:rPr>
          <w:rFonts w:ascii="Times New Roman" w:hAnsi="Times New Roman" w:cs="Calibri"/>
          <w:color w:val="000000"/>
          <w:sz w:val="24"/>
          <w:szCs w:val="24"/>
        </w:rPr>
        <w:t xml:space="preserve">  </w:t>
      </w:r>
      <w:r w:rsidR="00BD0170" w:rsidRPr="00530C3E">
        <w:rPr>
          <w:rFonts w:ascii="Times New Roman" w:hAnsi="Times New Roman" w:cs="Calibri"/>
          <w:color w:val="000000"/>
          <w:sz w:val="24"/>
          <w:szCs w:val="24"/>
        </w:rPr>
        <w:t>The selection of modeling methodology must satisfy a number of criteria, such as suitability for portfolio type, materiality, data availability as well as alignment with chosen risk drivers.</w:t>
      </w:r>
      <w:r w:rsidR="00BD0170">
        <w:rPr>
          <w:rFonts w:ascii="Times New Roman" w:hAnsi="Times New Roman" w:cs="Calibri"/>
          <w:color w:val="000000"/>
          <w:sz w:val="24"/>
          <w:szCs w:val="24"/>
        </w:rPr>
        <w:t xml:space="preserve"> There are two broad categories of model types in use.  </w:t>
      </w:r>
      <w:r w:rsidR="00BD0170" w:rsidRPr="001D4056">
        <w:rPr>
          <w:rFonts w:ascii="Times New Roman" w:hAnsi="Times New Roman" w:cs="Calibri"/>
          <w:i/>
          <w:color w:val="000000"/>
          <w:sz w:val="24"/>
          <w:szCs w:val="24"/>
        </w:rPr>
        <w:t>Bottom-up models</w:t>
      </w:r>
      <w:r w:rsidR="00BD0170" w:rsidRPr="001C53C6">
        <w:rPr>
          <w:rFonts w:ascii="Times New Roman" w:hAnsi="Times New Roman" w:cs="Calibri"/>
          <w:color w:val="000000"/>
          <w:sz w:val="24"/>
          <w:szCs w:val="24"/>
        </w:rPr>
        <w:t xml:space="preserve"> </w:t>
      </w:r>
      <w:r w:rsidR="00BD0170">
        <w:rPr>
          <w:rFonts w:ascii="Times New Roman" w:hAnsi="Times New Roman" w:cs="Calibri"/>
          <w:color w:val="000000"/>
          <w:sz w:val="24"/>
          <w:szCs w:val="24"/>
        </w:rPr>
        <w:t xml:space="preserve">are loan- or obligor-level models </w:t>
      </w:r>
      <w:r w:rsidR="00BD0170" w:rsidRPr="001C53C6">
        <w:rPr>
          <w:rFonts w:ascii="Times New Roman" w:hAnsi="Times New Roman" w:cs="Calibri"/>
          <w:color w:val="000000"/>
          <w:sz w:val="24"/>
          <w:szCs w:val="24"/>
        </w:rPr>
        <w:t>used by banks to forecast the expected losses of retail and wholesale loans for each loan.  The expected loss is calculated for each loan, and then the sum of expected losses across all loans provides an estimate of portfolio losses, through conditioning on macroeconomic or financial / obligor specific variables.</w:t>
      </w:r>
      <w:r w:rsidR="00BD0170">
        <w:rPr>
          <w:rFonts w:ascii="Times New Roman" w:hAnsi="Times New Roman" w:cs="Calibri"/>
          <w:color w:val="000000"/>
          <w:sz w:val="24"/>
          <w:szCs w:val="24"/>
        </w:rPr>
        <w:t xml:space="preserve">  </w:t>
      </w:r>
      <w:r w:rsidR="00BD0170" w:rsidRPr="00C87EDA">
        <w:rPr>
          <w:rFonts w:ascii="Times New Roman" w:hAnsi="Times New Roman" w:cs="Calibri"/>
          <w:color w:val="000000"/>
          <w:sz w:val="24"/>
          <w:szCs w:val="24"/>
        </w:rPr>
        <w:t xml:space="preserve">The primary advantages of </w:t>
      </w:r>
      <w:r w:rsidR="00BD0170">
        <w:rPr>
          <w:rFonts w:ascii="Times New Roman" w:hAnsi="Times New Roman" w:cs="Calibri"/>
          <w:color w:val="000000"/>
          <w:sz w:val="24"/>
          <w:szCs w:val="24"/>
        </w:rPr>
        <w:t>bottom-up</w:t>
      </w:r>
      <w:r w:rsidR="00BD0170" w:rsidRPr="00C87EDA">
        <w:rPr>
          <w:rFonts w:ascii="Times New Roman" w:hAnsi="Times New Roman" w:cs="Calibri"/>
          <w:color w:val="000000"/>
          <w:sz w:val="24"/>
          <w:szCs w:val="24"/>
        </w:rPr>
        <w:t xml:space="preserve"> models are the ease of modeling heterogeneity of underlying loans and interaction of loan-level risk factors. The primary disadvantages of loan-level models are that while there are a variety of loan-level methodologies that can be used, these models are much more complex to specify and estimate.  These models generally require more sophisticated econometric and simulation techniques, and model validation standards may more stringent.</w:t>
      </w:r>
      <w:r w:rsidR="00BD0170">
        <w:rPr>
          <w:rFonts w:ascii="Times New Roman" w:hAnsi="Times New Roman" w:cs="Calibri"/>
          <w:color w:val="000000"/>
          <w:sz w:val="24"/>
          <w:szCs w:val="24"/>
        </w:rPr>
        <w:t xml:space="preserve">  In contrast, </w:t>
      </w:r>
      <w:r w:rsidR="00BD0170" w:rsidRPr="001D4056">
        <w:rPr>
          <w:rFonts w:ascii="Times New Roman" w:hAnsi="Times New Roman" w:cs="Calibri"/>
          <w:i/>
          <w:color w:val="000000"/>
          <w:sz w:val="24"/>
          <w:szCs w:val="24"/>
        </w:rPr>
        <w:t>top-down models</w:t>
      </w:r>
      <w:r w:rsidR="00BD0170" w:rsidRPr="001C53C6">
        <w:rPr>
          <w:rFonts w:ascii="Times New Roman" w:hAnsi="Times New Roman" w:cs="Calibri"/>
          <w:color w:val="000000"/>
          <w:sz w:val="24"/>
          <w:szCs w:val="24"/>
        </w:rPr>
        <w:t xml:space="preserve"> </w:t>
      </w:r>
      <w:r w:rsidR="00BD0170">
        <w:rPr>
          <w:rFonts w:ascii="Times New Roman" w:hAnsi="Times New Roman" w:cs="Calibri"/>
          <w:color w:val="000000"/>
          <w:sz w:val="24"/>
          <w:szCs w:val="24"/>
        </w:rPr>
        <w:t xml:space="preserve">are pool (or segment) level models </w:t>
      </w:r>
      <w:r w:rsidR="00BD0170" w:rsidRPr="001C53C6">
        <w:rPr>
          <w:rFonts w:ascii="Times New Roman" w:hAnsi="Times New Roman" w:cs="Calibri"/>
          <w:color w:val="000000"/>
          <w:sz w:val="24"/>
          <w:szCs w:val="24"/>
        </w:rPr>
        <w:t>used by banks to forecast charge-off rates by retail and wholesale loan types as a function of macroeconomic and financial variables.  In most cases for these models, banks use only one to four macroeconomic and financial risk drivers as explanatory variables. These variables are usually determined by interaction between model development teams and line of business experts.</w:t>
      </w:r>
      <w:r w:rsidR="00BD0170">
        <w:rPr>
          <w:rFonts w:ascii="Times New Roman" w:hAnsi="Times New Roman" w:cs="Calibri"/>
          <w:color w:val="000000"/>
          <w:sz w:val="24"/>
          <w:szCs w:val="24"/>
        </w:rPr>
        <w:t xml:space="preserve">  </w:t>
      </w:r>
      <w:r w:rsidR="00BD0170" w:rsidRPr="00C87EDA">
        <w:rPr>
          <w:rFonts w:ascii="Times New Roman" w:hAnsi="Times New Roman" w:cs="Calibri"/>
          <w:color w:val="000000"/>
          <w:sz w:val="24"/>
          <w:szCs w:val="24"/>
        </w:rPr>
        <w:t xml:space="preserve">The primary advantage of </w:t>
      </w:r>
      <w:r w:rsidR="00BD0170">
        <w:rPr>
          <w:rFonts w:ascii="Times New Roman" w:hAnsi="Times New Roman" w:cs="Calibri"/>
          <w:color w:val="000000"/>
          <w:sz w:val="24"/>
          <w:szCs w:val="24"/>
        </w:rPr>
        <w:t>top-don</w:t>
      </w:r>
      <w:r w:rsidR="00BD0170" w:rsidRPr="00C87EDA">
        <w:rPr>
          <w:rFonts w:ascii="Times New Roman" w:hAnsi="Times New Roman" w:cs="Calibri"/>
          <w:color w:val="000000"/>
          <w:sz w:val="24"/>
          <w:szCs w:val="24"/>
        </w:rPr>
        <w:t xml:space="preserve"> models has been the ready availability of data and the simplicity of model estimation. The primary disadvantage of pool-level models is that borrower specific characteristics are generally not used as variables, except at the aggregate level using pool averages.  Modeling challenges include determination of appropriate loss horizon (e.g., for CCAR it is a 9-quarter duration), determination of an appropriate averaging methodology, appropriate data segmentation and loss aggregation, as well as the </w:t>
      </w:r>
      <w:proofErr w:type="spellStart"/>
      <w:r w:rsidR="00BD0170" w:rsidRPr="00C87EDA">
        <w:rPr>
          <w:rFonts w:ascii="Times New Roman" w:hAnsi="Times New Roman" w:cs="Calibri"/>
          <w:color w:val="000000"/>
          <w:sz w:val="24"/>
          <w:szCs w:val="24"/>
        </w:rPr>
        <w:t>annualization</w:t>
      </w:r>
      <w:proofErr w:type="spellEnd"/>
      <w:r w:rsidR="00BD0170" w:rsidRPr="00C87EDA">
        <w:rPr>
          <w:rFonts w:ascii="Times New Roman" w:hAnsi="Times New Roman" w:cs="Calibri"/>
          <w:color w:val="000000"/>
          <w:sz w:val="24"/>
          <w:szCs w:val="24"/>
        </w:rPr>
        <w:t xml:space="preserve"> of loss rates.</w:t>
      </w:r>
      <w:r w:rsidR="00BD0170">
        <w:rPr>
          <w:rFonts w:ascii="Times New Roman" w:hAnsi="Times New Roman" w:cs="Calibri"/>
          <w:color w:val="000000"/>
          <w:sz w:val="24"/>
          <w:szCs w:val="24"/>
        </w:rPr>
        <w:t xml:space="preserve">  In this paper we consider top-down models.</w:t>
      </w:r>
      <w:r w:rsidR="00B71E7E">
        <w:rPr>
          <w:rFonts w:ascii="Times New Roman" w:hAnsi="Times New Roman" w:cs="Calibri"/>
          <w:color w:val="000000"/>
          <w:sz w:val="24"/>
          <w:szCs w:val="24"/>
        </w:rPr>
        <w:t xml:space="preserve"> </w:t>
      </w:r>
    </w:p>
    <w:p w:rsidR="005E2473" w:rsidRDefault="005E2473" w:rsidP="00E7003C">
      <w:pPr>
        <w:spacing w:before="100" w:beforeAutospacing="1" w:after="100" w:afterAutospacing="1" w:line="240" w:lineRule="auto"/>
        <w:jc w:val="both"/>
        <w:rPr>
          <w:rFonts w:ascii="Times New Roman" w:hAnsi="Times New Roman" w:cs="Calibri"/>
          <w:color w:val="000000"/>
          <w:sz w:val="24"/>
          <w:szCs w:val="24"/>
        </w:rPr>
      </w:pPr>
      <w:r w:rsidRPr="005E2473">
        <w:rPr>
          <w:rFonts w:ascii="Times New Roman" w:hAnsi="Times New Roman" w:cs="Calibri"/>
          <w:color w:val="000000"/>
          <w:sz w:val="24"/>
          <w:szCs w:val="24"/>
        </w:rPr>
        <w:t>This paper shall proceed as follows</w:t>
      </w:r>
      <w:r w:rsidR="005D36A1">
        <w:rPr>
          <w:rFonts w:ascii="Times New Roman" w:hAnsi="Times New Roman" w:cs="Calibri"/>
          <w:color w:val="000000"/>
          <w:sz w:val="24"/>
          <w:szCs w:val="24"/>
        </w:rPr>
        <w:t xml:space="preserve">.  </w:t>
      </w:r>
      <w:r w:rsidR="00B22940" w:rsidRPr="005E2473">
        <w:rPr>
          <w:rFonts w:ascii="Times New Roman" w:hAnsi="Times New Roman" w:cs="Calibri"/>
          <w:color w:val="000000"/>
          <w:sz w:val="24"/>
          <w:szCs w:val="24"/>
        </w:rPr>
        <w:t xml:space="preserve">Section </w:t>
      </w:r>
      <w:r w:rsidR="00B22940">
        <w:rPr>
          <w:rFonts w:ascii="Times New Roman" w:hAnsi="Times New Roman" w:cs="Calibri"/>
          <w:color w:val="000000"/>
          <w:sz w:val="24"/>
          <w:szCs w:val="24"/>
        </w:rPr>
        <w:t>2</w:t>
      </w:r>
      <w:r w:rsidR="00B22940" w:rsidRPr="005E2473">
        <w:rPr>
          <w:rFonts w:ascii="Times New Roman" w:hAnsi="Times New Roman" w:cs="Calibri"/>
          <w:color w:val="000000"/>
          <w:sz w:val="24"/>
          <w:szCs w:val="24"/>
        </w:rPr>
        <w:t xml:space="preserve"> </w:t>
      </w:r>
      <w:r w:rsidR="00AC4E18">
        <w:rPr>
          <w:rFonts w:ascii="Times New Roman" w:hAnsi="Times New Roman" w:cs="Calibri"/>
          <w:color w:val="000000"/>
          <w:sz w:val="24"/>
          <w:szCs w:val="24"/>
        </w:rPr>
        <w:t xml:space="preserve">reviews the </w:t>
      </w:r>
      <w:r w:rsidR="004B2792">
        <w:rPr>
          <w:rFonts w:ascii="Times New Roman" w:hAnsi="Times New Roman" w:cs="Calibri"/>
          <w:color w:val="000000"/>
          <w:sz w:val="24"/>
          <w:szCs w:val="24"/>
        </w:rPr>
        <w:t xml:space="preserve">available </w:t>
      </w:r>
      <w:r w:rsidR="00AC4E18">
        <w:rPr>
          <w:rFonts w:ascii="Times New Roman" w:hAnsi="Times New Roman" w:cs="Calibri"/>
          <w:color w:val="000000"/>
          <w:sz w:val="24"/>
          <w:szCs w:val="24"/>
        </w:rPr>
        <w:t>literature on ST</w:t>
      </w:r>
      <w:r w:rsidR="004C29CA">
        <w:rPr>
          <w:rFonts w:ascii="Times New Roman" w:hAnsi="Times New Roman" w:cs="Calibri"/>
          <w:color w:val="000000"/>
          <w:sz w:val="24"/>
          <w:szCs w:val="24"/>
        </w:rPr>
        <w:t xml:space="preserve"> and scenario generation</w:t>
      </w:r>
      <w:r w:rsidR="00577CF7">
        <w:rPr>
          <w:rFonts w:ascii="Times New Roman" w:hAnsi="Times New Roman" w:cs="Calibri"/>
          <w:color w:val="000000"/>
          <w:sz w:val="24"/>
          <w:szCs w:val="24"/>
        </w:rPr>
        <w:t xml:space="preserve">.  </w:t>
      </w:r>
      <w:r w:rsidR="00B71E7E" w:rsidRPr="005E2473">
        <w:rPr>
          <w:rFonts w:ascii="Times New Roman" w:hAnsi="Times New Roman" w:cs="Calibri"/>
          <w:color w:val="000000"/>
          <w:sz w:val="24"/>
          <w:szCs w:val="24"/>
        </w:rPr>
        <w:t xml:space="preserve">Section </w:t>
      </w:r>
      <w:r w:rsidR="00B71E7E">
        <w:rPr>
          <w:rFonts w:ascii="Times New Roman" w:hAnsi="Times New Roman" w:cs="Calibri"/>
          <w:color w:val="000000"/>
          <w:sz w:val="24"/>
          <w:szCs w:val="24"/>
        </w:rPr>
        <w:t xml:space="preserve">3 presents the </w:t>
      </w:r>
      <w:r w:rsidR="004C29CA">
        <w:rPr>
          <w:rFonts w:ascii="Times New Roman" w:hAnsi="Times New Roman" w:cs="Calibri"/>
          <w:color w:val="000000"/>
          <w:sz w:val="24"/>
          <w:szCs w:val="24"/>
        </w:rPr>
        <w:t xml:space="preserve">competing </w:t>
      </w:r>
      <w:r w:rsidR="00B71E7E">
        <w:rPr>
          <w:rFonts w:ascii="Times New Roman" w:hAnsi="Times New Roman" w:cs="Calibri"/>
          <w:color w:val="000000"/>
          <w:sz w:val="24"/>
          <w:szCs w:val="24"/>
        </w:rPr>
        <w:t>econometric methodolog</w:t>
      </w:r>
      <w:r w:rsidR="004C29CA">
        <w:rPr>
          <w:rFonts w:ascii="Times New Roman" w:hAnsi="Times New Roman" w:cs="Calibri"/>
          <w:color w:val="000000"/>
          <w:sz w:val="24"/>
          <w:szCs w:val="24"/>
        </w:rPr>
        <w:t>ies for generating scenarios</w:t>
      </w:r>
      <w:r w:rsidR="00B71E7E">
        <w:rPr>
          <w:rFonts w:ascii="Times New Roman" w:hAnsi="Times New Roman" w:cs="Calibri"/>
          <w:color w:val="000000"/>
          <w:sz w:val="24"/>
          <w:szCs w:val="24"/>
        </w:rPr>
        <w:t>, a</w:t>
      </w:r>
      <w:r w:rsidR="00B71E7E" w:rsidRPr="00B71E7E">
        <w:rPr>
          <w:rFonts w:ascii="Times New Roman" w:hAnsi="Times New Roman" w:cs="Calibri"/>
          <w:color w:val="000000"/>
          <w:sz w:val="24"/>
          <w:szCs w:val="24"/>
        </w:rPr>
        <w:t xml:space="preserve"> </w:t>
      </w:r>
      <w:r w:rsidR="00B71E7E">
        <w:rPr>
          <w:rFonts w:ascii="Times New Roman" w:hAnsi="Times New Roman" w:cs="Calibri"/>
          <w:color w:val="000000"/>
          <w:sz w:val="24"/>
          <w:szCs w:val="24"/>
        </w:rPr>
        <w:t>t</w:t>
      </w:r>
      <w:r w:rsidR="00B71E7E" w:rsidRPr="00B71E7E">
        <w:rPr>
          <w:rFonts w:ascii="Times New Roman" w:hAnsi="Times New Roman" w:cs="Calibri"/>
          <w:color w:val="000000"/>
          <w:sz w:val="24"/>
          <w:szCs w:val="24"/>
        </w:rPr>
        <w:t xml:space="preserve">ime </w:t>
      </w:r>
      <w:r w:rsidR="00B71E7E">
        <w:rPr>
          <w:rFonts w:ascii="Times New Roman" w:hAnsi="Times New Roman" w:cs="Calibri"/>
          <w:color w:val="000000"/>
          <w:sz w:val="24"/>
          <w:szCs w:val="24"/>
        </w:rPr>
        <w:t>s</w:t>
      </w:r>
      <w:r w:rsidR="00B71E7E" w:rsidRPr="00B71E7E">
        <w:rPr>
          <w:rFonts w:ascii="Times New Roman" w:hAnsi="Times New Roman" w:cs="Calibri"/>
          <w:color w:val="000000"/>
          <w:sz w:val="24"/>
          <w:szCs w:val="24"/>
        </w:rPr>
        <w:t xml:space="preserve">eries </w:t>
      </w:r>
      <w:r w:rsidR="004C29CA">
        <w:rPr>
          <w:rFonts w:ascii="Times New Roman" w:hAnsi="Times New Roman" w:cs="Calibri"/>
          <w:i/>
          <w:color w:val="000000"/>
          <w:sz w:val="24"/>
          <w:szCs w:val="24"/>
        </w:rPr>
        <w:t>V</w:t>
      </w:r>
      <w:r w:rsidR="00B71E7E" w:rsidRPr="004C29CA">
        <w:rPr>
          <w:rFonts w:ascii="Times New Roman" w:hAnsi="Times New Roman" w:cs="Calibri"/>
          <w:i/>
          <w:color w:val="000000"/>
          <w:sz w:val="24"/>
          <w:szCs w:val="24"/>
        </w:rPr>
        <w:t xml:space="preserve">ector </w:t>
      </w:r>
      <w:r w:rsidR="004C29CA">
        <w:rPr>
          <w:rFonts w:ascii="Times New Roman" w:hAnsi="Times New Roman" w:cs="Calibri"/>
          <w:i/>
          <w:color w:val="000000"/>
          <w:sz w:val="24"/>
          <w:szCs w:val="24"/>
        </w:rPr>
        <w:t>A</w:t>
      </w:r>
      <w:r w:rsidR="00B71E7E" w:rsidRPr="004C29CA">
        <w:rPr>
          <w:rFonts w:ascii="Times New Roman" w:hAnsi="Times New Roman" w:cs="Calibri"/>
          <w:i/>
          <w:color w:val="000000"/>
          <w:sz w:val="24"/>
          <w:szCs w:val="24"/>
        </w:rPr>
        <w:t>utoregressive</w:t>
      </w:r>
      <w:r w:rsidR="00B71E7E">
        <w:rPr>
          <w:rFonts w:ascii="Times New Roman" w:hAnsi="Times New Roman" w:cs="Calibri"/>
          <w:color w:val="000000"/>
          <w:sz w:val="24"/>
          <w:szCs w:val="24"/>
        </w:rPr>
        <w:t xml:space="preserve"> (</w:t>
      </w:r>
      <w:r w:rsidR="00100628">
        <w:rPr>
          <w:rFonts w:ascii="Times New Roman" w:hAnsi="Times New Roman" w:cs="Calibri"/>
          <w:color w:val="000000"/>
          <w:sz w:val="24"/>
          <w:szCs w:val="24"/>
        </w:rPr>
        <w:t>“</w:t>
      </w:r>
      <w:r w:rsidR="00B71E7E" w:rsidRPr="00B71E7E">
        <w:rPr>
          <w:rFonts w:ascii="Times New Roman" w:hAnsi="Times New Roman" w:cs="Calibri"/>
          <w:color w:val="000000"/>
          <w:sz w:val="24"/>
          <w:szCs w:val="24"/>
        </w:rPr>
        <w:t>VAR</w:t>
      </w:r>
      <w:r w:rsidR="00100628">
        <w:rPr>
          <w:rFonts w:ascii="Times New Roman" w:hAnsi="Times New Roman" w:cs="Calibri"/>
          <w:color w:val="000000"/>
          <w:sz w:val="24"/>
          <w:szCs w:val="24"/>
        </w:rPr>
        <w:t>”)</w:t>
      </w:r>
      <w:r w:rsidR="00B71E7E" w:rsidRPr="00B71E7E">
        <w:rPr>
          <w:rFonts w:ascii="Times New Roman" w:hAnsi="Times New Roman" w:cs="Calibri"/>
          <w:color w:val="000000"/>
          <w:sz w:val="24"/>
          <w:szCs w:val="24"/>
        </w:rPr>
        <w:t xml:space="preserve"> </w:t>
      </w:r>
      <w:r w:rsidR="004C29CA">
        <w:rPr>
          <w:rFonts w:ascii="Times New Roman" w:hAnsi="Times New Roman" w:cs="Calibri"/>
          <w:color w:val="000000"/>
          <w:sz w:val="24"/>
          <w:szCs w:val="24"/>
        </w:rPr>
        <w:t xml:space="preserve">and </w:t>
      </w:r>
      <w:r w:rsidR="004C29CA" w:rsidRPr="007B64B7">
        <w:rPr>
          <w:rFonts w:ascii="Times New Roman" w:hAnsi="Times New Roman"/>
          <w:i/>
          <w:sz w:val="24"/>
          <w:szCs w:val="24"/>
        </w:rPr>
        <w:t>Markov Switching VAR</w:t>
      </w:r>
      <w:r w:rsidR="004C29CA">
        <w:rPr>
          <w:rFonts w:ascii="Times New Roman" w:hAnsi="Times New Roman"/>
          <w:sz w:val="24"/>
          <w:szCs w:val="24"/>
        </w:rPr>
        <w:t xml:space="preserve"> (“MS-VAR”) models</w:t>
      </w:r>
      <w:r w:rsidR="00100628">
        <w:rPr>
          <w:rFonts w:ascii="Times New Roman" w:hAnsi="Times New Roman" w:cs="Calibri"/>
          <w:color w:val="000000"/>
          <w:sz w:val="24"/>
          <w:szCs w:val="24"/>
        </w:rPr>
        <w:t>.</w:t>
      </w:r>
      <w:r w:rsidR="00B71E7E">
        <w:rPr>
          <w:rFonts w:ascii="Times New Roman" w:hAnsi="Times New Roman" w:cs="Calibri"/>
          <w:color w:val="000000"/>
          <w:sz w:val="24"/>
          <w:szCs w:val="24"/>
        </w:rPr>
        <w:t xml:space="preserve"> </w:t>
      </w:r>
      <w:r w:rsidR="00100628">
        <w:rPr>
          <w:rFonts w:ascii="Times New Roman" w:hAnsi="Times New Roman" w:cs="Calibri"/>
          <w:color w:val="000000"/>
          <w:sz w:val="24"/>
          <w:szCs w:val="24"/>
        </w:rPr>
        <w:t xml:space="preserve"> </w:t>
      </w:r>
      <w:r w:rsidRPr="005E2473">
        <w:rPr>
          <w:rFonts w:ascii="Times New Roman" w:hAnsi="Times New Roman" w:cs="Calibri"/>
          <w:color w:val="000000"/>
          <w:sz w:val="24"/>
          <w:szCs w:val="24"/>
        </w:rPr>
        <w:t xml:space="preserve">Section </w:t>
      </w:r>
      <w:r w:rsidR="00100628">
        <w:rPr>
          <w:rFonts w:ascii="Times New Roman" w:hAnsi="Times New Roman" w:cs="Calibri"/>
          <w:color w:val="000000"/>
          <w:sz w:val="24"/>
          <w:szCs w:val="24"/>
        </w:rPr>
        <w:t>4</w:t>
      </w:r>
      <w:r w:rsidR="00066B90">
        <w:rPr>
          <w:rFonts w:ascii="Times New Roman" w:hAnsi="Times New Roman" w:cs="Calibri"/>
          <w:color w:val="000000"/>
          <w:sz w:val="24"/>
          <w:szCs w:val="24"/>
        </w:rPr>
        <w:t xml:space="preserve"> presents the empirical implementation, the data description, a discussion of the estimation results and their implications</w:t>
      </w:r>
      <w:r w:rsidRPr="005E2473">
        <w:rPr>
          <w:rFonts w:ascii="Times New Roman" w:hAnsi="Times New Roman" w:cs="Calibri"/>
          <w:color w:val="000000"/>
          <w:sz w:val="24"/>
          <w:szCs w:val="24"/>
        </w:rPr>
        <w:t xml:space="preserve">.  Section </w:t>
      </w:r>
      <w:r w:rsidR="00100628">
        <w:rPr>
          <w:rFonts w:ascii="Times New Roman" w:hAnsi="Times New Roman" w:cs="Calibri"/>
          <w:color w:val="000000"/>
          <w:sz w:val="24"/>
          <w:szCs w:val="24"/>
        </w:rPr>
        <w:t>5</w:t>
      </w:r>
      <w:r w:rsidR="00066B90">
        <w:rPr>
          <w:rFonts w:ascii="Times New Roman" w:hAnsi="Times New Roman" w:cs="Calibri"/>
          <w:color w:val="000000"/>
          <w:sz w:val="24"/>
          <w:szCs w:val="24"/>
        </w:rPr>
        <w:t xml:space="preserve"> concludes the study and provides directions for future avenues of research.</w:t>
      </w:r>
    </w:p>
    <w:p w:rsidR="00B71E7E" w:rsidRDefault="00B71E7E" w:rsidP="00B22940">
      <w:pPr>
        <w:spacing w:before="100" w:beforeAutospacing="1" w:after="100" w:afterAutospacing="1" w:line="240" w:lineRule="auto"/>
        <w:jc w:val="both"/>
        <w:rPr>
          <w:rFonts w:ascii="Times New Roman" w:hAnsi="Times New Roman"/>
          <w:b/>
          <w:sz w:val="28"/>
          <w:szCs w:val="28"/>
        </w:rPr>
      </w:pPr>
    </w:p>
    <w:p w:rsidR="00B71E7E" w:rsidRDefault="00B71E7E" w:rsidP="00B22940">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b/>
          <w:sz w:val="28"/>
          <w:szCs w:val="28"/>
        </w:rPr>
        <w:t>2</w:t>
      </w:r>
      <w:r w:rsidRPr="00014971">
        <w:rPr>
          <w:rFonts w:ascii="Times New Roman" w:hAnsi="Times New Roman"/>
          <w:b/>
          <w:sz w:val="28"/>
          <w:szCs w:val="28"/>
        </w:rPr>
        <w:tab/>
      </w:r>
      <w:r>
        <w:rPr>
          <w:rFonts w:ascii="Times New Roman" w:hAnsi="Times New Roman"/>
          <w:b/>
          <w:sz w:val="28"/>
          <w:szCs w:val="28"/>
        </w:rPr>
        <w:t>Review of the Literature</w:t>
      </w:r>
    </w:p>
    <w:p w:rsidR="00100628" w:rsidRDefault="00100628" w:rsidP="0010062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Since the dawn of modern risk management in the 1990s, ST</w:t>
      </w:r>
      <w:r w:rsidRPr="00AC4E18">
        <w:rPr>
          <w:rFonts w:ascii="Times New Roman" w:hAnsi="Times New Roman"/>
          <w:sz w:val="24"/>
          <w:szCs w:val="24"/>
        </w:rPr>
        <w:t xml:space="preserve"> has been </w:t>
      </w:r>
      <w:r>
        <w:rPr>
          <w:rFonts w:ascii="Times New Roman" w:hAnsi="Times New Roman"/>
          <w:sz w:val="24"/>
          <w:szCs w:val="24"/>
        </w:rPr>
        <w:t>a</w:t>
      </w:r>
      <w:r w:rsidRPr="00AC4E18">
        <w:rPr>
          <w:rFonts w:ascii="Times New Roman" w:hAnsi="Times New Roman"/>
          <w:sz w:val="24"/>
          <w:szCs w:val="24"/>
        </w:rPr>
        <w:t xml:space="preserve"> tool</w:t>
      </w:r>
      <w:r>
        <w:rPr>
          <w:rFonts w:ascii="Times New Roman" w:hAnsi="Times New Roman"/>
          <w:sz w:val="24"/>
          <w:szCs w:val="24"/>
        </w:rPr>
        <w:t xml:space="preserve"> used to address the basic question of how exposures or positions behave under adverse conditions.  </w:t>
      </w:r>
      <w:r w:rsidRPr="00AC4E18">
        <w:rPr>
          <w:rFonts w:ascii="Times New Roman" w:hAnsi="Times New Roman"/>
          <w:sz w:val="24"/>
          <w:szCs w:val="24"/>
        </w:rPr>
        <w:t>T</w:t>
      </w:r>
      <w:r>
        <w:rPr>
          <w:rFonts w:ascii="Times New Roman" w:hAnsi="Times New Roman"/>
          <w:sz w:val="24"/>
          <w:szCs w:val="24"/>
        </w:rPr>
        <w:t>raditionally this form of ST</w:t>
      </w:r>
      <w:r w:rsidRPr="00AC4E18">
        <w:rPr>
          <w:rFonts w:ascii="Times New Roman" w:hAnsi="Times New Roman"/>
          <w:sz w:val="24"/>
          <w:szCs w:val="24"/>
        </w:rPr>
        <w:t xml:space="preserve"> </w:t>
      </w:r>
      <w:r>
        <w:rPr>
          <w:rFonts w:ascii="Times New Roman" w:hAnsi="Times New Roman"/>
          <w:sz w:val="24"/>
          <w:szCs w:val="24"/>
        </w:rPr>
        <w:t xml:space="preserve">has been in the domain of </w:t>
      </w:r>
      <w:r w:rsidRPr="00FB03EB">
        <w:rPr>
          <w:rFonts w:ascii="Times New Roman" w:hAnsi="Times New Roman"/>
          <w:i/>
          <w:sz w:val="24"/>
          <w:szCs w:val="24"/>
        </w:rPr>
        <w:t>sensitivity analysis</w:t>
      </w:r>
      <w:r w:rsidRPr="00AC4E18">
        <w:rPr>
          <w:rFonts w:ascii="Times New Roman" w:hAnsi="Times New Roman"/>
          <w:sz w:val="24"/>
          <w:szCs w:val="24"/>
        </w:rPr>
        <w:t xml:space="preserve"> (</w:t>
      </w:r>
      <w:r>
        <w:rPr>
          <w:rFonts w:ascii="Times New Roman" w:hAnsi="Times New Roman"/>
          <w:sz w:val="24"/>
          <w:szCs w:val="24"/>
        </w:rPr>
        <w:t xml:space="preserve">e.g., shocks to </w:t>
      </w:r>
      <w:r w:rsidRPr="00AC4E18">
        <w:rPr>
          <w:rFonts w:ascii="Times New Roman" w:hAnsi="Times New Roman"/>
          <w:sz w:val="24"/>
          <w:szCs w:val="24"/>
        </w:rPr>
        <w:t>spreads, prices, volatilities</w:t>
      </w:r>
      <w:r>
        <w:rPr>
          <w:rFonts w:ascii="Times New Roman" w:hAnsi="Times New Roman"/>
          <w:sz w:val="24"/>
          <w:szCs w:val="24"/>
        </w:rPr>
        <w:t>, etc.</w:t>
      </w:r>
      <w:r w:rsidRPr="00AC4E18">
        <w:rPr>
          <w:rFonts w:ascii="Times New Roman" w:hAnsi="Times New Roman"/>
          <w:sz w:val="24"/>
          <w:szCs w:val="24"/>
        </w:rPr>
        <w:t xml:space="preserve">) or </w:t>
      </w:r>
      <w:r w:rsidRPr="00A957A0">
        <w:rPr>
          <w:rFonts w:ascii="Times New Roman" w:hAnsi="Times New Roman"/>
          <w:i/>
          <w:sz w:val="24"/>
          <w:szCs w:val="24"/>
        </w:rPr>
        <w:t>historical scenario analysis</w:t>
      </w:r>
      <w:r w:rsidRPr="00AC4E18">
        <w:rPr>
          <w:rFonts w:ascii="Times New Roman" w:hAnsi="Times New Roman"/>
          <w:sz w:val="24"/>
          <w:szCs w:val="24"/>
        </w:rPr>
        <w:t xml:space="preserve"> (</w:t>
      </w:r>
      <w:r>
        <w:rPr>
          <w:rFonts w:ascii="Times New Roman" w:hAnsi="Times New Roman"/>
          <w:sz w:val="24"/>
          <w:szCs w:val="24"/>
        </w:rPr>
        <w:t>e.g., historical episodes such as B</w:t>
      </w:r>
      <w:r w:rsidRPr="00AC4E18">
        <w:rPr>
          <w:rFonts w:ascii="Times New Roman" w:hAnsi="Times New Roman"/>
          <w:sz w:val="24"/>
          <w:szCs w:val="24"/>
        </w:rPr>
        <w:t>lack Monday 1987</w:t>
      </w:r>
      <w:r>
        <w:rPr>
          <w:rFonts w:ascii="Times New Roman" w:hAnsi="Times New Roman"/>
          <w:sz w:val="24"/>
          <w:szCs w:val="24"/>
        </w:rPr>
        <w:t xml:space="preserve"> or the</w:t>
      </w:r>
      <w:r w:rsidRPr="00AC4E18">
        <w:rPr>
          <w:rFonts w:ascii="Times New Roman" w:hAnsi="Times New Roman"/>
          <w:sz w:val="24"/>
          <w:szCs w:val="24"/>
        </w:rPr>
        <w:t xml:space="preserve"> post-Lehman bankruptcy</w:t>
      </w:r>
      <w:r>
        <w:rPr>
          <w:rFonts w:ascii="Times New Roman" w:hAnsi="Times New Roman"/>
          <w:sz w:val="24"/>
          <w:szCs w:val="24"/>
        </w:rPr>
        <w:t xml:space="preserve"> period;</w:t>
      </w:r>
      <w:r w:rsidRPr="00AC4E18">
        <w:rPr>
          <w:rFonts w:ascii="Times New Roman" w:hAnsi="Times New Roman"/>
          <w:sz w:val="24"/>
          <w:szCs w:val="24"/>
        </w:rPr>
        <w:t xml:space="preserve"> </w:t>
      </w:r>
      <w:r>
        <w:rPr>
          <w:rFonts w:ascii="Times New Roman" w:hAnsi="Times New Roman"/>
          <w:sz w:val="24"/>
          <w:szCs w:val="24"/>
        </w:rPr>
        <w:t xml:space="preserve">or hypothetical situations such as modern version of the Great Depression or </w:t>
      </w:r>
      <w:r w:rsidRPr="00AC4E18">
        <w:rPr>
          <w:rFonts w:ascii="Times New Roman" w:hAnsi="Times New Roman"/>
          <w:sz w:val="24"/>
          <w:szCs w:val="24"/>
        </w:rPr>
        <w:t>stagflation).</w:t>
      </w:r>
      <w:r>
        <w:rPr>
          <w:rFonts w:ascii="Times New Roman" w:hAnsi="Times New Roman"/>
          <w:sz w:val="24"/>
          <w:szCs w:val="24"/>
        </w:rPr>
        <w:t xml:space="preserve">  These analyses are particularly suited to market risk, where data are plentiful, but for other risk types in data-scarce environments (e.g., operational, credit, reputational </w:t>
      </w:r>
      <w:r>
        <w:rPr>
          <w:rFonts w:ascii="Times New Roman" w:hAnsi="Times New Roman"/>
          <w:sz w:val="24"/>
          <w:szCs w:val="24"/>
        </w:rPr>
        <w:lastRenderedPageBreak/>
        <w:t xml:space="preserve">or business risk) there is a greater reliance on </w:t>
      </w:r>
      <w:r w:rsidRPr="00A957A0">
        <w:rPr>
          <w:rFonts w:ascii="Times New Roman" w:hAnsi="Times New Roman"/>
          <w:i/>
          <w:sz w:val="24"/>
          <w:szCs w:val="24"/>
        </w:rPr>
        <w:t>hypothetical scenario analysis</w:t>
      </w:r>
      <w:r>
        <w:rPr>
          <w:rFonts w:ascii="Times New Roman" w:hAnsi="Times New Roman"/>
          <w:sz w:val="24"/>
          <w:szCs w:val="24"/>
        </w:rPr>
        <w:t xml:space="preserve"> (e.g., </w:t>
      </w:r>
      <w:r w:rsidRPr="00AC4E18">
        <w:rPr>
          <w:rFonts w:ascii="Times New Roman" w:hAnsi="Times New Roman"/>
          <w:sz w:val="24"/>
          <w:szCs w:val="24"/>
        </w:rPr>
        <w:t xml:space="preserve">natural disasters, computer </w:t>
      </w:r>
      <w:r>
        <w:rPr>
          <w:rFonts w:ascii="Times New Roman" w:hAnsi="Times New Roman"/>
          <w:sz w:val="24"/>
          <w:szCs w:val="24"/>
        </w:rPr>
        <w:t>fraud</w:t>
      </w:r>
      <w:r w:rsidRPr="00AC4E18">
        <w:rPr>
          <w:rFonts w:ascii="Times New Roman" w:hAnsi="Times New Roman"/>
          <w:sz w:val="24"/>
          <w:szCs w:val="24"/>
        </w:rPr>
        <w:t>, l</w:t>
      </w:r>
      <w:r>
        <w:rPr>
          <w:rFonts w:ascii="Times New Roman" w:hAnsi="Times New Roman"/>
          <w:sz w:val="24"/>
          <w:szCs w:val="24"/>
        </w:rPr>
        <w:t>itigation events</w:t>
      </w:r>
      <w:r w:rsidRPr="00AC4E18">
        <w:rPr>
          <w:rFonts w:ascii="Times New Roman" w:hAnsi="Times New Roman"/>
          <w:sz w:val="24"/>
          <w:szCs w:val="24"/>
        </w:rPr>
        <w:t xml:space="preserve">, </w:t>
      </w:r>
      <w:r>
        <w:rPr>
          <w:rFonts w:ascii="Times New Roman" w:hAnsi="Times New Roman"/>
          <w:sz w:val="24"/>
          <w:szCs w:val="24"/>
        </w:rPr>
        <w:t>etc.</w:t>
      </w:r>
      <w:r w:rsidRPr="00AC4E18">
        <w:rPr>
          <w:rFonts w:ascii="Times New Roman" w:hAnsi="Times New Roman"/>
          <w:sz w:val="24"/>
          <w:szCs w:val="24"/>
        </w:rPr>
        <w:t xml:space="preserve">). </w:t>
      </w:r>
      <w:r>
        <w:rPr>
          <w:rFonts w:ascii="Times New Roman" w:hAnsi="Times New Roman"/>
          <w:sz w:val="24"/>
          <w:szCs w:val="24"/>
        </w:rPr>
        <w:t xml:space="preserve"> </w:t>
      </w:r>
    </w:p>
    <w:p w:rsidR="008108BB" w:rsidRDefault="00F41450" w:rsidP="008108BB">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Regulators first introduced </w:t>
      </w:r>
      <w:r w:rsidR="00751B2C">
        <w:rPr>
          <w:rFonts w:ascii="Times New Roman" w:hAnsi="Times New Roman"/>
          <w:sz w:val="24"/>
          <w:szCs w:val="24"/>
        </w:rPr>
        <w:t>ST</w:t>
      </w:r>
      <w:r>
        <w:rPr>
          <w:rFonts w:ascii="Times New Roman" w:hAnsi="Times New Roman"/>
          <w:sz w:val="24"/>
          <w:szCs w:val="24"/>
        </w:rPr>
        <w:t xml:space="preserve"> with</w:t>
      </w:r>
      <w:r w:rsidR="00751B2C">
        <w:rPr>
          <w:rFonts w:ascii="Times New Roman" w:hAnsi="Times New Roman"/>
          <w:sz w:val="24"/>
          <w:szCs w:val="24"/>
        </w:rPr>
        <w:t>in</w:t>
      </w:r>
      <w:r>
        <w:rPr>
          <w:rFonts w:ascii="Times New Roman" w:hAnsi="Times New Roman"/>
          <w:sz w:val="24"/>
          <w:szCs w:val="24"/>
        </w:rPr>
        <w:t xml:space="preserve"> the Basel I According, with the 1995 Mark</w:t>
      </w:r>
      <w:r w:rsidR="00264788">
        <w:rPr>
          <w:rFonts w:ascii="Times New Roman" w:hAnsi="Times New Roman"/>
          <w:sz w:val="24"/>
          <w:szCs w:val="24"/>
        </w:rPr>
        <w:t>et</w:t>
      </w:r>
      <w:r>
        <w:rPr>
          <w:rFonts w:ascii="Times New Roman" w:hAnsi="Times New Roman"/>
          <w:sz w:val="24"/>
          <w:szCs w:val="24"/>
        </w:rPr>
        <w:t xml:space="preserve"> Risk Amendment (</w:t>
      </w:r>
      <w:r w:rsidR="00264788">
        <w:rPr>
          <w:rFonts w:ascii="Times New Roman" w:hAnsi="Times New Roman"/>
          <w:sz w:val="24"/>
          <w:szCs w:val="24"/>
        </w:rPr>
        <w:t>Basel Committee for Banking Supervis</w:t>
      </w:r>
      <w:r w:rsidR="00AC53B9">
        <w:rPr>
          <w:rFonts w:ascii="Times New Roman" w:hAnsi="Times New Roman"/>
          <w:sz w:val="24"/>
          <w:szCs w:val="24"/>
        </w:rPr>
        <w:t>i</w:t>
      </w:r>
      <w:r w:rsidR="00264788">
        <w:rPr>
          <w:rFonts w:ascii="Times New Roman" w:hAnsi="Times New Roman"/>
          <w:sz w:val="24"/>
          <w:szCs w:val="24"/>
        </w:rPr>
        <w:t>on</w:t>
      </w:r>
      <w:r w:rsidR="00AC53B9">
        <w:rPr>
          <w:rFonts w:ascii="Times New Roman" w:hAnsi="Times New Roman"/>
          <w:sz w:val="24"/>
          <w:szCs w:val="24"/>
        </w:rPr>
        <w:t xml:space="preserve"> 1988, 1996</w:t>
      </w:r>
      <w:r w:rsidR="00751B2C">
        <w:rPr>
          <w:rFonts w:ascii="Times New Roman" w:hAnsi="Times New Roman"/>
          <w:sz w:val="24"/>
          <w:szCs w:val="24"/>
        </w:rPr>
        <w:t xml:space="preserve">).  </w:t>
      </w:r>
      <w:r w:rsidR="00100628">
        <w:rPr>
          <w:rFonts w:ascii="Times New Roman" w:hAnsi="Times New Roman"/>
          <w:sz w:val="24"/>
          <w:szCs w:val="24"/>
        </w:rPr>
        <w:t xml:space="preserve">Around the same time, </w:t>
      </w:r>
      <w:r w:rsidR="00100628" w:rsidRPr="00AC4E18">
        <w:rPr>
          <w:rFonts w:ascii="Times New Roman" w:hAnsi="Times New Roman"/>
          <w:sz w:val="24"/>
          <w:szCs w:val="24"/>
        </w:rPr>
        <w:t xml:space="preserve">the publication of </w:t>
      </w:r>
      <w:proofErr w:type="spellStart"/>
      <w:r w:rsidR="00100628" w:rsidRPr="00AC4E18">
        <w:rPr>
          <w:rFonts w:ascii="Times New Roman" w:hAnsi="Times New Roman"/>
          <w:sz w:val="24"/>
          <w:szCs w:val="24"/>
        </w:rPr>
        <w:t>RiskMetrics</w:t>
      </w:r>
      <w:r w:rsidR="007E2A25" w:rsidRPr="00C64B33">
        <w:rPr>
          <w:rFonts w:ascii="Times New Roman" w:hAnsi="Times New Roman"/>
          <w:sz w:val="24"/>
          <w:szCs w:val="24"/>
          <w:vertAlign w:val="superscript"/>
        </w:rPr>
        <w:t>TM</w:t>
      </w:r>
      <w:proofErr w:type="spellEnd"/>
      <w:r w:rsidR="00100628" w:rsidRPr="00AC4E18">
        <w:rPr>
          <w:rFonts w:ascii="Times New Roman" w:hAnsi="Times New Roman"/>
          <w:sz w:val="24"/>
          <w:szCs w:val="24"/>
        </w:rPr>
        <w:t xml:space="preserve"> </w:t>
      </w:r>
      <w:r w:rsidR="00F01180">
        <w:rPr>
          <w:rFonts w:ascii="Times New Roman" w:hAnsi="Times New Roman"/>
          <w:sz w:val="24"/>
          <w:szCs w:val="24"/>
        </w:rPr>
        <w:t xml:space="preserve">in </w:t>
      </w:r>
      <w:r w:rsidR="00100628" w:rsidRPr="00AC4E18">
        <w:rPr>
          <w:rFonts w:ascii="Times New Roman" w:hAnsi="Times New Roman"/>
          <w:sz w:val="24"/>
          <w:szCs w:val="24"/>
        </w:rPr>
        <w:t>1994</w:t>
      </w:r>
      <w:r w:rsidR="00073F70">
        <w:rPr>
          <w:rFonts w:ascii="Times New Roman" w:hAnsi="Times New Roman"/>
          <w:sz w:val="24"/>
          <w:szCs w:val="24"/>
        </w:rPr>
        <w:t xml:space="preserve"> (J.P. Morgan, 1994)</w:t>
      </w:r>
      <w:r w:rsidR="00100628">
        <w:rPr>
          <w:rFonts w:ascii="Times New Roman" w:hAnsi="Times New Roman"/>
          <w:sz w:val="24"/>
          <w:szCs w:val="24"/>
        </w:rPr>
        <w:t xml:space="preserve"> marked r</w:t>
      </w:r>
      <w:r w:rsidR="00100628" w:rsidRPr="00AC4E18">
        <w:rPr>
          <w:rFonts w:ascii="Times New Roman" w:hAnsi="Times New Roman"/>
          <w:sz w:val="24"/>
          <w:szCs w:val="24"/>
        </w:rPr>
        <w:t xml:space="preserve">isk management as a </w:t>
      </w:r>
      <w:r w:rsidR="00100628">
        <w:rPr>
          <w:rFonts w:ascii="Times New Roman" w:hAnsi="Times New Roman"/>
          <w:sz w:val="24"/>
          <w:szCs w:val="24"/>
        </w:rPr>
        <w:t xml:space="preserve">separate </w:t>
      </w:r>
      <w:r w:rsidR="00100628" w:rsidRPr="00AC4E18">
        <w:rPr>
          <w:rFonts w:ascii="Times New Roman" w:hAnsi="Times New Roman"/>
          <w:sz w:val="24"/>
          <w:szCs w:val="24"/>
        </w:rPr>
        <w:t>technical discipline</w:t>
      </w:r>
      <w:r w:rsidR="00100628">
        <w:rPr>
          <w:rFonts w:ascii="Times New Roman" w:hAnsi="Times New Roman"/>
          <w:sz w:val="24"/>
          <w:szCs w:val="24"/>
        </w:rPr>
        <w:t xml:space="preserve">, </w:t>
      </w:r>
      <w:r w:rsidR="00100628" w:rsidRPr="00AC4E18">
        <w:rPr>
          <w:rFonts w:ascii="Times New Roman" w:hAnsi="Times New Roman"/>
          <w:sz w:val="24"/>
          <w:szCs w:val="24"/>
        </w:rPr>
        <w:t xml:space="preserve">and </w:t>
      </w:r>
      <w:r w:rsidR="00100628">
        <w:rPr>
          <w:rFonts w:ascii="Times New Roman" w:hAnsi="Times New Roman"/>
          <w:sz w:val="24"/>
          <w:szCs w:val="24"/>
        </w:rPr>
        <w:t xml:space="preserve">therein all of the above mentioned types of ST are referenced.  </w:t>
      </w:r>
      <w:r w:rsidR="002A54CD">
        <w:rPr>
          <w:rFonts w:ascii="Times New Roman" w:hAnsi="Times New Roman"/>
          <w:sz w:val="24"/>
          <w:szCs w:val="24"/>
        </w:rPr>
        <w:t>T</w:t>
      </w:r>
      <w:r w:rsidR="00100628">
        <w:rPr>
          <w:rFonts w:ascii="Times New Roman" w:hAnsi="Times New Roman"/>
          <w:sz w:val="24"/>
          <w:szCs w:val="24"/>
        </w:rPr>
        <w:t>he</w:t>
      </w:r>
      <w:r w:rsidR="00100628" w:rsidRPr="00AC4E18">
        <w:rPr>
          <w:rFonts w:ascii="Times New Roman" w:hAnsi="Times New Roman"/>
          <w:sz w:val="24"/>
          <w:szCs w:val="24"/>
        </w:rPr>
        <w:t xml:space="preserve"> </w:t>
      </w:r>
      <w:r w:rsidR="00100628">
        <w:rPr>
          <w:rFonts w:ascii="Times New Roman" w:hAnsi="Times New Roman"/>
          <w:sz w:val="24"/>
          <w:szCs w:val="24"/>
        </w:rPr>
        <w:t>seminal handbook on</w:t>
      </w:r>
      <w:r w:rsidR="00100628" w:rsidRPr="00AC4E18">
        <w:rPr>
          <w:rFonts w:ascii="Times New Roman" w:hAnsi="Times New Roman"/>
          <w:sz w:val="24"/>
          <w:szCs w:val="24"/>
        </w:rPr>
        <w:t xml:space="preserve"> </w:t>
      </w:r>
      <w:r w:rsidR="00073F70" w:rsidRPr="00073F70">
        <w:rPr>
          <w:rFonts w:ascii="Times New Roman" w:hAnsi="Times New Roman"/>
          <w:i/>
          <w:sz w:val="24"/>
          <w:szCs w:val="24"/>
        </w:rPr>
        <w:t>Value-at-Risk</w:t>
      </w:r>
      <w:r w:rsidR="00073F70">
        <w:rPr>
          <w:rFonts w:ascii="Times New Roman" w:hAnsi="Times New Roman"/>
          <w:sz w:val="24"/>
          <w:szCs w:val="24"/>
        </w:rPr>
        <w:t xml:space="preserve"> (“</w:t>
      </w:r>
      <w:r w:rsidR="00100628" w:rsidRPr="00AC4E18">
        <w:rPr>
          <w:rFonts w:ascii="Times New Roman" w:hAnsi="Times New Roman"/>
          <w:sz w:val="24"/>
          <w:szCs w:val="24"/>
        </w:rPr>
        <w:t>VaR</w:t>
      </w:r>
      <w:r w:rsidR="00073F70">
        <w:rPr>
          <w:rFonts w:ascii="Times New Roman" w:hAnsi="Times New Roman"/>
          <w:sz w:val="24"/>
          <w:szCs w:val="24"/>
        </w:rPr>
        <w:t>”)</w:t>
      </w:r>
      <w:r w:rsidR="00100628">
        <w:rPr>
          <w:rFonts w:ascii="Times New Roman" w:hAnsi="Times New Roman"/>
          <w:sz w:val="24"/>
          <w:szCs w:val="24"/>
        </w:rPr>
        <w:t>,</w:t>
      </w:r>
      <w:r w:rsidR="00100628" w:rsidRPr="00AC4E18">
        <w:rPr>
          <w:rFonts w:ascii="Times New Roman" w:hAnsi="Times New Roman"/>
          <w:sz w:val="24"/>
          <w:szCs w:val="24"/>
        </w:rPr>
        <w:t xml:space="preserve"> </w:t>
      </w:r>
      <w:r w:rsidR="00100628">
        <w:rPr>
          <w:rFonts w:ascii="Times New Roman" w:hAnsi="Times New Roman"/>
          <w:sz w:val="24"/>
          <w:szCs w:val="24"/>
        </w:rPr>
        <w:t>also had a part devoted to the topic of ST</w:t>
      </w:r>
      <w:r w:rsidR="00073F70" w:rsidRPr="00073F70">
        <w:rPr>
          <w:rFonts w:ascii="Times New Roman" w:hAnsi="Times New Roman"/>
        </w:rPr>
        <w:t xml:space="preserve"> </w:t>
      </w:r>
      <w:r w:rsidR="00073F70">
        <w:rPr>
          <w:rFonts w:ascii="Times New Roman" w:hAnsi="Times New Roman"/>
        </w:rPr>
        <w:t>(</w:t>
      </w:r>
      <w:r w:rsidR="00073F70" w:rsidRPr="00073F70">
        <w:rPr>
          <w:rFonts w:ascii="Times New Roman" w:hAnsi="Times New Roman"/>
          <w:sz w:val="24"/>
          <w:szCs w:val="24"/>
        </w:rPr>
        <w:t>Jorion, 1996</w:t>
      </w:r>
      <w:r w:rsidR="00073F70">
        <w:rPr>
          <w:rFonts w:ascii="Times New Roman" w:hAnsi="Times New Roman"/>
          <w:sz w:val="24"/>
          <w:szCs w:val="24"/>
        </w:rPr>
        <w:t>)</w:t>
      </w:r>
      <w:r w:rsidR="00686C7E">
        <w:rPr>
          <w:rFonts w:ascii="Times New Roman" w:hAnsi="Times New Roman"/>
          <w:sz w:val="24"/>
          <w:szCs w:val="24"/>
        </w:rPr>
        <w:t xml:space="preserve">, </w:t>
      </w:r>
      <w:r w:rsidR="002A54CD">
        <w:rPr>
          <w:rFonts w:ascii="Times New Roman" w:hAnsi="Times New Roman"/>
          <w:sz w:val="24"/>
          <w:szCs w:val="24"/>
        </w:rPr>
        <w:t>while other authors</w:t>
      </w:r>
      <w:r w:rsidR="00202CE8" w:rsidRPr="00202CE8">
        <w:rPr>
          <w:rFonts w:ascii="Times New Roman" w:hAnsi="Times New Roman"/>
        </w:rPr>
        <w:t xml:space="preserve"> </w:t>
      </w:r>
      <w:r w:rsidR="00202CE8">
        <w:rPr>
          <w:rFonts w:ascii="Times New Roman" w:hAnsi="Times New Roman"/>
        </w:rPr>
        <w:t>(</w:t>
      </w:r>
      <w:proofErr w:type="spellStart"/>
      <w:r w:rsidR="00202CE8" w:rsidRPr="00202CE8">
        <w:rPr>
          <w:rFonts w:ascii="Times New Roman" w:hAnsi="Times New Roman"/>
          <w:sz w:val="24"/>
          <w:szCs w:val="24"/>
        </w:rPr>
        <w:t>Kupiec</w:t>
      </w:r>
      <w:proofErr w:type="spellEnd"/>
      <w:r w:rsidR="00202CE8">
        <w:rPr>
          <w:rFonts w:ascii="Times New Roman" w:hAnsi="Times New Roman"/>
          <w:sz w:val="24"/>
          <w:szCs w:val="24"/>
        </w:rPr>
        <w:t xml:space="preserve"> (</w:t>
      </w:r>
      <w:r w:rsidR="00202CE8" w:rsidRPr="00202CE8">
        <w:rPr>
          <w:rFonts w:ascii="Times New Roman" w:hAnsi="Times New Roman"/>
          <w:sz w:val="24"/>
          <w:szCs w:val="24"/>
        </w:rPr>
        <w:t>1999</w:t>
      </w:r>
      <w:r w:rsidR="00202CE8">
        <w:rPr>
          <w:rFonts w:ascii="Times New Roman" w:hAnsi="Times New Roman"/>
          <w:sz w:val="24"/>
          <w:szCs w:val="24"/>
        </w:rPr>
        <w:t xml:space="preserve">), </w:t>
      </w:r>
      <w:r w:rsidR="00202CE8" w:rsidRPr="00202CE8">
        <w:rPr>
          <w:rFonts w:ascii="Times New Roman" w:hAnsi="Times New Roman"/>
          <w:sz w:val="24"/>
          <w:szCs w:val="24"/>
        </w:rPr>
        <w:t>Berkowitz</w:t>
      </w:r>
      <w:r w:rsidR="00202CE8">
        <w:rPr>
          <w:rFonts w:ascii="Times New Roman" w:hAnsi="Times New Roman"/>
          <w:sz w:val="24"/>
          <w:szCs w:val="24"/>
        </w:rPr>
        <w:t xml:space="preserve"> </w:t>
      </w:r>
      <w:r w:rsidR="00E955E3">
        <w:rPr>
          <w:rFonts w:ascii="Times New Roman" w:hAnsi="Times New Roman"/>
          <w:sz w:val="24"/>
          <w:szCs w:val="24"/>
        </w:rPr>
        <w:t xml:space="preserve">and Jeremy </w:t>
      </w:r>
      <w:r w:rsidR="00202CE8">
        <w:rPr>
          <w:rFonts w:ascii="Times New Roman" w:hAnsi="Times New Roman"/>
          <w:sz w:val="24"/>
          <w:szCs w:val="24"/>
        </w:rPr>
        <w:t xml:space="preserve">(1999)) </w:t>
      </w:r>
      <w:r w:rsidR="00100628">
        <w:rPr>
          <w:rFonts w:ascii="Times New Roman" w:hAnsi="Times New Roman"/>
          <w:sz w:val="24"/>
          <w:szCs w:val="24"/>
        </w:rPr>
        <w:t xml:space="preserve">provided detailed </w:t>
      </w:r>
      <w:r w:rsidR="00100628" w:rsidRPr="00AC4E18">
        <w:rPr>
          <w:rFonts w:ascii="Times New Roman" w:hAnsi="Times New Roman"/>
          <w:sz w:val="24"/>
          <w:szCs w:val="24"/>
        </w:rPr>
        <w:t xml:space="preserve">discussions of VaR-based </w:t>
      </w:r>
      <w:r>
        <w:rPr>
          <w:rFonts w:ascii="Times New Roman" w:hAnsi="Times New Roman"/>
          <w:sz w:val="24"/>
          <w:szCs w:val="24"/>
        </w:rPr>
        <w:t>stress tests</w:t>
      </w:r>
      <w:r w:rsidR="00100628" w:rsidRPr="00AC4E18">
        <w:rPr>
          <w:rFonts w:ascii="Times New Roman" w:hAnsi="Times New Roman"/>
          <w:sz w:val="24"/>
          <w:szCs w:val="24"/>
        </w:rPr>
        <w:t xml:space="preserve"> </w:t>
      </w:r>
      <w:r w:rsidR="00100628">
        <w:rPr>
          <w:rFonts w:ascii="Times New Roman" w:hAnsi="Times New Roman"/>
          <w:sz w:val="24"/>
          <w:szCs w:val="24"/>
        </w:rPr>
        <w:t xml:space="preserve">as </w:t>
      </w:r>
      <w:r w:rsidR="00100628" w:rsidRPr="00AC4E18">
        <w:rPr>
          <w:rFonts w:ascii="Times New Roman" w:hAnsi="Times New Roman"/>
          <w:sz w:val="24"/>
          <w:szCs w:val="24"/>
        </w:rPr>
        <w:t xml:space="preserve">found largely in the </w:t>
      </w:r>
      <w:r w:rsidR="00100628">
        <w:rPr>
          <w:rFonts w:ascii="Times New Roman" w:hAnsi="Times New Roman"/>
          <w:sz w:val="24"/>
          <w:szCs w:val="24"/>
        </w:rPr>
        <w:t xml:space="preserve">trading and treasury functions.  </w:t>
      </w:r>
      <w:r w:rsidR="00100628" w:rsidRPr="00AC4E18">
        <w:rPr>
          <w:rFonts w:ascii="Times New Roman" w:hAnsi="Times New Roman"/>
          <w:sz w:val="24"/>
          <w:szCs w:val="24"/>
        </w:rPr>
        <w:t xml:space="preserve">The </w:t>
      </w:r>
      <w:r w:rsidR="00100628" w:rsidRPr="00581769">
        <w:rPr>
          <w:rFonts w:ascii="Times New Roman" w:hAnsi="Times New Roman"/>
          <w:i/>
          <w:sz w:val="24"/>
          <w:szCs w:val="24"/>
        </w:rPr>
        <w:t>Committee on Global Financial Systems</w:t>
      </w:r>
      <w:r w:rsidR="00100628" w:rsidRPr="00AC4E18">
        <w:rPr>
          <w:rFonts w:ascii="Times New Roman" w:hAnsi="Times New Roman"/>
          <w:sz w:val="24"/>
          <w:szCs w:val="24"/>
        </w:rPr>
        <w:t xml:space="preserve"> (</w:t>
      </w:r>
      <w:r w:rsidR="00100628">
        <w:rPr>
          <w:rFonts w:ascii="Times New Roman" w:hAnsi="Times New Roman"/>
          <w:sz w:val="24"/>
          <w:szCs w:val="24"/>
        </w:rPr>
        <w:t>“</w:t>
      </w:r>
      <w:r w:rsidR="00100628" w:rsidRPr="00AC4E18">
        <w:rPr>
          <w:rFonts w:ascii="Times New Roman" w:hAnsi="Times New Roman"/>
          <w:sz w:val="24"/>
          <w:szCs w:val="24"/>
        </w:rPr>
        <w:t>CGFS</w:t>
      </w:r>
      <w:r w:rsidR="00100628">
        <w:rPr>
          <w:rFonts w:ascii="Times New Roman" w:hAnsi="Times New Roman"/>
          <w:sz w:val="24"/>
          <w:szCs w:val="24"/>
        </w:rPr>
        <w:t>”</w:t>
      </w:r>
      <w:r w:rsidR="00100628" w:rsidRPr="00AC4E18">
        <w:rPr>
          <w:rFonts w:ascii="Times New Roman" w:hAnsi="Times New Roman"/>
          <w:sz w:val="24"/>
          <w:szCs w:val="24"/>
        </w:rPr>
        <w:t>) conducted a survey on stress testing in 2000</w:t>
      </w:r>
      <w:r w:rsidR="00100628">
        <w:rPr>
          <w:rFonts w:ascii="Times New Roman" w:hAnsi="Times New Roman"/>
          <w:sz w:val="24"/>
          <w:szCs w:val="24"/>
        </w:rPr>
        <w:t xml:space="preserve"> that had similar finding</w:t>
      </w:r>
      <w:r w:rsidR="0019044C">
        <w:rPr>
          <w:rFonts w:ascii="Times New Roman" w:hAnsi="Times New Roman"/>
          <w:sz w:val="24"/>
          <w:szCs w:val="24"/>
        </w:rPr>
        <w:t>s (CGFS, 2000)</w:t>
      </w:r>
      <w:r w:rsidR="0034290E">
        <w:rPr>
          <w:rFonts w:ascii="Times New Roman" w:hAnsi="Times New Roman"/>
          <w:sz w:val="24"/>
          <w:szCs w:val="24"/>
        </w:rPr>
        <w:t xml:space="preserve">.  </w:t>
      </w:r>
      <w:r w:rsidR="001464C2">
        <w:rPr>
          <w:rFonts w:ascii="Times New Roman" w:hAnsi="Times New Roman"/>
          <w:sz w:val="24"/>
          <w:szCs w:val="24"/>
        </w:rPr>
        <w:t>Another study</w:t>
      </w:r>
      <w:r w:rsidR="00100628" w:rsidRPr="00AC4E18">
        <w:rPr>
          <w:rFonts w:ascii="Times New Roman" w:hAnsi="Times New Roman"/>
          <w:sz w:val="24"/>
          <w:szCs w:val="24"/>
        </w:rPr>
        <w:t xml:space="preserve"> </w:t>
      </w:r>
      <w:r w:rsidR="00100628">
        <w:rPr>
          <w:rFonts w:ascii="Times New Roman" w:hAnsi="Times New Roman"/>
          <w:sz w:val="24"/>
          <w:szCs w:val="24"/>
        </w:rPr>
        <w:t xml:space="preserve">highlighted that the majority of the </w:t>
      </w:r>
      <w:r>
        <w:rPr>
          <w:rFonts w:ascii="Times New Roman" w:hAnsi="Times New Roman"/>
          <w:sz w:val="24"/>
          <w:szCs w:val="24"/>
        </w:rPr>
        <w:t>stress testing</w:t>
      </w:r>
      <w:r w:rsidR="00100628">
        <w:rPr>
          <w:rFonts w:ascii="Times New Roman" w:hAnsi="Times New Roman"/>
          <w:sz w:val="24"/>
          <w:szCs w:val="24"/>
        </w:rPr>
        <w:t xml:space="preserve"> exercises performed to date were shocks to market observables based upon historical events, which have the advantage of </w:t>
      </w:r>
      <w:r w:rsidR="00100628" w:rsidRPr="00AC4E18">
        <w:rPr>
          <w:rFonts w:ascii="Times New Roman" w:hAnsi="Times New Roman"/>
          <w:sz w:val="24"/>
          <w:szCs w:val="24"/>
        </w:rPr>
        <w:t xml:space="preserve">being </w:t>
      </w:r>
      <w:r w:rsidR="00100628">
        <w:rPr>
          <w:rFonts w:ascii="Times New Roman" w:hAnsi="Times New Roman"/>
          <w:sz w:val="24"/>
          <w:szCs w:val="24"/>
        </w:rPr>
        <w:t>well-</w:t>
      </w:r>
      <w:r w:rsidR="00100628" w:rsidRPr="00AC4E18">
        <w:rPr>
          <w:rFonts w:ascii="Times New Roman" w:hAnsi="Times New Roman"/>
          <w:sz w:val="24"/>
          <w:szCs w:val="24"/>
        </w:rPr>
        <w:t>defined</w:t>
      </w:r>
      <w:r w:rsidR="00100628">
        <w:rPr>
          <w:rFonts w:ascii="Times New Roman" w:hAnsi="Times New Roman"/>
          <w:sz w:val="24"/>
          <w:szCs w:val="24"/>
        </w:rPr>
        <w:t xml:space="preserve"> and easy to understand, especially when dealing with</w:t>
      </w:r>
      <w:r w:rsidR="00100628" w:rsidRPr="00AC4E18">
        <w:rPr>
          <w:rFonts w:ascii="Times New Roman" w:hAnsi="Times New Roman"/>
          <w:sz w:val="24"/>
          <w:szCs w:val="24"/>
        </w:rPr>
        <w:t xml:space="preserve"> </w:t>
      </w:r>
      <w:r w:rsidR="00100628">
        <w:rPr>
          <w:rFonts w:ascii="Times New Roman" w:hAnsi="Times New Roman"/>
          <w:sz w:val="24"/>
          <w:szCs w:val="24"/>
        </w:rPr>
        <w:t xml:space="preserve">the trading book constituted of marketable </w:t>
      </w:r>
      <w:r w:rsidR="00100628" w:rsidRPr="00AC4E18">
        <w:rPr>
          <w:rFonts w:ascii="Times New Roman" w:hAnsi="Times New Roman"/>
          <w:sz w:val="24"/>
          <w:szCs w:val="24"/>
        </w:rPr>
        <w:t>asset</w:t>
      </w:r>
      <w:r w:rsidR="00100628">
        <w:rPr>
          <w:rFonts w:ascii="Times New Roman" w:hAnsi="Times New Roman"/>
          <w:sz w:val="24"/>
          <w:szCs w:val="24"/>
        </w:rPr>
        <w:t xml:space="preserve"> classes</w:t>
      </w:r>
      <w:r w:rsidR="0084410B" w:rsidRPr="0084410B">
        <w:rPr>
          <w:rFonts w:ascii="Times New Roman" w:hAnsi="Times New Roman"/>
        </w:rPr>
        <w:t xml:space="preserve"> </w:t>
      </w:r>
      <w:r w:rsidR="0084410B">
        <w:rPr>
          <w:rFonts w:ascii="Times New Roman" w:hAnsi="Times New Roman"/>
        </w:rPr>
        <w:t>(</w:t>
      </w:r>
      <w:proofErr w:type="spellStart"/>
      <w:r w:rsidR="0084410B" w:rsidRPr="0084410B">
        <w:rPr>
          <w:rFonts w:ascii="Times New Roman" w:hAnsi="Times New Roman"/>
          <w:sz w:val="24"/>
          <w:szCs w:val="24"/>
        </w:rPr>
        <w:t>Mosser</w:t>
      </w:r>
      <w:proofErr w:type="spellEnd"/>
      <w:r w:rsidR="0084410B">
        <w:rPr>
          <w:rFonts w:ascii="Times New Roman" w:hAnsi="Times New Roman"/>
          <w:sz w:val="24"/>
          <w:szCs w:val="24"/>
        </w:rPr>
        <w:t xml:space="preserve"> et al</w:t>
      </w:r>
      <w:r w:rsidR="0084410B" w:rsidRPr="0084410B">
        <w:rPr>
          <w:rFonts w:ascii="Times New Roman" w:hAnsi="Times New Roman"/>
          <w:sz w:val="24"/>
          <w:szCs w:val="24"/>
        </w:rPr>
        <w:t>, 2001</w:t>
      </w:r>
      <w:r w:rsidR="0084410B">
        <w:rPr>
          <w:rFonts w:ascii="Times New Roman" w:hAnsi="Times New Roman"/>
          <w:sz w:val="24"/>
          <w:szCs w:val="24"/>
        </w:rPr>
        <w:t>)</w:t>
      </w:r>
      <w:r w:rsidR="00100628" w:rsidRPr="00AC4E18">
        <w:rPr>
          <w:rFonts w:ascii="Times New Roman" w:hAnsi="Times New Roman"/>
          <w:sz w:val="24"/>
          <w:szCs w:val="24"/>
        </w:rPr>
        <w:t xml:space="preserve">. </w:t>
      </w:r>
    </w:p>
    <w:p w:rsidR="00641451" w:rsidRDefault="00100628" w:rsidP="00100628">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However, in the case of the </w:t>
      </w:r>
      <w:r w:rsidRPr="00AC4E18">
        <w:rPr>
          <w:rFonts w:ascii="Times New Roman" w:hAnsi="Times New Roman"/>
          <w:sz w:val="24"/>
          <w:szCs w:val="24"/>
        </w:rPr>
        <w:t xml:space="preserve">banking </w:t>
      </w:r>
      <w:r>
        <w:rPr>
          <w:rFonts w:ascii="Times New Roman" w:hAnsi="Times New Roman"/>
          <w:sz w:val="24"/>
          <w:szCs w:val="24"/>
        </w:rPr>
        <w:t>book (e.g.,</w:t>
      </w:r>
      <w:r w:rsidRPr="00AC4E18">
        <w:rPr>
          <w:rFonts w:ascii="Times New Roman" w:hAnsi="Times New Roman"/>
          <w:sz w:val="24"/>
          <w:szCs w:val="24"/>
        </w:rPr>
        <w:t xml:space="preserve"> corporate</w:t>
      </w:r>
      <w:r>
        <w:rPr>
          <w:rFonts w:ascii="Times New Roman" w:hAnsi="Times New Roman"/>
          <w:sz w:val="24"/>
          <w:szCs w:val="24"/>
        </w:rPr>
        <w:t xml:space="preserve"> / C&amp;I</w:t>
      </w:r>
      <w:r w:rsidRPr="00AC4E18">
        <w:rPr>
          <w:rFonts w:ascii="Times New Roman" w:hAnsi="Times New Roman"/>
          <w:sz w:val="24"/>
          <w:szCs w:val="24"/>
        </w:rPr>
        <w:t xml:space="preserve"> </w:t>
      </w:r>
      <w:r>
        <w:rPr>
          <w:rFonts w:ascii="Times New Roman" w:hAnsi="Times New Roman"/>
          <w:sz w:val="24"/>
          <w:szCs w:val="24"/>
        </w:rPr>
        <w:t>or</w:t>
      </w:r>
      <w:r w:rsidRPr="00AC4E18">
        <w:rPr>
          <w:rFonts w:ascii="Times New Roman" w:hAnsi="Times New Roman"/>
          <w:sz w:val="24"/>
          <w:szCs w:val="24"/>
        </w:rPr>
        <w:t xml:space="preserve"> consumer loans), </w:t>
      </w:r>
      <w:r w:rsidR="00F41450">
        <w:rPr>
          <w:rFonts w:ascii="Times New Roman" w:hAnsi="Times New Roman"/>
          <w:sz w:val="24"/>
          <w:szCs w:val="24"/>
        </w:rPr>
        <w:t>this</w:t>
      </w:r>
      <w:r w:rsidRPr="00AC4E18">
        <w:rPr>
          <w:rFonts w:ascii="Times New Roman" w:hAnsi="Times New Roman"/>
          <w:sz w:val="24"/>
          <w:szCs w:val="24"/>
        </w:rPr>
        <w:t xml:space="preserve"> approach</w:t>
      </w:r>
      <w:r w:rsidR="00F41450">
        <w:rPr>
          <w:rFonts w:ascii="Times New Roman" w:hAnsi="Times New Roman"/>
          <w:sz w:val="24"/>
          <w:szCs w:val="24"/>
        </w:rPr>
        <w:t xml:space="preserve"> of asset class shocks</w:t>
      </w:r>
      <w:r>
        <w:rPr>
          <w:rFonts w:ascii="Times New Roman" w:hAnsi="Times New Roman"/>
          <w:sz w:val="24"/>
          <w:szCs w:val="24"/>
        </w:rPr>
        <w:t xml:space="preserve"> does not carry over </w:t>
      </w:r>
      <w:r w:rsidR="00BE0A5C">
        <w:rPr>
          <w:rFonts w:ascii="Times New Roman" w:hAnsi="Times New Roman"/>
          <w:sz w:val="24"/>
          <w:szCs w:val="24"/>
        </w:rPr>
        <w:t xml:space="preserve">as </w:t>
      </w:r>
      <w:r>
        <w:rPr>
          <w:rFonts w:ascii="Times New Roman" w:hAnsi="Times New Roman"/>
          <w:sz w:val="24"/>
          <w:szCs w:val="24"/>
        </w:rPr>
        <w:t>well</w:t>
      </w:r>
      <w:r w:rsidR="00BE0A5C">
        <w:rPr>
          <w:rFonts w:ascii="Times New Roman" w:hAnsi="Times New Roman"/>
          <w:sz w:val="24"/>
          <w:szCs w:val="24"/>
        </w:rPr>
        <w:t xml:space="preserve">, as to the extent these are less marketable there are more </w:t>
      </w:r>
      <w:proofErr w:type="spellStart"/>
      <w:r w:rsidR="00BE0A5C">
        <w:rPr>
          <w:rFonts w:ascii="Times New Roman" w:hAnsi="Times New Roman"/>
          <w:sz w:val="24"/>
          <w:szCs w:val="24"/>
        </w:rPr>
        <w:t>idio</w:t>
      </w:r>
      <w:r w:rsidR="00FB0358">
        <w:rPr>
          <w:rFonts w:ascii="Times New Roman" w:hAnsi="Times New Roman"/>
          <w:sz w:val="24"/>
          <w:szCs w:val="24"/>
        </w:rPr>
        <w:t>syncracies</w:t>
      </w:r>
      <w:proofErr w:type="spellEnd"/>
      <w:r w:rsidR="00FB0358">
        <w:rPr>
          <w:rFonts w:ascii="Times New Roman" w:hAnsi="Times New Roman"/>
          <w:sz w:val="24"/>
          <w:szCs w:val="24"/>
        </w:rPr>
        <w:t xml:space="preserve"> to account for</w:t>
      </w:r>
      <w:r w:rsidRPr="00AC4E18">
        <w:rPr>
          <w:rFonts w:ascii="Times New Roman" w:hAnsi="Times New Roman"/>
          <w:sz w:val="24"/>
          <w:szCs w:val="24"/>
        </w:rPr>
        <w:t>.</w:t>
      </w:r>
      <w:r>
        <w:rPr>
          <w:rFonts w:ascii="Times New Roman" w:hAnsi="Times New Roman"/>
          <w:sz w:val="24"/>
          <w:szCs w:val="24"/>
        </w:rPr>
        <w:t xml:space="preserve">  Therefore</w:t>
      </w:r>
      <w:r w:rsidR="00F41450">
        <w:rPr>
          <w:rFonts w:ascii="Times New Roman" w:hAnsi="Times New Roman"/>
          <w:sz w:val="24"/>
          <w:szCs w:val="24"/>
        </w:rPr>
        <w:t>,</w:t>
      </w:r>
      <w:r>
        <w:rPr>
          <w:rFonts w:ascii="Times New Roman" w:hAnsi="Times New Roman"/>
          <w:sz w:val="24"/>
          <w:szCs w:val="24"/>
        </w:rPr>
        <w:t xml:space="preserve"> </w:t>
      </w:r>
      <w:r w:rsidR="00F41450">
        <w:rPr>
          <w:rFonts w:ascii="Times New Roman" w:hAnsi="Times New Roman"/>
          <w:sz w:val="24"/>
          <w:szCs w:val="24"/>
        </w:rPr>
        <w:t>stress testing</w:t>
      </w:r>
      <w:r>
        <w:rPr>
          <w:rFonts w:ascii="Times New Roman" w:hAnsi="Times New Roman"/>
          <w:sz w:val="24"/>
          <w:szCs w:val="24"/>
        </w:rPr>
        <w:t xml:space="preserve"> with respect to credit risk has evolved later and as a separate discipline in the domain </w:t>
      </w:r>
      <w:r w:rsidRPr="00AC4E18">
        <w:rPr>
          <w:rFonts w:ascii="Times New Roman" w:hAnsi="Times New Roman"/>
          <w:sz w:val="24"/>
          <w:szCs w:val="24"/>
        </w:rPr>
        <w:t>of credit portfolio model</w:t>
      </w:r>
      <w:r>
        <w:rPr>
          <w:rFonts w:ascii="Times New Roman" w:hAnsi="Times New Roman"/>
          <w:sz w:val="24"/>
          <w:szCs w:val="24"/>
        </w:rPr>
        <w:t>ing.  However, even in the seminal example</w:t>
      </w:r>
      <w:r w:rsidR="00BF3B1F">
        <w:rPr>
          <w:rFonts w:ascii="Times New Roman" w:hAnsi="Times New Roman"/>
          <w:sz w:val="24"/>
          <w:szCs w:val="24"/>
        </w:rPr>
        <w:t>s</w:t>
      </w:r>
      <w:r>
        <w:rPr>
          <w:rFonts w:ascii="Times New Roman" w:hAnsi="Times New Roman"/>
          <w:sz w:val="24"/>
          <w:szCs w:val="24"/>
        </w:rPr>
        <w:t xml:space="preserve"> of </w:t>
      </w:r>
      <w:proofErr w:type="spellStart"/>
      <w:r w:rsidRPr="00AC4E18">
        <w:rPr>
          <w:rFonts w:ascii="Times New Roman" w:hAnsi="Times New Roman"/>
          <w:sz w:val="24"/>
          <w:szCs w:val="24"/>
        </w:rPr>
        <w:t>CreditMetrics</w:t>
      </w:r>
      <w:r w:rsidR="00C53E9E" w:rsidRPr="00C64B33">
        <w:rPr>
          <w:rFonts w:ascii="Times New Roman" w:hAnsi="Times New Roman"/>
          <w:sz w:val="24"/>
          <w:szCs w:val="24"/>
          <w:vertAlign w:val="superscript"/>
        </w:rPr>
        <w:t>TM</w:t>
      </w:r>
      <w:proofErr w:type="spellEnd"/>
      <w:r w:rsidR="00BF3B1F" w:rsidRPr="00BF3B1F">
        <w:rPr>
          <w:rFonts w:ascii="Times New Roman" w:hAnsi="Times New Roman"/>
        </w:rPr>
        <w:t xml:space="preserve"> </w:t>
      </w:r>
      <w:r w:rsidR="00BF3B1F">
        <w:rPr>
          <w:rFonts w:ascii="Times New Roman" w:hAnsi="Times New Roman"/>
        </w:rPr>
        <w:t>(</w:t>
      </w:r>
      <w:r w:rsidR="00BF3B1F" w:rsidRPr="00BF3B1F">
        <w:rPr>
          <w:rFonts w:ascii="Times New Roman" w:hAnsi="Times New Roman"/>
          <w:sz w:val="24"/>
          <w:szCs w:val="24"/>
        </w:rPr>
        <w:t>J.P. Morgan, 1997</w:t>
      </w:r>
      <w:r w:rsidR="00BF3B1F">
        <w:rPr>
          <w:rFonts w:ascii="Times New Roman" w:hAnsi="Times New Roman"/>
          <w:sz w:val="24"/>
          <w:szCs w:val="24"/>
        </w:rPr>
        <w:t xml:space="preserve">) </w:t>
      </w:r>
      <w:r>
        <w:rPr>
          <w:rFonts w:ascii="Times New Roman" w:hAnsi="Times New Roman"/>
          <w:sz w:val="24"/>
          <w:szCs w:val="24"/>
        </w:rPr>
        <w:t>and</w:t>
      </w:r>
      <w:r w:rsidRPr="00AC4E18">
        <w:rPr>
          <w:rFonts w:ascii="Times New Roman" w:hAnsi="Times New Roman"/>
          <w:sz w:val="24"/>
          <w:szCs w:val="24"/>
        </w:rPr>
        <w:t xml:space="preserve"> </w:t>
      </w:r>
      <w:proofErr w:type="spellStart"/>
      <w:r w:rsidRPr="00AC4E18">
        <w:rPr>
          <w:rFonts w:ascii="Times New Roman" w:hAnsi="Times New Roman"/>
          <w:sz w:val="24"/>
          <w:szCs w:val="24"/>
        </w:rPr>
        <w:t>CreditRisk+</w:t>
      </w:r>
      <w:r w:rsidR="00C53E9E" w:rsidRPr="00E65116">
        <w:rPr>
          <w:rFonts w:ascii="Times New Roman" w:hAnsi="Times New Roman"/>
          <w:sz w:val="24"/>
          <w:szCs w:val="24"/>
          <w:vertAlign w:val="superscript"/>
        </w:rPr>
        <w:t>TM</w:t>
      </w:r>
      <w:proofErr w:type="spellEnd"/>
      <w:r w:rsidR="00BF3B1F" w:rsidRPr="00BF3B1F">
        <w:rPr>
          <w:rFonts w:ascii="Times New Roman" w:hAnsi="Times New Roman"/>
          <w:sz w:val="24"/>
          <w:szCs w:val="24"/>
        </w:rPr>
        <w:t xml:space="preserve"> </w:t>
      </w:r>
      <w:r w:rsidR="00BF3B1F">
        <w:rPr>
          <w:rFonts w:ascii="Times New Roman" w:hAnsi="Times New Roman"/>
          <w:sz w:val="24"/>
          <w:szCs w:val="24"/>
        </w:rPr>
        <w:t>(</w:t>
      </w:r>
      <w:r w:rsidR="00BF3B1F" w:rsidRPr="00036131">
        <w:rPr>
          <w:rFonts w:ascii="Times New Roman" w:hAnsi="Times New Roman"/>
          <w:sz w:val="24"/>
          <w:szCs w:val="24"/>
        </w:rPr>
        <w:t xml:space="preserve">Wilde, </w:t>
      </w:r>
      <w:r w:rsidR="00432DBD">
        <w:rPr>
          <w:rFonts w:ascii="Times New Roman" w:hAnsi="Times New Roman"/>
          <w:sz w:val="24"/>
          <w:szCs w:val="24"/>
        </w:rPr>
        <w:t>1997</w:t>
      </w:r>
      <w:r w:rsidR="00BF3B1F">
        <w:rPr>
          <w:rFonts w:ascii="Times New Roman" w:hAnsi="Times New Roman"/>
          <w:sz w:val="24"/>
          <w:szCs w:val="24"/>
        </w:rPr>
        <w:t>)</w:t>
      </w:r>
      <w:r>
        <w:rPr>
          <w:rFonts w:ascii="Times New Roman" w:hAnsi="Times New Roman"/>
          <w:sz w:val="24"/>
          <w:szCs w:val="24"/>
        </w:rPr>
        <w:t xml:space="preserve">, </w:t>
      </w:r>
      <w:r w:rsidR="00BF3B1F">
        <w:rPr>
          <w:rFonts w:ascii="Times New Roman" w:hAnsi="Times New Roman"/>
          <w:sz w:val="24"/>
          <w:szCs w:val="24"/>
        </w:rPr>
        <w:t>ST</w:t>
      </w:r>
      <w:r>
        <w:rPr>
          <w:rFonts w:ascii="Times New Roman" w:hAnsi="Times New Roman"/>
          <w:sz w:val="24"/>
          <w:szCs w:val="24"/>
        </w:rPr>
        <w:t xml:space="preserve"> was not a component of such models.  </w:t>
      </w:r>
      <w:r w:rsidR="00641451">
        <w:rPr>
          <w:rFonts w:ascii="Times New Roman" w:hAnsi="Times New Roman"/>
          <w:sz w:val="24"/>
          <w:szCs w:val="24"/>
        </w:rPr>
        <w:t>T</w:t>
      </w:r>
      <w:r>
        <w:rPr>
          <w:rFonts w:ascii="Times New Roman" w:hAnsi="Times New Roman"/>
          <w:sz w:val="24"/>
          <w:szCs w:val="24"/>
        </w:rPr>
        <w:t>he commonality of all</w:t>
      </w:r>
      <w:r w:rsidRPr="00AC4E18">
        <w:rPr>
          <w:rFonts w:ascii="Times New Roman" w:hAnsi="Times New Roman"/>
          <w:sz w:val="24"/>
          <w:szCs w:val="24"/>
        </w:rPr>
        <w:t xml:space="preserve"> </w:t>
      </w:r>
      <w:r>
        <w:rPr>
          <w:rFonts w:ascii="Times New Roman" w:hAnsi="Times New Roman"/>
          <w:sz w:val="24"/>
          <w:szCs w:val="24"/>
        </w:rPr>
        <w:t>such</w:t>
      </w:r>
      <w:r w:rsidRPr="00AC4E18">
        <w:rPr>
          <w:rFonts w:ascii="Times New Roman" w:hAnsi="Times New Roman"/>
          <w:sz w:val="24"/>
          <w:szCs w:val="24"/>
        </w:rPr>
        <w:t xml:space="preserve"> credit portfolio models</w:t>
      </w:r>
      <w:r w:rsidR="00641451">
        <w:rPr>
          <w:rFonts w:ascii="Times New Roman" w:hAnsi="Times New Roman"/>
          <w:sz w:val="24"/>
          <w:szCs w:val="24"/>
        </w:rPr>
        <w:t xml:space="preserve"> was</w:t>
      </w:r>
      <w:r w:rsidR="00641451" w:rsidRPr="00AC4E18">
        <w:rPr>
          <w:rFonts w:ascii="Times New Roman" w:hAnsi="Times New Roman"/>
          <w:sz w:val="24"/>
          <w:szCs w:val="24"/>
        </w:rPr>
        <w:t xml:space="preserve"> </w:t>
      </w:r>
      <w:r w:rsidR="00641451">
        <w:rPr>
          <w:rFonts w:ascii="Times New Roman" w:hAnsi="Times New Roman"/>
          <w:sz w:val="24"/>
          <w:szCs w:val="24"/>
        </w:rPr>
        <w:t>subsequently demonstrated</w:t>
      </w:r>
      <w:r w:rsidR="00BF3B1F">
        <w:rPr>
          <w:rFonts w:ascii="Times New Roman" w:hAnsi="Times New Roman"/>
          <w:sz w:val="24"/>
          <w:szCs w:val="24"/>
        </w:rPr>
        <w:t xml:space="preserve"> (</w:t>
      </w:r>
      <w:proofErr w:type="spellStart"/>
      <w:r w:rsidR="00BF3B1F" w:rsidRPr="00BF3B1F">
        <w:rPr>
          <w:rFonts w:ascii="Times New Roman" w:hAnsi="Times New Roman"/>
          <w:sz w:val="24"/>
          <w:szCs w:val="24"/>
        </w:rPr>
        <w:t>Koyluoglu</w:t>
      </w:r>
      <w:proofErr w:type="spellEnd"/>
      <w:r w:rsidR="00BF3B1F" w:rsidRPr="00BF3B1F">
        <w:rPr>
          <w:rFonts w:ascii="Times New Roman" w:hAnsi="Times New Roman"/>
          <w:sz w:val="24"/>
          <w:szCs w:val="24"/>
        </w:rPr>
        <w:t xml:space="preserve"> and Hickman, 1998</w:t>
      </w:r>
      <w:r w:rsidR="00BF3B1F">
        <w:rPr>
          <w:rFonts w:ascii="Times New Roman" w:hAnsi="Times New Roman"/>
          <w:sz w:val="24"/>
          <w:szCs w:val="24"/>
        </w:rPr>
        <w:t>)</w:t>
      </w:r>
      <w:r>
        <w:rPr>
          <w:rFonts w:ascii="Times New Roman" w:hAnsi="Times New Roman"/>
          <w:sz w:val="24"/>
          <w:szCs w:val="24"/>
        </w:rPr>
        <w:t>,</w:t>
      </w:r>
      <w:r w:rsidR="006A6905">
        <w:rPr>
          <w:rFonts w:ascii="Times New Roman" w:hAnsi="Times New Roman"/>
          <w:sz w:val="24"/>
          <w:szCs w:val="24"/>
        </w:rPr>
        <w:t xml:space="preserve"> as well as the</w:t>
      </w:r>
      <w:r>
        <w:rPr>
          <w:rFonts w:ascii="Times New Roman" w:hAnsi="Times New Roman"/>
          <w:sz w:val="24"/>
          <w:szCs w:val="24"/>
        </w:rPr>
        <w:t xml:space="preserve"> correspondence between the state of the economy and the </w:t>
      </w:r>
      <w:r w:rsidRPr="00AC4E18">
        <w:rPr>
          <w:rFonts w:ascii="Times New Roman" w:hAnsi="Times New Roman"/>
          <w:sz w:val="24"/>
          <w:szCs w:val="24"/>
        </w:rPr>
        <w:t xml:space="preserve">credit loss distribution, and </w:t>
      </w:r>
      <w:r>
        <w:rPr>
          <w:rFonts w:ascii="Times New Roman" w:hAnsi="Times New Roman"/>
          <w:sz w:val="24"/>
          <w:szCs w:val="24"/>
        </w:rPr>
        <w:t xml:space="preserve">therefore that this framework is naturally amenable to </w:t>
      </w:r>
      <w:r w:rsidR="006A6905">
        <w:rPr>
          <w:rFonts w:ascii="Times New Roman" w:hAnsi="Times New Roman"/>
          <w:sz w:val="24"/>
          <w:szCs w:val="24"/>
        </w:rPr>
        <w:t>stress testing</w:t>
      </w:r>
      <w:r>
        <w:rPr>
          <w:rFonts w:ascii="Times New Roman" w:hAnsi="Times New Roman"/>
          <w:sz w:val="24"/>
          <w:szCs w:val="24"/>
        </w:rPr>
        <w:t>.  In this spirit</w:t>
      </w:r>
      <w:r w:rsidR="00641451">
        <w:rPr>
          <w:rFonts w:ascii="Times New Roman" w:hAnsi="Times New Roman"/>
          <w:sz w:val="24"/>
          <w:szCs w:val="24"/>
        </w:rPr>
        <w:t>, a class of models</w:t>
      </w:r>
      <w:r>
        <w:rPr>
          <w:rFonts w:ascii="Times New Roman" w:hAnsi="Times New Roman"/>
          <w:sz w:val="24"/>
          <w:szCs w:val="24"/>
        </w:rPr>
        <w:t xml:space="preserve"> </w:t>
      </w:r>
      <w:r w:rsidR="00641451">
        <w:rPr>
          <w:rFonts w:ascii="Times New Roman" w:hAnsi="Times New Roman"/>
          <w:sz w:val="24"/>
          <w:szCs w:val="24"/>
        </w:rPr>
        <w:t xml:space="preserve">was </w:t>
      </w:r>
      <w:r>
        <w:rPr>
          <w:rFonts w:ascii="Times New Roman" w:hAnsi="Times New Roman"/>
          <w:sz w:val="24"/>
          <w:szCs w:val="24"/>
        </w:rPr>
        <w:t>buil</w:t>
      </w:r>
      <w:r w:rsidR="00641451">
        <w:rPr>
          <w:rFonts w:ascii="Times New Roman" w:hAnsi="Times New Roman"/>
          <w:sz w:val="24"/>
          <w:szCs w:val="24"/>
        </w:rPr>
        <w:t>t</w:t>
      </w:r>
      <w:r>
        <w:rPr>
          <w:rFonts w:ascii="Times New Roman" w:hAnsi="Times New Roman"/>
          <w:sz w:val="24"/>
          <w:szCs w:val="24"/>
        </w:rPr>
        <w:t xml:space="preserve"> upon</w:t>
      </w:r>
      <w:r w:rsidRPr="00AC4E18">
        <w:rPr>
          <w:rFonts w:ascii="Times New Roman" w:hAnsi="Times New Roman"/>
          <w:sz w:val="24"/>
          <w:szCs w:val="24"/>
        </w:rPr>
        <w:t xml:space="preserve"> the </w:t>
      </w:r>
      <w:proofErr w:type="spellStart"/>
      <w:r w:rsidRPr="00AC4E18">
        <w:rPr>
          <w:rFonts w:ascii="Times New Roman" w:hAnsi="Times New Roman"/>
          <w:sz w:val="24"/>
          <w:szCs w:val="24"/>
        </w:rPr>
        <w:t>CreditMetrics</w:t>
      </w:r>
      <w:r w:rsidR="00C53E9E" w:rsidRPr="00E65116">
        <w:rPr>
          <w:rFonts w:ascii="Times New Roman" w:hAnsi="Times New Roman"/>
          <w:sz w:val="24"/>
          <w:szCs w:val="24"/>
          <w:vertAlign w:val="superscript"/>
        </w:rPr>
        <w:t>TM</w:t>
      </w:r>
      <w:proofErr w:type="spellEnd"/>
      <w:r w:rsidRPr="00AC4E18">
        <w:rPr>
          <w:rFonts w:ascii="Times New Roman" w:hAnsi="Times New Roman"/>
          <w:sz w:val="24"/>
          <w:szCs w:val="24"/>
        </w:rPr>
        <w:t xml:space="preserve"> </w:t>
      </w:r>
      <w:r w:rsidR="00D312A3" w:rsidRPr="00D312A3">
        <w:rPr>
          <w:rFonts w:ascii="Times New Roman" w:hAnsi="Times New Roman"/>
          <w:sz w:val="24"/>
          <w:szCs w:val="24"/>
        </w:rPr>
        <w:t>(J.P. Morgan, 1997)</w:t>
      </w:r>
      <w:r w:rsidR="00D312A3">
        <w:rPr>
          <w:rFonts w:ascii="Times New Roman" w:hAnsi="Times New Roman"/>
          <w:sz w:val="24"/>
          <w:szCs w:val="24"/>
        </w:rPr>
        <w:t xml:space="preserve"> </w:t>
      </w:r>
      <w:r w:rsidRPr="00AC4E18">
        <w:rPr>
          <w:rFonts w:ascii="Times New Roman" w:hAnsi="Times New Roman"/>
          <w:sz w:val="24"/>
          <w:szCs w:val="24"/>
        </w:rPr>
        <w:t>framework</w:t>
      </w:r>
      <w:r>
        <w:rPr>
          <w:rFonts w:ascii="Times New Roman" w:hAnsi="Times New Roman"/>
          <w:sz w:val="24"/>
          <w:szCs w:val="24"/>
        </w:rPr>
        <w:t xml:space="preserve"> through</w:t>
      </w:r>
      <w:r w:rsidRPr="00AC4E18">
        <w:rPr>
          <w:rFonts w:ascii="Times New Roman" w:hAnsi="Times New Roman"/>
          <w:sz w:val="24"/>
          <w:szCs w:val="24"/>
        </w:rPr>
        <w:t xml:space="preserve"> macroeconomic </w:t>
      </w:r>
      <w:r w:rsidR="006A6905">
        <w:rPr>
          <w:rFonts w:ascii="Times New Roman" w:hAnsi="Times New Roman"/>
          <w:sz w:val="24"/>
          <w:szCs w:val="24"/>
        </w:rPr>
        <w:t>stress testing</w:t>
      </w:r>
      <w:r w:rsidRPr="00AC4E18">
        <w:rPr>
          <w:rFonts w:ascii="Times New Roman" w:hAnsi="Times New Roman"/>
          <w:sz w:val="24"/>
          <w:szCs w:val="24"/>
        </w:rPr>
        <w:t xml:space="preserve"> on credit portfolios </w:t>
      </w:r>
      <w:r>
        <w:rPr>
          <w:rFonts w:ascii="Times New Roman" w:hAnsi="Times New Roman"/>
          <w:sz w:val="24"/>
          <w:szCs w:val="24"/>
        </w:rPr>
        <w:t xml:space="preserve">using </w:t>
      </w:r>
      <w:r w:rsidRPr="00AC4E18">
        <w:rPr>
          <w:rFonts w:ascii="Times New Roman" w:hAnsi="Times New Roman"/>
          <w:sz w:val="24"/>
          <w:szCs w:val="24"/>
        </w:rPr>
        <w:t>credit migration matrices</w:t>
      </w:r>
      <w:r w:rsidR="00BF3B1F">
        <w:rPr>
          <w:rFonts w:ascii="Times New Roman" w:hAnsi="Times New Roman"/>
          <w:sz w:val="24"/>
          <w:szCs w:val="24"/>
        </w:rPr>
        <w:t xml:space="preserve"> (</w:t>
      </w:r>
      <w:proofErr w:type="spellStart"/>
      <w:r w:rsidR="00BF3B1F" w:rsidRPr="00BF3B1F">
        <w:rPr>
          <w:rFonts w:ascii="Times New Roman" w:hAnsi="Times New Roman"/>
          <w:sz w:val="24"/>
          <w:szCs w:val="24"/>
        </w:rPr>
        <w:t>Bangia</w:t>
      </w:r>
      <w:proofErr w:type="spellEnd"/>
      <w:r w:rsidR="00BF3B1F" w:rsidRPr="00BF3B1F">
        <w:rPr>
          <w:rFonts w:ascii="Times New Roman" w:hAnsi="Times New Roman"/>
          <w:sz w:val="24"/>
          <w:szCs w:val="24"/>
        </w:rPr>
        <w:t xml:space="preserve">, </w:t>
      </w:r>
      <w:r w:rsidR="00BF3B1F">
        <w:rPr>
          <w:rFonts w:ascii="Times New Roman" w:hAnsi="Times New Roman"/>
          <w:sz w:val="24"/>
          <w:szCs w:val="24"/>
        </w:rPr>
        <w:t xml:space="preserve">et al, </w:t>
      </w:r>
      <w:r w:rsidR="00BF3B1F" w:rsidRPr="00BF3B1F">
        <w:rPr>
          <w:rFonts w:ascii="Times New Roman" w:hAnsi="Times New Roman"/>
          <w:sz w:val="24"/>
          <w:szCs w:val="24"/>
        </w:rPr>
        <w:t>2002</w:t>
      </w:r>
      <w:r w:rsidR="00BF3B1F">
        <w:rPr>
          <w:rFonts w:ascii="Times New Roman" w:hAnsi="Times New Roman"/>
          <w:sz w:val="24"/>
          <w:szCs w:val="24"/>
        </w:rPr>
        <w:t>).</w:t>
      </w:r>
      <w:r>
        <w:rPr>
          <w:rFonts w:ascii="Times New Roman" w:hAnsi="Times New Roman"/>
          <w:sz w:val="24"/>
          <w:szCs w:val="24"/>
        </w:rPr>
        <w:t xml:space="preserve"> </w:t>
      </w:r>
    </w:p>
    <w:p w:rsidR="00227EF2" w:rsidRDefault="00BF3B1F" w:rsidP="00B22940">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ST</w:t>
      </w:r>
      <w:r w:rsidR="008108BB">
        <w:rPr>
          <w:rFonts w:ascii="Times New Roman" w:hAnsi="Times New Roman"/>
          <w:sz w:val="24"/>
          <w:szCs w:val="24"/>
        </w:rPr>
        <w:t xml:space="preserve"> supervisory</w:t>
      </w:r>
      <w:r w:rsidR="008108BB" w:rsidRPr="00AC4E18">
        <w:rPr>
          <w:rFonts w:ascii="Times New Roman" w:hAnsi="Times New Roman"/>
          <w:sz w:val="24"/>
          <w:szCs w:val="24"/>
        </w:rPr>
        <w:t xml:space="preserve"> requirements </w:t>
      </w:r>
      <w:r w:rsidR="008108BB">
        <w:rPr>
          <w:rFonts w:ascii="Times New Roman" w:hAnsi="Times New Roman"/>
          <w:sz w:val="24"/>
          <w:szCs w:val="24"/>
        </w:rPr>
        <w:t xml:space="preserve">with respect to the banking book were rather undeveloped prior to the </w:t>
      </w:r>
      <w:r w:rsidR="008108BB" w:rsidRPr="00AC4E18">
        <w:rPr>
          <w:rFonts w:ascii="Times New Roman" w:hAnsi="Times New Roman"/>
          <w:sz w:val="24"/>
          <w:szCs w:val="24"/>
        </w:rPr>
        <w:t xml:space="preserve">crisis, </w:t>
      </w:r>
      <w:r w:rsidR="008108BB">
        <w:rPr>
          <w:rFonts w:ascii="Times New Roman" w:hAnsi="Times New Roman"/>
          <w:sz w:val="24"/>
          <w:szCs w:val="24"/>
        </w:rPr>
        <w:t>al</w:t>
      </w:r>
      <w:r w:rsidR="008108BB" w:rsidRPr="00AC4E18">
        <w:rPr>
          <w:rFonts w:ascii="Times New Roman" w:hAnsi="Times New Roman"/>
          <w:sz w:val="24"/>
          <w:szCs w:val="24"/>
        </w:rPr>
        <w:t xml:space="preserve">though </w:t>
      </w:r>
      <w:r w:rsidR="008108BB">
        <w:rPr>
          <w:rFonts w:ascii="Times New Roman" w:hAnsi="Times New Roman"/>
          <w:sz w:val="24"/>
          <w:szCs w:val="24"/>
        </w:rPr>
        <w:t>it was rather prescriptive in other domains, e</w:t>
      </w:r>
      <w:r w:rsidR="008108BB" w:rsidRPr="00AC4E18">
        <w:rPr>
          <w:rFonts w:ascii="Times New Roman" w:hAnsi="Times New Roman"/>
          <w:sz w:val="24"/>
          <w:szCs w:val="24"/>
        </w:rPr>
        <w:t>xampl</w:t>
      </w:r>
      <w:r w:rsidR="008108BB">
        <w:rPr>
          <w:rFonts w:ascii="Times New Roman" w:hAnsi="Times New Roman"/>
          <w:sz w:val="24"/>
          <w:szCs w:val="24"/>
        </w:rPr>
        <w:t>es</w:t>
      </w:r>
      <w:r w:rsidR="008108BB" w:rsidRPr="00AC4E18">
        <w:rPr>
          <w:rFonts w:ascii="Times New Roman" w:hAnsi="Times New Roman"/>
          <w:sz w:val="24"/>
          <w:szCs w:val="24"/>
        </w:rPr>
        <w:t xml:space="preserve"> includ</w:t>
      </w:r>
      <w:r w:rsidR="008108BB">
        <w:rPr>
          <w:rFonts w:ascii="Times New Roman" w:hAnsi="Times New Roman"/>
          <w:sz w:val="24"/>
          <w:szCs w:val="24"/>
        </w:rPr>
        <w:t>ing</w:t>
      </w:r>
      <w:r w:rsidR="008108BB" w:rsidRPr="00AC4E18">
        <w:rPr>
          <w:rFonts w:ascii="Times New Roman" w:hAnsi="Times New Roman"/>
          <w:sz w:val="24"/>
          <w:szCs w:val="24"/>
        </w:rPr>
        <w:t xml:space="preserve"> the </w:t>
      </w:r>
      <w:r w:rsidR="008108BB">
        <w:rPr>
          <w:rFonts w:ascii="Times New Roman" w:hAnsi="Times New Roman"/>
          <w:sz w:val="24"/>
          <w:szCs w:val="24"/>
        </w:rPr>
        <w:t>j</w:t>
      </w:r>
      <w:r w:rsidR="008108BB" w:rsidRPr="00AC4E18">
        <w:rPr>
          <w:rFonts w:ascii="Times New Roman" w:hAnsi="Times New Roman"/>
          <w:sz w:val="24"/>
          <w:szCs w:val="24"/>
        </w:rPr>
        <w:t xml:space="preserve">oint </w:t>
      </w:r>
      <w:r w:rsidR="008108BB">
        <w:rPr>
          <w:rFonts w:ascii="Times New Roman" w:hAnsi="Times New Roman"/>
          <w:sz w:val="24"/>
          <w:szCs w:val="24"/>
        </w:rPr>
        <w:t>p</w:t>
      </w:r>
      <w:r w:rsidR="008108BB" w:rsidRPr="00AC4E18">
        <w:rPr>
          <w:rFonts w:ascii="Times New Roman" w:hAnsi="Times New Roman"/>
          <w:sz w:val="24"/>
          <w:szCs w:val="24"/>
        </w:rPr>
        <w:t xml:space="preserve">olicy </w:t>
      </w:r>
      <w:r w:rsidR="008108BB">
        <w:rPr>
          <w:rFonts w:ascii="Times New Roman" w:hAnsi="Times New Roman"/>
          <w:sz w:val="24"/>
          <w:szCs w:val="24"/>
        </w:rPr>
        <w:t>s</w:t>
      </w:r>
      <w:r w:rsidR="008108BB" w:rsidRPr="00AC4E18">
        <w:rPr>
          <w:rFonts w:ascii="Times New Roman" w:hAnsi="Times New Roman"/>
          <w:sz w:val="24"/>
          <w:szCs w:val="24"/>
        </w:rPr>
        <w:t xml:space="preserve">tatement on </w:t>
      </w:r>
      <w:r w:rsidR="008108BB">
        <w:rPr>
          <w:rFonts w:ascii="Times New Roman" w:hAnsi="Times New Roman"/>
          <w:sz w:val="24"/>
          <w:szCs w:val="24"/>
        </w:rPr>
        <w:t>i</w:t>
      </w:r>
      <w:r w:rsidR="008108BB" w:rsidRPr="00AC4E18">
        <w:rPr>
          <w:rFonts w:ascii="Times New Roman" w:hAnsi="Times New Roman"/>
          <w:sz w:val="24"/>
          <w:szCs w:val="24"/>
        </w:rPr>
        <w:t xml:space="preserve">nterest </w:t>
      </w:r>
      <w:r w:rsidR="008108BB">
        <w:rPr>
          <w:rFonts w:ascii="Times New Roman" w:hAnsi="Times New Roman"/>
          <w:sz w:val="24"/>
          <w:szCs w:val="24"/>
        </w:rPr>
        <w:t>r</w:t>
      </w:r>
      <w:r w:rsidR="008108BB" w:rsidRPr="00AC4E18">
        <w:rPr>
          <w:rFonts w:ascii="Times New Roman" w:hAnsi="Times New Roman"/>
          <w:sz w:val="24"/>
          <w:szCs w:val="24"/>
        </w:rPr>
        <w:t xml:space="preserve">ate </w:t>
      </w:r>
      <w:r w:rsidR="008108BB">
        <w:rPr>
          <w:rFonts w:ascii="Times New Roman" w:hAnsi="Times New Roman"/>
          <w:sz w:val="24"/>
          <w:szCs w:val="24"/>
        </w:rPr>
        <w:t>r</w:t>
      </w:r>
      <w:r w:rsidR="008108BB" w:rsidRPr="00AC4E18">
        <w:rPr>
          <w:rFonts w:ascii="Times New Roman" w:hAnsi="Times New Roman"/>
          <w:sz w:val="24"/>
          <w:szCs w:val="24"/>
        </w:rPr>
        <w:t>isk (</w:t>
      </w:r>
      <w:r w:rsidRPr="00BF3B1F">
        <w:rPr>
          <w:rFonts w:ascii="Times New Roman" w:hAnsi="Times New Roman"/>
          <w:sz w:val="24"/>
          <w:szCs w:val="24"/>
        </w:rPr>
        <w:t>The Board of Governors of the Federal Reserve System, 1996</w:t>
      </w:r>
      <w:r w:rsidR="008108BB" w:rsidRPr="00AC4E18">
        <w:rPr>
          <w:rFonts w:ascii="Times New Roman" w:hAnsi="Times New Roman"/>
          <w:sz w:val="24"/>
          <w:szCs w:val="24"/>
        </w:rPr>
        <w:t xml:space="preserve">), guidance on counterparty credit risk </w:t>
      </w:r>
      <w:r w:rsidRPr="00AC4E18">
        <w:rPr>
          <w:rFonts w:ascii="Times New Roman" w:hAnsi="Times New Roman"/>
          <w:sz w:val="24"/>
          <w:szCs w:val="24"/>
        </w:rPr>
        <w:t>(</w:t>
      </w:r>
      <w:r w:rsidRPr="00BF3B1F">
        <w:rPr>
          <w:rFonts w:ascii="Times New Roman" w:hAnsi="Times New Roman"/>
          <w:sz w:val="24"/>
          <w:szCs w:val="24"/>
        </w:rPr>
        <w:t>The Board of Governors of the Federal Reserve System, 199</w:t>
      </w:r>
      <w:r>
        <w:rPr>
          <w:rFonts w:ascii="Times New Roman" w:hAnsi="Times New Roman"/>
          <w:sz w:val="24"/>
          <w:szCs w:val="24"/>
        </w:rPr>
        <w:t>9</w:t>
      </w:r>
      <w:r w:rsidRPr="00AC4E18">
        <w:rPr>
          <w:rFonts w:ascii="Times New Roman" w:hAnsi="Times New Roman"/>
          <w:sz w:val="24"/>
          <w:szCs w:val="24"/>
        </w:rPr>
        <w:t>)</w:t>
      </w:r>
      <w:r w:rsidR="008108BB" w:rsidRPr="00AC4E18">
        <w:rPr>
          <w:rFonts w:ascii="Times New Roman" w:hAnsi="Times New Roman"/>
          <w:sz w:val="24"/>
          <w:szCs w:val="24"/>
        </w:rPr>
        <w:t xml:space="preserve">, as well as country risk management </w:t>
      </w:r>
      <w:r w:rsidRPr="00AC4E18">
        <w:rPr>
          <w:rFonts w:ascii="Times New Roman" w:hAnsi="Times New Roman"/>
          <w:sz w:val="24"/>
          <w:szCs w:val="24"/>
        </w:rPr>
        <w:t>(</w:t>
      </w:r>
      <w:r w:rsidRPr="00BF3B1F">
        <w:rPr>
          <w:rFonts w:ascii="Times New Roman" w:hAnsi="Times New Roman"/>
          <w:sz w:val="24"/>
          <w:szCs w:val="24"/>
        </w:rPr>
        <w:t xml:space="preserve">The Board of Governors of the Federal Reserve System, </w:t>
      </w:r>
      <w:r>
        <w:rPr>
          <w:rFonts w:ascii="Times New Roman" w:hAnsi="Times New Roman"/>
          <w:sz w:val="24"/>
          <w:szCs w:val="24"/>
        </w:rPr>
        <w:t>200</w:t>
      </w:r>
      <w:r w:rsidR="00B27F70">
        <w:rPr>
          <w:rFonts w:ascii="Times New Roman" w:hAnsi="Times New Roman"/>
          <w:sz w:val="24"/>
          <w:szCs w:val="24"/>
        </w:rPr>
        <w:t>2</w:t>
      </w:r>
      <w:r w:rsidRPr="00AC4E18">
        <w:rPr>
          <w:rFonts w:ascii="Times New Roman" w:hAnsi="Times New Roman"/>
          <w:sz w:val="24"/>
          <w:szCs w:val="24"/>
        </w:rPr>
        <w:t>)</w:t>
      </w:r>
      <w:r w:rsidR="008108BB" w:rsidRPr="00AC4E18">
        <w:rPr>
          <w:rFonts w:ascii="Times New Roman" w:hAnsi="Times New Roman"/>
          <w:sz w:val="24"/>
          <w:szCs w:val="24"/>
        </w:rPr>
        <w:t>.</w:t>
      </w:r>
      <w:r w:rsidR="008108BB">
        <w:rPr>
          <w:rFonts w:ascii="Times New Roman" w:hAnsi="Times New Roman"/>
          <w:sz w:val="24"/>
          <w:szCs w:val="24"/>
        </w:rPr>
        <w:t xml:space="preserve">  </w:t>
      </w:r>
    </w:p>
    <w:p w:rsidR="00D95D90" w:rsidRDefault="00227EF2" w:rsidP="00C43DC6">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Following the financial crisis of the last decade, </w:t>
      </w:r>
      <w:r w:rsidR="00281742">
        <w:rPr>
          <w:rFonts w:ascii="Times New Roman" w:hAnsi="Times New Roman"/>
          <w:sz w:val="24"/>
          <w:szCs w:val="24"/>
        </w:rPr>
        <w:t xml:space="preserve">we find an expansion in the literature on </w:t>
      </w:r>
      <w:r w:rsidR="00FF6292">
        <w:rPr>
          <w:rFonts w:ascii="Times New Roman" w:hAnsi="Times New Roman"/>
          <w:sz w:val="24"/>
          <w:szCs w:val="24"/>
        </w:rPr>
        <w:t>stress testing</w:t>
      </w:r>
      <w:r w:rsidR="00281742">
        <w:rPr>
          <w:rFonts w:ascii="Times New Roman" w:hAnsi="Times New Roman"/>
          <w:sz w:val="24"/>
          <w:szCs w:val="24"/>
        </w:rPr>
        <w:t xml:space="preserve">, starting with a </w:t>
      </w:r>
      <w:r w:rsidR="00281742" w:rsidRPr="00AC4E18">
        <w:rPr>
          <w:rFonts w:ascii="Times New Roman" w:hAnsi="Times New Roman"/>
          <w:sz w:val="24"/>
          <w:szCs w:val="24"/>
        </w:rPr>
        <w:t xml:space="preserve">survey of the </w:t>
      </w:r>
      <w:r w:rsidR="00281742">
        <w:rPr>
          <w:rFonts w:ascii="Times New Roman" w:hAnsi="Times New Roman"/>
          <w:sz w:val="24"/>
          <w:szCs w:val="24"/>
        </w:rPr>
        <w:t xml:space="preserve">then extant </w:t>
      </w:r>
      <w:r w:rsidR="00281742" w:rsidRPr="00AC4E18">
        <w:rPr>
          <w:rFonts w:ascii="Times New Roman" w:hAnsi="Times New Roman"/>
          <w:sz w:val="24"/>
          <w:szCs w:val="24"/>
        </w:rPr>
        <w:t xml:space="preserve">literature </w:t>
      </w:r>
      <w:r w:rsidR="00281742">
        <w:rPr>
          <w:rFonts w:ascii="Times New Roman" w:hAnsi="Times New Roman"/>
          <w:sz w:val="24"/>
          <w:szCs w:val="24"/>
        </w:rPr>
        <w:t>on</w:t>
      </w:r>
      <w:r w:rsidR="00281742" w:rsidRPr="00AC4E18">
        <w:rPr>
          <w:rFonts w:ascii="Times New Roman" w:hAnsi="Times New Roman"/>
          <w:sz w:val="24"/>
          <w:szCs w:val="24"/>
        </w:rPr>
        <w:t xml:space="preserve"> </w:t>
      </w:r>
      <w:r w:rsidR="00FF6292">
        <w:rPr>
          <w:rFonts w:ascii="Times New Roman" w:hAnsi="Times New Roman"/>
          <w:sz w:val="24"/>
          <w:szCs w:val="24"/>
        </w:rPr>
        <w:t>stress testing</w:t>
      </w:r>
      <w:r w:rsidR="00FF6292" w:rsidRPr="00AC4E18">
        <w:rPr>
          <w:rFonts w:ascii="Times New Roman" w:hAnsi="Times New Roman"/>
          <w:sz w:val="24"/>
          <w:szCs w:val="24"/>
        </w:rPr>
        <w:t xml:space="preserve"> </w:t>
      </w:r>
      <w:r w:rsidR="00281742">
        <w:rPr>
          <w:rFonts w:ascii="Times New Roman" w:hAnsi="Times New Roman"/>
          <w:sz w:val="24"/>
          <w:szCs w:val="24"/>
        </w:rPr>
        <w:t xml:space="preserve">for </w:t>
      </w:r>
      <w:r w:rsidR="00281742" w:rsidRPr="00AC4E18">
        <w:rPr>
          <w:rFonts w:ascii="Times New Roman" w:hAnsi="Times New Roman"/>
          <w:sz w:val="24"/>
          <w:szCs w:val="24"/>
        </w:rPr>
        <w:t>credit risk</w:t>
      </w:r>
      <w:r w:rsidR="00E63AC7" w:rsidRPr="00E63AC7">
        <w:rPr>
          <w:rFonts w:ascii="Times New Roman" w:hAnsi="Times New Roman"/>
          <w:sz w:val="24"/>
          <w:szCs w:val="24"/>
        </w:rPr>
        <w:t xml:space="preserve"> </w:t>
      </w:r>
      <w:r w:rsidR="00E63AC7">
        <w:rPr>
          <w:rFonts w:ascii="Times New Roman" w:hAnsi="Times New Roman"/>
          <w:sz w:val="24"/>
          <w:szCs w:val="24"/>
        </w:rPr>
        <w:t>(</w:t>
      </w:r>
      <w:proofErr w:type="spellStart"/>
      <w:r w:rsidR="00E63AC7" w:rsidRPr="00E63AC7">
        <w:rPr>
          <w:rFonts w:ascii="Times New Roman" w:hAnsi="Times New Roman"/>
          <w:sz w:val="24"/>
          <w:szCs w:val="24"/>
        </w:rPr>
        <w:t>Foglia</w:t>
      </w:r>
      <w:proofErr w:type="spellEnd"/>
      <w:r w:rsidR="00E63AC7" w:rsidRPr="00E63AC7">
        <w:rPr>
          <w:rFonts w:ascii="Times New Roman" w:hAnsi="Times New Roman"/>
          <w:sz w:val="24"/>
          <w:szCs w:val="24"/>
        </w:rPr>
        <w:t>, 2009</w:t>
      </w:r>
      <w:r w:rsidR="00E63AC7">
        <w:rPr>
          <w:rFonts w:ascii="Times New Roman" w:hAnsi="Times New Roman"/>
          <w:sz w:val="24"/>
          <w:szCs w:val="24"/>
        </w:rPr>
        <w:t>)</w:t>
      </w:r>
      <w:r w:rsidR="00281742">
        <w:rPr>
          <w:rFonts w:ascii="Times New Roman" w:hAnsi="Times New Roman"/>
          <w:sz w:val="24"/>
          <w:szCs w:val="24"/>
        </w:rPr>
        <w:t xml:space="preserve">.  As part of </w:t>
      </w:r>
      <w:r w:rsidR="00C43DC6">
        <w:rPr>
          <w:rFonts w:ascii="Times New Roman" w:hAnsi="Times New Roman"/>
          <w:sz w:val="24"/>
          <w:szCs w:val="24"/>
        </w:rPr>
        <w:t>a</w:t>
      </w:r>
      <w:r w:rsidR="00281742">
        <w:rPr>
          <w:rFonts w:ascii="Times New Roman" w:hAnsi="Times New Roman"/>
          <w:sz w:val="24"/>
          <w:szCs w:val="24"/>
        </w:rPr>
        <w:t xml:space="preserve"> </w:t>
      </w:r>
      <w:r w:rsidR="00FF6292">
        <w:rPr>
          <w:rFonts w:ascii="Times New Roman" w:hAnsi="Times New Roman"/>
          <w:sz w:val="24"/>
          <w:szCs w:val="24"/>
        </w:rPr>
        <w:t xml:space="preserve">field </w:t>
      </w:r>
      <w:r w:rsidR="00281742">
        <w:rPr>
          <w:rFonts w:ascii="Times New Roman" w:hAnsi="Times New Roman"/>
          <w:sz w:val="24"/>
          <w:szCs w:val="24"/>
        </w:rPr>
        <w:t xml:space="preserve">of literature addressing various modeling approaches to </w:t>
      </w:r>
      <w:r w:rsidR="00FF6292">
        <w:rPr>
          <w:rFonts w:ascii="Times New Roman" w:hAnsi="Times New Roman"/>
          <w:sz w:val="24"/>
          <w:szCs w:val="24"/>
        </w:rPr>
        <w:t>stress testing</w:t>
      </w:r>
      <w:r w:rsidR="00281742">
        <w:rPr>
          <w:rFonts w:ascii="Times New Roman" w:hAnsi="Times New Roman"/>
          <w:sz w:val="24"/>
          <w:szCs w:val="24"/>
        </w:rPr>
        <w:t xml:space="preserve">, </w:t>
      </w:r>
      <w:r>
        <w:rPr>
          <w:rFonts w:ascii="Times New Roman" w:hAnsi="Times New Roman"/>
          <w:sz w:val="24"/>
          <w:szCs w:val="24"/>
        </w:rPr>
        <w:t>we find various paper</w:t>
      </w:r>
      <w:r w:rsidR="00AE623A">
        <w:rPr>
          <w:rFonts w:ascii="Times New Roman" w:hAnsi="Times New Roman"/>
          <w:sz w:val="24"/>
          <w:szCs w:val="24"/>
        </w:rPr>
        <w:t>s</w:t>
      </w:r>
      <w:r>
        <w:rPr>
          <w:rFonts w:ascii="Times New Roman" w:hAnsi="Times New Roman"/>
          <w:sz w:val="24"/>
          <w:szCs w:val="24"/>
        </w:rPr>
        <w:t xml:space="preserve"> addressing </w:t>
      </w:r>
      <w:r w:rsidR="00B02703">
        <w:rPr>
          <w:rFonts w:ascii="Times New Roman" w:hAnsi="Times New Roman"/>
          <w:sz w:val="24"/>
          <w:szCs w:val="24"/>
        </w:rPr>
        <w:t xml:space="preserve">alternative </w:t>
      </w:r>
      <w:r>
        <w:rPr>
          <w:rFonts w:ascii="Times New Roman" w:hAnsi="Times New Roman"/>
          <w:sz w:val="24"/>
          <w:szCs w:val="24"/>
        </w:rPr>
        <w:t xml:space="preserve">issues in </w:t>
      </w:r>
      <w:r w:rsidR="00FF6292">
        <w:rPr>
          <w:rFonts w:ascii="Times New Roman" w:hAnsi="Times New Roman"/>
          <w:sz w:val="24"/>
          <w:szCs w:val="24"/>
        </w:rPr>
        <w:t>stress testing</w:t>
      </w:r>
      <w:r w:rsidR="00AE623A">
        <w:rPr>
          <w:rFonts w:ascii="Times New Roman" w:hAnsi="Times New Roman"/>
          <w:sz w:val="24"/>
          <w:szCs w:val="24"/>
        </w:rPr>
        <w:t xml:space="preserve"> and stressed capital, including the </w:t>
      </w:r>
      <w:r w:rsidR="00C50D2E">
        <w:rPr>
          <w:rFonts w:ascii="Times New Roman" w:hAnsi="Times New Roman"/>
          <w:sz w:val="24"/>
          <w:szCs w:val="24"/>
        </w:rPr>
        <w:t xml:space="preserve">aggregation of risk types </w:t>
      </w:r>
      <w:r w:rsidR="00AE623A">
        <w:rPr>
          <w:rFonts w:ascii="Times New Roman" w:hAnsi="Times New Roman"/>
          <w:sz w:val="24"/>
          <w:szCs w:val="24"/>
        </w:rPr>
        <w:t xml:space="preserve">of </w:t>
      </w:r>
      <w:r w:rsidR="00FF6292">
        <w:rPr>
          <w:rFonts w:ascii="Times New Roman" w:hAnsi="Times New Roman"/>
          <w:sz w:val="24"/>
          <w:szCs w:val="24"/>
        </w:rPr>
        <w:t xml:space="preserve">capital </w:t>
      </w:r>
      <w:r w:rsidR="00AE623A">
        <w:rPr>
          <w:rFonts w:ascii="Times New Roman" w:hAnsi="Times New Roman"/>
          <w:sz w:val="24"/>
          <w:szCs w:val="24"/>
        </w:rPr>
        <w:t>models</w:t>
      </w:r>
      <w:r w:rsidR="00512684">
        <w:rPr>
          <w:rFonts w:ascii="Times New Roman" w:hAnsi="Times New Roman"/>
          <w:sz w:val="24"/>
          <w:szCs w:val="24"/>
        </w:rPr>
        <w:t xml:space="preserve"> (</w:t>
      </w:r>
      <w:r w:rsidR="00512684" w:rsidRPr="00512684">
        <w:rPr>
          <w:rFonts w:ascii="Times New Roman" w:hAnsi="Times New Roman"/>
          <w:sz w:val="24"/>
          <w:szCs w:val="24"/>
        </w:rPr>
        <w:t>Inanoglu</w:t>
      </w:r>
      <w:r w:rsidR="00512684">
        <w:rPr>
          <w:rFonts w:ascii="Times New Roman" w:hAnsi="Times New Roman"/>
          <w:sz w:val="24"/>
          <w:szCs w:val="24"/>
        </w:rPr>
        <w:t xml:space="preserve"> </w:t>
      </w:r>
      <w:r w:rsidR="00512684" w:rsidRPr="00512684">
        <w:rPr>
          <w:rFonts w:ascii="Times New Roman" w:hAnsi="Times New Roman"/>
          <w:sz w:val="24"/>
          <w:szCs w:val="24"/>
        </w:rPr>
        <w:t>and Jacobs, Jr., 2009</w:t>
      </w:r>
      <w:r w:rsidR="00512684">
        <w:rPr>
          <w:rFonts w:ascii="Times New Roman" w:hAnsi="Times New Roman"/>
          <w:sz w:val="24"/>
          <w:szCs w:val="24"/>
        </w:rPr>
        <w:t>),</w:t>
      </w:r>
      <w:r w:rsidR="00AE623A">
        <w:rPr>
          <w:rFonts w:ascii="Times New Roman" w:hAnsi="Times New Roman"/>
          <w:sz w:val="24"/>
          <w:szCs w:val="24"/>
        </w:rPr>
        <w:t xml:space="preserve"> and also with respect to </w:t>
      </w:r>
      <w:r w:rsidR="00C50D2E">
        <w:rPr>
          <w:rFonts w:ascii="Times New Roman" w:hAnsi="Times New Roman"/>
          <w:sz w:val="24"/>
          <w:szCs w:val="24"/>
        </w:rPr>
        <w:t xml:space="preserve">validation of </w:t>
      </w:r>
      <w:r w:rsidR="00AE623A">
        <w:rPr>
          <w:rFonts w:ascii="Times New Roman" w:hAnsi="Times New Roman"/>
          <w:sz w:val="24"/>
          <w:szCs w:val="24"/>
        </w:rPr>
        <w:t>these models</w:t>
      </w:r>
      <w:r w:rsidR="00512684">
        <w:rPr>
          <w:rFonts w:ascii="Times New Roman" w:hAnsi="Times New Roman"/>
          <w:sz w:val="24"/>
          <w:szCs w:val="24"/>
        </w:rPr>
        <w:t xml:space="preserve"> (</w:t>
      </w:r>
      <w:r w:rsidR="00512684" w:rsidRPr="00512684">
        <w:rPr>
          <w:rFonts w:ascii="Times New Roman" w:hAnsi="Times New Roman"/>
          <w:sz w:val="24"/>
          <w:szCs w:val="24"/>
        </w:rPr>
        <w:t>Jacobs, Jr., 20</w:t>
      </w:r>
      <w:r w:rsidR="00512684">
        <w:rPr>
          <w:rFonts w:ascii="Times New Roman" w:hAnsi="Times New Roman"/>
          <w:sz w:val="24"/>
          <w:szCs w:val="24"/>
        </w:rPr>
        <w:t>10)</w:t>
      </w:r>
      <w:r w:rsidR="00AE623A">
        <w:rPr>
          <w:rFonts w:ascii="Times New Roman" w:hAnsi="Times New Roman"/>
          <w:sz w:val="24"/>
          <w:szCs w:val="24"/>
        </w:rPr>
        <w:t>.</w:t>
      </w:r>
      <w:r w:rsidR="00C50D2E">
        <w:rPr>
          <w:rFonts w:ascii="Times New Roman" w:hAnsi="Times New Roman"/>
          <w:sz w:val="24"/>
          <w:szCs w:val="24"/>
        </w:rPr>
        <w:t xml:space="preserve">  </w:t>
      </w:r>
      <w:r w:rsidR="002C1A17" w:rsidRPr="00512684">
        <w:rPr>
          <w:rFonts w:ascii="Times New Roman" w:hAnsi="Times New Roman"/>
          <w:sz w:val="24"/>
          <w:szCs w:val="24"/>
        </w:rPr>
        <w:t xml:space="preserve">Various papers have laid out the reasons why </w:t>
      </w:r>
      <w:r w:rsidR="00581937">
        <w:rPr>
          <w:rFonts w:ascii="Times New Roman" w:hAnsi="Times New Roman"/>
          <w:sz w:val="24"/>
          <w:szCs w:val="24"/>
        </w:rPr>
        <w:t>ST</w:t>
      </w:r>
      <w:r w:rsidR="002C1A17" w:rsidRPr="00512684">
        <w:rPr>
          <w:rFonts w:ascii="Times New Roman" w:hAnsi="Times New Roman"/>
          <w:sz w:val="24"/>
          <w:szCs w:val="24"/>
        </w:rPr>
        <w:t xml:space="preserve"> has become such</w:t>
      </w:r>
      <w:r w:rsidR="002C1A17">
        <w:rPr>
          <w:rFonts w:ascii="Times New Roman" w:hAnsi="Times New Roman" w:cs="Calibri"/>
          <w:color w:val="000000"/>
          <w:sz w:val="24"/>
          <w:szCs w:val="24"/>
        </w:rPr>
        <w:t xml:space="preserve"> a dominant tool for regulators, including rationales for its utility, outlines for its execution, as well as guidelines and opinions on disseminating the output</w:t>
      </w:r>
      <w:r w:rsidR="00076993">
        <w:rPr>
          <w:rFonts w:ascii="Times New Roman" w:hAnsi="Times New Roman" w:cs="Calibri"/>
          <w:color w:val="000000"/>
          <w:sz w:val="24"/>
          <w:szCs w:val="24"/>
        </w:rPr>
        <w:t xml:space="preserve"> under various </w:t>
      </w:r>
      <w:r w:rsidR="00076993" w:rsidRPr="00581937">
        <w:rPr>
          <w:rFonts w:ascii="Times New Roman" w:hAnsi="Times New Roman"/>
          <w:sz w:val="24"/>
          <w:szCs w:val="24"/>
        </w:rPr>
        <w:t>conditions</w:t>
      </w:r>
      <w:r w:rsidR="00581937" w:rsidRPr="00581937">
        <w:rPr>
          <w:rFonts w:ascii="Times New Roman" w:hAnsi="Times New Roman"/>
          <w:sz w:val="24"/>
          <w:szCs w:val="24"/>
        </w:rPr>
        <w:t xml:space="preserve"> </w:t>
      </w:r>
      <w:r w:rsidR="00581937">
        <w:rPr>
          <w:rFonts w:ascii="Times New Roman" w:hAnsi="Times New Roman"/>
          <w:sz w:val="24"/>
          <w:szCs w:val="24"/>
        </w:rPr>
        <w:t>(</w:t>
      </w:r>
      <w:proofErr w:type="spellStart"/>
      <w:r w:rsidR="00581937" w:rsidRPr="00D85023">
        <w:rPr>
          <w:rFonts w:ascii="Times New Roman" w:hAnsi="Times New Roman"/>
          <w:sz w:val="24"/>
          <w:szCs w:val="24"/>
        </w:rPr>
        <w:t>Schuermann</w:t>
      </w:r>
      <w:proofErr w:type="spellEnd"/>
      <w:r w:rsidR="00581937" w:rsidRPr="00D85023">
        <w:rPr>
          <w:rFonts w:ascii="Times New Roman" w:hAnsi="Times New Roman"/>
          <w:sz w:val="24"/>
          <w:szCs w:val="24"/>
        </w:rPr>
        <w:t>, 201</w:t>
      </w:r>
      <w:r w:rsidR="00D312A3">
        <w:rPr>
          <w:rFonts w:ascii="Times New Roman" w:hAnsi="Times New Roman"/>
          <w:sz w:val="24"/>
          <w:szCs w:val="24"/>
        </w:rPr>
        <w:t>4</w:t>
      </w:r>
      <w:r w:rsidR="00581937">
        <w:rPr>
          <w:rFonts w:ascii="Times New Roman" w:hAnsi="Times New Roman"/>
          <w:sz w:val="24"/>
          <w:szCs w:val="24"/>
        </w:rPr>
        <w:t>)</w:t>
      </w:r>
      <w:r w:rsidR="00076993">
        <w:rPr>
          <w:rFonts w:ascii="Times New Roman" w:hAnsi="Times New Roman" w:cs="Calibri"/>
          <w:color w:val="000000"/>
          <w:sz w:val="24"/>
          <w:szCs w:val="24"/>
        </w:rPr>
        <w:t>.</w:t>
      </w:r>
      <w:r w:rsidR="00D85023">
        <w:rPr>
          <w:rFonts w:ascii="Times New Roman" w:hAnsi="Times New Roman" w:cs="Calibri"/>
          <w:color w:val="000000"/>
          <w:sz w:val="24"/>
          <w:szCs w:val="24"/>
        </w:rPr>
        <w:t xml:space="preserve"> </w:t>
      </w:r>
      <w:r w:rsidR="00C43DC6">
        <w:rPr>
          <w:rFonts w:ascii="Times New Roman" w:hAnsi="Times New Roman" w:cs="Calibri"/>
          <w:color w:val="000000"/>
          <w:sz w:val="24"/>
          <w:szCs w:val="24"/>
        </w:rPr>
        <w:t xml:space="preserve"> This includes a </w:t>
      </w:r>
      <w:r w:rsidR="00C43DC6">
        <w:rPr>
          <w:rFonts w:ascii="Times New Roman" w:hAnsi="Times New Roman"/>
          <w:sz w:val="24"/>
          <w:szCs w:val="24"/>
        </w:rPr>
        <w:t xml:space="preserve">survey of </w:t>
      </w:r>
      <w:r w:rsidR="00C43DC6" w:rsidRPr="00E9315D">
        <w:rPr>
          <w:rFonts w:ascii="Times New Roman" w:hAnsi="Times New Roman"/>
          <w:sz w:val="24"/>
          <w:szCs w:val="24"/>
        </w:rPr>
        <w:t xml:space="preserve">practices and supervisory expectations </w:t>
      </w:r>
      <w:r w:rsidR="00C43DC6">
        <w:rPr>
          <w:rFonts w:ascii="Times New Roman" w:hAnsi="Times New Roman"/>
          <w:sz w:val="24"/>
          <w:szCs w:val="24"/>
        </w:rPr>
        <w:t xml:space="preserve">for </w:t>
      </w:r>
      <w:r w:rsidR="00FF6292">
        <w:rPr>
          <w:rFonts w:ascii="Times New Roman" w:hAnsi="Times New Roman"/>
          <w:sz w:val="24"/>
          <w:szCs w:val="24"/>
        </w:rPr>
        <w:t>stress tests</w:t>
      </w:r>
      <w:r w:rsidR="00C43DC6" w:rsidRPr="00E9315D">
        <w:rPr>
          <w:rFonts w:ascii="Times New Roman" w:hAnsi="Times New Roman"/>
          <w:sz w:val="24"/>
          <w:szCs w:val="24"/>
        </w:rPr>
        <w:t xml:space="preserve"> in a credit risk framework</w:t>
      </w:r>
      <w:r w:rsidR="00C43DC6">
        <w:rPr>
          <w:rFonts w:ascii="Times New Roman" w:hAnsi="Times New Roman"/>
          <w:sz w:val="24"/>
          <w:szCs w:val="24"/>
        </w:rPr>
        <w:t>,</w:t>
      </w:r>
      <w:r w:rsidR="00C43DC6" w:rsidRPr="00E9315D">
        <w:rPr>
          <w:rFonts w:ascii="Times New Roman" w:hAnsi="Times New Roman"/>
          <w:sz w:val="24"/>
          <w:szCs w:val="24"/>
        </w:rPr>
        <w:t xml:space="preserve"> </w:t>
      </w:r>
      <w:r w:rsidR="00C43DC6">
        <w:rPr>
          <w:rFonts w:ascii="Times New Roman" w:hAnsi="Times New Roman"/>
          <w:sz w:val="24"/>
          <w:szCs w:val="24"/>
        </w:rPr>
        <w:t xml:space="preserve">and </w:t>
      </w:r>
      <w:r w:rsidR="00110CAF">
        <w:rPr>
          <w:rFonts w:ascii="Times New Roman" w:hAnsi="Times New Roman"/>
          <w:sz w:val="24"/>
          <w:szCs w:val="24"/>
        </w:rPr>
        <w:t xml:space="preserve">presentation of </w:t>
      </w:r>
      <w:r w:rsidR="00C43DC6" w:rsidRPr="00E9315D">
        <w:rPr>
          <w:rFonts w:ascii="Times New Roman" w:hAnsi="Times New Roman"/>
          <w:sz w:val="24"/>
          <w:szCs w:val="24"/>
        </w:rPr>
        <w:t>simple examples</w:t>
      </w:r>
      <w:r w:rsidR="00C43DC6">
        <w:rPr>
          <w:rFonts w:ascii="Times New Roman" w:hAnsi="Times New Roman"/>
          <w:sz w:val="24"/>
          <w:szCs w:val="24"/>
        </w:rPr>
        <w:t xml:space="preserve"> of</w:t>
      </w:r>
      <w:r w:rsidR="00C43DC6" w:rsidRPr="00E9315D">
        <w:rPr>
          <w:rFonts w:ascii="Times New Roman" w:hAnsi="Times New Roman"/>
          <w:sz w:val="24"/>
          <w:szCs w:val="24"/>
        </w:rPr>
        <w:t xml:space="preserve"> a r</w:t>
      </w:r>
      <w:r w:rsidR="00C43DC6">
        <w:rPr>
          <w:rFonts w:ascii="Times New Roman" w:hAnsi="Times New Roman"/>
          <w:sz w:val="24"/>
          <w:szCs w:val="24"/>
        </w:rPr>
        <w:t>atings migra</w:t>
      </w:r>
      <w:r w:rsidR="00C43DC6">
        <w:rPr>
          <w:rFonts w:ascii="Times New Roman" w:hAnsi="Times New Roman"/>
          <w:sz w:val="24"/>
          <w:szCs w:val="24"/>
        </w:rPr>
        <w:lastRenderedPageBreak/>
        <w:t xml:space="preserve">tion based approach, </w:t>
      </w:r>
      <w:r w:rsidR="00C43DC6" w:rsidRPr="00E9315D">
        <w:rPr>
          <w:rFonts w:ascii="Times New Roman" w:hAnsi="Times New Roman"/>
          <w:sz w:val="24"/>
          <w:szCs w:val="24"/>
        </w:rPr>
        <w:t xml:space="preserve">using the </w:t>
      </w:r>
      <w:proofErr w:type="spellStart"/>
      <w:r w:rsidR="00C43DC6" w:rsidRPr="00E9315D">
        <w:rPr>
          <w:rFonts w:ascii="Times New Roman" w:hAnsi="Times New Roman"/>
          <w:sz w:val="24"/>
          <w:szCs w:val="24"/>
        </w:rPr>
        <w:t>CreditMetrics</w:t>
      </w:r>
      <w:r w:rsidR="00110CAF" w:rsidRPr="00C64B33">
        <w:rPr>
          <w:rFonts w:ascii="Times New Roman" w:hAnsi="Times New Roman"/>
          <w:sz w:val="24"/>
          <w:szCs w:val="24"/>
          <w:vertAlign w:val="superscript"/>
        </w:rPr>
        <w:t>TM</w:t>
      </w:r>
      <w:proofErr w:type="spellEnd"/>
      <w:r w:rsidR="00C43DC6" w:rsidRPr="00E9315D">
        <w:rPr>
          <w:rFonts w:ascii="Times New Roman" w:hAnsi="Times New Roman"/>
          <w:sz w:val="24"/>
          <w:szCs w:val="24"/>
        </w:rPr>
        <w:t xml:space="preserve"> </w:t>
      </w:r>
      <w:r w:rsidR="008A764B" w:rsidRPr="008A764B">
        <w:rPr>
          <w:rFonts w:ascii="Times New Roman" w:hAnsi="Times New Roman"/>
          <w:sz w:val="24"/>
          <w:szCs w:val="24"/>
        </w:rPr>
        <w:t xml:space="preserve">(M Jacobs, Jr., 2013). </w:t>
      </w:r>
      <w:r w:rsidR="008A764B">
        <w:rPr>
          <w:rFonts w:ascii="Times New Roman" w:hAnsi="Times New Roman"/>
          <w:sz w:val="24"/>
          <w:szCs w:val="24"/>
        </w:rPr>
        <w:t xml:space="preserve"> </w:t>
      </w:r>
      <w:r w:rsidR="008A764B" w:rsidRPr="008A764B">
        <w:rPr>
          <w:rFonts w:ascii="Times New Roman" w:hAnsi="Times New Roman"/>
          <w:sz w:val="24"/>
          <w:szCs w:val="24"/>
        </w:rPr>
        <w:t>Another set of papers argues for a Bayesian approach to stress testing, having the capability to cohesively incorporate expert knowledge model design, proposing a methodology for coherently incorporating expert opinion into the stress test modeling process.  In another paper, the author proposes a Bayesian casual network model, for ST of a bank (</w:t>
      </w:r>
      <w:proofErr w:type="spellStart"/>
      <w:r w:rsidR="008A764B" w:rsidRPr="008A764B">
        <w:rPr>
          <w:rFonts w:ascii="Times New Roman" w:hAnsi="Times New Roman"/>
          <w:sz w:val="24"/>
          <w:szCs w:val="24"/>
        </w:rPr>
        <w:t>Rebonato</w:t>
      </w:r>
      <w:proofErr w:type="spellEnd"/>
      <w:r w:rsidR="008A764B" w:rsidRPr="008A764B">
        <w:rPr>
          <w:rFonts w:ascii="Times New Roman" w:hAnsi="Times New Roman"/>
          <w:sz w:val="24"/>
          <w:szCs w:val="24"/>
        </w:rPr>
        <w:t xml:space="preserve">, 2010). </w:t>
      </w:r>
      <w:r w:rsidR="008A764B">
        <w:rPr>
          <w:rFonts w:ascii="Times New Roman" w:hAnsi="Times New Roman"/>
          <w:sz w:val="24"/>
          <w:szCs w:val="24"/>
        </w:rPr>
        <w:t xml:space="preserve"> </w:t>
      </w:r>
      <w:r w:rsidR="008A764B" w:rsidRPr="008A764B">
        <w:rPr>
          <w:rFonts w:ascii="Times New Roman" w:hAnsi="Times New Roman"/>
          <w:sz w:val="24"/>
          <w:szCs w:val="24"/>
        </w:rPr>
        <w:t>Finally, yet another recent study features the application of a Bayesian regression model for credit loss implemented using Fed Y9 data, wherein regulated financial institutions report their stress test losses in conjunction with Federal Reserve scenarios, which can formally incorporate exogenous factors such as such supervisory scenarios</w:t>
      </w:r>
      <w:r w:rsidR="0034290E">
        <w:rPr>
          <w:rFonts w:ascii="Times New Roman" w:hAnsi="Times New Roman"/>
          <w:sz w:val="24"/>
          <w:szCs w:val="24"/>
        </w:rPr>
        <w:t>,</w:t>
      </w:r>
      <w:r w:rsidR="00C43DC6" w:rsidRPr="00A4363D">
        <w:rPr>
          <w:rFonts w:ascii="Times New Roman" w:hAnsi="Times New Roman"/>
          <w:sz w:val="24"/>
          <w:szCs w:val="24"/>
        </w:rPr>
        <w:t xml:space="preserve"> and also quantify the uncertainty in model output that results from stochastic model inputs</w:t>
      </w:r>
      <w:r w:rsidR="00105019" w:rsidRPr="00105019">
        <w:rPr>
          <w:rFonts w:ascii="Times New Roman" w:hAnsi="Times New Roman"/>
          <w:sz w:val="24"/>
          <w:szCs w:val="24"/>
        </w:rPr>
        <w:t xml:space="preserve"> </w:t>
      </w:r>
      <w:r w:rsidR="00105019">
        <w:rPr>
          <w:rFonts w:ascii="Times New Roman" w:hAnsi="Times New Roman"/>
          <w:sz w:val="24"/>
          <w:szCs w:val="24"/>
        </w:rPr>
        <w:t>(</w:t>
      </w:r>
      <w:r w:rsidR="00105019" w:rsidRPr="00503099">
        <w:rPr>
          <w:rFonts w:ascii="Times New Roman" w:hAnsi="Times New Roman"/>
          <w:sz w:val="24"/>
          <w:szCs w:val="24"/>
        </w:rPr>
        <w:t xml:space="preserve">Jacobs, Jr. </w:t>
      </w:r>
      <w:r w:rsidR="00105019">
        <w:rPr>
          <w:rFonts w:ascii="Times New Roman" w:hAnsi="Times New Roman"/>
          <w:sz w:val="24"/>
          <w:szCs w:val="24"/>
        </w:rPr>
        <w:t>et al</w:t>
      </w:r>
      <w:r w:rsidR="00105019" w:rsidRPr="00503099">
        <w:rPr>
          <w:rFonts w:ascii="Times New Roman" w:hAnsi="Times New Roman"/>
          <w:sz w:val="24"/>
          <w:szCs w:val="24"/>
        </w:rPr>
        <w:t>, 2015</w:t>
      </w:r>
      <w:r w:rsidR="00105019">
        <w:rPr>
          <w:rFonts w:ascii="Times New Roman" w:hAnsi="Times New Roman"/>
          <w:sz w:val="24"/>
          <w:szCs w:val="24"/>
        </w:rPr>
        <w:t>)</w:t>
      </w:r>
      <w:r w:rsidR="0034290E">
        <w:rPr>
          <w:rFonts w:ascii="Times New Roman" w:hAnsi="Times New Roman"/>
          <w:sz w:val="24"/>
          <w:szCs w:val="24"/>
        </w:rPr>
        <w:t>.</w:t>
      </w:r>
      <w:r w:rsidR="00D95D90">
        <w:rPr>
          <w:rFonts w:ascii="Times New Roman" w:hAnsi="Times New Roman"/>
          <w:sz w:val="24"/>
          <w:szCs w:val="24"/>
        </w:rPr>
        <w:t xml:space="preserve">  Jacobs (201</w:t>
      </w:r>
      <w:r w:rsidR="00D10EA7">
        <w:rPr>
          <w:rFonts w:ascii="Times New Roman" w:hAnsi="Times New Roman"/>
          <w:sz w:val="24"/>
          <w:szCs w:val="24"/>
        </w:rPr>
        <w:t>5</w:t>
      </w:r>
      <w:r w:rsidR="00D95D90">
        <w:rPr>
          <w:rFonts w:ascii="Times New Roman" w:hAnsi="Times New Roman"/>
          <w:sz w:val="24"/>
          <w:szCs w:val="24"/>
        </w:rPr>
        <w:t>)</w:t>
      </w:r>
      <w:r w:rsidR="00D95D90" w:rsidRPr="00D95D90">
        <w:rPr>
          <w:rFonts w:ascii="Times New Roman" w:hAnsi="Times New Roman"/>
          <w:sz w:val="24"/>
          <w:szCs w:val="24"/>
        </w:rPr>
        <w:t xml:space="preserve"> presents an analysis of the impact of asset price bubbles on standard credit risk measures</w:t>
      </w:r>
      <w:r w:rsidR="00D95D90">
        <w:rPr>
          <w:rFonts w:ascii="Times New Roman" w:hAnsi="Times New Roman"/>
          <w:sz w:val="24"/>
          <w:szCs w:val="24"/>
        </w:rPr>
        <w:t xml:space="preserve"> and provides</w:t>
      </w:r>
      <w:r w:rsidR="00D95D90" w:rsidRPr="00D95D90">
        <w:rPr>
          <w:rFonts w:ascii="Times New Roman" w:hAnsi="Times New Roman"/>
          <w:sz w:val="24"/>
          <w:szCs w:val="24"/>
        </w:rPr>
        <w:t xml:space="preserve"> evidence that asset price bubbles are a phenomenon that must be taken into consideration in the proper determination of economic capital for both credit risk management and measurement purposes.  </w:t>
      </w:r>
      <w:r w:rsidR="00D95D90">
        <w:rPr>
          <w:rFonts w:ascii="Times New Roman" w:hAnsi="Times New Roman"/>
          <w:sz w:val="24"/>
          <w:szCs w:val="24"/>
        </w:rPr>
        <w:t xml:space="preserve">The author also </w:t>
      </w:r>
      <w:r w:rsidR="00D95D90" w:rsidRPr="00D95D90">
        <w:rPr>
          <w:rFonts w:ascii="Times New Roman" w:hAnsi="Times New Roman"/>
          <w:sz w:val="24"/>
          <w:szCs w:val="24"/>
        </w:rPr>
        <w:t>calibrate</w:t>
      </w:r>
      <w:r w:rsidR="00D95D90">
        <w:rPr>
          <w:rFonts w:ascii="Times New Roman" w:hAnsi="Times New Roman"/>
          <w:sz w:val="24"/>
          <w:szCs w:val="24"/>
        </w:rPr>
        <w:t>s</w:t>
      </w:r>
      <w:r w:rsidR="00D95D90" w:rsidRPr="00D95D90">
        <w:rPr>
          <w:rFonts w:ascii="Times New Roman" w:hAnsi="Times New Roman"/>
          <w:sz w:val="24"/>
          <w:szCs w:val="24"/>
        </w:rPr>
        <w:t xml:space="preserve"> the model to historical equity prices and </w:t>
      </w:r>
      <w:r w:rsidR="00D95D90">
        <w:rPr>
          <w:rFonts w:ascii="Times New Roman" w:hAnsi="Times New Roman"/>
          <w:sz w:val="24"/>
          <w:szCs w:val="24"/>
        </w:rPr>
        <w:t xml:space="preserve">in in ST exercise </w:t>
      </w:r>
      <w:r w:rsidR="00D95D90" w:rsidRPr="00D95D90">
        <w:rPr>
          <w:rFonts w:ascii="Times New Roman" w:hAnsi="Times New Roman"/>
          <w:sz w:val="24"/>
          <w:szCs w:val="24"/>
        </w:rPr>
        <w:t>project credit losses on both baseline and stressed conditions for bubble and non-bubble parameter estimate settings.</w:t>
      </w:r>
      <w:r w:rsidR="004860F2">
        <w:rPr>
          <w:rFonts w:ascii="Times New Roman" w:hAnsi="Times New Roman"/>
          <w:sz w:val="24"/>
          <w:szCs w:val="24"/>
        </w:rPr>
        <w:t xml:space="preserve">  Jacobs (2017) extends Jacobs (201</w:t>
      </w:r>
      <w:r w:rsidR="00D10EA7">
        <w:rPr>
          <w:rFonts w:ascii="Times New Roman" w:hAnsi="Times New Roman"/>
          <w:sz w:val="24"/>
          <w:szCs w:val="24"/>
        </w:rPr>
        <w:t>5</w:t>
      </w:r>
      <w:r w:rsidR="004860F2">
        <w:rPr>
          <w:rFonts w:ascii="Times New Roman" w:hAnsi="Times New Roman"/>
          <w:sz w:val="24"/>
          <w:szCs w:val="24"/>
        </w:rPr>
        <w:t xml:space="preserve">) by performing a sensitivity analysis of the models with respect to key parameters, empirically calibrates the model to a long history of equity prices, and simulates the model under normal and stressed parameter settings.  While the author </w:t>
      </w:r>
      <w:r w:rsidR="004860F2" w:rsidRPr="004860F2">
        <w:rPr>
          <w:rFonts w:ascii="Times New Roman" w:hAnsi="Times New Roman"/>
          <w:sz w:val="24"/>
          <w:szCs w:val="24"/>
        </w:rPr>
        <w:t>find statistically significant evidence that the historical S&amp;P index exhibits only mild bubble behavior, this translates in underestimation of potential extreme credit losses according to standard measures by an order of magnitude</w:t>
      </w:r>
      <w:r w:rsidR="004860F2">
        <w:rPr>
          <w:rFonts w:ascii="Times New Roman" w:hAnsi="Times New Roman"/>
          <w:sz w:val="24"/>
          <w:szCs w:val="24"/>
        </w:rPr>
        <w:t>; h</w:t>
      </w:r>
      <w:r w:rsidR="004860F2" w:rsidRPr="004860F2">
        <w:rPr>
          <w:rFonts w:ascii="Times New Roman" w:hAnsi="Times New Roman"/>
          <w:sz w:val="24"/>
          <w:szCs w:val="24"/>
        </w:rPr>
        <w:t xml:space="preserve">owever, the degree of relative underestimation of risk due to asset price bubbles is significantly attenuated under stressed parameter setting in </w:t>
      </w:r>
      <w:r w:rsidR="004860F2">
        <w:rPr>
          <w:rFonts w:ascii="Times New Roman" w:hAnsi="Times New Roman"/>
          <w:sz w:val="24"/>
          <w:szCs w:val="24"/>
        </w:rPr>
        <w:t>the</w:t>
      </w:r>
      <w:r w:rsidR="004860F2" w:rsidRPr="004860F2">
        <w:rPr>
          <w:rFonts w:ascii="Times New Roman" w:hAnsi="Times New Roman"/>
          <w:sz w:val="24"/>
          <w:szCs w:val="24"/>
        </w:rPr>
        <w:t xml:space="preserve"> model.  </w:t>
      </w:r>
      <w:r w:rsidR="004860F2">
        <w:rPr>
          <w:rFonts w:ascii="Times New Roman" w:hAnsi="Times New Roman"/>
          <w:sz w:val="24"/>
          <w:szCs w:val="24"/>
        </w:rPr>
        <w:t xml:space="preserve">   </w:t>
      </w:r>
      <w:r w:rsidR="00D95D90" w:rsidRPr="00D95D90">
        <w:rPr>
          <w:rFonts w:ascii="Times New Roman" w:hAnsi="Times New Roman"/>
          <w:sz w:val="24"/>
          <w:szCs w:val="24"/>
        </w:rPr>
        <w:t xml:space="preserve"> </w:t>
      </w:r>
    </w:p>
    <w:p w:rsidR="002A6C9F" w:rsidRDefault="002A6C9F" w:rsidP="00416198">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 xml:space="preserve">The relative merits of various risk measures and the aggregation of varying risk types, classic examples being </w:t>
      </w:r>
      <w:r w:rsidRPr="00597DCA">
        <w:rPr>
          <w:rFonts w:ascii="Times New Roman" w:hAnsi="Times New Roman" w:cs="Calibri"/>
          <w:i/>
          <w:color w:val="000000"/>
          <w:sz w:val="24"/>
          <w:szCs w:val="24"/>
        </w:rPr>
        <w:t>Value-at-Risk</w:t>
      </w:r>
      <w:r>
        <w:rPr>
          <w:rFonts w:ascii="Times New Roman" w:hAnsi="Times New Roman" w:cs="Calibri"/>
          <w:color w:val="000000"/>
          <w:sz w:val="24"/>
          <w:szCs w:val="24"/>
        </w:rPr>
        <w:t xml:space="preserve"> (“VaR”) and related quantities, have been discussed extensively by prior research (Jorion 1997, 2006).  An important result in the domain of modeling dependency structures is</w:t>
      </w:r>
      <w:r w:rsidRPr="00415223">
        <w:rPr>
          <w:rFonts w:ascii="Times New Roman" w:hAnsi="Times New Roman" w:cs="Calibri"/>
          <w:color w:val="000000"/>
          <w:sz w:val="24"/>
          <w:szCs w:val="24"/>
        </w:rPr>
        <w:t xml:space="preserve"> </w:t>
      </w:r>
      <w:r>
        <w:rPr>
          <w:rFonts w:ascii="Times New Roman" w:hAnsi="Times New Roman" w:cs="Calibri"/>
          <w:color w:val="000000"/>
          <w:sz w:val="24"/>
          <w:szCs w:val="24"/>
        </w:rPr>
        <w:t xml:space="preserve">a </w:t>
      </w:r>
      <w:r w:rsidRPr="00415223">
        <w:rPr>
          <w:rFonts w:ascii="Times New Roman" w:hAnsi="Times New Roman" w:cs="Calibri"/>
          <w:color w:val="000000"/>
          <w:sz w:val="24"/>
          <w:szCs w:val="24"/>
        </w:rPr>
        <w:t>general result of mathematical statistics due to Sklar (1956), allow</w:t>
      </w:r>
      <w:r>
        <w:rPr>
          <w:rFonts w:ascii="Times New Roman" w:hAnsi="Times New Roman" w:cs="Calibri"/>
          <w:color w:val="000000"/>
          <w:sz w:val="24"/>
          <w:szCs w:val="24"/>
        </w:rPr>
        <w:t>ing</w:t>
      </w:r>
      <w:r w:rsidRPr="00415223">
        <w:rPr>
          <w:rFonts w:ascii="Times New Roman" w:hAnsi="Times New Roman" w:cs="Calibri"/>
          <w:color w:val="000000"/>
          <w:sz w:val="24"/>
          <w:szCs w:val="24"/>
        </w:rPr>
        <w:t xml:space="preserve"> the combination of arbitrary marginal risk distributions into a joint distribution while preserving a non-normal correlation structure</w:t>
      </w:r>
      <w:r>
        <w:rPr>
          <w:rFonts w:ascii="Times New Roman" w:hAnsi="Times New Roman" w:cs="Calibri"/>
          <w:color w:val="000000"/>
          <w:sz w:val="24"/>
          <w:szCs w:val="24"/>
        </w:rPr>
        <w:t xml:space="preserve">, </w:t>
      </w:r>
      <w:r w:rsidRPr="00415223">
        <w:rPr>
          <w:rFonts w:ascii="Times New Roman" w:hAnsi="Times New Roman" w:cs="Calibri"/>
          <w:color w:val="000000"/>
          <w:sz w:val="24"/>
          <w:szCs w:val="24"/>
        </w:rPr>
        <w:t>readi</w:t>
      </w:r>
      <w:r>
        <w:rPr>
          <w:rFonts w:ascii="Times New Roman" w:hAnsi="Times New Roman" w:cs="Calibri"/>
          <w:color w:val="000000"/>
          <w:sz w:val="24"/>
          <w:szCs w:val="24"/>
        </w:rPr>
        <w:t>l</w:t>
      </w:r>
      <w:r w:rsidRPr="00415223">
        <w:rPr>
          <w:rFonts w:ascii="Times New Roman" w:hAnsi="Times New Roman" w:cs="Calibri"/>
          <w:color w:val="000000"/>
          <w:sz w:val="24"/>
          <w:szCs w:val="24"/>
        </w:rPr>
        <w:t>y found an application</w:t>
      </w:r>
      <w:r>
        <w:rPr>
          <w:rFonts w:ascii="Times New Roman" w:hAnsi="Times New Roman" w:cs="Calibri"/>
          <w:color w:val="000000"/>
          <w:sz w:val="24"/>
          <w:szCs w:val="24"/>
        </w:rPr>
        <w:t xml:space="preserve"> in finance</w:t>
      </w:r>
      <w:r w:rsidRPr="00415223">
        <w:rPr>
          <w:rFonts w:ascii="Times New Roman" w:hAnsi="Times New Roman" w:cs="Calibri"/>
          <w:color w:val="000000"/>
          <w:sz w:val="24"/>
          <w:szCs w:val="24"/>
        </w:rPr>
        <w:t>.  Among the early academics to introduce this methodology is Embrechts et al. (1999, 2002</w:t>
      </w:r>
      <w:r>
        <w:rPr>
          <w:rFonts w:ascii="Times New Roman" w:hAnsi="Times New Roman" w:cs="Calibri"/>
          <w:color w:val="000000"/>
          <w:sz w:val="24"/>
          <w:szCs w:val="24"/>
        </w:rPr>
        <w:t xml:space="preserve">, </w:t>
      </w:r>
      <w:proofErr w:type="gramStart"/>
      <w:r>
        <w:rPr>
          <w:rFonts w:ascii="Times New Roman" w:hAnsi="Times New Roman" w:cs="Calibri"/>
          <w:color w:val="000000"/>
          <w:sz w:val="24"/>
          <w:szCs w:val="24"/>
        </w:rPr>
        <w:t>2003</w:t>
      </w:r>
      <w:proofErr w:type="gramEnd"/>
      <w:r w:rsidRPr="00415223">
        <w:rPr>
          <w:rFonts w:ascii="Times New Roman" w:hAnsi="Times New Roman" w:cs="Calibri"/>
          <w:color w:val="000000"/>
          <w:sz w:val="24"/>
          <w:szCs w:val="24"/>
        </w:rPr>
        <w:t>).  This was applied to credit risk management and credit derivatives by Li (2000).  The notion of copulas as a generalization of dependence according to linear correlations is used as a motivation for applying the technique to understanding tail events in Frey and McNeil (2001).  This treatment of tail dependence contrasts to Poon et al (2004), who instead use a data intensive multivariate extension of extreme value theory, which requires observations of joint tail events.</w:t>
      </w:r>
      <w:r>
        <w:rPr>
          <w:rFonts w:ascii="Times New Roman" w:hAnsi="Times New Roman" w:cs="Calibri"/>
          <w:color w:val="000000"/>
          <w:sz w:val="24"/>
          <w:szCs w:val="24"/>
        </w:rPr>
        <w:t xml:space="preserve">  </w:t>
      </w:r>
      <w:r w:rsidRPr="00415223">
        <w:rPr>
          <w:rFonts w:ascii="Times New Roman" w:hAnsi="Times New Roman" w:cs="Calibri"/>
          <w:color w:val="000000"/>
          <w:sz w:val="24"/>
          <w:szCs w:val="24"/>
        </w:rPr>
        <w:t xml:space="preserve"> </w:t>
      </w:r>
      <w:r>
        <w:rPr>
          <w:rFonts w:ascii="Times New Roman" w:hAnsi="Times New Roman" w:cs="Calibri"/>
          <w:color w:val="000000"/>
          <w:sz w:val="24"/>
          <w:szCs w:val="24"/>
        </w:rPr>
        <w:t xml:space="preserve">Inanoglu and Jacobs (2010) </w:t>
      </w:r>
      <w:r w:rsidRPr="00B127FE">
        <w:rPr>
          <w:rFonts w:ascii="Times New Roman" w:hAnsi="Times New Roman" w:cs="Calibri"/>
          <w:color w:val="000000"/>
          <w:sz w:val="24"/>
          <w:szCs w:val="24"/>
        </w:rPr>
        <w:t>developing a coherent approach to aggregating different risk types</w:t>
      </w:r>
      <w:r>
        <w:rPr>
          <w:rFonts w:ascii="Times New Roman" w:hAnsi="Times New Roman" w:cs="Calibri"/>
          <w:color w:val="000000"/>
          <w:sz w:val="24"/>
          <w:szCs w:val="24"/>
        </w:rPr>
        <w:t xml:space="preserve"> </w:t>
      </w:r>
      <w:r w:rsidRPr="00B127FE">
        <w:rPr>
          <w:rFonts w:ascii="Times New Roman" w:hAnsi="Times New Roman" w:cs="Calibri"/>
          <w:color w:val="000000"/>
          <w:sz w:val="24"/>
          <w:szCs w:val="24"/>
        </w:rPr>
        <w:t xml:space="preserve">for </w:t>
      </w:r>
      <w:r>
        <w:rPr>
          <w:rFonts w:ascii="Times New Roman" w:hAnsi="Times New Roman" w:cs="Calibri"/>
          <w:color w:val="000000"/>
          <w:sz w:val="24"/>
          <w:szCs w:val="24"/>
        </w:rPr>
        <w:t xml:space="preserve">a </w:t>
      </w:r>
      <w:r w:rsidRPr="00B127FE">
        <w:rPr>
          <w:rFonts w:ascii="Times New Roman" w:hAnsi="Times New Roman" w:cs="Calibri"/>
          <w:color w:val="000000"/>
          <w:sz w:val="24"/>
          <w:szCs w:val="24"/>
        </w:rPr>
        <w:t xml:space="preserve">diversified financial institutions.  The </w:t>
      </w:r>
      <w:r>
        <w:rPr>
          <w:rFonts w:ascii="Times New Roman" w:hAnsi="Times New Roman" w:cs="Calibri"/>
          <w:color w:val="000000"/>
          <w:sz w:val="24"/>
          <w:szCs w:val="24"/>
        </w:rPr>
        <w:t xml:space="preserve">authors model the </w:t>
      </w:r>
      <w:r w:rsidRPr="00B127FE">
        <w:rPr>
          <w:rFonts w:ascii="Times New Roman" w:hAnsi="Times New Roman" w:cs="Calibri"/>
          <w:color w:val="000000"/>
          <w:sz w:val="24"/>
          <w:szCs w:val="24"/>
        </w:rPr>
        <w:t xml:space="preserve">main risks faced - market, credit and operational – </w:t>
      </w:r>
      <w:r>
        <w:rPr>
          <w:rFonts w:ascii="Times New Roman" w:hAnsi="Times New Roman" w:cs="Calibri"/>
          <w:color w:val="000000"/>
          <w:sz w:val="24"/>
          <w:szCs w:val="24"/>
        </w:rPr>
        <w:t xml:space="preserve">that </w:t>
      </w:r>
      <w:r w:rsidRPr="00B127FE">
        <w:rPr>
          <w:rFonts w:ascii="Times New Roman" w:hAnsi="Times New Roman" w:cs="Calibri"/>
          <w:color w:val="000000"/>
          <w:sz w:val="24"/>
          <w:szCs w:val="24"/>
        </w:rPr>
        <w:t>have distinct distributional properties, and historically have been modeled in differing framework</w:t>
      </w:r>
      <w:r>
        <w:rPr>
          <w:rFonts w:ascii="Times New Roman" w:hAnsi="Times New Roman" w:cs="Calibri"/>
          <w:color w:val="000000"/>
          <w:sz w:val="24"/>
          <w:szCs w:val="24"/>
        </w:rPr>
        <w:t>,</w:t>
      </w:r>
      <w:r w:rsidRPr="00B127FE">
        <w:rPr>
          <w:rFonts w:ascii="Times New Roman" w:hAnsi="Times New Roman" w:cs="Calibri"/>
          <w:color w:val="000000"/>
          <w:sz w:val="24"/>
          <w:szCs w:val="24"/>
        </w:rPr>
        <w:t xml:space="preserve"> contribut</w:t>
      </w:r>
      <w:r>
        <w:rPr>
          <w:rFonts w:ascii="Times New Roman" w:hAnsi="Times New Roman" w:cs="Calibri"/>
          <w:color w:val="000000"/>
          <w:sz w:val="24"/>
          <w:szCs w:val="24"/>
        </w:rPr>
        <w:t>ing</w:t>
      </w:r>
      <w:r w:rsidRPr="00B127FE">
        <w:rPr>
          <w:rFonts w:ascii="Times New Roman" w:hAnsi="Times New Roman" w:cs="Calibri"/>
          <w:color w:val="000000"/>
          <w:sz w:val="24"/>
          <w:szCs w:val="24"/>
        </w:rPr>
        <w:t xml:space="preserve"> to the modeling effort by providing tools and insights to practitioners and regulators.</w:t>
      </w:r>
    </w:p>
    <w:p w:rsidR="00B22940" w:rsidRDefault="0034290E" w:rsidP="00416198">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One of th</w:t>
      </w:r>
      <w:r w:rsidR="00FF6292">
        <w:rPr>
          <w:rFonts w:ascii="Times New Roman" w:hAnsi="Times New Roman" w:cs="Calibri"/>
          <w:color w:val="000000"/>
          <w:sz w:val="24"/>
          <w:szCs w:val="24"/>
        </w:rPr>
        <w:t>e</w:t>
      </w:r>
      <w:r>
        <w:rPr>
          <w:rFonts w:ascii="Times New Roman" w:hAnsi="Times New Roman" w:cs="Calibri"/>
          <w:color w:val="000000"/>
          <w:sz w:val="24"/>
          <w:szCs w:val="24"/>
        </w:rPr>
        <w:t xml:space="preserve"> </w:t>
      </w:r>
      <w:r w:rsidR="00FF6292">
        <w:rPr>
          <w:rFonts w:ascii="Times New Roman" w:hAnsi="Times New Roman" w:cs="Calibri"/>
          <w:color w:val="000000"/>
          <w:sz w:val="24"/>
          <w:szCs w:val="24"/>
        </w:rPr>
        <w:t>previously mentioned</w:t>
      </w:r>
      <w:r>
        <w:rPr>
          <w:rFonts w:ascii="Times New Roman" w:hAnsi="Times New Roman" w:cs="Calibri"/>
          <w:color w:val="000000"/>
          <w:sz w:val="24"/>
          <w:szCs w:val="24"/>
        </w:rPr>
        <w:t xml:space="preserve"> </w:t>
      </w:r>
      <w:r w:rsidR="00FF6292">
        <w:rPr>
          <w:rFonts w:ascii="Times New Roman" w:hAnsi="Times New Roman" w:cs="Calibri"/>
          <w:color w:val="000000"/>
          <w:sz w:val="24"/>
          <w:szCs w:val="24"/>
        </w:rPr>
        <w:t>stress test</w:t>
      </w:r>
      <w:r>
        <w:rPr>
          <w:rFonts w:ascii="Times New Roman" w:hAnsi="Times New Roman" w:cs="Calibri"/>
          <w:color w:val="000000"/>
          <w:sz w:val="24"/>
          <w:szCs w:val="24"/>
        </w:rPr>
        <w:t xml:space="preserve"> surveys</w:t>
      </w:r>
      <w:r w:rsidR="004713C5">
        <w:rPr>
          <w:rFonts w:ascii="Times New Roman" w:hAnsi="Times New Roman" w:cs="Calibri"/>
          <w:color w:val="000000"/>
          <w:sz w:val="24"/>
          <w:szCs w:val="24"/>
        </w:rPr>
        <w:t xml:space="preserve"> highlights t</w:t>
      </w:r>
      <w:r w:rsidR="00B22940" w:rsidRPr="00B22940">
        <w:rPr>
          <w:rFonts w:ascii="Times New Roman" w:hAnsi="Times New Roman" w:cs="Calibri"/>
          <w:color w:val="000000"/>
          <w:sz w:val="24"/>
          <w:szCs w:val="24"/>
        </w:rPr>
        <w:t>he</w:t>
      </w:r>
      <w:r w:rsidR="004713C5">
        <w:rPr>
          <w:rFonts w:ascii="Times New Roman" w:hAnsi="Times New Roman" w:cs="Calibri"/>
          <w:color w:val="000000"/>
          <w:sz w:val="24"/>
          <w:szCs w:val="24"/>
        </w:rPr>
        <w:t xml:space="preserve"> 2009 U.S. </w:t>
      </w:r>
      <w:r w:rsidR="00FF6292">
        <w:rPr>
          <w:rFonts w:ascii="Times New Roman" w:hAnsi="Times New Roman" w:cs="Calibri"/>
          <w:color w:val="000000"/>
          <w:sz w:val="24"/>
          <w:szCs w:val="24"/>
        </w:rPr>
        <w:t>stress testing</w:t>
      </w:r>
      <w:r w:rsidR="004713C5">
        <w:rPr>
          <w:rFonts w:ascii="Times New Roman" w:hAnsi="Times New Roman" w:cs="Calibri"/>
          <w:color w:val="000000"/>
          <w:sz w:val="24"/>
          <w:szCs w:val="24"/>
        </w:rPr>
        <w:t xml:space="preserve"> exercise, the </w:t>
      </w:r>
      <w:r w:rsidR="004713C5" w:rsidRPr="004713C5">
        <w:rPr>
          <w:rFonts w:ascii="Times New Roman" w:hAnsi="Times New Roman" w:cs="Calibri"/>
          <w:i/>
          <w:color w:val="000000"/>
          <w:sz w:val="24"/>
          <w:szCs w:val="24"/>
        </w:rPr>
        <w:t>Supervisory Capital Assessment Program</w:t>
      </w:r>
      <w:r w:rsidR="004713C5">
        <w:rPr>
          <w:rFonts w:ascii="Times New Roman" w:hAnsi="Times New Roman" w:cs="Calibri"/>
          <w:color w:val="000000"/>
          <w:sz w:val="24"/>
          <w:szCs w:val="24"/>
        </w:rPr>
        <w:t xml:space="preserve"> (“SCAP”) as a</w:t>
      </w:r>
      <w:r w:rsidR="00220634">
        <w:rPr>
          <w:rFonts w:ascii="Times New Roman" w:hAnsi="Times New Roman" w:cs="Calibri"/>
          <w:color w:val="000000"/>
          <w:sz w:val="24"/>
          <w:szCs w:val="24"/>
        </w:rPr>
        <w:t>n informative model</w:t>
      </w:r>
      <w:r w:rsidR="009D0FC3" w:rsidRPr="00581937">
        <w:rPr>
          <w:rFonts w:ascii="Times New Roman" w:hAnsi="Times New Roman"/>
          <w:sz w:val="24"/>
          <w:szCs w:val="24"/>
        </w:rPr>
        <w:t xml:space="preserve"> </w:t>
      </w:r>
      <w:r w:rsidR="009D0FC3">
        <w:rPr>
          <w:rFonts w:ascii="Times New Roman" w:hAnsi="Times New Roman"/>
          <w:sz w:val="24"/>
          <w:szCs w:val="24"/>
        </w:rPr>
        <w:t>(</w:t>
      </w:r>
      <w:proofErr w:type="spellStart"/>
      <w:r w:rsidR="009D0FC3" w:rsidRPr="00D85023">
        <w:rPr>
          <w:rFonts w:ascii="Times New Roman" w:hAnsi="Times New Roman"/>
          <w:sz w:val="24"/>
          <w:szCs w:val="24"/>
        </w:rPr>
        <w:t>Schuermann</w:t>
      </w:r>
      <w:proofErr w:type="spellEnd"/>
      <w:r w:rsidR="009D0FC3" w:rsidRPr="00D85023">
        <w:rPr>
          <w:rFonts w:ascii="Times New Roman" w:hAnsi="Times New Roman"/>
          <w:sz w:val="24"/>
          <w:szCs w:val="24"/>
        </w:rPr>
        <w:t>, 201</w:t>
      </w:r>
      <w:r w:rsidR="004F7868">
        <w:rPr>
          <w:rFonts w:ascii="Times New Roman" w:hAnsi="Times New Roman"/>
          <w:sz w:val="24"/>
          <w:szCs w:val="24"/>
        </w:rPr>
        <w:t>4</w:t>
      </w:r>
      <w:r w:rsidR="009D0FC3">
        <w:rPr>
          <w:rFonts w:ascii="Times New Roman" w:hAnsi="Times New Roman"/>
          <w:sz w:val="24"/>
          <w:szCs w:val="24"/>
        </w:rPr>
        <w:t>)</w:t>
      </w:r>
      <w:r w:rsidR="00220634">
        <w:rPr>
          <w:rFonts w:ascii="Times New Roman" w:hAnsi="Times New Roman" w:cs="Calibri"/>
          <w:color w:val="000000"/>
          <w:sz w:val="24"/>
          <w:szCs w:val="24"/>
        </w:rPr>
        <w:t>.</w:t>
      </w:r>
      <w:r w:rsidR="00DD5DF3">
        <w:rPr>
          <w:rFonts w:ascii="Times New Roman" w:hAnsi="Times New Roman" w:cs="Calibri"/>
          <w:color w:val="000000"/>
          <w:sz w:val="24"/>
          <w:szCs w:val="24"/>
        </w:rPr>
        <w:t xml:space="preserve">  In that period there was incredible </w:t>
      </w:r>
      <w:r w:rsidR="00FF6292">
        <w:rPr>
          <w:rFonts w:ascii="Times New Roman" w:hAnsi="Times New Roman" w:cs="Calibri"/>
          <w:color w:val="000000"/>
          <w:sz w:val="24"/>
          <w:szCs w:val="24"/>
        </w:rPr>
        <w:t xml:space="preserve">concern </w:t>
      </w:r>
      <w:r w:rsidR="00DD5DF3">
        <w:rPr>
          <w:rFonts w:ascii="Times New Roman" w:hAnsi="Times New Roman" w:cs="Calibri"/>
          <w:color w:val="000000"/>
          <w:sz w:val="24"/>
          <w:szCs w:val="24"/>
        </w:rPr>
        <w:t>amongst investors over the viability of the U.S. financial system, given the looming and credible threat of massive</w:t>
      </w:r>
      <w:r w:rsidR="00FF6292">
        <w:rPr>
          <w:rFonts w:ascii="Times New Roman" w:hAnsi="Times New Roman" w:cs="Calibri"/>
          <w:color w:val="000000"/>
          <w:sz w:val="24"/>
          <w:szCs w:val="24"/>
        </w:rPr>
        <w:t xml:space="preserve"> equity</w:t>
      </w:r>
      <w:r w:rsidR="00DD5DF3">
        <w:rPr>
          <w:rFonts w:ascii="Times New Roman" w:hAnsi="Times New Roman" w:cs="Calibri"/>
          <w:color w:val="000000"/>
          <w:sz w:val="24"/>
          <w:szCs w:val="24"/>
        </w:rPr>
        <w:t xml:space="preserve"> dilution stemming from government action</w:t>
      </w:r>
      <w:r w:rsidR="00FF6292">
        <w:rPr>
          <w:rFonts w:ascii="Times New Roman" w:hAnsi="Times New Roman" w:cs="Calibri"/>
          <w:color w:val="000000"/>
          <w:sz w:val="24"/>
          <w:szCs w:val="24"/>
        </w:rPr>
        <w:t>, such as bailouts mandated by regulators</w:t>
      </w:r>
      <w:r w:rsidR="00DD5DF3">
        <w:rPr>
          <w:rFonts w:ascii="Times New Roman" w:hAnsi="Times New Roman" w:cs="Calibri"/>
          <w:color w:val="000000"/>
          <w:sz w:val="24"/>
          <w:szCs w:val="24"/>
        </w:rPr>
        <w:t>.</w:t>
      </w:r>
      <w:r w:rsidR="00B9760D">
        <w:rPr>
          <w:rFonts w:ascii="Times New Roman" w:hAnsi="Times New Roman" w:cs="Calibri"/>
          <w:color w:val="000000"/>
          <w:sz w:val="24"/>
          <w:szCs w:val="24"/>
        </w:rPr>
        <w:t xml:space="preserve">  The concept underlying the application of a macro-prudential </w:t>
      </w:r>
      <w:r w:rsidR="00FF6292">
        <w:rPr>
          <w:rFonts w:ascii="Times New Roman" w:hAnsi="Times New Roman" w:cs="Calibri"/>
          <w:color w:val="000000"/>
          <w:sz w:val="24"/>
          <w:szCs w:val="24"/>
        </w:rPr>
        <w:t>stress test</w:t>
      </w:r>
      <w:r w:rsidR="00B9760D">
        <w:rPr>
          <w:rFonts w:ascii="Times New Roman" w:hAnsi="Times New Roman" w:cs="Calibri"/>
          <w:color w:val="000000"/>
          <w:sz w:val="24"/>
          <w:szCs w:val="24"/>
        </w:rPr>
        <w:t xml:space="preserve"> was that a bright line, delineating failure or survival </w:t>
      </w:r>
      <w:r w:rsidR="00B9760D">
        <w:rPr>
          <w:rFonts w:ascii="Times New Roman" w:hAnsi="Times New Roman" w:cs="Calibri"/>
          <w:color w:val="000000"/>
          <w:sz w:val="24"/>
          <w:szCs w:val="24"/>
        </w:rPr>
        <w:lastRenderedPageBreak/>
        <w:t xml:space="preserve">under a credibly severe systematic scenario, would convince investors that </w:t>
      </w:r>
      <w:r w:rsidR="00FF6292">
        <w:rPr>
          <w:rFonts w:ascii="Times New Roman" w:hAnsi="Times New Roman" w:cs="Calibri"/>
          <w:color w:val="000000"/>
          <w:sz w:val="24"/>
          <w:szCs w:val="24"/>
        </w:rPr>
        <w:t>failure of one or more financial institutions was unlikely, thus making the likelihood of capital injections remote</w:t>
      </w:r>
      <w:r w:rsidR="00B9760D">
        <w:rPr>
          <w:rFonts w:ascii="Times New Roman" w:hAnsi="Times New Roman" w:cs="Calibri"/>
          <w:color w:val="000000"/>
          <w:sz w:val="24"/>
          <w:szCs w:val="24"/>
        </w:rPr>
        <w:t>.</w:t>
      </w:r>
      <w:r w:rsidR="00416198">
        <w:rPr>
          <w:rFonts w:ascii="Times New Roman" w:hAnsi="Times New Roman" w:cs="Calibri"/>
          <w:color w:val="000000"/>
          <w:sz w:val="24"/>
          <w:szCs w:val="24"/>
        </w:rPr>
        <w:t xml:space="preserve"> </w:t>
      </w:r>
      <w:r w:rsidR="00962102">
        <w:rPr>
          <w:rFonts w:ascii="Times New Roman" w:hAnsi="Times New Roman" w:cs="Calibri"/>
          <w:color w:val="000000"/>
          <w:sz w:val="24"/>
          <w:szCs w:val="24"/>
        </w:rPr>
        <w:t xml:space="preserve"> </w:t>
      </w:r>
      <w:r w:rsidR="00416198">
        <w:rPr>
          <w:rFonts w:ascii="Times New Roman" w:hAnsi="Times New Roman" w:cs="Calibri"/>
          <w:color w:val="000000"/>
          <w:sz w:val="24"/>
          <w:szCs w:val="24"/>
        </w:rPr>
        <w:t>T</w:t>
      </w:r>
      <w:r w:rsidR="00FF6292">
        <w:rPr>
          <w:rFonts w:ascii="Times New Roman" w:hAnsi="Times New Roman" w:cs="Calibri"/>
          <w:color w:val="000000"/>
          <w:sz w:val="24"/>
          <w:szCs w:val="24"/>
        </w:rPr>
        <w:t>he SCAP</w:t>
      </w:r>
      <w:r w:rsidR="00416198">
        <w:rPr>
          <w:rFonts w:ascii="Times New Roman" w:hAnsi="Times New Roman" w:cs="Calibri"/>
          <w:color w:val="000000"/>
          <w:sz w:val="24"/>
          <w:szCs w:val="24"/>
        </w:rPr>
        <w:t xml:space="preserve"> exercise covered 19 banks in the U.S., having book value of assets greater than $100</w:t>
      </w:r>
      <w:r w:rsidR="00FF6292">
        <w:rPr>
          <w:rFonts w:ascii="Times New Roman" w:hAnsi="Times New Roman" w:cs="Calibri"/>
          <w:color w:val="000000"/>
          <w:sz w:val="24"/>
          <w:szCs w:val="24"/>
        </w:rPr>
        <w:t xml:space="preserve"> billion</w:t>
      </w:r>
      <w:r w:rsidR="00416198">
        <w:rPr>
          <w:rFonts w:ascii="Times New Roman" w:hAnsi="Times New Roman" w:cs="Calibri"/>
          <w:color w:val="000000"/>
          <w:sz w:val="24"/>
          <w:szCs w:val="24"/>
        </w:rPr>
        <w:t xml:space="preserve"> (</w:t>
      </w:r>
      <w:r w:rsidR="00FE2AC1">
        <w:rPr>
          <w:rFonts w:ascii="Times New Roman" w:hAnsi="Times New Roman" w:cs="Calibri"/>
          <w:color w:val="000000"/>
          <w:sz w:val="24"/>
          <w:szCs w:val="24"/>
        </w:rPr>
        <w:t xml:space="preserve">comprising </w:t>
      </w:r>
      <w:r w:rsidR="00416198">
        <w:rPr>
          <w:rFonts w:ascii="Times New Roman" w:hAnsi="Times New Roman" w:cs="Calibri"/>
          <w:color w:val="000000"/>
          <w:sz w:val="24"/>
          <w:szCs w:val="24"/>
        </w:rPr>
        <w:t>approximate</w:t>
      </w:r>
      <w:r w:rsidR="00FE2AC1">
        <w:rPr>
          <w:rFonts w:ascii="Times New Roman" w:hAnsi="Times New Roman" w:cs="Calibri"/>
          <w:color w:val="000000"/>
          <w:sz w:val="24"/>
          <w:szCs w:val="24"/>
        </w:rPr>
        <w:t>ly</w:t>
      </w:r>
      <w:r w:rsidR="00416198">
        <w:rPr>
          <w:rFonts w:ascii="Times New Roman" w:hAnsi="Times New Roman" w:cs="Calibri"/>
          <w:color w:val="000000"/>
          <w:sz w:val="24"/>
          <w:szCs w:val="24"/>
        </w:rPr>
        <w:t xml:space="preserve"> two-thirds the total in the system) as of the year-end 2008.  The SCAP resulted in 10 of those banks having to raise a total of $75</w:t>
      </w:r>
      <w:r w:rsidR="00FF6292">
        <w:rPr>
          <w:rFonts w:ascii="Times New Roman" w:hAnsi="Times New Roman" w:cs="Calibri"/>
          <w:color w:val="000000"/>
          <w:sz w:val="24"/>
          <w:szCs w:val="24"/>
        </w:rPr>
        <w:t xml:space="preserve"> billion</w:t>
      </w:r>
      <w:r w:rsidR="00416198">
        <w:rPr>
          <w:rFonts w:ascii="Times New Roman" w:hAnsi="Times New Roman" w:cs="Calibri"/>
          <w:color w:val="000000"/>
          <w:sz w:val="24"/>
          <w:szCs w:val="24"/>
        </w:rPr>
        <w:t xml:space="preserve"> in capital (</w:t>
      </w:r>
      <w:r w:rsidR="00FF6292">
        <w:rPr>
          <w:rFonts w:ascii="Times New Roman" w:hAnsi="Times New Roman" w:cs="Calibri"/>
          <w:color w:val="000000"/>
          <w:sz w:val="24"/>
          <w:szCs w:val="24"/>
        </w:rPr>
        <w:t xml:space="preserve">$77 billion in </w:t>
      </w:r>
      <w:r w:rsidR="00416198">
        <w:rPr>
          <w:rFonts w:ascii="Times New Roman" w:hAnsi="Times New Roman" w:cs="Calibri"/>
          <w:color w:val="000000"/>
          <w:sz w:val="24"/>
          <w:szCs w:val="24"/>
        </w:rPr>
        <w:t>Tier 1 common equity) in a six month period</w:t>
      </w:r>
      <w:r w:rsidR="00B9074F">
        <w:rPr>
          <w:rFonts w:ascii="Times New Roman" w:hAnsi="Times New Roman" w:cs="Calibri"/>
          <w:color w:val="000000"/>
          <w:sz w:val="24"/>
          <w:szCs w:val="24"/>
        </w:rPr>
        <w:t>.</w:t>
      </w:r>
    </w:p>
    <w:p w:rsidR="00847AF3" w:rsidRPr="00B22940" w:rsidRDefault="00847AF3" w:rsidP="00416198">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 xml:space="preserve">Clark and </w:t>
      </w:r>
      <w:proofErr w:type="spellStart"/>
      <w:r>
        <w:rPr>
          <w:rFonts w:ascii="Times New Roman" w:hAnsi="Times New Roman" w:cs="Calibri"/>
          <w:color w:val="000000"/>
          <w:sz w:val="24"/>
          <w:szCs w:val="24"/>
        </w:rPr>
        <w:t>Ryu</w:t>
      </w:r>
      <w:proofErr w:type="spellEnd"/>
      <w:r>
        <w:rPr>
          <w:rFonts w:ascii="Times New Roman" w:hAnsi="Times New Roman" w:cs="Calibri"/>
          <w:color w:val="000000"/>
          <w:sz w:val="24"/>
          <w:szCs w:val="24"/>
        </w:rPr>
        <w:t xml:space="preserve"> (201</w:t>
      </w:r>
      <w:r w:rsidR="004F7868">
        <w:rPr>
          <w:rFonts w:ascii="Times New Roman" w:hAnsi="Times New Roman" w:cs="Calibri"/>
          <w:color w:val="000000"/>
          <w:sz w:val="24"/>
          <w:szCs w:val="24"/>
        </w:rPr>
        <w:t>5</w:t>
      </w:r>
      <w:r>
        <w:rPr>
          <w:rFonts w:ascii="Times New Roman" w:hAnsi="Times New Roman" w:cs="Calibri"/>
          <w:color w:val="000000"/>
          <w:sz w:val="24"/>
          <w:szCs w:val="24"/>
        </w:rPr>
        <w:t>)</w:t>
      </w:r>
      <w:r w:rsidR="00921E4F">
        <w:rPr>
          <w:rFonts w:ascii="Times New Roman" w:hAnsi="Times New Roman" w:cs="Calibri"/>
          <w:color w:val="000000"/>
          <w:sz w:val="24"/>
          <w:szCs w:val="24"/>
        </w:rPr>
        <w:t xml:space="preserve"> note that CCA</w:t>
      </w:r>
      <w:r w:rsidR="00354224">
        <w:rPr>
          <w:rFonts w:ascii="Times New Roman" w:hAnsi="Times New Roman" w:cs="Calibri"/>
          <w:color w:val="000000"/>
          <w:sz w:val="24"/>
          <w:szCs w:val="24"/>
        </w:rPr>
        <w:t>R was initially planned in 2010</w:t>
      </w:r>
      <w:r w:rsidR="00921E4F">
        <w:rPr>
          <w:rFonts w:ascii="Times New Roman" w:hAnsi="Times New Roman" w:cs="Calibri"/>
          <w:color w:val="000000"/>
          <w:sz w:val="24"/>
          <w:szCs w:val="24"/>
        </w:rPr>
        <w:t xml:space="preserve"> and rolled out in 2011. </w:t>
      </w:r>
      <w:r w:rsidR="00031A26">
        <w:rPr>
          <w:rFonts w:ascii="Times New Roman" w:hAnsi="Times New Roman" w:cs="Calibri"/>
          <w:color w:val="000000"/>
          <w:sz w:val="24"/>
          <w:szCs w:val="24"/>
        </w:rPr>
        <w:t xml:space="preserve"> </w:t>
      </w:r>
      <w:r w:rsidR="00921E4F">
        <w:rPr>
          <w:rFonts w:ascii="Times New Roman" w:hAnsi="Times New Roman" w:cs="Calibri"/>
          <w:color w:val="000000"/>
          <w:sz w:val="24"/>
          <w:szCs w:val="24"/>
        </w:rPr>
        <w:t>It initially covered the 1</w:t>
      </w:r>
      <w:r w:rsidR="00031A26">
        <w:rPr>
          <w:rFonts w:ascii="Times New Roman" w:hAnsi="Times New Roman" w:cs="Calibri"/>
          <w:color w:val="000000"/>
          <w:sz w:val="24"/>
          <w:szCs w:val="24"/>
        </w:rPr>
        <w:t>9 banks covered under SCAP, but</w:t>
      </w:r>
      <w:r w:rsidR="00921E4F">
        <w:rPr>
          <w:rFonts w:ascii="Times New Roman" w:hAnsi="Times New Roman" w:cs="Calibri"/>
          <w:color w:val="000000"/>
          <w:sz w:val="24"/>
          <w:szCs w:val="24"/>
        </w:rPr>
        <w:t xml:space="preserve"> as they document, a rule in November 2011 required all banks above $50 billion in assets to adhere to the CCAR regime. </w:t>
      </w:r>
      <w:r w:rsidR="00031A26">
        <w:rPr>
          <w:rFonts w:ascii="Times New Roman" w:hAnsi="Times New Roman" w:cs="Calibri"/>
          <w:color w:val="000000"/>
          <w:sz w:val="24"/>
          <w:szCs w:val="24"/>
        </w:rPr>
        <w:t xml:space="preserve"> </w:t>
      </w:r>
      <w:r w:rsidR="00921E4F">
        <w:rPr>
          <w:rFonts w:ascii="Times New Roman" w:hAnsi="Times New Roman" w:cs="Calibri"/>
          <w:color w:val="000000"/>
          <w:sz w:val="24"/>
          <w:szCs w:val="24"/>
        </w:rPr>
        <w:t xml:space="preserve">The CCAR regime includes </w:t>
      </w:r>
      <w:r w:rsidR="00921E4F" w:rsidRPr="00031A26">
        <w:rPr>
          <w:rFonts w:ascii="Times New Roman" w:hAnsi="Times New Roman" w:cs="Calibri"/>
          <w:i/>
          <w:color w:val="000000"/>
          <w:sz w:val="24"/>
          <w:szCs w:val="24"/>
        </w:rPr>
        <w:t>Dodd-Frank Act Stress Tes</w:t>
      </w:r>
      <w:r w:rsidR="00031A26">
        <w:rPr>
          <w:rFonts w:ascii="Times New Roman" w:hAnsi="Times New Roman" w:cs="Calibri"/>
          <w:i/>
          <w:color w:val="000000"/>
          <w:sz w:val="24"/>
          <w:szCs w:val="24"/>
        </w:rPr>
        <w:t>ts</w:t>
      </w:r>
      <w:r w:rsidR="00921E4F">
        <w:rPr>
          <w:rFonts w:ascii="Times New Roman" w:hAnsi="Times New Roman" w:cs="Calibri"/>
          <w:color w:val="000000"/>
          <w:sz w:val="24"/>
          <w:szCs w:val="24"/>
        </w:rPr>
        <w:t xml:space="preserve"> (</w:t>
      </w:r>
      <w:r w:rsidR="00031A26">
        <w:rPr>
          <w:rFonts w:ascii="Times New Roman" w:hAnsi="Times New Roman" w:cs="Calibri"/>
          <w:color w:val="000000"/>
          <w:sz w:val="24"/>
          <w:szCs w:val="24"/>
        </w:rPr>
        <w:t>“</w:t>
      </w:r>
      <w:r w:rsidR="00921E4F">
        <w:rPr>
          <w:rFonts w:ascii="Times New Roman" w:hAnsi="Times New Roman" w:cs="Calibri"/>
          <w:color w:val="000000"/>
          <w:sz w:val="24"/>
          <w:szCs w:val="24"/>
        </w:rPr>
        <w:t>DFAST</w:t>
      </w:r>
      <w:r w:rsidR="00031A26">
        <w:rPr>
          <w:rFonts w:ascii="Times New Roman" w:hAnsi="Times New Roman" w:cs="Calibri"/>
          <w:color w:val="000000"/>
          <w:sz w:val="24"/>
          <w:szCs w:val="24"/>
        </w:rPr>
        <w:t>”</w:t>
      </w:r>
      <w:r w:rsidR="00FF6292">
        <w:rPr>
          <w:rFonts w:ascii="Times New Roman" w:hAnsi="Times New Roman" w:cs="Calibri"/>
          <w:color w:val="000000"/>
          <w:sz w:val="24"/>
          <w:szCs w:val="24"/>
        </w:rPr>
        <w:t xml:space="preserve">), with </w:t>
      </w:r>
      <w:r w:rsidR="00921E4F">
        <w:rPr>
          <w:rFonts w:ascii="Times New Roman" w:hAnsi="Times New Roman" w:cs="Calibri"/>
          <w:color w:val="000000"/>
          <w:sz w:val="24"/>
          <w:szCs w:val="24"/>
        </w:rPr>
        <w:t>the sole diffe</w:t>
      </w:r>
      <w:r w:rsidR="00031A26">
        <w:rPr>
          <w:rFonts w:ascii="Times New Roman" w:hAnsi="Times New Roman" w:cs="Calibri"/>
          <w:color w:val="000000"/>
          <w:sz w:val="24"/>
          <w:szCs w:val="24"/>
        </w:rPr>
        <w:t xml:space="preserve">rence between CCAR and DFAST being </w:t>
      </w:r>
      <w:r w:rsidR="00921E4F">
        <w:rPr>
          <w:rFonts w:ascii="Times New Roman" w:hAnsi="Times New Roman" w:cs="Calibri"/>
          <w:color w:val="000000"/>
          <w:sz w:val="24"/>
          <w:szCs w:val="24"/>
        </w:rPr>
        <w:t>that DFAST uses a homogenous set of capital actions on the part of the banks, while CCAR takes banks’ planning distribution of capital into account when calculatin</w:t>
      </w:r>
      <w:r w:rsidR="00995D4C">
        <w:rPr>
          <w:rFonts w:ascii="Times New Roman" w:hAnsi="Times New Roman" w:cs="Calibri"/>
          <w:color w:val="000000"/>
          <w:sz w:val="24"/>
          <w:szCs w:val="24"/>
        </w:rPr>
        <w:t xml:space="preserve">g capital ratios. The </w:t>
      </w:r>
      <w:proofErr w:type="gramStart"/>
      <w:r w:rsidR="00995D4C">
        <w:rPr>
          <w:rFonts w:ascii="Times New Roman" w:hAnsi="Times New Roman" w:cs="Calibri"/>
          <w:color w:val="000000"/>
          <w:sz w:val="24"/>
          <w:szCs w:val="24"/>
        </w:rPr>
        <w:t>authors</w:t>
      </w:r>
      <w:proofErr w:type="gramEnd"/>
      <w:r w:rsidR="00995D4C">
        <w:rPr>
          <w:rFonts w:ascii="Times New Roman" w:hAnsi="Times New Roman" w:cs="Calibri"/>
          <w:color w:val="000000"/>
          <w:sz w:val="24"/>
          <w:szCs w:val="24"/>
        </w:rPr>
        <w:t xml:space="preserve"> further </w:t>
      </w:r>
      <w:r w:rsidR="00921E4F">
        <w:rPr>
          <w:rFonts w:ascii="Times New Roman" w:hAnsi="Times New Roman" w:cs="Calibri"/>
          <w:color w:val="000000"/>
          <w:sz w:val="24"/>
          <w:szCs w:val="24"/>
        </w:rPr>
        <w:t>document that the total increase in capital</w:t>
      </w:r>
      <w:r w:rsidR="00995D4C">
        <w:rPr>
          <w:rFonts w:ascii="Times New Roman" w:hAnsi="Times New Roman" w:cs="Calibri"/>
          <w:color w:val="000000"/>
          <w:sz w:val="24"/>
          <w:szCs w:val="24"/>
        </w:rPr>
        <w:t xml:space="preserve"> in this exercise</w:t>
      </w:r>
      <w:r w:rsidR="00921E4F">
        <w:rPr>
          <w:rFonts w:ascii="Times New Roman" w:hAnsi="Times New Roman" w:cs="Calibri"/>
          <w:color w:val="000000"/>
          <w:sz w:val="24"/>
          <w:szCs w:val="24"/>
        </w:rPr>
        <w:t>, as measured by Tier 1 common equity</w:t>
      </w:r>
      <w:r w:rsidR="00995D4C">
        <w:rPr>
          <w:rFonts w:ascii="Times New Roman" w:hAnsi="Times New Roman" w:cs="Calibri"/>
          <w:color w:val="000000"/>
          <w:sz w:val="24"/>
          <w:szCs w:val="24"/>
        </w:rPr>
        <w:t>, wa</w:t>
      </w:r>
      <w:r w:rsidR="00921E4F">
        <w:rPr>
          <w:rFonts w:ascii="Times New Roman" w:hAnsi="Times New Roman" w:cs="Calibri"/>
          <w:color w:val="000000"/>
          <w:sz w:val="24"/>
          <w:szCs w:val="24"/>
        </w:rPr>
        <w:t xml:space="preserve">s </w:t>
      </w:r>
      <w:r w:rsidR="00995D4C">
        <w:rPr>
          <w:rFonts w:ascii="Times New Roman" w:hAnsi="Times New Roman" w:cs="Calibri"/>
          <w:color w:val="000000"/>
          <w:sz w:val="24"/>
          <w:szCs w:val="24"/>
        </w:rPr>
        <w:t>about $400 B</w:t>
      </w:r>
      <w:r w:rsidR="00921E4F">
        <w:rPr>
          <w:rFonts w:ascii="Times New Roman" w:hAnsi="Times New Roman" w:cs="Calibri"/>
          <w:color w:val="000000"/>
          <w:sz w:val="24"/>
          <w:szCs w:val="24"/>
        </w:rPr>
        <w:t xml:space="preserve">illion. </w:t>
      </w:r>
      <w:r w:rsidR="00995D4C">
        <w:rPr>
          <w:rFonts w:ascii="Times New Roman" w:hAnsi="Times New Roman" w:cs="Calibri"/>
          <w:color w:val="000000"/>
          <w:sz w:val="24"/>
          <w:szCs w:val="24"/>
        </w:rPr>
        <w:t xml:space="preserve"> Final</w:t>
      </w:r>
      <w:r w:rsidR="00FF6292">
        <w:rPr>
          <w:rFonts w:ascii="Times New Roman" w:hAnsi="Times New Roman" w:cs="Calibri"/>
          <w:color w:val="000000"/>
          <w:sz w:val="24"/>
          <w:szCs w:val="24"/>
        </w:rPr>
        <w:t>ly,</w:t>
      </w:r>
      <w:r w:rsidR="00995D4C">
        <w:rPr>
          <w:rFonts w:ascii="Times New Roman" w:hAnsi="Times New Roman" w:cs="Calibri"/>
          <w:color w:val="000000"/>
          <w:sz w:val="24"/>
          <w:szCs w:val="24"/>
        </w:rPr>
        <w:t xml:space="preserve"> the authors highlight that </w:t>
      </w:r>
      <w:r w:rsidR="009D0FC3">
        <w:rPr>
          <w:rFonts w:ascii="Times New Roman" w:hAnsi="Times New Roman" w:cs="Calibri"/>
          <w:color w:val="000000"/>
          <w:sz w:val="24"/>
          <w:szCs w:val="24"/>
        </w:rPr>
        <w:t>ST</w:t>
      </w:r>
      <w:r w:rsidR="00995D4C">
        <w:rPr>
          <w:rFonts w:ascii="Times New Roman" w:hAnsi="Times New Roman" w:cs="Calibri"/>
          <w:color w:val="000000"/>
          <w:sz w:val="24"/>
          <w:szCs w:val="24"/>
        </w:rPr>
        <w:t xml:space="preserve"> is a </w:t>
      </w:r>
      <w:r w:rsidR="00921E4F">
        <w:rPr>
          <w:rFonts w:ascii="Times New Roman" w:hAnsi="Times New Roman" w:cs="Calibri"/>
          <w:color w:val="000000"/>
          <w:sz w:val="24"/>
          <w:szCs w:val="24"/>
        </w:rPr>
        <w:t xml:space="preserve">regime </w:t>
      </w:r>
      <w:r w:rsidR="00995D4C">
        <w:rPr>
          <w:rFonts w:ascii="Times New Roman" w:hAnsi="Times New Roman" w:cs="Calibri"/>
          <w:color w:val="000000"/>
          <w:sz w:val="24"/>
          <w:szCs w:val="24"/>
        </w:rPr>
        <w:t xml:space="preserve">that </w:t>
      </w:r>
      <w:r w:rsidR="00921E4F">
        <w:rPr>
          <w:rFonts w:ascii="Times New Roman" w:hAnsi="Times New Roman" w:cs="Calibri"/>
          <w:color w:val="000000"/>
          <w:sz w:val="24"/>
          <w:szCs w:val="24"/>
        </w:rPr>
        <w:t xml:space="preserve">allows regulators to not only set a quantitative hurdle for capital that banks must reach, but </w:t>
      </w:r>
      <w:r w:rsidR="00995D4C">
        <w:rPr>
          <w:rFonts w:ascii="Times New Roman" w:hAnsi="Times New Roman" w:cs="Calibri"/>
          <w:color w:val="000000"/>
          <w:sz w:val="24"/>
          <w:szCs w:val="24"/>
        </w:rPr>
        <w:t xml:space="preserve">also </w:t>
      </w:r>
      <w:r w:rsidR="00921E4F">
        <w:rPr>
          <w:rFonts w:ascii="Times New Roman" w:hAnsi="Times New Roman" w:cs="Calibri"/>
          <w:color w:val="000000"/>
          <w:sz w:val="24"/>
          <w:szCs w:val="24"/>
        </w:rPr>
        <w:t xml:space="preserve">to make qualitative assessments of key inputs into the </w:t>
      </w:r>
      <w:r w:rsidR="00FF6292">
        <w:rPr>
          <w:rFonts w:ascii="Times New Roman" w:hAnsi="Times New Roman" w:cs="Calibri"/>
          <w:color w:val="000000"/>
          <w:sz w:val="24"/>
          <w:szCs w:val="24"/>
        </w:rPr>
        <w:t>stress test</w:t>
      </w:r>
      <w:r w:rsidR="005818B2">
        <w:rPr>
          <w:rFonts w:ascii="Times New Roman" w:hAnsi="Times New Roman" w:cs="Calibri"/>
          <w:color w:val="000000"/>
          <w:sz w:val="24"/>
          <w:szCs w:val="24"/>
        </w:rPr>
        <w:t xml:space="preserve"> process, such as data integrity, governance, and reliability of the models.</w:t>
      </w:r>
    </w:p>
    <w:p w:rsidR="001F2748" w:rsidRDefault="00B9074F" w:rsidP="001F2748">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The outcome of the SCAP was rather different from</w:t>
      </w:r>
      <w:r w:rsidR="00171819">
        <w:rPr>
          <w:rFonts w:ascii="Times New Roman" w:hAnsi="Times New Roman" w:cs="Calibri"/>
          <w:color w:val="000000"/>
          <w:sz w:val="24"/>
          <w:szCs w:val="24"/>
        </w:rPr>
        <w:t xml:space="preserve"> the</w:t>
      </w:r>
      <w:r>
        <w:rPr>
          <w:rFonts w:ascii="Times New Roman" w:hAnsi="Times New Roman" w:cs="Calibri"/>
          <w:color w:val="000000"/>
          <w:sz w:val="24"/>
          <w:szCs w:val="24"/>
        </w:rPr>
        <w:t xml:space="preserve"> </w:t>
      </w:r>
      <w:r w:rsidRPr="00B9074F">
        <w:rPr>
          <w:rFonts w:ascii="Times New Roman" w:hAnsi="Times New Roman" w:cs="Calibri"/>
          <w:i/>
          <w:color w:val="000000"/>
          <w:sz w:val="24"/>
          <w:szCs w:val="24"/>
        </w:rPr>
        <w:t>Committee of European Bank Supervisors</w:t>
      </w:r>
      <w:r w:rsidRPr="00B22940">
        <w:rPr>
          <w:rFonts w:ascii="Times New Roman" w:hAnsi="Times New Roman" w:cs="Calibri"/>
          <w:color w:val="000000"/>
          <w:sz w:val="24"/>
          <w:szCs w:val="24"/>
        </w:rPr>
        <w:t xml:space="preserve"> (</w:t>
      </w:r>
      <w:r>
        <w:rPr>
          <w:rFonts w:ascii="Times New Roman" w:hAnsi="Times New Roman" w:cs="Calibri"/>
          <w:color w:val="000000"/>
          <w:sz w:val="24"/>
          <w:szCs w:val="24"/>
        </w:rPr>
        <w:t>“</w:t>
      </w:r>
      <w:r w:rsidRPr="00B22940">
        <w:rPr>
          <w:rFonts w:ascii="Times New Roman" w:hAnsi="Times New Roman" w:cs="Calibri"/>
          <w:color w:val="000000"/>
          <w:sz w:val="24"/>
          <w:szCs w:val="24"/>
        </w:rPr>
        <w:t>CEBS</w:t>
      </w:r>
      <w:r>
        <w:rPr>
          <w:rFonts w:ascii="Times New Roman" w:hAnsi="Times New Roman" w:cs="Calibri"/>
          <w:color w:val="000000"/>
          <w:sz w:val="24"/>
          <w:szCs w:val="24"/>
        </w:rPr>
        <w:t>”</w:t>
      </w:r>
      <w:r w:rsidRPr="00B22940">
        <w:rPr>
          <w:rFonts w:ascii="Times New Roman" w:hAnsi="Times New Roman" w:cs="Calibri"/>
          <w:color w:val="000000"/>
          <w:sz w:val="24"/>
          <w:szCs w:val="24"/>
        </w:rPr>
        <w:t>)</w:t>
      </w:r>
      <w:r>
        <w:rPr>
          <w:rFonts w:ascii="Times New Roman" w:hAnsi="Times New Roman" w:cs="Calibri"/>
          <w:color w:val="000000"/>
          <w:sz w:val="24"/>
          <w:szCs w:val="24"/>
        </w:rPr>
        <w:t xml:space="preserve"> stress tests </w:t>
      </w:r>
      <w:r w:rsidR="00171819">
        <w:rPr>
          <w:rFonts w:ascii="Times New Roman" w:hAnsi="Times New Roman" w:cs="Calibri"/>
          <w:color w:val="000000"/>
          <w:sz w:val="24"/>
          <w:szCs w:val="24"/>
        </w:rPr>
        <w:t xml:space="preserve">conducted </w:t>
      </w:r>
      <w:r>
        <w:rPr>
          <w:rFonts w:ascii="Times New Roman" w:hAnsi="Times New Roman" w:cs="Calibri"/>
          <w:color w:val="000000"/>
          <w:sz w:val="24"/>
          <w:szCs w:val="24"/>
        </w:rPr>
        <w:t>in 2010 and 2011</w:t>
      </w:r>
      <w:r w:rsidR="00F45B07">
        <w:rPr>
          <w:rFonts w:ascii="Times New Roman" w:hAnsi="Times New Roman" w:cs="Calibri"/>
          <w:color w:val="000000"/>
          <w:sz w:val="24"/>
          <w:szCs w:val="24"/>
        </w:rPr>
        <w:t>, which coincided with the sovereign debt crisis that hit the periphery of the Euro-zone</w:t>
      </w:r>
      <w:r>
        <w:rPr>
          <w:rFonts w:ascii="Times New Roman" w:hAnsi="Times New Roman" w:cs="Calibri"/>
          <w:color w:val="000000"/>
          <w:sz w:val="24"/>
          <w:szCs w:val="24"/>
        </w:rPr>
        <w:t>.  In 2010, the ECBS stressed a total of 91 banks, as with the SCAP covering about two-thirds of assets and one-half of banks per participating jurisdiction.</w:t>
      </w:r>
      <w:r w:rsidR="00F45B07">
        <w:rPr>
          <w:rFonts w:ascii="Times New Roman" w:hAnsi="Times New Roman" w:cs="Calibri"/>
          <w:color w:val="000000"/>
          <w:sz w:val="24"/>
          <w:szCs w:val="24"/>
        </w:rPr>
        <w:t xml:space="preserve">  </w:t>
      </w:r>
      <w:r w:rsidR="009F3BDA">
        <w:rPr>
          <w:rFonts w:ascii="Times New Roman" w:hAnsi="Times New Roman" w:cs="Calibri"/>
          <w:color w:val="000000"/>
          <w:sz w:val="24"/>
          <w:szCs w:val="24"/>
        </w:rPr>
        <w:t>There are several difference</w:t>
      </w:r>
      <w:r w:rsidR="00FE07C4">
        <w:rPr>
          <w:rFonts w:ascii="Times New Roman" w:hAnsi="Times New Roman" w:cs="Calibri"/>
          <w:color w:val="000000"/>
          <w:sz w:val="24"/>
          <w:szCs w:val="24"/>
        </w:rPr>
        <w:t>s</w:t>
      </w:r>
      <w:r w:rsidR="009F3BDA">
        <w:rPr>
          <w:rFonts w:ascii="Times New Roman" w:hAnsi="Times New Roman" w:cs="Calibri"/>
          <w:color w:val="000000"/>
          <w:sz w:val="24"/>
          <w:szCs w:val="24"/>
        </w:rPr>
        <w:t xml:space="preserve"> </w:t>
      </w:r>
      <w:r w:rsidR="00FF6292">
        <w:rPr>
          <w:rFonts w:ascii="Times New Roman" w:hAnsi="Times New Roman" w:cs="Calibri"/>
          <w:color w:val="000000"/>
          <w:sz w:val="24"/>
          <w:szCs w:val="24"/>
        </w:rPr>
        <w:t>between the CEBS stress tests and</w:t>
      </w:r>
      <w:r w:rsidR="009F3BDA">
        <w:rPr>
          <w:rFonts w:ascii="Times New Roman" w:hAnsi="Times New Roman" w:cs="Calibri"/>
          <w:color w:val="000000"/>
          <w:sz w:val="24"/>
          <w:szCs w:val="24"/>
        </w:rPr>
        <w:t xml:space="preserve"> SCAP worth noting.  First, t</w:t>
      </w:r>
      <w:r w:rsidR="00F45B07">
        <w:rPr>
          <w:rFonts w:ascii="Times New Roman" w:hAnsi="Times New Roman" w:cs="Calibri"/>
          <w:color w:val="000000"/>
          <w:sz w:val="24"/>
          <w:szCs w:val="24"/>
        </w:rPr>
        <w:t xml:space="preserve">he </w:t>
      </w:r>
      <w:r w:rsidR="009F3BDA">
        <w:rPr>
          <w:rFonts w:ascii="Times New Roman" w:hAnsi="Times New Roman" w:cs="Calibri"/>
          <w:color w:val="000000"/>
          <w:sz w:val="24"/>
          <w:szCs w:val="24"/>
        </w:rPr>
        <w:t xml:space="preserve">CEBS </w:t>
      </w:r>
      <w:r w:rsidR="00F45B07">
        <w:rPr>
          <w:rFonts w:ascii="Times New Roman" w:hAnsi="Times New Roman" w:cs="Calibri"/>
          <w:color w:val="000000"/>
          <w:sz w:val="24"/>
          <w:szCs w:val="24"/>
        </w:rPr>
        <w:t xml:space="preserve">exercise stressed the values of sovereign bonds held in trading books, but neglected to address </w:t>
      </w:r>
      <w:r w:rsidR="00E77BB4">
        <w:rPr>
          <w:rFonts w:ascii="Times New Roman" w:hAnsi="Times New Roman" w:cs="Calibri"/>
          <w:color w:val="000000"/>
          <w:sz w:val="24"/>
          <w:szCs w:val="24"/>
        </w:rPr>
        <w:t xml:space="preserve">that </w:t>
      </w:r>
      <w:r w:rsidR="00F45B07">
        <w:rPr>
          <w:rFonts w:ascii="Times New Roman" w:hAnsi="Times New Roman" w:cs="Calibri"/>
          <w:color w:val="000000"/>
          <w:sz w:val="24"/>
          <w:szCs w:val="24"/>
        </w:rPr>
        <w:t xml:space="preserve">banking books where </w:t>
      </w:r>
      <w:r w:rsidR="00E77BB4">
        <w:rPr>
          <w:rFonts w:ascii="Times New Roman" w:hAnsi="Times New Roman" w:cs="Calibri"/>
          <w:color w:val="000000"/>
          <w:sz w:val="24"/>
          <w:szCs w:val="24"/>
        </w:rPr>
        <w:t xml:space="preserve">in fact </w:t>
      </w:r>
      <w:r w:rsidR="00F45B07">
        <w:rPr>
          <w:rFonts w:ascii="Times New Roman" w:hAnsi="Times New Roman" w:cs="Calibri"/>
          <w:color w:val="000000"/>
          <w:sz w:val="24"/>
          <w:szCs w:val="24"/>
        </w:rPr>
        <w:t>t</w:t>
      </w:r>
      <w:r w:rsidR="00E77BB4">
        <w:rPr>
          <w:rFonts w:ascii="Times New Roman" w:hAnsi="Times New Roman" w:cs="Calibri"/>
          <w:color w:val="000000"/>
          <w:sz w:val="24"/>
          <w:szCs w:val="24"/>
        </w:rPr>
        <w:t>he majority of the exposures</w:t>
      </w:r>
      <w:r w:rsidR="00FF6292">
        <w:rPr>
          <w:rFonts w:ascii="Times New Roman" w:hAnsi="Times New Roman" w:cs="Calibri"/>
          <w:color w:val="000000"/>
          <w:sz w:val="24"/>
          <w:szCs w:val="24"/>
        </w:rPr>
        <w:t xml:space="preserve"> in sovereign bonds were present</w:t>
      </w:r>
      <w:r w:rsidR="00F45B07">
        <w:rPr>
          <w:rFonts w:ascii="Times New Roman" w:hAnsi="Times New Roman" w:cs="Calibri"/>
          <w:color w:val="000000"/>
          <w:sz w:val="24"/>
          <w:szCs w:val="24"/>
        </w:rPr>
        <w:t xml:space="preserve">, resulting in a mild requirement of just under $5B in additional capital.  </w:t>
      </w:r>
      <w:r w:rsidR="009F3BDA">
        <w:rPr>
          <w:rFonts w:ascii="Times New Roman" w:hAnsi="Times New Roman" w:cs="Calibri"/>
          <w:color w:val="000000"/>
          <w:sz w:val="24"/>
          <w:szCs w:val="24"/>
        </w:rPr>
        <w:t>Second, i</w:t>
      </w:r>
      <w:r w:rsidR="00F45B07">
        <w:rPr>
          <w:rFonts w:ascii="Times New Roman" w:hAnsi="Times New Roman" w:cs="Calibri"/>
          <w:color w:val="000000"/>
          <w:sz w:val="24"/>
          <w:szCs w:val="24"/>
        </w:rPr>
        <w:t xml:space="preserve">n contrast to the SCAP, the </w:t>
      </w:r>
      <w:r w:rsidR="009F3BDA">
        <w:rPr>
          <w:rFonts w:ascii="Times New Roman" w:hAnsi="Times New Roman" w:cs="Calibri"/>
          <w:color w:val="000000"/>
          <w:sz w:val="24"/>
          <w:szCs w:val="24"/>
        </w:rPr>
        <w:t xml:space="preserve">CEBS </w:t>
      </w:r>
      <w:r w:rsidR="00171819">
        <w:rPr>
          <w:rFonts w:ascii="Times New Roman" w:hAnsi="Times New Roman" w:cs="Calibri"/>
          <w:color w:val="000000"/>
          <w:sz w:val="24"/>
          <w:szCs w:val="24"/>
        </w:rPr>
        <w:t xml:space="preserve">stress testing </w:t>
      </w:r>
      <w:r w:rsidR="00F45B07">
        <w:rPr>
          <w:rFonts w:ascii="Times New Roman" w:hAnsi="Times New Roman" w:cs="Calibri"/>
          <w:color w:val="000000"/>
          <w:sz w:val="24"/>
          <w:szCs w:val="24"/>
        </w:rPr>
        <w:t xml:space="preserve">level of disclosure was far less </w:t>
      </w:r>
      <w:r w:rsidR="00E77BB4">
        <w:rPr>
          <w:rFonts w:ascii="Times New Roman" w:hAnsi="Times New Roman" w:cs="Calibri"/>
          <w:color w:val="000000"/>
          <w:sz w:val="24"/>
          <w:szCs w:val="24"/>
        </w:rPr>
        <w:t xml:space="preserve">granular, with loss rates </w:t>
      </w:r>
      <w:r w:rsidR="00F45B07">
        <w:rPr>
          <w:rFonts w:ascii="Times New Roman" w:hAnsi="Times New Roman" w:cs="Calibri"/>
          <w:color w:val="000000"/>
          <w:sz w:val="24"/>
          <w:szCs w:val="24"/>
        </w:rPr>
        <w:t>report</w:t>
      </w:r>
      <w:r w:rsidR="00E77BB4">
        <w:rPr>
          <w:rFonts w:ascii="Times New Roman" w:hAnsi="Times New Roman" w:cs="Calibri"/>
          <w:color w:val="000000"/>
          <w:sz w:val="24"/>
          <w:szCs w:val="24"/>
        </w:rPr>
        <w:t>ed</w:t>
      </w:r>
      <w:r w:rsidR="00F45B07">
        <w:rPr>
          <w:rFonts w:ascii="Times New Roman" w:hAnsi="Times New Roman" w:cs="Calibri"/>
          <w:color w:val="000000"/>
          <w:sz w:val="24"/>
          <w:szCs w:val="24"/>
        </w:rPr>
        <w:t xml:space="preserve"> for </w:t>
      </w:r>
      <w:r w:rsidR="00E77BB4">
        <w:rPr>
          <w:rFonts w:ascii="Times New Roman" w:hAnsi="Times New Roman" w:cs="Calibri"/>
          <w:color w:val="000000"/>
          <w:sz w:val="24"/>
          <w:szCs w:val="24"/>
        </w:rPr>
        <w:t xml:space="preserve">only </w:t>
      </w:r>
      <w:r w:rsidR="00F45B07">
        <w:rPr>
          <w:rFonts w:ascii="Times New Roman" w:hAnsi="Times New Roman" w:cs="Calibri"/>
          <w:color w:val="000000"/>
          <w:sz w:val="24"/>
          <w:szCs w:val="24"/>
        </w:rPr>
        <w:t>two broad segments (</w:t>
      </w:r>
      <w:r w:rsidR="009F3BDA">
        <w:rPr>
          <w:rFonts w:ascii="Times New Roman" w:hAnsi="Times New Roman" w:cs="Calibri"/>
          <w:color w:val="000000"/>
          <w:sz w:val="24"/>
          <w:szCs w:val="24"/>
        </w:rPr>
        <w:t xml:space="preserve">retail vs. corporate) as opposed to major asset classes (e.g., </w:t>
      </w:r>
      <w:r w:rsidR="009F3BDA" w:rsidRPr="00B22940">
        <w:rPr>
          <w:rFonts w:ascii="Times New Roman" w:hAnsi="Times New Roman" w:cs="Calibri"/>
          <w:color w:val="000000"/>
          <w:sz w:val="24"/>
          <w:szCs w:val="24"/>
        </w:rPr>
        <w:t>first-lien mortgages, credit cards, commercial real estate</w:t>
      </w:r>
      <w:r w:rsidR="009F3BDA">
        <w:rPr>
          <w:rFonts w:ascii="Times New Roman" w:hAnsi="Times New Roman" w:cs="Calibri"/>
          <w:color w:val="000000"/>
          <w:sz w:val="24"/>
          <w:szCs w:val="24"/>
        </w:rPr>
        <w:t xml:space="preserve">, etc.)  The 2011 </w:t>
      </w:r>
      <w:r w:rsidR="009F3BDA" w:rsidRPr="009F3BDA">
        <w:rPr>
          <w:rFonts w:ascii="Times New Roman" w:hAnsi="Times New Roman" w:cs="Calibri"/>
          <w:i/>
          <w:color w:val="000000"/>
          <w:sz w:val="24"/>
          <w:szCs w:val="24"/>
        </w:rPr>
        <w:t>European Banker’s Association</w:t>
      </w:r>
      <w:r w:rsidR="009F3BDA">
        <w:rPr>
          <w:rFonts w:ascii="Times New Roman" w:hAnsi="Times New Roman" w:cs="Calibri"/>
          <w:color w:val="000000"/>
          <w:sz w:val="24"/>
          <w:szCs w:val="24"/>
        </w:rPr>
        <w:t xml:space="preserve"> (“EBA”)</w:t>
      </w:r>
      <w:r w:rsidR="0050261B">
        <w:rPr>
          <w:rFonts w:ascii="Times New Roman" w:hAnsi="Times New Roman" w:cs="Calibri"/>
          <w:color w:val="000000"/>
          <w:sz w:val="24"/>
          <w:szCs w:val="24"/>
        </w:rPr>
        <w:t xml:space="preserve"> exercise</w:t>
      </w:r>
      <w:r w:rsidR="00CD5591">
        <w:rPr>
          <w:rFonts w:ascii="Times New Roman" w:hAnsi="Times New Roman" w:cs="Calibri"/>
          <w:color w:val="000000"/>
          <w:sz w:val="24"/>
          <w:szCs w:val="24"/>
        </w:rPr>
        <w:t xml:space="preserve">, covering 90 institutions in 21 jurisdictions, bore many similarities to the 2011 EBA tests, with only 8 banks required to raise about as much capital in dollar terms as the previous exercise.  However, a key difference was the more granular disclosure requirements, such as </w:t>
      </w:r>
      <w:r w:rsidR="003F7922">
        <w:rPr>
          <w:rFonts w:ascii="Times New Roman" w:hAnsi="Times New Roman" w:cs="Calibri"/>
          <w:color w:val="000000"/>
          <w:sz w:val="24"/>
          <w:szCs w:val="24"/>
        </w:rPr>
        <w:t xml:space="preserve">a </w:t>
      </w:r>
      <w:r w:rsidR="00CD5591">
        <w:rPr>
          <w:rFonts w:ascii="Times New Roman" w:hAnsi="Times New Roman" w:cs="Calibri"/>
          <w:color w:val="000000"/>
          <w:sz w:val="24"/>
          <w:szCs w:val="24"/>
        </w:rPr>
        <w:t xml:space="preserve">breakdowns of loss rates by not only major asset class but also by geography, as well availability </w:t>
      </w:r>
      <w:r w:rsidR="003F7922">
        <w:rPr>
          <w:rFonts w:ascii="Times New Roman" w:hAnsi="Times New Roman" w:cs="Calibri"/>
          <w:color w:val="000000"/>
          <w:sz w:val="24"/>
          <w:szCs w:val="24"/>
        </w:rPr>
        <w:t xml:space="preserve">of results </w:t>
      </w:r>
      <w:r w:rsidR="00CD5591">
        <w:rPr>
          <w:rFonts w:ascii="Times New Roman" w:hAnsi="Times New Roman" w:cs="Calibri"/>
          <w:color w:val="000000"/>
          <w:sz w:val="24"/>
          <w:szCs w:val="24"/>
        </w:rPr>
        <w:t>to the public in a user-friendly form that admitted the application of analysts’ assumptions.</w:t>
      </w:r>
      <w:r w:rsidR="001F2748">
        <w:rPr>
          <w:rFonts w:ascii="Times New Roman" w:hAnsi="Times New Roman" w:cs="Calibri"/>
          <w:color w:val="000000"/>
          <w:sz w:val="24"/>
          <w:szCs w:val="24"/>
        </w:rPr>
        <w:t xml:space="preserve">  </w:t>
      </w:r>
      <w:r w:rsidR="003F7922">
        <w:rPr>
          <w:rFonts w:ascii="Times New Roman" w:hAnsi="Times New Roman" w:cs="Calibri"/>
          <w:color w:val="000000"/>
          <w:sz w:val="24"/>
          <w:szCs w:val="24"/>
        </w:rPr>
        <w:t>S</w:t>
      </w:r>
      <w:r w:rsidR="001F2748">
        <w:rPr>
          <w:rFonts w:ascii="Times New Roman" w:hAnsi="Times New Roman" w:cs="Calibri"/>
          <w:color w:val="000000"/>
          <w:sz w:val="24"/>
          <w:szCs w:val="24"/>
        </w:rPr>
        <w:t>imilar</w:t>
      </w:r>
      <w:r w:rsidR="003F7922">
        <w:rPr>
          <w:rFonts w:ascii="Times New Roman" w:hAnsi="Times New Roman" w:cs="Calibri"/>
          <w:color w:val="000000"/>
          <w:sz w:val="24"/>
          <w:szCs w:val="24"/>
        </w:rPr>
        <w:t>l</w:t>
      </w:r>
      <w:r w:rsidR="001F2748">
        <w:rPr>
          <w:rFonts w:ascii="Times New Roman" w:hAnsi="Times New Roman" w:cs="Calibri"/>
          <w:color w:val="000000"/>
          <w:sz w:val="24"/>
          <w:szCs w:val="24"/>
        </w:rPr>
        <w:t xml:space="preserve">y to </w:t>
      </w:r>
      <w:r w:rsidR="006575B4">
        <w:rPr>
          <w:rFonts w:ascii="Times New Roman" w:hAnsi="Times New Roman" w:cs="Calibri"/>
          <w:color w:val="000000"/>
          <w:sz w:val="24"/>
          <w:szCs w:val="24"/>
        </w:rPr>
        <w:t xml:space="preserve">the </w:t>
      </w:r>
      <w:r w:rsidR="001F2748">
        <w:rPr>
          <w:rFonts w:ascii="Times New Roman" w:hAnsi="Times New Roman" w:cs="Calibri"/>
          <w:color w:val="000000"/>
          <w:sz w:val="24"/>
          <w:szCs w:val="24"/>
        </w:rPr>
        <w:t>2010</w:t>
      </w:r>
      <w:r w:rsidR="004522C5">
        <w:rPr>
          <w:rFonts w:ascii="Times New Roman" w:hAnsi="Times New Roman" w:cs="Calibri"/>
          <w:color w:val="000000"/>
          <w:sz w:val="24"/>
          <w:szCs w:val="24"/>
        </w:rPr>
        <w:t xml:space="preserve"> </w:t>
      </w:r>
      <w:r w:rsidR="003F7922">
        <w:rPr>
          <w:rFonts w:ascii="Times New Roman" w:hAnsi="Times New Roman" w:cs="Calibri"/>
          <w:color w:val="000000"/>
          <w:sz w:val="24"/>
          <w:szCs w:val="24"/>
        </w:rPr>
        <w:t xml:space="preserve">CEBS </w:t>
      </w:r>
      <w:r w:rsidR="004522C5">
        <w:rPr>
          <w:rFonts w:ascii="Times New Roman" w:hAnsi="Times New Roman" w:cs="Calibri"/>
          <w:color w:val="000000"/>
          <w:sz w:val="24"/>
          <w:szCs w:val="24"/>
        </w:rPr>
        <w:t>exercise</w:t>
      </w:r>
      <w:r w:rsidR="001F2748">
        <w:rPr>
          <w:rFonts w:ascii="Times New Roman" w:hAnsi="Times New Roman" w:cs="Calibri"/>
          <w:color w:val="000000"/>
          <w:sz w:val="24"/>
          <w:szCs w:val="24"/>
        </w:rPr>
        <w:t xml:space="preserve">, in which the CEBS test did not ameliorate nervousness about the Irish banks, the 2011 EBA version </w:t>
      </w:r>
      <w:r w:rsidR="003F7922">
        <w:rPr>
          <w:rFonts w:ascii="Times New Roman" w:hAnsi="Times New Roman" w:cs="Calibri"/>
          <w:color w:val="000000"/>
          <w:sz w:val="24"/>
          <w:szCs w:val="24"/>
        </w:rPr>
        <w:t>failed to</w:t>
      </w:r>
      <w:r w:rsidR="001F2748">
        <w:rPr>
          <w:rFonts w:ascii="Times New Roman" w:hAnsi="Times New Roman" w:cs="Calibri"/>
          <w:color w:val="000000"/>
          <w:sz w:val="24"/>
          <w:szCs w:val="24"/>
        </w:rPr>
        <w:t xml:space="preserve"> ease concerns a</w:t>
      </w:r>
      <w:r w:rsidR="004522C5">
        <w:rPr>
          <w:rFonts w:ascii="Times New Roman" w:hAnsi="Times New Roman" w:cs="Calibri"/>
          <w:color w:val="000000"/>
          <w:sz w:val="24"/>
          <w:szCs w:val="24"/>
        </w:rPr>
        <w:t xml:space="preserve">bout the Spanish banking system, </w:t>
      </w:r>
      <w:r w:rsidR="001F2748">
        <w:rPr>
          <w:rFonts w:ascii="Times New Roman" w:hAnsi="Times New Roman" w:cs="Calibri"/>
          <w:color w:val="000000"/>
          <w:sz w:val="24"/>
          <w:szCs w:val="24"/>
        </w:rPr>
        <w:t>as while 5 of 25 passed there was no additional capital required</w:t>
      </w:r>
      <w:r w:rsidR="00C66DF7" w:rsidRPr="00C66DF7">
        <w:rPr>
          <w:rFonts w:ascii="Times New Roman" w:hAnsi="Times New Roman" w:cs="Calibri"/>
          <w:color w:val="000000"/>
          <w:sz w:val="24"/>
          <w:szCs w:val="24"/>
        </w:rPr>
        <w:t xml:space="preserve"> </w:t>
      </w:r>
      <w:r w:rsidR="004F7868">
        <w:rPr>
          <w:rFonts w:ascii="Times New Roman" w:hAnsi="Times New Roman" w:cs="Calibri"/>
          <w:color w:val="000000"/>
          <w:sz w:val="24"/>
          <w:szCs w:val="24"/>
        </w:rPr>
        <w:t xml:space="preserve">(Clark and </w:t>
      </w:r>
      <w:proofErr w:type="spellStart"/>
      <w:r w:rsidR="004F7868">
        <w:rPr>
          <w:rFonts w:ascii="Times New Roman" w:hAnsi="Times New Roman" w:cs="Calibri"/>
          <w:color w:val="000000"/>
          <w:sz w:val="24"/>
          <w:szCs w:val="24"/>
        </w:rPr>
        <w:t>Ryu</w:t>
      </w:r>
      <w:proofErr w:type="spellEnd"/>
      <w:r w:rsidR="004F7868">
        <w:rPr>
          <w:rFonts w:ascii="Times New Roman" w:hAnsi="Times New Roman" w:cs="Calibri"/>
          <w:color w:val="000000"/>
          <w:sz w:val="24"/>
          <w:szCs w:val="24"/>
        </w:rPr>
        <w:t>, 2015</w:t>
      </w:r>
      <w:r w:rsidR="00C66DF7">
        <w:rPr>
          <w:rFonts w:ascii="Times New Roman" w:hAnsi="Times New Roman" w:cs="Calibri"/>
          <w:color w:val="000000"/>
          <w:sz w:val="24"/>
          <w:szCs w:val="24"/>
        </w:rPr>
        <w:t>)</w:t>
      </w:r>
      <w:r w:rsidR="001F2748">
        <w:rPr>
          <w:rFonts w:ascii="Times New Roman" w:hAnsi="Times New Roman" w:cs="Calibri"/>
          <w:color w:val="000000"/>
          <w:sz w:val="24"/>
          <w:szCs w:val="24"/>
        </w:rPr>
        <w:t>.</w:t>
      </w:r>
    </w:p>
    <w:p w:rsidR="006575B4" w:rsidRPr="00B22940" w:rsidRDefault="006575B4" w:rsidP="00823E84">
      <w:pPr>
        <w:spacing w:before="100" w:beforeAutospacing="1" w:after="100" w:afterAutospacing="1" w:line="240" w:lineRule="auto"/>
        <w:jc w:val="both"/>
        <w:rPr>
          <w:rFonts w:ascii="Times New Roman" w:hAnsi="Times New Roman" w:cs="Calibri"/>
          <w:color w:val="000000"/>
          <w:sz w:val="24"/>
          <w:szCs w:val="24"/>
        </w:rPr>
      </w:pPr>
      <w:r>
        <w:rPr>
          <w:rFonts w:ascii="Times New Roman" w:hAnsi="Times New Roman" w:cs="Calibri"/>
          <w:color w:val="000000"/>
          <w:sz w:val="24"/>
          <w:szCs w:val="24"/>
        </w:rPr>
        <w:t xml:space="preserve">The available public literature on scenario generation is rather limited to date.  Bidder and McKenna (2015) of the San Francisco Federal Reserve Bank </w:t>
      </w:r>
      <w:r w:rsidR="00E20E3A">
        <w:rPr>
          <w:rFonts w:ascii="Times New Roman" w:hAnsi="Times New Roman" w:cs="Calibri"/>
          <w:color w:val="000000"/>
          <w:sz w:val="24"/>
          <w:szCs w:val="24"/>
        </w:rPr>
        <w:t>argue that while i</w:t>
      </w:r>
      <w:r w:rsidRPr="006575B4">
        <w:rPr>
          <w:rFonts w:ascii="Times New Roman" w:hAnsi="Times New Roman" w:cs="Calibri"/>
          <w:color w:val="000000"/>
          <w:sz w:val="24"/>
          <w:szCs w:val="24"/>
        </w:rPr>
        <w:t>n recent years</w:t>
      </w:r>
      <w:r>
        <w:rPr>
          <w:rFonts w:ascii="Times New Roman" w:hAnsi="Times New Roman" w:cs="Calibri"/>
          <w:color w:val="000000"/>
          <w:sz w:val="24"/>
          <w:szCs w:val="24"/>
        </w:rPr>
        <w:t xml:space="preserve"> ST</w:t>
      </w:r>
      <w:r w:rsidRPr="006575B4">
        <w:rPr>
          <w:rFonts w:ascii="Times New Roman" w:hAnsi="Times New Roman" w:cs="Calibri"/>
          <w:color w:val="000000"/>
          <w:sz w:val="24"/>
          <w:szCs w:val="24"/>
        </w:rPr>
        <w:t xml:space="preserve"> has become an important component of </w:t>
      </w:r>
      <w:r>
        <w:rPr>
          <w:rFonts w:ascii="Times New Roman" w:hAnsi="Times New Roman" w:cs="Calibri"/>
          <w:color w:val="000000"/>
          <w:sz w:val="24"/>
          <w:szCs w:val="24"/>
        </w:rPr>
        <w:t>fi</w:t>
      </w:r>
      <w:r w:rsidRPr="006575B4">
        <w:rPr>
          <w:rFonts w:ascii="Times New Roman" w:hAnsi="Times New Roman" w:cs="Calibri"/>
          <w:color w:val="000000"/>
          <w:sz w:val="24"/>
          <w:szCs w:val="24"/>
        </w:rPr>
        <w:t xml:space="preserve">nancial and </w:t>
      </w:r>
      <w:proofErr w:type="spellStart"/>
      <w:r w:rsidRPr="006575B4">
        <w:rPr>
          <w:rFonts w:ascii="Times New Roman" w:hAnsi="Times New Roman" w:cs="Calibri"/>
          <w:color w:val="000000"/>
          <w:sz w:val="24"/>
          <w:szCs w:val="24"/>
        </w:rPr>
        <w:t>macroprudential</w:t>
      </w:r>
      <w:proofErr w:type="spellEnd"/>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regulation</w:t>
      </w:r>
      <w:r>
        <w:rPr>
          <w:rFonts w:ascii="Times New Roman" w:hAnsi="Times New Roman" w:cs="Calibri"/>
          <w:color w:val="000000"/>
          <w:sz w:val="24"/>
          <w:szCs w:val="24"/>
        </w:rPr>
        <w:t>, nevertheless</w:t>
      </w:r>
      <w:r w:rsidRPr="006575B4">
        <w:rPr>
          <w:rFonts w:ascii="Times New Roman" w:hAnsi="Times New Roman" w:cs="Calibri"/>
          <w:color w:val="000000"/>
          <w:sz w:val="24"/>
          <w:szCs w:val="24"/>
        </w:rPr>
        <w:t xml:space="preserve"> the techniques of stress testing are still being honed and debated. </w:t>
      </w:r>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Th</w:t>
      </w:r>
      <w:r>
        <w:rPr>
          <w:rFonts w:ascii="Times New Roman" w:hAnsi="Times New Roman" w:cs="Calibri"/>
          <w:color w:val="000000"/>
          <w:sz w:val="24"/>
          <w:szCs w:val="24"/>
        </w:rPr>
        <w:t xml:space="preserve">e authors </w:t>
      </w:r>
      <w:r w:rsidR="00E20E3A">
        <w:rPr>
          <w:rFonts w:ascii="Times New Roman" w:hAnsi="Times New Roman" w:cs="Calibri"/>
          <w:color w:val="000000"/>
          <w:sz w:val="24"/>
          <w:szCs w:val="24"/>
        </w:rPr>
        <w:t xml:space="preserve">claim to </w:t>
      </w:r>
      <w:r>
        <w:rPr>
          <w:rFonts w:ascii="Times New Roman" w:hAnsi="Times New Roman" w:cs="Calibri"/>
          <w:color w:val="000000"/>
          <w:sz w:val="24"/>
          <w:szCs w:val="24"/>
        </w:rPr>
        <w:t xml:space="preserve">contribute to the </w:t>
      </w:r>
      <w:r w:rsidRPr="006575B4">
        <w:rPr>
          <w:rFonts w:ascii="Times New Roman" w:hAnsi="Times New Roman" w:cs="Calibri"/>
          <w:color w:val="000000"/>
          <w:sz w:val="24"/>
          <w:szCs w:val="24"/>
        </w:rPr>
        <w:t>debate in proposing the use of robust forecasting analysis to identify and</w:t>
      </w:r>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 xml:space="preserve">construct adverse scenarios that are naturally interpretable as stress tests. </w:t>
      </w:r>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The</w:t>
      </w:r>
      <w:r w:rsidR="00E20E3A">
        <w:rPr>
          <w:rFonts w:ascii="Times New Roman" w:hAnsi="Times New Roman" w:cs="Calibri"/>
          <w:color w:val="000000"/>
          <w:sz w:val="24"/>
          <w:szCs w:val="24"/>
        </w:rPr>
        <w:t>ir</w:t>
      </w:r>
      <w:r w:rsidRPr="006575B4">
        <w:rPr>
          <w:rFonts w:ascii="Times New Roman" w:hAnsi="Times New Roman" w:cs="Calibri"/>
          <w:color w:val="000000"/>
          <w:sz w:val="24"/>
          <w:szCs w:val="24"/>
        </w:rPr>
        <w:t xml:space="preserve"> scenarios</w:t>
      </w:r>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 xml:space="preserve">emerge from a particular </w:t>
      </w:r>
      <w:r w:rsidRPr="006575B4">
        <w:rPr>
          <w:rFonts w:ascii="Times New Roman" w:hAnsi="Times New Roman" w:cs="Calibri"/>
          <w:color w:val="000000"/>
          <w:sz w:val="24"/>
          <w:szCs w:val="24"/>
        </w:rPr>
        <w:lastRenderedPageBreak/>
        <w:t>pessimistic twist to a benchmark forecasting model, referred to as a</w:t>
      </w:r>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worst case distribution</w:t>
      </w:r>
      <w:r>
        <w:rPr>
          <w:rFonts w:ascii="Times New Roman" w:hAnsi="Times New Roman" w:cs="Calibri"/>
          <w:color w:val="000000"/>
          <w:sz w:val="24"/>
          <w:szCs w:val="24"/>
        </w:rPr>
        <w:t>”, which</w:t>
      </w:r>
      <w:r w:rsidRPr="006575B4">
        <w:rPr>
          <w:rFonts w:ascii="Times New Roman" w:hAnsi="Times New Roman" w:cs="Calibri"/>
          <w:color w:val="000000"/>
          <w:sz w:val="24"/>
          <w:szCs w:val="24"/>
        </w:rPr>
        <w:t xml:space="preserve"> </w:t>
      </w:r>
      <w:r w:rsidR="00E20E3A">
        <w:rPr>
          <w:rFonts w:ascii="Times New Roman" w:hAnsi="Times New Roman" w:cs="Calibri"/>
          <w:color w:val="000000"/>
          <w:sz w:val="24"/>
          <w:szCs w:val="24"/>
        </w:rPr>
        <w:t xml:space="preserve">they argue </w:t>
      </w:r>
      <w:r w:rsidRPr="006575B4">
        <w:rPr>
          <w:rFonts w:ascii="Times New Roman" w:hAnsi="Times New Roman" w:cs="Calibri"/>
          <w:color w:val="000000"/>
          <w:sz w:val="24"/>
          <w:szCs w:val="24"/>
        </w:rPr>
        <w:t>o</w:t>
      </w:r>
      <w:r>
        <w:rPr>
          <w:rFonts w:ascii="Times New Roman" w:hAnsi="Times New Roman" w:cs="Calibri"/>
          <w:color w:val="000000"/>
          <w:sz w:val="24"/>
          <w:szCs w:val="24"/>
        </w:rPr>
        <w:t xml:space="preserve">ffers </w:t>
      </w:r>
      <w:r w:rsidRPr="006575B4">
        <w:rPr>
          <w:rFonts w:ascii="Times New Roman" w:hAnsi="Times New Roman" w:cs="Calibri"/>
          <w:color w:val="000000"/>
          <w:sz w:val="24"/>
          <w:szCs w:val="24"/>
        </w:rPr>
        <w:t>regulators a method of identifying vulnerabilities</w:t>
      </w:r>
      <w:r>
        <w:rPr>
          <w:rFonts w:ascii="Times New Roman" w:hAnsi="Times New Roman" w:cs="Calibri"/>
          <w:color w:val="000000"/>
          <w:sz w:val="24"/>
          <w:szCs w:val="24"/>
        </w:rPr>
        <w:t xml:space="preserve">, </w:t>
      </w:r>
      <w:r w:rsidRPr="006575B4">
        <w:rPr>
          <w:rFonts w:ascii="Times New Roman" w:hAnsi="Times New Roman" w:cs="Calibri"/>
          <w:color w:val="000000"/>
          <w:sz w:val="24"/>
          <w:szCs w:val="24"/>
        </w:rPr>
        <w:t xml:space="preserve">while </w:t>
      </w:r>
      <w:r>
        <w:rPr>
          <w:rFonts w:ascii="Times New Roman" w:hAnsi="Times New Roman" w:cs="Calibri"/>
          <w:color w:val="000000"/>
          <w:sz w:val="24"/>
          <w:szCs w:val="24"/>
        </w:rPr>
        <w:t xml:space="preserve">at the same time </w:t>
      </w:r>
      <w:r w:rsidRPr="006575B4">
        <w:rPr>
          <w:rFonts w:ascii="Times New Roman" w:hAnsi="Times New Roman" w:cs="Calibri"/>
          <w:color w:val="000000"/>
          <w:sz w:val="24"/>
          <w:szCs w:val="24"/>
        </w:rPr>
        <w:t xml:space="preserve">acknowledging that their models are </w:t>
      </w:r>
      <w:proofErr w:type="spellStart"/>
      <w:r w:rsidRPr="006575B4">
        <w:rPr>
          <w:rFonts w:ascii="Times New Roman" w:hAnsi="Times New Roman" w:cs="Calibri"/>
          <w:color w:val="000000"/>
          <w:sz w:val="24"/>
          <w:szCs w:val="24"/>
        </w:rPr>
        <w:t>mis</w:t>
      </w:r>
      <w:proofErr w:type="spellEnd"/>
      <w:r w:rsidR="00183CDD">
        <w:rPr>
          <w:rFonts w:ascii="Times New Roman" w:hAnsi="Times New Roman" w:cs="Calibri"/>
          <w:color w:val="000000"/>
          <w:sz w:val="24"/>
          <w:szCs w:val="24"/>
        </w:rPr>
        <w:t>-</w:t>
      </w:r>
      <w:r w:rsidRPr="006575B4">
        <w:rPr>
          <w:rFonts w:ascii="Times New Roman" w:hAnsi="Times New Roman" w:cs="Calibri"/>
          <w:color w:val="000000"/>
          <w:sz w:val="24"/>
          <w:szCs w:val="24"/>
        </w:rPr>
        <w:t>speci</w:t>
      </w:r>
      <w:r w:rsidR="00183CDD">
        <w:rPr>
          <w:rFonts w:ascii="Times New Roman" w:hAnsi="Times New Roman" w:cs="Calibri"/>
          <w:color w:val="000000"/>
          <w:sz w:val="24"/>
          <w:szCs w:val="24"/>
        </w:rPr>
        <w:t>fi</w:t>
      </w:r>
      <w:r w:rsidRPr="006575B4">
        <w:rPr>
          <w:rFonts w:ascii="Times New Roman" w:hAnsi="Times New Roman" w:cs="Calibri"/>
          <w:color w:val="000000"/>
          <w:sz w:val="24"/>
          <w:szCs w:val="24"/>
        </w:rPr>
        <w:t>ed in possibly unknown ways.</w:t>
      </w:r>
      <w:r>
        <w:rPr>
          <w:rFonts w:ascii="Times New Roman" w:hAnsi="Times New Roman" w:cs="Calibri"/>
          <w:color w:val="000000"/>
          <w:sz w:val="24"/>
          <w:szCs w:val="24"/>
        </w:rPr>
        <w:t xml:space="preserve">  </w:t>
      </w:r>
      <w:r w:rsidR="00823E84">
        <w:rPr>
          <w:rFonts w:ascii="Times New Roman" w:hAnsi="Times New Roman" w:cs="Calibri"/>
          <w:color w:val="000000"/>
          <w:sz w:val="24"/>
          <w:szCs w:val="24"/>
        </w:rPr>
        <w:t>Frame et al (2015) of the Atlanta Federal Reserve Bank present a case study</w:t>
      </w:r>
      <w:r w:rsidR="00823E84" w:rsidRPr="00823E84">
        <w:rPr>
          <w:rFonts w:ascii="Times New Roman" w:hAnsi="Times New Roman" w:cs="Calibri"/>
          <w:color w:val="000000"/>
          <w:sz w:val="24"/>
          <w:szCs w:val="24"/>
        </w:rPr>
        <w:t xml:space="preserve"> </w:t>
      </w:r>
      <w:r w:rsidR="00823E84">
        <w:rPr>
          <w:rFonts w:ascii="Times New Roman" w:hAnsi="Times New Roman" w:cs="Calibri"/>
          <w:color w:val="000000"/>
          <w:sz w:val="24"/>
          <w:szCs w:val="24"/>
        </w:rPr>
        <w:t>of a</w:t>
      </w:r>
      <w:r w:rsidR="00823E84" w:rsidRPr="00823E84">
        <w:rPr>
          <w:rFonts w:ascii="Times New Roman" w:hAnsi="Times New Roman" w:cs="Calibri"/>
          <w:color w:val="000000"/>
          <w:sz w:val="24"/>
          <w:szCs w:val="24"/>
        </w:rPr>
        <w:t xml:space="preserve"> </w:t>
      </w:r>
      <w:r w:rsidR="00823E84">
        <w:rPr>
          <w:rFonts w:ascii="Times New Roman" w:hAnsi="Times New Roman" w:cs="Calibri"/>
          <w:color w:val="000000"/>
          <w:sz w:val="24"/>
          <w:szCs w:val="24"/>
        </w:rPr>
        <w:t xml:space="preserve">failed </w:t>
      </w:r>
      <w:r w:rsidR="00823E84" w:rsidRPr="00823E84">
        <w:rPr>
          <w:rFonts w:ascii="Times New Roman" w:hAnsi="Times New Roman" w:cs="Calibri"/>
          <w:color w:val="000000"/>
          <w:sz w:val="24"/>
          <w:szCs w:val="24"/>
        </w:rPr>
        <w:t>U.S.</w:t>
      </w:r>
      <w:r w:rsidR="00823E84">
        <w:rPr>
          <w:rFonts w:ascii="Times New Roman" w:hAnsi="Times New Roman" w:cs="Calibri"/>
          <w:color w:val="000000"/>
          <w:sz w:val="24"/>
          <w:szCs w:val="24"/>
        </w:rPr>
        <w:t xml:space="preserve"> </w:t>
      </w:r>
      <w:r w:rsidR="00823E84" w:rsidRPr="00823E84">
        <w:rPr>
          <w:rFonts w:ascii="Times New Roman" w:hAnsi="Times New Roman" w:cs="Calibri"/>
          <w:color w:val="000000"/>
          <w:sz w:val="24"/>
          <w:szCs w:val="24"/>
        </w:rPr>
        <w:t xml:space="preserve">experience </w:t>
      </w:r>
      <w:r w:rsidR="00823E84">
        <w:rPr>
          <w:rFonts w:ascii="Times New Roman" w:hAnsi="Times New Roman" w:cs="Calibri"/>
          <w:color w:val="000000"/>
          <w:sz w:val="24"/>
          <w:szCs w:val="24"/>
        </w:rPr>
        <w:t xml:space="preserve">in </w:t>
      </w:r>
      <w:r w:rsidR="00823E84" w:rsidRPr="00823E84">
        <w:rPr>
          <w:rFonts w:ascii="Times New Roman" w:hAnsi="Times New Roman" w:cs="Calibri"/>
          <w:color w:val="000000"/>
          <w:sz w:val="24"/>
          <w:szCs w:val="24"/>
        </w:rPr>
        <w:t>tying stress test results to capital requirements was a spectacular failure</w:t>
      </w:r>
      <w:r w:rsidR="00823E84">
        <w:rPr>
          <w:rFonts w:ascii="Times New Roman" w:hAnsi="Times New Roman" w:cs="Calibri"/>
          <w:color w:val="000000"/>
          <w:sz w:val="24"/>
          <w:szCs w:val="24"/>
        </w:rPr>
        <w:t xml:space="preserve"> due to issues associated with the specification of stress scenarios, namely the </w:t>
      </w:r>
      <w:r w:rsidR="00823E84" w:rsidRPr="00C66DF7">
        <w:rPr>
          <w:rFonts w:ascii="Times New Roman" w:hAnsi="Times New Roman" w:cs="Calibri"/>
          <w:i/>
          <w:color w:val="000000"/>
          <w:sz w:val="24"/>
          <w:szCs w:val="24"/>
        </w:rPr>
        <w:t>Office of Federal Housing Enterprise Oversight's</w:t>
      </w:r>
      <w:r w:rsidR="00823E84" w:rsidRPr="00823E84">
        <w:rPr>
          <w:rFonts w:ascii="Times New Roman" w:hAnsi="Times New Roman" w:cs="Calibri"/>
          <w:color w:val="000000"/>
          <w:sz w:val="24"/>
          <w:szCs w:val="24"/>
        </w:rPr>
        <w:t xml:space="preserve"> (</w:t>
      </w:r>
      <w:r w:rsidR="00C66DF7">
        <w:rPr>
          <w:rFonts w:ascii="Times New Roman" w:hAnsi="Times New Roman" w:cs="Calibri"/>
          <w:color w:val="000000"/>
          <w:sz w:val="24"/>
          <w:szCs w:val="24"/>
        </w:rPr>
        <w:t>“</w:t>
      </w:r>
      <w:r w:rsidR="00823E84" w:rsidRPr="00823E84">
        <w:rPr>
          <w:rFonts w:ascii="Times New Roman" w:hAnsi="Times New Roman" w:cs="Calibri"/>
          <w:color w:val="000000"/>
          <w:sz w:val="24"/>
          <w:szCs w:val="24"/>
        </w:rPr>
        <w:t>OFHEO</w:t>
      </w:r>
      <w:r w:rsidR="00C66DF7">
        <w:rPr>
          <w:rFonts w:ascii="Times New Roman" w:hAnsi="Times New Roman" w:cs="Calibri"/>
          <w:color w:val="000000"/>
          <w:sz w:val="24"/>
          <w:szCs w:val="24"/>
        </w:rPr>
        <w:t>”</w:t>
      </w:r>
      <w:r w:rsidR="00823E84" w:rsidRPr="00823E84">
        <w:rPr>
          <w:rFonts w:ascii="Times New Roman" w:hAnsi="Times New Roman" w:cs="Calibri"/>
          <w:color w:val="000000"/>
          <w:sz w:val="24"/>
          <w:szCs w:val="24"/>
        </w:rPr>
        <w:t>) risk-based capital stress test for Fannie Mae and</w:t>
      </w:r>
      <w:r w:rsidR="00823E84">
        <w:rPr>
          <w:rFonts w:ascii="Times New Roman" w:hAnsi="Times New Roman" w:cs="Calibri"/>
          <w:color w:val="000000"/>
          <w:sz w:val="24"/>
          <w:szCs w:val="24"/>
        </w:rPr>
        <w:t xml:space="preserve"> </w:t>
      </w:r>
      <w:r w:rsidR="00823E84" w:rsidRPr="00823E84">
        <w:rPr>
          <w:rFonts w:ascii="Times New Roman" w:hAnsi="Times New Roman" w:cs="Calibri"/>
          <w:color w:val="000000"/>
          <w:sz w:val="24"/>
          <w:szCs w:val="24"/>
        </w:rPr>
        <w:t xml:space="preserve">Freddie Mac. </w:t>
      </w:r>
      <w:r w:rsidR="00823E84">
        <w:rPr>
          <w:rFonts w:ascii="Times New Roman" w:hAnsi="Times New Roman" w:cs="Calibri"/>
          <w:color w:val="000000"/>
          <w:sz w:val="24"/>
          <w:szCs w:val="24"/>
        </w:rPr>
        <w:t xml:space="preserve"> The authors</w:t>
      </w:r>
      <w:r w:rsidR="00823E84" w:rsidRPr="00823E84">
        <w:rPr>
          <w:rFonts w:ascii="Times New Roman" w:hAnsi="Times New Roman" w:cs="Calibri"/>
          <w:color w:val="000000"/>
          <w:sz w:val="24"/>
          <w:szCs w:val="24"/>
        </w:rPr>
        <w:t xml:space="preserve"> study a key component of OFHEOs model</w:t>
      </w:r>
      <w:r w:rsidR="00823E84">
        <w:rPr>
          <w:rFonts w:ascii="Times New Roman" w:hAnsi="Times New Roman" w:cs="Calibri"/>
          <w:color w:val="000000"/>
          <w:sz w:val="24"/>
          <w:szCs w:val="24"/>
        </w:rPr>
        <w:t xml:space="preserve">, the </w:t>
      </w:r>
      <w:r w:rsidR="00823E84" w:rsidRPr="00823E84">
        <w:rPr>
          <w:rFonts w:ascii="Times New Roman" w:hAnsi="Times New Roman" w:cs="Calibri"/>
          <w:color w:val="000000"/>
          <w:sz w:val="24"/>
          <w:szCs w:val="24"/>
        </w:rPr>
        <w:t>30-year fixed-rate mortgage performance</w:t>
      </w:r>
      <w:r w:rsidR="00823E84">
        <w:rPr>
          <w:rFonts w:ascii="Times New Roman" w:hAnsi="Times New Roman" w:cs="Calibri"/>
          <w:color w:val="000000"/>
          <w:sz w:val="24"/>
          <w:szCs w:val="24"/>
        </w:rPr>
        <w:t xml:space="preserve">, and identify </w:t>
      </w:r>
      <w:r w:rsidR="00823E84" w:rsidRPr="00823E84">
        <w:rPr>
          <w:rFonts w:ascii="Times New Roman" w:hAnsi="Times New Roman" w:cs="Calibri"/>
          <w:color w:val="000000"/>
          <w:sz w:val="24"/>
          <w:szCs w:val="24"/>
        </w:rPr>
        <w:t xml:space="preserve">two key problems. </w:t>
      </w:r>
      <w:r w:rsidR="00823E84">
        <w:rPr>
          <w:rFonts w:ascii="Times New Roman" w:hAnsi="Times New Roman" w:cs="Calibri"/>
          <w:color w:val="000000"/>
          <w:sz w:val="24"/>
          <w:szCs w:val="24"/>
        </w:rPr>
        <w:t xml:space="preserve"> They point out that </w:t>
      </w:r>
      <w:r w:rsidR="00823E84" w:rsidRPr="00823E84">
        <w:rPr>
          <w:rFonts w:ascii="Times New Roman" w:hAnsi="Times New Roman" w:cs="Calibri"/>
          <w:color w:val="000000"/>
          <w:sz w:val="24"/>
          <w:szCs w:val="24"/>
        </w:rPr>
        <w:t>OFHEO had left the model specification and associated parameters</w:t>
      </w:r>
      <w:r w:rsidR="00823E84">
        <w:rPr>
          <w:rFonts w:ascii="Times New Roman" w:hAnsi="Times New Roman" w:cs="Calibri"/>
          <w:color w:val="000000"/>
          <w:sz w:val="24"/>
          <w:szCs w:val="24"/>
        </w:rPr>
        <w:t xml:space="preserve"> </w:t>
      </w:r>
      <w:r w:rsidR="00823E84" w:rsidRPr="00823E84">
        <w:rPr>
          <w:rFonts w:ascii="Times New Roman" w:hAnsi="Times New Roman" w:cs="Calibri"/>
          <w:color w:val="000000"/>
          <w:sz w:val="24"/>
          <w:szCs w:val="24"/>
        </w:rPr>
        <w:t xml:space="preserve">static for the entire time the rule was in force, </w:t>
      </w:r>
      <w:r w:rsidR="00823E84">
        <w:rPr>
          <w:rFonts w:ascii="Times New Roman" w:hAnsi="Times New Roman" w:cs="Calibri"/>
          <w:color w:val="000000"/>
          <w:sz w:val="24"/>
          <w:szCs w:val="24"/>
        </w:rPr>
        <w:t xml:space="preserve">and furthermore that </w:t>
      </w:r>
      <w:r w:rsidR="00823E84" w:rsidRPr="00823E84">
        <w:rPr>
          <w:rFonts w:ascii="Times New Roman" w:hAnsi="Times New Roman" w:cs="Calibri"/>
          <w:color w:val="000000"/>
          <w:sz w:val="24"/>
          <w:szCs w:val="24"/>
        </w:rPr>
        <w:t>the house price stress scenario was insufficiently</w:t>
      </w:r>
      <w:r w:rsidR="00823E84">
        <w:rPr>
          <w:rFonts w:ascii="Times New Roman" w:hAnsi="Times New Roman" w:cs="Calibri"/>
          <w:color w:val="000000"/>
          <w:sz w:val="24"/>
          <w:szCs w:val="24"/>
        </w:rPr>
        <w:t xml:space="preserve"> </w:t>
      </w:r>
      <w:r w:rsidR="00823E84" w:rsidRPr="00823E84">
        <w:rPr>
          <w:rFonts w:ascii="Times New Roman" w:hAnsi="Times New Roman" w:cs="Calibri"/>
          <w:color w:val="000000"/>
          <w:sz w:val="24"/>
          <w:szCs w:val="24"/>
        </w:rPr>
        <w:t>dire</w:t>
      </w:r>
      <w:r w:rsidR="00823E84">
        <w:rPr>
          <w:rFonts w:ascii="Times New Roman" w:hAnsi="Times New Roman" w:cs="Calibri"/>
          <w:color w:val="000000"/>
          <w:sz w:val="24"/>
          <w:szCs w:val="24"/>
        </w:rPr>
        <w:t xml:space="preserve">, </w:t>
      </w:r>
      <w:r w:rsidR="00823E84" w:rsidRPr="00823E84">
        <w:rPr>
          <w:rFonts w:ascii="Times New Roman" w:hAnsi="Times New Roman" w:cs="Calibri"/>
          <w:color w:val="000000"/>
          <w:sz w:val="24"/>
          <w:szCs w:val="24"/>
        </w:rPr>
        <w:t>result</w:t>
      </w:r>
      <w:r w:rsidR="00823E84">
        <w:rPr>
          <w:rFonts w:ascii="Times New Roman" w:hAnsi="Times New Roman" w:cs="Calibri"/>
          <w:color w:val="000000"/>
          <w:sz w:val="24"/>
          <w:szCs w:val="24"/>
        </w:rPr>
        <w:t>ing</w:t>
      </w:r>
      <w:r w:rsidR="00823E84" w:rsidRPr="00823E84">
        <w:rPr>
          <w:rFonts w:ascii="Times New Roman" w:hAnsi="Times New Roman" w:cs="Calibri"/>
          <w:color w:val="000000"/>
          <w:sz w:val="24"/>
          <w:szCs w:val="24"/>
        </w:rPr>
        <w:t xml:space="preserve"> in a significant </w:t>
      </w:r>
      <w:proofErr w:type="spellStart"/>
      <w:r w:rsidR="00823E84" w:rsidRPr="00823E84">
        <w:rPr>
          <w:rFonts w:ascii="Times New Roman" w:hAnsi="Times New Roman" w:cs="Calibri"/>
          <w:color w:val="000000"/>
          <w:sz w:val="24"/>
          <w:szCs w:val="24"/>
        </w:rPr>
        <w:t>underprediction</w:t>
      </w:r>
      <w:proofErr w:type="spellEnd"/>
      <w:r w:rsidR="00823E84" w:rsidRPr="00823E84">
        <w:rPr>
          <w:rFonts w:ascii="Times New Roman" w:hAnsi="Times New Roman" w:cs="Calibri"/>
          <w:color w:val="000000"/>
          <w:sz w:val="24"/>
          <w:szCs w:val="24"/>
        </w:rPr>
        <w:t xml:space="preserve"> of mortgage credit losses and</w:t>
      </w:r>
      <w:r w:rsidR="00823E84">
        <w:rPr>
          <w:rFonts w:ascii="Times New Roman" w:hAnsi="Times New Roman" w:cs="Calibri"/>
          <w:color w:val="000000"/>
          <w:sz w:val="24"/>
          <w:szCs w:val="24"/>
        </w:rPr>
        <w:t xml:space="preserve"> </w:t>
      </w:r>
      <w:r w:rsidR="00823E84" w:rsidRPr="00823E84">
        <w:rPr>
          <w:rFonts w:ascii="Times New Roman" w:hAnsi="Times New Roman" w:cs="Calibri"/>
          <w:color w:val="000000"/>
          <w:sz w:val="24"/>
          <w:szCs w:val="24"/>
        </w:rPr>
        <w:t>associated capital needs at Fannie Mae and Freddie Mac during the housing bust.</w:t>
      </w:r>
    </w:p>
    <w:p w:rsidR="00373432" w:rsidRDefault="00373432" w:rsidP="00E7003C">
      <w:pPr>
        <w:spacing w:before="100" w:beforeAutospacing="1" w:after="100" w:afterAutospacing="1" w:line="240" w:lineRule="auto"/>
        <w:jc w:val="both"/>
        <w:rPr>
          <w:rFonts w:ascii="Times New Roman" w:hAnsi="Times New Roman"/>
          <w:b/>
          <w:sz w:val="28"/>
          <w:szCs w:val="28"/>
        </w:rPr>
      </w:pPr>
    </w:p>
    <w:p w:rsidR="0027748B" w:rsidRDefault="00B71E7E" w:rsidP="00E7003C">
      <w:pPr>
        <w:spacing w:before="100" w:beforeAutospacing="1" w:after="100" w:afterAutospacing="1" w:line="240" w:lineRule="auto"/>
        <w:jc w:val="both"/>
        <w:rPr>
          <w:rFonts w:ascii="Times New Roman" w:hAnsi="Times New Roman"/>
          <w:b/>
          <w:sz w:val="28"/>
          <w:szCs w:val="28"/>
        </w:rPr>
      </w:pPr>
      <w:r>
        <w:rPr>
          <w:rFonts w:ascii="Times New Roman" w:hAnsi="Times New Roman"/>
          <w:b/>
          <w:sz w:val="28"/>
          <w:szCs w:val="28"/>
        </w:rPr>
        <w:t>3</w:t>
      </w:r>
      <w:r w:rsidR="0027748B" w:rsidRPr="00014971">
        <w:rPr>
          <w:rFonts w:ascii="Times New Roman" w:hAnsi="Times New Roman"/>
          <w:b/>
          <w:sz w:val="28"/>
          <w:szCs w:val="28"/>
        </w:rPr>
        <w:tab/>
      </w:r>
      <w:r w:rsidR="00A4363D">
        <w:rPr>
          <w:rFonts w:ascii="Times New Roman" w:hAnsi="Times New Roman"/>
          <w:b/>
          <w:sz w:val="28"/>
          <w:szCs w:val="28"/>
        </w:rPr>
        <w:t>Time Series</w:t>
      </w:r>
      <w:r w:rsidR="005169F3">
        <w:rPr>
          <w:rFonts w:ascii="Times New Roman" w:hAnsi="Times New Roman"/>
          <w:b/>
          <w:sz w:val="28"/>
          <w:szCs w:val="28"/>
        </w:rPr>
        <w:t xml:space="preserve"> </w:t>
      </w:r>
      <w:r w:rsidR="00D162BD">
        <w:rPr>
          <w:rFonts w:ascii="Times New Roman" w:hAnsi="Times New Roman"/>
          <w:b/>
          <w:sz w:val="28"/>
          <w:szCs w:val="28"/>
        </w:rPr>
        <w:t xml:space="preserve">VAR </w:t>
      </w:r>
      <w:r w:rsidR="005169F3">
        <w:rPr>
          <w:rFonts w:ascii="Times New Roman" w:hAnsi="Times New Roman"/>
          <w:b/>
          <w:sz w:val="28"/>
          <w:szCs w:val="28"/>
        </w:rPr>
        <w:t>Methodolog</w:t>
      </w:r>
      <w:r w:rsidR="00885804">
        <w:rPr>
          <w:rFonts w:ascii="Times New Roman" w:hAnsi="Times New Roman"/>
          <w:b/>
          <w:sz w:val="28"/>
          <w:szCs w:val="28"/>
        </w:rPr>
        <w:t>ies</w:t>
      </w:r>
      <w:r w:rsidR="005169F3">
        <w:rPr>
          <w:rFonts w:ascii="Times New Roman" w:hAnsi="Times New Roman"/>
          <w:b/>
          <w:sz w:val="28"/>
          <w:szCs w:val="28"/>
        </w:rPr>
        <w:t xml:space="preserve"> </w:t>
      </w:r>
      <w:r w:rsidR="00A4363D">
        <w:rPr>
          <w:rFonts w:ascii="Times New Roman" w:hAnsi="Times New Roman"/>
          <w:b/>
          <w:sz w:val="28"/>
          <w:szCs w:val="28"/>
        </w:rPr>
        <w:t xml:space="preserve">for </w:t>
      </w:r>
      <w:r w:rsidR="00DA6E16">
        <w:rPr>
          <w:rFonts w:ascii="Times New Roman" w:hAnsi="Times New Roman"/>
          <w:b/>
          <w:sz w:val="28"/>
          <w:szCs w:val="28"/>
        </w:rPr>
        <w:t xml:space="preserve">Estimation and </w:t>
      </w:r>
      <w:r w:rsidR="006575B4">
        <w:rPr>
          <w:rFonts w:ascii="Times New Roman" w:hAnsi="Times New Roman"/>
          <w:b/>
          <w:sz w:val="28"/>
          <w:szCs w:val="28"/>
        </w:rPr>
        <w:t>Scenario Generation</w:t>
      </w:r>
    </w:p>
    <w:p w:rsidR="001D3EEF" w:rsidRDefault="001D3EEF" w:rsidP="00E95F2B">
      <w:pPr>
        <w:spacing w:line="240" w:lineRule="auto"/>
        <w:jc w:val="both"/>
        <w:rPr>
          <w:rFonts w:ascii="Times New Roman" w:hAnsi="Times New Roman"/>
          <w:sz w:val="24"/>
          <w:szCs w:val="24"/>
        </w:rPr>
      </w:pPr>
      <w:r>
        <w:rPr>
          <w:rFonts w:ascii="Times New Roman" w:hAnsi="Times New Roman"/>
          <w:sz w:val="24"/>
          <w:szCs w:val="24"/>
        </w:rPr>
        <w:t>In macroeconomic forecasting, there are 4 basic tasks that we set out to do</w:t>
      </w:r>
      <w:r w:rsidR="005D3DD6">
        <w:rPr>
          <w:rFonts w:ascii="Times New Roman" w:hAnsi="Times New Roman"/>
          <w:sz w:val="24"/>
          <w:szCs w:val="24"/>
        </w:rPr>
        <w:t>: characterize macroeconomic time series, conduct forecasts of macroeconomic or related data, make inferences about the structure of the economy, and finally advise policy-makers</w:t>
      </w:r>
      <w:r w:rsidR="00C66DF7" w:rsidRPr="00C66DF7">
        <w:rPr>
          <w:rFonts w:ascii="Times New Roman" w:hAnsi="Times New Roman"/>
          <w:sz w:val="24"/>
          <w:szCs w:val="24"/>
        </w:rPr>
        <w:t xml:space="preserve"> </w:t>
      </w:r>
      <w:r w:rsidR="00C66DF7">
        <w:rPr>
          <w:rFonts w:ascii="Times New Roman" w:hAnsi="Times New Roman"/>
          <w:sz w:val="24"/>
          <w:szCs w:val="24"/>
        </w:rPr>
        <w:t>(</w:t>
      </w:r>
      <w:r w:rsidR="00C66DF7" w:rsidRPr="000C5ADD">
        <w:rPr>
          <w:rFonts w:ascii="Times New Roman" w:hAnsi="Times New Roman"/>
          <w:sz w:val="24"/>
          <w:szCs w:val="24"/>
        </w:rPr>
        <w:t>Stock</w:t>
      </w:r>
      <w:r w:rsidR="00C66DF7">
        <w:rPr>
          <w:rFonts w:ascii="Times New Roman" w:hAnsi="Times New Roman"/>
          <w:sz w:val="24"/>
          <w:szCs w:val="24"/>
        </w:rPr>
        <w:t xml:space="preserve"> </w:t>
      </w:r>
      <w:r w:rsidR="00C66DF7" w:rsidRPr="000C5ADD">
        <w:rPr>
          <w:rFonts w:ascii="Times New Roman" w:hAnsi="Times New Roman"/>
          <w:sz w:val="24"/>
          <w:szCs w:val="24"/>
        </w:rPr>
        <w:t>and Watson</w:t>
      </w:r>
      <w:r w:rsidR="00C66DF7">
        <w:rPr>
          <w:rFonts w:ascii="Times New Roman" w:hAnsi="Times New Roman"/>
          <w:sz w:val="24"/>
          <w:szCs w:val="24"/>
        </w:rPr>
        <w:t xml:space="preserve">, </w:t>
      </w:r>
      <w:r w:rsidR="00C66DF7" w:rsidRPr="000C5ADD">
        <w:rPr>
          <w:rFonts w:ascii="Times New Roman" w:hAnsi="Times New Roman"/>
          <w:sz w:val="24"/>
          <w:szCs w:val="24"/>
        </w:rPr>
        <w:t>2001)</w:t>
      </w:r>
      <w:r w:rsidR="005D3DD6">
        <w:rPr>
          <w:rFonts w:ascii="Times New Roman" w:hAnsi="Times New Roman"/>
          <w:sz w:val="24"/>
          <w:szCs w:val="24"/>
        </w:rPr>
        <w:t xml:space="preserve">.  In the </w:t>
      </w:r>
      <w:r w:rsidR="00C66DF7">
        <w:rPr>
          <w:rFonts w:ascii="Times New Roman" w:hAnsi="Times New Roman"/>
          <w:sz w:val="24"/>
          <w:szCs w:val="24"/>
        </w:rPr>
        <w:t>ST</w:t>
      </w:r>
      <w:r w:rsidR="005D3DD6">
        <w:rPr>
          <w:rFonts w:ascii="Times New Roman" w:hAnsi="Times New Roman"/>
          <w:sz w:val="24"/>
          <w:szCs w:val="24"/>
        </w:rPr>
        <w:t xml:space="preserve"> application, we are mainly concerned with the forecasting and policy advisory functions, as stressed loss projections help bank</w:t>
      </w:r>
      <w:r w:rsidR="009E3A0C">
        <w:rPr>
          <w:rFonts w:ascii="Times New Roman" w:hAnsi="Times New Roman"/>
          <w:sz w:val="24"/>
          <w:szCs w:val="24"/>
        </w:rPr>
        <w:t>ing</w:t>
      </w:r>
      <w:r w:rsidR="005D3DD6">
        <w:rPr>
          <w:rFonts w:ascii="Times New Roman" w:hAnsi="Times New Roman"/>
          <w:sz w:val="24"/>
          <w:szCs w:val="24"/>
        </w:rPr>
        <w:t xml:space="preserve"> risk manager and bank</w:t>
      </w:r>
      <w:r w:rsidR="009E3A0C">
        <w:rPr>
          <w:rFonts w:ascii="Times New Roman" w:hAnsi="Times New Roman"/>
          <w:sz w:val="24"/>
          <w:szCs w:val="24"/>
        </w:rPr>
        <w:t>ing</w:t>
      </w:r>
      <w:r w:rsidR="005D3DD6">
        <w:rPr>
          <w:rFonts w:ascii="Times New Roman" w:hAnsi="Times New Roman"/>
          <w:sz w:val="24"/>
          <w:szCs w:val="24"/>
        </w:rPr>
        <w:t xml:space="preserve"> supervisors make decisions about the potential viability of their institutions during periods of extreme economic turmoil.  Going back a few decades, these functions were accomplished by a variety of means, ranging from large-scale models featuring the interactions of many variables, to simple univariate relationships motivated by stylized and parsimonious theories (e.g., </w:t>
      </w:r>
      <w:proofErr w:type="spellStart"/>
      <w:r w:rsidR="005D3DD6">
        <w:rPr>
          <w:rFonts w:ascii="Times New Roman" w:hAnsi="Times New Roman"/>
          <w:sz w:val="24"/>
          <w:szCs w:val="24"/>
        </w:rPr>
        <w:t>Okun’s</w:t>
      </w:r>
      <w:proofErr w:type="spellEnd"/>
      <w:r w:rsidR="005D3DD6">
        <w:rPr>
          <w:rFonts w:ascii="Times New Roman" w:hAnsi="Times New Roman"/>
          <w:sz w:val="24"/>
          <w:szCs w:val="24"/>
        </w:rPr>
        <w:t xml:space="preserve"> Law or the Phillips Curve). However, following the economic crises</w:t>
      </w:r>
      <w:r w:rsidR="00DA620D">
        <w:rPr>
          <w:rFonts w:ascii="Times New Roman" w:hAnsi="Times New Roman"/>
          <w:sz w:val="24"/>
          <w:szCs w:val="24"/>
        </w:rPr>
        <w:t xml:space="preserve"> </w:t>
      </w:r>
      <w:r w:rsidR="00BA5CA5">
        <w:rPr>
          <w:rFonts w:ascii="Times New Roman" w:hAnsi="Times New Roman"/>
          <w:sz w:val="24"/>
          <w:szCs w:val="24"/>
        </w:rPr>
        <w:t>of the 1970s, most established economic relationships started to break down and these methods proved themselves to be unreliable.  In the early 1980s, a new macro</w:t>
      </w:r>
      <w:r w:rsidR="00E95F2B">
        <w:rPr>
          <w:rFonts w:ascii="Times New Roman" w:hAnsi="Times New Roman"/>
          <w:sz w:val="24"/>
          <w:szCs w:val="24"/>
        </w:rPr>
        <w:t>-e</w:t>
      </w:r>
      <w:r w:rsidR="00BA5CA5">
        <w:rPr>
          <w:rFonts w:ascii="Times New Roman" w:hAnsi="Times New Roman"/>
          <w:sz w:val="24"/>
          <w:szCs w:val="24"/>
        </w:rPr>
        <w:t>conometric paradigm started to take hold, VAR</w:t>
      </w:r>
      <w:r w:rsidR="00923BE3">
        <w:rPr>
          <w:rFonts w:ascii="Times New Roman" w:hAnsi="Times New Roman"/>
          <w:sz w:val="24"/>
          <w:szCs w:val="24"/>
        </w:rPr>
        <w:t>, a simple yet flexible way to model and forecast macroeconomic relationships</w:t>
      </w:r>
      <w:r w:rsidR="00E95F2B" w:rsidRPr="00E95F2B">
        <w:rPr>
          <w:rFonts w:ascii="Times New Roman" w:hAnsi="Times New Roman"/>
          <w:sz w:val="24"/>
          <w:szCs w:val="24"/>
        </w:rPr>
        <w:t xml:space="preserve"> </w:t>
      </w:r>
      <w:r w:rsidR="00E95F2B">
        <w:rPr>
          <w:rFonts w:ascii="Times New Roman" w:hAnsi="Times New Roman"/>
          <w:sz w:val="24"/>
          <w:szCs w:val="24"/>
        </w:rPr>
        <w:t>(</w:t>
      </w:r>
      <w:r w:rsidR="00E95F2B" w:rsidRPr="000C5ADD">
        <w:rPr>
          <w:rFonts w:ascii="Times New Roman" w:hAnsi="Times New Roman"/>
          <w:sz w:val="24"/>
          <w:szCs w:val="24"/>
        </w:rPr>
        <w:t>Sims, 1980</w:t>
      </w:r>
      <w:r w:rsidR="00E95F2B">
        <w:rPr>
          <w:rFonts w:ascii="Times New Roman" w:hAnsi="Times New Roman"/>
          <w:sz w:val="24"/>
          <w:szCs w:val="24"/>
        </w:rPr>
        <w:t>)</w:t>
      </w:r>
      <w:r w:rsidR="00923BE3">
        <w:rPr>
          <w:rFonts w:ascii="Times New Roman" w:hAnsi="Times New Roman"/>
          <w:sz w:val="24"/>
          <w:szCs w:val="24"/>
        </w:rPr>
        <w:t>.  In contrast to the univariate autoregressi</w:t>
      </w:r>
      <w:r w:rsidR="000A1EE7">
        <w:rPr>
          <w:rFonts w:ascii="Times New Roman" w:hAnsi="Times New Roman"/>
          <w:sz w:val="24"/>
          <w:szCs w:val="24"/>
        </w:rPr>
        <w:t>ve</w:t>
      </w:r>
      <w:r w:rsidR="00923BE3">
        <w:rPr>
          <w:rFonts w:ascii="Times New Roman" w:hAnsi="Times New Roman"/>
          <w:sz w:val="24"/>
          <w:szCs w:val="24"/>
        </w:rPr>
        <w:t xml:space="preserve"> </w:t>
      </w:r>
      <w:r w:rsidR="000A1EE7">
        <w:rPr>
          <w:rFonts w:ascii="Times New Roman" w:hAnsi="Times New Roman"/>
          <w:sz w:val="24"/>
          <w:szCs w:val="24"/>
        </w:rPr>
        <w:t>model</w:t>
      </w:r>
      <w:r w:rsidR="00E95F2B">
        <w:rPr>
          <w:rFonts w:ascii="Times New Roman" w:hAnsi="Times New Roman"/>
          <w:sz w:val="24"/>
          <w:szCs w:val="24"/>
        </w:rPr>
        <w:t xml:space="preserve"> (</w:t>
      </w:r>
      <w:r w:rsidR="00E95F2B" w:rsidRPr="000C5ADD">
        <w:rPr>
          <w:rFonts w:ascii="Times New Roman" w:hAnsi="Times New Roman"/>
          <w:sz w:val="24"/>
          <w:szCs w:val="24"/>
        </w:rPr>
        <w:t>Box</w:t>
      </w:r>
      <w:r w:rsidR="00E95F2B">
        <w:rPr>
          <w:rFonts w:ascii="Times New Roman" w:hAnsi="Times New Roman"/>
          <w:sz w:val="24"/>
          <w:szCs w:val="24"/>
        </w:rPr>
        <w:t xml:space="preserve"> and </w:t>
      </w:r>
      <w:r w:rsidR="00E95F2B" w:rsidRPr="000C5ADD">
        <w:rPr>
          <w:rFonts w:ascii="Times New Roman" w:hAnsi="Times New Roman"/>
          <w:sz w:val="24"/>
          <w:szCs w:val="24"/>
        </w:rPr>
        <w:t>Jenkins (1970)</w:t>
      </w:r>
      <w:r w:rsidR="00E95F2B">
        <w:rPr>
          <w:rFonts w:ascii="Times New Roman" w:hAnsi="Times New Roman"/>
          <w:sz w:val="24"/>
          <w:szCs w:val="24"/>
        </w:rPr>
        <w:t xml:space="preserve">; </w:t>
      </w:r>
      <w:proofErr w:type="spellStart"/>
      <w:r w:rsidR="00E95F2B" w:rsidRPr="000C5ADD">
        <w:rPr>
          <w:rFonts w:ascii="Times New Roman" w:hAnsi="Times New Roman"/>
          <w:sz w:val="24"/>
          <w:szCs w:val="24"/>
        </w:rPr>
        <w:t>Brockwell</w:t>
      </w:r>
      <w:proofErr w:type="spellEnd"/>
      <w:r w:rsidR="00E95F2B">
        <w:rPr>
          <w:rFonts w:ascii="Times New Roman" w:hAnsi="Times New Roman"/>
          <w:sz w:val="24"/>
          <w:szCs w:val="24"/>
        </w:rPr>
        <w:t xml:space="preserve"> and </w:t>
      </w:r>
      <w:r w:rsidR="00E95F2B" w:rsidRPr="000C5ADD">
        <w:rPr>
          <w:rFonts w:ascii="Times New Roman" w:hAnsi="Times New Roman"/>
          <w:sz w:val="24"/>
          <w:szCs w:val="24"/>
        </w:rPr>
        <w:t>Davis. (1991)</w:t>
      </w:r>
      <w:r w:rsidR="00E95F2B">
        <w:rPr>
          <w:rFonts w:ascii="Times New Roman" w:hAnsi="Times New Roman"/>
          <w:sz w:val="24"/>
          <w:szCs w:val="24"/>
        </w:rPr>
        <w:t>;</w:t>
      </w:r>
      <w:r w:rsidR="00E95F2B" w:rsidRPr="000C5ADD">
        <w:rPr>
          <w:rFonts w:ascii="Times New Roman" w:hAnsi="Times New Roman"/>
          <w:sz w:val="24"/>
          <w:szCs w:val="24"/>
        </w:rPr>
        <w:t xml:space="preserve"> </w:t>
      </w:r>
      <w:proofErr w:type="spellStart"/>
      <w:r w:rsidR="00E95F2B" w:rsidRPr="000C5ADD">
        <w:rPr>
          <w:rFonts w:ascii="Times New Roman" w:hAnsi="Times New Roman"/>
          <w:sz w:val="24"/>
          <w:szCs w:val="24"/>
        </w:rPr>
        <w:t>Commandeur</w:t>
      </w:r>
      <w:proofErr w:type="spellEnd"/>
      <w:r w:rsidR="00E95F2B">
        <w:rPr>
          <w:rFonts w:ascii="Times New Roman" w:hAnsi="Times New Roman"/>
          <w:sz w:val="24"/>
          <w:szCs w:val="24"/>
        </w:rPr>
        <w:t xml:space="preserve"> and</w:t>
      </w:r>
      <w:r w:rsidR="00E95F2B" w:rsidRPr="000C5ADD">
        <w:rPr>
          <w:rFonts w:ascii="Times New Roman" w:hAnsi="Times New Roman"/>
          <w:sz w:val="24"/>
          <w:szCs w:val="24"/>
        </w:rPr>
        <w:t xml:space="preserve"> </w:t>
      </w:r>
      <w:proofErr w:type="spellStart"/>
      <w:r w:rsidR="00E95F2B" w:rsidRPr="000C5ADD">
        <w:rPr>
          <w:rFonts w:ascii="Times New Roman" w:hAnsi="Times New Roman"/>
          <w:sz w:val="24"/>
          <w:szCs w:val="24"/>
        </w:rPr>
        <w:t>Koopman</w:t>
      </w:r>
      <w:proofErr w:type="spellEnd"/>
      <w:r w:rsidR="00E95F2B">
        <w:rPr>
          <w:rFonts w:ascii="Times New Roman" w:hAnsi="Times New Roman"/>
          <w:sz w:val="24"/>
          <w:szCs w:val="24"/>
        </w:rPr>
        <w:t xml:space="preserve"> </w:t>
      </w:r>
      <w:r w:rsidR="00E95F2B" w:rsidRPr="000C5ADD">
        <w:rPr>
          <w:rFonts w:ascii="Times New Roman" w:hAnsi="Times New Roman"/>
          <w:sz w:val="24"/>
          <w:szCs w:val="24"/>
        </w:rPr>
        <w:t>(2007)</w:t>
      </w:r>
      <w:r w:rsidR="00E95F2B">
        <w:rPr>
          <w:rFonts w:ascii="Times New Roman" w:hAnsi="Times New Roman"/>
          <w:sz w:val="24"/>
          <w:szCs w:val="24"/>
        </w:rPr>
        <w:t>)</w:t>
      </w:r>
      <w:r w:rsidR="000A1EE7">
        <w:rPr>
          <w:rFonts w:ascii="Times New Roman" w:hAnsi="Times New Roman"/>
          <w:sz w:val="24"/>
          <w:szCs w:val="24"/>
        </w:rPr>
        <w:t>, a VAR model is a multi-equation linear model in which variables can be explained by their own lags, as well as lags of other variables.</w:t>
      </w:r>
      <w:r w:rsidR="00246B53">
        <w:rPr>
          <w:rFonts w:ascii="Times New Roman" w:hAnsi="Times New Roman"/>
          <w:sz w:val="24"/>
          <w:szCs w:val="24"/>
        </w:rPr>
        <w:t xml:space="preserve">  As in the CCAR / </w:t>
      </w:r>
      <w:r w:rsidR="00E95F2B">
        <w:rPr>
          <w:rFonts w:ascii="Times New Roman" w:hAnsi="Times New Roman"/>
          <w:sz w:val="24"/>
          <w:szCs w:val="24"/>
        </w:rPr>
        <w:t>ST</w:t>
      </w:r>
      <w:r w:rsidR="00246B53">
        <w:rPr>
          <w:rFonts w:ascii="Times New Roman" w:hAnsi="Times New Roman"/>
          <w:sz w:val="24"/>
          <w:szCs w:val="24"/>
        </w:rPr>
        <w:t xml:space="preserve"> application we are interested in modeling the relationship and forecasting multiple macroeconomic variables, the VAR methodology is rather suitable to this end.</w:t>
      </w:r>
      <w:r w:rsidR="00126AF5">
        <w:rPr>
          <w:rFonts w:ascii="Times New Roman" w:hAnsi="Times New Roman"/>
          <w:sz w:val="24"/>
          <w:szCs w:val="24"/>
        </w:rPr>
        <w:t xml:space="preserve">  </w:t>
      </w:r>
      <w:r w:rsidR="000A1EE7">
        <w:rPr>
          <w:rFonts w:ascii="Times New Roman" w:hAnsi="Times New Roman"/>
          <w:sz w:val="24"/>
          <w:szCs w:val="24"/>
        </w:rPr>
        <w:t xml:space="preserve"> </w:t>
      </w:r>
      <w:r w:rsidR="00923BE3">
        <w:rPr>
          <w:rFonts w:ascii="Times New Roman" w:hAnsi="Times New Roman"/>
          <w:sz w:val="24"/>
          <w:szCs w:val="24"/>
        </w:rPr>
        <w:t xml:space="preserve">  </w:t>
      </w:r>
      <w:r w:rsidR="005D3DD6">
        <w:rPr>
          <w:rFonts w:ascii="Times New Roman" w:hAnsi="Times New Roman"/>
          <w:sz w:val="24"/>
          <w:szCs w:val="24"/>
        </w:rPr>
        <w:t xml:space="preserve"> </w:t>
      </w:r>
    </w:p>
    <w:p w:rsidR="006342F0" w:rsidRDefault="00A01723" w:rsidP="006342F0">
      <w:pPr>
        <w:jc w:val="both"/>
        <w:rPr>
          <w:rFonts w:ascii="Times New Roman" w:hAnsi="Times New Roman"/>
          <w:sz w:val="24"/>
          <w:szCs w:val="24"/>
        </w:rPr>
      </w:pPr>
      <w:r>
        <w:rPr>
          <w:rFonts w:ascii="Times New Roman" w:hAnsi="Times New Roman"/>
          <w:sz w:val="24"/>
          <w:szCs w:val="24"/>
        </w:rPr>
        <w:t xml:space="preserve">Let </w:t>
      </w:r>
      <w:r w:rsidR="00687AF2" w:rsidRPr="00687AF2">
        <w:rPr>
          <w:rFonts w:ascii="Times New Roman" w:hAnsi="Times New Roman"/>
          <w:position w:val="-14"/>
          <w:sz w:val="24"/>
          <w:szCs w:val="24"/>
        </w:rPr>
        <w:object w:dxaOrig="1640" w:dyaOrig="440" w14:anchorId="15451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1.75pt" o:ole="">
            <v:imagedata r:id="rId8" o:title=""/>
          </v:shape>
          <o:OLEObject Type="Embed" ProgID="Equation.DSMT4" ShapeID="_x0000_i1025" DrawAspect="Content" ObjectID="_1567591184" r:id="rId9"/>
        </w:object>
      </w:r>
      <w:r>
        <w:rPr>
          <w:rFonts w:ascii="Times New Roman" w:hAnsi="Times New Roman"/>
          <w:sz w:val="24"/>
          <w:szCs w:val="24"/>
        </w:rPr>
        <w:t xml:space="preserve"> be a </w:t>
      </w:r>
      <w:r w:rsidR="00B91245" w:rsidRPr="00B91245">
        <w:rPr>
          <w:rFonts w:ascii="Times New Roman" w:hAnsi="Times New Roman"/>
          <w:position w:val="-6"/>
          <w:sz w:val="24"/>
          <w:szCs w:val="24"/>
        </w:rPr>
        <w:object w:dxaOrig="200" w:dyaOrig="279" w14:anchorId="17D95BEA">
          <v:shape id="_x0000_i1026" type="#_x0000_t75" style="width:9.75pt;height:12.75pt" o:ole="">
            <v:imagedata r:id="rId10" o:title=""/>
          </v:shape>
          <o:OLEObject Type="Embed" ProgID="Equation.DSMT4" ShapeID="_x0000_i1026" DrawAspect="Content" ObjectID="_1567591185" r:id="rId11"/>
        </w:object>
      </w:r>
      <w:r>
        <w:rPr>
          <w:rFonts w:ascii="Times New Roman" w:hAnsi="Times New Roman"/>
          <w:sz w:val="24"/>
          <w:szCs w:val="24"/>
        </w:rPr>
        <w:t xml:space="preserve">-dimensional vector valued time series, </w:t>
      </w:r>
      <w:r w:rsidR="00687AF2">
        <w:rPr>
          <w:rFonts w:ascii="Times New Roman" w:hAnsi="Times New Roman"/>
          <w:sz w:val="24"/>
          <w:szCs w:val="24"/>
        </w:rPr>
        <w:t xml:space="preserve">the output variables of interest, in our application with the entries representing some loss measure in a particular segment, that may be influenced by a set of observable </w:t>
      </w:r>
      <w:r w:rsidR="00687AF2" w:rsidRPr="00687AF2">
        <w:rPr>
          <w:rFonts w:ascii="Times New Roman" w:hAnsi="Times New Roman"/>
          <w:i/>
          <w:sz w:val="24"/>
          <w:szCs w:val="24"/>
        </w:rPr>
        <w:t>input variables</w:t>
      </w:r>
      <w:r w:rsidR="00687AF2">
        <w:rPr>
          <w:rFonts w:ascii="Times New Roman" w:hAnsi="Times New Roman"/>
          <w:sz w:val="24"/>
          <w:szCs w:val="24"/>
        </w:rPr>
        <w:t xml:space="preserve"> denoted by</w:t>
      </w:r>
      <w:r w:rsidR="00687AF2" w:rsidRPr="00687AF2">
        <w:rPr>
          <w:rFonts w:ascii="Times New Roman" w:hAnsi="Times New Roman"/>
          <w:position w:val="-14"/>
          <w:sz w:val="24"/>
          <w:szCs w:val="24"/>
        </w:rPr>
        <w:object w:dxaOrig="1820" w:dyaOrig="440" w14:anchorId="08A7F01C">
          <v:shape id="_x0000_i1027" type="#_x0000_t75" style="width:88.5pt;height:21.75pt" o:ole="">
            <v:imagedata r:id="rId12" o:title=""/>
          </v:shape>
          <o:OLEObject Type="Embed" ProgID="Equation.DSMT4" ShapeID="_x0000_i1027" DrawAspect="Content" ObjectID="_1567591186" r:id="rId13"/>
        </w:object>
      </w:r>
      <w:r w:rsidR="00687AF2">
        <w:rPr>
          <w:rFonts w:ascii="Times New Roman" w:hAnsi="Times New Roman"/>
          <w:sz w:val="24"/>
          <w:szCs w:val="24"/>
        </w:rPr>
        <w:t>,</w:t>
      </w:r>
      <w:r w:rsidR="00687AF2" w:rsidRPr="00687AF2">
        <w:rPr>
          <w:rFonts w:ascii="Times New Roman" w:hAnsi="Times New Roman"/>
          <w:sz w:val="24"/>
          <w:szCs w:val="24"/>
        </w:rPr>
        <w:t xml:space="preserve"> </w:t>
      </w:r>
      <w:r w:rsidR="00687AF2">
        <w:rPr>
          <w:rFonts w:ascii="Times New Roman" w:hAnsi="Times New Roman"/>
          <w:sz w:val="24"/>
          <w:szCs w:val="24"/>
        </w:rPr>
        <w:t>an</w:t>
      </w:r>
      <w:r w:rsidR="00687AF2" w:rsidRPr="00687AF2">
        <w:rPr>
          <w:rFonts w:ascii="Times New Roman" w:hAnsi="Times New Roman"/>
          <w:position w:val="-4"/>
          <w:sz w:val="24"/>
          <w:szCs w:val="24"/>
        </w:rPr>
        <w:object w:dxaOrig="180" w:dyaOrig="200" w14:anchorId="2DB31C51">
          <v:shape id="_x0000_i1028" type="#_x0000_t75" style="width:9pt;height:9.75pt" o:ole="">
            <v:imagedata r:id="rId14" o:title=""/>
          </v:shape>
          <o:OLEObject Type="Embed" ProgID="Equation.DSMT4" ShapeID="_x0000_i1028" DrawAspect="Content" ObjectID="_1567591187" r:id="rId15"/>
        </w:object>
      </w:r>
      <w:r w:rsidR="00687AF2">
        <w:rPr>
          <w:rFonts w:ascii="Times New Roman" w:hAnsi="Times New Roman"/>
          <w:sz w:val="24"/>
          <w:szCs w:val="24"/>
        </w:rPr>
        <w:t xml:space="preserve">-dimensional vector valued time series also referred as </w:t>
      </w:r>
      <w:r w:rsidR="00687AF2" w:rsidRPr="00687AF2">
        <w:rPr>
          <w:rFonts w:ascii="Times New Roman" w:hAnsi="Times New Roman"/>
          <w:i/>
          <w:sz w:val="24"/>
          <w:szCs w:val="24"/>
        </w:rPr>
        <w:t>exogenous variables</w:t>
      </w:r>
      <w:r w:rsidR="00687AF2">
        <w:rPr>
          <w:rFonts w:ascii="Times New Roman" w:hAnsi="Times New Roman"/>
          <w:sz w:val="24"/>
          <w:szCs w:val="24"/>
        </w:rPr>
        <w:t xml:space="preserve">, and in our context representing a set of macroeconomic factors. </w:t>
      </w:r>
      <w:r w:rsidR="006342F0">
        <w:rPr>
          <w:rFonts w:ascii="Times New Roman" w:hAnsi="Times New Roman"/>
          <w:sz w:val="24"/>
          <w:szCs w:val="24"/>
        </w:rPr>
        <w:t xml:space="preserve">This gives rise to </w:t>
      </w:r>
      <w:proofErr w:type="gramStart"/>
      <w:r w:rsidR="006342F0">
        <w:rPr>
          <w:rFonts w:ascii="Times New Roman" w:hAnsi="Times New Roman"/>
          <w:sz w:val="24"/>
          <w:szCs w:val="24"/>
        </w:rPr>
        <w:t>the</w:t>
      </w:r>
      <w:proofErr w:type="gramEnd"/>
      <w:r w:rsidR="006342F0" w:rsidRPr="00A01723">
        <w:rPr>
          <w:rFonts w:ascii="Times New Roman" w:hAnsi="Times New Roman"/>
          <w:position w:val="-14"/>
          <w:sz w:val="24"/>
          <w:szCs w:val="24"/>
        </w:rPr>
        <w:object w:dxaOrig="1800" w:dyaOrig="400">
          <v:shape id="_x0000_i1029" type="#_x0000_t75" style="width:90pt;height:19.5pt" o:ole="">
            <v:imagedata r:id="rId16" o:title=""/>
          </v:shape>
          <o:OLEObject Type="Embed" ProgID="Equation.DSMT4" ShapeID="_x0000_i1029" DrawAspect="Content" ObjectID="_1567591188" r:id="rId17"/>
        </w:object>
      </w:r>
      <w:r w:rsidR="00173F2B">
        <w:rPr>
          <w:rFonts w:ascii="Times New Roman" w:hAnsi="Times New Roman"/>
          <w:sz w:val="24"/>
          <w:szCs w:val="24"/>
        </w:rPr>
        <w:t xml:space="preserve">(“vector autoregressive-moving average with exogenous variables”) </w:t>
      </w:r>
      <w:r w:rsidR="006342F0">
        <w:rPr>
          <w:rFonts w:ascii="Times New Roman" w:hAnsi="Times New Roman"/>
          <w:sz w:val="24"/>
          <w:szCs w:val="24"/>
        </w:rPr>
        <w:t xml:space="preserve">representation: </w:t>
      </w:r>
    </w:p>
    <w:p w:rsidR="006342F0" w:rsidRDefault="006342F0" w:rsidP="006342F0">
      <w:pPr>
        <w:jc w:val="right"/>
        <w:rPr>
          <w:sz w:val="24"/>
          <w:szCs w:val="24"/>
        </w:rPr>
      </w:pPr>
      <w:r>
        <w:rPr>
          <w:sz w:val="24"/>
          <w:szCs w:val="24"/>
        </w:rPr>
        <w:t xml:space="preserve">       </w:t>
      </w:r>
      <w:r w:rsidR="0022470B" w:rsidRPr="006342F0">
        <w:rPr>
          <w:position w:val="-14"/>
          <w:sz w:val="24"/>
          <w:szCs w:val="24"/>
        </w:rPr>
        <w:object w:dxaOrig="2980" w:dyaOrig="400">
          <v:shape id="_x0000_i1030" type="#_x0000_t75" style="width:147.75pt;height:20.25pt" o:ole="">
            <v:imagedata r:id="rId18" o:title=""/>
          </v:shape>
          <o:OLEObject Type="Embed" ProgID="Equation.DSMT4" ShapeID="_x0000_i1030" DrawAspect="Content" ObjectID="_1567591189" r:id="rId19"/>
        </w:object>
      </w:r>
      <w:r>
        <w:rPr>
          <w:sz w:val="24"/>
          <w:szCs w:val="24"/>
        </w:rPr>
        <w:t xml:space="preserve">              </w:t>
      </w:r>
      <w:r w:rsidR="0022470B">
        <w:rPr>
          <w:sz w:val="24"/>
          <w:szCs w:val="24"/>
        </w:rPr>
        <w:t xml:space="preserve">   </w:t>
      </w:r>
      <w:r>
        <w:rPr>
          <w:sz w:val="24"/>
          <w:szCs w:val="24"/>
        </w:rPr>
        <w:t xml:space="preserve">         </w:t>
      </w:r>
      <w:r w:rsidRPr="00FB5E9F">
        <w:rPr>
          <w:rFonts w:ascii="Times New Roman" w:hAnsi="Times New Roman"/>
          <w:sz w:val="24"/>
          <w:szCs w:val="24"/>
        </w:rPr>
        <w:t>(</w:t>
      </w:r>
      <w:r>
        <w:rPr>
          <w:rFonts w:ascii="Times New Roman" w:hAnsi="Times New Roman"/>
          <w:sz w:val="24"/>
          <w:szCs w:val="24"/>
        </w:rPr>
        <w:t>3</w:t>
      </w:r>
      <w:r w:rsidRPr="00FB5E9F">
        <w:rPr>
          <w:rFonts w:ascii="Times New Roman" w:hAnsi="Times New Roman"/>
          <w:sz w:val="24"/>
          <w:szCs w:val="24"/>
        </w:rPr>
        <w:t>.</w:t>
      </w:r>
      <w:r>
        <w:rPr>
          <w:rFonts w:ascii="Times New Roman" w:hAnsi="Times New Roman"/>
          <w:sz w:val="24"/>
          <w:szCs w:val="24"/>
        </w:rPr>
        <w:t>1</w:t>
      </w:r>
      <w:r w:rsidRPr="00FB5E9F">
        <w:rPr>
          <w:rFonts w:ascii="Times New Roman" w:hAnsi="Times New Roman"/>
          <w:sz w:val="24"/>
          <w:szCs w:val="24"/>
        </w:rPr>
        <w:t>)</w:t>
      </w:r>
    </w:p>
    <w:p w:rsidR="006342F0" w:rsidRDefault="006342F0" w:rsidP="006342F0">
      <w:pPr>
        <w:jc w:val="both"/>
        <w:rPr>
          <w:rFonts w:ascii="Times New Roman" w:hAnsi="Times New Roman"/>
          <w:sz w:val="24"/>
          <w:szCs w:val="24"/>
        </w:rPr>
      </w:pPr>
      <w:r>
        <w:rPr>
          <w:rFonts w:ascii="Times New Roman" w:hAnsi="Times New Roman"/>
          <w:sz w:val="24"/>
          <w:szCs w:val="24"/>
        </w:rPr>
        <w:lastRenderedPageBreak/>
        <w:t xml:space="preserve">Which is equivalent </w:t>
      </w:r>
      <w:proofErr w:type="gramStart"/>
      <w:r>
        <w:rPr>
          <w:rFonts w:ascii="Times New Roman" w:hAnsi="Times New Roman"/>
          <w:sz w:val="24"/>
          <w:szCs w:val="24"/>
        </w:rPr>
        <w:t>to:</w:t>
      </w:r>
      <w:proofErr w:type="gramEnd"/>
    </w:p>
    <w:p w:rsidR="006342F0" w:rsidRDefault="006342F0" w:rsidP="006342F0">
      <w:pPr>
        <w:jc w:val="right"/>
        <w:rPr>
          <w:sz w:val="24"/>
          <w:szCs w:val="24"/>
        </w:rPr>
      </w:pPr>
      <w:r>
        <w:rPr>
          <w:sz w:val="24"/>
          <w:szCs w:val="24"/>
        </w:rPr>
        <w:t xml:space="preserve">       </w:t>
      </w:r>
      <w:r w:rsidR="000A6024" w:rsidRPr="00E52882">
        <w:rPr>
          <w:position w:val="-30"/>
          <w:sz w:val="24"/>
          <w:szCs w:val="24"/>
        </w:rPr>
        <w:object w:dxaOrig="4239" w:dyaOrig="700">
          <v:shape id="_x0000_i1031" type="#_x0000_t75" style="width:210.75pt;height:35.25pt" o:ole="">
            <v:imagedata r:id="rId20" o:title=""/>
          </v:shape>
          <o:OLEObject Type="Embed" ProgID="Equation.DSMT4" ShapeID="_x0000_i1031" DrawAspect="Content" ObjectID="_1567591190" r:id="rId21"/>
        </w:object>
      </w:r>
      <w:r>
        <w:rPr>
          <w:sz w:val="24"/>
          <w:szCs w:val="24"/>
        </w:rPr>
        <w:t xml:space="preserve">          </w:t>
      </w:r>
      <w:r w:rsidR="0022470B">
        <w:rPr>
          <w:sz w:val="24"/>
          <w:szCs w:val="24"/>
        </w:rPr>
        <w:t xml:space="preserve">  </w:t>
      </w:r>
      <w:r>
        <w:rPr>
          <w:sz w:val="24"/>
          <w:szCs w:val="24"/>
        </w:rPr>
        <w:t xml:space="preserve">       </w:t>
      </w:r>
      <w:r w:rsidRPr="00FB5E9F">
        <w:rPr>
          <w:rFonts w:ascii="Times New Roman" w:hAnsi="Times New Roman"/>
          <w:sz w:val="24"/>
          <w:szCs w:val="24"/>
        </w:rPr>
        <w:t>(</w:t>
      </w:r>
      <w:r>
        <w:rPr>
          <w:rFonts w:ascii="Times New Roman" w:hAnsi="Times New Roman"/>
          <w:sz w:val="24"/>
          <w:szCs w:val="24"/>
        </w:rPr>
        <w:t>3</w:t>
      </w:r>
      <w:r w:rsidRPr="00FB5E9F">
        <w:rPr>
          <w:rFonts w:ascii="Times New Roman" w:hAnsi="Times New Roman"/>
          <w:sz w:val="24"/>
          <w:szCs w:val="24"/>
        </w:rPr>
        <w:t>.</w:t>
      </w:r>
      <w:r>
        <w:rPr>
          <w:rFonts w:ascii="Times New Roman" w:hAnsi="Times New Roman"/>
          <w:sz w:val="24"/>
          <w:szCs w:val="24"/>
        </w:rPr>
        <w:t>2</w:t>
      </w:r>
      <w:r w:rsidRPr="00FB5E9F">
        <w:rPr>
          <w:rFonts w:ascii="Times New Roman" w:hAnsi="Times New Roman"/>
          <w:sz w:val="24"/>
          <w:szCs w:val="24"/>
        </w:rPr>
        <w:t>)</w:t>
      </w:r>
    </w:p>
    <w:p w:rsidR="006342F0" w:rsidRDefault="006342F0" w:rsidP="006342F0">
      <w:pPr>
        <w:jc w:val="both"/>
        <w:rPr>
          <w:rFonts w:ascii="Times New Roman" w:hAnsi="Times New Roman"/>
          <w:sz w:val="24"/>
          <w:szCs w:val="24"/>
        </w:rPr>
      </w:pPr>
      <w:r w:rsidRPr="006E05EF">
        <w:rPr>
          <w:rFonts w:ascii="Times New Roman" w:hAnsi="Times New Roman"/>
          <w:sz w:val="24"/>
          <w:szCs w:val="24"/>
        </w:rPr>
        <w:t>Where</w:t>
      </w:r>
      <w:r w:rsidRPr="00E82DBE">
        <w:rPr>
          <w:position w:val="-30"/>
          <w:sz w:val="24"/>
          <w:szCs w:val="24"/>
        </w:rPr>
        <w:object w:dxaOrig="2120" w:dyaOrig="700">
          <v:shape id="_x0000_i1032" type="#_x0000_t75" style="width:105.75pt;height:35.25pt" o:ole="">
            <v:imagedata r:id="rId22" o:title=""/>
          </v:shape>
          <o:OLEObject Type="Embed" ProgID="Equation.DSMT4" ShapeID="_x0000_i1032" DrawAspect="Content" ObjectID="_1567591191" r:id="rId23"/>
        </w:object>
      </w:r>
      <w:r>
        <w:rPr>
          <w:sz w:val="24"/>
          <w:szCs w:val="24"/>
        </w:rPr>
        <w:t xml:space="preserve">, </w:t>
      </w:r>
      <w:r w:rsidR="000A6024" w:rsidRPr="00E82DBE">
        <w:rPr>
          <w:position w:val="-30"/>
          <w:sz w:val="24"/>
          <w:szCs w:val="24"/>
        </w:rPr>
        <w:object w:dxaOrig="1700" w:dyaOrig="700">
          <v:shape id="_x0000_i1033" type="#_x0000_t75" style="width:85.5pt;height:35.25pt" o:ole="">
            <v:imagedata r:id="rId24" o:title=""/>
          </v:shape>
          <o:OLEObject Type="Embed" ProgID="Equation.DSMT4" ShapeID="_x0000_i1033" DrawAspect="Content" ObjectID="_1567591192" r:id="rId25"/>
        </w:object>
      </w:r>
      <w:r>
        <w:rPr>
          <w:sz w:val="24"/>
          <w:szCs w:val="24"/>
        </w:rPr>
        <w:t xml:space="preserve"> </w:t>
      </w:r>
      <w:r>
        <w:rPr>
          <w:rFonts w:ascii="Times New Roman" w:hAnsi="Times New Roman"/>
          <w:sz w:val="24"/>
          <w:szCs w:val="24"/>
        </w:rPr>
        <w:t>and</w:t>
      </w:r>
      <w:r w:rsidRPr="00E82DBE">
        <w:rPr>
          <w:position w:val="-30"/>
          <w:sz w:val="24"/>
          <w:szCs w:val="24"/>
        </w:rPr>
        <w:object w:dxaOrig="2100" w:dyaOrig="700">
          <v:shape id="_x0000_i1034" type="#_x0000_t75" style="width:105.75pt;height:35.25pt" o:ole="">
            <v:imagedata r:id="rId26" o:title=""/>
          </v:shape>
          <o:OLEObject Type="Embed" ProgID="Equation.DSMT4" ShapeID="_x0000_i1034" DrawAspect="Content" ObjectID="_1567591193" r:id="rId27"/>
        </w:object>
      </w:r>
      <w:r>
        <w:rPr>
          <w:rFonts w:ascii="Times New Roman" w:hAnsi="Times New Roman"/>
          <w:sz w:val="24"/>
          <w:szCs w:val="24"/>
        </w:rPr>
        <w:t>are</w:t>
      </w:r>
      <w:r w:rsidRPr="00FB5E9F">
        <w:rPr>
          <w:rFonts w:ascii="Times New Roman" w:hAnsi="Times New Roman"/>
          <w:sz w:val="24"/>
          <w:szCs w:val="24"/>
        </w:rPr>
        <w:t xml:space="preserve"> </w:t>
      </w:r>
      <w:r w:rsidRPr="00C64B33">
        <w:rPr>
          <w:rFonts w:ascii="Times New Roman" w:hAnsi="Times New Roman"/>
          <w:i/>
          <w:sz w:val="24"/>
          <w:szCs w:val="24"/>
        </w:rPr>
        <w:t>autoregressive lag polynomials</w:t>
      </w:r>
      <w:r w:rsidRPr="00FB5E9F">
        <w:rPr>
          <w:rFonts w:ascii="Times New Roman" w:hAnsi="Times New Roman"/>
          <w:sz w:val="24"/>
          <w:szCs w:val="24"/>
        </w:rPr>
        <w:t xml:space="preserve"> </w:t>
      </w:r>
      <w:r>
        <w:rPr>
          <w:rFonts w:ascii="Times New Roman" w:hAnsi="Times New Roman"/>
          <w:sz w:val="24"/>
          <w:szCs w:val="24"/>
        </w:rPr>
        <w:t>of respective orders</w:t>
      </w:r>
      <w:r w:rsidRPr="00C64B33">
        <w:rPr>
          <w:rFonts w:ascii="Times New Roman" w:hAnsi="Times New Roman"/>
          <w:b/>
          <w:position w:val="-10"/>
          <w:sz w:val="24"/>
          <w:szCs w:val="24"/>
        </w:rPr>
        <w:object w:dxaOrig="240" w:dyaOrig="260">
          <v:shape id="_x0000_i1035" type="#_x0000_t75" style="width:12pt;height:12pt" o:ole="">
            <v:imagedata r:id="rId28" o:title=""/>
          </v:shape>
          <o:OLEObject Type="Embed" ProgID="Equation.DSMT4" ShapeID="_x0000_i1035" DrawAspect="Content" ObjectID="_1567591194" r:id="rId29"/>
        </w:object>
      </w:r>
      <w:r>
        <w:rPr>
          <w:rFonts w:ascii="Times New Roman" w:hAnsi="Times New Roman"/>
          <w:b/>
          <w:sz w:val="24"/>
          <w:szCs w:val="24"/>
        </w:rPr>
        <w:t xml:space="preserve">, s </w:t>
      </w:r>
      <w:r>
        <w:rPr>
          <w:rFonts w:ascii="Times New Roman" w:hAnsi="Times New Roman"/>
          <w:sz w:val="24"/>
          <w:szCs w:val="24"/>
        </w:rPr>
        <w:t>and</w:t>
      </w:r>
      <w:r w:rsidRPr="00C64B33">
        <w:rPr>
          <w:rFonts w:ascii="Times New Roman" w:hAnsi="Times New Roman"/>
          <w:b/>
          <w:position w:val="-10"/>
          <w:sz w:val="24"/>
          <w:szCs w:val="24"/>
        </w:rPr>
        <w:object w:dxaOrig="200" w:dyaOrig="260">
          <v:shape id="_x0000_i1036" type="#_x0000_t75" style="width:9.75pt;height:12pt" o:ole="">
            <v:imagedata r:id="rId30" o:title=""/>
          </v:shape>
          <o:OLEObject Type="Embed" ProgID="Equation.DSMT4" ShapeID="_x0000_i1036" DrawAspect="Content" ObjectID="_1567591195" r:id="rId31"/>
        </w:object>
      </w:r>
      <w:r>
        <w:rPr>
          <w:rFonts w:ascii="Times New Roman" w:hAnsi="Times New Roman"/>
          <w:sz w:val="24"/>
          <w:szCs w:val="24"/>
        </w:rPr>
        <w:t xml:space="preserve">, respectively, </w:t>
      </w:r>
      <w:r w:rsidRPr="00FB5E9F">
        <w:rPr>
          <w:rFonts w:ascii="Times New Roman" w:hAnsi="Times New Roman"/>
          <w:sz w:val="24"/>
          <w:szCs w:val="24"/>
        </w:rPr>
        <w:t>and</w:t>
      </w:r>
      <w:r w:rsidRPr="00FB5E9F">
        <w:rPr>
          <w:rFonts w:ascii="Times New Roman" w:hAnsi="Times New Roman"/>
          <w:b/>
          <w:position w:val="-4"/>
          <w:sz w:val="24"/>
          <w:szCs w:val="24"/>
        </w:rPr>
        <w:object w:dxaOrig="240" w:dyaOrig="260">
          <v:shape id="_x0000_i1037" type="#_x0000_t75" style="width:12pt;height:12pt" o:ole="">
            <v:imagedata r:id="rId32" o:title=""/>
          </v:shape>
          <o:OLEObject Type="Embed" ProgID="Equation.DSMT4" ShapeID="_x0000_i1037" DrawAspect="Content" ObjectID="_1567591196" r:id="rId33"/>
        </w:object>
      </w:r>
      <w:r w:rsidRPr="00FB5E9F">
        <w:rPr>
          <w:rFonts w:ascii="Times New Roman" w:hAnsi="Times New Roman"/>
          <w:sz w:val="24"/>
          <w:szCs w:val="24"/>
        </w:rPr>
        <w:t xml:space="preserve">is the </w:t>
      </w:r>
      <w:r w:rsidRPr="00C64B33">
        <w:rPr>
          <w:rFonts w:ascii="Times New Roman" w:hAnsi="Times New Roman"/>
          <w:i/>
          <w:sz w:val="24"/>
          <w:szCs w:val="24"/>
        </w:rPr>
        <w:t>back-shift operator</w:t>
      </w:r>
      <w:r w:rsidRPr="00FB5E9F">
        <w:rPr>
          <w:rFonts w:ascii="Times New Roman" w:hAnsi="Times New Roman"/>
          <w:sz w:val="24"/>
          <w:szCs w:val="24"/>
        </w:rPr>
        <w:t xml:space="preserve"> that</w:t>
      </w:r>
      <w:r>
        <w:rPr>
          <w:rFonts w:ascii="Times New Roman" w:hAnsi="Times New Roman"/>
          <w:sz w:val="24"/>
          <w:szCs w:val="24"/>
        </w:rPr>
        <w:t xml:space="preserve"> satisfies</w:t>
      </w:r>
      <w:r w:rsidRPr="00FB5E9F">
        <w:rPr>
          <w:rFonts w:ascii="Times New Roman" w:hAnsi="Times New Roman"/>
          <w:b/>
          <w:position w:val="-12"/>
          <w:sz w:val="24"/>
          <w:szCs w:val="24"/>
        </w:rPr>
        <w:object w:dxaOrig="1160" w:dyaOrig="380">
          <v:shape id="_x0000_i1038" type="#_x0000_t75" style="width:60pt;height:18.75pt" o:ole="">
            <v:imagedata r:id="rId34" o:title=""/>
          </v:shape>
          <o:OLEObject Type="Embed" ProgID="Equation.DSMT4" ShapeID="_x0000_i1038" DrawAspect="Content" ObjectID="_1567591197" r:id="rId35"/>
        </w:object>
      </w:r>
      <w:r w:rsidRPr="008226C0">
        <w:rPr>
          <w:rFonts w:ascii="Times New Roman" w:hAnsi="Times New Roman"/>
          <w:sz w:val="24"/>
          <w:szCs w:val="24"/>
        </w:rPr>
        <w:t>for any process</w:t>
      </w:r>
      <w:r w:rsidRPr="008226C0">
        <w:rPr>
          <w:rFonts w:ascii="Times New Roman" w:hAnsi="Times New Roman"/>
          <w:b/>
          <w:position w:val="-14"/>
          <w:sz w:val="24"/>
          <w:szCs w:val="24"/>
        </w:rPr>
        <w:object w:dxaOrig="520" w:dyaOrig="400">
          <v:shape id="_x0000_i1039" type="#_x0000_t75" style="width:27pt;height:19.5pt" o:ole="">
            <v:imagedata r:id="rId36" o:title=""/>
          </v:shape>
          <o:OLEObject Type="Embed" ProgID="Equation.DSMT4" ShapeID="_x0000_i1039" DrawAspect="Content" ObjectID="_1567591198" r:id="rId37"/>
        </w:object>
      </w:r>
      <w:r>
        <w:rPr>
          <w:rFonts w:ascii="Times New Roman" w:hAnsi="Times New Roman"/>
          <w:b/>
          <w:sz w:val="24"/>
          <w:szCs w:val="24"/>
        </w:rPr>
        <w:t xml:space="preserve">.  </w:t>
      </w:r>
      <w:r w:rsidRPr="0018380A">
        <w:rPr>
          <w:rFonts w:ascii="Times New Roman" w:hAnsi="Times New Roman"/>
          <w:sz w:val="24"/>
          <w:szCs w:val="24"/>
        </w:rPr>
        <w:t xml:space="preserve">It </w:t>
      </w:r>
      <w:r>
        <w:rPr>
          <w:rFonts w:ascii="Times New Roman" w:hAnsi="Times New Roman"/>
          <w:sz w:val="24"/>
          <w:szCs w:val="24"/>
        </w:rPr>
        <w:t>is common to assume that the input process</w:t>
      </w:r>
      <w:r w:rsidR="00173F2B" w:rsidRPr="00173F2B">
        <w:rPr>
          <w:rFonts w:ascii="Times New Roman" w:hAnsi="Times New Roman"/>
          <w:position w:val="-12"/>
          <w:sz w:val="24"/>
          <w:szCs w:val="24"/>
        </w:rPr>
        <w:object w:dxaOrig="300" w:dyaOrig="360">
          <v:shape id="_x0000_i1040" type="#_x0000_t75" style="width:15.75pt;height:17.25pt" o:ole="">
            <v:imagedata r:id="rId38" o:title=""/>
          </v:shape>
          <o:OLEObject Type="Embed" ProgID="Equation.DSMT4" ShapeID="_x0000_i1040" DrawAspect="Content" ObjectID="_1567591199" r:id="rId39"/>
        </w:object>
      </w:r>
      <w:r>
        <w:rPr>
          <w:rFonts w:ascii="Times New Roman" w:hAnsi="Times New Roman"/>
          <w:sz w:val="24"/>
          <w:szCs w:val="24"/>
        </w:rPr>
        <w:t xml:space="preserve">is generated independently of the noise </w:t>
      </w:r>
      <w:proofErr w:type="gramStart"/>
      <w:r>
        <w:rPr>
          <w:rFonts w:ascii="Times New Roman" w:hAnsi="Times New Roman"/>
          <w:sz w:val="24"/>
          <w:szCs w:val="24"/>
        </w:rPr>
        <w:t>process</w:t>
      </w:r>
      <w:r w:rsidR="0022470B">
        <w:rPr>
          <w:rFonts w:ascii="Times New Roman" w:hAnsi="Times New Roman"/>
          <w:sz w:val="24"/>
          <w:szCs w:val="24"/>
        </w:rPr>
        <w:t xml:space="preserve"> </w:t>
      </w:r>
      <w:proofErr w:type="gramEnd"/>
      <w:r w:rsidR="0022470B" w:rsidRPr="00687AF2">
        <w:rPr>
          <w:rFonts w:ascii="Times New Roman" w:hAnsi="Times New Roman"/>
          <w:position w:val="-14"/>
          <w:sz w:val="24"/>
          <w:szCs w:val="24"/>
        </w:rPr>
        <w:object w:dxaOrig="1740" w:dyaOrig="440">
          <v:shape id="_x0000_i1041" type="#_x0000_t75" style="width:86.25pt;height:21.75pt" o:ole="">
            <v:imagedata r:id="rId40" o:title=""/>
          </v:shape>
          <o:OLEObject Type="Embed" ProgID="Equation.DSMT4" ShapeID="_x0000_i1041" DrawAspect="Content" ObjectID="_1567591200" r:id="rId41"/>
        </w:object>
      </w:r>
      <w:r w:rsidR="00EC50C4">
        <w:rPr>
          <w:rStyle w:val="FootnoteReference"/>
          <w:rFonts w:ascii="Times New Roman" w:hAnsi="Times New Roman"/>
          <w:sz w:val="24"/>
          <w:szCs w:val="24"/>
        </w:rPr>
        <w:footnoteReference w:id="3"/>
      </w:r>
      <w:r>
        <w:rPr>
          <w:rFonts w:ascii="Times New Roman" w:hAnsi="Times New Roman"/>
          <w:sz w:val="24"/>
          <w:szCs w:val="24"/>
        </w:rPr>
        <w:t xml:space="preserve">. </w:t>
      </w:r>
      <w:r w:rsidR="00EC50C4">
        <w:rPr>
          <w:rFonts w:ascii="Times New Roman" w:hAnsi="Times New Roman"/>
          <w:sz w:val="24"/>
          <w:szCs w:val="24"/>
        </w:rPr>
        <w:t xml:space="preserve"> The autoregressive parameter matrices </w:t>
      </w:r>
      <w:r w:rsidR="00EC50C4" w:rsidRPr="00EC50C4">
        <w:rPr>
          <w:rFonts w:ascii="Times New Roman" w:hAnsi="Times New Roman"/>
          <w:position w:val="-14"/>
          <w:sz w:val="24"/>
          <w:szCs w:val="24"/>
        </w:rPr>
        <w:object w:dxaOrig="360" w:dyaOrig="380">
          <v:shape id="_x0000_i1042" type="#_x0000_t75" style="width:18pt;height:18.75pt" o:ole="">
            <v:imagedata r:id="rId42" o:title=""/>
          </v:shape>
          <o:OLEObject Type="Embed" ProgID="Equation.DSMT4" ShapeID="_x0000_i1042" DrawAspect="Content" ObjectID="_1567591201" r:id="rId43"/>
        </w:object>
      </w:r>
      <w:r w:rsidR="00EC50C4">
        <w:rPr>
          <w:rFonts w:ascii="Times New Roman" w:hAnsi="Times New Roman"/>
          <w:sz w:val="24"/>
          <w:szCs w:val="24"/>
        </w:rPr>
        <w:t xml:space="preserve">represent sensitivities of output variables to their own lags and to lags of other output variables, while the corresponding matrices </w:t>
      </w:r>
      <w:r w:rsidR="00EC50C4" w:rsidRPr="00EC50C4">
        <w:rPr>
          <w:rFonts w:ascii="Times New Roman" w:hAnsi="Times New Roman"/>
          <w:position w:val="-14"/>
          <w:sz w:val="24"/>
          <w:szCs w:val="24"/>
        </w:rPr>
        <w:object w:dxaOrig="340" w:dyaOrig="380">
          <v:shape id="_x0000_i1043" type="#_x0000_t75" style="width:17.25pt;height:18.75pt" o:ole="">
            <v:imagedata r:id="rId44" o:title=""/>
          </v:shape>
          <o:OLEObject Type="Embed" ProgID="Equation.DSMT4" ShapeID="_x0000_i1043" DrawAspect="Content" ObjectID="_1567591202" r:id="rId45"/>
        </w:object>
      </w:r>
      <w:r w:rsidR="00EC50C4">
        <w:rPr>
          <w:rFonts w:ascii="Times New Roman" w:hAnsi="Times New Roman"/>
          <w:sz w:val="24"/>
          <w:szCs w:val="24"/>
        </w:rPr>
        <w:t xml:space="preserve"> are model sensitivities of output variables to contemporaneous and lagged values of input variables</w:t>
      </w:r>
      <w:r w:rsidR="00DA6E16">
        <w:rPr>
          <w:rStyle w:val="FootnoteReference"/>
          <w:rFonts w:ascii="Times New Roman" w:hAnsi="Times New Roman"/>
          <w:sz w:val="24"/>
          <w:szCs w:val="24"/>
        </w:rPr>
        <w:footnoteReference w:id="4"/>
      </w:r>
      <w:r w:rsidR="00EC50C4">
        <w:rPr>
          <w:rFonts w:ascii="Times New Roman" w:hAnsi="Times New Roman"/>
          <w:sz w:val="24"/>
          <w:szCs w:val="24"/>
        </w:rPr>
        <w:t>.</w:t>
      </w:r>
      <w:r w:rsidR="008B472A">
        <w:rPr>
          <w:rFonts w:ascii="Times New Roman" w:hAnsi="Times New Roman"/>
          <w:sz w:val="24"/>
          <w:szCs w:val="24"/>
        </w:rPr>
        <w:t xml:space="preserve">  It follows that the dependency structure of the</w:t>
      </w:r>
      <w:r w:rsidR="00173F2B">
        <w:rPr>
          <w:rFonts w:ascii="Times New Roman" w:hAnsi="Times New Roman"/>
          <w:sz w:val="24"/>
          <w:szCs w:val="24"/>
        </w:rPr>
        <w:t xml:space="preserve"> output </w:t>
      </w:r>
      <w:proofErr w:type="gramStart"/>
      <w:r w:rsidR="00173F2B">
        <w:rPr>
          <w:rFonts w:ascii="Times New Roman" w:hAnsi="Times New Roman"/>
          <w:sz w:val="24"/>
          <w:szCs w:val="24"/>
        </w:rPr>
        <w:t xml:space="preserve">variables </w:t>
      </w:r>
      <w:proofErr w:type="gramEnd"/>
      <w:r w:rsidR="00173F2B" w:rsidRPr="00173F2B">
        <w:rPr>
          <w:rFonts w:ascii="Times New Roman" w:hAnsi="Times New Roman"/>
          <w:position w:val="-12"/>
          <w:sz w:val="24"/>
          <w:szCs w:val="24"/>
        </w:rPr>
        <w:object w:dxaOrig="279" w:dyaOrig="360">
          <v:shape id="_x0000_i1044" type="#_x0000_t75" style="width:14.25pt;height:18pt" o:ole="">
            <v:imagedata r:id="rId46" o:title=""/>
          </v:shape>
          <o:OLEObject Type="Embed" ProgID="Equation.DSMT4" ShapeID="_x0000_i1044" DrawAspect="Content" ObjectID="_1567591203" r:id="rId47"/>
        </w:object>
      </w:r>
      <w:r w:rsidR="00173F2B">
        <w:rPr>
          <w:rFonts w:ascii="Times New Roman" w:hAnsi="Times New Roman"/>
          <w:sz w:val="24"/>
          <w:szCs w:val="24"/>
        </w:rPr>
        <w:t xml:space="preserve">, as given by the </w:t>
      </w:r>
      <w:proofErr w:type="spellStart"/>
      <w:r w:rsidR="00173F2B">
        <w:rPr>
          <w:rFonts w:ascii="Times New Roman" w:hAnsi="Times New Roman"/>
          <w:sz w:val="24"/>
          <w:szCs w:val="24"/>
        </w:rPr>
        <w:t>autocovariance</w:t>
      </w:r>
      <w:proofErr w:type="spellEnd"/>
      <w:r w:rsidR="00173F2B">
        <w:rPr>
          <w:rFonts w:ascii="Times New Roman" w:hAnsi="Times New Roman"/>
          <w:sz w:val="24"/>
          <w:szCs w:val="24"/>
        </w:rPr>
        <w:t xml:space="preserve"> function, is dependent upon the parameters </w:t>
      </w:r>
      <w:r w:rsidR="00173F2B" w:rsidRPr="00173F2B">
        <w:rPr>
          <w:rFonts w:ascii="Times New Roman" w:hAnsi="Times New Roman"/>
          <w:position w:val="-12"/>
          <w:sz w:val="24"/>
          <w:szCs w:val="24"/>
        </w:rPr>
        <w:object w:dxaOrig="300" w:dyaOrig="360">
          <v:shape id="_x0000_i1045" type="#_x0000_t75" style="width:15pt;height:18pt" o:ole="">
            <v:imagedata r:id="rId48" o:title=""/>
          </v:shape>
          <o:OLEObject Type="Embed" ProgID="Equation.DSMT4" ShapeID="_x0000_i1045" DrawAspect="Content" ObjectID="_1567591204" r:id="rId49"/>
        </w:object>
      </w:r>
      <w:r w:rsidR="00173F2B">
        <w:rPr>
          <w:rFonts w:ascii="Times New Roman" w:hAnsi="Times New Roman"/>
          <w:sz w:val="24"/>
          <w:szCs w:val="24"/>
        </w:rPr>
        <w:t xml:space="preserve">, and hence the correlations amongst the </w:t>
      </w:r>
      <w:r w:rsidR="00173F2B" w:rsidRPr="00173F2B">
        <w:rPr>
          <w:rFonts w:ascii="Times New Roman" w:hAnsi="Times New Roman"/>
          <w:position w:val="-12"/>
          <w:sz w:val="24"/>
          <w:szCs w:val="24"/>
        </w:rPr>
        <w:object w:dxaOrig="279" w:dyaOrig="360">
          <v:shape id="_x0000_i1046" type="#_x0000_t75" style="width:14.25pt;height:18pt" o:ole="">
            <v:imagedata r:id="rId46" o:title=""/>
          </v:shape>
          <o:OLEObject Type="Embed" ProgID="Equation.DSMT4" ShapeID="_x0000_i1046" DrawAspect="Content" ObjectID="_1567591205" r:id="rId50"/>
        </w:object>
      </w:r>
      <w:r w:rsidR="00173F2B">
        <w:rPr>
          <w:rFonts w:ascii="Times New Roman" w:hAnsi="Times New Roman"/>
          <w:sz w:val="24"/>
          <w:szCs w:val="24"/>
        </w:rPr>
        <w:t xml:space="preserve"> as well as the correlation amongst the</w:t>
      </w:r>
      <w:r w:rsidR="00173F2B" w:rsidRPr="00173F2B">
        <w:rPr>
          <w:rFonts w:ascii="Times New Roman" w:hAnsi="Times New Roman"/>
          <w:position w:val="-12"/>
          <w:sz w:val="24"/>
          <w:szCs w:val="24"/>
        </w:rPr>
        <w:object w:dxaOrig="300" w:dyaOrig="360">
          <v:shape id="_x0000_i1047" type="#_x0000_t75" style="width:15.75pt;height:17.25pt" o:ole="">
            <v:imagedata r:id="rId38" o:title=""/>
          </v:shape>
          <o:OLEObject Type="Embed" ProgID="Equation.DSMT4" ShapeID="_x0000_i1047" DrawAspect="Content" ObjectID="_1567591206" r:id="rId51"/>
        </w:object>
      </w:r>
      <w:r w:rsidR="00173F2B">
        <w:rPr>
          <w:rFonts w:ascii="Times New Roman" w:hAnsi="Times New Roman"/>
          <w:sz w:val="24"/>
          <w:szCs w:val="24"/>
        </w:rPr>
        <w:t xml:space="preserve"> that depend upon the parameters </w:t>
      </w:r>
      <w:r w:rsidR="00173F2B" w:rsidRPr="00173F2B">
        <w:rPr>
          <w:rFonts w:ascii="Times New Roman" w:hAnsi="Times New Roman"/>
          <w:position w:val="-14"/>
          <w:sz w:val="24"/>
          <w:szCs w:val="24"/>
        </w:rPr>
        <w:object w:dxaOrig="340" w:dyaOrig="380">
          <v:shape id="_x0000_i1048" type="#_x0000_t75" style="width:17.25pt;height:18.75pt" o:ole="">
            <v:imagedata r:id="rId52" o:title=""/>
          </v:shape>
          <o:OLEObject Type="Embed" ProgID="Equation.DSMT4" ShapeID="_x0000_i1048" DrawAspect="Content" ObjectID="_1567591207" r:id="rId53"/>
        </w:object>
      </w:r>
      <w:r w:rsidR="00173F2B">
        <w:rPr>
          <w:rFonts w:ascii="Times New Roman" w:hAnsi="Times New Roman"/>
          <w:sz w:val="24"/>
          <w:szCs w:val="24"/>
        </w:rPr>
        <w:t xml:space="preserve">.  In contrast, in a system of univariate </w:t>
      </w:r>
      <w:r w:rsidR="00173F2B" w:rsidRPr="00A01723">
        <w:rPr>
          <w:rFonts w:ascii="Times New Roman" w:hAnsi="Times New Roman"/>
          <w:position w:val="-14"/>
          <w:sz w:val="24"/>
          <w:szCs w:val="24"/>
        </w:rPr>
        <w:object w:dxaOrig="1700" w:dyaOrig="400">
          <v:shape id="_x0000_i1049" type="#_x0000_t75" style="width:84.75pt;height:19.5pt" o:ole="">
            <v:imagedata r:id="rId54" o:title=""/>
          </v:shape>
          <o:OLEObject Type="Embed" ProgID="Equation.DSMT4" ShapeID="_x0000_i1049" DrawAspect="Content" ObjectID="_1567591208" r:id="rId55"/>
        </w:object>
      </w:r>
      <w:r w:rsidR="00173F2B">
        <w:rPr>
          <w:rFonts w:ascii="Times New Roman" w:hAnsi="Times New Roman"/>
          <w:sz w:val="24"/>
          <w:szCs w:val="24"/>
        </w:rPr>
        <w:t>(</w:t>
      </w:r>
      <w:proofErr w:type="gramStart"/>
      <w:r w:rsidR="00173F2B">
        <w:rPr>
          <w:rFonts w:ascii="Times New Roman" w:hAnsi="Times New Roman"/>
          <w:sz w:val="24"/>
          <w:szCs w:val="24"/>
        </w:rPr>
        <w:t>“ autoregressive</w:t>
      </w:r>
      <w:proofErr w:type="gramEnd"/>
      <w:r w:rsidR="00173F2B">
        <w:rPr>
          <w:rFonts w:ascii="Times New Roman" w:hAnsi="Times New Roman"/>
          <w:sz w:val="24"/>
          <w:szCs w:val="24"/>
        </w:rPr>
        <w:t xml:space="preserve">-moving average with exogenous variables”) models, the correlations amongst the </w:t>
      </w:r>
      <w:r w:rsidR="00173F2B" w:rsidRPr="00173F2B">
        <w:rPr>
          <w:rFonts w:ascii="Times New Roman" w:hAnsi="Times New Roman"/>
          <w:position w:val="-12"/>
          <w:sz w:val="24"/>
          <w:szCs w:val="24"/>
        </w:rPr>
        <w:object w:dxaOrig="279" w:dyaOrig="360">
          <v:shape id="_x0000_i1050" type="#_x0000_t75" style="width:14.25pt;height:18pt" o:ole="">
            <v:imagedata r:id="rId46" o:title=""/>
          </v:shape>
          <o:OLEObject Type="Embed" ProgID="Equation.DSMT4" ShapeID="_x0000_i1050" DrawAspect="Content" ObjectID="_1567591209" r:id="rId56"/>
        </w:object>
      </w:r>
      <w:r w:rsidR="00173F2B">
        <w:rPr>
          <w:rFonts w:ascii="Times New Roman" w:hAnsi="Times New Roman"/>
          <w:sz w:val="24"/>
          <w:szCs w:val="24"/>
        </w:rPr>
        <w:t xml:space="preserve"> is not taken into account, hence the parameter vectors </w:t>
      </w:r>
      <w:r w:rsidR="00173F2B" w:rsidRPr="00173F2B">
        <w:rPr>
          <w:rFonts w:ascii="Times New Roman" w:hAnsi="Times New Roman"/>
          <w:position w:val="-14"/>
          <w:sz w:val="24"/>
          <w:szCs w:val="24"/>
        </w:rPr>
        <w:object w:dxaOrig="340" w:dyaOrig="380">
          <v:shape id="_x0000_i1051" type="#_x0000_t75" style="width:17.25pt;height:18.75pt" o:ole="">
            <v:imagedata r:id="rId52" o:title=""/>
          </v:shape>
          <o:OLEObject Type="Embed" ProgID="Equation.DSMT4" ShapeID="_x0000_i1051" DrawAspect="Content" ObjectID="_1567591210" r:id="rId57"/>
        </w:object>
      </w:r>
      <w:r w:rsidR="00173F2B">
        <w:rPr>
          <w:rFonts w:ascii="Times New Roman" w:hAnsi="Times New Roman"/>
          <w:sz w:val="24"/>
          <w:szCs w:val="24"/>
        </w:rPr>
        <w:t xml:space="preserve"> have a diagonal structure</w:t>
      </w:r>
      <w:r w:rsidR="00C94447">
        <w:rPr>
          <w:rFonts w:ascii="Times New Roman" w:hAnsi="Times New Roman"/>
          <w:sz w:val="24"/>
          <w:szCs w:val="24"/>
        </w:rPr>
        <w:t xml:space="preserve"> (</w:t>
      </w:r>
      <w:proofErr w:type="spellStart"/>
      <w:r w:rsidR="00C94447">
        <w:rPr>
          <w:rFonts w:ascii="Times New Roman" w:hAnsi="Times New Roman"/>
          <w:sz w:val="24"/>
          <w:szCs w:val="24"/>
        </w:rPr>
        <w:t>Brockwell</w:t>
      </w:r>
      <w:proofErr w:type="spellEnd"/>
      <w:r w:rsidR="00C94447">
        <w:rPr>
          <w:rFonts w:ascii="Times New Roman" w:hAnsi="Times New Roman"/>
          <w:sz w:val="24"/>
          <w:szCs w:val="24"/>
        </w:rPr>
        <w:t xml:space="preserve"> and Davis, 1991)</w:t>
      </w:r>
      <w:r w:rsidR="00173F2B">
        <w:rPr>
          <w:rFonts w:ascii="Times New Roman" w:hAnsi="Times New Roman"/>
          <w:sz w:val="24"/>
          <w:szCs w:val="24"/>
        </w:rPr>
        <w:t xml:space="preserve">.  </w:t>
      </w:r>
      <w:r w:rsidR="008B472A">
        <w:rPr>
          <w:rFonts w:ascii="Times New Roman" w:hAnsi="Times New Roman"/>
          <w:sz w:val="24"/>
          <w:szCs w:val="24"/>
        </w:rPr>
        <w:t xml:space="preserve">   </w:t>
      </w:r>
      <w:r w:rsidR="00EC50C4">
        <w:rPr>
          <w:rFonts w:ascii="Times New Roman" w:hAnsi="Times New Roman"/>
          <w:sz w:val="24"/>
          <w:szCs w:val="24"/>
        </w:rPr>
        <w:t xml:space="preserve">  </w:t>
      </w:r>
      <w:r>
        <w:rPr>
          <w:rFonts w:ascii="Times New Roman" w:hAnsi="Times New Roman"/>
          <w:sz w:val="24"/>
          <w:szCs w:val="24"/>
        </w:rPr>
        <w:t xml:space="preserve">          </w:t>
      </w:r>
      <w:r w:rsidRPr="00FB5E9F">
        <w:rPr>
          <w:rFonts w:ascii="Times New Roman" w:hAnsi="Times New Roman"/>
          <w:sz w:val="24"/>
          <w:szCs w:val="24"/>
        </w:rPr>
        <w:t xml:space="preserve"> </w:t>
      </w:r>
    </w:p>
    <w:p w:rsidR="0065131D" w:rsidRDefault="0065131D" w:rsidP="0065131D">
      <w:pPr>
        <w:jc w:val="both"/>
        <w:rPr>
          <w:rFonts w:ascii="Times New Roman" w:hAnsi="Times New Roman"/>
          <w:sz w:val="24"/>
          <w:szCs w:val="24"/>
        </w:rPr>
      </w:pPr>
      <w:r>
        <w:rPr>
          <w:rFonts w:ascii="Times New Roman" w:hAnsi="Times New Roman"/>
          <w:sz w:val="24"/>
          <w:szCs w:val="24"/>
        </w:rPr>
        <w:t xml:space="preserve">In this study we consider a </w:t>
      </w:r>
      <w:r w:rsidRPr="00801426">
        <w:rPr>
          <w:rFonts w:ascii="Times New Roman" w:hAnsi="Times New Roman"/>
          <w:i/>
          <w:sz w:val="24"/>
          <w:szCs w:val="24"/>
        </w:rPr>
        <w:t>vector autoregressive model with exogenous variables</w:t>
      </w:r>
      <w:r>
        <w:rPr>
          <w:rFonts w:ascii="Times New Roman" w:hAnsi="Times New Roman"/>
          <w:sz w:val="24"/>
          <w:szCs w:val="24"/>
        </w:rPr>
        <w:t xml:space="preserve"> (“VARX”), denoted by</w:t>
      </w:r>
      <w:r w:rsidRPr="00A01723">
        <w:rPr>
          <w:rFonts w:ascii="Times New Roman" w:hAnsi="Times New Roman"/>
          <w:position w:val="-14"/>
          <w:sz w:val="24"/>
          <w:szCs w:val="24"/>
        </w:rPr>
        <w:object w:dxaOrig="1240" w:dyaOrig="400" w14:anchorId="77B40D30">
          <v:shape id="_x0000_i1052" type="#_x0000_t75" style="width:62.25pt;height:19.5pt" o:ole="">
            <v:imagedata r:id="rId58" o:title=""/>
          </v:shape>
          <o:OLEObject Type="Embed" ProgID="Equation.DSMT4" ShapeID="_x0000_i1052" DrawAspect="Content" ObjectID="_1567591211" r:id="rId59"/>
        </w:object>
      </w:r>
      <w:r>
        <w:rPr>
          <w:rFonts w:ascii="Times New Roman" w:hAnsi="Times New Roman"/>
          <w:sz w:val="24"/>
          <w:szCs w:val="24"/>
        </w:rPr>
        <w:t xml:space="preserve">, which restricts the </w:t>
      </w:r>
      <w:r w:rsidRPr="005B1794">
        <w:rPr>
          <w:rFonts w:ascii="Times New Roman" w:hAnsi="Times New Roman"/>
          <w:i/>
          <w:sz w:val="24"/>
          <w:szCs w:val="24"/>
        </w:rPr>
        <w:t>Moving Averag</w:t>
      </w:r>
      <w:r>
        <w:rPr>
          <w:rFonts w:ascii="Times New Roman" w:hAnsi="Times New Roman"/>
          <w:sz w:val="24"/>
          <w:szCs w:val="24"/>
        </w:rPr>
        <w:t>e (“MA”) terms beyond lag zero to be zero, or</w:t>
      </w:r>
      <w:r w:rsidRPr="00801426">
        <w:rPr>
          <w:rFonts w:ascii="Times New Roman" w:hAnsi="Times New Roman"/>
          <w:position w:val="-14"/>
          <w:sz w:val="24"/>
          <w:szCs w:val="24"/>
        </w:rPr>
        <w:object w:dxaOrig="1579" w:dyaOrig="400" w14:anchorId="516AE0C0">
          <v:shape id="_x0000_i1053" type="#_x0000_t75" style="width:79.5pt;height:19.5pt" o:ole="">
            <v:imagedata r:id="rId60" o:title=""/>
          </v:shape>
          <o:OLEObject Type="Embed" ProgID="Equation.DSMT4" ShapeID="_x0000_i1053" DrawAspect="Content" ObjectID="_1567591212" r:id="rId61"/>
        </w:object>
      </w:r>
      <w:r>
        <w:rPr>
          <w:rFonts w:ascii="Times New Roman" w:hAnsi="Times New Roman"/>
          <w:sz w:val="24"/>
          <w:szCs w:val="24"/>
        </w:rPr>
        <w:t xml:space="preserve">: </w:t>
      </w:r>
    </w:p>
    <w:p w:rsidR="0065131D" w:rsidRDefault="0065131D" w:rsidP="0065131D">
      <w:pPr>
        <w:jc w:val="right"/>
        <w:rPr>
          <w:sz w:val="24"/>
          <w:szCs w:val="24"/>
        </w:rPr>
      </w:pPr>
      <w:r>
        <w:rPr>
          <w:sz w:val="24"/>
          <w:szCs w:val="24"/>
        </w:rPr>
        <w:lastRenderedPageBreak/>
        <w:t xml:space="preserve">       </w:t>
      </w:r>
      <w:r w:rsidR="00EC50C4" w:rsidRPr="00E52882">
        <w:rPr>
          <w:position w:val="-30"/>
          <w:sz w:val="24"/>
          <w:szCs w:val="24"/>
        </w:rPr>
        <w:object w:dxaOrig="3060" w:dyaOrig="700" w14:anchorId="0C3CF866">
          <v:shape id="_x0000_i1054" type="#_x0000_t75" style="width:153.75pt;height:35.25pt" o:ole="">
            <v:imagedata r:id="rId62" o:title=""/>
          </v:shape>
          <o:OLEObject Type="Embed" ProgID="Equation.DSMT4" ShapeID="_x0000_i1054" DrawAspect="Content" ObjectID="_1567591213" r:id="rId63"/>
        </w:object>
      </w:r>
      <w:r w:rsidR="00AD1989">
        <w:rPr>
          <w:sz w:val="24"/>
          <w:szCs w:val="24"/>
        </w:rPr>
        <w:t xml:space="preserve">        </w:t>
      </w:r>
      <w:r w:rsidR="005B616D">
        <w:rPr>
          <w:sz w:val="24"/>
          <w:szCs w:val="24"/>
        </w:rPr>
        <w:t xml:space="preserve"> </w:t>
      </w:r>
      <w:r w:rsidR="00AD1989">
        <w:rPr>
          <w:sz w:val="24"/>
          <w:szCs w:val="24"/>
        </w:rPr>
        <w:t xml:space="preserve">    </w:t>
      </w:r>
      <w:r>
        <w:rPr>
          <w:sz w:val="24"/>
          <w:szCs w:val="24"/>
        </w:rPr>
        <w:t xml:space="preserve">         </w:t>
      </w:r>
      <w:r w:rsidRPr="00FB5E9F">
        <w:rPr>
          <w:rFonts w:ascii="Times New Roman" w:hAnsi="Times New Roman"/>
          <w:sz w:val="24"/>
          <w:szCs w:val="24"/>
        </w:rPr>
        <w:t>(</w:t>
      </w:r>
      <w:r>
        <w:rPr>
          <w:rFonts w:ascii="Times New Roman" w:hAnsi="Times New Roman"/>
          <w:sz w:val="24"/>
          <w:szCs w:val="24"/>
        </w:rPr>
        <w:t>3</w:t>
      </w:r>
      <w:r w:rsidRPr="00FB5E9F">
        <w:rPr>
          <w:rFonts w:ascii="Times New Roman" w:hAnsi="Times New Roman"/>
          <w:sz w:val="24"/>
          <w:szCs w:val="24"/>
        </w:rPr>
        <w:t>.</w:t>
      </w:r>
      <w:r w:rsidR="00DA6E16">
        <w:rPr>
          <w:rFonts w:ascii="Times New Roman" w:hAnsi="Times New Roman"/>
          <w:sz w:val="24"/>
          <w:szCs w:val="24"/>
        </w:rPr>
        <w:t>3</w:t>
      </w:r>
      <w:r w:rsidRPr="00FB5E9F">
        <w:rPr>
          <w:rFonts w:ascii="Times New Roman" w:hAnsi="Times New Roman"/>
          <w:sz w:val="24"/>
          <w:szCs w:val="24"/>
        </w:rPr>
        <w:t>)</w:t>
      </w:r>
    </w:p>
    <w:p w:rsidR="00801426" w:rsidRPr="00801426" w:rsidRDefault="0065131D" w:rsidP="0065131D">
      <w:pPr>
        <w:jc w:val="both"/>
        <w:rPr>
          <w:rFonts w:ascii="Times New Roman" w:hAnsi="Times New Roman"/>
          <w:sz w:val="24"/>
          <w:szCs w:val="24"/>
        </w:rPr>
      </w:pPr>
      <w:r w:rsidRPr="00801426">
        <w:rPr>
          <w:rFonts w:ascii="Times New Roman" w:hAnsi="Times New Roman"/>
          <w:sz w:val="24"/>
          <w:szCs w:val="24"/>
        </w:rPr>
        <w:t>The rational</w:t>
      </w:r>
      <w:r>
        <w:rPr>
          <w:rFonts w:ascii="Times New Roman" w:hAnsi="Times New Roman"/>
          <w:sz w:val="24"/>
          <w:szCs w:val="24"/>
        </w:rPr>
        <w:t>e for this restriction is three-fold.  First, in MA terms were in no cases significant in the model estimations, so that the data simply does not support a VARMA representation.  Second, the VARX model avails us of the very convenient DSE package in R, which has computational and analytical advantages</w:t>
      </w:r>
      <w:r w:rsidR="00D344C5" w:rsidRPr="00D344C5">
        <w:rPr>
          <w:rFonts w:ascii="Times New Roman" w:hAnsi="Times New Roman"/>
          <w:sz w:val="24"/>
          <w:szCs w:val="24"/>
        </w:rPr>
        <w:t xml:space="preserve"> </w:t>
      </w:r>
      <w:r w:rsidR="00D344C5">
        <w:rPr>
          <w:rFonts w:ascii="Times New Roman" w:hAnsi="Times New Roman"/>
          <w:sz w:val="24"/>
          <w:szCs w:val="24"/>
        </w:rPr>
        <w:t>(</w:t>
      </w:r>
      <w:r w:rsidR="00D344C5" w:rsidRPr="00D54BE4">
        <w:rPr>
          <w:rFonts w:ascii="Times New Roman" w:hAnsi="Times New Roman"/>
          <w:sz w:val="24"/>
          <w:szCs w:val="24"/>
        </w:rPr>
        <w:t>R Development Core Team</w:t>
      </w:r>
      <w:r w:rsidR="00D344C5">
        <w:rPr>
          <w:rFonts w:ascii="Times New Roman" w:hAnsi="Times New Roman"/>
          <w:sz w:val="24"/>
          <w:szCs w:val="24"/>
        </w:rPr>
        <w:t xml:space="preserve">, </w:t>
      </w:r>
      <w:r w:rsidR="00D344C5" w:rsidRPr="00D54BE4">
        <w:rPr>
          <w:rFonts w:ascii="Times New Roman" w:hAnsi="Times New Roman"/>
          <w:sz w:val="24"/>
          <w:szCs w:val="24"/>
        </w:rPr>
        <w:t>20</w:t>
      </w:r>
      <w:r w:rsidR="00D344C5">
        <w:rPr>
          <w:rFonts w:ascii="Times New Roman" w:hAnsi="Times New Roman"/>
          <w:sz w:val="24"/>
          <w:szCs w:val="24"/>
        </w:rPr>
        <w:t>1</w:t>
      </w:r>
      <w:r w:rsidR="00442073">
        <w:rPr>
          <w:rFonts w:ascii="Times New Roman" w:hAnsi="Times New Roman"/>
          <w:sz w:val="24"/>
          <w:szCs w:val="24"/>
        </w:rPr>
        <w:t>7</w:t>
      </w:r>
      <w:r w:rsidR="00D344C5">
        <w:rPr>
          <w:rFonts w:ascii="Times New Roman" w:hAnsi="Times New Roman"/>
          <w:sz w:val="24"/>
          <w:szCs w:val="24"/>
        </w:rPr>
        <w:t>)</w:t>
      </w:r>
      <w:r>
        <w:rPr>
          <w:rFonts w:ascii="Times New Roman" w:hAnsi="Times New Roman"/>
          <w:sz w:val="24"/>
          <w:szCs w:val="24"/>
        </w:rPr>
        <w:t>.  Finally, the VARX framework is more practical and intuitive than the more elaborate VARMAX model, and allows for superior communication of results to practitioners.</w:t>
      </w:r>
      <w:r w:rsidR="00C718E8">
        <w:rPr>
          <w:rFonts w:ascii="Times New Roman" w:hAnsi="Times New Roman"/>
          <w:sz w:val="24"/>
          <w:szCs w:val="24"/>
        </w:rPr>
        <w:t xml:space="preserve"> </w:t>
      </w:r>
      <w:r w:rsidR="00CC6FEA">
        <w:rPr>
          <w:rFonts w:ascii="Times New Roman" w:hAnsi="Times New Roman"/>
          <w:sz w:val="24"/>
          <w:szCs w:val="24"/>
        </w:rPr>
        <w:t xml:space="preserve"> </w:t>
      </w:r>
    </w:p>
    <w:p w:rsidR="006C0EF9" w:rsidRDefault="00FE06D5" w:rsidP="00DD56F5">
      <w:pPr>
        <w:jc w:val="both"/>
        <w:rPr>
          <w:position w:val="-16"/>
          <w:sz w:val="24"/>
          <w:szCs w:val="24"/>
        </w:rPr>
      </w:pPr>
      <w:r>
        <w:rPr>
          <w:rFonts w:ascii="Times New Roman" w:hAnsi="Times New Roman"/>
          <w:sz w:val="24"/>
          <w:szCs w:val="24"/>
        </w:rPr>
        <w:t xml:space="preserve">We now consider the MS-VAR </w:t>
      </w:r>
      <w:r w:rsidR="005E7DB5">
        <w:rPr>
          <w:rFonts w:ascii="Times New Roman" w:hAnsi="Times New Roman"/>
          <w:sz w:val="24"/>
          <w:szCs w:val="24"/>
        </w:rPr>
        <w:t xml:space="preserve">(or more generally MS-VARMAX) </w:t>
      </w:r>
      <w:r>
        <w:rPr>
          <w:rFonts w:ascii="Times New Roman" w:hAnsi="Times New Roman"/>
          <w:sz w:val="24"/>
          <w:szCs w:val="24"/>
        </w:rPr>
        <w:t>generalization of the VAR</w:t>
      </w:r>
      <w:r w:rsidR="005E7DB5">
        <w:rPr>
          <w:rFonts w:ascii="Times New Roman" w:hAnsi="Times New Roman"/>
          <w:sz w:val="24"/>
          <w:szCs w:val="24"/>
        </w:rPr>
        <w:t xml:space="preserve"> (or more generally (ARMAX)</w:t>
      </w:r>
      <w:r>
        <w:rPr>
          <w:rFonts w:ascii="Times New Roman" w:hAnsi="Times New Roman"/>
          <w:sz w:val="24"/>
          <w:szCs w:val="24"/>
        </w:rPr>
        <w:t xml:space="preserve"> methodology with changes in regime, where the parameters of the VAR</w:t>
      </w:r>
      <w:r w:rsidR="005E7DB5">
        <w:rPr>
          <w:rFonts w:ascii="Times New Roman" w:hAnsi="Times New Roman"/>
          <w:sz w:val="24"/>
          <w:szCs w:val="24"/>
        </w:rPr>
        <w:t>MAX</w:t>
      </w:r>
      <w:r>
        <w:rPr>
          <w:rFonts w:ascii="Times New Roman" w:hAnsi="Times New Roman"/>
          <w:sz w:val="24"/>
          <w:szCs w:val="24"/>
        </w:rPr>
        <w:t xml:space="preserve"> system</w:t>
      </w:r>
      <w:r w:rsidR="005E7DB5">
        <w:rPr>
          <w:rFonts w:ascii="Times New Roman" w:hAnsi="Times New Roman"/>
          <w:sz w:val="24"/>
          <w:szCs w:val="24"/>
        </w:rPr>
        <w:t xml:space="preserve"> </w:t>
      </w:r>
      <w:r w:rsidR="005E7DB5" w:rsidRPr="005E7DB5">
        <w:rPr>
          <w:rFonts w:ascii="Times New Roman" w:hAnsi="Times New Roman"/>
          <w:position w:val="-16"/>
          <w:sz w:val="24"/>
          <w:szCs w:val="24"/>
        </w:rPr>
        <w:object w:dxaOrig="2760" w:dyaOrig="480" w14:anchorId="4AE0400F">
          <v:shape id="_x0000_i1055" type="#_x0000_t75" style="width:138pt;height:24pt" o:ole="">
            <v:imagedata r:id="rId64" o:title=""/>
          </v:shape>
          <o:OLEObject Type="Embed" ProgID="Equation.DSMT4" ShapeID="_x0000_i1055" DrawAspect="Content" ObjectID="_1567591214" r:id="rId65"/>
        </w:object>
      </w:r>
      <w:r>
        <w:rPr>
          <w:rFonts w:ascii="Times New Roman" w:hAnsi="Times New Roman"/>
          <w:sz w:val="24"/>
          <w:szCs w:val="24"/>
        </w:rPr>
        <w:t xml:space="preserve"> will be time-varying.</w:t>
      </w:r>
      <w:r w:rsidR="00DD56F5">
        <w:rPr>
          <w:rFonts w:ascii="Times New Roman" w:hAnsi="Times New Roman"/>
          <w:sz w:val="24"/>
          <w:szCs w:val="24"/>
        </w:rPr>
        <w:t xml:space="preserve">  However, the process might be time-invariant conditional on an unobservable regime variable</w:t>
      </w:r>
      <w:r w:rsidR="00DD56F5" w:rsidRPr="00DD56F5">
        <w:rPr>
          <w:rFonts w:ascii="Times New Roman" w:hAnsi="Times New Roman"/>
          <w:position w:val="-14"/>
          <w:sz w:val="24"/>
          <w:szCs w:val="24"/>
        </w:rPr>
        <w:object w:dxaOrig="1320" w:dyaOrig="400" w14:anchorId="7BF6AF49">
          <v:shape id="_x0000_i1056" type="#_x0000_t75" style="width:66pt;height:19.5pt" o:ole="">
            <v:imagedata r:id="rId66" o:title=""/>
          </v:shape>
          <o:OLEObject Type="Embed" ProgID="Equation.DSMT4" ShapeID="_x0000_i1056" DrawAspect="Content" ObjectID="_1567591215" r:id="rId67"/>
        </w:object>
      </w:r>
      <w:r w:rsidR="00DD56F5">
        <w:rPr>
          <w:rFonts w:ascii="Times New Roman" w:hAnsi="Times New Roman"/>
          <w:sz w:val="24"/>
          <w:szCs w:val="24"/>
        </w:rPr>
        <w:t>, denoting the state at time</w:t>
      </w:r>
      <w:r w:rsidR="00DD56F5" w:rsidRPr="00DD56F5">
        <w:rPr>
          <w:rFonts w:ascii="Times New Roman" w:hAnsi="Times New Roman"/>
          <w:position w:val="-6"/>
          <w:sz w:val="24"/>
          <w:szCs w:val="24"/>
        </w:rPr>
        <w:object w:dxaOrig="139" w:dyaOrig="240" w14:anchorId="1A04E819">
          <v:shape id="_x0000_i1057" type="#_x0000_t75" style="width:6.75pt;height:12pt" o:ole="">
            <v:imagedata r:id="rId68" o:title=""/>
          </v:shape>
          <o:OLEObject Type="Embed" ProgID="Equation.DSMT4" ShapeID="_x0000_i1057" DrawAspect="Content" ObjectID="_1567591216" r:id="rId69"/>
        </w:object>
      </w:r>
      <w:r w:rsidR="00DD56F5">
        <w:rPr>
          <w:rFonts w:ascii="Times New Roman" w:hAnsi="Times New Roman"/>
          <w:sz w:val="24"/>
          <w:szCs w:val="24"/>
        </w:rPr>
        <w:t>out of</w:t>
      </w:r>
      <w:r w:rsidR="00DD56F5" w:rsidRPr="00DD56F5">
        <w:rPr>
          <w:rFonts w:ascii="Times New Roman" w:hAnsi="Times New Roman"/>
          <w:position w:val="-4"/>
          <w:sz w:val="24"/>
          <w:szCs w:val="24"/>
        </w:rPr>
        <w:object w:dxaOrig="320" w:dyaOrig="260" w14:anchorId="4E4F0C2F">
          <v:shape id="_x0000_i1058" type="#_x0000_t75" style="width:15.75pt;height:12.75pt" o:ole="">
            <v:imagedata r:id="rId70" o:title=""/>
          </v:shape>
          <o:OLEObject Type="Embed" ProgID="Equation.DSMT4" ShapeID="_x0000_i1058" DrawAspect="Content" ObjectID="_1567591217" r:id="rId71"/>
        </w:object>
      </w:r>
      <w:r w:rsidR="00DD56F5">
        <w:rPr>
          <w:rFonts w:ascii="Times New Roman" w:hAnsi="Times New Roman"/>
          <w:sz w:val="24"/>
          <w:szCs w:val="24"/>
        </w:rPr>
        <w:t>feasible states.  In that case, then the conditional probability density of the</w:t>
      </w:r>
      <w:r w:rsidR="00EE5D39">
        <w:rPr>
          <w:rFonts w:ascii="Times New Roman" w:hAnsi="Times New Roman"/>
          <w:sz w:val="24"/>
          <w:szCs w:val="24"/>
        </w:rPr>
        <w:t xml:space="preserve"> observed time series</w:t>
      </w:r>
      <w:r w:rsidR="00EE5D39" w:rsidRPr="00EE5D39">
        <w:rPr>
          <w:rFonts w:ascii="Times New Roman" w:hAnsi="Times New Roman"/>
          <w:position w:val="-12"/>
          <w:sz w:val="24"/>
          <w:szCs w:val="24"/>
        </w:rPr>
        <w:object w:dxaOrig="279" w:dyaOrig="360" w14:anchorId="46922125">
          <v:shape id="_x0000_i1059" type="#_x0000_t75" style="width:15pt;height:18.75pt" o:ole="">
            <v:imagedata r:id="rId72" o:title=""/>
          </v:shape>
          <o:OLEObject Type="Embed" ProgID="Equation.DSMT4" ShapeID="_x0000_i1059" DrawAspect="Content" ObjectID="_1567591218" r:id="rId73"/>
        </w:object>
      </w:r>
      <w:r w:rsidR="00EE5D39">
        <w:rPr>
          <w:rFonts w:ascii="Times New Roman" w:hAnsi="Times New Roman"/>
          <w:sz w:val="24"/>
          <w:szCs w:val="24"/>
        </w:rPr>
        <w:t xml:space="preserve">is given by: </w:t>
      </w:r>
      <w:r w:rsidR="00DD56F5">
        <w:rPr>
          <w:rFonts w:ascii="Times New Roman" w:hAnsi="Times New Roman"/>
          <w:sz w:val="24"/>
          <w:szCs w:val="24"/>
        </w:rPr>
        <w:t xml:space="preserve">  </w:t>
      </w:r>
    </w:p>
    <w:p w:rsidR="009D2CF0" w:rsidRPr="006C0EF9" w:rsidRDefault="00E032D2" w:rsidP="006C0EF9">
      <w:pPr>
        <w:jc w:val="right"/>
        <w:rPr>
          <w:position w:val="-16"/>
          <w:sz w:val="24"/>
          <w:szCs w:val="24"/>
        </w:rPr>
      </w:pPr>
      <w:r w:rsidRPr="00EE5D39">
        <w:rPr>
          <w:position w:val="-58"/>
          <w:sz w:val="24"/>
          <w:szCs w:val="24"/>
        </w:rPr>
        <w:object w:dxaOrig="4300" w:dyaOrig="1280" w14:anchorId="5AB6998C">
          <v:shape id="_x0000_i1060" type="#_x0000_t75" style="width:214.5pt;height:64.5pt" o:ole="">
            <v:imagedata r:id="rId74" o:title=""/>
          </v:shape>
          <o:OLEObject Type="Embed" ProgID="Equation.DSMT4" ShapeID="_x0000_i1060" DrawAspect="Content" ObjectID="_1567591219" r:id="rId75"/>
        </w:object>
      </w:r>
      <w:r w:rsidR="00DB5BF1">
        <w:rPr>
          <w:sz w:val="24"/>
          <w:szCs w:val="24"/>
        </w:rPr>
        <w:t xml:space="preserve">             </w:t>
      </w:r>
      <w:r w:rsidR="006C0EF9">
        <w:rPr>
          <w:sz w:val="24"/>
          <w:szCs w:val="24"/>
        </w:rPr>
        <w:t xml:space="preserve">       </w:t>
      </w:r>
      <w:r w:rsidR="00DD56F5" w:rsidRPr="00FB5E9F">
        <w:rPr>
          <w:rFonts w:ascii="Times New Roman" w:hAnsi="Times New Roman"/>
          <w:sz w:val="24"/>
          <w:szCs w:val="24"/>
        </w:rPr>
        <w:t>(</w:t>
      </w:r>
      <w:r w:rsidR="00DD56F5">
        <w:rPr>
          <w:rFonts w:ascii="Times New Roman" w:hAnsi="Times New Roman"/>
          <w:sz w:val="24"/>
          <w:szCs w:val="24"/>
        </w:rPr>
        <w:t>3</w:t>
      </w:r>
      <w:r w:rsidR="00DD56F5" w:rsidRPr="00FB5E9F">
        <w:rPr>
          <w:rFonts w:ascii="Times New Roman" w:hAnsi="Times New Roman"/>
          <w:sz w:val="24"/>
          <w:szCs w:val="24"/>
        </w:rPr>
        <w:t>.</w:t>
      </w:r>
      <w:r w:rsidR="00DA6E16">
        <w:rPr>
          <w:rFonts w:ascii="Times New Roman" w:hAnsi="Times New Roman"/>
          <w:sz w:val="24"/>
          <w:szCs w:val="24"/>
        </w:rPr>
        <w:t>4</w:t>
      </w:r>
      <w:r w:rsidR="00DD56F5" w:rsidRPr="00FB5E9F">
        <w:rPr>
          <w:rFonts w:ascii="Times New Roman" w:hAnsi="Times New Roman"/>
          <w:sz w:val="24"/>
          <w:szCs w:val="24"/>
        </w:rPr>
        <w:t>)</w:t>
      </w:r>
      <w:r w:rsidR="00DD56F5">
        <w:rPr>
          <w:rFonts w:ascii="Times New Roman" w:hAnsi="Times New Roman"/>
          <w:sz w:val="24"/>
          <w:szCs w:val="24"/>
        </w:rPr>
        <w:t xml:space="preserve">  </w:t>
      </w:r>
    </w:p>
    <w:p w:rsidR="00C038DD" w:rsidRDefault="002E374E" w:rsidP="00C038DD">
      <w:pPr>
        <w:jc w:val="both"/>
        <w:rPr>
          <w:rFonts w:ascii="Times New Roman" w:hAnsi="Times New Roman"/>
          <w:sz w:val="24"/>
          <w:szCs w:val="24"/>
        </w:rPr>
      </w:pPr>
      <w:r>
        <w:rPr>
          <w:rFonts w:ascii="Times New Roman" w:hAnsi="Times New Roman"/>
          <w:sz w:val="24"/>
          <w:szCs w:val="24"/>
        </w:rPr>
        <w:t>Where</w:t>
      </w:r>
      <w:r w:rsidRPr="002E374E">
        <w:rPr>
          <w:rFonts w:ascii="Times New Roman" w:hAnsi="Times New Roman"/>
          <w:position w:val="-12"/>
          <w:sz w:val="24"/>
          <w:szCs w:val="24"/>
        </w:rPr>
        <w:object w:dxaOrig="340" w:dyaOrig="360" w14:anchorId="5218D18D">
          <v:shape id="_x0000_i1061" type="#_x0000_t75" style="width:17.25pt;height:18.75pt" o:ole="">
            <v:imagedata r:id="rId76" o:title=""/>
          </v:shape>
          <o:OLEObject Type="Embed" ProgID="Equation.DSMT4" ShapeID="_x0000_i1061" DrawAspect="Content" ObjectID="_1567591220" r:id="rId77"/>
        </w:object>
      </w:r>
      <w:r>
        <w:rPr>
          <w:rFonts w:ascii="Times New Roman" w:hAnsi="Times New Roman"/>
          <w:sz w:val="24"/>
          <w:szCs w:val="24"/>
        </w:rPr>
        <w:t>is the VAR parameter in regime</w:t>
      </w:r>
      <w:r w:rsidRPr="00DD56F5">
        <w:rPr>
          <w:rFonts w:ascii="Times New Roman" w:hAnsi="Times New Roman"/>
          <w:position w:val="-14"/>
          <w:sz w:val="24"/>
          <w:szCs w:val="24"/>
        </w:rPr>
        <w:object w:dxaOrig="1320" w:dyaOrig="400" w14:anchorId="1BA2144F">
          <v:shape id="_x0000_i1062" type="#_x0000_t75" style="width:66pt;height:19.5pt" o:ole="">
            <v:imagedata r:id="rId78" o:title=""/>
          </v:shape>
          <o:OLEObject Type="Embed" ProgID="Equation.DSMT4" ShapeID="_x0000_i1062" DrawAspect="Content" ObjectID="_1567591221" r:id="rId79"/>
        </w:object>
      </w:r>
      <w:r>
        <w:rPr>
          <w:rFonts w:ascii="Times New Roman" w:hAnsi="Times New Roman"/>
          <w:sz w:val="24"/>
          <w:szCs w:val="24"/>
        </w:rPr>
        <w:t xml:space="preserve"> and </w:t>
      </w:r>
      <w:r w:rsidR="009A24A3" w:rsidRPr="002E374E">
        <w:rPr>
          <w:rFonts w:ascii="Times New Roman" w:hAnsi="Times New Roman"/>
          <w:position w:val="-12"/>
          <w:sz w:val="24"/>
          <w:szCs w:val="24"/>
        </w:rPr>
        <w:object w:dxaOrig="460" w:dyaOrig="360" w14:anchorId="723E0716">
          <v:shape id="_x0000_i1063" type="#_x0000_t75" style="width:24pt;height:18.75pt" o:ole="">
            <v:imagedata r:id="rId80" o:title=""/>
          </v:shape>
          <o:OLEObject Type="Embed" ProgID="Equation.DSMT4" ShapeID="_x0000_i1063" DrawAspect="Content" ObjectID="_1567591222" r:id="rId81"/>
        </w:object>
      </w:r>
      <w:r>
        <w:rPr>
          <w:rFonts w:ascii="Times New Roman" w:hAnsi="Times New Roman"/>
          <w:sz w:val="24"/>
          <w:szCs w:val="24"/>
        </w:rPr>
        <w:t xml:space="preserve"> are the </w:t>
      </w:r>
      <w:proofErr w:type="gramStart"/>
      <w:r>
        <w:rPr>
          <w:rFonts w:ascii="Times New Roman" w:hAnsi="Times New Roman"/>
          <w:sz w:val="24"/>
          <w:szCs w:val="24"/>
        </w:rPr>
        <w:t xml:space="preserve">observations </w:t>
      </w:r>
      <w:proofErr w:type="gramEnd"/>
      <w:r w:rsidRPr="002E374E">
        <w:rPr>
          <w:rFonts w:ascii="Times New Roman" w:hAnsi="Times New Roman"/>
          <w:position w:val="-20"/>
          <w:sz w:val="24"/>
          <w:szCs w:val="24"/>
        </w:rPr>
        <w:object w:dxaOrig="840" w:dyaOrig="520" w14:anchorId="3D265ACF">
          <v:shape id="_x0000_i1064" type="#_x0000_t75" style="width:42pt;height:27pt" o:ole="">
            <v:imagedata r:id="rId82" o:title=""/>
          </v:shape>
          <o:OLEObject Type="Embed" ProgID="Equation.DSMT4" ShapeID="_x0000_i1064" DrawAspect="Content" ObjectID="_1567591223" r:id="rId83"/>
        </w:object>
      </w:r>
      <w:r>
        <w:rPr>
          <w:rFonts w:ascii="Times New Roman" w:hAnsi="Times New Roman"/>
          <w:sz w:val="24"/>
          <w:szCs w:val="24"/>
        </w:rPr>
        <w:t>.</w:t>
      </w:r>
      <w:r w:rsidR="009A24A3">
        <w:rPr>
          <w:rFonts w:ascii="Times New Roman" w:hAnsi="Times New Roman"/>
          <w:sz w:val="24"/>
          <w:szCs w:val="24"/>
        </w:rPr>
        <w:t xml:space="preserve">  Therefore, given a regime</w:t>
      </w:r>
      <w:r w:rsidR="009A24A3" w:rsidRPr="009A24A3">
        <w:rPr>
          <w:rFonts w:ascii="Times New Roman" w:hAnsi="Times New Roman"/>
          <w:position w:val="-12"/>
          <w:sz w:val="24"/>
          <w:szCs w:val="24"/>
        </w:rPr>
        <w:object w:dxaOrig="220" w:dyaOrig="360" w14:anchorId="10859F58">
          <v:shape id="_x0000_i1065" type="#_x0000_t75" style="width:11.25pt;height:17.25pt" o:ole="">
            <v:imagedata r:id="rId84" o:title=""/>
          </v:shape>
          <o:OLEObject Type="Embed" ProgID="Equation.DSMT4" ShapeID="_x0000_i1065" DrawAspect="Content" ObjectID="_1567591224" r:id="rId85"/>
        </w:object>
      </w:r>
      <w:r w:rsidR="009A24A3">
        <w:rPr>
          <w:rFonts w:ascii="Times New Roman" w:hAnsi="Times New Roman"/>
          <w:sz w:val="24"/>
          <w:szCs w:val="24"/>
        </w:rPr>
        <w:t xml:space="preserve">, </w:t>
      </w:r>
      <w:r w:rsidR="00DC1643">
        <w:rPr>
          <w:rFonts w:ascii="Times New Roman" w:hAnsi="Times New Roman"/>
          <w:sz w:val="24"/>
          <w:szCs w:val="24"/>
        </w:rPr>
        <w:t xml:space="preserve">the conditional </w:t>
      </w:r>
      <w:r w:rsidR="00DC1643" w:rsidRPr="00DC1643">
        <w:rPr>
          <w:rFonts w:ascii="Times New Roman" w:hAnsi="Times New Roman"/>
          <w:position w:val="-16"/>
          <w:sz w:val="24"/>
          <w:szCs w:val="24"/>
        </w:rPr>
        <w:object w:dxaOrig="1480" w:dyaOrig="440" w14:anchorId="57D8F0CD">
          <v:shape id="_x0000_i1066" type="#_x0000_t75" style="width:74.25pt;height:21.75pt" o:ole="">
            <v:imagedata r:id="rId86" o:title=""/>
          </v:shape>
          <o:OLEObject Type="Embed" ProgID="Equation.DSMT4" ShapeID="_x0000_i1066" DrawAspect="Content" ObjectID="_1567591225" r:id="rId87"/>
        </w:object>
      </w:r>
      <w:r w:rsidR="00C038DD">
        <w:rPr>
          <w:rFonts w:ascii="Times New Roman" w:hAnsi="Times New Roman"/>
          <w:sz w:val="24"/>
          <w:szCs w:val="24"/>
        </w:rPr>
        <w:t xml:space="preserve">system in expectation form </w:t>
      </w:r>
      <w:r w:rsidR="009A24A3">
        <w:rPr>
          <w:rFonts w:ascii="Times New Roman" w:hAnsi="Times New Roman"/>
          <w:sz w:val="24"/>
          <w:szCs w:val="24"/>
        </w:rPr>
        <w:t xml:space="preserve">can be written as:   </w:t>
      </w:r>
      <w:r w:rsidR="00DB5B1E">
        <w:rPr>
          <w:rFonts w:ascii="Times New Roman" w:hAnsi="Times New Roman"/>
          <w:sz w:val="24"/>
          <w:szCs w:val="24"/>
        </w:rPr>
        <w:t xml:space="preserve"> </w:t>
      </w:r>
    </w:p>
    <w:p w:rsidR="00FE06D5" w:rsidRDefault="00DB5B1E" w:rsidP="00C038DD">
      <w:pPr>
        <w:jc w:val="right"/>
        <w:rPr>
          <w:rFonts w:ascii="Times New Roman" w:hAnsi="Times New Roman"/>
          <w:sz w:val="24"/>
          <w:szCs w:val="24"/>
        </w:rPr>
      </w:pPr>
      <w:r>
        <w:rPr>
          <w:rFonts w:ascii="Times New Roman" w:hAnsi="Times New Roman"/>
          <w:sz w:val="24"/>
          <w:szCs w:val="24"/>
        </w:rPr>
        <w:t xml:space="preserve"> </w:t>
      </w:r>
      <w:r w:rsidR="008B472A" w:rsidRPr="00E52882">
        <w:rPr>
          <w:position w:val="-30"/>
          <w:sz w:val="24"/>
          <w:szCs w:val="24"/>
        </w:rPr>
        <w:object w:dxaOrig="4599" w:dyaOrig="700" w14:anchorId="702D5A24">
          <v:shape id="_x0000_i1067" type="#_x0000_t75" style="width:229.5pt;height:35.25pt" o:ole="">
            <v:imagedata r:id="rId88" o:title=""/>
          </v:shape>
          <o:OLEObject Type="Embed" ProgID="Equation.DSMT4" ShapeID="_x0000_i1067" DrawAspect="Content" ObjectID="_1567591226" r:id="rId89"/>
        </w:object>
      </w:r>
      <w:r w:rsidR="00AD1989">
        <w:rPr>
          <w:sz w:val="24"/>
          <w:szCs w:val="24"/>
        </w:rPr>
        <w:t xml:space="preserve">         </w:t>
      </w:r>
      <w:r w:rsidR="00DB5BF1">
        <w:rPr>
          <w:sz w:val="24"/>
          <w:szCs w:val="24"/>
        </w:rPr>
        <w:t xml:space="preserve">  </w:t>
      </w:r>
      <w:r w:rsidR="00C038DD">
        <w:rPr>
          <w:sz w:val="24"/>
          <w:szCs w:val="24"/>
        </w:rPr>
        <w:t xml:space="preserve">    </w:t>
      </w:r>
      <w:r>
        <w:rPr>
          <w:sz w:val="24"/>
          <w:szCs w:val="24"/>
        </w:rPr>
        <w:t xml:space="preserve"> </w:t>
      </w:r>
      <w:r w:rsidRPr="00FB5E9F">
        <w:rPr>
          <w:rFonts w:ascii="Times New Roman" w:hAnsi="Times New Roman"/>
          <w:sz w:val="24"/>
          <w:szCs w:val="24"/>
        </w:rPr>
        <w:t>(</w:t>
      </w:r>
      <w:r>
        <w:rPr>
          <w:rFonts w:ascii="Times New Roman" w:hAnsi="Times New Roman"/>
          <w:sz w:val="24"/>
          <w:szCs w:val="24"/>
        </w:rPr>
        <w:t>3</w:t>
      </w:r>
      <w:r w:rsidRPr="00FB5E9F">
        <w:rPr>
          <w:rFonts w:ascii="Times New Roman" w:hAnsi="Times New Roman"/>
          <w:sz w:val="24"/>
          <w:szCs w:val="24"/>
        </w:rPr>
        <w:t>.</w:t>
      </w:r>
      <w:r w:rsidR="00DA6E16">
        <w:rPr>
          <w:rFonts w:ascii="Times New Roman" w:hAnsi="Times New Roman"/>
          <w:sz w:val="24"/>
          <w:szCs w:val="24"/>
        </w:rPr>
        <w:t>5</w:t>
      </w:r>
      <w:r w:rsidRPr="00FB5E9F">
        <w:rPr>
          <w:rFonts w:ascii="Times New Roman" w:hAnsi="Times New Roman"/>
          <w:sz w:val="24"/>
          <w:szCs w:val="24"/>
        </w:rPr>
        <w:t>)</w:t>
      </w:r>
    </w:p>
    <w:p w:rsidR="000B719D" w:rsidRDefault="000B719D" w:rsidP="000B719D">
      <w:pPr>
        <w:jc w:val="both"/>
        <w:rPr>
          <w:rFonts w:ascii="Times New Roman" w:hAnsi="Times New Roman"/>
          <w:sz w:val="24"/>
          <w:szCs w:val="24"/>
        </w:rPr>
      </w:pPr>
      <w:r>
        <w:rPr>
          <w:rFonts w:ascii="Times New Roman" w:hAnsi="Times New Roman"/>
          <w:sz w:val="24"/>
          <w:szCs w:val="24"/>
        </w:rPr>
        <w:t xml:space="preserve">We define the innovation term as:    </w:t>
      </w:r>
    </w:p>
    <w:p w:rsidR="000B719D" w:rsidRDefault="000B719D" w:rsidP="000B719D">
      <w:pPr>
        <w:jc w:val="right"/>
        <w:rPr>
          <w:rFonts w:ascii="Times New Roman" w:hAnsi="Times New Roman"/>
          <w:sz w:val="24"/>
          <w:szCs w:val="24"/>
        </w:rPr>
      </w:pPr>
      <w:r>
        <w:rPr>
          <w:rFonts w:ascii="Times New Roman" w:hAnsi="Times New Roman"/>
          <w:sz w:val="24"/>
          <w:szCs w:val="24"/>
        </w:rPr>
        <w:t xml:space="preserve"> </w:t>
      </w:r>
      <w:r w:rsidR="008B472A" w:rsidRPr="000B719D">
        <w:rPr>
          <w:position w:val="-16"/>
          <w:sz w:val="24"/>
          <w:szCs w:val="24"/>
        </w:rPr>
        <w:object w:dxaOrig="2220" w:dyaOrig="440" w14:anchorId="098CEB21">
          <v:shape id="_x0000_i1068" type="#_x0000_t75" style="width:111pt;height:21.75pt" o:ole="">
            <v:imagedata r:id="rId90" o:title=""/>
          </v:shape>
          <o:OLEObject Type="Embed" ProgID="Equation.DSMT4" ShapeID="_x0000_i1068" DrawAspect="Content" ObjectID="_1567591227" r:id="rId91"/>
        </w:object>
      </w:r>
      <w:r w:rsidR="00AD1989">
        <w:rPr>
          <w:sz w:val="24"/>
          <w:szCs w:val="24"/>
        </w:rPr>
        <w:t xml:space="preserve">             </w:t>
      </w:r>
      <w:r w:rsidR="008B472A">
        <w:rPr>
          <w:sz w:val="24"/>
          <w:szCs w:val="24"/>
        </w:rPr>
        <w:t xml:space="preserve">   </w:t>
      </w:r>
      <w:r w:rsidR="00AD1989">
        <w:rPr>
          <w:sz w:val="24"/>
          <w:szCs w:val="24"/>
        </w:rPr>
        <w:t xml:space="preserve">   </w:t>
      </w:r>
      <w:r w:rsidR="005F72B6">
        <w:rPr>
          <w:sz w:val="24"/>
          <w:szCs w:val="24"/>
        </w:rPr>
        <w:t xml:space="preserve">       </w:t>
      </w:r>
      <w:r>
        <w:rPr>
          <w:sz w:val="24"/>
          <w:szCs w:val="24"/>
        </w:rPr>
        <w:t xml:space="preserve"> </w:t>
      </w:r>
      <w:r w:rsidRPr="00FB5E9F">
        <w:rPr>
          <w:rFonts w:ascii="Times New Roman" w:hAnsi="Times New Roman"/>
          <w:sz w:val="24"/>
          <w:szCs w:val="24"/>
        </w:rPr>
        <w:t>(</w:t>
      </w:r>
      <w:r>
        <w:rPr>
          <w:rFonts w:ascii="Times New Roman" w:hAnsi="Times New Roman"/>
          <w:sz w:val="24"/>
          <w:szCs w:val="24"/>
        </w:rPr>
        <w:t>3</w:t>
      </w:r>
      <w:r w:rsidRPr="00FB5E9F">
        <w:rPr>
          <w:rFonts w:ascii="Times New Roman" w:hAnsi="Times New Roman"/>
          <w:sz w:val="24"/>
          <w:szCs w:val="24"/>
        </w:rPr>
        <w:t>.</w:t>
      </w:r>
      <w:r w:rsidR="00DA6E16">
        <w:rPr>
          <w:rFonts w:ascii="Times New Roman" w:hAnsi="Times New Roman"/>
          <w:sz w:val="24"/>
          <w:szCs w:val="24"/>
        </w:rPr>
        <w:t>6</w:t>
      </w:r>
      <w:r w:rsidRPr="00FB5E9F">
        <w:rPr>
          <w:rFonts w:ascii="Times New Roman" w:hAnsi="Times New Roman"/>
          <w:sz w:val="24"/>
          <w:szCs w:val="24"/>
        </w:rPr>
        <w:t>)</w:t>
      </w:r>
    </w:p>
    <w:p w:rsidR="000B719D" w:rsidRDefault="000B719D" w:rsidP="000B719D">
      <w:pPr>
        <w:jc w:val="both"/>
        <w:rPr>
          <w:rFonts w:ascii="Times New Roman" w:hAnsi="Times New Roman"/>
          <w:sz w:val="24"/>
          <w:szCs w:val="24"/>
        </w:rPr>
      </w:pPr>
      <w:r>
        <w:rPr>
          <w:rFonts w:ascii="Times New Roman" w:hAnsi="Times New Roman"/>
          <w:sz w:val="24"/>
          <w:szCs w:val="24"/>
        </w:rPr>
        <w:t>The innovation process</w:t>
      </w:r>
      <w:r w:rsidRPr="000B719D">
        <w:rPr>
          <w:rFonts w:ascii="Times New Roman" w:hAnsi="Times New Roman"/>
          <w:position w:val="-12"/>
          <w:sz w:val="24"/>
          <w:szCs w:val="24"/>
        </w:rPr>
        <w:object w:dxaOrig="240" w:dyaOrig="360" w14:anchorId="2EC32591">
          <v:shape id="_x0000_i1069" type="#_x0000_t75" style="width:12pt;height:18.75pt" o:ole="">
            <v:imagedata r:id="rId92" o:title=""/>
          </v:shape>
          <o:OLEObject Type="Embed" ProgID="Equation.DSMT4" ShapeID="_x0000_i1069" DrawAspect="Content" ObjectID="_1567591228" r:id="rId93"/>
        </w:object>
      </w:r>
      <w:r>
        <w:rPr>
          <w:rFonts w:ascii="Times New Roman" w:hAnsi="Times New Roman"/>
          <w:sz w:val="24"/>
          <w:szCs w:val="24"/>
        </w:rPr>
        <w:t xml:space="preserve"> is a Gaussian, zero-mean white noise process having variance-covariance matrix</w:t>
      </w:r>
      <w:r w:rsidRPr="000B719D">
        <w:rPr>
          <w:rFonts w:ascii="Times New Roman" w:hAnsi="Times New Roman"/>
          <w:position w:val="-14"/>
          <w:sz w:val="24"/>
          <w:szCs w:val="24"/>
        </w:rPr>
        <w:object w:dxaOrig="620" w:dyaOrig="400" w14:anchorId="756BAA3D">
          <v:shape id="_x0000_i1070" type="#_x0000_t75" style="width:30.75pt;height:20.25pt" o:ole="">
            <v:imagedata r:id="rId94" o:title=""/>
          </v:shape>
          <o:OLEObject Type="Embed" ProgID="Equation.DSMT4" ShapeID="_x0000_i1070" DrawAspect="Content" ObjectID="_1567591229" r:id="rId95"/>
        </w:object>
      </w:r>
      <w:r>
        <w:rPr>
          <w:rFonts w:ascii="Times New Roman" w:hAnsi="Times New Roman"/>
          <w:sz w:val="24"/>
          <w:szCs w:val="24"/>
        </w:rPr>
        <w:t xml:space="preserve">:    </w:t>
      </w:r>
    </w:p>
    <w:p w:rsidR="00C83A98" w:rsidRDefault="000B719D" w:rsidP="000B719D">
      <w:pPr>
        <w:jc w:val="right"/>
        <w:rPr>
          <w:rFonts w:ascii="Times New Roman" w:hAnsi="Times New Roman"/>
          <w:sz w:val="24"/>
          <w:szCs w:val="24"/>
        </w:rPr>
      </w:pPr>
      <w:r>
        <w:rPr>
          <w:rFonts w:ascii="Times New Roman" w:hAnsi="Times New Roman"/>
          <w:sz w:val="24"/>
          <w:szCs w:val="24"/>
        </w:rPr>
        <w:t xml:space="preserve"> </w:t>
      </w:r>
      <w:r w:rsidR="008B472A" w:rsidRPr="000B719D">
        <w:rPr>
          <w:position w:val="-14"/>
          <w:sz w:val="24"/>
          <w:szCs w:val="24"/>
        </w:rPr>
        <w:object w:dxaOrig="1939" w:dyaOrig="400" w14:anchorId="4FD6B4B7">
          <v:shape id="_x0000_i1071" type="#_x0000_t75" style="width:98.25pt;height:20.25pt" o:ole="">
            <v:imagedata r:id="rId96" o:title=""/>
          </v:shape>
          <o:OLEObject Type="Embed" ProgID="Equation.DSMT4" ShapeID="_x0000_i1071" DrawAspect="Content" ObjectID="_1567591230" r:id="rId97"/>
        </w:object>
      </w:r>
      <w:r w:rsidR="00AD1989">
        <w:rPr>
          <w:sz w:val="24"/>
          <w:szCs w:val="24"/>
        </w:rPr>
        <w:t xml:space="preserve">         </w:t>
      </w:r>
      <w:r w:rsidR="008B472A">
        <w:rPr>
          <w:sz w:val="24"/>
          <w:szCs w:val="24"/>
        </w:rPr>
        <w:t xml:space="preserve">    </w:t>
      </w:r>
      <w:r w:rsidR="00AD1989">
        <w:rPr>
          <w:sz w:val="24"/>
          <w:szCs w:val="24"/>
        </w:rPr>
        <w:t xml:space="preserve">        </w:t>
      </w:r>
      <w:r w:rsidR="005F72B6">
        <w:rPr>
          <w:sz w:val="24"/>
          <w:szCs w:val="24"/>
        </w:rPr>
        <w:t xml:space="preserve">     </w:t>
      </w:r>
      <w:r>
        <w:rPr>
          <w:sz w:val="24"/>
          <w:szCs w:val="24"/>
        </w:rPr>
        <w:t xml:space="preserve"> </w:t>
      </w:r>
      <w:r w:rsidRPr="00FB5E9F">
        <w:rPr>
          <w:rFonts w:ascii="Times New Roman" w:hAnsi="Times New Roman"/>
          <w:sz w:val="24"/>
          <w:szCs w:val="24"/>
        </w:rPr>
        <w:t>(</w:t>
      </w:r>
      <w:r>
        <w:rPr>
          <w:rFonts w:ascii="Times New Roman" w:hAnsi="Times New Roman"/>
          <w:sz w:val="24"/>
          <w:szCs w:val="24"/>
        </w:rPr>
        <w:t>3</w:t>
      </w:r>
      <w:r w:rsidRPr="00FB5E9F">
        <w:rPr>
          <w:rFonts w:ascii="Times New Roman" w:hAnsi="Times New Roman"/>
          <w:sz w:val="24"/>
          <w:szCs w:val="24"/>
        </w:rPr>
        <w:t>.</w:t>
      </w:r>
      <w:r w:rsidR="00DA6E16">
        <w:rPr>
          <w:rFonts w:ascii="Times New Roman" w:hAnsi="Times New Roman"/>
          <w:sz w:val="24"/>
          <w:szCs w:val="24"/>
        </w:rPr>
        <w:t>7</w:t>
      </w:r>
      <w:r w:rsidRPr="00FB5E9F">
        <w:rPr>
          <w:rFonts w:ascii="Times New Roman" w:hAnsi="Times New Roman"/>
          <w:sz w:val="24"/>
          <w:szCs w:val="24"/>
        </w:rPr>
        <w:t>)</w:t>
      </w:r>
      <w:r>
        <w:rPr>
          <w:rFonts w:ascii="Times New Roman" w:hAnsi="Times New Roman"/>
          <w:sz w:val="24"/>
          <w:szCs w:val="24"/>
        </w:rPr>
        <w:t xml:space="preserve"> </w:t>
      </w:r>
    </w:p>
    <w:p w:rsidR="0093445D" w:rsidRDefault="00DC1643" w:rsidP="0093445D">
      <w:pPr>
        <w:jc w:val="both"/>
        <w:rPr>
          <w:position w:val="-16"/>
          <w:sz w:val="24"/>
          <w:szCs w:val="24"/>
        </w:rPr>
      </w:pPr>
      <w:r>
        <w:rPr>
          <w:rFonts w:ascii="Times New Roman" w:hAnsi="Times New Roman"/>
          <w:sz w:val="24"/>
          <w:szCs w:val="24"/>
        </w:rPr>
        <w:lastRenderedPageBreak/>
        <w:t>If the</w:t>
      </w:r>
      <w:r w:rsidRPr="00DC1643">
        <w:rPr>
          <w:rFonts w:ascii="Times New Roman" w:hAnsi="Times New Roman"/>
          <w:position w:val="-16"/>
          <w:sz w:val="24"/>
          <w:szCs w:val="24"/>
        </w:rPr>
        <w:object w:dxaOrig="1480" w:dyaOrig="440" w14:anchorId="3BEB61F6">
          <v:shape id="_x0000_i1072" type="#_x0000_t75" style="width:74.25pt;height:21.75pt" o:ole="">
            <v:imagedata r:id="rId86" o:title=""/>
          </v:shape>
          <o:OLEObject Type="Embed" ProgID="Equation.DSMT4" ShapeID="_x0000_i1072" DrawAspect="Content" ObjectID="_1567591231" r:id="rId98"/>
        </w:object>
      </w:r>
      <w:r>
        <w:rPr>
          <w:rFonts w:ascii="Times New Roman" w:hAnsi="Times New Roman"/>
          <w:sz w:val="24"/>
          <w:szCs w:val="24"/>
        </w:rPr>
        <w:t>process is defined conditionally upon an unobservable</w:t>
      </w:r>
      <w:r w:rsidR="0030497E">
        <w:rPr>
          <w:rFonts w:ascii="Times New Roman" w:hAnsi="Times New Roman"/>
          <w:sz w:val="24"/>
          <w:szCs w:val="24"/>
        </w:rPr>
        <w:t xml:space="preserve"> regime</w:t>
      </w:r>
      <w:r w:rsidR="0030497E" w:rsidRPr="009A24A3">
        <w:rPr>
          <w:rFonts w:ascii="Times New Roman" w:hAnsi="Times New Roman"/>
          <w:position w:val="-12"/>
          <w:sz w:val="24"/>
          <w:szCs w:val="24"/>
        </w:rPr>
        <w:object w:dxaOrig="220" w:dyaOrig="360" w14:anchorId="178647D2">
          <v:shape id="_x0000_i1073" type="#_x0000_t75" style="width:11.25pt;height:17.25pt" o:ole="">
            <v:imagedata r:id="rId84" o:title=""/>
          </v:shape>
          <o:OLEObject Type="Embed" ProgID="Equation.DSMT4" ShapeID="_x0000_i1073" DrawAspect="Content" ObjectID="_1567591232" r:id="rId99"/>
        </w:object>
      </w:r>
      <w:r w:rsidR="0030497E">
        <w:rPr>
          <w:rFonts w:ascii="Times New Roman" w:hAnsi="Times New Roman"/>
          <w:sz w:val="24"/>
          <w:szCs w:val="24"/>
        </w:rPr>
        <w:t>as in equation (3.9), the description of the process generating mechanism should be made complete by specifying the stochastic assumption of the MS-VAR model.  In this construct, the</w:t>
      </w:r>
      <w:r w:rsidR="0030497E" w:rsidRPr="009A24A3">
        <w:rPr>
          <w:rFonts w:ascii="Times New Roman" w:hAnsi="Times New Roman"/>
          <w:position w:val="-12"/>
          <w:sz w:val="24"/>
          <w:szCs w:val="24"/>
        </w:rPr>
        <w:object w:dxaOrig="220" w:dyaOrig="360" w14:anchorId="2CC0C996">
          <v:shape id="_x0000_i1074" type="#_x0000_t75" style="width:11.25pt;height:17.25pt" o:ole="">
            <v:imagedata r:id="rId84" o:title=""/>
          </v:shape>
          <o:OLEObject Type="Embed" ProgID="Equation.DSMT4" ShapeID="_x0000_i1074" DrawAspect="Content" ObjectID="_1567591233" r:id="rId100"/>
        </w:object>
      </w:r>
      <w:r w:rsidR="0030497E">
        <w:rPr>
          <w:rFonts w:ascii="Times New Roman" w:hAnsi="Times New Roman"/>
          <w:sz w:val="24"/>
          <w:szCs w:val="24"/>
        </w:rPr>
        <w:t>follows a discrete state homogenous Markov chain:</w:t>
      </w:r>
      <w:r w:rsidR="0093445D">
        <w:rPr>
          <w:rFonts w:ascii="Times New Roman" w:hAnsi="Times New Roman"/>
          <w:sz w:val="24"/>
          <w:szCs w:val="24"/>
        </w:rPr>
        <w:t xml:space="preserve">   </w:t>
      </w:r>
    </w:p>
    <w:p w:rsidR="000B719D" w:rsidRDefault="00A7719D" w:rsidP="00A7719D">
      <w:pPr>
        <w:jc w:val="right"/>
        <w:rPr>
          <w:rFonts w:ascii="Times New Roman" w:hAnsi="Times New Roman"/>
          <w:sz w:val="24"/>
          <w:szCs w:val="24"/>
        </w:rPr>
      </w:pPr>
      <w:r w:rsidRPr="00A7719D">
        <w:rPr>
          <w:position w:val="-24"/>
          <w:sz w:val="24"/>
          <w:szCs w:val="24"/>
        </w:rPr>
        <w:object w:dxaOrig="4040" w:dyaOrig="600" w14:anchorId="51825644">
          <v:shape id="_x0000_i1075" type="#_x0000_t75" style="width:200.25pt;height:30pt" o:ole="">
            <v:imagedata r:id="rId101" o:title=""/>
          </v:shape>
          <o:OLEObject Type="Embed" ProgID="Equation.DSMT4" ShapeID="_x0000_i1075" DrawAspect="Content" ObjectID="_1567591234" r:id="rId102"/>
        </w:object>
      </w:r>
      <w:r w:rsidR="0093445D">
        <w:rPr>
          <w:sz w:val="24"/>
          <w:szCs w:val="24"/>
        </w:rPr>
        <w:t xml:space="preserve"> </w:t>
      </w:r>
      <w:r w:rsidR="005F72B6">
        <w:rPr>
          <w:sz w:val="24"/>
          <w:szCs w:val="24"/>
        </w:rPr>
        <w:t xml:space="preserve">                </w:t>
      </w:r>
      <w:r w:rsidR="00AD1989">
        <w:rPr>
          <w:sz w:val="24"/>
          <w:szCs w:val="24"/>
        </w:rPr>
        <w:t xml:space="preserve"> </w:t>
      </w:r>
      <w:r w:rsidR="0093445D" w:rsidRPr="00FB5E9F">
        <w:rPr>
          <w:rFonts w:ascii="Times New Roman" w:hAnsi="Times New Roman"/>
          <w:sz w:val="24"/>
          <w:szCs w:val="24"/>
        </w:rPr>
        <w:t>(</w:t>
      </w:r>
      <w:r w:rsidR="0093445D">
        <w:rPr>
          <w:rFonts w:ascii="Times New Roman" w:hAnsi="Times New Roman"/>
          <w:sz w:val="24"/>
          <w:szCs w:val="24"/>
        </w:rPr>
        <w:t>3</w:t>
      </w:r>
      <w:r w:rsidR="0093445D" w:rsidRPr="00FB5E9F">
        <w:rPr>
          <w:rFonts w:ascii="Times New Roman" w:hAnsi="Times New Roman"/>
          <w:sz w:val="24"/>
          <w:szCs w:val="24"/>
        </w:rPr>
        <w:t>.</w:t>
      </w:r>
      <w:r w:rsidR="00DA6E16">
        <w:rPr>
          <w:rFonts w:ascii="Times New Roman" w:hAnsi="Times New Roman"/>
          <w:sz w:val="24"/>
          <w:szCs w:val="24"/>
        </w:rPr>
        <w:t>8</w:t>
      </w:r>
      <w:r w:rsidR="0093445D" w:rsidRPr="00FB5E9F">
        <w:rPr>
          <w:rFonts w:ascii="Times New Roman" w:hAnsi="Times New Roman"/>
          <w:sz w:val="24"/>
          <w:szCs w:val="24"/>
        </w:rPr>
        <w:t>)</w:t>
      </w:r>
      <w:r w:rsidR="0030497E">
        <w:rPr>
          <w:rFonts w:ascii="Times New Roman" w:hAnsi="Times New Roman"/>
          <w:sz w:val="24"/>
          <w:szCs w:val="24"/>
        </w:rPr>
        <w:t xml:space="preserve"> </w:t>
      </w:r>
    </w:p>
    <w:p w:rsidR="00C83A98" w:rsidRDefault="00A7719D" w:rsidP="00A7719D">
      <w:pPr>
        <w:jc w:val="both"/>
        <w:rPr>
          <w:rFonts w:ascii="Times New Roman" w:hAnsi="Times New Roman"/>
          <w:sz w:val="24"/>
          <w:szCs w:val="24"/>
        </w:rPr>
      </w:pPr>
      <w:r>
        <w:rPr>
          <w:rFonts w:ascii="Times New Roman" w:hAnsi="Times New Roman"/>
          <w:sz w:val="24"/>
          <w:szCs w:val="24"/>
        </w:rPr>
        <w:t>Where</w:t>
      </w:r>
      <w:r w:rsidRPr="00A7719D">
        <w:rPr>
          <w:rFonts w:ascii="Times New Roman" w:hAnsi="Times New Roman"/>
          <w:position w:val="-10"/>
          <w:sz w:val="24"/>
          <w:szCs w:val="24"/>
        </w:rPr>
        <w:object w:dxaOrig="200" w:dyaOrig="260" w14:anchorId="363A1947">
          <v:shape id="_x0000_i1076" type="#_x0000_t75" style="width:9.75pt;height:12.75pt" o:ole="">
            <v:imagedata r:id="rId103" o:title=""/>
          </v:shape>
          <o:OLEObject Type="Embed" ProgID="Equation.DSMT4" ShapeID="_x0000_i1076" DrawAspect="Content" ObjectID="_1567591235" r:id="rId104"/>
        </w:object>
      </w:r>
      <w:r>
        <w:rPr>
          <w:rFonts w:ascii="Times New Roman" w:hAnsi="Times New Roman"/>
          <w:sz w:val="24"/>
          <w:szCs w:val="24"/>
        </w:rPr>
        <w:t>denotes the parameter vector of the regime generating process.</w:t>
      </w:r>
      <w:r w:rsidR="0008662D">
        <w:rPr>
          <w:rFonts w:ascii="Times New Roman" w:hAnsi="Times New Roman"/>
          <w:sz w:val="24"/>
          <w:szCs w:val="24"/>
        </w:rPr>
        <w:t xml:space="preserve"> </w:t>
      </w:r>
      <w:r w:rsidR="0008662D" w:rsidRPr="0008662D">
        <w:rPr>
          <w:rFonts w:ascii="Times New Roman" w:hAnsi="Times New Roman"/>
          <w:sz w:val="24"/>
          <w:szCs w:val="24"/>
        </w:rPr>
        <w:t>We estimate the MS-VAR model using MSBVAR the package in R (R Development Core Team, 201</w:t>
      </w:r>
      <w:r w:rsidR="00442073">
        <w:rPr>
          <w:rFonts w:ascii="Times New Roman" w:hAnsi="Times New Roman"/>
          <w:sz w:val="24"/>
          <w:szCs w:val="24"/>
        </w:rPr>
        <w:t>7</w:t>
      </w:r>
      <w:r w:rsidR="0008662D" w:rsidRPr="0008662D">
        <w:rPr>
          <w:rFonts w:ascii="Times New Roman" w:hAnsi="Times New Roman"/>
          <w:sz w:val="24"/>
          <w:szCs w:val="24"/>
        </w:rPr>
        <w:t>).</w:t>
      </w:r>
    </w:p>
    <w:p w:rsidR="00A7719D" w:rsidRPr="00846FEB" w:rsidRDefault="00A7719D" w:rsidP="00A7719D">
      <w:pPr>
        <w:jc w:val="both"/>
        <w:rPr>
          <w:rFonts w:ascii="Times New Roman" w:hAnsi="Times New Roman"/>
          <w:sz w:val="24"/>
          <w:szCs w:val="24"/>
        </w:rPr>
      </w:pPr>
      <w:r>
        <w:rPr>
          <w:rFonts w:ascii="Times New Roman" w:hAnsi="Times New Roman"/>
          <w:sz w:val="24"/>
          <w:szCs w:val="24"/>
        </w:rPr>
        <w:t>The MS-VAR paradigm is based for the most upon three schools of thought.  The first of these traditions is the linear time-invariant VAR model, as introduced and discussed at the beginning of this section.</w:t>
      </w:r>
      <w:r w:rsidR="00627D4E">
        <w:rPr>
          <w:rFonts w:ascii="Times New Roman" w:hAnsi="Times New Roman"/>
          <w:sz w:val="24"/>
          <w:szCs w:val="24"/>
        </w:rPr>
        <w:t xml:space="preserve">  This framework analyzes the relationships of random variables in a dynamic system, the dynamic propagation of innovations </w:t>
      </w:r>
      <w:r w:rsidR="00755B8B">
        <w:rPr>
          <w:rFonts w:ascii="Times New Roman" w:hAnsi="Times New Roman"/>
          <w:sz w:val="24"/>
          <w:szCs w:val="24"/>
        </w:rPr>
        <w:t xml:space="preserve">in </w:t>
      </w:r>
      <w:r w:rsidR="00627D4E">
        <w:rPr>
          <w:rFonts w:ascii="Times New Roman" w:hAnsi="Times New Roman"/>
          <w:sz w:val="24"/>
          <w:szCs w:val="24"/>
        </w:rPr>
        <w:t xml:space="preserve">the system, and the effects of regime change.  The second foundation is the statistics of </w:t>
      </w:r>
      <w:r w:rsidR="00627D4E" w:rsidRPr="00627D4E">
        <w:rPr>
          <w:rFonts w:ascii="Times New Roman" w:hAnsi="Times New Roman"/>
          <w:i/>
          <w:sz w:val="24"/>
          <w:szCs w:val="24"/>
        </w:rPr>
        <w:t>probabilistic functions of Markov chai</w:t>
      </w:r>
      <w:r w:rsidR="00627D4E">
        <w:rPr>
          <w:rFonts w:ascii="Times New Roman" w:hAnsi="Times New Roman"/>
          <w:sz w:val="24"/>
          <w:szCs w:val="24"/>
        </w:rPr>
        <w:t>ns introduced by Baum and Petrie</w:t>
      </w:r>
      <w:r>
        <w:rPr>
          <w:rFonts w:ascii="Times New Roman" w:hAnsi="Times New Roman"/>
          <w:sz w:val="24"/>
          <w:szCs w:val="24"/>
        </w:rPr>
        <w:t xml:space="preserve"> </w:t>
      </w:r>
      <w:r w:rsidR="00627D4E">
        <w:rPr>
          <w:rFonts w:ascii="Times New Roman" w:hAnsi="Times New Roman"/>
          <w:sz w:val="24"/>
          <w:szCs w:val="24"/>
        </w:rPr>
        <w:t xml:space="preserve">(1966) and Baum et al (1970).  Furthermore, the MS-VAR model also encompasses the even older traditions of </w:t>
      </w:r>
      <w:r w:rsidR="00627D4E" w:rsidRPr="00627D4E">
        <w:rPr>
          <w:rFonts w:ascii="Times New Roman" w:hAnsi="Times New Roman"/>
          <w:i/>
          <w:sz w:val="24"/>
          <w:szCs w:val="24"/>
        </w:rPr>
        <w:t>mixtures of normal distributions</w:t>
      </w:r>
      <w:r w:rsidR="00627D4E">
        <w:rPr>
          <w:rFonts w:ascii="Times New Roman" w:hAnsi="Times New Roman"/>
          <w:sz w:val="24"/>
          <w:szCs w:val="24"/>
        </w:rPr>
        <w:t xml:space="preserve"> (Pearson, 1984) and the hidden Markov-chain </w:t>
      </w:r>
      <w:r w:rsidR="00F5261F">
        <w:rPr>
          <w:rFonts w:ascii="Times New Roman" w:hAnsi="Times New Roman"/>
          <w:sz w:val="24"/>
          <w:szCs w:val="24"/>
        </w:rPr>
        <w:t>of</w:t>
      </w:r>
      <w:r w:rsidR="00627D4E">
        <w:rPr>
          <w:rFonts w:ascii="Times New Roman" w:hAnsi="Times New Roman"/>
          <w:sz w:val="24"/>
          <w:szCs w:val="24"/>
        </w:rPr>
        <w:t xml:space="preserve"> Blackwell and Koopmans (19</w:t>
      </w:r>
      <w:r w:rsidR="002D21ED">
        <w:rPr>
          <w:rFonts w:ascii="Times New Roman" w:hAnsi="Times New Roman"/>
          <w:sz w:val="24"/>
          <w:szCs w:val="24"/>
        </w:rPr>
        <w:t>57</w:t>
      </w:r>
      <w:r w:rsidR="00627D4E">
        <w:rPr>
          <w:rFonts w:ascii="Times New Roman" w:hAnsi="Times New Roman"/>
          <w:sz w:val="24"/>
          <w:szCs w:val="24"/>
        </w:rPr>
        <w:t>) and Heller (1965).  Finally, another root can be found in the construction of rather basic Markov-chain regression models in econometrics (</w:t>
      </w:r>
      <w:proofErr w:type="spellStart"/>
      <w:r w:rsidR="00627D4E">
        <w:rPr>
          <w:rFonts w:ascii="Times New Roman" w:hAnsi="Times New Roman"/>
          <w:sz w:val="24"/>
          <w:szCs w:val="24"/>
        </w:rPr>
        <w:t>Goldfeld</w:t>
      </w:r>
      <w:proofErr w:type="spellEnd"/>
      <w:r w:rsidR="00627D4E">
        <w:rPr>
          <w:rFonts w:ascii="Times New Roman" w:hAnsi="Times New Roman"/>
          <w:sz w:val="24"/>
          <w:szCs w:val="24"/>
        </w:rPr>
        <w:t xml:space="preserve"> and </w:t>
      </w:r>
      <w:proofErr w:type="spellStart"/>
      <w:r w:rsidR="00627D4E">
        <w:rPr>
          <w:rFonts w:ascii="Times New Roman" w:hAnsi="Times New Roman"/>
          <w:sz w:val="24"/>
          <w:szCs w:val="24"/>
        </w:rPr>
        <w:t>Quandt</w:t>
      </w:r>
      <w:proofErr w:type="spellEnd"/>
      <w:r w:rsidR="00627D4E">
        <w:rPr>
          <w:rFonts w:ascii="Times New Roman" w:hAnsi="Times New Roman"/>
          <w:sz w:val="24"/>
          <w:szCs w:val="24"/>
        </w:rPr>
        <w:t xml:space="preserve">, 1973).  The first holistic approach to the statistical analysis </w:t>
      </w:r>
      <w:r w:rsidR="00FC2F6A">
        <w:rPr>
          <w:rFonts w:ascii="Times New Roman" w:hAnsi="Times New Roman"/>
          <w:sz w:val="24"/>
          <w:szCs w:val="24"/>
        </w:rPr>
        <w:t>to the statistical analysis of the Markov-switching model can be found in Hamilton (1988, 1989).  Finally, the treatment of the MS-VAR model as a Gaussian autoregressive process conditioned on an exoge</w:t>
      </w:r>
      <w:r w:rsidR="00350B37">
        <w:rPr>
          <w:rFonts w:ascii="Times New Roman" w:hAnsi="Times New Roman"/>
          <w:sz w:val="24"/>
          <w:szCs w:val="24"/>
        </w:rPr>
        <w:t>n</w:t>
      </w:r>
      <w:r w:rsidR="00FC2F6A">
        <w:rPr>
          <w:rFonts w:ascii="Times New Roman" w:hAnsi="Times New Roman"/>
          <w:sz w:val="24"/>
          <w:szCs w:val="24"/>
        </w:rPr>
        <w:t>ous regime generating process is closely related to the theory of a doubly stochastic processes (</w:t>
      </w:r>
      <w:proofErr w:type="spellStart"/>
      <w:r w:rsidR="00FC2F6A">
        <w:rPr>
          <w:rFonts w:ascii="Times New Roman" w:hAnsi="Times New Roman"/>
          <w:sz w:val="24"/>
          <w:szCs w:val="24"/>
        </w:rPr>
        <w:t>Tjostheim</w:t>
      </w:r>
      <w:proofErr w:type="spellEnd"/>
      <w:r w:rsidR="00FC2F6A">
        <w:rPr>
          <w:rFonts w:ascii="Times New Roman" w:hAnsi="Times New Roman"/>
          <w:sz w:val="24"/>
          <w:szCs w:val="24"/>
        </w:rPr>
        <w:t>, 1986)</w:t>
      </w:r>
      <w:r w:rsidR="00563609">
        <w:rPr>
          <w:rFonts w:ascii="Times New Roman" w:hAnsi="Times New Roman"/>
          <w:sz w:val="24"/>
          <w:szCs w:val="24"/>
        </w:rPr>
        <w:t>.</w:t>
      </w:r>
      <w:r w:rsidR="00FC2F6A">
        <w:rPr>
          <w:rFonts w:ascii="Times New Roman" w:hAnsi="Times New Roman"/>
          <w:sz w:val="24"/>
          <w:szCs w:val="24"/>
        </w:rPr>
        <w:t xml:space="preserve"> </w:t>
      </w:r>
      <w:r>
        <w:rPr>
          <w:rFonts w:ascii="Times New Roman" w:hAnsi="Times New Roman"/>
          <w:sz w:val="24"/>
          <w:szCs w:val="24"/>
        </w:rPr>
        <w:t xml:space="preserve">  </w:t>
      </w:r>
    </w:p>
    <w:p w:rsidR="00BA0109" w:rsidRDefault="00BA0109" w:rsidP="00E7003C">
      <w:pPr>
        <w:spacing w:line="240" w:lineRule="auto"/>
        <w:rPr>
          <w:rFonts w:ascii="Times New Roman" w:hAnsi="Times New Roman"/>
          <w:b/>
          <w:sz w:val="28"/>
          <w:szCs w:val="28"/>
        </w:rPr>
      </w:pPr>
    </w:p>
    <w:p w:rsidR="00014971" w:rsidRDefault="00F7375C" w:rsidP="00E7003C">
      <w:pPr>
        <w:spacing w:line="240" w:lineRule="auto"/>
        <w:rPr>
          <w:rFonts w:ascii="Times New Roman" w:hAnsi="Times New Roman"/>
          <w:b/>
          <w:sz w:val="28"/>
          <w:szCs w:val="28"/>
        </w:rPr>
      </w:pPr>
      <w:r>
        <w:rPr>
          <w:rFonts w:ascii="Times New Roman" w:hAnsi="Times New Roman"/>
          <w:b/>
          <w:sz w:val="28"/>
          <w:szCs w:val="28"/>
        </w:rPr>
        <w:t>4</w:t>
      </w:r>
      <w:r w:rsidR="00014971" w:rsidRPr="00014971">
        <w:rPr>
          <w:rFonts w:ascii="Times New Roman" w:hAnsi="Times New Roman"/>
          <w:b/>
          <w:sz w:val="28"/>
          <w:szCs w:val="28"/>
        </w:rPr>
        <w:tab/>
      </w:r>
      <w:r w:rsidR="009F315D">
        <w:rPr>
          <w:rFonts w:ascii="Times New Roman" w:hAnsi="Times New Roman"/>
          <w:b/>
          <w:sz w:val="28"/>
          <w:szCs w:val="28"/>
        </w:rPr>
        <w:t xml:space="preserve">Empirical </w:t>
      </w:r>
      <w:r w:rsidR="005169F3">
        <w:rPr>
          <w:rFonts w:ascii="Times New Roman" w:hAnsi="Times New Roman"/>
          <w:b/>
          <w:sz w:val="28"/>
          <w:szCs w:val="28"/>
        </w:rPr>
        <w:t>Implementation</w:t>
      </w:r>
    </w:p>
    <w:p w:rsidR="00723D62" w:rsidRDefault="00972D23" w:rsidP="00D10EA7">
      <w:pPr>
        <w:spacing w:line="240" w:lineRule="auto"/>
        <w:jc w:val="both"/>
        <w:rPr>
          <w:rFonts w:ascii="Times New Roman" w:hAnsi="Times New Roman"/>
          <w:sz w:val="24"/>
          <w:szCs w:val="24"/>
        </w:rPr>
      </w:pPr>
      <w:r w:rsidRPr="00972D23">
        <w:rPr>
          <w:rFonts w:ascii="Times New Roman" w:hAnsi="Times New Roman"/>
          <w:sz w:val="24"/>
          <w:szCs w:val="24"/>
        </w:rPr>
        <w:t>As part of the Federal Reserve's CCAR</w:t>
      </w:r>
      <w:r>
        <w:rPr>
          <w:rFonts w:ascii="Times New Roman" w:hAnsi="Times New Roman"/>
          <w:sz w:val="24"/>
          <w:szCs w:val="24"/>
        </w:rPr>
        <w:t xml:space="preserve"> </w:t>
      </w:r>
      <w:r w:rsidR="00091730">
        <w:rPr>
          <w:rFonts w:ascii="Times New Roman" w:hAnsi="Times New Roman"/>
          <w:sz w:val="24"/>
          <w:szCs w:val="24"/>
        </w:rPr>
        <w:t>stress testing exercise,</w:t>
      </w:r>
      <w:r w:rsidRPr="00972D23">
        <w:rPr>
          <w:rFonts w:ascii="Times New Roman" w:hAnsi="Times New Roman"/>
          <w:sz w:val="24"/>
          <w:szCs w:val="24"/>
        </w:rPr>
        <w:t xml:space="preserve"> U.S. domiciled top-tier </w:t>
      </w:r>
      <w:r w:rsidR="00091730">
        <w:rPr>
          <w:rFonts w:ascii="Times New Roman" w:hAnsi="Times New Roman"/>
          <w:sz w:val="24"/>
          <w:szCs w:val="24"/>
        </w:rPr>
        <w:t>BHCs</w:t>
      </w:r>
      <w:r w:rsidRPr="00972D23">
        <w:rPr>
          <w:rFonts w:ascii="Times New Roman" w:hAnsi="Times New Roman"/>
          <w:sz w:val="24"/>
          <w:szCs w:val="24"/>
        </w:rPr>
        <w:t xml:space="preserve"> are required to submit comprehensive capital plans, including pro forma capital analyses, based on at least one BHC defined adverse scenario. </w:t>
      </w:r>
      <w:r>
        <w:rPr>
          <w:rFonts w:ascii="Times New Roman" w:hAnsi="Times New Roman"/>
          <w:sz w:val="24"/>
          <w:szCs w:val="24"/>
        </w:rPr>
        <w:t xml:space="preserve"> </w:t>
      </w:r>
      <w:r w:rsidRPr="00972D23">
        <w:rPr>
          <w:rFonts w:ascii="Times New Roman" w:hAnsi="Times New Roman"/>
          <w:sz w:val="24"/>
          <w:szCs w:val="24"/>
        </w:rPr>
        <w:t xml:space="preserve">The adverse scenario is described by quarterly trajectories for key </w:t>
      </w:r>
      <w:r w:rsidRPr="00D32315">
        <w:rPr>
          <w:rFonts w:ascii="Times New Roman" w:hAnsi="Times New Roman"/>
          <w:i/>
          <w:sz w:val="24"/>
          <w:szCs w:val="24"/>
        </w:rPr>
        <w:t>macroeconomic variables</w:t>
      </w:r>
      <w:r w:rsidRPr="00972D23">
        <w:rPr>
          <w:rFonts w:ascii="Times New Roman" w:hAnsi="Times New Roman"/>
          <w:sz w:val="24"/>
          <w:szCs w:val="24"/>
        </w:rPr>
        <w:t xml:space="preserve"> (</w:t>
      </w:r>
      <w:r w:rsidR="002D29C1">
        <w:rPr>
          <w:rFonts w:ascii="Times New Roman" w:hAnsi="Times New Roman"/>
          <w:sz w:val="24"/>
          <w:szCs w:val="24"/>
        </w:rPr>
        <w:t>“</w:t>
      </w:r>
      <w:r w:rsidRPr="00972D23">
        <w:rPr>
          <w:rFonts w:ascii="Times New Roman" w:hAnsi="Times New Roman"/>
          <w:sz w:val="24"/>
          <w:szCs w:val="24"/>
        </w:rPr>
        <w:t>MVs</w:t>
      </w:r>
      <w:r w:rsidR="002D29C1">
        <w:rPr>
          <w:rFonts w:ascii="Times New Roman" w:hAnsi="Times New Roman"/>
          <w:sz w:val="24"/>
          <w:szCs w:val="24"/>
        </w:rPr>
        <w:t>”</w:t>
      </w:r>
      <w:r w:rsidRPr="00972D23">
        <w:rPr>
          <w:rFonts w:ascii="Times New Roman" w:hAnsi="Times New Roman"/>
          <w:sz w:val="24"/>
          <w:szCs w:val="24"/>
        </w:rPr>
        <w:t>) over the next nine quarters</w:t>
      </w:r>
      <w:r>
        <w:rPr>
          <w:rFonts w:ascii="Times New Roman" w:hAnsi="Times New Roman"/>
          <w:sz w:val="24"/>
          <w:szCs w:val="24"/>
        </w:rPr>
        <w:t xml:space="preserve"> </w:t>
      </w:r>
      <w:r w:rsidR="00B45184">
        <w:rPr>
          <w:rFonts w:ascii="Times New Roman" w:hAnsi="Times New Roman"/>
          <w:sz w:val="24"/>
          <w:szCs w:val="24"/>
        </w:rPr>
        <w:t xml:space="preserve">or </w:t>
      </w:r>
      <w:r w:rsidR="00091730">
        <w:rPr>
          <w:rFonts w:ascii="Times New Roman" w:hAnsi="Times New Roman"/>
          <w:sz w:val="24"/>
          <w:szCs w:val="24"/>
        </w:rPr>
        <w:t>for thirteen months</w:t>
      </w:r>
      <w:r w:rsidR="00B45184">
        <w:rPr>
          <w:rFonts w:ascii="Times New Roman" w:hAnsi="Times New Roman"/>
          <w:sz w:val="24"/>
          <w:szCs w:val="24"/>
        </w:rPr>
        <w:t xml:space="preserve"> to estimate loss allowances.</w:t>
      </w:r>
      <w:r w:rsidRPr="00972D23">
        <w:rPr>
          <w:rFonts w:ascii="Times New Roman" w:hAnsi="Times New Roman"/>
          <w:sz w:val="24"/>
          <w:szCs w:val="24"/>
        </w:rPr>
        <w:t xml:space="preserve"> </w:t>
      </w:r>
      <w:r>
        <w:rPr>
          <w:rFonts w:ascii="Times New Roman" w:hAnsi="Times New Roman"/>
          <w:sz w:val="24"/>
          <w:szCs w:val="24"/>
        </w:rPr>
        <w:t xml:space="preserve"> </w:t>
      </w:r>
      <w:r w:rsidRPr="00972D23">
        <w:rPr>
          <w:rFonts w:ascii="Times New Roman" w:hAnsi="Times New Roman"/>
          <w:sz w:val="24"/>
          <w:szCs w:val="24"/>
        </w:rPr>
        <w:t>In addition, the Federal Reserve generates its own supervisory stress scenarios</w:t>
      </w:r>
      <w:r>
        <w:rPr>
          <w:rFonts w:ascii="Times New Roman" w:hAnsi="Times New Roman"/>
          <w:sz w:val="24"/>
          <w:szCs w:val="24"/>
        </w:rPr>
        <w:t>,</w:t>
      </w:r>
      <w:r w:rsidRPr="00972D23">
        <w:rPr>
          <w:rFonts w:ascii="Times New Roman" w:hAnsi="Times New Roman"/>
          <w:sz w:val="24"/>
          <w:szCs w:val="24"/>
        </w:rPr>
        <w:t xml:space="preserve"> so that firms are expected to apply both BHC and supervisory stress scenarios to all exposures</w:t>
      </w:r>
      <w:r w:rsidR="006830D4">
        <w:rPr>
          <w:rFonts w:ascii="Times New Roman" w:hAnsi="Times New Roman"/>
          <w:sz w:val="24"/>
          <w:szCs w:val="24"/>
        </w:rPr>
        <w:t>,</w:t>
      </w:r>
      <w:r w:rsidRPr="00972D23">
        <w:rPr>
          <w:rFonts w:ascii="Times New Roman" w:hAnsi="Times New Roman"/>
          <w:sz w:val="24"/>
          <w:szCs w:val="24"/>
        </w:rPr>
        <w:t xml:space="preserve"> </w:t>
      </w:r>
      <w:r w:rsidR="006830D4">
        <w:rPr>
          <w:rFonts w:ascii="Times New Roman" w:hAnsi="Times New Roman"/>
          <w:sz w:val="24"/>
          <w:szCs w:val="24"/>
        </w:rPr>
        <w:t xml:space="preserve">in order </w:t>
      </w:r>
      <w:r w:rsidRPr="00972D23">
        <w:rPr>
          <w:rFonts w:ascii="Times New Roman" w:hAnsi="Times New Roman"/>
          <w:sz w:val="24"/>
          <w:szCs w:val="24"/>
        </w:rPr>
        <w:t xml:space="preserve">to estimate potential losses under stressed operating conditions. </w:t>
      </w:r>
      <w:r>
        <w:rPr>
          <w:rFonts w:ascii="Times New Roman" w:hAnsi="Times New Roman"/>
          <w:sz w:val="24"/>
          <w:szCs w:val="24"/>
        </w:rPr>
        <w:t xml:space="preserve"> </w:t>
      </w:r>
      <w:r w:rsidR="00091730">
        <w:rPr>
          <w:rFonts w:ascii="Times New Roman" w:hAnsi="Times New Roman"/>
          <w:sz w:val="24"/>
          <w:szCs w:val="24"/>
        </w:rPr>
        <w:t>F</w:t>
      </w:r>
      <w:r w:rsidRPr="00972D23">
        <w:rPr>
          <w:rFonts w:ascii="Times New Roman" w:hAnsi="Times New Roman"/>
          <w:sz w:val="24"/>
          <w:szCs w:val="24"/>
        </w:rPr>
        <w:t xml:space="preserve">irms </w:t>
      </w:r>
      <w:r w:rsidR="008F4433">
        <w:rPr>
          <w:rFonts w:ascii="Times New Roman" w:hAnsi="Times New Roman"/>
          <w:sz w:val="24"/>
          <w:szCs w:val="24"/>
        </w:rPr>
        <w:t>engaged</w:t>
      </w:r>
      <w:r w:rsidR="008F4433" w:rsidRPr="00972D23">
        <w:rPr>
          <w:rFonts w:ascii="Times New Roman" w:hAnsi="Times New Roman"/>
          <w:sz w:val="24"/>
          <w:szCs w:val="24"/>
        </w:rPr>
        <w:t xml:space="preserve"> </w:t>
      </w:r>
      <w:r w:rsidR="008F4433">
        <w:rPr>
          <w:rFonts w:ascii="Times New Roman" w:hAnsi="Times New Roman"/>
          <w:sz w:val="24"/>
          <w:szCs w:val="24"/>
        </w:rPr>
        <w:t xml:space="preserve">in </w:t>
      </w:r>
      <w:r w:rsidRPr="00972D23">
        <w:rPr>
          <w:rFonts w:ascii="Times New Roman" w:hAnsi="Times New Roman"/>
          <w:sz w:val="24"/>
          <w:szCs w:val="24"/>
        </w:rPr>
        <w:t xml:space="preserve">significant trading </w:t>
      </w:r>
      <w:r w:rsidR="008F4433" w:rsidRPr="00972D23">
        <w:rPr>
          <w:rFonts w:ascii="Times New Roman" w:hAnsi="Times New Roman"/>
          <w:sz w:val="24"/>
          <w:szCs w:val="24"/>
        </w:rPr>
        <w:t>activit</w:t>
      </w:r>
      <w:r w:rsidR="008F4433">
        <w:rPr>
          <w:rFonts w:ascii="Times New Roman" w:hAnsi="Times New Roman"/>
          <w:sz w:val="24"/>
          <w:szCs w:val="24"/>
        </w:rPr>
        <w:t>ies</w:t>
      </w:r>
      <w:r w:rsidR="008F4433" w:rsidRPr="00972D23">
        <w:rPr>
          <w:rFonts w:ascii="Times New Roman" w:hAnsi="Times New Roman"/>
          <w:sz w:val="24"/>
          <w:szCs w:val="24"/>
        </w:rPr>
        <w:t xml:space="preserve"> </w:t>
      </w:r>
      <w:r w:rsidR="00091730">
        <w:rPr>
          <w:rFonts w:ascii="Times New Roman" w:hAnsi="Times New Roman"/>
          <w:sz w:val="24"/>
          <w:szCs w:val="24"/>
        </w:rPr>
        <w:t>(</w:t>
      </w:r>
      <w:r w:rsidR="008F4433">
        <w:rPr>
          <w:rFonts w:ascii="Times New Roman" w:hAnsi="Times New Roman"/>
          <w:sz w:val="24"/>
          <w:szCs w:val="24"/>
        </w:rPr>
        <w:t>e.g.,</w:t>
      </w:r>
      <w:r w:rsidR="00091730">
        <w:rPr>
          <w:rFonts w:ascii="Times New Roman" w:hAnsi="Times New Roman"/>
          <w:sz w:val="24"/>
          <w:szCs w:val="24"/>
        </w:rPr>
        <w:t xml:space="preserve"> Goldman Sachs </w:t>
      </w:r>
      <w:r w:rsidR="008F4433">
        <w:rPr>
          <w:rFonts w:ascii="Times New Roman" w:hAnsi="Times New Roman"/>
          <w:sz w:val="24"/>
          <w:szCs w:val="24"/>
        </w:rPr>
        <w:t>or</w:t>
      </w:r>
      <w:r w:rsidR="00091730">
        <w:rPr>
          <w:rFonts w:ascii="Times New Roman" w:hAnsi="Times New Roman"/>
          <w:sz w:val="24"/>
          <w:szCs w:val="24"/>
        </w:rPr>
        <w:t xml:space="preserve"> Morgan Stanley) </w:t>
      </w:r>
      <w:r w:rsidRPr="00972D23">
        <w:rPr>
          <w:rFonts w:ascii="Times New Roman" w:hAnsi="Times New Roman"/>
          <w:sz w:val="24"/>
          <w:szCs w:val="24"/>
        </w:rPr>
        <w:t>are asked to estimate a one-time trading-related market and counterparty credit loss</w:t>
      </w:r>
      <w:r w:rsidR="006830D4">
        <w:rPr>
          <w:rFonts w:ascii="Times New Roman" w:hAnsi="Times New Roman"/>
          <w:sz w:val="24"/>
          <w:szCs w:val="24"/>
        </w:rPr>
        <w:t xml:space="preserve"> shock</w:t>
      </w:r>
      <w:r w:rsidRPr="00972D23">
        <w:rPr>
          <w:rFonts w:ascii="Times New Roman" w:hAnsi="Times New Roman"/>
          <w:sz w:val="24"/>
          <w:szCs w:val="24"/>
        </w:rPr>
        <w:t xml:space="preserve"> under their own BHC scenarios</w:t>
      </w:r>
      <w:r>
        <w:rPr>
          <w:rFonts w:ascii="Times New Roman" w:hAnsi="Times New Roman"/>
          <w:sz w:val="24"/>
          <w:szCs w:val="24"/>
        </w:rPr>
        <w:t>,</w:t>
      </w:r>
      <w:r w:rsidRPr="00972D23">
        <w:rPr>
          <w:rFonts w:ascii="Times New Roman" w:hAnsi="Times New Roman"/>
          <w:sz w:val="24"/>
          <w:szCs w:val="24"/>
        </w:rPr>
        <w:t xml:space="preserve"> and </w:t>
      </w:r>
      <w:r>
        <w:rPr>
          <w:rFonts w:ascii="Times New Roman" w:hAnsi="Times New Roman"/>
          <w:sz w:val="24"/>
          <w:szCs w:val="24"/>
        </w:rPr>
        <w:t xml:space="preserve">a </w:t>
      </w:r>
      <w:r w:rsidRPr="00972D23">
        <w:rPr>
          <w:rFonts w:ascii="Times New Roman" w:hAnsi="Times New Roman"/>
          <w:sz w:val="24"/>
          <w:szCs w:val="24"/>
        </w:rPr>
        <w:t xml:space="preserve">market </w:t>
      </w:r>
      <w:r w:rsidR="006830D4">
        <w:rPr>
          <w:rFonts w:ascii="Times New Roman" w:hAnsi="Times New Roman"/>
          <w:sz w:val="24"/>
          <w:szCs w:val="24"/>
        </w:rPr>
        <w:t xml:space="preserve">risk </w:t>
      </w:r>
      <w:r w:rsidRPr="00972D23">
        <w:rPr>
          <w:rFonts w:ascii="Times New Roman" w:hAnsi="Times New Roman"/>
          <w:sz w:val="24"/>
          <w:szCs w:val="24"/>
        </w:rPr>
        <w:t>stress scenario provided by the supervisors.</w:t>
      </w:r>
      <w:r w:rsidR="00367C63">
        <w:rPr>
          <w:rFonts w:ascii="Times New Roman" w:hAnsi="Times New Roman"/>
          <w:sz w:val="24"/>
          <w:szCs w:val="24"/>
        </w:rPr>
        <w:t xml:space="preserve"> </w:t>
      </w:r>
      <w:r>
        <w:rPr>
          <w:rFonts w:ascii="Times New Roman" w:hAnsi="Times New Roman"/>
          <w:sz w:val="24"/>
          <w:szCs w:val="24"/>
        </w:rPr>
        <w:t xml:space="preserve"> </w:t>
      </w:r>
      <w:r w:rsidR="00091730">
        <w:rPr>
          <w:rFonts w:ascii="Times New Roman" w:hAnsi="Times New Roman"/>
          <w:sz w:val="24"/>
          <w:szCs w:val="24"/>
        </w:rPr>
        <w:t>L</w:t>
      </w:r>
      <w:r w:rsidR="00B45184">
        <w:rPr>
          <w:rFonts w:ascii="Times New Roman" w:hAnsi="Times New Roman"/>
          <w:sz w:val="24"/>
          <w:szCs w:val="24"/>
        </w:rPr>
        <w:t>arge custodian banks are asked to estimate a potential default of their largest counterparty.</w:t>
      </w:r>
      <w:r w:rsidRPr="00972D23">
        <w:rPr>
          <w:rFonts w:ascii="Times New Roman" w:hAnsi="Times New Roman"/>
          <w:sz w:val="24"/>
          <w:szCs w:val="24"/>
        </w:rPr>
        <w:t xml:space="preserve"> </w:t>
      </w:r>
      <w:r w:rsidR="006830D4">
        <w:rPr>
          <w:rFonts w:ascii="Times New Roman" w:hAnsi="Times New Roman"/>
          <w:sz w:val="24"/>
          <w:szCs w:val="24"/>
        </w:rPr>
        <w:t xml:space="preserve"> </w:t>
      </w:r>
      <w:r>
        <w:rPr>
          <w:rFonts w:ascii="Times New Roman" w:hAnsi="Times New Roman"/>
          <w:sz w:val="24"/>
          <w:szCs w:val="24"/>
        </w:rPr>
        <w:t xml:space="preserve">In the case of </w:t>
      </w:r>
      <w:r w:rsidRPr="00972D23">
        <w:rPr>
          <w:rFonts w:ascii="Times New Roman" w:hAnsi="Times New Roman"/>
          <w:sz w:val="24"/>
          <w:szCs w:val="24"/>
        </w:rPr>
        <w:t xml:space="preserve">the supervisory stress scenarios, the Federal Reserve provides firms with global market shock components that are one-time, hypothetical shocks to a large set of risk factors. </w:t>
      </w:r>
      <w:r>
        <w:rPr>
          <w:rFonts w:ascii="Times New Roman" w:hAnsi="Times New Roman"/>
          <w:sz w:val="24"/>
          <w:szCs w:val="24"/>
        </w:rPr>
        <w:t xml:space="preserve"> </w:t>
      </w:r>
      <w:r w:rsidR="008F4433">
        <w:rPr>
          <w:rFonts w:ascii="Times New Roman" w:hAnsi="Times New Roman"/>
          <w:sz w:val="24"/>
          <w:szCs w:val="24"/>
        </w:rPr>
        <w:t>During</w:t>
      </w:r>
      <w:r w:rsidR="008F4433" w:rsidRPr="00972D23">
        <w:rPr>
          <w:rFonts w:ascii="Times New Roman" w:hAnsi="Times New Roman"/>
          <w:sz w:val="24"/>
          <w:szCs w:val="24"/>
        </w:rPr>
        <w:t xml:space="preserve"> </w:t>
      </w:r>
      <w:r w:rsidRPr="00972D23">
        <w:rPr>
          <w:rFonts w:ascii="Times New Roman" w:hAnsi="Times New Roman"/>
          <w:sz w:val="24"/>
          <w:szCs w:val="24"/>
        </w:rPr>
        <w:t xml:space="preserve">the last two CCAR </w:t>
      </w:r>
      <w:r w:rsidRPr="00972D23">
        <w:rPr>
          <w:rFonts w:ascii="Times New Roman" w:hAnsi="Times New Roman"/>
          <w:sz w:val="24"/>
          <w:szCs w:val="24"/>
        </w:rPr>
        <w:lastRenderedPageBreak/>
        <w:t>exercises, these shocks involved large and sudden changes in asset prices, rates, and CDS spreads that mirrored the severe market conditions in the second half of 2008.</w:t>
      </w:r>
      <w:r w:rsidR="00D10EA7">
        <w:rPr>
          <w:rFonts w:ascii="Times New Roman" w:hAnsi="Times New Roman"/>
          <w:sz w:val="24"/>
          <w:szCs w:val="24"/>
        </w:rPr>
        <w:t xml:space="preserve">  </w:t>
      </w:r>
      <w:r w:rsidRPr="00972D23">
        <w:rPr>
          <w:rFonts w:ascii="Times New Roman" w:hAnsi="Times New Roman"/>
          <w:sz w:val="24"/>
          <w:szCs w:val="24"/>
        </w:rPr>
        <w:t xml:space="preserve">Since CCAR is a comprehensive assessment of a firm's capital plan, the BHCs are asked to conduct an assessment of the expected uses and sources of capital over a planning horizon. </w:t>
      </w:r>
      <w:r w:rsidR="00D32315">
        <w:rPr>
          <w:rFonts w:ascii="Times New Roman" w:hAnsi="Times New Roman"/>
          <w:sz w:val="24"/>
          <w:szCs w:val="24"/>
        </w:rPr>
        <w:t xml:space="preserve"> </w:t>
      </w:r>
      <w:r w:rsidRPr="00972D23">
        <w:rPr>
          <w:rFonts w:ascii="Times New Roman" w:hAnsi="Times New Roman"/>
          <w:sz w:val="24"/>
          <w:szCs w:val="24"/>
        </w:rPr>
        <w:t xml:space="preserve">In the 2009 SCAP, firms were asked to submit stress losses over the next two years, on a yearly basis. </w:t>
      </w:r>
      <w:r w:rsidR="000D2701">
        <w:rPr>
          <w:rFonts w:ascii="Times New Roman" w:hAnsi="Times New Roman"/>
          <w:sz w:val="24"/>
          <w:szCs w:val="24"/>
        </w:rPr>
        <w:t xml:space="preserve"> </w:t>
      </w:r>
    </w:p>
    <w:p w:rsidR="004E0BB9" w:rsidRDefault="00D7067C" w:rsidP="00D376AF">
      <w:pPr>
        <w:jc w:val="both"/>
        <w:rPr>
          <w:rFonts w:ascii="Times New Roman" w:hAnsi="Times New Roman"/>
          <w:b/>
          <w:sz w:val="24"/>
          <w:szCs w:val="24"/>
        </w:rPr>
      </w:pPr>
      <w:r w:rsidRPr="00972D23">
        <w:rPr>
          <w:rFonts w:ascii="Times New Roman" w:hAnsi="Times New Roman"/>
          <w:sz w:val="24"/>
          <w:szCs w:val="24"/>
        </w:rPr>
        <w:t xml:space="preserve">Since then, the planning horizon has changed to nine quarters. </w:t>
      </w:r>
      <w:r>
        <w:rPr>
          <w:rFonts w:ascii="Times New Roman" w:hAnsi="Times New Roman"/>
          <w:sz w:val="24"/>
          <w:szCs w:val="24"/>
        </w:rPr>
        <w:t xml:space="preserve"> </w:t>
      </w:r>
      <w:r w:rsidRPr="00972D23">
        <w:rPr>
          <w:rFonts w:ascii="Times New Roman" w:hAnsi="Times New Roman"/>
          <w:sz w:val="24"/>
          <w:szCs w:val="24"/>
        </w:rPr>
        <w:t>For the last three CCAR exercises, BHC</w:t>
      </w:r>
      <w:r>
        <w:rPr>
          <w:rFonts w:ascii="Times New Roman" w:hAnsi="Times New Roman"/>
          <w:sz w:val="24"/>
          <w:szCs w:val="24"/>
        </w:rPr>
        <w:t>s</w:t>
      </w:r>
      <w:r w:rsidRPr="00972D23">
        <w:rPr>
          <w:rFonts w:ascii="Times New Roman" w:hAnsi="Times New Roman"/>
          <w:sz w:val="24"/>
          <w:szCs w:val="24"/>
        </w:rPr>
        <w:t xml:space="preserve"> </w:t>
      </w:r>
      <w:r>
        <w:rPr>
          <w:rFonts w:ascii="Times New Roman" w:hAnsi="Times New Roman"/>
          <w:sz w:val="24"/>
          <w:szCs w:val="24"/>
        </w:rPr>
        <w:t>are</w:t>
      </w:r>
      <w:r w:rsidRPr="00972D23">
        <w:rPr>
          <w:rFonts w:ascii="Times New Roman" w:hAnsi="Times New Roman"/>
          <w:sz w:val="24"/>
          <w:szCs w:val="24"/>
        </w:rPr>
        <w:t xml:space="preserve"> asked to submit </w:t>
      </w:r>
      <w:r>
        <w:rPr>
          <w:rFonts w:ascii="Times New Roman" w:hAnsi="Times New Roman"/>
          <w:sz w:val="24"/>
          <w:szCs w:val="24"/>
        </w:rPr>
        <w:t>their</w:t>
      </w:r>
      <w:r w:rsidRPr="00972D23">
        <w:rPr>
          <w:rFonts w:ascii="Times New Roman" w:hAnsi="Times New Roman"/>
          <w:sz w:val="24"/>
          <w:szCs w:val="24"/>
        </w:rPr>
        <w:t xml:space="preserve"> pro forma, post-stress capital projections in </w:t>
      </w:r>
      <w:r>
        <w:rPr>
          <w:rFonts w:ascii="Times New Roman" w:hAnsi="Times New Roman"/>
          <w:sz w:val="24"/>
          <w:szCs w:val="24"/>
        </w:rPr>
        <w:t>their</w:t>
      </w:r>
      <w:r w:rsidRPr="00972D23">
        <w:rPr>
          <w:rFonts w:ascii="Times New Roman" w:hAnsi="Times New Roman"/>
          <w:sz w:val="24"/>
          <w:szCs w:val="24"/>
        </w:rPr>
        <w:t xml:space="preserve"> capital plan beginning with data as of September 30, span</w:t>
      </w:r>
      <w:r>
        <w:rPr>
          <w:rFonts w:ascii="Times New Roman" w:hAnsi="Times New Roman"/>
          <w:sz w:val="24"/>
          <w:szCs w:val="24"/>
        </w:rPr>
        <w:t>ning</w:t>
      </w:r>
      <w:r w:rsidRPr="00972D23">
        <w:rPr>
          <w:rFonts w:ascii="Times New Roman" w:hAnsi="Times New Roman"/>
          <w:sz w:val="24"/>
          <w:szCs w:val="24"/>
        </w:rPr>
        <w:t xml:space="preserve"> the nine-quarter planning horizon. </w:t>
      </w:r>
      <w:r>
        <w:rPr>
          <w:rFonts w:ascii="Times New Roman" w:hAnsi="Times New Roman"/>
          <w:sz w:val="24"/>
          <w:szCs w:val="24"/>
        </w:rPr>
        <w:t xml:space="preserve"> </w:t>
      </w:r>
      <w:r w:rsidRPr="00972D23">
        <w:rPr>
          <w:rFonts w:ascii="Times New Roman" w:hAnsi="Times New Roman"/>
          <w:sz w:val="24"/>
          <w:szCs w:val="24"/>
        </w:rPr>
        <w:t>The projec</w:t>
      </w:r>
      <w:r>
        <w:rPr>
          <w:rFonts w:ascii="Times New Roman" w:hAnsi="Times New Roman"/>
          <w:sz w:val="24"/>
          <w:szCs w:val="24"/>
        </w:rPr>
        <w:t>t-</w:t>
      </w:r>
      <w:r w:rsidRPr="00972D23">
        <w:rPr>
          <w:rFonts w:ascii="Times New Roman" w:hAnsi="Times New Roman"/>
          <w:sz w:val="24"/>
          <w:szCs w:val="24"/>
        </w:rPr>
        <w:t xml:space="preserve">ions begin in the fourth quarter of the current year and conclude at the end of the fourth quarter two years forward. </w:t>
      </w:r>
      <w:r>
        <w:rPr>
          <w:rFonts w:ascii="Times New Roman" w:hAnsi="Times New Roman"/>
          <w:sz w:val="24"/>
          <w:szCs w:val="24"/>
        </w:rPr>
        <w:t xml:space="preserve"> </w:t>
      </w:r>
      <w:r w:rsidRPr="00972D23">
        <w:rPr>
          <w:rFonts w:ascii="Times New Roman" w:hAnsi="Times New Roman"/>
          <w:sz w:val="24"/>
          <w:szCs w:val="24"/>
        </w:rPr>
        <w:t xml:space="preserve">Hence, for defining BHC stress scenarios, firms are asked to project the movements of key </w:t>
      </w:r>
      <w:r>
        <w:rPr>
          <w:rFonts w:ascii="Times New Roman" w:hAnsi="Times New Roman"/>
          <w:sz w:val="24"/>
          <w:szCs w:val="24"/>
        </w:rPr>
        <w:t>MV</w:t>
      </w:r>
      <w:r w:rsidRPr="00972D23">
        <w:rPr>
          <w:rFonts w:ascii="Times New Roman" w:hAnsi="Times New Roman"/>
          <w:sz w:val="24"/>
          <w:szCs w:val="24"/>
        </w:rPr>
        <w:t xml:space="preserve">s over the planning horizon of nine quarters. </w:t>
      </w:r>
      <w:r>
        <w:rPr>
          <w:rFonts w:ascii="Times New Roman" w:hAnsi="Times New Roman"/>
          <w:sz w:val="24"/>
          <w:szCs w:val="24"/>
        </w:rPr>
        <w:t xml:space="preserve"> </w:t>
      </w:r>
      <w:r w:rsidRPr="00972D23">
        <w:rPr>
          <w:rFonts w:ascii="Times New Roman" w:hAnsi="Times New Roman"/>
          <w:sz w:val="24"/>
          <w:szCs w:val="24"/>
        </w:rPr>
        <w:t xml:space="preserve">As for determining the severity of the global market shock components for trading and counterparty credit losses, it will not be discussed in this </w:t>
      </w:r>
      <w:r>
        <w:rPr>
          <w:rFonts w:ascii="Times New Roman" w:hAnsi="Times New Roman"/>
          <w:sz w:val="24"/>
          <w:szCs w:val="24"/>
        </w:rPr>
        <w:t>paper,</w:t>
      </w:r>
      <w:r w:rsidRPr="00972D23">
        <w:rPr>
          <w:rFonts w:ascii="Times New Roman" w:hAnsi="Times New Roman"/>
          <w:sz w:val="24"/>
          <w:szCs w:val="24"/>
        </w:rPr>
        <w:t xml:space="preserve"> because it is a one-time shock and the evaluation will be on the movements of the market risk factors rather the </w:t>
      </w:r>
      <w:r>
        <w:rPr>
          <w:rFonts w:ascii="Times New Roman" w:hAnsi="Times New Roman"/>
          <w:sz w:val="24"/>
          <w:szCs w:val="24"/>
        </w:rPr>
        <w:t>MV</w:t>
      </w:r>
      <w:r w:rsidRPr="00972D23">
        <w:rPr>
          <w:rFonts w:ascii="Times New Roman" w:hAnsi="Times New Roman"/>
          <w:sz w:val="24"/>
          <w:szCs w:val="24"/>
        </w:rPr>
        <w:t>s.</w:t>
      </w:r>
      <w:r>
        <w:rPr>
          <w:rFonts w:ascii="Times New Roman" w:hAnsi="Times New Roman"/>
          <w:sz w:val="24"/>
          <w:szCs w:val="24"/>
        </w:rPr>
        <w:t xml:space="preserve"> I</w:t>
      </w:r>
      <w:r w:rsidRPr="00972D23">
        <w:rPr>
          <w:rFonts w:ascii="Times New Roman" w:hAnsi="Times New Roman"/>
          <w:sz w:val="24"/>
          <w:szCs w:val="24"/>
        </w:rPr>
        <w:t xml:space="preserve">n the 2011 CCAR, the Federal Reserve defined the stress supervisory scenario using nine </w:t>
      </w:r>
      <w:r>
        <w:rPr>
          <w:rFonts w:ascii="Times New Roman" w:hAnsi="Times New Roman"/>
          <w:sz w:val="24"/>
          <w:szCs w:val="24"/>
        </w:rPr>
        <w:t>MV</w:t>
      </w:r>
      <w:r w:rsidRPr="00972D23">
        <w:rPr>
          <w:rFonts w:ascii="Times New Roman" w:hAnsi="Times New Roman"/>
          <w:sz w:val="24"/>
          <w:szCs w:val="24"/>
        </w:rPr>
        <w:t>s:</w:t>
      </w:r>
    </w:p>
    <w:p w:rsidR="00D32315" w:rsidRDefault="00D32315" w:rsidP="00D32315">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R</w:t>
      </w:r>
      <w:r w:rsidR="00972D23" w:rsidRPr="00D32315">
        <w:rPr>
          <w:rFonts w:ascii="Times New Roman" w:hAnsi="Times New Roman"/>
          <w:sz w:val="24"/>
          <w:szCs w:val="24"/>
        </w:rPr>
        <w:t>eal GDP</w:t>
      </w:r>
      <w:r w:rsidR="002347C3">
        <w:rPr>
          <w:rFonts w:ascii="Times New Roman" w:hAnsi="Times New Roman"/>
          <w:sz w:val="24"/>
          <w:szCs w:val="24"/>
        </w:rPr>
        <w:t xml:space="preserve"> (“RGDP”)</w:t>
      </w:r>
    </w:p>
    <w:p w:rsidR="00D32315" w:rsidRDefault="00972D23" w:rsidP="00D32315">
      <w:pPr>
        <w:pStyle w:val="ListParagraph"/>
        <w:numPr>
          <w:ilvl w:val="0"/>
          <w:numId w:val="20"/>
        </w:numPr>
        <w:spacing w:line="240" w:lineRule="auto"/>
        <w:rPr>
          <w:rFonts w:ascii="Times New Roman" w:hAnsi="Times New Roman"/>
          <w:sz w:val="24"/>
          <w:szCs w:val="24"/>
        </w:rPr>
      </w:pPr>
      <w:r w:rsidRPr="00D32315">
        <w:rPr>
          <w:rFonts w:ascii="Times New Roman" w:hAnsi="Times New Roman"/>
          <w:sz w:val="24"/>
          <w:szCs w:val="24"/>
        </w:rPr>
        <w:t>Consumer Price Index (</w:t>
      </w:r>
      <w:r w:rsidR="002347C3">
        <w:rPr>
          <w:rFonts w:ascii="Times New Roman" w:hAnsi="Times New Roman"/>
          <w:sz w:val="24"/>
          <w:szCs w:val="24"/>
        </w:rPr>
        <w:t>“</w:t>
      </w:r>
      <w:r w:rsidRPr="00D32315">
        <w:rPr>
          <w:rFonts w:ascii="Times New Roman" w:hAnsi="Times New Roman"/>
          <w:sz w:val="24"/>
          <w:szCs w:val="24"/>
        </w:rPr>
        <w:t>CPI</w:t>
      </w:r>
      <w:r w:rsidR="002347C3">
        <w:rPr>
          <w:rFonts w:ascii="Times New Roman" w:hAnsi="Times New Roman"/>
          <w:sz w:val="24"/>
          <w:szCs w:val="24"/>
        </w:rPr>
        <w:t>”</w:t>
      </w:r>
      <w:r w:rsidRPr="00D32315">
        <w:rPr>
          <w:rFonts w:ascii="Times New Roman" w:hAnsi="Times New Roman"/>
          <w:sz w:val="24"/>
          <w:szCs w:val="24"/>
        </w:rPr>
        <w:t>)</w:t>
      </w:r>
    </w:p>
    <w:p w:rsidR="00D32315" w:rsidRDefault="00D32315" w:rsidP="00D32315">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R</w:t>
      </w:r>
      <w:r w:rsidR="00972D23" w:rsidRPr="00D32315">
        <w:rPr>
          <w:rFonts w:ascii="Times New Roman" w:hAnsi="Times New Roman"/>
          <w:sz w:val="24"/>
          <w:szCs w:val="24"/>
        </w:rPr>
        <w:t xml:space="preserve">eal </w:t>
      </w:r>
      <w:r>
        <w:rPr>
          <w:rFonts w:ascii="Times New Roman" w:hAnsi="Times New Roman"/>
          <w:sz w:val="24"/>
          <w:szCs w:val="24"/>
        </w:rPr>
        <w:t>D</w:t>
      </w:r>
      <w:r w:rsidR="00972D23" w:rsidRPr="00D32315">
        <w:rPr>
          <w:rFonts w:ascii="Times New Roman" w:hAnsi="Times New Roman"/>
          <w:sz w:val="24"/>
          <w:szCs w:val="24"/>
        </w:rPr>
        <w:t xml:space="preserve">isposable </w:t>
      </w:r>
      <w:r>
        <w:rPr>
          <w:rFonts w:ascii="Times New Roman" w:hAnsi="Times New Roman"/>
          <w:sz w:val="24"/>
          <w:szCs w:val="24"/>
        </w:rPr>
        <w:t>P</w:t>
      </w:r>
      <w:r w:rsidR="00972D23" w:rsidRPr="00D32315">
        <w:rPr>
          <w:rFonts w:ascii="Times New Roman" w:hAnsi="Times New Roman"/>
          <w:sz w:val="24"/>
          <w:szCs w:val="24"/>
        </w:rPr>
        <w:t xml:space="preserve">ersonal </w:t>
      </w:r>
      <w:r>
        <w:rPr>
          <w:rFonts w:ascii="Times New Roman" w:hAnsi="Times New Roman"/>
          <w:sz w:val="24"/>
          <w:szCs w:val="24"/>
        </w:rPr>
        <w:t>I</w:t>
      </w:r>
      <w:r w:rsidR="00972D23" w:rsidRPr="00D32315">
        <w:rPr>
          <w:rFonts w:ascii="Times New Roman" w:hAnsi="Times New Roman"/>
          <w:sz w:val="24"/>
          <w:szCs w:val="24"/>
        </w:rPr>
        <w:t>ncome</w:t>
      </w:r>
      <w:r w:rsidR="002347C3">
        <w:rPr>
          <w:rFonts w:ascii="Times New Roman" w:hAnsi="Times New Roman"/>
          <w:sz w:val="24"/>
          <w:szCs w:val="24"/>
        </w:rPr>
        <w:t xml:space="preserve"> (“RDPI”)</w:t>
      </w:r>
    </w:p>
    <w:p w:rsidR="00D32315" w:rsidRDefault="00D32315" w:rsidP="00D32315">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U</w:t>
      </w:r>
      <w:r w:rsidR="00972D23" w:rsidRPr="00D32315">
        <w:rPr>
          <w:rFonts w:ascii="Times New Roman" w:hAnsi="Times New Roman"/>
          <w:sz w:val="24"/>
          <w:szCs w:val="24"/>
        </w:rPr>
        <w:t xml:space="preserve">nemployment </w:t>
      </w:r>
      <w:r>
        <w:rPr>
          <w:rFonts w:ascii="Times New Roman" w:hAnsi="Times New Roman"/>
          <w:sz w:val="24"/>
          <w:szCs w:val="24"/>
        </w:rPr>
        <w:t>R</w:t>
      </w:r>
      <w:r w:rsidR="00972D23" w:rsidRPr="00D32315">
        <w:rPr>
          <w:rFonts w:ascii="Times New Roman" w:hAnsi="Times New Roman"/>
          <w:sz w:val="24"/>
          <w:szCs w:val="24"/>
        </w:rPr>
        <w:t>ate</w:t>
      </w:r>
      <w:r w:rsidR="002347C3">
        <w:rPr>
          <w:rFonts w:ascii="Times New Roman" w:hAnsi="Times New Roman"/>
          <w:sz w:val="24"/>
          <w:szCs w:val="24"/>
        </w:rPr>
        <w:t xml:space="preserve"> (“UNEMP”)</w:t>
      </w:r>
    </w:p>
    <w:p w:rsidR="00D32315" w:rsidRDefault="00D32315" w:rsidP="00D32315">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T</w:t>
      </w:r>
      <w:r w:rsidR="00972D23" w:rsidRPr="00D32315">
        <w:rPr>
          <w:rFonts w:ascii="Times New Roman" w:hAnsi="Times New Roman"/>
          <w:sz w:val="24"/>
          <w:szCs w:val="24"/>
        </w:rPr>
        <w:t xml:space="preserve">hree-month Treasury </w:t>
      </w:r>
      <w:r>
        <w:rPr>
          <w:rFonts w:ascii="Times New Roman" w:hAnsi="Times New Roman"/>
          <w:sz w:val="24"/>
          <w:szCs w:val="24"/>
        </w:rPr>
        <w:t>B</w:t>
      </w:r>
      <w:r w:rsidR="00972D23" w:rsidRPr="00D32315">
        <w:rPr>
          <w:rFonts w:ascii="Times New Roman" w:hAnsi="Times New Roman"/>
          <w:sz w:val="24"/>
          <w:szCs w:val="24"/>
        </w:rPr>
        <w:t xml:space="preserve">ill </w:t>
      </w:r>
      <w:r>
        <w:rPr>
          <w:rFonts w:ascii="Times New Roman" w:hAnsi="Times New Roman"/>
          <w:sz w:val="24"/>
          <w:szCs w:val="24"/>
        </w:rPr>
        <w:t>R</w:t>
      </w:r>
      <w:r w:rsidR="00972D23" w:rsidRPr="00D32315">
        <w:rPr>
          <w:rFonts w:ascii="Times New Roman" w:hAnsi="Times New Roman"/>
          <w:sz w:val="24"/>
          <w:szCs w:val="24"/>
        </w:rPr>
        <w:t>ate</w:t>
      </w:r>
      <w:r w:rsidR="002347C3">
        <w:rPr>
          <w:rFonts w:ascii="Times New Roman" w:hAnsi="Times New Roman"/>
          <w:sz w:val="24"/>
          <w:szCs w:val="24"/>
        </w:rPr>
        <w:t xml:space="preserve"> (“3MTBR”)</w:t>
      </w:r>
    </w:p>
    <w:p w:rsidR="00D32315" w:rsidRDefault="00FA125D" w:rsidP="00D32315">
      <w:pPr>
        <w:pStyle w:val="ListParagraph"/>
        <w:numPr>
          <w:ilvl w:val="0"/>
          <w:numId w:val="20"/>
        </w:numPr>
        <w:spacing w:line="240" w:lineRule="auto"/>
        <w:rPr>
          <w:rFonts w:ascii="Times New Roman" w:hAnsi="Times New Roman"/>
          <w:sz w:val="24"/>
          <w:szCs w:val="24"/>
        </w:rPr>
      </w:pPr>
      <w:r>
        <w:rPr>
          <w:rFonts w:ascii="Times New Roman" w:hAnsi="Times New Roman"/>
          <w:sz w:val="24"/>
          <w:szCs w:val="24"/>
        </w:rPr>
        <w:t>Ten</w:t>
      </w:r>
      <w:r w:rsidR="00972D23" w:rsidRPr="00D32315">
        <w:rPr>
          <w:rFonts w:ascii="Times New Roman" w:hAnsi="Times New Roman"/>
          <w:sz w:val="24"/>
          <w:szCs w:val="24"/>
        </w:rPr>
        <w:t xml:space="preserve">-year Treasury </w:t>
      </w:r>
      <w:r w:rsidR="00D32315">
        <w:rPr>
          <w:rFonts w:ascii="Times New Roman" w:hAnsi="Times New Roman"/>
          <w:sz w:val="24"/>
          <w:szCs w:val="24"/>
        </w:rPr>
        <w:t>B</w:t>
      </w:r>
      <w:r w:rsidR="00972D23" w:rsidRPr="00D32315">
        <w:rPr>
          <w:rFonts w:ascii="Times New Roman" w:hAnsi="Times New Roman"/>
          <w:sz w:val="24"/>
          <w:szCs w:val="24"/>
        </w:rPr>
        <w:t xml:space="preserve">ond </w:t>
      </w:r>
      <w:r w:rsidR="00D32315">
        <w:rPr>
          <w:rFonts w:ascii="Times New Roman" w:hAnsi="Times New Roman"/>
          <w:sz w:val="24"/>
          <w:szCs w:val="24"/>
        </w:rPr>
        <w:t>R</w:t>
      </w:r>
      <w:r w:rsidR="00972D23" w:rsidRPr="00D32315">
        <w:rPr>
          <w:rFonts w:ascii="Times New Roman" w:hAnsi="Times New Roman"/>
          <w:sz w:val="24"/>
          <w:szCs w:val="24"/>
        </w:rPr>
        <w:t>ate</w:t>
      </w:r>
      <w:r w:rsidR="002347C3">
        <w:rPr>
          <w:rFonts w:ascii="Times New Roman" w:hAnsi="Times New Roman"/>
          <w:sz w:val="24"/>
          <w:szCs w:val="24"/>
        </w:rPr>
        <w:t xml:space="preserve"> (“10YTBR”)</w:t>
      </w:r>
    </w:p>
    <w:p w:rsidR="00D32315" w:rsidRDefault="00972D23" w:rsidP="00D32315">
      <w:pPr>
        <w:pStyle w:val="ListParagraph"/>
        <w:numPr>
          <w:ilvl w:val="0"/>
          <w:numId w:val="20"/>
        </w:numPr>
        <w:spacing w:line="240" w:lineRule="auto"/>
        <w:rPr>
          <w:rFonts w:ascii="Times New Roman" w:hAnsi="Times New Roman"/>
          <w:sz w:val="24"/>
          <w:szCs w:val="24"/>
        </w:rPr>
      </w:pPr>
      <w:r w:rsidRPr="00D32315">
        <w:rPr>
          <w:rFonts w:ascii="Times New Roman" w:hAnsi="Times New Roman"/>
          <w:sz w:val="24"/>
          <w:szCs w:val="24"/>
        </w:rPr>
        <w:t xml:space="preserve">BBB </w:t>
      </w:r>
      <w:r w:rsidR="00D32315">
        <w:rPr>
          <w:rFonts w:ascii="Times New Roman" w:hAnsi="Times New Roman"/>
          <w:sz w:val="24"/>
          <w:szCs w:val="24"/>
        </w:rPr>
        <w:t>C</w:t>
      </w:r>
      <w:r w:rsidRPr="00D32315">
        <w:rPr>
          <w:rFonts w:ascii="Times New Roman" w:hAnsi="Times New Roman"/>
          <w:sz w:val="24"/>
          <w:szCs w:val="24"/>
        </w:rPr>
        <w:t xml:space="preserve">orporate </w:t>
      </w:r>
      <w:r w:rsidR="00D32315">
        <w:rPr>
          <w:rFonts w:ascii="Times New Roman" w:hAnsi="Times New Roman"/>
          <w:sz w:val="24"/>
          <w:szCs w:val="24"/>
        </w:rPr>
        <w:t>R</w:t>
      </w:r>
      <w:r w:rsidRPr="00D32315">
        <w:rPr>
          <w:rFonts w:ascii="Times New Roman" w:hAnsi="Times New Roman"/>
          <w:sz w:val="24"/>
          <w:szCs w:val="24"/>
        </w:rPr>
        <w:t>ate</w:t>
      </w:r>
      <w:r w:rsidR="002347C3">
        <w:rPr>
          <w:rFonts w:ascii="Times New Roman" w:hAnsi="Times New Roman"/>
          <w:sz w:val="24"/>
          <w:szCs w:val="24"/>
        </w:rPr>
        <w:t xml:space="preserve"> (“BBBCR”)</w:t>
      </w:r>
    </w:p>
    <w:p w:rsidR="00D32315" w:rsidRDefault="00972D23" w:rsidP="00D32315">
      <w:pPr>
        <w:pStyle w:val="ListParagraph"/>
        <w:numPr>
          <w:ilvl w:val="0"/>
          <w:numId w:val="20"/>
        </w:numPr>
        <w:spacing w:line="240" w:lineRule="auto"/>
        <w:rPr>
          <w:rFonts w:ascii="Times New Roman" w:hAnsi="Times New Roman"/>
          <w:sz w:val="24"/>
          <w:szCs w:val="24"/>
        </w:rPr>
      </w:pPr>
      <w:r w:rsidRPr="00D32315">
        <w:rPr>
          <w:rFonts w:ascii="Times New Roman" w:hAnsi="Times New Roman"/>
          <w:sz w:val="24"/>
          <w:szCs w:val="24"/>
        </w:rPr>
        <w:t>Dow Jones Index</w:t>
      </w:r>
      <w:r w:rsidR="002347C3">
        <w:rPr>
          <w:rFonts w:ascii="Times New Roman" w:hAnsi="Times New Roman"/>
          <w:sz w:val="24"/>
          <w:szCs w:val="24"/>
        </w:rPr>
        <w:t xml:space="preserve"> (“D</w:t>
      </w:r>
      <w:r w:rsidR="00046BD4">
        <w:rPr>
          <w:rFonts w:ascii="Times New Roman" w:hAnsi="Times New Roman"/>
          <w:sz w:val="24"/>
          <w:szCs w:val="24"/>
        </w:rPr>
        <w:t>J</w:t>
      </w:r>
      <w:r w:rsidR="00C06B21">
        <w:rPr>
          <w:rFonts w:ascii="Times New Roman" w:hAnsi="Times New Roman"/>
          <w:sz w:val="24"/>
          <w:szCs w:val="24"/>
        </w:rPr>
        <w:t>I</w:t>
      </w:r>
      <w:r w:rsidR="002347C3">
        <w:rPr>
          <w:rFonts w:ascii="Times New Roman" w:hAnsi="Times New Roman"/>
          <w:sz w:val="24"/>
          <w:szCs w:val="24"/>
        </w:rPr>
        <w:t>”)</w:t>
      </w:r>
    </w:p>
    <w:p w:rsidR="00D32315" w:rsidRDefault="00972D23" w:rsidP="00D32315">
      <w:pPr>
        <w:pStyle w:val="ListParagraph"/>
        <w:numPr>
          <w:ilvl w:val="0"/>
          <w:numId w:val="20"/>
        </w:numPr>
        <w:spacing w:line="240" w:lineRule="auto"/>
        <w:rPr>
          <w:rFonts w:ascii="Times New Roman" w:hAnsi="Times New Roman"/>
          <w:sz w:val="24"/>
          <w:szCs w:val="24"/>
        </w:rPr>
      </w:pPr>
      <w:r w:rsidRPr="00D32315">
        <w:rPr>
          <w:rFonts w:ascii="Times New Roman" w:hAnsi="Times New Roman"/>
          <w:sz w:val="24"/>
          <w:szCs w:val="24"/>
        </w:rPr>
        <w:t>National House Price Index</w:t>
      </w:r>
      <w:r w:rsidR="002347C3">
        <w:rPr>
          <w:rFonts w:ascii="Times New Roman" w:hAnsi="Times New Roman"/>
          <w:sz w:val="24"/>
          <w:szCs w:val="24"/>
        </w:rPr>
        <w:t xml:space="preserve"> (“HPI”)</w:t>
      </w:r>
      <w:r w:rsidRPr="00D32315">
        <w:rPr>
          <w:rFonts w:ascii="Times New Roman" w:hAnsi="Times New Roman"/>
          <w:sz w:val="24"/>
          <w:szCs w:val="24"/>
        </w:rPr>
        <w:t xml:space="preserve"> </w:t>
      </w:r>
    </w:p>
    <w:p w:rsidR="00A9498C" w:rsidRDefault="00A9498C" w:rsidP="00A9498C">
      <w:pPr>
        <w:spacing w:line="240" w:lineRule="auto"/>
        <w:jc w:val="both"/>
        <w:rPr>
          <w:rFonts w:ascii="Times New Roman" w:hAnsi="Times New Roman"/>
          <w:sz w:val="24"/>
          <w:szCs w:val="24"/>
        </w:rPr>
      </w:pPr>
      <w:r w:rsidRPr="00D32315">
        <w:rPr>
          <w:rFonts w:ascii="Times New Roman" w:hAnsi="Times New Roman"/>
          <w:sz w:val="24"/>
          <w:szCs w:val="24"/>
        </w:rPr>
        <w:t xml:space="preserve">In CCAR 2012, the number of </w:t>
      </w:r>
      <w:r>
        <w:rPr>
          <w:rFonts w:ascii="Times New Roman" w:hAnsi="Times New Roman"/>
          <w:sz w:val="24"/>
          <w:szCs w:val="24"/>
        </w:rPr>
        <w:t>MV</w:t>
      </w:r>
      <w:r w:rsidRPr="00D32315">
        <w:rPr>
          <w:rFonts w:ascii="Times New Roman" w:hAnsi="Times New Roman"/>
          <w:sz w:val="24"/>
          <w:szCs w:val="24"/>
        </w:rPr>
        <w:t xml:space="preserve">s that defined the supervisory stress scenario increased to 14. </w:t>
      </w:r>
      <w:r>
        <w:rPr>
          <w:rFonts w:ascii="Times New Roman" w:hAnsi="Times New Roman"/>
          <w:sz w:val="24"/>
          <w:szCs w:val="24"/>
        </w:rPr>
        <w:t xml:space="preserve"> In addition to</w:t>
      </w:r>
      <w:r w:rsidRPr="00D32315">
        <w:rPr>
          <w:rFonts w:ascii="Times New Roman" w:hAnsi="Times New Roman"/>
          <w:sz w:val="24"/>
          <w:szCs w:val="24"/>
        </w:rPr>
        <w:t xml:space="preserve"> the original nine variables, the added variables were</w:t>
      </w:r>
      <w:r>
        <w:rPr>
          <w:rFonts w:ascii="Times New Roman" w:hAnsi="Times New Roman"/>
          <w:sz w:val="24"/>
          <w:szCs w:val="24"/>
        </w:rPr>
        <w:t>:</w:t>
      </w:r>
    </w:p>
    <w:p w:rsidR="00A9498C" w:rsidRDefault="00A9498C" w:rsidP="00A9498C">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Real</w:t>
      </w:r>
      <w:r w:rsidRPr="00D32315">
        <w:rPr>
          <w:rFonts w:ascii="Times New Roman" w:hAnsi="Times New Roman"/>
          <w:sz w:val="24"/>
          <w:szCs w:val="24"/>
        </w:rPr>
        <w:t xml:space="preserve"> GDP </w:t>
      </w:r>
      <w:r>
        <w:rPr>
          <w:rFonts w:ascii="Times New Roman" w:hAnsi="Times New Roman"/>
          <w:sz w:val="24"/>
          <w:szCs w:val="24"/>
        </w:rPr>
        <w:t>G</w:t>
      </w:r>
      <w:r w:rsidRPr="00D32315">
        <w:rPr>
          <w:rFonts w:ascii="Times New Roman" w:hAnsi="Times New Roman"/>
          <w:sz w:val="24"/>
          <w:szCs w:val="24"/>
        </w:rPr>
        <w:t>rowth</w:t>
      </w:r>
      <w:r>
        <w:rPr>
          <w:rFonts w:ascii="Times New Roman" w:hAnsi="Times New Roman"/>
          <w:sz w:val="24"/>
          <w:szCs w:val="24"/>
        </w:rPr>
        <w:t xml:space="preserve"> (“RGDPG”)</w:t>
      </w:r>
    </w:p>
    <w:p w:rsidR="00A9498C" w:rsidRDefault="00A9498C" w:rsidP="00A9498C">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N</w:t>
      </w:r>
      <w:r w:rsidRPr="00D32315">
        <w:rPr>
          <w:rFonts w:ascii="Times New Roman" w:hAnsi="Times New Roman"/>
          <w:sz w:val="24"/>
          <w:szCs w:val="24"/>
        </w:rPr>
        <w:t xml:space="preserve">ominal </w:t>
      </w:r>
      <w:r>
        <w:rPr>
          <w:rFonts w:ascii="Times New Roman" w:hAnsi="Times New Roman"/>
          <w:sz w:val="24"/>
          <w:szCs w:val="24"/>
        </w:rPr>
        <w:t>D</w:t>
      </w:r>
      <w:r w:rsidRPr="00D32315">
        <w:rPr>
          <w:rFonts w:ascii="Times New Roman" w:hAnsi="Times New Roman"/>
          <w:sz w:val="24"/>
          <w:szCs w:val="24"/>
        </w:rPr>
        <w:t xml:space="preserve">isposable </w:t>
      </w:r>
      <w:r>
        <w:rPr>
          <w:rFonts w:ascii="Times New Roman" w:hAnsi="Times New Roman"/>
          <w:sz w:val="24"/>
          <w:szCs w:val="24"/>
        </w:rPr>
        <w:t>I</w:t>
      </w:r>
      <w:r w:rsidRPr="00D32315">
        <w:rPr>
          <w:rFonts w:ascii="Times New Roman" w:hAnsi="Times New Roman"/>
          <w:sz w:val="24"/>
          <w:szCs w:val="24"/>
        </w:rPr>
        <w:t xml:space="preserve">ncome </w:t>
      </w:r>
      <w:r>
        <w:rPr>
          <w:rFonts w:ascii="Times New Roman" w:hAnsi="Times New Roman"/>
          <w:sz w:val="24"/>
          <w:szCs w:val="24"/>
        </w:rPr>
        <w:t>G</w:t>
      </w:r>
      <w:r w:rsidRPr="00D32315">
        <w:rPr>
          <w:rFonts w:ascii="Times New Roman" w:hAnsi="Times New Roman"/>
          <w:sz w:val="24"/>
          <w:szCs w:val="24"/>
        </w:rPr>
        <w:t>rowth</w:t>
      </w:r>
      <w:r>
        <w:rPr>
          <w:rFonts w:ascii="Times New Roman" w:hAnsi="Times New Roman"/>
          <w:sz w:val="24"/>
          <w:szCs w:val="24"/>
        </w:rPr>
        <w:t xml:space="preserve"> (“NDPIG”)</w:t>
      </w:r>
    </w:p>
    <w:p w:rsidR="00A9498C" w:rsidRDefault="00A9498C" w:rsidP="00A9498C">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M</w:t>
      </w:r>
      <w:r w:rsidRPr="00D32315">
        <w:rPr>
          <w:rFonts w:ascii="Times New Roman" w:hAnsi="Times New Roman"/>
          <w:sz w:val="24"/>
          <w:szCs w:val="24"/>
        </w:rPr>
        <w:t xml:space="preserve">ortgage </w:t>
      </w:r>
      <w:r>
        <w:rPr>
          <w:rFonts w:ascii="Times New Roman" w:hAnsi="Times New Roman"/>
          <w:sz w:val="24"/>
          <w:szCs w:val="24"/>
        </w:rPr>
        <w:t>R</w:t>
      </w:r>
      <w:r w:rsidRPr="00D32315">
        <w:rPr>
          <w:rFonts w:ascii="Times New Roman" w:hAnsi="Times New Roman"/>
          <w:sz w:val="24"/>
          <w:szCs w:val="24"/>
        </w:rPr>
        <w:t>ate</w:t>
      </w:r>
      <w:r>
        <w:rPr>
          <w:rFonts w:ascii="Times New Roman" w:hAnsi="Times New Roman"/>
          <w:sz w:val="24"/>
          <w:szCs w:val="24"/>
        </w:rPr>
        <w:t xml:space="preserve"> (“MR”)</w:t>
      </w:r>
    </w:p>
    <w:p w:rsidR="00A9498C" w:rsidRDefault="00A9498C" w:rsidP="00A9498C">
      <w:pPr>
        <w:pStyle w:val="ListParagraph"/>
        <w:numPr>
          <w:ilvl w:val="0"/>
          <w:numId w:val="21"/>
        </w:numPr>
        <w:spacing w:line="240" w:lineRule="auto"/>
        <w:rPr>
          <w:rFonts w:ascii="Times New Roman" w:hAnsi="Times New Roman"/>
          <w:sz w:val="24"/>
          <w:szCs w:val="24"/>
        </w:rPr>
      </w:pPr>
      <w:r>
        <w:rPr>
          <w:rFonts w:ascii="Times New Roman" w:hAnsi="Times New Roman"/>
          <w:sz w:val="24"/>
          <w:szCs w:val="24"/>
        </w:rPr>
        <w:t>CBOE’s</w:t>
      </w:r>
      <w:r w:rsidRPr="00D32315">
        <w:rPr>
          <w:rFonts w:ascii="Times New Roman" w:hAnsi="Times New Roman"/>
          <w:sz w:val="24"/>
          <w:szCs w:val="24"/>
        </w:rPr>
        <w:t xml:space="preserve"> Market Volatility Index</w:t>
      </w:r>
      <w:r>
        <w:rPr>
          <w:rFonts w:ascii="Times New Roman" w:hAnsi="Times New Roman"/>
          <w:sz w:val="24"/>
          <w:szCs w:val="24"/>
        </w:rPr>
        <w:t xml:space="preserve"> (“VIX”)</w:t>
      </w:r>
    </w:p>
    <w:p w:rsidR="00A9498C" w:rsidRPr="00D32315" w:rsidRDefault="00A9498C" w:rsidP="00A9498C">
      <w:pPr>
        <w:pStyle w:val="ListParagraph"/>
        <w:numPr>
          <w:ilvl w:val="0"/>
          <w:numId w:val="21"/>
        </w:numPr>
        <w:spacing w:line="240" w:lineRule="auto"/>
        <w:rPr>
          <w:rFonts w:ascii="Times New Roman" w:hAnsi="Times New Roman"/>
          <w:sz w:val="24"/>
          <w:szCs w:val="24"/>
        </w:rPr>
      </w:pPr>
      <w:r w:rsidRPr="00D32315">
        <w:rPr>
          <w:rFonts w:ascii="Times New Roman" w:hAnsi="Times New Roman"/>
          <w:sz w:val="24"/>
          <w:szCs w:val="24"/>
        </w:rPr>
        <w:t>Commercial Real Estate Price Index (</w:t>
      </w:r>
      <w:r>
        <w:rPr>
          <w:rFonts w:ascii="Times New Roman" w:hAnsi="Times New Roman"/>
          <w:sz w:val="24"/>
          <w:szCs w:val="24"/>
        </w:rPr>
        <w:t>“</w:t>
      </w:r>
      <w:r w:rsidRPr="00D32315">
        <w:rPr>
          <w:rFonts w:ascii="Times New Roman" w:hAnsi="Times New Roman"/>
          <w:sz w:val="24"/>
          <w:szCs w:val="24"/>
        </w:rPr>
        <w:t>C</w:t>
      </w:r>
      <w:r>
        <w:rPr>
          <w:rFonts w:ascii="Times New Roman" w:hAnsi="Times New Roman"/>
          <w:sz w:val="24"/>
          <w:szCs w:val="24"/>
        </w:rPr>
        <w:t>RE</w:t>
      </w:r>
      <w:r w:rsidRPr="00D32315">
        <w:rPr>
          <w:rFonts w:ascii="Times New Roman" w:hAnsi="Times New Roman"/>
          <w:sz w:val="24"/>
          <w:szCs w:val="24"/>
        </w:rPr>
        <w:t>PI</w:t>
      </w:r>
      <w:r>
        <w:rPr>
          <w:rFonts w:ascii="Times New Roman" w:hAnsi="Times New Roman"/>
          <w:sz w:val="24"/>
          <w:szCs w:val="24"/>
        </w:rPr>
        <w:t>”</w:t>
      </w:r>
      <w:r w:rsidRPr="00D32315">
        <w:rPr>
          <w:rFonts w:ascii="Times New Roman" w:hAnsi="Times New Roman"/>
          <w:sz w:val="24"/>
          <w:szCs w:val="24"/>
        </w:rPr>
        <w:t xml:space="preserve">) </w:t>
      </w:r>
    </w:p>
    <w:p w:rsidR="00D7067C" w:rsidRPr="00D7067C" w:rsidRDefault="00D7067C" w:rsidP="00D7067C">
      <w:pPr>
        <w:spacing w:line="240" w:lineRule="auto"/>
        <w:jc w:val="both"/>
        <w:rPr>
          <w:rFonts w:ascii="Times New Roman" w:hAnsi="Times New Roman"/>
          <w:sz w:val="24"/>
          <w:szCs w:val="24"/>
        </w:rPr>
      </w:pPr>
      <w:r>
        <w:rPr>
          <w:rFonts w:ascii="Times New Roman" w:hAnsi="Times New Roman"/>
          <w:sz w:val="24"/>
          <w:szCs w:val="24"/>
        </w:rPr>
        <w:t>F</w:t>
      </w:r>
      <w:r w:rsidRPr="00D32315">
        <w:rPr>
          <w:rFonts w:ascii="Times New Roman" w:hAnsi="Times New Roman"/>
          <w:sz w:val="24"/>
          <w:szCs w:val="24"/>
        </w:rPr>
        <w:t>or CCAR 2013, the Federal Reserve System use</w:t>
      </w:r>
      <w:r>
        <w:rPr>
          <w:rFonts w:ascii="Times New Roman" w:hAnsi="Times New Roman"/>
          <w:sz w:val="24"/>
          <w:szCs w:val="24"/>
        </w:rPr>
        <w:t>d</w:t>
      </w:r>
      <w:r w:rsidRPr="00D32315">
        <w:rPr>
          <w:rFonts w:ascii="Times New Roman" w:hAnsi="Times New Roman"/>
          <w:sz w:val="24"/>
          <w:szCs w:val="24"/>
        </w:rPr>
        <w:t xml:space="preserve"> the same set of variables to define the supervisory adverse scenario as in 2012.</w:t>
      </w:r>
      <w:r>
        <w:rPr>
          <w:rFonts w:ascii="Times New Roman" w:hAnsi="Times New Roman"/>
          <w:sz w:val="24"/>
          <w:szCs w:val="24"/>
        </w:rPr>
        <w:t xml:space="preserve">  </w:t>
      </w:r>
      <w:r w:rsidRPr="00D32315">
        <w:rPr>
          <w:rFonts w:ascii="Times New Roman" w:hAnsi="Times New Roman"/>
          <w:sz w:val="24"/>
          <w:szCs w:val="24"/>
        </w:rPr>
        <w:t>Additionally, there is another set of 12 international macroeconomic variables, three macroeconomic variables and four countries</w:t>
      </w:r>
      <w:r>
        <w:rPr>
          <w:rFonts w:ascii="Times New Roman" w:hAnsi="Times New Roman"/>
          <w:sz w:val="24"/>
          <w:szCs w:val="24"/>
        </w:rPr>
        <w:t xml:space="preserve"> </w:t>
      </w:r>
      <w:r w:rsidRPr="00D32315">
        <w:rPr>
          <w:rFonts w:ascii="Times New Roman" w:hAnsi="Times New Roman"/>
          <w:sz w:val="24"/>
          <w:szCs w:val="24"/>
        </w:rPr>
        <w:t>/ country blocks, included in the supervisory stress scenario.</w:t>
      </w:r>
      <w:r>
        <w:rPr>
          <w:rFonts w:ascii="Times New Roman" w:hAnsi="Times New Roman"/>
          <w:sz w:val="24"/>
          <w:szCs w:val="24"/>
        </w:rPr>
        <w:t xml:space="preserve">  For the purposes of this research, l</w:t>
      </w:r>
      <w:r w:rsidRPr="00972D23">
        <w:rPr>
          <w:rFonts w:ascii="Times New Roman" w:hAnsi="Times New Roman"/>
          <w:sz w:val="24"/>
          <w:szCs w:val="24"/>
        </w:rPr>
        <w:t xml:space="preserve">et us consider the supervisory </w:t>
      </w:r>
      <w:r>
        <w:rPr>
          <w:rFonts w:ascii="Times New Roman" w:hAnsi="Times New Roman"/>
          <w:sz w:val="24"/>
          <w:szCs w:val="24"/>
        </w:rPr>
        <w:t xml:space="preserve">base and </w:t>
      </w:r>
      <w:r w:rsidRPr="00972D23">
        <w:rPr>
          <w:rFonts w:ascii="Times New Roman" w:hAnsi="Times New Roman"/>
          <w:sz w:val="24"/>
          <w:szCs w:val="24"/>
        </w:rPr>
        <w:t>severely adverse scenario in 201</w:t>
      </w:r>
      <w:r>
        <w:rPr>
          <w:rFonts w:ascii="Times New Roman" w:hAnsi="Times New Roman"/>
          <w:sz w:val="24"/>
          <w:szCs w:val="24"/>
        </w:rPr>
        <w:t xml:space="preserve">5.  </w:t>
      </w:r>
      <w:r w:rsidRPr="00D32315">
        <w:rPr>
          <w:rFonts w:ascii="Times New Roman" w:hAnsi="Times New Roman"/>
          <w:sz w:val="24"/>
          <w:szCs w:val="24"/>
        </w:rPr>
        <w:t xml:space="preserve"> </w:t>
      </w:r>
      <w:r>
        <w:rPr>
          <w:rFonts w:ascii="Times New Roman" w:hAnsi="Times New Roman"/>
          <w:sz w:val="24"/>
          <w:szCs w:val="24"/>
        </w:rPr>
        <w:t xml:space="preserve"> </w:t>
      </w:r>
    </w:p>
    <w:p w:rsidR="00D7067C" w:rsidRDefault="00D7067C" w:rsidP="00D7067C">
      <w:pPr>
        <w:spacing w:line="240" w:lineRule="auto"/>
        <w:jc w:val="both"/>
        <w:rPr>
          <w:rFonts w:ascii="Times New Roman" w:hAnsi="Times New Roman"/>
          <w:sz w:val="24"/>
          <w:szCs w:val="24"/>
        </w:rPr>
      </w:pPr>
      <w:r>
        <w:rPr>
          <w:rFonts w:ascii="Times New Roman" w:hAnsi="Times New Roman"/>
          <w:sz w:val="24"/>
          <w:szCs w:val="24"/>
        </w:rPr>
        <w:lastRenderedPageBreak/>
        <w:t>Our model selection process imposed the following criteria in selecting input and output variables across both multiple VARMAX and univariate ARMAX models</w:t>
      </w:r>
      <w:r>
        <w:rPr>
          <w:rStyle w:val="FootnoteReference"/>
          <w:rFonts w:ascii="Times New Roman" w:hAnsi="Times New Roman"/>
          <w:sz w:val="24"/>
          <w:szCs w:val="24"/>
        </w:rPr>
        <w:footnoteReference w:id="5"/>
      </w:r>
      <w:r>
        <w:rPr>
          <w:rFonts w:ascii="Times New Roman" w:hAnsi="Times New Roman"/>
          <w:sz w:val="24"/>
          <w:szCs w:val="24"/>
        </w:rPr>
        <w:t>:</w:t>
      </w:r>
    </w:p>
    <w:p w:rsidR="00D7067C" w:rsidRDefault="00D7067C" w:rsidP="00D7067C">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Transformations of chosen variables should indicate stationarity</w:t>
      </w:r>
    </w:p>
    <w:p w:rsidR="00D7067C" w:rsidRDefault="00D7067C" w:rsidP="00D7067C">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Signs of coefficient estimates are economically intuitive</w:t>
      </w:r>
    </w:p>
    <w:p w:rsidR="00D7067C" w:rsidRDefault="00D7067C" w:rsidP="00D7067C">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Probability values of coefficient estimates indicate statistical significance at conventional confidence levels</w:t>
      </w:r>
    </w:p>
    <w:p w:rsidR="00D7067C" w:rsidRDefault="00D7067C" w:rsidP="00D7067C">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Residual diagnostics indicate white noise behavior</w:t>
      </w:r>
    </w:p>
    <w:p w:rsidR="00D7067C" w:rsidRDefault="00D7067C" w:rsidP="00D7067C">
      <w:pPr>
        <w:pStyle w:val="ListParagraph"/>
        <w:numPr>
          <w:ilvl w:val="0"/>
          <w:numId w:val="31"/>
        </w:numPr>
        <w:spacing w:line="240" w:lineRule="auto"/>
        <w:jc w:val="both"/>
        <w:rPr>
          <w:rFonts w:ascii="Times New Roman" w:hAnsi="Times New Roman"/>
          <w:sz w:val="24"/>
          <w:szCs w:val="24"/>
        </w:rPr>
      </w:pPr>
      <w:r>
        <w:rPr>
          <w:rFonts w:ascii="Times New Roman" w:hAnsi="Times New Roman"/>
          <w:sz w:val="24"/>
          <w:szCs w:val="24"/>
        </w:rPr>
        <w:t>Model performance metrics (goodness of fit, risk ranking and cumulative error measures) are within industry accepted thresholds of acceptability Scenarios rank order intuitively (i.e., severely adverse scenario stress losses exceeding scenario base expected losses)</w:t>
      </w:r>
    </w:p>
    <w:p w:rsidR="00D7067C" w:rsidRDefault="00D7067C" w:rsidP="00D7067C">
      <w:pPr>
        <w:spacing w:line="240" w:lineRule="auto"/>
        <w:jc w:val="both"/>
        <w:rPr>
          <w:rFonts w:ascii="Times New Roman" w:hAnsi="Times New Roman"/>
          <w:sz w:val="24"/>
          <w:szCs w:val="24"/>
        </w:rPr>
      </w:pPr>
      <w:r>
        <w:rPr>
          <w:rFonts w:ascii="Times New Roman" w:hAnsi="Times New Roman"/>
          <w:sz w:val="24"/>
          <w:szCs w:val="24"/>
        </w:rPr>
        <w:t>A diverse set of macroeconomic drivers representing varied dimensions of the economic environment, and a sufficient number of drivers) balancing the consideration of avoiding over-fitting) by industry standards (i.e., at least 2-3 and no more than 5-7 independent variables).</w:t>
      </w:r>
      <w:r w:rsidRPr="00D7067C">
        <w:rPr>
          <w:rFonts w:ascii="Times New Roman" w:hAnsi="Times New Roman"/>
          <w:sz w:val="24"/>
          <w:szCs w:val="24"/>
        </w:rPr>
        <w:t xml:space="preserve"> </w:t>
      </w:r>
      <w:r>
        <w:rPr>
          <w:rFonts w:ascii="Times New Roman" w:hAnsi="Times New Roman"/>
          <w:sz w:val="24"/>
          <w:szCs w:val="24"/>
        </w:rPr>
        <w:t xml:space="preserve"> According to these criteria, we identify the optimal set focusing of 5 of the 9 most commonly used national Fed CCAR MVs as input variables in the VARMAX model:</w:t>
      </w:r>
    </w:p>
    <w:p w:rsidR="00D7067C" w:rsidRDefault="00D7067C" w:rsidP="00D7067C">
      <w:pPr>
        <w:pStyle w:val="ListParagraph"/>
        <w:numPr>
          <w:ilvl w:val="0"/>
          <w:numId w:val="22"/>
        </w:numPr>
        <w:spacing w:line="240" w:lineRule="auto"/>
        <w:rPr>
          <w:rFonts w:ascii="Times New Roman" w:hAnsi="Times New Roman"/>
          <w:sz w:val="24"/>
          <w:szCs w:val="24"/>
        </w:rPr>
      </w:pPr>
      <w:r>
        <w:rPr>
          <w:rFonts w:ascii="Times New Roman" w:hAnsi="Times New Roman"/>
          <w:sz w:val="24"/>
          <w:szCs w:val="24"/>
        </w:rPr>
        <w:t>Real</w:t>
      </w:r>
      <w:r w:rsidRPr="00D32315">
        <w:rPr>
          <w:rFonts w:ascii="Times New Roman" w:hAnsi="Times New Roman"/>
          <w:sz w:val="24"/>
          <w:szCs w:val="24"/>
        </w:rPr>
        <w:t xml:space="preserve"> G</w:t>
      </w:r>
      <w:r>
        <w:rPr>
          <w:rFonts w:ascii="Times New Roman" w:hAnsi="Times New Roman"/>
          <w:sz w:val="24"/>
          <w:szCs w:val="24"/>
        </w:rPr>
        <w:t>ross Domestic</w:t>
      </w:r>
      <w:r w:rsidRPr="00D32315">
        <w:rPr>
          <w:rFonts w:ascii="Times New Roman" w:hAnsi="Times New Roman"/>
          <w:sz w:val="24"/>
          <w:szCs w:val="24"/>
        </w:rPr>
        <w:t xml:space="preserve"> </w:t>
      </w:r>
      <w:r>
        <w:rPr>
          <w:rFonts w:ascii="Times New Roman" w:hAnsi="Times New Roman"/>
          <w:sz w:val="24"/>
          <w:szCs w:val="24"/>
        </w:rPr>
        <w:t>Investment (“RDIG”)</w:t>
      </w:r>
    </w:p>
    <w:p w:rsidR="00D7067C" w:rsidRDefault="00D7067C" w:rsidP="00D7067C">
      <w:pPr>
        <w:pStyle w:val="ListParagraph"/>
        <w:numPr>
          <w:ilvl w:val="0"/>
          <w:numId w:val="22"/>
        </w:numPr>
        <w:spacing w:line="240" w:lineRule="auto"/>
        <w:rPr>
          <w:rFonts w:ascii="Times New Roman" w:hAnsi="Times New Roman"/>
          <w:sz w:val="24"/>
          <w:szCs w:val="24"/>
        </w:rPr>
      </w:pPr>
      <w:r>
        <w:rPr>
          <w:rFonts w:ascii="Times New Roman" w:hAnsi="Times New Roman"/>
          <w:sz w:val="24"/>
          <w:szCs w:val="24"/>
        </w:rPr>
        <w:t>U</w:t>
      </w:r>
      <w:r w:rsidRPr="00D32315">
        <w:rPr>
          <w:rFonts w:ascii="Times New Roman" w:hAnsi="Times New Roman"/>
          <w:sz w:val="24"/>
          <w:szCs w:val="24"/>
        </w:rPr>
        <w:t xml:space="preserve">nemployment </w:t>
      </w:r>
      <w:r>
        <w:rPr>
          <w:rFonts w:ascii="Times New Roman" w:hAnsi="Times New Roman"/>
          <w:sz w:val="24"/>
          <w:szCs w:val="24"/>
        </w:rPr>
        <w:t>R</w:t>
      </w:r>
      <w:r w:rsidRPr="00D32315">
        <w:rPr>
          <w:rFonts w:ascii="Times New Roman" w:hAnsi="Times New Roman"/>
          <w:sz w:val="24"/>
          <w:szCs w:val="24"/>
        </w:rPr>
        <w:t>ate</w:t>
      </w:r>
      <w:r>
        <w:rPr>
          <w:rFonts w:ascii="Times New Roman" w:hAnsi="Times New Roman"/>
          <w:sz w:val="24"/>
          <w:szCs w:val="24"/>
        </w:rPr>
        <w:t xml:space="preserve"> (“UNEMP”)</w:t>
      </w:r>
    </w:p>
    <w:p w:rsidR="00D7067C" w:rsidRDefault="00D7067C" w:rsidP="00D7067C">
      <w:pPr>
        <w:pStyle w:val="ListParagraph"/>
        <w:numPr>
          <w:ilvl w:val="0"/>
          <w:numId w:val="22"/>
        </w:numPr>
        <w:spacing w:line="240" w:lineRule="auto"/>
        <w:rPr>
          <w:rFonts w:ascii="Times New Roman" w:hAnsi="Times New Roman"/>
          <w:sz w:val="24"/>
          <w:szCs w:val="24"/>
        </w:rPr>
      </w:pPr>
      <w:r>
        <w:rPr>
          <w:rFonts w:ascii="Times New Roman" w:hAnsi="Times New Roman"/>
          <w:sz w:val="24"/>
          <w:szCs w:val="24"/>
        </w:rPr>
        <w:t>Commercial Real Estate Price Index (“CREPI”)</w:t>
      </w:r>
    </w:p>
    <w:p w:rsidR="00D7067C" w:rsidRDefault="00D7067C" w:rsidP="00D7067C">
      <w:pPr>
        <w:pStyle w:val="ListParagraph"/>
        <w:numPr>
          <w:ilvl w:val="0"/>
          <w:numId w:val="22"/>
        </w:numPr>
        <w:spacing w:line="240" w:lineRule="auto"/>
        <w:rPr>
          <w:rFonts w:ascii="Times New Roman" w:hAnsi="Times New Roman"/>
          <w:sz w:val="24"/>
          <w:szCs w:val="24"/>
        </w:rPr>
      </w:pPr>
      <w:r w:rsidRPr="00D32315">
        <w:rPr>
          <w:rFonts w:ascii="Times New Roman" w:hAnsi="Times New Roman"/>
          <w:sz w:val="24"/>
          <w:szCs w:val="24"/>
        </w:rPr>
        <w:t xml:space="preserve">BBB </w:t>
      </w:r>
      <w:r>
        <w:rPr>
          <w:rFonts w:ascii="Times New Roman" w:hAnsi="Times New Roman"/>
          <w:sz w:val="24"/>
          <w:szCs w:val="24"/>
        </w:rPr>
        <w:t>C</w:t>
      </w:r>
      <w:r w:rsidRPr="00D32315">
        <w:rPr>
          <w:rFonts w:ascii="Times New Roman" w:hAnsi="Times New Roman"/>
          <w:sz w:val="24"/>
          <w:szCs w:val="24"/>
        </w:rPr>
        <w:t xml:space="preserve">orporate </w:t>
      </w:r>
      <w:r>
        <w:rPr>
          <w:rFonts w:ascii="Times New Roman" w:hAnsi="Times New Roman"/>
          <w:sz w:val="24"/>
          <w:szCs w:val="24"/>
        </w:rPr>
        <w:t>Credit Spread (“BBBCS”)</w:t>
      </w:r>
    </w:p>
    <w:p w:rsidR="007D2BD9" w:rsidRDefault="00D7067C" w:rsidP="007D2BD9">
      <w:pPr>
        <w:pStyle w:val="ListParagraph"/>
        <w:numPr>
          <w:ilvl w:val="0"/>
          <w:numId w:val="22"/>
        </w:numPr>
        <w:spacing w:line="240" w:lineRule="auto"/>
        <w:rPr>
          <w:rFonts w:ascii="Times New Roman" w:hAnsi="Times New Roman"/>
          <w:sz w:val="24"/>
          <w:szCs w:val="24"/>
        </w:rPr>
      </w:pPr>
      <w:r>
        <w:rPr>
          <w:rFonts w:ascii="Times New Roman" w:hAnsi="Times New Roman"/>
          <w:sz w:val="24"/>
          <w:szCs w:val="24"/>
        </w:rPr>
        <w:t>CBOE’s</w:t>
      </w:r>
      <w:r w:rsidRPr="00D32315">
        <w:rPr>
          <w:rFonts w:ascii="Times New Roman" w:hAnsi="Times New Roman"/>
          <w:sz w:val="24"/>
          <w:szCs w:val="24"/>
        </w:rPr>
        <w:t xml:space="preserve"> Market Volatility Index</w:t>
      </w:r>
      <w:r>
        <w:rPr>
          <w:rFonts w:ascii="Times New Roman" w:hAnsi="Times New Roman"/>
          <w:sz w:val="24"/>
          <w:szCs w:val="24"/>
        </w:rPr>
        <w:t xml:space="preserve"> (“VIX”)</w:t>
      </w:r>
    </w:p>
    <w:p w:rsidR="007D2BD9" w:rsidRDefault="007D2BD9" w:rsidP="007D2BD9">
      <w:pPr>
        <w:pStyle w:val="ListParagraph"/>
        <w:spacing w:line="240" w:lineRule="auto"/>
        <w:rPr>
          <w:rFonts w:ascii="Times New Roman" w:hAnsi="Times New Roman"/>
          <w:sz w:val="24"/>
          <w:szCs w:val="24"/>
        </w:rPr>
      </w:pPr>
    </w:p>
    <w:p w:rsidR="007D2BD9" w:rsidRDefault="007D2BD9" w:rsidP="007D2BD9">
      <w:pPr>
        <w:jc w:val="both"/>
        <w:rPr>
          <w:rFonts w:ascii="Times New Roman" w:hAnsi="Times New Roman"/>
          <w:sz w:val="24"/>
          <w:szCs w:val="24"/>
        </w:rPr>
      </w:pPr>
      <w:r>
        <w:rPr>
          <w:rFonts w:ascii="Times New Roman" w:hAnsi="Times New Roman"/>
          <w:sz w:val="24"/>
          <w:szCs w:val="24"/>
        </w:rPr>
        <w:t>Similarly, we identify the following loss segments (with loss measured by Gross Charge-offs – “GCOs”) according to the same criteria, in conjunction with the requirement that they cover the most prevalent portfolio types in typical traditional banking institutions:</w:t>
      </w:r>
    </w:p>
    <w:p w:rsidR="007D2BD9" w:rsidRDefault="007D2BD9" w:rsidP="007D2BD9">
      <w:pPr>
        <w:pStyle w:val="ListParagraph"/>
        <w:numPr>
          <w:ilvl w:val="0"/>
          <w:numId w:val="32"/>
        </w:numPr>
        <w:rPr>
          <w:rFonts w:ascii="Times New Roman" w:hAnsi="Times New Roman"/>
          <w:sz w:val="24"/>
          <w:szCs w:val="24"/>
        </w:rPr>
      </w:pPr>
      <w:r>
        <w:rPr>
          <w:rFonts w:ascii="Times New Roman" w:hAnsi="Times New Roman"/>
          <w:sz w:val="24"/>
          <w:szCs w:val="24"/>
        </w:rPr>
        <w:t>Residential Real Estate (“RESI”)</w:t>
      </w:r>
    </w:p>
    <w:p w:rsidR="007D2BD9" w:rsidRDefault="007D2BD9" w:rsidP="007D2BD9">
      <w:pPr>
        <w:pStyle w:val="ListParagraph"/>
        <w:numPr>
          <w:ilvl w:val="0"/>
          <w:numId w:val="32"/>
        </w:numPr>
        <w:rPr>
          <w:rFonts w:ascii="Times New Roman" w:hAnsi="Times New Roman"/>
          <w:sz w:val="24"/>
          <w:szCs w:val="24"/>
        </w:rPr>
      </w:pPr>
      <w:r>
        <w:rPr>
          <w:rFonts w:ascii="Times New Roman" w:hAnsi="Times New Roman"/>
          <w:sz w:val="24"/>
          <w:szCs w:val="24"/>
        </w:rPr>
        <w:t>Commercial Real Estate (“CRE”)</w:t>
      </w:r>
    </w:p>
    <w:p w:rsidR="007D2BD9" w:rsidRDefault="007D2BD9" w:rsidP="007D2BD9">
      <w:pPr>
        <w:pStyle w:val="ListParagraph"/>
        <w:numPr>
          <w:ilvl w:val="0"/>
          <w:numId w:val="32"/>
        </w:numPr>
        <w:rPr>
          <w:rFonts w:ascii="Times New Roman" w:hAnsi="Times New Roman"/>
          <w:sz w:val="24"/>
          <w:szCs w:val="24"/>
        </w:rPr>
      </w:pPr>
      <w:r>
        <w:rPr>
          <w:rFonts w:ascii="Times New Roman" w:hAnsi="Times New Roman"/>
          <w:sz w:val="24"/>
          <w:szCs w:val="24"/>
        </w:rPr>
        <w:t>Consumer Credit (“CONS”)</w:t>
      </w:r>
    </w:p>
    <w:p w:rsidR="007D2BD9" w:rsidRPr="003071AB" w:rsidRDefault="007D2BD9" w:rsidP="007D2BD9">
      <w:pPr>
        <w:pStyle w:val="ListParagraph"/>
        <w:numPr>
          <w:ilvl w:val="0"/>
          <w:numId w:val="32"/>
        </w:numPr>
        <w:rPr>
          <w:rFonts w:ascii="Times New Roman" w:hAnsi="Times New Roman"/>
          <w:sz w:val="24"/>
          <w:szCs w:val="24"/>
        </w:rPr>
      </w:pPr>
      <w:r>
        <w:rPr>
          <w:rFonts w:ascii="Times New Roman" w:hAnsi="Times New Roman"/>
          <w:sz w:val="24"/>
          <w:szCs w:val="24"/>
        </w:rPr>
        <w:t xml:space="preserve">Commercial and Industrial (“C&amp;I”) </w:t>
      </w:r>
    </w:p>
    <w:p w:rsidR="00D10EA7" w:rsidRPr="00D7067C" w:rsidRDefault="007D2BD9" w:rsidP="00D10EA7">
      <w:pPr>
        <w:jc w:val="both"/>
        <w:rPr>
          <w:rFonts w:ascii="Times New Roman" w:hAnsi="Times New Roman"/>
          <w:b/>
          <w:sz w:val="24"/>
          <w:szCs w:val="24"/>
        </w:rPr>
      </w:pPr>
      <w:r w:rsidRPr="006E205E">
        <w:rPr>
          <w:rFonts w:ascii="Times New Roman" w:hAnsi="Times New Roman"/>
          <w:sz w:val="24"/>
          <w:szCs w:val="24"/>
        </w:rPr>
        <w:t>This historical data, 60 quarterly observations from 1Q01 to 4Q15, are summarized in Table 4.1 in terms of distributional statistics and correlations, as in Figures 4.1 through 4.9 of this section.  A detailed description of these summary statistics are of Appendix 1, in this section we only provide a high level summary of the characteristics of the data.</w:t>
      </w:r>
      <w:r>
        <w:rPr>
          <w:rFonts w:ascii="Times New Roman" w:hAnsi="Times New Roman"/>
          <w:sz w:val="24"/>
          <w:szCs w:val="24"/>
        </w:rPr>
        <w:t xml:space="preserve">  Across all series when looking at the time series dimension (in the left panels of the figures, in levels in the top and percent changes on the bottom), we observe that the credit cycle is clearly reflected, with indicators of economic or</w:t>
      </w:r>
      <w:r w:rsidRPr="00D7067C">
        <w:rPr>
          <w:rFonts w:ascii="Times New Roman" w:hAnsi="Times New Roman"/>
          <w:sz w:val="24"/>
          <w:szCs w:val="24"/>
        </w:rPr>
        <w:t xml:space="preserve"> </w:t>
      </w:r>
      <w:r>
        <w:rPr>
          <w:rFonts w:ascii="Times New Roman" w:hAnsi="Times New Roman"/>
          <w:sz w:val="24"/>
          <w:szCs w:val="24"/>
        </w:rPr>
        <w:t xml:space="preserve">financial stress (health) and charge-off loss rates displaying peaks (troughs) in recession of 2001-2 and in the financial crisis of 2007-8, with latter episode dominating in terms of severity by </w:t>
      </w:r>
      <w:r w:rsidR="00D10EA7" w:rsidRPr="00D7067C">
        <w:rPr>
          <w:rFonts w:ascii="Times New Roman" w:hAnsi="Times New Roman"/>
          <w:b/>
          <w:sz w:val="24"/>
          <w:szCs w:val="24"/>
        </w:rPr>
        <w:lastRenderedPageBreak/>
        <w:t xml:space="preserve">Table 4.1: Summary Statistics and Correlations of Historical Y9 Credit Loss Rates and Federal Reserve Macroeconomic Variables </w:t>
      </w:r>
    </w:p>
    <w:p w:rsidR="00D10EA7" w:rsidRDefault="00D10EA7" w:rsidP="00D10EA7">
      <w:pPr>
        <w:rPr>
          <w:rFonts w:ascii="Times New Roman" w:hAnsi="Times New Roman"/>
          <w:b/>
          <w:sz w:val="24"/>
          <w:szCs w:val="24"/>
        </w:rPr>
      </w:pPr>
      <w:r w:rsidRPr="000B1F99">
        <w:rPr>
          <w:noProof/>
        </w:rPr>
        <w:drawing>
          <wp:inline distT="0" distB="0" distL="0" distR="0" wp14:anchorId="06C49438" wp14:editId="3E76E3B0">
            <wp:extent cx="7664116" cy="4760595"/>
            <wp:effectExtent l="22860" t="15240" r="1714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rot="5400000">
                      <a:off x="0" y="0"/>
                      <a:ext cx="7671036" cy="4764894"/>
                    </a:xfrm>
                    <a:prstGeom prst="rect">
                      <a:avLst/>
                    </a:prstGeom>
                    <a:ln>
                      <a:solidFill>
                        <a:schemeClr val="tx1"/>
                      </a:solidFill>
                    </a:ln>
                  </pic:spPr>
                </pic:pic>
              </a:graphicData>
            </a:graphic>
          </wp:inline>
        </w:drawing>
      </w:r>
    </w:p>
    <w:p w:rsidR="00D10EA7" w:rsidRPr="007D2BD9" w:rsidRDefault="00D10EA7" w:rsidP="00D10EA7">
      <w:pPr>
        <w:jc w:val="both"/>
        <w:rPr>
          <w:rFonts w:ascii="Times New Roman" w:hAnsi="Times New Roman"/>
          <w:sz w:val="24"/>
          <w:szCs w:val="24"/>
        </w:rPr>
      </w:pPr>
      <w:proofErr w:type="gramStart"/>
      <w:r>
        <w:rPr>
          <w:rFonts w:ascii="Times New Roman" w:hAnsi="Times New Roman"/>
          <w:sz w:val="24"/>
          <w:szCs w:val="24"/>
        </w:rPr>
        <w:lastRenderedPageBreak/>
        <w:t>an</w:t>
      </w:r>
      <w:proofErr w:type="gramEnd"/>
      <w:r>
        <w:rPr>
          <w:rFonts w:ascii="Times New Roman" w:hAnsi="Times New Roman"/>
          <w:sz w:val="24"/>
          <w:szCs w:val="24"/>
        </w:rPr>
        <w:t xml:space="preserve"> order of magnitude.  However, there are some differences in timing, extent and duration of these spikes across macroeconomic variables and loss rates.  These patterns are reflected in the percent change transformations of the variables as well, with corresponding spikes in these series that correspond to the cyclical peaks and troughs, although there is also much more idiosyncratic variation observed when looking at the data in this form.  Shifting focus to the smoothed histogram graphs (in the right panels of the figures, in levels in the top and percent changes on the bottom),we note that there are significant deviations from normality in terms of excess skewness and excess kurtosis relative to the Gaussian case, although the extent of these deviations exhibits significant variations across variables (e.g., in the case of the VIX, the non-normality is extreme, and obviously in the </w:t>
      </w:r>
      <w:r w:rsidRPr="007D2BD9">
        <w:rPr>
          <w:rFonts w:ascii="Times New Roman" w:hAnsi="Times New Roman"/>
          <w:sz w:val="24"/>
          <w:szCs w:val="24"/>
        </w:rPr>
        <w:t>case of certain indices or loss rates the bounded domain are clear violations of normality).  Furthermore, such deviations from normality are accentuated by an order of magnitude when examining these distributions of the variables in percent change form, which holds generally although with the extent of the deviations varying somewhat across variables.  Finally, we not that in general the variation relative to the mean is an order of magnitude greater hen looking at percent changes relative to levels.</w:t>
      </w:r>
    </w:p>
    <w:p w:rsidR="00D10EA7" w:rsidRDefault="00D10EA7" w:rsidP="00D10EA7">
      <w:pPr>
        <w:jc w:val="both"/>
        <w:rPr>
          <w:rFonts w:ascii="Times New Roman" w:hAnsi="Times New Roman"/>
          <w:b/>
          <w:sz w:val="24"/>
          <w:szCs w:val="24"/>
        </w:rPr>
      </w:pPr>
      <w:r w:rsidRPr="00AE39FB">
        <w:rPr>
          <w:rFonts w:ascii="Times New Roman" w:hAnsi="Times New Roman"/>
          <w:sz w:val="24"/>
          <w:szCs w:val="24"/>
        </w:rPr>
        <w:t xml:space="preserve">The correlations amongst all of the </w:t>
      </w:r>
      <w:r>
        <w:rPr>
          <w:rFonts w:ascii="Times New Roman" w:hAnsi="Times New Roman"/>
          <w:sz w:val="24"/>
          <w:szCs w:val="24"/>
        </w:rPr>
        <w:t>independent and dependent variables, in both their level and percentage change forms, are displayed I the bottom panel of Table 4.1.  First, we will describe main features of the dependency structure within the group of input macroeconomic variables, then the same for the output loss rate variables, and finally the cross-correlations between these two groups.  We observe that all correlations have intuitive signs and magnitudes that suggest</w:t>
      </w:r>
      <w:r w:rsidRPr="00D10EA7">
        <w:rPr>
          <w:rFonts w:ascii="Times New Roman" w:hAnsi="Times New Roman"/>
          <w:sz w:val="24"/>
          <w:szCs w:val="24"/>
        </w:rPr>
        <w:t xml:space="preserve"> </w:t>
      </w:r>
      <w:r>
        <w:rPr>
          <w:rFonts w:ascii="Times New Roman" w:hAnsi="Times New Roman"/>
          <w:sz w:val="24"/>
          <w:szCs w:val="24"/>
        </w:rPr>
        <w:t xml:space="preserve">significant relationships, although the latter are not large enough to suggest any issues with multicollinearity.  While the correlations of the percent change transformations are generally lower, they are still intuitive and of reasonable magnitudes.  We also note that percent changes of variables are negatively (positively) correlated with levels when indicators are those of economic strength (weakness).  The correlation matrix amongst the macroeconomic variables appear in the lower right quadrant of the bottom panel of Table 4.1.  For example, considering some of the stronger relationships amongst the levels, the correlations between UNEMP </w:t>
      </w:r>
      <w:proofErr w:type="gramStart"/>
      <w:r>
        <w:rPr>
          <w:rFonts w:ascii="Times New Roman" w:hAnsi="Times New Roman"/>
          <w:sz w:val="24"/>
          <w:szCs w:val="24"/>
        </w:rPr>
        <w:t>/</w:t>
      </w:r>
      <w:proofErr w:type="gramEnd"/>
      <w:r>
        <w:rPr>
          <w:rFonts w:ascii="Times New Roman" w:hAnsi="Times New Roman"/>
          <w:sz w:val="24"/>
          <w:szCs w:val="24"/>
        </w:rPr>
        <w:t xml:space="preserve"> VIX, CREP / UNEMP and BBBCY / RDIG are 36.5%, -36.0% and -21.5%, respectively.  For example, considering some of the stronger relationships amongst the percent changes, the correlations between BBBCR </w:t>
      </w:r>
      <w:proofErr w:type="gramStart"/>
      <w:r>
        <w:rPr>
          <w:rFonts w:ascii="Times New Roman" w:hAnsi="Times New Roman"/>
          <w:sz w:val="24"/>
          <w:szCs w:val="24"/>
        </w:rPr>
        <w:t>/</w:t>
      </w:r>
      <w:proofErr w:type="gramEnd"/>
      <w:r>
        <w:rPr>
          <w:rFonts w:ascii="Times New Roman" w:hAnsi="Times New Roman"/>
          <w:sz w:val="24"/>
          <w:szCs w:val="24"/>
        </w:rPr>
        <w:t xml:space="preserve"> CREPI, UNEMP / RDIG, and VIX / CREP are 34.3%, -7.8% and 28.6%, respectively.</w:t>
      </w:r>
    </w:p>
    <w:p w:rsidR="00D10EA7" w:rsidRDefault="00D10EA7">
      <w:pPr>
        <w:rPr>
          <w:rFonts w:ascii="Times New Roman" w:hAnsi="Times New Roman"/>
          <w:sz w:val="24"/>
          <w:szCs w:val="24"/>
        </w:rPr>
      </w:pPr>
      <w:r>
        <w:rPr>
          <w:rFonts w:ascii="Times New Roman" w:hAnsi="Times New Roman"/>
          <w:sz w:val="24"/>
          <w:szCs w:val="24"/>
        </w:rPr>
        <w:t xml:space="preserve">The correlation matrix amongst the credit loss rate variables appear in the upper left quadrant of the bottom panel of Table 4.1.  For example, considering some of the stronger relationships of the levels, the correlations between CRE / RESI, CONS / CRE and CNI / CONS are 86.3%, 90.4% and 79.8%, respectively.  For example, considering some of the stronger relationships amongst the percent changes, the correlations between CONS / CRE, CNI / CRE, and CNI / CONS are 26.2%, 15.5% and 38.1%, respectively.  </w:t>
      </w:r>
    </w:p>
    <w:p w:rsidR="00D10EA7" w:rsidRDefault="00D10EA7">
      <w:pPr>
        <w:rPr>
          <w:rFonts w:ascii="Times New Roman" w:hAnsi="Times New Roman"/>
          <w:sz w:val="24"/>
          <w:szCs w:val="24"/>
        </w:rPr>
      </w:pPr>
      <w:r>
        <w:rPr>
          <w:rFonts w:ascii="Times New Roman" w:hAnsi="Times New Roman"/>
          <w:sz w:val="24"/>
          <w:szCs w:val="24"/>
        </w:rPr>
        <w:br w:type="page"/>
      </w:r>
    </w:p>
    <w:p w:rsidR="007D2BD9" w:rsidRDefault="007D2BD9" w:rsidP="007D2BD9">
      <w:pPr>
        <w:rPr>
          <w:rFonts w:ascii="Times New Roman" w:hAnsi="Times New Roman"/>
          <w:b/>
          <w:sz w:val="24"/>
          <w:szCs w:val="24"/>
        </w:rPr>
      </w:pPr>
      <w:r>
        <w:rPr>
          <w:rFonts w:ascii="Times New Roman" w:hAnsi="Times New Roman"/>
          <w:b/>
          <w:sz w:val="24"/>
          <w:szCs w:val="24"/>
        </w:rPr>
        <w:lastRenderedPageBreak/>
        <w:t>Figure 4.1: Time Series and Kernel Density Plot – Real Domestic Investment Growth</w:t>
      </w:r>
    </w:p>
    <w:p w:rsidR="007D2BD9" w:rsidRDefault="007D2BD9" w:rsidP="007D2BD9">
      <w:pPr>
        <w:rPr>
          <w:rFonts w:ascii="Times New Roman" w:hAnsi="Times New Roman"/>
          <w:b/>
          <w:sz w:val="24"/>
          <w:szCs w:val="24"/>
        </w:rPr>
      </w:pPr>
      <w:r>
        <w:rPr>
          <w:noProof/>
        </w:rPr>
        <w:drawing>
          <wp:inline distT="0" distB="0" distL="0" distR="0" wp14:anchorId="06C58909" wp14:editId="6326CFB8">
            <wp:extent cx="4591050" cy="3543783"/>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593758" cy="3545874"/>
                    </a:xfrm>
                    <a:prstGeom prst="rect">
                      <a:avLst/>
                    </a:prstGeom>
                    <a:ln>
                      <a:solidFill>
                        <a:schemeClr val="tx1"/>
                      </a:solidFill>
                    </a:ln>
                  </pic:spPr>
                </pic:pic>
              </a:graphicData>
            </a:graphic>
          </wp:inline>
        </w:drawing>
      </w:r>
      <w:r>
        <w:rPr>
          <w:rFonts w:ascii="Times New Roman" w:hAnsi="Times New Roman"/>
          <w:b/>
          <w:sz w:val="24"/>
          <w:szCs w:val="24"/>
        </w:rPr>
        <w:t xml:space="preserve"> </w:t>
      </w:r>
    </w:p>
    <w:p w:rsidR="007D2BD9" w:rsidRDefault="007D2BD9" w:rsidP="007D2BD9">
      <w:pPr>
        <w:rPr>
          <w:rFonts w:ascii="Times New Roman" w:hAnsi="Times New Roman"/>
          <w:b/>
          <w:sz w:val="24"/>
          <w:szCs w:val="24"/>
        </w:rPr>
      </w:pPr>
    </w:p>
    <w:p w:rsidR="007D2BD9" w:rsidRPr="00F9230F" w:rsidRDefault="007D2BD9" w:rsidP="007D2BD9">
      <w:pPr>
        <w:rPr>
          <w:rFonts w:ascii="Times New Roman" w:hAnsi="Times New Roman"/>
          <w:b/>
          <w:sz w:val="24"/>
          <w:szCs w:val="24"/>
        </w:rPr>
      </w:pPr>
      <w:r w:rsidRPr="00F9230F">
        <w:rPr>
          <w:rFonts w:ascii="Times New Roman" w:hAnsi="Times New Roman"/>
          <w:b/>
          <w:sz w:val="24"/>
          <w:szCs w:val="24"/>
        </w:rPr>
        <w:t>Figure 4.2: Time Series and Kernel Density Plot – Unemployment Rate</w:t>
      </w:r>
    </w:p>
    <w:p w:rsidR="007D2BD9" w:rsidRPr="00F9230F" w:rsidRDefault="007D2BD9" w:rsidP="007D2BD9">
      <w:pPr>
        <w:rPr>
          <w:rFonts w:ascii="Times New Roman" w:hAnsi="Times New Roman"/>
          <w:b/>
          <w:sz w:val="24"/>
          <w:szCs w:val="24"/>
        </w:rPr>
      </w:pPr>
      <w:r>
        <w:rPr>
          <w:noProof/>
        </w:rPr>
        <w:drawing>
          <wp:inline distT="0" distB="0" distL="0" distR="0" wp14:anchorId="62FBC18C" wp14:editId="6F3D13CA">
            <wp:extent cx="4591050" cy="2952019"/>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592519" cy="2952964"/>
                    </a:xfrm>
                    <a:prstGeom prst="rect">
                      <a:avLst/>
                    </a:prstGeom>
                    <a:ln>
                      <a:solidFill>
                        <a:schemeClr val="tx1"/>
                      </a:solidFill>
                    </a:ln>
                  </pic:spPr>
                </pic:pic>
              </a:graphicData>
            </a:graphic>
          </wp:inline>
        </w:drawing>
      </w:r>
    </w:p>
    <w:p w:rsidR="007D2BD9" w:rsidRDefault="007D2BD9" w:rsidP="007D2BD9">
      <w:pPr>
        <w:pStyle w:val="ListParagraph"/>
        <w:spacing w:line="240" w:lineRule="auto"/>
        <w:rPr>
          <w:rFonts w:ascii="Times New Roman" w:hAnsi="Times New Roman"/>
          <w:sz w:val="24"/>
          <w:szCs w:val="24"/>
        </w:rPr>
      </w:pPr>
    </w:p>
    <w:p w:rsidR="007D2BD9" w:rsidRPr="007D2BD9" w:rsidRDefault="007D2BD9" w:rsidP="007D2BD9">
      <w:pPr>
        <w:spacing w:line="240" w:lineRule="auto"/>
        <w:rPr>
          <w:rFonts w:ascii="Times New Roman" w:hAnsi="Times New Roman"/>
          <w:sz w:val="24"/>
          <w:szCs w:val="24"/>
        </w:rPr>
      </w:pPr>
      <w:r w:rsidRPr="007D2BD9">
        <w:rPr>
          <w:rFonts w:ascii="Times New Roman" w:hAnsi="Times New Roman"/>
          <w:b/>
          <w:sz w:val="24"/>
          <w:szCs w:val="24"/>
        </w:rPr>
        <w:lastRenderedPageBreak/>
        <w:t>Figure 4.3: Time Series and Kernel Density Plot – Commercial Real Estate Index</w:t>
      </w:r>
    </w:p>
    <w:p w:rsidR="007D2BD9" w:rsidRPr="007D2BD9" w:rsidRDefault="007D2BD9" w:rsidP="007D2BD9">
      <w:pPr>
        <w:rPr>
          <w:rFonts w:ascii="Times New Roman" w:hAnsi="Times New Roman"/>
          <w:b/>
          <w:sz w:val="24"/>
          <w:szCs w:val="24"/>
        </w:rPr>
      </w:pPr>
      <w:r>
        <w:rPr>
          <w:noProof/>
        </w:rPr>
        <w:drawing>
          <wp:inline distT="0" distB="0" distL="0" distR="0" wp14:anchorId="73B838ED" wp14:editId="7D6CCDD6">
            <wp:extent cx="4819650" cy="2870129"/>
            <wp:effectExtent l="19050" t="19050" r="19050"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824075" cy="2872764"/>
                    </a:xfrm>
                    <a:prstGeom prst="rect">
                      <a:avLst/>
                    </a:prstGeom>
                    <a:ln>
                      <a:solidFill>
                        <a:schemeClr val="tx1"/>
                      </a:solidFill>
                    </a:ln>
                  </pic:spPr>
                </pic:pic>
              </a:graphicData>
            </a:graphic>
          </wp:inline>
        </w:drawing>
      </w:r>
    </w:p>
    <w:p w:rsidR="007D2BD9" w:rsidRDefault="007D2BD9" w:rsidP="007D2BD9">
      <w:pPr>
        <w:rPr>
          <w:rFonts w:ascii="Times New Roman" w:hAnsi="Times New Roman"/>
          <w:b/>
          <w:sz w:val="24"/>
          <w:szCs w:val="24"/>
        </w:rPr>
      </w:pPr>
    </w:p>
    <w:p w:rsidR="007D2BD9" w:rsidRPr="004E0BB9" w:rsidRDefault="007D2BD9" w:rsidP="007D2BD9">
      <w:pPr>
        <w:rPr>
          <w:rFonts w:ascii="Times New Roman" w:hAnsi="Times New Roman"/>
          <w:b/>
          <w:sz w:val="24"/>
          <w:szCs w:val="24"/>
        </w:rPr>
      </w:pPr>
      <w:r w:rsidRPr="004E0BB9">
        <w:rPr>
          <w:rFonts w:ascii="Times New Roman" w:hAnsi="Times New Roman"/>
          <w:b/>
          <w:sz w:val="24"/>
          <w:szCs w:val="24"/>
        </w:rPr>
        <w:t xml:space="preserve">Figure </w:t>
      </w:r>
      <w:r>
        <w:rPr>
          <w:rFonts w:ascii="Times New Roman" w:hAnsi="Times New Roman"/>
          <w:b/>
          <w:sz w:val="24"/>
          <w:szCs w:val="24"/>
        </w:rPr>
        <w:t>4</w:t>
      </w:r>
      <w:r w:rsidRPr="004E0BB9">
        <w:rPr>
          <w:rFonts w:ascii="Times New Roman" w:hAnsi="Times New Roman"/>
          <w:b/>
          <w:sz w:val="24"/>
          <w:szCs w:val="24"/>
        </w:rPr>
        <w:t>.4: Time Series and Kernel Density Plot – BBB Corporate Bond Yield</w:t>
      </w:r>
    </w:p>
    <w:p w:rsidR="007D2BD9" w:rsidRPr="006E205E" w:rsidRDefault="007D2BD9" w:rsidP="007D2BD9">
      <w:pPr>
        <w:rPr>
          <w:rFonts w:ascii="Times New Roman" w:hAnsi="Times New Roman"/>
          <w:b/>
          <w:sz w:val="24"/>
          <w:szCs w:val="24"/>
        </w:rPr>
      </w:pPr>
      <w:r w:rsidRPr="00783B32">
        <w:rPr>
          <w:noProof/>
        </w:rPr>
        <w:drawing>
          <wp:inline distT="0" distB="0" distL="0" distR="0" wp14:anchorId="073B298D" wp14:editId="03B5BA74">
            <wp:extent cx="4800600" cy="3081528"/>
            <wp:effectExtent l="19050" t="19050" r="1905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800600" cy="3081528"/>
                    </a:xfrm>
                    <a:prstGeom prst="rect">
                      <a:avLst/>
                    </a:prstGeom>
                    <a:ln>
                      <a:solidFill>
                        <a:schemeClr val="tx1"/>
                      </a:solidFill>
                    </a:ln>
                  </pic:spPr>
                </pic:pic>
              </a:graphicData>
            </a:graphic>
          </wp:inline>
        </w:drawing>
      </w:r>
    </w:p>
    <w:p w:rsidR="00F9230F" w:rsidRDefault="00F9230F">
      <w:pPr>
        <w:rPr>
          <w:rFonts w:ascii="Times New Roman" w:hAnsi="Times New Roman"/>
          <w:b/>
          <w:sz w:val="24"/>
          <w:szCs w:val="24"/>
        </w:rPr>
      </w:pPr>
      <w:r>
        <w:rPr>
          <w:rFonts w:ascii="Times New Roman" w:hAnsi="Times New Roman"/>
          <w:b/>
          <w:sz w:val="24"/>
          <w:szCs w:val="24"/>
        </w:rPr>
        <w:br w:type="page"/>
      </w:r>
    </w:p>
    <w:p w:rsidR="007D2BD9" w:rsidRDefault="007D2BD9" w:rsidP="007D2BD9">
      <w:pPr>
        <w:rPr>
          <w:rFonts w:ascii="Times New Roman" w:hAnsi="Times New Roman"/>
          <w:b/>
          <w:sz w:val="24"/>
          <w:szCs w:val="24"/>
        </w:rPr>
      </w:pPr>
      <w:r>
        <w:rPr>
          <w:rFonts w:ascii="Times New Roman" w:hAnsi="Times New Roman"/>
          <w:b/>
          <w:sz w:val="24"/>
          <w:szCs w:val="24"/>
        </w:rPr>
        <w:lastRenderedPageBreak/>
        <w:t>Figure 4.5: Time Series and Kernel Density Plot – CBOE Market Volatility Index</w:t>
      </w:r>
    </w:p>
    <w:p w:rsidR="007D2BD9" w:rsidRDefault="007D2BD9" w:rsidP="007D2BD9">
      <w:pPr>
        <w:rPr>
          <w:rFonts w:ascii="Times New Roman" w:hAnsi="Times New Roman"/>
          <w:b/>
          <w:sz w:val="24"/>
          <w:szCs w:val="24"/>
        </w:rPr>
      </w:pPr>
      <w:r w:rsidRPr="00B6011F">
        <w:rPr>
          <w:noProof/>
        </w:rPr>
        <w:drawing>
          <wp:inline distT="0" distB="0" distL="0" distR="0" wp14:anchorId="35E43EB1" wp14:editId="1045D2E3">
            <wp:extent cx="4800600" cy="3081528"/>
            <wp:effectExtent l="19050" t="19050" r="1905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800600" cy="3081528"/>
                    </a:xfrm>
                    <a:prstGeom prst="rect">
                      <a:avLst/>
                    </a:prstGeom>
                    <a:ln>
                      <a:solidFill>
                        <a:schemeClr val="tx1"/>
                      </a:solidFill>
                    </a:ln>
                  </pic:spPr>
                </pic:pic>
              </a:graphicData>
            </a:graphic>
          </wp:inline>
        </w:drawing>
      </w:r>
    </w:p>
    <w:p w:rsidR="007D2BD9" w:rsidRDefault="007D2BD9" w:rsidP="00D7067C">
      <w:pPr>
        <w:jc w:val="both"/>
        <w:rPr>
          <w:rFonts w:ascii="Times New Roman" w:hAnsi="Times New Roman"/>
          <w:sz w:val="24"/>
          <w:szCs w:val="24"/>
        </w:rPr>
      </w:pPr>
    </w:p>
    <w:p w:rsidR="007D2BD9" w:rsidRPr="006E205E" w:rsidRDefault="007D2BD9" w:rsidP="007D2BD9">
      <w:pPr>
        <w:rPr>
          <w:rFonts w:ascii="Times New Roman" w:hAnsi="Times New Roman"/>
          <w:b/>
          <w:sz w:val="24"/>
          <w:szCs w:val="24"/>
        </w:rPr>
      </w:pPr>
      <w:r w:rsidRPr="006E205E">
        <w:rPr>
          <w:rFonts w:ascii="Times New Roman" w:hAnsi="Times New Roman"/>
          <w:b/>
          <w:sz w:val="24"/>
          <w:szCs w:val="24"/>
        </w:rPr>
        <w:t xml:space="preserve">Figure </w:t>
      </w:r>
      <w:r>
        <w:rPr>
          <w:rFonts w:ascii="Times New Roman" w:hAnsi="Times New Roman"/>
          <w:b/>
          <w:sz w:val="24"/>
          <w:szCs w:val="24"/>
        </w:rPr>
        <w:t>4</w:t>
      </w:r>
      <w:r w:rsidRPr="006E205E">
        <w:rPr>
          <w:rFonts w:ascii="Times New Roman" w:hAnsi="Times New Roman"/>
          <w:b/>
          <w:sz w:val="24"/>
          <w:szCs w:val="24"/>
        </w:rPr>
        <w:t xml:space="preserve">.6: Time Series and Kernel Density Plot – Residential Real Estate </w:t>
      </w:r>
      <w:r>
        <w:rPr>
          <w:rFonts w:ascii="Times New Roman" w:hAnsi="Times New Roman"/>
          <w:b/>
          <w:sz w:val="24"/>
          <w:szCs w:val="24"/>
        </w:rPr>
        <w:t xml:space="preserve">Loan </w:t>
      </w:r>
      <w:r w:rsidRPr="006E205E">
        <w:rPr>
          <w:rFonts w:ascii="Times New Roman" w:hAnsi="Times New Roman"/>
          <w:b/>
          <w:sz w:val="24"/>
          <w:szCs w:val="24"/>
        </w:rPr>
        <w:t xml:space="preserve">Charge-off Rates </w:t>
      </w:r>
    </w:p>
    <w:p w:rsidR="007D2BD9" w:rsidRPr="006E205E" w:rsidRDefault="007D2BD9" w:rsidP="007D2BD9">
      <w:pPr>
        <w:jc w:val="both"/>
        <w:rPr>
          <w:rFonts w:ascii="Times New Roman" w:hAnsi="Times New Roman"/>
          <w:b/>
          <w:sz w:val="24"/>
          <w:szCs w:val="24"/>
        </w:rPr>
      </w:pPr>
      <w:r>
        <w:rPr>
          <w:noProof/>
        </w:rPr>
        <w:drawing>
          <wp:inline distT="0" distB="0" distL="0" distR="0" wp14:anchorId="4040E153" wp14:editId="14110665">
            <wp:extent cx="4800600" cy="3191256"/>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00600" cy="3191256"/>
                    </a:xfrm>
                    <a:prstGeom prst="rect">
                      <a:avLst/>
                    </a:prstGeom>
                    <a:ln>
                      <a:solidFill>
                        <a:schemeClr val="tx1"/>
                      </a:solidFill>
                    </a:ln>
                  </pic:spPr>
                </pic:pic>
              </a:graphicData>
            </a:graphic>
          </wp:inline>
        </w:drawing>
      </w:r>
      <w:r w:rsidRPr="006E205E">
        <w:rPr>
          <w:rFonts w:ascii="Times New Roman" w:hAnsi="Times New Roman"/>
          <w:b/>
          <w:sz w:val="24"/>
          <w:szCs w:val="24"/>
        </w:rPr>
        <w:t xml:space="preserve"> </w:t>
      </w:r>
    </w:p>
    <w:p w:rsidR="007D2BD9" w:rsidRDefault="007D2BD9" w:rsidP="007D2BD9">
      <w:pPr>
        <w:jc w:val="both"/>
        <w:rPr>
          <w:rFonts w:ascii="Times New Roman" w:hAnsi="Times New Roman"/>
          <w:sz w:val="24"/>
          <w:szCs w:val="24"/>
        </w:rPr>
      </w:pPr>
    </w:p>
    <w:p w:rsidR="007D2BD9" w:rsidRDefault="007D2BD9" w:rsidP="007D2BD9">
      <w:pPr>
        <w:rPr>
          <w:rFonts w:ascii="Times New Roman" w:hAnsi="Times New Roman"/>
          <w:b/>
          <w:sz w:val="24"/>
          <w:szCs w:val="24"/>
        </w:rPr>
      </w:pPr>
      <w:r w:rsidRPr="006E205E">
        <w:rPr>
          <w:rFonts w:ascii="Times New Roman" w:hAnsi="Times New Roman"/>
          <w:b/>
          <w:sz w:val="24"/>
          <w:szCs w:val="24"/>
        </w:rPr>
        <w:lastRenderedPageBreak/>
        <w:t xml:space="preserve">Figure </w:t>
      </w:r>
      <w:r>
        <w:rPr>
          <w:rFonts w:ascii="Times New Roman" w:hAnsi="Times New Roman"/>
          <w:b/>
          <w:sz w:val="24"/>
          <w:szCs w:val="24"/>
        </w:rPr>
        <w:t>4</w:t>
      </w:r>
      <w:r w:rsidRPr="006E205E">
        <w:rPr>
          <w:rFonts w:ascii="Times New Roman" w:hAnsi="Times New Roman"/>
          <w:b/>
          <w:sz w:val="24"/>
          <w:szCs w:val="24"/>
        </w:rPr>
        <w:t>.</w:t>
      </w:r>
      <w:r>
        <w:rPr>
          <w:rFonts w:ascii="Times New Roman" w:hAnsi="Times New Roman"/>
          <w:b/>
          <w:sz w:val="24"/>
          <w:szCs w:val="24"/>
        </w:rPr>
        <w:t>7</w:t>
      </w:r>
      <w:r w:rsidRPr="006E205E">
        <w:rPr>
          <w:rFonts w:ascii="Times New Roman" w:hAnsi="Times New Roman"/>
          <w:b/>
          <w:sz w:val="24"/>
          <w:szCs w:val="24"/>
        </w:rPr>
        <w:t xml:space="preserve">: Time Series and Kernel Density Plot – </w:t>
      </w:r>
      <w:r>
        <w:rPr>
          <w:rFonts w:ascii="Times New Roman" w:hAnsi="Times New Roman"/>
          <w:b/>
          <w:sz w:val="24"/>
          <w:szCs w:val="24"/>
        </w:rPr>
        <w:t>Commerc</w:t>
      </w:r>
      <w:r w:rsidRPr="006E205E">
        <w:rPr>
          <w:rFonts w:ascii="Times New Roman" w:hAnsi="Times New Roman"/>
          <w:b/>
          <w:sz w:val="24"/>
          <w:szCs w:val="24"/>
        </w:rPr>
        <w:t xml:space="preserve">ial Real Estate </w:t>
      </w:r>
      <w:r>
        <w:rPr>
          <w:rFonts w:ascii="Times New Roman" w:hAnsi="Times New Roman"/>
          <w:b/>
          <w:sz w:val="24"/>
          <w:szCs w:val="24"/>
        </w:rPr>
        <w:t xml:space="preserve">Loan </w:t>
      </w:r>
      <w:r w:rsidRPr="006E205E">
        <w:rPr>
          <w:rFonts w:ascii="Times New Roman" w:hAnsi="Times New Roman"/>
          <w:b/>
          <w:sz w:val="24"/>
          <w:szCs w:val="24"/>
        </w:rPr>
        <w:t>Charge-off Rates</w:t>
      </w:r>
    </w:p>
    <w:p w:rsidR="007D2BD9" w:rsidRDefault="007D2BD9" w:rsidP="007D2BD9">
      <w:pPr>
        <w:rPr>
          <w:rFonts w:ascii="Times New Roman" w:hAnsi="Times New Roman"/>
          <w:b/>
          <w:sz w:val="24"/>
          <w:szCs w:val="24"/>
        </w:rPr>
      </w:pPr>
      <w:r>
        <w:rPr>
          <w:noProof/>
        </w:rPr>
        <w:drawing>
          <wp:inline distT="0" distB="0" distL="0" distR="0" wp14:anchorId="0B8727E5" wp14:editId="5B122B52">
            <wp:extent cx="4800600" cy="3191256"/>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800600" cy="3191256"/>
                    </a:xfrm>
                    <a:prstGeom prst="rect">
                      <a:avLst/>
                    </a:prstGeom>
                    <a:ln>
                      <a:solidFill>
                        <a:schemeClr val="tx1"/>
                      </a:solidFill>
                    </a:ln>
                  </pic:spPr>
                </pic:pic>
              </a:graphicData>
            </a:graphic>
          </wp:inline>
        </w:drawing>
      </w:r>
    </w:p>
    <w:p w:rsidR="007D2BD9" w:rsidRDefault="007D2BD9" w:rsidP="007D2BD9">
      <w:pPr>
        <w:rPr>
          <w:rFonts w:ascii="Times New Roman" w:hAnsi="Times New Roman"/>
          <w:b/>
          <w:sz w:val="24"/>
          <w:szCs w:val="24"/>
        </w:rPr>
      </w:pPr>
    </w:p>
    <w:p w:rsidR="007D2BD9" w:rsidRDefault="007D2BD9" w:rsidP="007D2BD9">
      <w:pPr>
        <w:rPr>
          <w:rFonts w:ascii="Times New Roman" w:hAnsi="Times New Roman"/>
          <w:b/>
          <w:sz w:val="24"/>
          <w:szCs w:val="24"/>
        </w:rPr>
      </w:pPr>
      <w:r w:rsidRPr="006E205E">
        <w:rPr>
          <w:rFonts w:ascii="Times New Roman" w:hAnsi="Times New Roman"/>
          <w:b/>
          <w:sz w:val="24"/>
          <w:szCs w:val="24"/>
        </w:rPr>
        <w:t xml:space="preserve">Figure </w:t>
      </w:r>
      <w:r>
        <w:rPr>
          <w:rFonts w:ascii="Times New Roman" w:hAnsi="Times New Roman"/>
          <w:b/>
          <w:sz w:val="24"/>
          <w:szCs w:val="24"/>
        </w:rPr>
        <w:t>4</w:t>
      </w:r>
      <w:r w:rsidRPr="006E205E">
        <w:rPr>
          <w:rFonts w:ascii="Times New Roman" w:hAnsi="Times New Roman"/>
          <w:b/>
          <w:sz w:val="24"/>
          <w:szCs w:val="24"/>
        </w:rPr>
        <w:t>.</w:t>
      </w:r>
      <w:r>
        <w:rPr>
          <w:rFonts w:ascii="Times New Roman" w:hAnsi="Times New Roman"/>
          <w:b/>
          <w:sz w:val="24"/>
          <w:szCs w:val="24"/>
        </w:rPr>
        <w:t>8</w:t>
      </w:r>
      <w:r w:rsidRPr="006E205E">
        <w:rPr>
          <w:rFonts w:ascii="Times New Roman" w:hAnsi="Times New Roman"/>
          <w:b/>
          <w:sz w:val="24"/>
          <w:szCs w:val="24"/>
        </w:rPr>
        <w:t xml:space="preserve">: Time Series and Kernel Density Plot – </w:t>
      </w:r>
      <w:r>
        <w:rPr>
          <w:rFonts w:ascii="Times New Roman" w:hAnsi="Times New Roman"/>
          <w:b/>
          <w:sz w:val="24"/>
          <w:szCs w:val="24"/>
        </w:rPr>
        <w:t>Consumer Loan</w:t>
      </w:r>
      <w:r w:rsidRPr="006E205E">
        <w:rPr>
          <w:rFonts w:ascii="Times New Roman" w:hAnsi="Times New Roman"/>
          <w:b/>
          <w:sz w:val="24"/>
          <w:szCs w:val="24"/>
        </w:rPr>
        <w:t xml:space="preserve"> Charge-off Rates</w:t>
      </w:r>
    </w:p>
    <w:p w:rsidR="007D2BD9" w:rsidRDefault="007D2BD9" w:rsidP="007D2BD9">
      <w:pPr>
        <w:rPr>
          <w:rFonts w:ascii="Times New Roman" w:hAnsi="Times New Roman"/>
          <w:b/>
          <w:sz w:val="24"/>
          <w:szCs w:val="24"/>
        </w:rPr>
      </w:pPr>
      <w:r>
        <w:rPr>
          <w:noProof/>
        </w:rPr>
        <w:drawing>
          <wp:inline distT="0" distB="0" distL="0" distR="0" wp14:anchorId="6314CC4B" wp14:editId="2FEE3B7A">
            <wp:extent cx="4800600" cy="3191256"/>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00600" cy="3191256"/>
                    </a:xfrm>
                    <a:prstGeom prst="rect">
                      <a:avLst/>
                    </a:prstGeom>
                    <a:ln>
                      <a:solidFill>
                        <a:schemeClr val="tx1"/>
                      </a:solidFill>
                    </a:ln>
                  </pic:spPr>
                </pic:pic>
              </a:graphicData>
            </a:graphic>
          </wp:inline>
        </w:drawing>
      </w:r>
    </w:p>
    <w:p w:rsidR="00F9230F" w:rsidRPr="00803441" w:rsidRDefault="007D2BD9" w:rsidP="007D2BD9">
      <w:pPr>
        <w:rPr>
          <w:rFonts w:ascii="Times New Roman" w:hAnsi="Times New Roman"/>
          <w:b/>
          <w:sz w:val="24"/>
          <w:szCs w:val="24"/>
        </w:rPr>
      </w:pPr>
      <w:r>
        <w:rPr>
          <w:rFonts w:ascii="Times New Roman" w:hAnsi="Times New Roman"/>
          <w:sz w:val="24"/>
          <w:szCs w:val="24"/>
        </w:rPr>
        <w:br w:type="page"/>
      </w:r>
    </w:p>
    <w:p w:rsidR="00C56423" w:rsidRPr="006E205E" w:rsidRDefault="00C56423" w:rsidP="00C56423">
      <w:pPr>
        <w:rPr>
          <w:rFonts w:ascii="Times New Roman" w:hAnsi="Times New Roman"/>
          <w:b/>
          <w:sz w:val="24"/>
          <w:szCs w:val="24"/>
        </w:rPr>
      </w:pPr>
      <w:r w:rsidRPr="006E205E">
        <w:rPr>
          <w:rFonts w:ascii="Times New Roman" w:hAnsi="Times New Roman"/>
          <w:b/>
          <w:sz w:val="24"/>
          <w:szCs w:val="24"/>
        </w:rPr>
        <w:lastRenderedPageBreak/>
        <w:t xml:space="preserve">Figure </w:t>
      </w:r>
      <w:r>
        <w:rPr>
          <w:rFonts w:ascii="Times New Roman" w:hAnsi="Times New Roman"/>
          <w:b/>
          <w:sz w:val="24"/>
          <w:szCs w:val="24"/>
        </w:rPr>
        <w:t>4</w:t>
      </w:r>
      <w:r w:rsidRPr="006E205E">
        <w:rPr>
          <w:rFonts w:ascii="Times New Roman" w:hAnsi="Times New Roman"/>
          <w:b/>
          <w:sz w:val="24"/>
          <w:szCs w:val="24"/>
        </w:rPr>
        <w:t>.</w:t>
      </w:r>
      <w:r>
        <w:rPr>
          <w:rFonts w:ascii="Times New Roman" w:hAnsi="Times New Roman"/>
          <w:b/>
          <w:sz w:val="24"/>
          <w:szCs w:val="24"/>
        </w:rPr>
        <w:t>9</w:t>
      </w:r>
      <w:r w:rsidRPr="006E205E">
        <w:rPr>
          <w:rFonts w:ascii="Times New Roman" w:hAnsi="Times New Roman"/>
          <w:b/>
          <w:sz w:val="24"/>
          <w:szCs w:val="24"/>
        </w:rPr>
        <w:t xml:space="preserve">: Time Series and Kernel Density Plot – </w:t>
      </w:r>
      <w:r>
        <w:rPr>
          <w:rFonts w:ascii="Times New Roman" w:hAnsi="Times New Roman"/>
          <w:b/>
          <w:sz w:val="24"/>
          <w:szCs w:val="24"/>
        </w:rPr>
        <w:t>Commercial and Industrial</w:t>
      </w:r>
      <w:r w:rsidRPr="006E205E">
        <w:rPr>
          <w:rFonts w:ascii="Times New Roman" w:hAnsi="Times New Roman"/>
          <w:b/>
          <w:sz w:val="24"/>
          <w:szCs w:val="24"/>
        </w:rPr>
        <w:t xml:space="preserve"> </w:t>
      </w:r>
      <w:r>
        <w:rPr>
          <w:rFonts w:ascii="Times New Roman" w:hAnsi="Times New Roman"/>
          <w:b/>
          <w:sz w:val="24"/>
          <w:szCs w:val="24"/>
        </w:rPr>
        <w:t xml:space="preserve">Loan </w:t>
      </w:r>
      <w:r w:rsidRPr="006E205E">
        <w:rPr>
          <w:rFonts w:ascii="Times New Roman" w:hAnsi="Times New Roman"/>
          <w:b/>
          <w:sz w:val="24"/>
          <w:szCs w:val="24"/>
        </w:rPr>
        <w:t>Charge-off Rates</w:t>
      </w:r>
    </w:p>
    <w:p w:rsidR="00C56423" w:rsidRDefault="00C56423" w:rsidP="00C56423">
      <w:pPr>
        <w:rPr>
          <w:rFonts w:ascii="Times New Roman" w:hAnsi="Times New Roman"/>
          <w:b/>
          <w:sz w:val="24"/>
          <w:szCs w:val="24"/>
        </w:rPr>
      </w:pPr>
      <w:r>
        <w:rPr>
          <w:noProof/>
        </w:rPr>
        <w:drawing>
          <wp:inline distT="0" distB="0" distL="0" distR="0" wp14:anchorId="65EB26F3" wp14:editId="094232B7">
            <wp:extent cx="4419600" cy="2937981"/>
            <wp:effectExtent l="19050" t="19050" r="1905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26969" cy="2942880"/>
                    </a:xfrm>
                    <a:prstGeom prst="rect">
                      <a:avLst/>
                    </a:prstGeom>
                    <a:ln>
                      <a:solidFill>
                        <a:schemeClr val="tx1"/>
                      </a:solidFill>
                    </a:ln>
                  </pic:spPr>
                </pic:pic>
              </a:graphicData>
            </a:graphic>
          </wp:inline>
        </w:drawing>
      </w:r>
      <w:r>
        <w:rPr>
          <w:rFonts w:ascii="Times New Roman" w:hAnsi="Times New Roman"/>
          <w:b/>
          <w:sz w:val="24"/>
          <w:szCs w:val="24"/>
        </w:rPr>
        <w:t xml:space="preserve"> </w:t>
      </w:r>
    </w:p>
    <w:p w:rsidR="00C56423" w:rsidRDefault="00C56423" w:rsidP="007D2BD9">
      <w:pPr>
        <w:spacing w:line="240" w:lineRule="auto"/>
        <w:jc w:val="both"/>
        <w:rPr>
          <w:rFonts w:ascii="Times New Roman" w:hAnsi="Times New Roman"/>
          <w:sz w:val="24"/>
          <w:szCs w:val="24"/>
        </w:rPr>
      </w:pPr>
    </w:p>
    <w:p w:rsidR="00D10EA7" w:rsidRDefault="00D10EA7" w:rsidP="00D10EA7">
      <w:pPr>
        <w:jc w:val="both"/>
        <w:rPr>
          <w:rFonts w:ascii="Times New Roman" w:hAnsi="Times New Roman"/>
          <w:b/>
          <w:sz w:val="24"/>
          <w:szCs w:val="24"/>
        </w:rPr>
      </w:pPr>
      <w:r>
        <w:rPr>
          <w:rFonts w:ascii="Times New Roman" w:hAnsi="Times New Roman"/>
          <w:b/>
          <w:sz w:val="24"/>
          <w:szCs w:val="24"/>
        </w:rPr>
        <w:t>Table 4</w:t>
      </w:r>
      <w:r w:rsidRPr="00EF0947">
        <w:rPr>
          <w:rFonts w:ascii="Times New Roman" w:hAnsi="Times New Roman"/>
          <w:b/>
          <w:sz w:val="24"/>
          <w:szCs w:val="24"/>
        </w:rPr>
        <w:t>.</w:t>
      </w:r>
      <w:r>
        <w:rPr>
          <w:rFonts w:ascii="Times New Roman" w:hAnsi="Times New Roman"/>
          <w:b/>
          <w:sz w:val="24"/>
          <w:szCs w:val="24"/>
        </w:rPr>
        <w:t>2</w:t>
      </w:r>
      <w:r w:rsidRPr="00EF0947">
        <w:rPr>
          <w:rFonts w:ascii="Times New Roman" w:hAnsi="Times New Roman"/>
          <w:b/>
          <w:sz w:val="24"/>
          <w:szCs w:val="24"/>
        </w:rPr>
        <w:t xml:space="preserve">:  </w:t>
      </w:r>
      <w:r>
        <w:rPr>
          <w:rFonts w:ascii="Times New Roman" w:hAnsi="Times New Roman"/>
          <w:b/>
          <w:sz w:val="24"/>
          <w:szCs w:val="24"/>
        </w:rPr>
        <w:t xml:space="preserve">Augmented Dickey-Fuller Stationarity Test Statistics of Credit Loss Rates and Macroeconomic Variables </w:t>
      </w:r>
    </w:p>
    <w:p w:rsidR="00D10EA7" w:rsidRDefault="00D10EA7" w:rsidP="00D10EA7">
      <w:pPr>
        <w:rPr>
          <w:rFonts w:ascii="Times New Roman" w:hAnsi="Times New Roman"/>
          <w:b/>
          <w:sz w:val="24"/>
          <w:szCs w:val="24"/>
        </w:rPr>
      </w:pPr>
      <w:r w:rsidRPr="00BE398A">
        <w:rPr>
          <w:noProof/>
        </w:rPr>
        <w:drawing>
          <wp:inline distT="0" distB="0" distL="0" distR="0" wp14:anchorId="4410D33F" wp14:editId="5484FA44">
            <wp:extent cx="3925033" cy="1885950"/>
            <wp:effectExtent l="19050" t="19050" r="1841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44513" cy="1895310"/>
                    </a:xfrm>
                    <a:prstGeom prst="rect">
                      <a:avLst/>
                    </a:prstGeom>
                    <a:ln>
                      <a:solidFill>
                        <a:schemeClr val="tx1"/>
                      </a:solidFill>
                    </a:ln>
                  </pic:spPr>
                </pic:pic>
              </a:graphicData>
            </a:graphic>
          </wp:inline>
        </w:drawing>
      </w:r>
    </w:p>
    <w:p w:rsidR="00D10EA7" w:rsidRDefault="00D10EA7" w:rsidP="00D10EA7">
      <w:pPr>
        <w:jc w:val="both"/>
        <w:rPr>
          <w:rFonts w:ascii="Times New Roman" w:hAnsi="Times New Roman"/>
          <w:sz w:val="24"/>
          <w:szCs w:val="24"/>
        </w:rPr>
      </w:pPr>
    </w:p>
    <w:p w:rsidR="00C56423" w:rsidRDefault="007D2BD9" w:rsidP="00D10EA7">
      <w:pPr>
        <w:jc w:val="both"/>
        <w:rPr>
          <w:rFonts w:ascii="Times New Roman" w:hAnsi="Times New Roman"/>
          <w:sz w:val="24"/>
          <w:szCs w:val="24"/>
        </w:rPr>
      </w:pPr>
      <w:r>
        <w:rPr>
          <w:rFonts w:ascii="Times New Roman" w:hAnsi="Times New Roman"/>
          <w:sz w:val="24"/>
          <w:szCs w:val="24"/>
        </w:rPr>
        <w:t xml:space="preserve">  </w:t>
      </w:r>
    </w:p>
    <w:p w:rsidR="004E0BB9" w:rsidRPr="006E205E" w:rsidRDefault="00E67D41" w:rsidP="006E205E">
      <w:pPr>
        <w:jc w:val="both"/>
        <w:rPr>
          <w:rFonts w:ascii="Times New Roman" w:hAnsi="Times New Roman"/>
          <w:sz w:val="24"/>
          <w:szCs w:val="24"/>
        </w:rPr>
      </w:pPr>
      <w:r>
        <w:rPr>
          <w:rFonts w:ascii="Times New Roman" w:hAnsi="Times New Roman"/>
          <w:sz w:val="24"/>
          <w:szCs w:val="24"/>
        </w:rPr>
        <w:t xml:space="preserve">  </w:t>
      </w:r>
      <w:r w:rsidR="00167E72">
        <w:rPr>
          <w:rFonts w:ascii="Times New Roman" w:hAnsi="Times New Roman"/>
          <w:sz w:val="24"/>
          <w:szCs w:val="24"/>
        </w:rPr>
        <w:t xml:space="preserve">   </w:t>
      </w:r>
      <w:r w:rsidR="00612A14" w:rsidRPr="006E205E">
        <w:rPr>
          <w:rFonts w:ascii="Times New Roman" w:hAnsi="Times New Roman"/>
          <w:sz w:val="24"/>
          <w:szCs w:val="24"/>
        </w:rPr>
        <w:t xml:space="preserve"> </w:t>
      </w:r>
    </w:p>
    <w:p w:rsidR="00C56423" w:rsidRDefault="00C56423" w:rsidP="007D2BD9">
      <w:pPr>
        <w:jc w:val="both"/>
        <w:rPr>
          <w:rFonts w:ascii="Times New Roman" w:hAnsi="Times New Roman"/>
          <w:sz w:val="24"/>
          <w:szCs w:val="24"/>
        </w:rPr>
      </w:pPr>
    </w:p>
    <w:p w:rsidR="00D10EA7" w:rsidRDefault="00D10EA7" w:rsidP="00C56423">
      <w:pPr>
        <w:jc w:val="both"/>
        <w:rPr>
          <w:rFonts w:ascii="Times New Roman" w:hAnsi="Times New Roman"/>
          <w:sz w:val="24"/>
          <w:szCs w:val="24"/>
        </w:rPr>
      </w:pPr>
      <w:r>
        <w:rPr>
          <w:rFonts w:ascii="Times New Roman" w:hAnsi="Times New Roman"/>
          <w:sz w:val="24"/>
          <w:szCs w:val="24"/>
        </w:rPr>
        <w:lastRenderedPageBreak/>
        <w:t>The correlation matrix amongst the credit loss rate and macroeconomic variables appear in the lower left quadrant of the bottom panel of Table 4.1.  For example, considering some of the stronger relationships of the levels, the correlations between UNEMP / CRE, CREPI / CNI and UNEMP / RESI are 89.8%, 58.8% and 92.8%, respectively.  For example, considering some of the stronger relationships amongst the percent changes, the correlations between UNEMP / CNI, UNEMP / CONS, and VIX / CRE are 41.7%, 25.5% and 27.2%, respectively.</w:t>
      </w:r>
    </w:p>
    <w:p w:rsidR="00C56423" w:rsidRDefault="007D2BD9" w:rsidP="00C56423">
      <w:pPr>
        <w:jc w:val="both"/>
        <w:rPr>
          <w:rFonts w:ascii="Times New Roman" w:hAnsi="Times New Roman"/>
          <w:sz w:val="24"/>
          <w:szCs w:val="24"/>
        </w:rPr>
      </w:pPr>
      <w:r>
        <w:rPr>
          <w:rFonts w:ascii="Times New Roman" w:hAnsi="Times New Roman"/>
          <w:sz w:val="24"/>
          <w:szCs w:val="24"/>
        </w:rPr>
        <w:t xml:space="preserve">In Table 4.2 we display the </w:t>
      </w:r>
      <w:r w:rsidRPr="00C32E08">
        <w:rPr>
          <w:rFonts w:ascii="Times New Roman" w:hAnsi="Times New Roman"/>
          <w:i/>
          <w:sz w:val="24"/>
          <w:szCs w:val="24"/>
        </w:rPr>
        <w:t>Augmented Dickey-Fuller</w:t>
      </w:r>
      <w:r>
        <w:rPr>
          <w:rFonts w:ascii="Times New Roman" w:hAnsi="Times New Roman"/>
          <w:sz w:val="24"/>
          <w:szCs w:val="24"/>
        </w:rPr>
        <w:t xml:space="preserve"> (“ADF”) statistics of the macroeconomic variables under consideration.  We observe that we only reject the null hypothesis of a unit root process (or of non-stationarity) in one case for the variables in level for, whereas in percent change for we are able to reject this in all cases at the 5% confidence level or better.  Taken in combination with the observations regarding the correlation analysis of Table 4.2, this leads to the choice of modeling the percent changes in the macroeconomic variables in order to generate base and stress</w:t>
      </w:r>
      <w:r w:rsidR="00C56423">
        <w:rPr>
          <w:rFonts w:ascii="Times New Roman" w:hAnsi="Times New Roman"/>
          <w:sz w:val="24"/>
          <w:szCs w:val="24"/>
        </w:rPr>
        <w:t xml:space="preserve"> scenarios.  As a practice, when modeling in a time series framework, it is preferable to work with data that are jointly stationary. </w:t>
      </w:r>
    </w:p>
    <w:p w:rsidR="006B1587" w:rsidRDefault="00671371" w:rsidP="006B1587">
      <w:pPr>
        <w:jc w:val="both"/>
        <w:rPr>
          <w:rFonts w:ascii="Times New Roman" w:hAnsi="Times New Roman"/>
          <w:sz w:val="24"/>
          <w:szCs w:val="24"/>
        </w:rPr>
      </w:pPr>
      <w:r>
        <w:rPr>
          <w:rFonts w:ascii="Times New Roman" w:hAnsi="Times New Roman"/>
          <w:sz w:val="24"/>
          <w:szCs w:val="24"/>
        </w:rPr>
        <w:t>A</w:t>
      </w:r>
      <w:r w:rsidR="00BA4BDD">
        <w:rPr>
          <w:rFonts w:ascii="Times New Roman" w:hAnsi="Times New Roman"/>
          <w:sz w:val="24"/>
          <w:szCs w:val="24"/>
        </w:rPr>
        <w:t xml:space="preserve"> </w:t>
      </w:r>
      <w:r>
        <w:rPr>
          <w:rFonts w:ascii="Times New Roman" w:hAnsi="Times New Roman"/>
          <w:sz w:val="24"/>
          <w:szCs w:val="24"/>
        </w:rPr>
        <w:t>critical</w:t>
      </w:r>
      <w:r w:rsidR="00BA4BDD">
        <w:rPr>
          <w:rFonts w:ascii="Times New Roman" w:hAnsi="Times New Roman"/>
          <w:sz w:val="24"/>
          <w:szCs w:val="24"/>
        </w:rPr>
        <w:t xml:space="preserve"> modeling consideration for the MS-VAR estimation is the choice of process generation distributions for the normal and the stressed regimes.</w:t>
      </w:r>
      <w:r w:rsidR="003D5CDA">
        <w:rPr>
          <w:rFonts w:ascii="Times New Roman" w:hAnsi="Times New Roman"/>
          <w:sz w:val="24"/>
          <w:szCs w:val="24"/>
        </w:rPr>
        <w:t xml:space="preserve">  As described in the summary statistics of </w:t>
      </w:r>
      <w:r w:rsidR="00ED6BEF">
        <w:rPr>
          <w:rFonts w:ascii="Times New Roman" w:hAnsi="Times New Roman"/>
          <w:sz w:val="24"/>
          <w:szCs w:val="24"/>
        </w:rPr>
        <w:t>T</w:t>
      </w:r>
      <w:r w:rsidR="003D5CDA">
        <w:rPr>
          <w:rFonts w:ascii="Times New Roman" w:hAnsi="Times New Roman"/>
          <w:sz w:val="24"/>
          <w:szCs w:val="24"/>
        </w:rPr>
        <w:t>able 4.1, we find that when analyzing the macroeconomic data in percent change form, there is considerable skewness in the direction of adverse changes (i.e., right skewness for variables where increases denote deteriorating economic conditions such as UNEMP, and left skewness in variables where declines are a sign of weakening conditions such as RDIG).  Furthermore, in normal regimes where percent changes are small we find a normal distribution to adequately describe the error distribution, whereas when such changes are at extreme levels in the adverse direction we find that a log-normal distribution does a good job of characterizing the data generating process.</w:t>
      </w:r>
      <w:r w:rsidR="00B44E4C">
        <w:rPr>
          <w:rStyle w:val="FootnoteReference"/>
          <w:rFonts w:ascii="Times New Roman" w:hAnsi="Times New Roman"/>
          <w:sz w:val="24"/>
          <w:szCs w:val="24"/>
        </w:rPr>
        <w:footnoteReference w:id="6"/>
      </w:r>
      <w:r w:rsidR="003D5CDA">
        <w:rPr>
          <w:rFonts w:ascii="Times New Roman" w:hAnsi="Times New Roman"/>
          <w:sz w:val="24"/>
          <w:szCs w:val="24"/>
        </w:rPr>
        <w:t xml:space="preserve">  </w:t>
      </w:r>
    </w:p>
    <w:p w:rsidR="00D10EA7" w:rsidRDefault="00155838" w:rsidP="00D10EA7">
      <w:pPr>
        <w:jc w:val="both"/>
        <w:rPr>
          <w:rFonts w:ascii="Times New Roman" w:hAnsi="Times New Roman"/>
          <w:sz w:val="24"/>
          <w:szCs w:val="24"/>
        </w:rPr>
      </w:pPr>
      <w:r>
        <w:rPr>
          <w:rFonts w:ascii="Times New Roman" w:hAnsi="Times New Roman"/>
          <w:sz w:val="24"/>
          <w:szCs w:val="24"/>
        </w:rPr>
        <w:t xml:space="preserve">Another important modeling consideration with respect to scenario generation is the methodology for partitioning the space of scenario paths across our 6 macroeconomic variables for a Base and for a Severe Scenario.  In the case of the </w:t>
      </w:r>
      <w:proofErr w:type="gramStart"/>
      <w:r>
        <w:rPr>
          <w:rFonts w:ascii="Times New Roman" w:hAnsi="Times New Roman"/>
          <w:sz w:val="24"/>
          <w:szCs w:val="24"/>
        </w:rPr>
        <w:t>Severe</w:t>
      </w:r>
      <w:proofErr w:type="gramEnd"/>
      <w:r>
        <w:rPr>
          <w:rFonts w:ascii="Times New Roman" w:hAnsi="Times New Roman"/>
          <w:sz w:val="24"/>
          <w:szCs w:val="24"/>
        </w:rPr>
        <w:t xml:space="preserve"> scenario, we choose to identify such a path in which </w:t>
      </w:r>
      <w:r w:rsidRPr="0004251C">
        <w:rPr>
          <w:rFonts w:ascii="Times New Roman" w:hAnsi="Times New Roman"/>
          <w:i/>
          <w:sz w:val="24"/>
          <w:szCs w:val="24"/>
        </w:rPr>
        <w:t>all six</w:t>
      </w:r>
      <w:r>
        <w:rPr>
          <w:rFonts w:ascii="Times New Roman" w:hAnsi="Times New Roman"/>
          <w:sz w:val="24"/>
          <w:szCs w:val="24"/>
        </w:rPr>
        <w:t xml:space="preserve"> macroeconomic variables exceed their historical 99.0</w:t>
      </w:r>
      <w:r w:rsidRPr="0004251C">
        <w:rPr>
          <w:rFonts w:ascii="Times New Roman" w:hAnsi="Times New Roman"/>
          <w:sz w:val="24"/>
          <w:szCs w:val="24"/>
          <w:vertAlign w:val="superscript"/>
        </w:rPr>
        <w:t>th</w:t>
      </w:r>
      <w:r>
        <w:rPr>
          <w:rFonts w:ascii="Times New Roman" w:hAnsi="Times New Roman"/>
          <w:sz w:val="24"/>
          <w:szCs w:val="24"/>
        </w:rPr>
        <w:t xml:space="preserve"> percentile in at least a single quarter, and then in that set for each variable we take an average across such paths in each quarter.  It is our view that this is a reasonable definition of a </w:t>
      </w:r>
      <w:proofErr w:type="gramStart"/>
      <w:r>
        <w:rPr>
          <w:rFonts w:ascii="Times New Roman" w:hAnsi="Times New Roman"/>
          <w:sz w:val="24"/>
          <w:szCs w:val="24"/>
        </w:rPr>
        <w:t>Severe</w:t>
      </w:r>
      <w:proofErr w:type="gramEnd"/>
      <w:r>
        <w:rPr>
          <w:rFonts w:ascii="Times New Roman" w:hAnsi="Times New Roman"/>
          <w:sz w:val="24"/>
          <w:szCs w:val="24"/>
        </w:rPr>
        <w:t xml:space="preserve"> scenario, and in our risk advisory practice we have observed similar definitions in the industry.</w:t>
      </w:r>
      <w:r>
        <w:rPr>
          <w:rStyle w:val="FootnoteReference"/>
          <w:rFonts w:ascii="Times New Roman" w:hAnsi="Times New Roman"/>
          <w:sz w:val="24"/>
          <w:szCs w:val="24"/>
        </w:rPr>
        <w:footnoteReference w:id="7"/>
      </w:r>
      <w:r>
        <w:rPr>
          <w:rFonts w:ascii="Times New Roman" w:hAnsi="Times New Roman"/>
          <w:sz w:val="24"/>
          <w:szCs w:val="24"/>
        </w:rPr>
        <w:t xml:space="preserve">  In the case of the Base scenario, we take an average across all paths in a given quarter for a given variable. The main findings of our study are shown in Figures 4.1</w:t>
      </w:r>
      <w:r w:rsidR="00D10EA7">
        <w:rPr>
          <w:rFonts w:ascii="Times New Roman" w:hAnsi="Times New Roman"/>
          <w:sz w:val="24"/>
          <w:szCs w:val="24"/>
        </w:rPr>
        <w:t>0</w:t>
      </w:r>
      <w:r>
        <w:rPr>
          <w:rFonts w:ascii="Times New Roman" w:hAnsi="Times New Roman"/>
          <w:sz w:val="24"/>
          <w:szCs w:val="24"/>
        </w:rPr>
        <w:t xml:space="preserve"> through 4.</w:t>
      </w:r>
      <w:r w:rsidR="00D10EA7">
        <w:rPr>
          <w:rFonts w:ascii="Times New Roman" w:hAnsi="Times New Roman"/>
          <w:sz w:val="24"/>
          <w:szCs w:val="24"/>
        </w:rPr>
        <w:t>1</w:t>
      </w:r>
      <w:r w:rsidR="00C02804">
        <w:rPr>
          <w:rFonts w:ascii="Times New Roman" w:hAnsi="Times New Roman"/>
          <w:sz w:val="24"/>
          <w:szCs w:val="24"/>
        </w:rPr>
        <w:t>4</w:t>
      </w:r>
      <w:r>
        <w:rPr>
          <w:rFonts w:ascii="Times New Roman" w:hAnsi="Times New Roman"/>
          <w:sz w:val="24"/>
          <w:szCs w:val="24"/>
        </w:rPr>
        <w:t xml:space="preserve"> where we show for each macroeconomic variable </w:t>
      </w:r>
    </w:p>
    <w:p w:rsidR="00D10EA7" w:rsidRDefault="00D10EA7" w:rsidP="00D10EA7">
      <w:pPr>
        <w:rPr>
          <w:rFonts w:ascii="Times New Roman" w:hAnsi="Times New Roman"/>
          <w:b/>
          <w:sz w:val="24"/>
          <w:szCs w:val="24"/>
        </w:rPr>
      </w:pPr>
      <w:r>
        <w:rPr>
          <w:rFonts w:ascii="Times New Roman" w:hAnsi="Times New Roman"/>
          <w:b/>
          <w:sz w:val="24"/>
          <w:szCs w:val="24"/>
        </w:rPr>
        <w:lastRenderedPageBreak/>
        <w:t>Figure 4.10: H</w:t>
      </w:r>
      <w:r w:rsidRPr="007676EB">
        <w:rPr>
          <w:rFonts w:ascii="Times New Roman" w:hAnsi="Times New Roman"/>
          <w:b/>
          <w:sz w:val="24"/>
          <w:szCs w:val="24"/>
        </w:rPr>
        <w:t xml:space="preserve">istorical </w:t>
      </w:r>
      <w:r>
        <w:rPr>
          <w:rFonts w:ascii="Times New Roman" w:hAnsi="Times New Roman"/>
          <w:b/>
          <w:sz w:val="24"/>
          <w:szCs w:val="24"/>
        </w:rPr>
        <w:t>T</w:t>
      </w:r>
      <w:r w:rsidRPr="007676EB">
        <w:rPr>
          <w:rFonts w:ascii="Times New Roman" w:hAnsi="Times New Roman"/>
          <w:b/>
          <w:sz w:val="24"/>
          <w:szCs w:val="24"/>
        </w:rPr>
        <w:t xml:space="preserve">ime </w:t>
      </w:r>
      <w:r>
        <w:rPr>
          <w:rFonts w:ascii="Times New Roman" w:hAnsi="Times New Roman"/>
          <w:b/>
          <w:sz w:val="24"/>
          <w:szCs w:val="24"/>
        </w:rPr>
        <w:t>S</w:t>
      </w:r>
      <w:r w:rsidRPr="007676EB">
        <w:rPr>
          <w:rFonts w:ascii="Times New Roman" w:hAnsi="Times New Roman"/>
          <w:b/>
          <w:sz w:val="24"/>
          <w:szCs w:val="24"/>
        </w:rPr>
        <w:t>eries</w:t>
      </w:r>
      <w:r>
        <w:rPr>
          <w:rFonts w:ascii="Times New Roman" w:hAnsi="Times New Roman"/>
          <w:b/>
          <w:sz w:val="24"/>
          <w:szCs w:val="24"/>
        </w:rPr>
        <w:t>,</w:t>
      </w:r>
      <w:r w:rsidRPr="007676EB">
        <w:rPr>
          <w:rFonts w:ascii="Times New Roman" w:hAnsi="Times New Roman"/>
          <w:b/>
          <w:sz w:val="24"/>
          <w:szCs w:val="24"/>
        </w:rPr>
        <w:t xml:space="preserve"> Base and Severe </w:t>
      </w:r>
      <w:r>
        <w:rPr>
          <w:rFonts w:ascii="Times New Roman" w:hAnsi="Times New Roman"/>
          <w:b/>
          <w:sz w:val="24"/>
          <w:szCs w:val="24"/>
        </w:rPr>
        <w:t>S</w:t>
      </w:r>
      <w:r w:rsidRPr="007676EB">
        <w:rPr>
          <w:rFonts w:ascii="Times New Roman" w:hAnsi="Times New Roman"/>
          <w:b/>
          <w:sz w:val="24"/>
          <w:szCs w:val="24"/>
        </w:rPr>
        <w:t>cenarios for the VAR</w:t>
      </w:r>
      <w:r>
        <w:rPr>
          <w:rFonts w:ascii="Times New Roman" w:hAnsi="Times New Roman"/>
          <w:b/>
          <w:sz w:val="24"/>
          <w:szCs w:val="24"/>
        </w:rPr>
        <w:t>,</w:t>
      </w:r>
      <w:r w:rsidRPr="007676EB">
        <w:rPr>
          <w:rFonts w:ascii="Times New Roman" w:hAnsi="Times New Roman"/>
          <w:b/>
          <w:sz w:val="24"/>
          <w:szCs w:val="24"/>
        </w:rPr>
        <w:t xml:space="preserve"> MS-VAR </w:t>
      </w:r>
      <w:r>
        <w:rPr>
          <w:rFonts w:ascii="Times New Roman" w:hAnsi="Times New Roman"/>
          <w:b/>
          <w:sz w:val="24"/>
          <w:szCs w:val="24"/>
        </w:rPr>
        <w:t>and Fed M</w:t>
      </w:r>
      <w:r w:rsidRPr="007676EB">
        <w:rPr>
          <w:rFonts w:ascii="Times New Roman" w:hAnsi="Times New Roman"/>
          <w:b/>
          <w:sz w:val="24"/>
          <w:szCs w:val="24"/>
        </w:rPr>
        <w:t>odels</w:t>
      </w:r>
      <w:r>
        <w:rPr>
          <w:rFonts w:ascii="Times New Roman" w:hAnsi="Times New Roman"/>
          <w:b/>
          <w:sz w:val="24"/>
          <w:szCs w:val="24"/>
        </w:rPr>
        <w:t xml:space="preserve"> – Real Disposable Income Growth</w:t>
      </w:r>
    </w:p>
    <w:p w:rsidR="00D10EA7" w:rsidRDefault="00D10EA7" w:rsidP="00D10EA7">
      <w:pPr>
        <w:rPr>
          <w:rFonts w:ascii="Times New Roman" w:hAnsi="Times New Roman"/>
          <w:b/>
          <w:sz w:val="24"/>
          <w:szCs w:val="24"/>
        </w:rPr>
      </w:pPr>
      <w:r w:rsidRPr="000116EF">
        <w:rPr>
          <w:noProof/>
        </w:rPr>
        <w:drawing>
          <wp:inline distT="0" distB="0" distL="0" distR="0" wp14:anchorId="63FFC850" wp14:editId="66B4A410">
            <wp:extent cx="4736592" cy="343814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736592" cy="3438144"/>
                    </a:xfrm>
                    <a:prstGeom prst="rect">
                      <a:avLst/>
                    </a:prstGeom>
                  </pic:spPr>
                </pic:pic>
              </a:graphicData>
            </a:graphic>
          </wp:inline>
        </w:drawing>
      </w:r>
    </w:p>
    <w:p w:rsidR="00D10EA7" w:rsidRDefault="00D10EA7" w:rsidP="00D10EA7">
      <w:pPr>
        <w:rPr>
          <w:rFonts w:ascii="Times New Roman" w:hAnsi="Times New Roman"/>
          <w:b/>
          <w:sz w:val="24"/>
          <w:szCs w:val="24"/>
        </w:rPr>
      </w:pPr>
      <w:r>
        <w:rPr>
          <w:rFonts w:ascii="Times New Roman" w:hAnsi="Times New Roman"/>
          <w:b/>
          <w:sz w:val="24"/>
          <w:szCs w:val="24"/>
        </w:rPr>
        <w:t>Figure 4.</w:t>
      </w:r>
      <w:r w:rsidR="00C02804">
        <w:rPr>
          <w:rFonts w:ascii="Times New Roman" w:hAnsi="Times New Roman"/>
          <w:b/>
          <w:sz w:val="24"/>
          <w:szCs w:val="24"/>
        </w:rPr>
        <w:t>11</w:t>
      </w:r>
      <w:r>
        <w:rPr>
          <w:rFonts w:ascii="Times New Roman" w:hAnsi="Times New Roman"/>
          <w:b/>
          <w:sz w:val="24"/>
          <w:szCs w:val="24"/>
        </w:rPr>
        <w:t>: H</w:t>
      </w:r>
      <w:r w:rsidRPr="007676EB">
        <w:rPr>
          <w:rFonts w:ascii="Times New Roman" w:hAnsi="Times New Roman"/>
          <w:b/>
          <w:sz w:val="24"/>
          <w:szCs w:val="24"/>
        </w:rPr>
        <w:t xml:space="preserve">istorical </w:t>
      </w:r>
      <w:r>
        <w:rPr>
          <w:rFonts w:ascii="Times New Roman" w:hAnsi="Times New Roman"/>
          <w:b/>
          <w:sz w:val="24"/>
          <w:szCs w:val="24"/>
        </w:rPr>
        <w:t>T</w:t>
      </w:r>
      <w:r w:rsidRPr="007676EB">
        <w:rPr>
          <w:rFonts w:ascii="Times New Roman" w:hAnsi="Times New Roman"/>
          <w:b/>
          <w:sz w:val="24"/>
          <w:szCs w:val="24"/>
        </w:rPr>
        <w:t xml:space="preserve">ime </w:t>
      </w:r>
      <w:r>
        <w:rPr>
          <w:rFonts w:ascii="Times New Roman" w:hAnsi="Times New Roman"/>
          <w:b/>
          <w:sz w:val="24"/>
          <w:szCs w:val="24"/>
        </w:rPr>
        <w:t>S</w:t>
      </w:r>
      <w:r w:rsidRPr="007676EB">
        <w:rPr>
          <w:rFonts w:ascii="Times New Roman" w:hAnsi="Times New Roman"/>
          <w:b/>
          <w:sz w:val="24"/>
          <w:szCs w:val="24"/>
        </w:rPr>
        <w:t>eries</w:t>
      </w:r>
      <w:r>
        <w:rPr>
          <w:rFonts w:ascii="Times New Roman" w:hAnsi="Times New Roman"/>
          <w:b/>
          <w:sz w:val="24"/>
          <w:szCs w:val="24"/>
        </w:rPr>
        <w:t>,</w:t>
      </w:r>
      <w:r w:rsidRPr="007676EB">
        <w:rPr>
          <w:rFonts w:ascii="Times New Roman" w:hAnsi="Times New Roman"/>
          <w:b/>
          <w:sz w:val="24"/>
          <w:szCs w:val="24"/>
        </w:rPr>
        <w:t xml:space="preserve"> Base and Severe </w:t>
      </w:r>
      <w:r>
        <w:rPr>
          <w:rFonts w:ascii="Times New Roman" w:hAnsi="Times New Roman"/>
          <w:b/>
          <w:sz w:val="24"/>
          <w:szCs w:val="24"/>
        </w:rPr>
        <w:t>S</w:t>
      </w:r>
      <w:r w:rsidRPr="007676EB">
        <w:rPr>
          <w:rFonts w:ascii="Times New Roman" w:hAnsi="Times New Roman"/>
          <w:b/>
          <w:sz w:val="24"/>
          <w:szCs w:val="24"/>
        </w:rPr>
        <w:t>cenarios for the VAR</w:t>
      </w:r>
      <w:r>
        <w:rPr>
          <w:rFonts w:ascii="Times New Roman" w:hAnsi="Times New Roman"/>
          <w:b/>
          <w:sz w:val="24"/>
          <w:szCs w:val="24"/>
        </w:rPr>
        <w:t>,</w:t>
      </w:r>
      <w:r w:rsidRPr="007676EB">
        <w:rPr>
          <w:rFonts w:ascii="Times New Roman" w:hAnsi="Times New Roman"/>
          <w:b/>
          <w:sz w:val="24"/>
          <w:szCs w:val="24"/>
        </w:rPr>
        <w:t xml:space="preserve"> MS-VAR </w:t>
      </w:r>
      <w:r>
        <w:rPr>
          <w:rFonts w:ascii="Times New Roman" w:hAnsi="Times New Roman"/>
          <w:b/>
          <w:sz w:val="24"/>
          <w:szCs w:val="24"/>
        </w:rPr>
        <w:t>and Fed M</w:t>
      </w:r>
      <w:r w:rsidRPr="007676EB">
        <w:rPr>
          <w:rFonts w:ascii="Times New Roman" w:hAnsi="Times New Roman"/>
          <w:b/>
          <w:sz w:val="24"/>
          <w:szCs w:val="24"/>
        </w:rPr>
        <w:t>odels</w:t>
      </w:r>
      <w:r>
        <w:rPr>
          <w:rFonts w:ascii="Times New Roman" w:hAnsi="Times New Roman"/>
          <w:b/>
          <w:sz w:val="24"/>
          <w:szCs w:val="24"/>
        </w:rPr>
        <w:t xml:space="preserve"> – Unemployment Rate</w:t>
      </w:r>
    </w:p>
    <w:p w:rsidR="00D10EA7" w:rsidRDefault="00D10EA7" w:rsidP="00D10EA7">
      <w:pPr>
        <w:rPr>
          <w:rFonts w:ascii="Times New Roman" w:hAnsi="Times New Roman"/>
          <w:b/>
          <w:sz w:val="28"/>
          <w:szCs w:val="24"/>
        </w:rPr>
      </w:pPr>
      <w:r w:rsidRPr="00DC7609">
        <w:rPr>
          <w:noProof/>
        </w:rPr>
        <w:drawing>
          <wp:inline distT="0" distB="0" distL="0" distR="0" wp14:anchorId="3B06F572" wp14:editId="1502E504">
            <wp:extent cx="4670806" cy="3381375"/>
            <wp:effectExtent l="19050" t="19050" r="158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675612" cy="3384855"/>
                    </a:xfrm>
                    <a:prstGeom prst="rect">
                      <a:avLst/>
                    </a:prstGeom>
                    <a:ln>
                      <a:solidFill>
                        <a:schemeClr val="tx1"/>
                      </a:solidFill>
                    </a:ln>
                  </pic:spPr>
                </pic:pic>
              </a:graphicData>
            </a:graphic>
          </wp:inline>
        </w:drawing>
      </w:r>
    </w:p>
    <w:p w:rsidR="00D10EA7" w:rsidRDefault="00D10EA7" w:rsidP="00D10EA7">
      <w:pPr>
        <w:jc w:val="both"/>
        <w:rPr>
          <w:rFonts w:ascii="Times New Roman" w:hAnsi="Times New Roman"/>
          <w:b/>
          <w:sz w:val="24"/>
          <w:szCs w:val="24"/>
        </w:rPr>
      </w:pPr>
      <w:r>
        <w:rPr>
          <w:rFonts w:ascii="Times New Roman" w:hAnsi="Times New Roman"/>
          <w:b/>
          <w:sz w:val="24"/>
          <w:szCs w:val="24"/>
        </w:rPr>
        <w:lastRenderedPageBreak/>
        <w:t>Figure 4.</w:t>
      </w:r>
      <w:r w:rsidR="00C02804">
        <w:rPr>
          <w:rFonts w:ascii="Times New Roman" w:hAnsi="Times New Roman"/>
          <w:b/>
          <w:sz w:val="24"/>
          <w:szCs w:val="24"/>
        </w:rPr>
        <w:t>12</w:t>
      </w:r>
      <w:r>
        <w:rPr>
          <w:rFonts w:ascii="Times New Roman" w:hAnsi="Times New Roman"/>
          <w:b/>
          <w:sz w:val="24"/>
          <w:szCs w:val="24"/>
        </w:rPr>
        <w:t>: H</w:t>
      </w:r>
      <w:r w:rsidRPr="007676EB">
        <w:rPr>
          <w:rFonts w:ascii="Times New Roman" w:hAnsi="Times New Roman"/>
          <w:b/>
          <w:sz w:val="24"/>
          <w:szCs w:val="24"/>
        </w:rPr>
        <w:t xml:space="preserve">istorical </w:t>
      </w:r>
      <w:r>
        <w:rPr>
          <w:rFonts w:ascii="Times New Roman" w:hAnsi="Times New Roman"/>
          <w:b/>
          <w:sz w:val="24"/>
          <w:szCs w:val="24"/>
        </w:rPr>
        <w:t>T</w:t>
      </w:r>
      <w:r w:rsidRPr="007676EB">
        <w:rPr>
          <w:rFonts w:ascii="Times New Roman" w:hAnsi="Times New Roman"/>
          <w:b/>
          <w:sz w:val="24"/>
          <w:szCs w:val="24"/>
        </w:rPr>
        <w:t xml:space="preserve">ime </w:t>
      </w:r>
      <w:r>
        <w:rPr>
          <w:rFonts w:ascii="Times New Roman" w:hAnsi="Times New Roman"/>
          <w:b/>
          <w:sz w:val="24"/>
          <w:szCs w:val="24"/>
        </w:rPr>
        <w:t>S</w:t>
      </w:r>
      <w:r w:rsidRPr="007676EB">
        <w:rPr>
          <w:rFonts w:ascii="Times New Roman" w:hAnsi="Times New Roman"/>
          <w:b/>
          <w:sz w:val="24"/>
          <w:szCs w:val="24"/>
        </w:rPr>
        <w:t>eries</w:t>
      </w:r>
      <w:r>
        <w:rPr>
          <w:rFonts w:ascii="Times New Roman" w:hAnsi="Times New Roman"/>
          <w:b/>
          <w:sz w:val="24"/>
          <w:szCs w:val="24"/>
        </w:rPr>
        <w:t>,</w:t>
      </w:r>
      <w:r w:rsidRPr="007676EB">
        <w:rPr>
          <w:rFonts w:ascii="Times New Roman" w:hAnsi="Times New Roman"/>
          <w:b/>
          <w:sz w:val="24"/>
          <w:szCs w:val="24"/>
        </w:rPr>
        <w:t xml:space="preserve"> Base and Severe </w:t>
      </w:r>
      <w:r>
        <w:rPr>
          <w:rFonts w:ascii="Times New Roman" w:hAnsi="Times New Roman"/>
          <w:b/>
          <w:sz w:val="24"/>
          <w:szCs w:val="24"/>
        </w:rPr>
        <w:t>S</w:t>
      </w:r>
      <w:r w:rsidRPr="007676EB">
        <w:rPr>
          <w:rFonts w:ascii="Times New Roman" w:hAnsi="Times New Roman"/>
          <w:b/>
          <w:sz w:val="24"/>
          <w:szCs w:val="24"/>
        </w:rPr>
        <w:t>cenarios for the VAR</w:t>
      </w:r>
      <w:r>
        <w:rPr>
          <w:rFonts w:ascii="Times New Roman" w:hAnsi="Times New Roman"/>
          <w:b/>
          <w:sz w:val="24"/>
          <w:szCs w:val="24"/>
        </w:rPr>
        <w:t>,</w:t>
      </w:r>
      <w:r w:rsidRPr="007676EB">
        <w:rPr>
          <w:rFonts w:ascii="Times New Roman" w:hAnsi="Times New Roman"/>
          <w:b/>
          <w:sz w:val="24"/>
          <w:szCs w:val="24"/>
        </w:rPr>
        <w:t xml:space="preserve"> MS-VAR </w:t>
      </w:r>
      <w:r>
        <w:rPr>
          <w:rFonts w:ascii="Times New Roman" w:hAnsi="Times New Roman"/>
          <w:b/>
          <w:sz w:val="24"/>
          <w:szCs w:val="24"/>
        </w:rPr>
        <w:t>and Fed M</w:t>
      </w:r>
      <w:r w:rsidRPr="007676EB">
        <w:rPr>
          <w:rFonts w:ascii="Times New Roman" w:hAnsi="Times New Roman"/>
          <w:b/>
          <w:sz w:val="24"/>
          <w:szCs w:val="24"/>
        </w:rPr>
        <w:t>odels</w:t>
      </w:r>
      <w:r>
        <w:rPr>
          <w:rFonts w:ascii="Times New Roman" w:hAnsi="Times New Roman"/>
          <w:b/>
          <w:sz w:val="24"/>
          <w:szCs w:val="24"/>
        </w:rPr>
        <w:t xml:space="preserve"> – Commercial Real Estate Price Index</w:t>
      </w:r>
    </w:p>
    <w:p w:rsidR="00D10EA7" w:rsidRDefault="00D10EA7" w:rsidP="00D10EA7">
      <w:pPr>
        <w:rPr>
          <w:rFonts w:ascii="Times New Roman" w:hAnsi="Times New Roman"/>
          <w:b/>
          <w:sz w:val="24"/>
          <w:szCs w:val="24"/>
        </w:rPr>
      </w:pPr>
      <w:r w:rsidRPr="004D587C">
        <w:rPr>
          <w:noProof/>
        </w:rPr>
        <w:drawing>
          <wp:inline distT="0" distB="0" distL="0" distR="0" wp14:anchorId="704CD62B" wp14:editId="4EC1130D">
            <wp:extent cx="4736592" cy="343814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736592" cy="3438144"/>
                    </a:xfrm>
                    <a:prstGeom prst="rect">
                      <a:avLst/>
                    </a:prstGeom>
                  </pic:spPr>
                </pic:pic>
              </a:graphicData>
            </a:graphic>
          </wp:inline>
        </w:drawing>
      </w:r>
    </w:p>
    <w:p w:rsidR="00D10EA7" w:rsidRPr="00FB39F7" w:rsidRDefault="00D10EA7" w:rsidP="00D10EA7">
      <w:pPr>
        <w:rPr>
          <w:rFonts w:ascii="Times New Roman" w:hAnsi="Times New Roman"/>
          <w:b/>
          <w:sz w:val="24"/>
          <w:szCs w:val="24"/>
        </w:rPr>
      </w:pPr>
      <w:r w:rsidRPr="00FB39F7">
        <w:rPr>
          <w:rFonts w:ascii="Times New Roman" w:hAnsi="Times New Roman"/>
          <w:b/>
          <w:sz w:val="24"/>
          <w:szCs w:val="24"/>
        </w:rPr>
        <w:t>Figure 4.</w:t>
      </w:r>
      <w:r w:rsidR="00C02804">
        <w:rPr>
          <w:rFonts w:ascii="Times New Roman" w:hAnsi="Times New Roman"/>
          <w:b/>
          <w:sz w:val="24"/>
          <w:szCs w:val="24"/>
        </w:rPr>
        <w:t>13</w:t>
      </w:r>
      <w:r w:rsidRPr="00FB39F7">
        <w:rPr>
          <w:rFonts w:ascii="Times New Roman" w:hAnsi="Times New Roman"/>
          <w:b/>
          <w:sz w:val="24"/>
          <w:szCs w:val="24"/>
        </w:rPr>
        <w:t>: Historical Time Series, Base and Severe Scenarios for the VAR, MS-VAR and Fed Models – Baa Corporate Credit Spread</w:t>
      </w:r>
    </w:p>
    <w:p w:rsidR="00D10EA7" w:rsidRPr="00FB39F7" w:rsidRDefault="00D10EA7" w:rsidP="00D10EA7">
      <w:pPr>
        <w:rPr>
          <w:rFonts w:ascii="Times New Roman" w:hAnsi="Times New Roman"/>
          <w:b/>
          <w:sz w:val="28"/>
          <w:szCs w:val="24"/>
        </w:rPr>
      </w:pPr>
      <w:r w:rsidRPr="007E3AA7">
        <w:rPr>
          <w:noProof/>
        </w:rPr>
        <w:drawing>
          <wp:inline distT="0" distB="0" distL="0" distR="0" wp14:anchorId="6004B50F" wp14:editId="2FA2EA66">
            <wp:extent cx="4736592" cy="343814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736592" cy="3438144"/>
                    </a:xfrm>
                    <a:prstGeom prst="rect">
                      <a:avLst/>
                    </a:prstGeom>
                  </pic:spPr>
                </pic:pic>
              </a:graphicData>
            </a:graphic>
          </wp:inline>
        </w:drawing>
      </w:r>
      <w:r w:rsidRPr="00FB39F7">
        <w:rPr>
          <w:rFonts w:ascii="Times New Roman" w:hAnsi="Times New Roman"/>
          <w:b/>
          <w:sz w:val="28"/>
          <w:szCs w:val="24"/>
        </w:rPr>
        <w:t xml:space="preserve"> </w:t>
      </w:r>
    </w:p>
    <w:p w:rsidR="00D10EA7" w:rsidRPr="00FB39F7" w:rsidRDefault="00D10EA7" w:rsidP="00D10EA7">
      <w:pPr>
        <w:rPr>
          <w:rFonts w:ascii="Times New Roman" w:hAnsi="Times New Roman"/>
          <w:b/>
          <w:sz w:val="24"/>
          <w:szCs w:val="24"/>
        </w:rPr>
      </w:pPr>
      <w:r w:rsidRPr="00FB39F7">
        <w:rPr>
          <w:rFonts w:ascii="Times New Roman" w:hAnsi="Times New Roman"/>
          <w:b/>
          <w:sz w:val="24"/>
          <w:szCs w:val="24"/>
        </w:rPr>
        <w:lastRenderedPageBreak/>
        <w:t>Figure 4.</w:t>
      </w:r>
      <w:r w:rsidR="00C02804">
        <w:rPr>
          <w:rFonts w:ascii="Times New Roman" w:hAnsi="Times New Roman"/>
          <w:b/>
          <w:sz w:val="24"/>
          <w:szCs w:val="24"/>
        </w:rPr>
        <w:t>14</w:t>
      </w:r>
      <w:r w:rsidRPr="00FB39F7">
        <w:rPr>
          <w:rFonts w:ascii="Times New Roman" w:hAnsi="Times New Roman"/>
          <w:b/>
          <w:sz w:val="24"/>
          <w:szCs w:val="24"/>
        </w:rPr>
        <w:t>: Historical Time Series, Base and Severe Scenarios for the VAR, MS-VAR and Fed Models – VIX Equity Market Volatility Index</w:t>
      </w:r>
    </w:p>
    <w:p w:rsidR="00D10EA7" w:rsidRPr="00FB39F7" w:rsidRDefault="00D10EA7" w:rsidP="00D10EA7">
      <w:pPr>
        <w:rPr>
          <w:rFonts w:ascii="Times New Roman" w:hAnsi="Times New Roman"/>
          <w:b/>
          <w:sz w:val="24"/>
          <w:szCs w:val="24"/>
        </w:rPr>
      </w:pPr>
      <w:r w:rsidRPr="001346CA">
        <w:rPr>
          <w:noProof/>
        </w:rPr>
        <w:drawing>
          <wp:inline distT="0" distB="0" distL="0" distR="0" wp14:anchorId="18071EC1" wp14:editId="64338177">
            <wp:extent cx="4171950" cy="302828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176642" cy="3031694"/>
                    </a:xfrm>
                    <a:prstGeom prst="rect">
                      <a:avLst/>
                    </a:prstGeom>
                  </pic:spPr>
                </pic:pic>
              </a:graphicData>
            </a:graphic>
          </wp:inline>
        </w:drawing>
      </w:r>
    </w:p>
    <w:p w:rsidR="00C02804" w:rsidRDefault="00C02804" w:rsidP="00155838">
      <w:pPr>
        <w:jc w:val="both"/>
        <w:rPr>
          <w:rFonts w:ascii="Times New Roman" w:hAnsi="Times New Roman"/>
          <w:sz w:val="24"/>
          <w:szCs w:val="24"/>
        </w:rPr>
      </w:pPr>
    </w:p>
    <w:p w:rsidR="00155838" w:rsidRDefault="00C02804" w:rsidP="00155838">
      <w:pPr>
        <w:jc w:val="both"/>
        <w:rPr>
          <w:rFonts w:ascii="Times New Roman" w:hAnsi="Times New Roman"/>
          <w:sz w:val="24"/>
          <w:szCs w:val="24"/>
        </w:rPr>
      </w:pPr>
      <w:proofErr w:type="gramStart"/>
      <w:r>
        <w:rPr>
          <w:rFonts w:ascii="Times New Roman" w:hAnsi="Times New Roman"/>
          <w:sz w:val="24"/>
          <w:szCs w:val="24"/>
        </w:rPr>
        <w:t>the</w:t>
      </w:r>
      <w:proofErr w:type="gramEnd"/>
      <w:r>
        <w:rPr>
          <w:rFonts w:ascii="Times New Roman" w:hAnsi="Times New Roman"/>
          <w:sz w:val="24"/>
          <w:szCs w:val="24"/>
        </w:rPr>
        <w:t xml:space="preserve"> Base nd Severe scenarios for the VAR and MS-VAR models</w:t>
      </w:r>
      <w:r>
        <w:rPr>
          <w:rStyle w:val="FootnoteReference"/>
          <w:rFonts w:ascii="Times New Roman" w:hAnsi="Times New Roman"/>
          <w:sz w:val="24"/>
          <w:szCs w:val="24"/>
        </w:rPr>
        <w:footnoteReference w:id="8"/>
      </w:r>
      <w:r>
        <w:rPr>
          <w:rFonts w:ascii="Times New Roman" w:hAnsi="Times New Roman"/>
          <w:sz w:val="24"/>
          <w:szCs w:val="24"/>
        </w:rPr>
        <w:t xml:space="preserve">, and also compare this to the corresponding Fed scenarios, along the historical time series.  </w:t>
      </w:r>
      <w:r w:rsidR="00155838">
        <w:rPr>
          <w:rFonts w:ascii="Times New Roman" w:hAnsi="Times New Roman"/>
          <w:sz w:val="24"/>
          <w:szCs w:val="24"/>
        </w:rPr>
        <w:t>The alternative scenarios are summarized in Table 4.3 and figures 4.1 through 4.5.  We make the following general conclusions regarding the different scenario generation methods (detailed description is given in Appendix 2):</w:t>
      </w:r>
    </w:p>
    <w:p w:rsidR="00C56423" w:rsidRPr="00155838" w:rsidRDefault="00C56423" w:rsidP="00C56423">
      <w:pPr>
        <w:pStyle w:val="ListParagraph"/>
        <w:numPr>
          <w:ilvl w:val="0"/>
          <w:numId w:val="34"/>
        </w:numPr>
        <w:jc w:val="both"/>
        <w:rPr>
          <w:rFonts w:ascii="Times New Roman" w:hAnsi="Times New Roman"/>
          <w:b/>
          <w:sz w:val="28"/>
          <w:szCs w:val="24"/>
        </w:rPr>
      </w:pPr>
      <w:r w:rsidRPr="00155838">
        <w:rPr>
          <w:rFonts w:ascii="Times New Roman" w:hAnsi="Times New Roman"/>
          <w:sz w:val="24"/>
          <w:szCs w:val="24"/>
        </w:rPr>
        <w:t>In the Severe scenario, the MS-VAR model is far more conservative than the VAR model, and always at least match and in some cases can well exceed historical peaks or troughs in the adverse direction.</w:t>
      </w:r>
    </w:p>
    <w:p w:rsidR="00C02804" w:rsidRPr="00C02804" w:rsidRDefault="00C02804" w:rsidP="00C02804">
      <w:pPr>
        <w:pStyle w:val="ListParagraph"/>
        <w:jc w:val="both"/>
        <w:rPr>
          <w:rFonts w:ascii="Times New Roman" w:hAnsi="Times New Roman"/>
          <w:b/>
          <w:sz w:val="28"/>
          <w:szCs w:val="24"/>
        </w:rPr>
      </w:pPr>
    </w:p>
    <w:p w:rsidR="00C56423" w:rsidRPr="005A0D16" w:rsidRDefault="00C56423" w:rsidP="00C56423">
      <w:pPr>
        <w:pStyle w:val="ListParagraph"/>
        <w:numPr>
          <w:ilvl w:val="0"/>
          <w:numId w:val="29"/>
        </w:numPr>
        <w:jc w:val="both"/>
        <w:rPr>
          <w:rFonts w:ascii="Times New Roman" w:hAnsi="Times New Roman"/>
          <w:b/>
          <w:sz w:val="28"/>
          <w:szCs w:val="24"/>
        </w:rPr>
      </w:pPr>
      <w:r w:rsidRPr="005A0D16">
        <w:rPr>
          <w:rFonts w:ascii="Times New Roman" w:hAnsi="Times New Roman"/>
          <w:sz w:val="24"/>
          <w:szCs w:val="24"/>
        </w:rPr>
        <w:t>In terms of magnitude, the VAR model is similar to the Fed scenarios, but the trajectories of either the VAR or MS-VAR model tend to be more regular</w:t>
      </w:r>
      <w:r>
        <w:rPr>
          <w:rFonts w:ascii="Times New Roman" w:hAnsi="Times New Roman"/>
          <w:sz w:val="24"/>
          <w:szCs w:val="24"/>
        </w:rPr>
        <w:t>, rising at a more gradual pace into the forecast period</w:t>
      </w:r>
      <w:r w:rsidRPr="005A0D16">
        <w:rPr>
          <w:rFonts w:ascii="Times New Roman" w:hAnsi="Times New Roman"/>
          <w:sz w:val="24"/>
          <w:szCs w:val="24"/>
        </w:rPr>
        <w:t>.</w:t>
      </w:r>
      <w:r w:rsidRPr="005A0D16">
        <w:rPr>
          <w:rFonts w:ascii="Times New Roman" w:hAnsi="Times New Roman"/>
          <w:b/>
          <w:sz w:val="28"/>
          <w:szCs w:val="24"/>
        </w:rPr>
        <w:t xml:space="preserve"> </w:t>
      </w:r>
    </w:p>
    <w:p w:rsidR="00C02804" w:rsidRDefault="00C02804" w:rsidP="00C02804">
      <w:pPr>
        <w:pStyle w:val="ListParagraph"/>
        <w:jc w:val="both"/>
        <w:rPr>
          <w:rFonts w:ascii="Times New Roman" w:hAnsi="Times New Roman"/>
          <w:sz w:val="24"/>
          <w:szCs w:val="24"/>
        </w:rPr>
      </w:pPr>
    </w:p>
    <w:p w:rsidR="00C56423" w:rsidRPr="00E50F67" w:rsidRDefault="00C56423" w:rsidP="00C56423">
      <w:pPr>
        <w:pStyle w:val="ListParagraph"/>
        <w:numPr>
          <w:ilvl w:val="0"/>
          <w:numId w:val="30"/>
        </w:numPr>
        <w:jc w:val="both"/>
        <w:rPr>
          <w:rFonts w:ascii="Times New Roman" w:hAnsi="Times New Roman"/>
          <w:sz w:val="24"/>
          <w:szCs w:val="24"/>
        </w:rPr>
      </w:pPr>
      <w:r>
        <w:rPr>
          <w:rFonts w:ascii="Times New Roman" w:hAnsi="Times New Roman"/>
          <w:sz w:val="24"/>
          <w:szCs w:val="24"/>
        </w:rPr>
        <w:t>In the Base scenarios, the Fed model is rather similar to the VAR model, but in all cases the MS-VAR model produces a higher base, which is driven by the skewness of the mixture error distribution.</w:t>
      </w:r>
    </w:p>
    <w:p w:rsidR="00C56423" w:rsidRDefault="00C56423" w:rsidP="00D376AF">
      <w:pPr>
        <w:jc w:val="both"/>
        <w:rPr>
          <w:rFonts w:ascii="Times New Roman" w:hAnsi="Times New Roman"/>
          <w:sz w:val="24"/>
          <w:szCs w:val="24"/>
        </w:rPr>
      </w:pPr>
      <w:r>
        <w:rPr>
          <w:rFonts w:ascii="Times New Roman" w:hAnsi="Times New Roman"/>
          <w:sz w:val="24"/>
          <w:szCs w:val="24"/>
        </w:rPr>
        <w:lastRenderedPageBreak/>
        <w:t xml:space="preserve">The estimation results are summarized in Table 4.3.  The top panel tabulates the results of the </w:t>
      </w:r>
      <w:proofErr w:type="gramStart"/>
      <w:r>
        <w:rPr>
          <w:rFonts w:ascii="Times New Roman" w:hAnsi="Times New Roman"/>
          <w:sz w:val="24"/>
          <w:szCs w:val="24"/>
        </w:rPr>
        <w:t>VAR(</w:t>
      </w:r>
      <w:proofErr w:type="gramEnd"/>
      <w:r>
        <w:rPr>
          <w:rFonts w:ascii="Times New Roman" w:hAnsi="Times New Roman"/>
          <w:sz w:val="24"/>
          <w:szCs w:val="24"/>
        </w:rPr>
        <w:t>1) estimation of a 4-equation system, while the bottom panel tabulates the results of the single equation AR(1) models for each portfolio segment separately.  Before proceeding to discuss detailed results for each segment, we highlight the main conclusions of this analysis (a detailed discussion of the estimation results for each segment is given in Appendix 3):</w:t>
      </w:r>
    </w:p>
    <w:p w:rsidR="00C56423" w:rsidRDefault="00C56423" w:rsidP="00C56423">
      <w:pPr>
        <w:pStyle w:val="ListParagraph"/>
        <w:numPr>
          <w:ilvl w:val="0"/>
          <w:numId w:val="27"/>
        </w:numPr>
        <w:jc w:val="both"/>
        <w:rPr>
          <w:rFonts w:ascii="Times New Roman" w:hAnsi="Times New Roman"/>
          <w:sz w:val="24"/>
          <w:szCs w:val="24"/>
        </w:rPr>
      </w:pPr>
      <w:r>
        <w:rPr>
          <w:rFonts w:ascii="Times New Roman" w:hAnsi="Times New Roman"/>
          <w:sz w:val="24"/>
          <w:szCs w:val="24"/>
        </w:rPr>
        <w:t>In both the VAR and AR models, all coefficient estimates are of intuitive sign, statistically significant at conventional confidence levels, although we note that the significance levels are generally at higher levels for the VAR as comparted to the AR models</w:t>
      </w:r>
    </w:p>
    <w:p w:rsidR="00C56423" w:rsidRDefault="00C56423" w:rsidP="00C56423">
      <w:pPr>
        <w:pStyle w:val="ListParagraph"/>
        <w:jc w:val="both"/>
        <w:rPr>
          <w:rFonts w:ascii="Times New Roman" w:hAnsi="Times New Roman"/>
          <w:sz w:val="24"/>
          <w:szCs w:val="24"/>
        </w:rPr>
      </w:pPr>
    </w:p>
    <w:p w:rsidR="00C56423" w:rsidRDefault="00C56423" w:rsidP="00C56423">
      <w:pPr>
        <w:pStyle w:val="ListParagraph"/>
        <w:numPr>
          <w:ilvl w:val="0"/>
          <w:numId w:val="27"/>
        </w:numPr>
        <w:jc w:val="both"/>
        <w:rPr>
          <w:rFonts w:ascii="Times New Roman" w:hAnsi="Times New Roman"/>
          <w:sz w:val="24"/>
          <w:szCs w:val="24"/>
        </w:rPr>
      </w:pPr>
      <w:r>
        <w:rPr>
          <w:rFonts w:ascii="Times New Roman" w:hAnsi="Times New Roman"/>
          <w:sz w:val="24"/>
          <w:szCs w:val="24"/>
        </w:rPr>
        <w:t>Residual diagnostics reveal lack of serial autocorrelation and a Gaussian distribution (refer to Figures 9.1 through 9.15 of Appendix 3) in both VAR and AR models, although we note that the quality of residuals if somewhat better for the VAR as comparted to the AR models</w:t>
      </w:r>
    </w:p>
    <w:p w:rsidR="00C56423" w:rsidRDefault="00C56423" w:rsidP="00C56423">
      <w:pPr>
        <w:pStyle w:val="ListParagraph"/>
        <w:jc w:val="both"/>
        <w:rPr>
          <w:rFonts w:ascii="Times New Roman" w:hAnsi="Times New Roman"/>
          <w:sz w:val="24"/>
          <w:szCs w:val="24"/>
        </w:rPr>
      </w:pPr>
    </w:p>
    <w:p w:rsidR="00C56423" w:rsidRDefault="00C56423" w:rsidP="00C56423">
      <w:pPr>
        <w:pStyle w:val="ListParagraph"/>
        <w:numPr>
          <w:ilvl w:val="0"/>
          <w:numId w:val="27"/>
        </w:numPr>
        <w:jc w:val="both"/>
        <w:rPr>
          <w:rFonts w:ascii="Times New Roman" w:hAnsi="Times New Roman"/>
          <w:sz w:val="24"/>
          <w:szCs w:val="24"/>
        </w:rPr>
      </w:pPr>
      <w:r>
        <w:rPr>
          <w:rFonts w:ascii="Times New Roman" w:hAnsi="Times New Roman"/>
          <w:sz w:val="24"/>
          <w:szCs w:val="24"/>
        </w:rPr>
        <w:t>Across all 4 segments, according to the likelihood ratio statistic, we reject the hypothesis that the restrictions of the single equation AR models are justified</w:t>
      </w:r>
    </w:p>
    <w:p w:rsidR="00C56423" w:rsidRDefault="00C56423" w:rsidP="00C56423">
      <w:pPr>
        <w:pStyle w:val="ListParagraph"/>
        <w:jc w:val="both"/>
        <w:rPr>
          <w:rFonts w:ascii="Times New Roman" w:hAnsi="Times New Roman"/>
          <w:sz w:val="24"/>
          <w:szCs w:val="24"/>
        </w:rPr>
      </w:pPr>
    </w:p>
    <w:p w:rsidR="00C56423" w:rsidRDefault="00C56423" w:rsidP="00C56423">
      <w:pPr>
        <w:pStyle w:val="ListParagraph"/>
        <w:numPr>
          <w:ilvl w:val="0"/>
          <w:numId w:val="27"/>
        </w:numPr>
        <w:jc w:val="both"/>
        <w:rPr>
          <w:rFonts w:ascii="Times New Roman" w:hAnsi="Times New Roman"/>
          <w:sz w:val="24"/>
          <w:szCs w:val="24"/>
        </w:rPr>
      </w:pPr>
      <w:r>
        <w:rPr>
          <w:rFonts w:ascii="Times New Roman" w:hAnsi="Times New Roman"/>
          <w:sz w:val="24"/>
          <w:szCs w:val="24"/>
        </w:rPr>
        <w:t>The results of the estimation are broadly consistent across the VAR and AR models, but with a few notable differences, such that the autocorrelation terms are larger in the AR models than in the VAR model</w:t>
      </w:r>
    </w:p>
    <w:p w:rsidR="00C56423" w:rsidRPr="0039126C" w:rsidRDefault="00C56423" w:rsidP="00C56423">
      <w:pPr>
        <w:pStyle w:val="ListParagraph"/>
        <w:rPr>
          <w:rFonts w:ascii="Times New Roman" w:hAnsi="Times New Roman"/>
          <w:sz w:val="24"/>
          <w:szCs w:val="24"/>
        </w:rPr>
      </w:pPr>
    </w:p>
    <w:p w:rsidR="00C56423" w:rsidRDefault="00C56423" w:rsidP="00C56423">
      <w:pPr>
        <w:pStyle w:val="ListParagraph"/>
        <w:numPr>
          <w:ilvl w:val="0"/>
          <w:numId w:val="27"/>
        </w:numPr>
        <w:jc w:val="both"/>
        <w:rPr>
          <w:rFonts w:ascii="Times New Roman" w:hAnsi="Times New Roman"/>
          <w:sz w:val="24"/>
          <w:szCs w:val="24"/>
        </w:rPr>
      </w:pPr>
      <w:r>
        <w:rPr>
          <w:rFonts w:ascii="Times New Roman" w:hAnsi="Times New Roman"/>
          <w:sz w:val="24"/>
          <w:szCs w:val="24"/>
        </w:rPr>
        <w:t>The VAR models show greater sensitivity to macroeconomic factors than do the AR models</w:t>
      </w:r>
    </w:p>
    <w:p w:rsidR="00C56423" w:rsidRPr="00E550EB" w:rsidRDefault="00C56423" w:rsidP="00C56423">
      <w:pPr>
        <w:pStyle w:val="ListParagraph"/>
        <w:rPr>
          <w:rFonts w:ascii="Times New Roman" w:hAnsi="Times New Roman"/>
          <w:sz w:val="24"/>
          <w:szCs w:val="24"/>
        </w:rPr>
      </w:pPr>
    </w:p>
    <w:p w:rsidR="00C56423" w:rsidRDefault="00C56423" w:rsidP="00C56423">
      <w:pPr>
        <w:pStyle w:val="ListParagraph"/>
        <w:numPr>
          <w:ilvl w:val="0"/>
          <w:numId w:val="27"/>
        </w:numPr>
        <w:jc w:val="both"/>
        <w:rPr>
          <w:rFonts w:ascii="Times New Roman" w:hAnsi="Times New Roman"/>
          <w:sz w:val="24"/>
          <w:szCs w:val="24"/>
        </w:rPr>
      </w:pPr>
      <w:r w:rsidRPr="00C56423">
        <w:rPr>
          <w:rFonts w:ascii="Times New Roman" w:hAnsi="Times New Roman"/>
          <w:sz w:val="24"/>
          <w:szCs w:val="24"/>
        </w:rPr>
        <w:t>The VAR models are generally more accurate according to standard measures of model fit with respect to each segment</w:t>
      </w:r>
    </w:p>
    <w:p w:rsidR="00C56423" w:rsidRPr="00C56423" w:rsidRDefault="00C56423" w:rsidP="00C56423">
      <w:pPr>
        <w:pStyle w:val="ListParagraph"/>
        <w:rPr>
          <w:rFonts w:ascii="Times New Roman" w:hAnsi="Times New Roman"/>
          <w:sz w:val="24"/>
          <w:szCs w:val="24"/>
        </w:rPr>
      </w:pPr>
    </w:p>
    <w:p w:rsidR="00FB39F7" w:rsidRPr="00C56423" w:rsidRDefault="00C56423" w:rsidP="00C56423">
      <w:pPr>
        <w:pStyle w:val="ListParagraph"/>
        <w:numPr>
          <w:ilvl w:val="0"/>
          <w:numId w:val="27"/>
        </w:numPr>
        <w:jc w:val="both"/>
        <w:rPr>
          <w:rFonts w:ascii="Times New Roman" w:hAnsi="Times New Roman"/>
          <w:sz w:val="24"/>
          <w:szCs w:val="24"/>
        </w:rPr>
      </w:pPr>
      <w:r w:rsidRPr="00C56423">
        <w:rPr>
          <w:rFonts w:ascii="Times New Roman" w:hAnsi="Times New Roman"/>
          <w:sz w:val="24"/>
          <w:szCs w:val="24"/>
        </w:rPr>
        <w:t>The VAR is more conservative than the AR as by measured by cumulative 9-quarter percentage error in the sense of under-predicting (over-predicting) to a lesser degree during the downturn (recent) period</w:t>
      </w:r>
    </w:p>
    <w:p w:rsidR="00C02804" w:rsidRDefault="00C02804" w:rsidP="00C02804">
      <w:pPr>
        <w:jc w:val="both"/>
        <w:rPr>
          <w:rFonts w:ascii="Times New Roman" w:hAnsi="Times New Roman"/>
          <w:b/>
          <w:sz w:val="24"/>
          <w:szCs w:val="24"/>
        </w:rPr>
      </w:pPr>
      <w:r w:rsidRPr="00C56423">
        <w:rPr>
          <w:rFonts w:ascii="Times New Roman" w:hAnsi="Times New Roman"/>
          <w:sz w:val="24"/>
          <w:szCs w:val="24"/>
        </w:rPr>
        <w:t>The results of the scenario analysis with respect to the credit loss segments, for both AR and VAR estimation, as well as for the three scenario generation methodologies (Fed, VAR and MS-VAR), are shown in Table 4.4 and ion Figures 4.</w:t>
      </w:r>
      <w:r>
        <w:rPr>
          <w:rFonts w:ascii="Times New Roman" w:hAnsi="Times New Roman"/>
          <w:sz w:val="24"/>
          <w:szCs w:val="24"/>
        </w:rPr>
        <w:t>1</w:t>
      </w:r>
      <w:r w:rsidRPr="00C56423">
        <w:rPr>
          <w:rFonts w:ascii="Times New Roman" w:hAnsi="Times New Roman"/>
          <w:sz w:val="24"/>
          <w:szCs w:val="24"/>
        </w:rPr>
        <w:t>5 through 4.</w:t>
      </w:r>
      <w:r>
        <w:rPr>
          <w:rFonts w:ascii="Times New Roman" w:hAnsi="Times New Roman"/>
          <w:sz w:val="24"/>
          <w:szCs w:val="24"/>
        </w:rPr>
        <w:t>1</w:t>
      </w:r>
      <w:r w:rsidRPr="00C56423">
        <w:rPr>
          <w:rFonts w:ascii="Times New Roman" w:hAnsi="Times New Roman"/>
          <w:sz w:val="24"/>
          <w:szCs w:val="24"/>
        </w:rPr>
        <w:t>8.  The results across modeling segments are in line with the scenarios analysis as per macroeconomic variable as discussed in this section, but these results in terms of conser4vatism of the severe forecasts are accentuated in the VAR model and dampened in the AR models.  In the Severe scenario, the MS-VAR model is far more conservative than the VAR model, reflecting the greater sensitivity to macroeconomic factors noted in the estimation results, and always at least match and in some cases can well exceed historical peaks or troughs in the adverse direction.</w:t>
      </w:r>
    </w:p>
    <w:p w:rsidR="00C02804" w:rsidRPr="00500F8C" w:rsidRDefault="00C02804" w:rsidP="00C02804">
      <w:pPr>
        <w:rPr>
          <w:rFonts w:ascii="Times New Roman" w:hAnsi="Times New Roman"/>
          <w:b/>
          <w:sz w:val="24"/>
          <w:szCs w:val="24"/>
        </w:rPr>
      </w:pPr>
      <w:r w:rsidRPr="00500F8C">
        <w:rPr>
          <w:rFonts w:ascii="Times New Roman" w:hAnsi="Times New Roman"/>
          <w:b/>
          <w:sz w:val="24"/>
          <w:szCs w:val="24"/>
        </w:rPr>
        <w:lastRenderedPageBreak/>
        <w:t>Table 4.3:  Vector Autoregressive vs. Single Equation Autoregressive Model Estimation Compared (Fed Macroeconomic Variables and Aggregate Y9 Bank Chargeoffs)</w:t>
      </w:r>
    </w:p>
    <w:p w:rsidR="00C02804" w:rsidRPr="00500F8C" w:rsidRDefault="00C02804" w:rsidP="00C02804">
      <w:pPr>
        <w:rPr>
          <w:rFonts w:ascii="Times New Roman" w:hAnsi="Times New Roman"/>
          <w:b/>
          <w:sz w:val="24"/>
          <w:szCs w:val="24"/>
        </w:rPr>
      </w:pPr>
      <w:r w:rsidRPr="006F17F8">
        <w:rPr>
          <w:noProof/>
        </w:rPr>
        <w:drawing>
          <wp:inline distT="0" distB="0" distL="0" distR="0" wp14:anchorId="5D8ABB8B" wp14:editId="2E49A474">
            <wp:extent cx="5943600" cy="4586605"/>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3600" cy="4586605"/>
                    </a:xfrm>
                    <a:prstGeom prst="rect">
                      <a:avLst/>
                    </a:prstGeom>
                    <a:ln>
                      <a:solidFill>
                        <a:schemeClr val="tx1"/>
                      </a:solidFill>
                    </a:ln>
                  </pic:spPr>
                </pic:pic>
              </a:graphicData>
            </a:graphic>
          </wp:inline>
        </w:drawing>
      </w:r>
    </w:p>
    <w:p w:rsidR="00C02804" w:rsidRDefault="00C02804">
      <w:pPr>
        <w:rPr>
          <w:rFonts w:ascii="Times New Roman" w:hAnsi="Times New Roman"/>
          <w:sz w:val="24"/>
          <w:szCs w:val="24"/>
        </w:rPr>
      </w:pPr>
    </w:p>
    <w:p w:rsidR="00C02804" w:rsidRDefault="00C02804">
      <w:pPr>
        <w:rPr>
          <w:rFonts w:ascii="Times New Roman" w:hAnsi="Times New Roman"/>
          <w:b/>
          <w:sz w:val="24"/>
          <w:szCs w:val="24"/>
        </w:rPr>
      </w:pPr>
      <w:r>
        <w:rPr>
          <w:rFonts w:ascii="Times New Roman" w:hAnsi="Times New Roman"/>
          <w:sz w:val="24"/>
          <w:szCs w:val="24"/>
        </w:rPr>
        <w:t>As an example, in the case of the C&amp;I segment in the VAR estimation and as measured by the cumulative loss relative to that in the downturn period in VAR estimation, in the C&amp;I segment this multiple is 1.05 in the MS-VAR model but only 0.85 (0.36) in the VAR (FED) scenario generation models.  However, in the corresponding multiple is 0.75 in the MS-VAR model but only 0.71 (0.29) in the VAR (FED) scenario generation models.</w:t>
      </w:r>
    </w:p>
    <w:p w:rsidR="00C02804" w:rsidRDefault="00C02804">
      <w:pPr>
        <w:rPr>
          <w:rFonts w:ascii="Times New Roman" w:hAnsi="Times New Roman"/>
          <w:b/>
          <w:sz w:val="24"/>
          <w:szCs w:val="24"/>
        </w:rPr>
      </w:pPr>
      <w:r>
        <w:rPr>
          <w:rFonts w:ascii="Times New Roman" w:hAnsi="Times New Roman"/>
          <w:b/>
          <w:sz w:val="24"/>
          <w:szCs w:val="24"/>
        </w:rPr>
        <w:br w:type="page"/>
      </w:r>
    </w:p>
    <w:p w:rsidR="00C56423" w:rsidRPr="00C56423" w:rsidRDefault="00C56423" w:rsidP="00C56423">
      <w:pPr>
        <w:rPr>
          <w:rFonts w:ascii="Times New Roman" w:hAnsi="Times New Roman"/>
          <w:b/>
          <w:sz w:val="24"/>
          <w:szCs w:val="24"/>
        </w:rPr>
      </w:pPr>
      <w:r w:rsidRPr="00C56423">
        <w:rPr>
          <w:rFonts w:ascii="Times New Roman" w:hAnsi="Times New Roman"/>
          <w:b/>
          <w:sz w:val="24"/>
          <w:szCs w:val="24"/>
        </w:rPr>
        <w:lastRenderedPageBreak/>
        <w:t>Table 4.4:  Vector Autoregressive vs. Single Equation Autoregressive Model Estimation and Gaussian Vector Autoregressive vs. Regime Switching Vector Autoregressive Scenario Generation Compared (Fed Macroeconomic Variables and Aggregate Y9 Bank Chargeoffs)</w:t>
      </w:r>
    </w:p>
    <w:p w:rsidR="00C56423" w:rsidRDefault="00C56423" w:rsidP="00C56423">
      <w:r w:rsidRPr="007221C4">
        <w:rPr>
          <w:noProof/>
        </w:rPr>
        <w:drawing>
          <wp:inline distT="0" distB="0" distL="0" distR="0" wp14:anchorId="736633AC" wp14:editId="32D94153">
            <wp:extent cx="6553200" cy="6576303"/>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6558913" cy="6582036"/>
                    </a:xfrm>
                    <a:prstGeom prst="rect">
                      <a:avLst/>
                    </a:prstGeom>
                    <a:ln>
                      <a:solidFill>
                        <a:schemeClr val="tx1"/>
                      </a:solidFill>
                    </a:ln>
                  </pic:spPr>
                </pic:pic>
              </a:graphicData>
            </a:graphic>
          </wp:inline>
        </w:drawing>
      </w:r>
    </w:p>
    <w:p w:rsidR="00C56423" w:rsidRPr="00C56423" w:rsidRDefault="00C56423" w:rsidP="00C56423">
      <w:pPr>
        <w:pStyle w:val="ListParagraph"/>
        <w:numPr>
          <w:ilvl w:val="0"/>
          <w:numId w:val="27"/>
        </w:numPr>
        <w:rPr>
          <w:rFonts w:ascii="Times New Roman" w:hAnsi="Times New Roman"/>
          <w:b/>
          <w:sz w:val="24"/>
          <w:szCs w:val="24"/>
        </w:rPr>
      </w:pPr>
      <w:r w:rsidRPr="00C56423">
        <w:rPr>
          <w:rFonts w:ascii="Times New Roman" w:hAnsi="Times New Roman"/>
          <w:b/>
          <w:sz w:val="24"/>
          <w:szCs w:val="24"/>
        </w:rPr>
        <w:br w:type="page"/>
      </w:r>
    </w:p>
    <w:p w:rsidR="00C56423" w:rsidRPr="00C56423" w:rsidRDefault="00C56423" w:rsidP="00C56423">
      <w:pPr>
        <w:rPr>
          <w:rFonts w:ascii="Times New Roman" w:hAnsi="Times New Roman"/>
          <w:b/>
          <w:sz w:val="24"/>
          <w:szCs w:val="24"/>
        </w:rPr>
      </w:pPr>
      <w:r w:rsidRPr="00C56423">
        <w:rPr>
          <w:rFonts w:ascii="Times New Roman" w:hAnsi="Times New Roman"/>
          <w:b/>
          <w:sz w:val="24"/>
          <w:szCs w:val="24"/>
        </w:rPr>
        <w:lastRenderedPageBreak/>
        <w:t>Figure 4.</w:t>
      </w:r>
      <w:r w:rsidR="00C02804">
        <w:rPr>
          <w:rFonts w:ascii="Times New Roman" w:hAnsi="Times New Roman"/>
          <w:b/>
          <w:sz w:val="24"/>
          <w:szCs w:val="24"/>
        </w:rPr>
        <w:t>15</w:t>
      </w:r>
      <w:r w:rsidRPr="00C56423">
        <w:rPr>
          <w:rFonts w:ascii="Times New Roman" w:hAnsi="Times New Roman"/>
          <w:b/>
          <w:sz w:val="24"/>
          <w:szCs w:val="24"/>
        </w:rPr>
        <w:t>:  Vector Autoregressive vs. Single Equation Autoregressive Model Estimation and Gaussian Vector Autoregressive vs. Regime Switching Vector Autoregressive Scenario Generation Compared - Residential Real Estate</w:t>
      </w:r>
    </w:p>
    <w:p w:rsidR="00C56423" w:rsidRDefault="00C56423" w:rsidP="00C56423">
      <w:pPr>
        <w:rPr>
          <w:noProof/>
        </w:rPr>
      </w:pPr>
      <w:r w:rsidRPr="002B30AA">
        <w:rPr>
          <w:noProof/>
        </w:rPr>
        <w:drawing>
          <wp:inline distT="0" distB="0" distL="0" distR="0" wp14:anchorId="48047FB3" wp14:editId="6FA3DD80">
            <wp:extent cx="2843784" cy="20665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843784" cy="2066544"/>
                    </a:xfrm>
                    <a:prstGeom prst="rect">
                      <a:avLst/>
                    </a:prstGeom>
                  </pic:spPr>
                </pic:pic>
              </a:graphicData>
            </a:graphic>
          </wp:inline>
        </w:drawing>
      </w:r>
      <w:r w:rsidRPr="00AE66C3">
        <w:rPr>
          <w:noProof/>
        </w:rPr>
        <w:t xml:space="preserve"> </w:t>
      </w:r>
      <w:r w:rsidRPr="002B30AA">
        <w:rPr>
          <w:noProof/>
        </w:rPr>
        <w:drawing>
          <wp:inline distT="0" distB="0" distL="0" distR="0" wp14:anchorId="7C7571C8" wp14:editId="409AF048">
            <wp:extent cx="2843784" cy="20665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843784" cy="2066544"/>
                    </a:xfrm>
                    <a:prstGeom prst="rect">
                      <a:avLst/>
                    </a:prstGeom>
                  </pic:spPr>
                </pic:pic>
              </a:graphicData>
            </a:graphic>
          </wp:inline>
        </w:drawing>
      </w:r>
    </w:p>
    <w:p w:rsidR="00C02804" w:rsidRDefault="00C02804" w:rsidP="00C56423">
      <w:pPr>
        <w:rPr>
          <w:rFonts w:ascii="Times New Roman" w:hAnsi="Times New Roman"/>
          <w:b/>
          <w:sz w:val="24"/>
          <w:szCs w:val="24"/>
        </w:rPr>
      </w:pPr>
    </w:p>
    <w:p w:rsidR="00C02804" w:rsidRDefault="00C02804" w:rsidP="00C56423">
      <w:pPr>
        <w:rPr>
          <w:rFonts w:ascii="Times New Roman" w:hAnsi="Times New Roman"/>
          <w:b/>
          <w:sz w:val="24"/>
          <w:szCs w:val="24"/>
        </w:rPr>
      </w:pPr>
    </w:p>
    <w:p w:rsidR="00C56423" w:rsidRPr="00C56423" w:rsidRDefault="00C56423" w:rsidP="00C56423">
      <w:pPr>
        <w:rPr>
          <w:rFonts w:ascii="Times New Roman" w:hAnsi="Times New Roman"/>
          <w:b/>
          <w:sz w:val="24"/>
          <w:szCs w:val="24"/>
        </w:rPr>
      </w:pPr>
      <w:r w:rsidRPr="00C56423">
        <w:rPr>
          <w:rFonts w:ascii="Times New Roman" w:hAnsi="Times New Roman"/>
          <w:b/>
          <w:sz w:val="24"/>
          <w:szCs w:val="24"/>
        </w:rPr>
        <w:t>Figure 4.</w:t>
      </w:r>
      <w:r w:rsidR="00C02804">
        <w:rPr>
          <w:rFonts w:ascii="Times New Roman" w:hAnsi="Times New Roman"/>
          <w:b/>
          <w:sz w:val="24"/>
          <w:szCs w:val="24"/>
        </w:rPr>
        <w:t>16</w:t>
      </w:r>
      <w:r w:rsidRPr="00C56423">
        <w:rPr>
          <w:rFonts w:ascii="Times New Roman" w:hAnsi="Times New Roman"/>
          <w:b/>
          <w:sz w:val="24"/>
          <w:szCs w:val="24"/>
        </w:rPr>
        <w:t>:  Vector Autoregressive vs. Single Equation Autoregressive Model Estimation and Gaussian Vector Autoregressive vs. Regime Switching Vector Autoregressive Scenario Generation Compared - Commercial Real Estate</w:t>
      </w:r>
    </w:p>
    <w:p w:rsidR="00C56423" w:rsidRDefault="00C56423" w:rsidP="00C56423">
      <w:pPr>
        <w:rPr>
          <w:noProof/>
        </w:rPr>
      </w:pPr>
      <w:r w:rsidRPr="001E336C">
        <w:rPr>
          <w:noProof/>
        </w:rPr>
        <w:drawing>
          <wp:inline distT="0" distB="0" distL="0" distR="0" wp14:anchorId="2974D575" wp14:editId="022DA4C7">
            <wp:extent cx="2843784" cy="20665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43784" cy="2066544"/>
                    </a:xfrm>
                    <a:prstGeom prst="rect">
                      <a:avLst/>
                    </a:prstGeom>
                  </pic:spPr>
                </pic:pic>
              </a:graphicData>
            </a:graphic>
          </wp:inline>
        </w:drawing>
      </w:r>
      <w:r w:rsidRPr="00A3557F">
        <w:rPr>
          <w:noProof/>
        </w:rPr>
        <w:drawing>
          <wp:inline distT="0" distB="0" distL="0" distR="0" wp14:anchorId="2C170D68" wp14:editId="0B6A2195">
            <wp:extent cx="2843784" cy="206654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843784" cy="2066544"/>
                    </a:xfrm>
                    <a:prstGeom prst="rect">
                      <a:avLst/>
                    </a:prstGeom>
                  </pic:spPr>
                </pic:pic>
              </a:graphicData>
            </a:graphic>
          </wp:inline>
        </w:drawing>
      </w:r>
    </w:p>
    <w:p w:rsidR="00C56423" w:rsidRDefault="00C56423" w:rsidP="00C56423">
      <w:pPr>
        <w:jc w:val="both"/>
        <w:rPr>
          <w:rFonts w:ascii="Times New Roman" w:hAnsi="Times New Roman"/>
          <w:sz w:val="24"/>
          <w:szCs w:val="24"/>
        </w:rPr>
      </w:pPr>
    </w:p>
    <w:p w:rsidR="00C56423" w:rsidRPr="00C56423" w:rsidRDefault="00C56423" w:rsidP="00C56423">
      <w:pPr>
        <w:jc w:val="both"/>
        <w:rPr>
          <w:rFonts w:ascii="Times New Roman" w:hAnsi="Times New Roman"/>
          <w:sz w:val="24"/>
          <w:szCs w:val="24"/>
        </w:rPr>
      </w:pPr>
    </w:p>
    <w:p w:rsidR="00C02804" w:rsidRDefault="00C02804">
      <w:pPr>
        <w:rPr>
          <w:rFonts w:ascii="Times New Roman" w:hAnsi="Times New Roman"/>
          <w:b/>
          <w:sz w:val="24"/>
          <w:szCs w:val="24"/>
        </w:rPr>
      </w:pPr>
      <w:r>
        <w:rPr>
          <w:rFonts w:ascii="Times New Roman" w:hAnsi="Times New Roman"/>
          <w:b/>
          <w:sz w:val="24"/>
          <w:szCs w:val="24"/>
        </w:rPr>
        <w:br w:type="page"/>
      </w:r>
    </w:p>
    <w:p w:rsidR="00C56423" w:rsidRPr="00C56423" w:rsidRDefault="00C56423" w:rsidP="00C56423">
      <w:pPr>
        <w:rPr>
          <w:rFonts w:ascii="Times New Roman" w:hAnsi="Times New Roman"/>
          <w:b/>
          <w:sz w:val="24"/>
          <w:szCs w:val="24"/>
        </w:rPr>
      </w:pPr>
      <w:r w:rsidRPr="00C56423">
        <w:rPr>
          <w:rFonts w:ascii="Times New Roman" w:hAnsi="Times New Roman"/>
          <w:b/>
          <w:sz w:val="24"/>
          <w:szCs w:val="24"/>
        </w:rPr>
        <w:lastRenderedPageBreak/>
        <w:t>Figure 4.</w:t>
      </w:r>
      <w:r w:rsidR="00C02804">
        <w:rPr>
          <w:rFonts w:ascii="Times New Roman" w:hAnsi="Times New Roman"/>
          <w:b/>
          <w:sz w:val="24"/>
          <w:szCs w:val="24"/>
        </w:rPr>
        <w:t>17</w:t>
      </w:r>
      <w:r w:rsidRPr="00C56423">
        <w:rPr>
          <w:rFonts w:ascii="Times New Roman" w:hAnsi="Times New Roman"/>
          <w:b/>
          <w:sz w:val="24"/>
          <w:szCs w:val="24"/>
        </w:rPr>
        <w:t>:  Vector Autoregressive vs. Single Equation Autoregressive Model Estimation and Gaussian Vector Autoregressive vs. Regime Switching Vector Autoregressive Scenario Generation Compared – Consumer Loans</w:t>
      </w:r>
    </w:p>
    <w:p w:rsidR="00C56423" w:rsidRPr="00C56423" w:rsidRDefault="00C56423" w:rsidP="00C56423">
      <w:pPr>
        <w:rPr>
          <w:rFonts w:ascii="Times New Roman" w:hAnsi="Times New Roman"/>
          <w:b/>
          <w:sz w:val="24"/>
          <w:szCs w:val="24"/>
        </w:rPr>
      </w:pPr>
      <w:r w:rsidRPr="00DE4435">
        <w:rPr>
          <w:noProof/>
        </w:rPr>
        <w:drawing>
          <wp:inline distT="0" distB="0" distL="0" distR="0" wp14:anchorId="5426059E" wp14:editId="51B25E3B">
            <wp:extent cx="2843784" cy="20665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843784" cy="2066544"/>
                    </a:xfrm>
                    <a:prstGeom prst="rect">
                      <a:avLst/>
                    </a:prstGeom>
                  </pic:spPr>
                </pic:pic>
              </a:graphicData>
            </a:graphic>
          </wp:inline>
        </w:drawing>
      </w:r>
      <w:r w:rsidRPr="002B6D40">
        <w:rPr>
          <w:noProof/>
        </w:rPr>
        <w:drawing>
          <wp:inline distT="0" distB="0" distL="0" distR="0" wp14:anchorId="42D5E37C" wp14:editId="2284F506">
            <wp:extent cx="2843784" cy="20665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843784" cy="2066544"/>
                    </a:xfrm>
                    <a:prstGeom prst="rect">
                      <a:avLst/>
                    </a:prstGeom>
                  </pic:spPr>
                </pic:pic>
              </a:graphicData>
            </a:graphic>
          </wp:inline>
        </w:drawing>
      </w:r>
    </w:p>
    <w:p w:rsidR="00C02804" w:rsidRDefault="00C02804" w:rsidP="00C56423">
      <w:pPr>
        <w:rPr>
          <w:rFonts w:ascii="Times New Roman" w:hAnsi="Times New Roman"/>
          <w:b/>
          <w:sz w:val="24"/>
          <w:szCs w:val="24"/>
        </w:rPr>
      </w:pPr>
    </w:p>
    <w:p w:rsidR="00C56423" w:rsidRPr="00C56423" w:rsidRDefault="00C56423" w:rsidP="00C56423">
      <w:pPr>
        <w:rPr>
          <w:rFonts w:ascii="Times New Roman" w:hAnsi="Times New Roman"/>
          <w:b/>
          <w:sz w:val="24"/>
          <w:szCs w:val="24"/>
        </w:rPr>
      </w:pPr>
      <w:r w:rsidRPr="00C56423">
        <w:rPr>
          <w:rFonts w:ascii="Times New Roman" w:hAnsi="Times New Roman"/>
          <w:b/>
          <w:sz w:val="24"/>
          <w:szCs w:val="24"/>
        </w:rPr>
        <w:t>Figure 4.</w:t>
      </w:r>
      <w:r w:rsidR="00C02804">
        <w:rPr>
          <w:rFonts w:ascii="Times New Roman" w:hAnsi="Times New Roman"/>
          <w:b/>
          <w:sz w:val="24"/>
          <w:szCs w:val="24"/>
        </w:rPr>
        <w:t>18</w:t>
      </w:r>
      <w:r w:rsidRPr="00C56423">
        <w:rPr>
          <w:rFonts w:ascii="Times New Roman" w:hAnsi="Times New Roman"/>
          <w:b/>
          <w:sz w:val="24"/>
          <w:szCs w:val="24"/>
        </w:rPr>
        <w:t>:  Vector Autoregressive vs. Single Equation Autoregressive Model Estimation and Gaussian Vector Autoregressive vs. Regime Switching Vector Autoregressive Scenario Generation Compared – Commercial and Industrial Loans</w:t>
      </w:r>
    </w:p>
    <w:p w:rsidR="00C56423" w:rsidRPr="00C56423" w:rsidRDefault="00C56423" w:rsidP="00C56423">
      <w:pPr>
        <w:rPr>
          <w:rFonts w:ascii="Times New Roman" w:hAnsi="Times New Roman"/>
          <w:b/>
          <w:sz w:val="24"/>
          <w:szCs w:val="24"/>
        </w:rPr>
      </w:pPr>
      <w:r w:rsidRPr="00326EF9">
        <w:rPr>
          <w:noProof/>
        </w:rPr>
        <w:drawing>
          <wp:inline distT="0" distB="0" distL="0" distR="0" wp14:anchorId="7F8B4303" wp14:editId="1C96D77B">
            <wp:extent cx="2880360" cy="2093976"/>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880360" cy="2093976"/>
                    </a:xfrm>
                    <a:prstGeom prst="rect">
                      <a:avLst/>
                    </a:prstGeom>
                  </pic:spPr>
                </pic:pic>
              </a:graphicData>
            </a:graphic>
          </wp:inline>
        </w:drawing>
      </w:r>
      <w:r w:rsidRPr="00A5773A">
        <w:rPr>
          <w:noProof/>
        </w:rPr>
        <w:t xml:space="preserve"> </w:t>
      </w:r>
      <w:r w:rsidRPr="00A5773A">
        <w:rPr>
          <w:noProof/>
        </w:rPr>
        <w:drawing>
          <wp:inline distT="0" distB="0" distL="0" distR="0" wp14:anchorId="61D55A3B" wp14:editId="50F36D63">
            <wp:extent cx="2880360" cy="209397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880360" cy="2093976"/>
                    </a:xfrm>
                    <a:prstGeom prst="rect">
                      <a:avLst/>
                    </a:prstGeom>
                  </pic:spPr>
                </pic:pic>
              </a:graphicData>
            </a:graphic>
          </wp:inline>
        </w:drawing>
      </w:r>
    </w:p>
    <w:p w:rsidR="00F92325" w:rsidRPr="005852DA" w:rsidRDefault="005852DA" w:rsidP="00F92325">
      <w:pPr>
        <w:jc w:val="both"/>
        <w:rPr>
          <w:rFonts w:ascii="Times New Roman" w:hAnsi="Times New Roman"/>
          <w:sz w:val="24"/>
          <w:szCs w:val="24"/>
        </w:rPr>
      </w:pPr>
      <w:r>
        <w:rPr>
          <w:rFonts w:ascii="Times New Roman" w:hAnsi="Times New Roman"/>
          <w:sz w:val="24"/>
          <w:szCs w:val="24"/>
        </w:rPr>
        <w:t xml:space="preserve">  </w:t>
      </w:r>
    </w:p>
    <w:p w:rsidR="00C56423" w:rsidRDefault="00C56423">
      <w:pPr>
        <w:rPr>
          <w:rFonts w:ascii="Times New Roman" w:hAnsi="Times New Roman"/>
          <w:b/>
          <w:sz w:val="24"/>
          <w:szCs w:val="24"/>
        </w:rPr>
      </w:pPr>
      <w:r>
        <w:rPr>
          <w:rFonts w:ascii="Times New Roman" w:hAnsi="Times New Roman"/>
          <w:b/>
          <w:sz w:val="24"/>
          <w:szCs w:val="24"/>
        </w:rPr>
        <w:br w:type="page"/>
      </w:r>
    </w:p>
    <w:p w:rsidR="00111FA4" w:rsidRPr="007C348A" w:rsidRDefault="00C56423" w:rsidP="007C348A">
      <w:pPr>
        <w:spacing w:line="240" w:lineRule="auto"/>
        <w:rPr>
          <w:rFonts w:ascii="Times New Roman" w:hAnsi="Times New Roman"/>
          <w:b/>
          <w:sz w:val="28"/>
          <w:szCs w:val="28"/>
        </w:rPr>
      </w:pPr>
      <w:r>
        <w:rPr>
          <w:rFonts w:ascii="Times New Roman" w:hAnsi="Times New Roman"/>
          <w:b/>
          <w:sz w:val="28"/>
          <w:szCs w:val="28"/>
        </w:rPr>
        <w:lastRenderedPageBreak/>
        <w:t>5</w:t>
      </w:r>
      <w:r w:rsidR="00111FA4" w:rsidRPr="007C348A">
        <w:rPr>
          <w:rFonts w:ascii="Times New Roman" w:hAnsi="Times New Roman"/>
          <w:b/>
          <w:sz w:val="28"/>
          <w:szCs w:val="28"/>
        </w:rPr>
        <w:tab/>
      </w:r>
      <w:r w:rsidR="00CF1819" w:rsidRPr="007C348A">
        <w:rPr>
          <w:rFonts w:ascii="Times New Roman" w:hAnsi="Times New Roman"/>
          <w:b/>
          <w:sz w:val="28"/>
          <w:szCs w:val="28"/>
        </w:rPr>
        <w:t>C</w:t>
      </w:r>
      <w:r w:rsidR="009F315D" w:rsidRPr="007C348A">
        <w:rPr>
          <w:rFonts w:ascii="Times New Roman" w:hAnsi="Times New Roman"/>
          <w:b/>
          <w:sz w:val="28"/>
          <w:szCs w:val="28"/>
        </w:rPr>
        <w:t>onclusion and Future Directions</w:t>
      </w:r>
    </w:p>
    <w:p w:rsidR="00FD1742" w:rsidRDefault="000345CC" w:rsidP="008D099F">
      <w:pPr>
        <w:spacing w:line="240" w:lineRule="auto"/>
        <w:jc w:val="both"/>
        <w:rPr>
          <w:rFonts w:ascii="Times New Roman" w:hAnsi="Times New Roman"/>
          <w:sz w:val="24"/>
          <w:szCs w:val="24"/>
        </w:rPr>
      </w:pPr>
      <w:r w:rsidRPr="007C348A">
        <w:rPr>
          <w:rFonts w:ascii="Times New Roman" w:hAnsi="Times New Roman"/>
          <w:color w:val="000000"/>
          <w:sz w:val="24"/>
          <w:szCs w:val="24"/>
        </w:rPr>
        <w:t>In this study we have examined</w:t>
      </w:r>
      <w:r>
        <w:rPr>
          <w:rFonts w:ascii="Times New Roman" w:hAnsi="Times New Roman"/>
          <w:color w:val="000000"/>
          <w:sz w:val="24"/>
          <w:szCs w:val="24"/>
        </w:rPr>
        <w:t xml:space="preserve"> a critical input into the process stress testing process, the macroeconomic scenarios provided by the prudential supervisors to institutions for exercises such as </w:t>
      </w:r>
      <w:r>
        <w:rPr>
          <w:rFonts w:ascii="Times New Roman" w:hAnsi="Times New Roman" w:cs="Calibri"/>
          <w:color w:val="000000"/>
          <w:sz w:val="24"/>
          <w:szCs w:val="24"/>
        </w:rPr>
        <w:t>the Federal Reserve’s CCAR program</w:t>
      </w:r>
      <w:r>
        <w:rPr>
          <w:rFonts w:ascii="Times New Roman" w:hAnsi="Times New Roman"/>
          <w:color w:val="000000"/>
          <w:sz w:val="24"/>
          <w:szCs w:val="24"/>
        </w:rPr>
        <w:t xml:space="preserve">.  In particular, we have addressed the supervisory requirements that banks develop their own macroeconomic scenarios.  We have analyzed a common approach of a VAR statistical model that exploit the dependency structure between both macroeconomic drivers, as well between </w:t>
      </w:r>
      <w:r>
        <w:rPr>
          <w:rFonts w:ascii="Times New Roman" w:hAnsi="Times New Roman"/>
          <w:sz w:val="24"/>
          <w:szCs w:val="24"/>
        </w:rPr>
        <w:t>modeling segments, and addressed the well-known phenomenon that linear models such as VAR are unable to explain the phenomenon of fat-tailed distributions that deviate from normality, an empirical fact that has been well documented in the empirical finance literature.  We have proposed a challenger approach, widely used in the academic literature, but not commonly employed in practice, the MS-VAR model.  We empirically tested these models using</w:t>
      </w:r>
      <w:r>
        <w:rPr>
          <w:rFonts w:ascii="Times New Roman" w:hAnsi="Times New Roman"/>
          <w:color w:val="000000"/>
          <w:sz w:val="24"/>
          <w:szCs w:val="24"/>
        </w:rPr>
        <w:t xml:space="preserve"> Federal Reserve macroeconomic data, gathered and released by the regulators for CCAR purposes, respectively.  We find the MS-VAR model to be more conservative than the VAR model, and also to exhibit greater accuracy in model testing, as the latter model can better capture extreme events observed in history.</w:t>
      </w:r>
      <w:r w:rsidR="008D099F">
        <w:rPr>
          <w:rFonts w:ascii="Times New Roman" w:hAnsi="Times New Roman"/>
          <w:color w:val="000000"/>
          <w:sz w:val="24"/>
          <w:szCs w:val="24"/>
        </w:rPr>
        <w:t xml:space="preserve">  </w:t>
      </w:r>
      <w:r w:rsidR="008D099F" w:rsidRPr="008D099F">
        <w:rPr>
          <w:rFonts w:ascii="Times New Roman" w:hAnsi="Times New Roman"/>
          <w:color w:val="000000"/>
          <w:sz w:val="24"/>
          <w:szCs w:val="24"/>
        </w:rPr>
        <w:t>In the Severe scenario, the MS-VAR model is far more conservative than the VAR mod-el, and always at least match and in some cases can well exceed historical peaks or troughs in the adverse direction.</w:t>
      </w:r>
      <w:r w:rsidR="008D099F">
        <w:rPr>
          <w:rFonts w:ascii="Times New Roman" w:hAnsi="Times New Roman"/>
          <w:color w:val="000000"/>
          <w:sz w:val="24"/>
          <w:szCs w:val="24"/>
        </w:rPr>
        <w:t xml:space="preserve">  </w:t>
      </w:r>
      <w:r w:rsidR="008D099F" w:rsidRPr="008D099F">
        <w:rPr>
          <w:rFonts w:ascii="Times New Roman" w:hAnsi="Times New Roman"/>
          <w:color w:val="000000"/>
          <w:sz w:val="24"/>
          <w:szCs w:val="24"/>
        </w:rPr>
        <w:t>In terms of magnitude, the VAR model is similar to the Fed scenarios, but the trajectories of either the VAR or MS-VAR model tend to be more regular, rising at a more gradual pace into the forecast period.</w:t>
      </w:r>
      <w:r w:rsidR="008D099F">
        <w:rPr>
          <w:rFonts w:ascii="Times New Roman" w:hAnsi="Times New Roman"/>
          <w:color w:val="000000"/>
          <w:sz w:val="24"/>
          <w:szCs w:val="24"/>
        </w:rPr>
        <w:t xml:space="preserve">  </w:t>
      </w:r>
      <w:r w:rsidR="008D099F" w:rsidRPr="008D099F">
        <w:rPr>
          <w:rFonts w:ascii="Times New Roman" w:hAnsi="Times New Roman"/>
          <w:color w:val="000000"/>
          <w:sz w:val="24"/>
          <w:szCs w:val="24"/>
        </w:rPr>
        <w:t>In the Base scenarios, the Fed model is rather similar to the VAR model, but in all cases the MS-VAR model produces a higher base, which is driven by the skewness of the mixture error distribution.</w:t>
      </w:r>
      <w:r>
        <w:rPr>
          <w:rFonts w:ascii="Times New Roman" w:hAnsi="Times New Roman"/>
          <w:sz w:val="24"/>
          <w:szCs w:val="24"/>
        </w:rPr>
        <w:t xml:space="preserve">  </w:t>
      </w:r>
    </w:p>
    <w:p w:rsidR="00D263BC" w:rsidRDefault="00D263BC" w:rsidP="00D263BC">
      <w:pPr>
        <w:spacing w:line="240" w:lineRule="auto"/>
        <w:jc w:val="both"/>
        <w:rPr>
          <w:rFonts w:ascii="Times New Roman" w:hAnsi="Times New Roman"/>
          <w:sz w:val="24"/>
          <w:szCs w:val="24"/>
        </w:rPr>
      </w:pPr>
      <w:r>
        <w:rPr>
          <w:rFonts w:ascii="Times New Roman" w:hAnsi="Times New Roman"/>
          <w:sz w:val="24"/>
          <w:szCs w:val="24"/>
        </w:rPr>
        <w:t xml:space="preserve">We have </w:t>
      </w:r>
      <w:r>
        <w:rPr>
          <w:rFonts w:ascii="Times New Roman" w:hAnsi="Times New Roman"/>
          <w:color w:val="000000"/>
          <w:sz w:val="24"/>
          <w:szCs w:val="24"/>
        </w:rPr>
        <w:t>considered the case of banks that model the risk of their portfolios using top-of-the-house modeling techniques.  We have addressed an issue of how to incorporate the correlation of risks amongst the different segments</w:t>
      </w:r>
      <w:r w:rsidRPr="00250038">
        <w:rPr>
          <w:rFonts w:ascii="Times New Roman" w:hAnsi="Times New Roman"/>
          <w:color w:val="000000"/>
          <w:sz w:val="24"/>
          <w:szCs w:val="24"/>
        </w:rPr>
        <w:t xml:space="preserve">.  </w:t>
      </w:r>
      <w:r>
        <w:rPr>
          <w:rFonts w:ascii="Times New Roman" w:hAnsi="Times New Roman"/>
          <w:color w:val="000000"/>
          <w:sz w:val="24"/>
          <w:szCs w:val="24"/>
        </w:rPr>
        <w:t>An</w:t>
      </w:r>
      <w:r w:rsidRPr="00250038">
        <w:rPr>
          <w:rFonts w:ascii="Times New Roman" w:hAnsi="Times New Roman"/>
          <w:color w:val="000000"/>
          <w:sz w:val="24"/>
          <w:szCs w:val="24"/>
        </w:rPr>
        <w:t xml:space="preserve"> approach </w:t>
      </w:r>
      <w:r>
        <w:rPr>
          <w:rFonts w:ascii="Times New Roman" w:hAnsi="Times New Roman"/>
          <w:color w:val="000000"/>
          <w:sz w:val="24"/>
          <w:szCs w:val="24"/>
        </w:rPr>
        <w:t xml:space="preserve">to incorporate this consideration of a dependency structure was proposed, and the bias that results from ignoring this aspect is quantified, </w:t>
      </w:r>
      <w:r w:rsidRPr="00250038">
        <w:rPr>
          <w:rFonts w:ascii="Times New Roman" w:hAnsi="Times New Roman"/>
          <w:color w:val="000000"/>
          <w:sz w:val="24"/>
          <w:szCs w:val="24"/>
        </w:rPr>
        <w:t xml:space="preserve">through estimating a </w:t>
      </w:r>
      <w:r>
        <w:rPr>
          <w:rFonts w:ascii="Times New Roman" w:hAnsi="Times New Roman"/>
          <w:color w:val="000000"/>
          <w:sz w:val="24"/>
          <w:szCs w:val="24"/>
        </w:rPr>
        <w:t xml:space="preserve">vector autoregressive (VAR) time series models </w:t>
      </w:r>
      <w:r w:rsidRPr="00250038">
        <w:rPr>
          <w:rFonts w:ascii="Times New Roman" w:hAnsi="Times New Roman"/>
          <w:color w:val="000000"/>
          <w:sz w:val="24"/>
          <w:szCs w:val="24"/>
        </w:rPr>
        <w:t>for credit loss using Fed Y9 data</w:t>
      </w:r>
      <w:r w:rsidRPr="00250038">
        <w:rPr>
          <w:rFonts w:ascii="Times New Roman" w:hAnsi="Times New Roman"/>
          <w:sz w:val="24"/>
          <w:szCs w:val="24"/>
        </w:rPr>
        <w:t>.</w:t>
      </w:r>
      <w:r>
        <w:rPr>
          <w:rFonts w:ascii="Times New Roman" w:hAnsi="Times New Roman"/>
          <w:sz w:val="24"/>
          <w:szCs w:val="24"/>
        </w:rPr>
        <w:t xml:space="preserve">  We found that the multiple equation VAR model outperforms the single equation autoregressive (AR) models according to various metrics across all modeling segments.</w:t>
      </w:r>
      <w:r w:rsidRPr="00996495">
        <w:t xml:space="preserve"> </w:t>
      </w:r>
      <w:r>
        <w:t xml:space="preserve"> </w:t>
      </w:r>
      <w:r w:rsidRPr="00996495">
        <w:rPr>
          <w:rFonts w:ascii="Times New Roman" w:hAnsi="Times New Roman"/>
          <w:sz w:val="24"/>
          <w:szCs w:val="24"/>
        </w:rPr>
        <w:t>The results of the estimation are broadly consistent across the VAR and AR models, but with a few notable differences (e.g., most segments exhibit significant but mild autocorrelation, and different subsets of the macro variables are significant across different segments)</w:t>
      </w:r>
      <w:r>
        <w:rPr>
          <w:rFonts w:ascii="Times New Roman" w:hAnsi="Times New Roman"/>
          <w:sz w:val="24"/>
          <w:szCs w:val="24"/>
        </w:rPr>
        <w:t xml:space="preserve">.  </w:t>
      </w:r>
      <w:r w:rsidRPr="00996495">
        <w:rPr>
          <w:rFonts w:ascii="Times New Roman" w:hAnsi="Times New Roman"/>
          <w:sz w:val="24"/>
          <w:szCs w:val="24"/>
        </w:rPr>
        <w:t>Across all 4 segments, according to the likelihood ratio statistic, we reject the hypothesis that the restrictions of the single equation AR models are justified</w:t>
      </w:r>
      <w:r>
        <w:rPr>
          <w:rFonts w:ascii="Times New Roman" w:hAnsi="Times New Roman"/>
          <w:sz w:val="24"/>
          <w:szCs w:val="24"/>
        </w:rPr>
        <w:t xml:space="preserve">.  </w:t>
      </w:r>
      <w:r w:rsidRPr="00996495">
        <w:rPr>
          <w:rFonts w:ascii="Times New Roman" w:hAnsi="Times New Roman"/>
          <w:sz w:val="24"/>
          <w:szCs w:val="24"/>
        </w:rPr>
        <w:tab/>
        <w:t>The VAR models are generally more accurate according to standard measures of model fit with respect to each segment</w:t>
      </w:r>
      <w:r>
        <w:rPr>
          <w:rFonts w:ascii="Times New Roman" w:hAnsi="Times New Roman"/>
          <w:sz w:val="24"/>
          <w:szCs w:val="24"/>
        </w:rPr>
        <w:t xml:space="preserve">.  </w:t>
      </w:r>
      <w:r w:rsidRPr="00996495">
        <w:rPr>
          <w:rFonts w:ascii="Times New Roman" w:hAnsi="Times New Roman"/>
          <w:sz w:val="24"/>
          <w:szCs w:val="24"/>
        </w:rPr>
        <w:t>It is inconclusive whether the VAR or AR models are more or less conservative as measured by cumulative 9-quarter loss</w:t>
      </w:r>
      <w:r>
        <w:rPr>
          <w:rFonts w:ascii="Times New Roman" w:hAnsi="Times New Roman"/>
          <w:sz w:val="24"/>
          <w:szCs w:val="24"/>
        </w:rPr>
        <w:t>.</w:t>
      </w:r>
    </w:p>
    <w:p w:rsidR="00D263BC" w:rsidRDefault="00D263BC" w:rsidP="00D263BC">
      <w:pPr>
        <w:spacing w:line="240" w:lineRule="auto"/>
        <w:jc w:val="both"/>
        <w:rPr>
          <w:rFonts w:ascii="Times New Roman" w:hAnsi="Times New Roman"/>
          <w:sz w:val="24"/>
          <w:szCs w:val="24"/>
        </w:rPr>
      </w:pPr>
      <w:r>
        <w:rPr>
          <w:rFonts w:ascii="Times New Roman" w:hAnsi="Times New Roman"/>
          <w:sz w:val="24"/>
          <w:szCs w:val="24"/>
        </w:rPr>
        <w:t>There are several directions in which this line of research could be extended, including but not limited to the following:</w:t>
      </w:r>
    </w:p>
    <w:p w:rsidR="00910F22" w:rsidRDefault="00FD1742" w:rsidP="00FD1742">
      <w:pPr>
        <w:pStyle w:val="ListParagraph"/>
        <w:numPr>
          <w:ilvl w:val="0"/>
          <w:numId w:val="24"/>
        </w:numPr>
        <w:spacing w:line="240" w:lineRule="auto"/>
        <w:jc w:val="both"/>
        <w:rPr>
          <w:rFonts w:ascii="Times New Roman" w:hAnsi="Times New Roman"/>
          <w:sz w:val="24"/>
          <w:szCs w:val="24"/>
        </w:rPr>
      </w:pPr>
      <w:r>
        <w:rPr>
          <w:rFonts w:ascii="Times New Roman" w:hAnsi="Times New Roman"/>
          <w:sz w:val="24"/>
          <w:szCs w:val="24"/>
        </w:rPr>
        <w:t>More granular classes of credit risk models, such as ratings migration or PD / LGD scorecard / regression</w:t>
      </w:r>
    </w:p>
    <w:p w:rsidR="00FD1742" w:rsidRDefault="00FD1742" w:rsidP="00FD1742">
      <w:pPr>
        <w:pStyle w:val="ListParagraph"/>
        <w:numPr>
          <w:ilvl w:val="0"/>
          <w:numId w:val="24"/>
        </w:numPr>
        <w:spacing w:line="240" w:lineRule="auto"/>
        <w:jc w:val="both"/>
        <w:rPr>
          <w:rFonts w:ascii="Times New Roman" w:hAnsi="Times New Roman"/>
          <w:sz w:val="24"/>
          <w:szCs w:val="24"/>
        </w:rPr>
      </w:pPr>
      <w:r>
        <w:rPr>
          <w:rFonts w:ascii="Times New Roman" w:hAnsi="Times New Roman"/>
          <w:sz w:val="24"/>
          <w:szCs w:val="24"/>
        </w:rPr>
        <w:t>Alternative data-sets, for example bank or loan level data</w:t>
      </w:r>
    </w:p>
    <w:p w:rsidR="00FD1742" w:rsidRDefault="00FD1742" w:rsidP="00FD1742">
      <w:pPr>
        <w:pStyle w:val="ListParagraph"/>
        <w:numPr>
          <w:ilvl w:val="0"/>
          <w:numId w:val="24"/>
        </w:numPr>
        <w:spacing w:line="240" w:lineRule="auto"/>
        <w:jc w:val="both"/>
        <w:rPr>
          <w:rFonts w:ascii="Times New Roman" w:hAnsi="Times New Roman"/>
          <w:sz w:val="24"/>
          <w:szCs w:val="24"/>
        </w:rPr>
      </w:pPr>
      <w:r>
        <w:rPr>
          <w:rFonts w:ascii="Times New Roman" w:hAnsi="Times New Roman"/>
          <w:sz w:val="24"/>
          <w:szCs w:val="24"/>
        </w:rPr>
        <w:t>More general classes of regression model, such as logistic or semi-parametric</w:t>
      </w:r>
    </w:p>
    <w:p w:rsidR="00910F22" w:rsidRPr="00F65A04" w:rsidRDefault="00FD1742" w:rsidP="00F65A04">
      <w:pPr>
        <w:pStyle w:val="ListParagraph"/>
        <w:numPr>
          <w:ilvl w:val="0"/>
          <w:numId w:val="24"/>
        </w:numPr>
        <w:spacing w:line="240" w:lineRule="auto"/>
        <w:jc w:val="both"/>
        <w:rPr>
          <w:rFonts w:ascii="Times New Roman" w:hAnsi="Times New Roman"/>
          <w:sz w:val="24"/>
          <w:szCs w:val="24"/>
        </w:rPr>
      </w:pPr>
      <w:r w:rsidRPr="00F65A04">
        <w:rPr>
          <w:rFonts w:ascii="Times New Roman" w:hAnsi="Times New Roman"/>
          <w:sz w:val="24"/>
          <w:szCs w:val="24"/>
        </w:rPr>
        <w:t>Applications related to ST, such as RC or EC</w:t>
      </w:r>
      <w:r w:rsidR="00910F22" w:rsidRPr="00F65A04">
        <w:rPr>
          <w:rFonts w:ascii="Times New Roman" w:hAnsi="Times New Roman"/>
          <w:sz w:val="24"/>
          <w:szCs w:val="24"/>
        </w:rPr>
        <w:br w:type="page"/>
      </w:r>
    </w:p>
    <w:p w:rsidR="00097B09" w:rsidRPr="00111FA4" w:rsidRDefault="00F7375C" w:rsidP="00E7003C">
      <w:pPr>
        <w:spacing w:line="240" w:lineRule="auto"/>
        <w:contextualSpacing/>
        <w:jc w:val="both"/>
        <w:rPr>
          <w:rFonts w:ascii="Times New Roman" w:hAnsi="Times New Roman"/>
          <w:b/>
          <w:sz w:val="28"/>
          <w:szCs w:val="28"/>
        </w:rPr>
      </w:pPr>
      <w:r>
        <w:rPr>
          <w:rFonts w:ascii="Times New Roman" w:hAnsi="Times New Roman"/>
          <w:b/>
          <w:sz w:val="28"/>
          <w:szCs w:val="28"/>
        </w:rPr>
        <w:lastRenderedPageBreak/>
        <w:t>6</w:t>
      </w:r>
      <w:r w:rsidR="00111FA4" w:rsidRPr="00111FA4">
        <w:rPr>
          <w:rFonts w:ascii="Times New Roman" w:hAnsi="Times New Roman"/>
          <w:b/>
          <w:sz w:val="28"/>
          <w:szCs w:val="28"/>
        </w:rPr>
        <w:tab/>
      </w:r>
      <w:r w:rsidR="00097B09" w:rsidRPr="00111FA4">
        <w:rPr>
          <w:rFonts w:ascii="Times New Roman" w:hAnsi="Times New Roman"/>
          <w:b/>
          <w:sz w:val="28"/>
          <w:szCs w:val="28"/>
        </w:rPr>
        <w:t>R</w:t>
      </w:r>
      <w:r w:rsidR="00CC5433">
        <w:rPr>
          <w:rFonts w:ascii="Times New Roman" w:hAnsi="Times New Roman"/>
          <w:b/>
          <w:sz w:val="28"/>
          <w:szCs w:val="28"/>
        </w:rPr>
        <w:t>eference</w:t>
      </w:r>
      <w:r w:rsidR="00707FC1">
        <w:rPr>
          <w:rFonts w:ascii="Times New Roman" w:hAnsi="Times New Roman"/>
          <w:b/>
          <w:sz w:val="28"/>
          <w:szCs w:val="28"/>
        </w:rPr>
        <w:t>s</w:t>
      </w:r>
    </w:p>
    <w:p w:rsidR="00D04372" w:rsidRDefault="00D0437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rPr>
        <w:t>Acharya, V. V. and P. Schnabl, P., How Banks Played the Leverage Game, 44-78 in: Acharya, V. V. and M. Richardson (</w:t>
      </w:r>
      <w:proofErr w:type="gramStart"/>
      <w:r w:rsidRPr="008F73F8">
        <w:rPr>
          <w:rFonts w:ascii="Times New Roman" w:hAnsi="Times New Roman"/>
        </w:rPr>
        <w:t>eds</w:t>
      </w:r>
      <w:proofErr w:type="gramEnd"/>
      <w:r w:rsidRPr="008F73F8">
        <w:rPr>
          <w:rFonts w:ascii="Times New Roman" w:hAnsi="Times New Roman"/>
        </w:rPr>
        <w:t xml:space="preserve">), </w:t>
      </w:r>
      <w:r w:rsidRPr="008F73F8">
        <w:rPr>
          <w:rFonts w:ascii="Times New Roman" w:hAnsi="Times New Roman"/>
          <w:i/>
        </w:rPr>
        <w:t>Restoring Financial Stability</w:t>
      </w:r>
      <w:r w:rsidRPr="008F73F8">
        <w:rPr>
          <w:rFonts w:ascii="Times New Roman" w:hAnsi="Times New Roman"/>
        </w:rPr>
        <w:t>, Wiley Finance, New York, 2009.</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proofErr w:type="spellStart"/>
      <w:r w:rsidRPr="008F73F8">
        <w:rPr>
          <w:rFonts w:ascii="Times New Roman" w:hAnsi="Times New Roman"/>
        </w:rPr>
        <w:t>Bangia</w:t>
      </w:r>
      <w:proofErr w:type="spellEnd"/>
      <w:r w:rsidRPr="008F73F8">
        <w:rPr>
          <w:rFonts w:ascii="Times New Roman" w:hAnsi="Times New Roman"/>
        </w:rPr>
        <w:t xml:space="preserve">, A. Diebold, F.X., </w:t>
      </w:r>
      <w:proofErr w:type="spellStart"/>
      <w:r w:rsidRPr="008F73F8">
        <w:rPr>
          <w:rFonts w:ascii="Times New Roman" w:hAnsi="Times New Roman"/>
        </w:rPr>
        <w:t>Kronimus</w:t>
      </w:r>
      <w:proofErr w:type="spellEnd"/>
      <w:r w:rsidRPr="008F73F8">
        <w:rPr>
          <w:rFonts w:ascii="Times New Roman" w:hAnsi="Times New Roman"/>
        </w:rPr>
        <w:t xml:space="preserve">, A., </w:t>
      </w:r>
      <w:proofErr w:type="spellStart"/>
      <w:r w:rsidRPr="008F73F8">
        <w:rPr>
          <w:rFonts w:ascii="Times New Roman" w:hAnsi="Times New Roman"/>
        </w:rPr>
        <w:t>Schagen</w:t>
      </w:r>
      <w:proofErr w:type="spellEnd"/>
      <w:r w:rsidRPr="008F73F8">
        <w:rPr>
          <w:rFonts w:ascii="Times New Roman" w:hAnsi="Times New Roman"/>
        </w:rPr>
        <w:t xml:space="preserve">, C., and T. </w:t>
      </w:r>
      <w:proofErr w:type="spellStart"/>
      <w:r w:rsidRPr="008F73F8">
        <w:rPr>
          <w:rFonts w:ascii="Times New Roman" w:hAnsi="Times New Roman"/>
        </w:rPr>
        <w:t>Schuermann</w:t>
      </w:r>
      <w:proofErr w:type="spellEnd"/>
      <w:r w:rsidRPr="008F73F8">
        <w:rPr>
          <w:rFonts w:ascii="Times New Roman" w:hAnsi="Times New Roman"/>
        </w:rPr>
        <w:t>, Ratings Migration and the Business Cycle, with Application to Credit Portfolio Stress Testing,</w:t>
      </w:r>
      <w:r w:rsidRPr="008F73F8">
        <w:rPr>
          <w:rFonts w:ascii="Times New Roman" w:hAnsi="Times New Roman"/>
          <w:i/>
        </w:rPr>
        <w:t xml:space="preserve"> Journal of Banking and Finance</w:t>
      </w:r>
      <w:r w:rsidRPr="008F73F8">
        <w:rPr>
          <w:rFonts w:ascii="Times New Roman" w:hAnsi="Times New Roman"/>
        </w:rPr>
        <w:t xml:space="preserve">, </w:t>
      </w:r>
      <w:r w:rsidRPr="008F73F8">
        <w:rPr>
          <w:rFonts w:ascii="Times New Roman" w:hAnsi="Times New Roman"/>
          <w:b/>
        </w:rPr>
        <w:t>26</w:t>
      </w:r>
      <w:r w:rsidRPr="008F73F8">
        <w:rPr>
          <w:rFonts w:ascii="Times New Roman" w:hAnsi="Times New Roman"/>
        </w:rPr>
        <w:t>(2), (2002), 445- 474</w:t>
      </w:r>
      <w:r w:rsidR="006F5132">
        <w:rPr>
          <w:rFonts w:ascii="Times New Roman" w:hAnsi="Times New Roman"/>
        </w:rPr>
        <w:t>.</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rPr>
        <w:t xml:space="preserve">BANK FOR INTERNATIONAL SETTLEMENTS. "Basel committee on banking supervision (BCBS)." </w:t>
      </w:r>
      <w:r w:rsidRPr="008F73F8">
        <w:rPr>
          <w:rFonts w:ascii="Times New Roman" w:hAnsi="Times New Roman"/>
          <w:i/>
        </w:rPr>
        <w:t>Internal convergence of capital measurement and capital standards</w:t>
      </w:r>
      <w:proofErr w:type="gramStart"/>
      <w:r w:rsidRPr="008F73F8">
        <w:rPr>
          <w:rFonts w:ascii="Times New Roman" w:hAnsi="Times New Roman"/>
          <w:i/>
        </w:rPr>
        <w:t>::</w:t>
      </w:r>
      <w:proofErr w:type="gramEnd"/>
      <w:r w:rsidRPr="008F73F8">
        <w:rPr>
          <w:rFonts w:ascii="Times New Roman" w:hAnsi="Times New Roman"/>
          <w:i/>
        </w:rPr>
        <w:t xml:space="preserve"> a revised framework</w:t>
      </w:r>
      <w:r w:rsidRPr="008F73F8">
        <w:rPr>
          <w:rFonts w:ascii="Times New Roman" w:hAnsi="Times New Roman"/>
        </w:rPr>
        <w:t xml:space="preserve"> (1988).</w:t>
      </w:r>
    </w:p>
    <w:p w:rsidR="006F5132" w:rsidRDefault="006F5132" w:rsidP="006F5132">
      <w:pPr>
        <w:pStyle w:val="CM33"/>
        <w:spacing w:after="200"/>
        <w:ind w:right="495"/>
        <w:contextualSpacing/>
        <w:rPr>
          <w:rFonts w:ascii="Times New Roman" w:hAnsi="Times New Roman"/>
        </w:rPr>
      </w:pPr>
    </w:p>
    <w:p w:rsidR="006F5132" w:rsidRPr="00D312A3" w:rsidRDefault="007807F4" w:rsidP="006F5132">
      <w:pPr>
        <w:pStyle w:val="CM33"/>
        <w:spacing w:after="200"/>
        <w:ind w:right="495"/>
        <w:contextualSpacing/>
        <w:rPr>
          <w:rFonts w:ascii="Times New Roman" w:hAnsi="Times New Roman"/>
        </w:rPr>
      </w:pPr>
      <w:r w:rsidRPr="00D312A3">
        <w:rPr>
          <w:rFonts w:ascii="Times New Roman" w:hAnsi="Times New Roman"/>
          <w:u w:val="single"/>
        </w:rPr>
        <w:t xml:space="preserve">           </w:t>
      </w:r>
      <w:r w:rsidRPr="00D312A3">
        <w:rPr>
          <w:rFonts w:ascii="Times New Roman" w:hAnsi="Times New Roman"/>
        </w:rPr>
        <w:t xml:space="preserve"> </w:t>
      </w:r>
      <w:r w:rsidRPr="00D312A3">
        <w:rPr>
          <w:rFonts w:ascii="Times New Roman" w:hAnsi="Times New Roman"/>
          <w:i/>
        </w:rPr>
        <w:t>Amendment to the capital accord to incorporate market risks</w:t>
      </w:r>
      <w:r w:rsidRPr="00D312A3">
        <w:rPr>
          <w:rFonts w:ascii="Times New Roman" w:hAnsi="Times New Roman"/>
        </w:rPr>
        <w:t xml:space="preserve"> (1996).</w:t>
      </w:r>
    </w:p>
    <w:p w:rsidR="006F5132" w:rsidRPr="00D312A3" w:rsidRDefault="006F5132" w:rsidP="006F5132">
      <w:pPr>
        <w:pStyle w:val="CM33"/>
        <w:spacing w:after="200"/>
        <w:ind w:right="495"/>
        <w:contextualSpacing/>
        <w:rPr>
          <w:rFonts w:ascii="Times New Roman" w:hAnsi="Times New Roman"/>
        </w:rPr>
      </w:pPr>
    </w:p>
    <w:p w:rsidR="006F5132" w:rsidRPr="00D312A3" w:rsidRDefault="007807F4" w:rsidP="006F5132">
      <w:pPr>
        <w:pStyle w:val="CM33"/>
        <w:spacing w:after="200"/>
        <w:ind w:right="495"/>
        <w:contextualSpacing/>
        <w:rPr>
          <w:rFonts w:ascii="Times New Roman" w:hAnsi="Times New Roman"/>
        </w:rPr>
      </w:pPr>
      <w:r w:rsidRPr="00D312A3">
        <w:rPr>
          <w:rFonts w:ascii="Times New Roman" w:hAnsi="Times New Roman"/>
          <w:u w:val="single"/>
        </w:rPr>
        <w:t xml:space="preserve">           </w:t>
      </w:r>
      <w:r w:rsidRPr="00D312A3">
        <w:rPr>
          <w:rFonts w:ascii="Times New Roman" w:hAnsi="Times New Roman"/>
        </w:rPr>
        <w:t xml:space="preserve">. "The committee on global financial systems." </w:t>
      </w:r>
      <w:r w:rsidRPr="00D312A3">
        <w:rPr>
          <w:rFonts w:ascii="Times New Roman" w:hAnsi="Times New Roman"/>
          <w:i/>
        </w:rPr>
        <w:t>Stress testing by large financial institutions</w:t>
      </w:r>
      <w:proofErr w:type="gramStart"/>
      <w:r w:rsidRPr="00D312A3">
        <w:rPr>
          <w:rFonts w:ascii="Times New Roman" w:hAnsi="Times New Roman"/>
          <w:i/>
        </w:rPr>
        <w:t>::</w:t>
      </w:r>
      <w:proofErr w:type="gramEnd"/>
      <w:r w:rsidRPr="00D312A3">
        <w:rPr>
          <w:rFonts w:ascii="Times New Roman" w:hAnsi="Times New Roman"/>
          <w:i/>
        </w:rPr>
        <w:t xml:space="preserve"> </w:t>
      </w:r>
      <w:proofErr w:type="spellStart"/>
      <w:r w:rsidRPr="00D312A3">
        <w:rPr>
          <w:rFonts w:ascii="Times New Roman" w:hAnsi="Times New Roman"/>
          <w:i/>
        </w:rPr>
        <w:t>urrent</w:t>
      </w:r>
      <w:proofErr w:type="spellEnd"/>
      <w:r w:rsidRPr="00D312A3">
        <w:rPr>
          <w:rFonts w:ascii="Times New Roman" w:hAnsi="Times New Roman"/>
          <w:i/>
        </w:rPr>
        <w:t xml:space="preserve"> practice and aggregation issues</w:t>
      </w:r>
      <w:r w:rsidRPr="00D312A3">
        <w:rPr>
          <w:rFonts w:ascii="Times New Roman" w:hAnsi="Times New Roman"/>
        </w:rPr>
        <w:t xml:space="preserve"> (April, 2000).</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International convergence of capital measurement and capital standards</w:t>
      </w:r>
      <w:proofErr w:type="gramStart"/>
      <w:r w:rsidRPr="008F73F8">
        <w:rPr>
          <w:rFonts w:ascii="Times New Roman" w:hAnsi="Times New Roman"/>
          <w:i/>
        </w:rPr>
        <w:t>::</w:t>
      </w:r>
      <w:proofErr w:type="gramEnd"/>
      <w:r w:rsidRPr="008F73F8">
        <w:rPr>
          <w:rFonts w:ascii="Times New Roman" w:hAnsi="Times New Roman"/>
          <w:i/>
        </w:rPr>
        <w:t xml:space="preserve"> a revised framework</w:t>
      </w:r>
      <w:r w:rsidRPr="008F73F8">
        <w:rPr>
          <w:rFonts w:ascii="Times New Roman" w:hAnsi="Times New Roman"/>
        </w:rPr>
        <w:t xml:space="preserve"> (2006).</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Principles for sound stress testing practices and supervision - consultative paper (May – No. 155)</w:t>
      </w:r>
      <w:r w:rsidRPr="008F73F8">
        <w:rPr>
          <w:rFonts w:ascii="Times New Roman" w:hAnsi="Times New Roman"/>
        </w:rPr>
        <w:t xml:space="preserve"> (2009a).</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Guidelines for computing capital for incremental risk in the trading book</w:t>
      </w:r>
      <w:r w:rsidRPr="008F73F8">
        <w:rPr>
          <w:rFonts w:ascii="Times New Roman" w:hAnsi="Times New Roman"/>
        </w:rPr>
        <w:t xml:space="preserve"> (2009b).</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Revisions to the Basel II market risk framework</w:t>
      </w:r>
      <w:r w:rsidRPr="008F73F8">
        <w:rPr>
          <w:rFonts w:ascii="Times New Roman" w:hAnsi="Times New Roman"/>
        </w:rPr>
        <w:t xml:space="preserve"> (2009c).</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Analysis of the trading book quantitative impact study (October)</w:t>
      </w:r>
      <w:r w:rsidRPr="008F73F8">
        <w:rPr>
          <w:rFonts w:ascii="Times New Roman" w:hAnsi="Times New Roman"/>
        </w:rPr>
        <w:t xml:space="preserve"> (2009d).</w:t>
      </w:r>
    </w:p>
    <w:p w:rsidR="006F5132" w:rsidRDefault="006F5132" w:rsidP="006F5132">
      <w:pPr>
        <w:pStyle w:val="CM33"/>
        <w:spacing w:after="200"/>
        <w:ind w:right="495"/>
        <w:contextualSpacing/>
        <w:rPr>
          <w:rFonts w:ascii="Times New Roman" w:hAnsi="Times New Roman"/>
        </w:rPr>
      </w:pPr>
    </w:p>
    <w:p w:rsidR="006F5132" w:rsidRPr="0011473E" w:rsidRDefault="007807F4" w:rsidP="006F5132">
      <w:pPr>
        <w:pStyle w:val="CM33"/>
        <w:spacing w:after="200"/>
        <w:ind w:right="495"/>
        <w:contextualSpacing/>
        <w:rPr>
          <w:rFonts w:ascii="Times New Roman" w:hAnsi="Times New Roman"/>
        </w:rPr>
      </w:pPr>
      <w:r w:rsidRPr="0011473E">
        <w:rPr>
          <w:rFonts w:ascii="Times New Roman" w:hAnsi="Times New Roman"/>
          <w:u w:val="single"/>
        </w:rPr>
        <w:t xml:space="preserve">           </w:t>
      </w:r>
      <w:r w:rsidRPr="0011473E">
        <w:rPr>
          <w:rFonts w:ascii="Times New Roman" w:hAnsi="Times New Roman"/>
        </w:rPr>
        <w:t xml:space="preserve"> </w:t>
      </w:r>
      <w:r w:rsidRPr="0011473E">
        <w:rPr>
          <w:rFonts w:ascii="Times New Roman" w:hAnsi="Times New Roman"/>
          <w:i/>
        </w:rPr>
        <w:t>Strengthening the resilience of the banking sector - consultative document (December)</w:t>
      </w:r>
      <w:r w:rsidRPr="0011473E">
        <w:rPr>
          <w:rFonts w:ascii="Times New Roman" w:hAnsi="Times New Roman"/>
        </w:rPr>
        <w:t xml:space="preserve"> (2009e).</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Basel III</w:t>
      </w:r>
      <w:proofErr w:type="gramStart"/>
      <w:r w:rsidRPr="008F73F8">
        <w:rPr>
          <w:rFonts w:ascii="Times New Roman" w:hAnsi="Times New Roman"/>
          <w:i/>
        </w:rPr>
        <w:t>::</w:t>
      </w:r>
      <w:proofErr w:type="gramEnd"/>
      <w:r w:rsidRPr="008F73F8">
        <w:rPr>
          <w:rFonts w:ascii="Times New Roman" w:hAnsi="Times New Roman"/>
          <w:i/>
        </w:rPr>
        <w:t xml:space="preserve"> a global regulatory framework for more resilient banks and banking systems (December)</w:t>
      </w:r>
      <w:r w:rsidRPr="008F73F8">
        <w:rPr>
          <w:rFonts w:ascii="Times New Roman" w:hAnsi="Times New Roman"/>
        </w:rPr>
        <w:t xml:space="preserve"> (2010a).</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An Assessment of the Long-Term Economic Impact of Stronger Capital and Liquidity Requirements (August)</w:t>
      </w:r>
      <w:r w:rsidRPr="008F73F8">
        <w:rPr>
          <w:rFonts w:ascii="Times New Roman" w:hAnsi="Times New Roman"/>
        </w:rPr>
        <w:t xml:space="preserve"> (2010b).</w:t>
      </w:r>
    </w:p>
    <w:p w:rsidR="006F5132" w:rsidRDefault="006F5132" w:rsidP="006F5132">
      <w:pPr>
        <w:pStyle w:val="CM33"/>
        <w:spacing w:after="200"/>
        <w:ind w:right="495"/>
        <w:contextualSpacing/>
        <w:rPr>
          <w:rFonts w:ascii="Times New Roman" w:hAnsi="Times New Roman"/>
        </w:rPr>
      </w:pPr>
    </w:p>
    <w:p w:rsidR="006F5132" w:rsidRDefault="007807F4" w:rsidP="006F5132">
      <w:pPr>
        <w:pStyle w:val="CM33"/>
        <w:spacing w:after="200"/>
        <w:ind w:right="495"/>
        <w:contextualSpacing/>
        <w:rPr>
          <w:rFonts w:ascii="Times New Roman" w:hAnsi="Times New Roman"/>
        </w:rPr>
      </w:pPr>
      <w:r w:rsidRPr="008F73F8">
        <w:rPr>
          <w:rFonts w:ascii="Times New Roman" w:hAnsi="Times New Roman"/>
        </w:rPr>
        <w:t xml:space="preserve">Baum, L.E., and T. Petrie, Statistical Inference for Probabilistic Functions of Finite State Markov Chains, </w:t>
      </w:r>
      <w:r w:rsidRPr="008F73F8">
        <w:rPr>
          <w:rFonts w:ascii="Times New Roman" w:hAnsi="Times New Roman"/>
          <w:i/>
        </w:rPr>
        <w:t>The Annals of Mathematical Statistics</w:t>
      </w:r>
      <w:r w:rsidRPr="008F73F8">
        <w:rPr>
          <w:rFonts w:ascii="Times New Roman" w:hAnsi="Times New Roman"/>
        </w:rPr>
        <w:t xml:space="preserve">, </w:t>
      </w:r>
      <w:r w:rsidRPr="008F73F8">
        <w:rPr>
          <w:rFonts w:ascii="Times New Roman" w:hAnsi="Times New Roman"/>
          <w:b/>
        </w:rPr>
        <w:t>37</w:t>
      </w:r>
      <w:r w:rsidRPr="008F73F8">
        <w:rPr>
          <w:rFonts w:ascii="Times New Roman" w:hAnsi="Times New Roman"/>
        </w:rPr>
        <w:t>(6), (1966), 1554-1563.</w:t>
      </w:r>
    </w:p>
    <w:p w:rsidR="006F5132" w:rsidRDefault="006F5132" w:rsidP="006F5132">
      <w:pPr>
        <w:pStyle w:val="CM33"/>
        <w:spacing w:after="200"/>
        <w:ind w:right="495"/>
        <w:contextualSpacing/>
        <w:rPr>
          <w:rFonts w:ascii="Times New Roman" w:hAnsi="Times New Roman"/>
        </w:rPr>
      </w:pPr>
    </w:p>
    <w:p w:rsidR="007807F4" w:rsidRPr="008F73F8" w:rsidRDefault="007807F4" w:rsidP="006F5132">
      <w:pPr>
        <w:pStyle w:val="CM33"/>
        <w:spacing w:after="200"/>
        <w:ind w:right="495"/>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Soules, G. and N, Weiss, A Maximization Technique Occurring in the Statistical Analysis of Probabilistic Functions of .Markov Chains,</w:t>
      </w:r>
      <w:r w:rsidR="006F5132">
        <w:rPr>
          <w:rFonts w:ascii="Times New Roman" w:hAnsi="Times New Roman"/>
        </w:rPr>
        <w:t xml:space="preserve"> </w:t>
      </w:r>
      <w:r w:rsidRPr="008F73F8">
        <w:rPr>
          <w:rFonts w:ascii="Times New Roman" w:hAnsi="Times New Roman"/>
          <w:i/>
        </w:rPr>
        <w:t xml:space="preserve">Annals of Mathematical </w:t>
      </w:r>
      <w:r w:rsidRPr="008F73F8">
        <w:rPr>
          <w:rFonts w:ascii="Times New Roman" w:hAnsi="Times New Roman"/>
          <w:i/>
        </w:rPr>
        <w:lastRenderedPageBreak/>
        <w:t>Statistics</w:t>
      </w:r>
      <w:r w:rsidRPr="008F73F8">
        <w:rPr>
          <w:rFonts w:ascii="Times New Roman" w:hAnsi="Times New Roman"/>
        </w:rPr>
        <w:t xml:space="preserve">, </w:t>
      </w:r>
      <w:r w:rsidRPr="008F73F8">
        <w:rPr>
          <w:rFonts w:ascii="Times New Roman" w:hAnsi="Times New Roman"/>
          <w:b/>
        </w:rPr>
        <w:t>41</w:t>
      </w:r>
      <w:r w:rsidRPr="008F73F8">
        <w:rPr>
          <w:rFonts w:ascii="Times New Roman" w:hAnsi="Times New Roman"/>
        </w:rPr>
        <w:t>(1), (1970), 164-171.</w:t>
      </w:r>
    </w:p>
    <w:p w:rsidR="006F5132" w:rsidRDefault="007807F4" w:rsidP="006F5132">
      <w:pPr>
        <w:pStyle w:val="Default"/>
        <w:spacing w:after="200"/>
        <w:rPr>
          <w:rFonts w:ascii="Times New Roman" w:hAnsi="Times New Roman" w:cs="Times New Roman"/>
          <w:color w:val="auto"/>
        </w:rPr>
      </w:pPr>
      <w:r w:rsidRPr="008F73F8">
        <w:rPr>
          <w:rFonts w:ascii="Times New Roman" w:hAnsi="Times New Roman" w:cs="Times New Roman"/>
          <w:color w:val="auto"/>
        </w:rPr>
        <w:t xml:space="preserve">J. Berkowitz and A. Jeremy, A Coherent Framework for Stress-Testing, FEDS </w:t>
      </w:r>
      <w:r w:rsidRPr="008F73F8">
        <w:rPr>
          <w:rFonts w:ascii="Times New Roman" w:hAnsi="Times New Roman" w:cs="Times New Roman"/>
          <w:i/>
          <w:color w:val="auto"/>
        </w:rPr>
        <w:t xml:space="preserve">Working Paper </w:t>
      </w:r>
      <w:r w:rsidRPr="008F73F8">
        <w:rPr>
          <w:rFonts w:ascii="Times New Roman" w:hAnsi="Times New Roman" w:cs="Times New Roman"/>
          <w:b/>
          <w:color w:val="auto"/>
        </w:rPr>
        <w:t>No. 99-29</w:t>
      </w:r>
      <w:r w:rsidRPr="008F73F8">
        <w:rPr>
          <w:rFonts w:ascii="Times New Roman" w:hAnsi="Times New Roman" w:cs="Times New Roman"/>
          <w:color w:val="auto"/>
        </w:rPr>
        <w:t>, (1999).</w:t>
      </w:r>
    </w:p>
    <w:p w:rsidR="006F5132" w:rsidRDefault="007807F4" w:rsidP="006F5132">
      <w:pPr>
        <w:pStyle w:val="Default"/>
        <w:spacing w:after="200"/>
        <w:rPr>
          <w:rFonts w:ascii="Times New Roman" w:hAnsi="Times New Roman" w:cs="Times New Roman"/>
          <w:color w:val="auto"/>
        </w:rPr>
      </w:pPr>
      <w:r w:rsidRPr="008F73F8">
        <w:rPr>
          <w:rFonts w:ascii="Times New Roman" w:hAnsi="Times New Roman" w:cs="Times New Roman"/>
          <w:color w:val="auto"/>
        </w:rPr>
        <w:t xml:space="preserve">R. Bidder and A. McKenna, Robust Stress Testing, </w:t>
      </w:r>
      <w:r w:rsidRPr="008F73F8">
        <w:rPr>
          <w:rFonts w:ascii="Times New Roman" w:hAnsi="Times New Roman" w:cs="Times New Roman"/>
        </w:rPr>
        <w:t>Federal Reserve Bank of San Francisco</w:t>
      </w:r>
      <w:r w:rsidRPr="008F73F8">
        <w:rPr>
          <w:rFonts w:ascii="Times New Roman" w:hAnsi="Times New Roman" w:cs="Times New Roman"/>
          <w:i/>
          <w:color w:val="auto"/>
        </w:rPr>
        <w:t xml:space="preserve"> Working Paper </w:t>
      </w:r>
      <w:r w:rsidRPr="008F73F8">
        <w:rPr>
          <w:rFonts w:ascii="Times New Roman" w:hAnsi="Times New Roman" w:cs="Times New Roman"/>
          <w:b/>
          <w:color w:val="auto"/>
        </w:rPr>
        <w:t>September</w:t>
      </w:r>
      <w:r w:rsidRPr="008F73F8">
        <w:rPr>
          <w:rFonts w:ascii="Times New Roman" w:hAnsi="Times New Roman" w:cs="Times New Roman"/>
          <w:color w:val="auto"/>
        </w:rPr>
        <w:t>, (2015).</w:t>
      </w:r>
    </w:p>
    <w:p w:rsidR="006F5132" w:rsidRDefault="007807F4" w:rsidP="006F5132">
      <w:pPr>
        <w:pStyle w:val="Default"/>
        <w:spacing w:after="200"/>
        <w:rPr>
          <w:rFonts w:ascii="Times New Roman" w:hAnsi="Times New Roman"/>
        </w:rPr>
      </w:pPr>
      <w:r w:rsidRPr="008F73F8">
        <w:rPr>
          <w:rFonts w:ascii="Times New Roman" w:hAnsi="Times New Roman" w:cs="Times New Roman"/>
        </w:rPr>
        <w:t xml:space="preserve">Blackwell, D., and L. Koopmans, On the Identifiable Problem for Functions of Finite Markov Chains, </w:t>
      </w:r>
      <w:r w:rsidRPr="008F73F8">
        <w:rPr>
          <w:rFonts w:ascii="Times New Roman" w:hAnsi="Times New Roman" w:cs="Times New Roman"/>
          <w:i/>
        </w:rPr>
        <w:t>The Annals of Mathematical Statistics</w:t>
      </w:r>
      <w:r w:rsidRPr="008F73F8">
        <w:rPr>
          <w:rFonts w:ascii="Times New Roman" w:hAnsi="Times New Roman" w:cs="Times New Roman"/>
        </w:rPr>
        <w:t xml:space="preserve">, </w:t>
      </w:r>
      <w:r w:rsidRPr="008F73F8">
        <w:rPr>
          <w:rFonts w:ascii="Times New Roman" w:hAnsi="Times New Roman" w:cs="Times New Roman"/>
          <w:b/>
        </w:rPr>
        <w:t>28</w:t>
      </w:r>
      <w:r w:rsidRPr="008F73F8">
        <w:rPr>
          <w:rFonts w:ascii="Times New Roman" w:hAnsi="Times New Roman" w:cs="Times New Roman"/>
        </w:rPr>
        <w:t>(4), (1957), 1011-1015.</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Board of Governors of the Federal Reserve System, 1996, “Joint Policy Statement on Interest Rate Risk”, Supervisory Letter 96-13, May 23</w:t>
      </w:r>
      <w:r w:rsidRPr="008F73F8">
        <w:rPr>
          <w:rFonts w:ascii="Times New Roman" w:hAnsi="Times New Roman"/>
          <w:sz w:val="24"/>
          <w:szCs w:val="24"/>
          <w:vertAlign w:val="superscript"/>
        </w:rPr>
        <w:t>rd</w:t>
      </w:r>
      <w:r w:rsidRPr="008F73F8">
        <w:rPr>
          <w:rFonts w:ascii="Times New Roman" w:hAnsi="Times New Roman"/>
          <w:sz w:val="24"/>
          <w:szCs w:val="24"/>
        </w:rPr>
        <w:t>.</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u w:val="single"/>
        </w:rPr>
        <w:t xml:space="preserve">       </w:t>
      </w:r>
      <w:r w:rsidRPr="008F73F8">
        <w:rPr>
          <w:rFonts w:ascii="Times New Roman" w:hAnsi="Times New Roman"/>
          <w:sz w:val="24"/>
          <w:szCs w:val="24"/>
        </w:rPr>
        <w:t>, 1999, “Supervisory Guidance Regarding Counterparty Credit Risk Management”, Supervisory Letter 99-03, February 1</w:t>
      </w:r>
      <w:r w:rsidRPr="008F73F8">
        <w:rPr>
          <w:rFonts w:ascii="Times New Roman" w:hAnsi="Times New Roman"/>
          <w:sz w:val="24"/>
          <w:szCs w:val="24"/>
          <w:vertAlign w:val="superscript"/>
        </w:rPr>
        <w:t>st</w:t>
      </w:r>
      <w:r w:rsidRPr="008F73F8">
        <w:rPr>
          <w:rFonts w:ascii="Times New Roman" w:hAnsi="Times New Roman"/>
          <w:sz w:val="24"/>
          <w:szCs w:val="24"/>
        </w:rPr>
        <w:t>.</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u w:val="single"/>
        </w:rPr>
        <w:t xml:space="preserve">        </w:t>
      </w:r>
      <w:r w:rsidRPr="008F73F8">
        <w:rPr>
          <w:rFonts w:ascii="Times New Roman" w:hAnsi="Times New Roman"/>
          <w:sz w:val="24"/>
          <w:szCs w:val="24"/>
        </w:rPr>
        <w:t>, 2002, “Interagency Guidance on Country Risk Management”, Supervisory Letter 02-05, March 8</w:t>
      </w:r>
      <w:r w:rsidRPr="008F73F8">
        <w:rPr>
          <w:rFonts w:ascii="Times New Roman" w:hAnsi="Times New Roman"/>
          <w:sz w:val="24"/>
          <w:szCs w:val="24"/>
          <w:vertAlign w:val="superscript"/>
        </w:rPr>
        <w:t>th</w:t>
      </w:r>
      <w:r w:rsidRPr="008F73F8">
        <w:rPr>
          <w:rFonts w:ascii="Times New Roman" w:hAnsi="Times New Roman"/>
          <w:sz w:val="24"/>
          <w:szCs w:val="24"/>
        </w:rPr>
        <w:t>.</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u w:val="single"/>
        </w:rPr>
        <w:t xml:space="preserve">        </w:t>
      </w:r>
      <w:r w:rsidRPr="008F73F8">
        <w:rPr>
          <w:rFonts w:ascii="Times New Roman" w:hAnsi="Times New Roman"/>
          <w:sz w:val="24"/>
          <w:szCs w:val="24"/>
        </w:rPr>
        <w:t>, 2011, “Supervisory Guidance on Model Risk Management”, Supervisory Letter 11-7, April 4</w:t>
      </w:r>
      <w:r w:rsidRPr="008F73F8">
        <w:rPr>
          <w:rFonts w:ascii="Times New Roman" w:hAnsi="Times New Roman"/>
          <w:sz w:val="24"/>
          <w:szCs w:val="24"/>
          <w:vertAlign w:val="superscript"/>
        </w:rPr>
        <w:t>th</w:t>
      </w:r>
      <w:r w:rsidRPr="008F73F8">
        <w:rPr>
          <w:rFonts w:ascii="Times New Roman" w:hAnsi="Times New Roman"/>
          <w:sz w:val="24"/>
          <w:szCs w:val="24"/>
        </w:rPr>
        <w:t>.</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 xml:space="preserve">G. Box and G. Jenkins, </w:t>
      </w:r>
      <w:r w:rsidRPr="008F73F8">
        <w:rPr>
          <w:rFonts w:ascii="Times New Roman" w:hAnsi="Times New Roman"/>
          <w:i/>
          <w:sz w:val="24"/>
          <w:szCs w:val="24"/>
        </w:rPr>
        <w:t>Time Series Analysis: Forecasting and Control</w:t>
      </w:r>
      <w:r w:rsidRPr="008F73F8">
        <w:rPr>
          <w:rFonts w:ascii="Times New Roman" w:hAnsi="Times New Roman"/>
          <w:sz w:val="24"/>
          <w:szCs w:val="24"/>
        </w:rPr>
        <w:t>, Holden-Day, San Francisco, 1970.</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 xml:space="preserve">P.J. </w:t>
      </w:r>
      <w:proofErr w:type="spellStart"/>
      <w:r w:rsidRPr="008F73F8">
        <w:rPr>
          <w:rFonts w:ascii="Times New Roman" w:hAnsi="Times New Roman"/>
          <w:sz w:val="24"/>
          <w:szCs w:val="24"/>
        </w:rPr>
        <w:t>Brockwell</w:t>
      </w:r>
      <w:proofErr w:type="spellEnd"/>
      <w:r w:rsidRPr="008F73F8">
        <w:rPr>
          <w:rFonts w:ascii="Times New Roman" w:hAnsi="Times New Roman"/>
          <w:sz w:val="24"/>
          <w:szCs w:val="24"/>
        </w:rPr>
        <w:t xml:space="preserve"> and R.A. Davis, </w:t>
      </w:r>
      <w:r w:rsidRPr="008F73F8">
        <w:rPr>
          <w:rFonts w:ascii="Times New Roman" w:hAnsi="Times New Roman"/>
          <w:i/>
          <w:sz w:val="24"/>
          <w:szCs w:val="24"/>
        </w:rPr>
        <w:t>Time Series: Theory and Methods</w:t>
      </w:r>
      <w:r w:rsidRPr="008F73F8">
        <w:rPr>
          <w:rFonts w:ascii="Times New Roman" w:hAnsi="Times New Roman"/>
          <w:sz w:val="24"/>
          <w:szCs w:val="24"/>
        </w:rPr>
        <w:t>, Springer-</w:t>
      </w:r>
      <w:proofErr w:type="spellStart"/>
      <w:r w:rsidRPr="008F73F8">
        <w:rPr>
          <w:rFonts w:ascii="Times New Roman" w:hAnsi="Times New Roman"/>
          <w:sz w:val="24"/>
          <w:szCs w:val="24"/>
        </w:rPr>
        <w:t>Verlag</w:t>
      </w:r>
      <w:proofErr w:type="spellEnd"/>
      <w:r w:rsidRPr="008F73F8">
        <w:rPr>
          <w:rFonts w:ascii="Times New Roman" w:hAnsi="Times New Roman"/>
          <w:sz w:val="24"/>
          <w:szCs w:val="24"/>
        </w:rPr>
        <w:t>, New York, 1991.</w:t>
      </w:r>
    </w:p>
    <w:p w:rsidR="007807F4" w:rsidRPr="008F73F8" w:rsidRDefault="004F7868" w:rsidP="006F5132">
      <w:pPr>
        <w:pStyle w:val="Default"/>
        <w:spacing w:after="200"/>
        <w:rPr>
          <w:rFonts w:ascii="Times New Roman" w:hAnsi="Times New Roman" w:cs="Times New Roman"/>
          <w:color w:val="auto"/>
        </w:rPr>
      </w:pPr>
      <w:r>
        <w:rPr>
          <w:rFonts w:ascii="Times New Roman" w:hAnsi="Times New Roman" w:cs="Times New Roman"/>
          <w:color w:val="auto"/>
        </w:rPr>
        <w:t xml:space="preserve">T. Clark and L. R. </w:t>
      </w:r>
      <w:proofErr w:type="spellStart"/>
      <w:r>
        <w:rPr>
          <w:rFonts w:ascii="Times New Roman" w:hAnsi="Times New Roman" w:cs="Times New Roman"/>
          <w:color w:val="auto"/>
        </w:rPr>
        <w:t>Ry</w:t>
      </w:r>
      <w:r w:rsidR="007807F4" w:rsidRPr="008F73F8">
        <w:rPr>
          <w:rFonts w:ascii="Times New Roman" w:hAnsi="Times New Roman" w:cs="Times New Roman"/>
          <w:color w:val="auto"/>
        </w:rPr>
        <w:t>u</w:t>
      </w:r>
      <w:proofErr w:type="spellEnd"/>
      <w:r w:rsidR="007807F4" w:rsidRPr="008F73F8">
        <w:rPr>
          <w:rFonts w:ascii="Times New Roman" w:hAnsi="Times New Roman" w:cs="Times New Roman"/>
          <w:color w:val="auto"/>
        </w:rPr>
        <w:t>, 2015, CCAR and Stress Testing as Complementary Supervisory Tools, Board of Governors of the Federal Reserve</w:t>
      </w:r>
      <w:r w:rsidR="007807F4" w:rsidRPr="008F73F8">
        <w:rPr>
          <w:rFonts w:ascii="Times New Roman" w:hAnsi="Times New Roman" w:cs="Times New Roman"/>
          <w:i/>
          <w:color w:val="auto"/>
        </w:rPr>
        <w:t xml:space="preserve"> Supervisory Staff Reports </w:t>
      </w:r>
      <w:r w:rsidR="007807F4" w:rsidRPr="008F73F8">
        <w:rPr>
          <w:rFonts w:ascii="Times New Roman" w:hAnsi="Times New Roman" w:cs="Times New Roman"/>
          <w:b/>
          <w:color w:val="auto"/>
        </w:rPr>
        <w:t>June 24</w:t>
      </w:r>
      <w:r w:rsidR="007807F4" w:rsidRPr="008F73F8">
        <w:rPr>
          <w:rFonts w:ascii="Times New Roman" w:hAnsi="Times New Roman" w:cs="Times New Roman"/>
          <w:color w:val="auto"/>
        </w:rPr>
        <w:t>, (201</w:t>
      </w:r>
      <w:r>
        <w:rPr>
          <w:rFonts w:ascii="Times New Roman" w:hAnsi="Times New Roman" w:cs="Times New Roman"/>
          <w:color w:val="auto"/>
        </w:rPr>
        <w:t>5</w:t>
      </w:r>
      <w:r w:rsidR="007807F4" w:rsidRPr="008F73F8">
        <w:rPr>
          <w:rFonts w:ascii="Times New Roman" w:hAnsi="Times New Roman" w:cs="Times New Roman"/>
          <w:color w:val="auto"/>
        </w:rPr>
        <w:t>).</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 xml:space="preserve">J. J. F. </w:t>
      </w:r>
      <w:proofErr w:type="spellStart"/>
      <w:r w:rsidRPr="008F73F8">
        <w:rPr>
          <w:rFonts w:ascii="Times New Roman" w:hAnsi="Times New Roman"/>
          <w:sz w:val="24"/>
          <w:szCs w:val="24"/>
        </w:rPr>
        <w:t>Commandeur</w:t>
      </w:r>
      <w:proofErr w:type="spellEnd"/>
      <w:r w:rsidRPr="008F73F8">
        <w:rPr>
          <w:rFonts w:ascii="Times New Roman" w:hAnsi="Times New Roman"/>
          <w:sz w:val="24"/>
          <w:szCs w:val="24"/>
        </w:rPr>
        <w:t xml:space="preserve"> and S.J. </w:t>
      </w:r>
      <w:proofErr w:type="spellStart"/>
      <w:r w:rsidRPr="008F73F8">
        <w:rPr>
          <w:rFonts w:ascii="Times New Roman" w:hAnsi="Times New Roman"/>
          <w:sz w:val="24"/>
          <w:szCs w:val="24"/>
        </w:rPr>
        <w:t>Koopman</w:t>
      </w:r>
      <w:proofErr w:type="spellEnd"/>
      <w:r w:rsidRPr="008F73F8">
        <w:rPr>
          <w:rFonts w:ascii="Times New Roman" w:hAnsi="Times New Roman"/>
          <w:sz w:val="24"/>
          <w:szCs w:val="24"/>
        </w:rPr>
        <w:t xml:space="preserve">, </w:t>
      </w:r>
      <w:r w:rsidRPr="008F73F8">
        <w:rPr>
          <w:rFonts w:ascii="Times New Roman" w:hAnsi="Times New Roman"/>
          <w:i/>
          <w:sz w:val="24"/>
          <w:szCs w:val="24"/>
        </w:rPr>
        <w:t>Introduction to State Space Time Series Analysis</w:t>
      </w:r>
      <w:r w:rsidRPr="008F73F8">
        <w:rPr>
          <w:rFonts w:ascii="Times New Roman" w:hAnsi="Times New Roman"/>
          <w:sz w:val="24"/>
          <w:szCs w:val="24"/>
        </w:rPr>
        <w:t>, Oxford University Press, New York, 2007.</w:t>
      </w:r>
    </w:p>
    <w:p w:rsidR="007807F4" w:rsidRDefault="007807F4" w:rsidP="006F5132">
      <w:pPr>
        <w:pStyle w:val="CM33"/>
        <w:spacing w:after="200"/>
        <w:ind w:right="232"/>
        <w:contextualSpacing/>
        <w:rPr>
          <w:rFonts w:ascii="Times New Roman" w:hAnsi="Times New Roman"/>
        </w:rPr>
      </w:pPr>
      <w:r w:rsidRPr="008F73F8">
        <w:rPr>
          <w:rFonts w:ascii="Times New Roman" w:hAnsi="Times New Roman"/>
        </w:rPr>
        <w:t xml:space="preserve">Demirguc-Kunt, A., Detragiache, E., and O. Merrouche, Bank Capital: Lessons from the Financial Crisis, World Bank </w:t>
      </w:r>
      <w:r w:rsidRPr="008F73F8">
        <w:rPr>
          <w:rFonts w:ascii="Times New Roman" w:hAnsi="Times New Roman"/>
          <w:i/>
        </w:rPr>
        <w:t>Policy Research Working Paper</w:t>
      </w:r>
      <w:r w:rsidRPr="008F73F8">
        <w:rPr>
          <w:rFonts w:ascii="Times New Roman" w:hAnsi="Times New Roman"/>
        </w:rPr>
        <w:t xml:space="preserve"> </w:t>
      </w:r>
      <w:r w:rsidRPr="008F73F8">
        <w:rPr>
          <w:rFonts w:ascii="Times New Roman" w:hAnsi="Times New Roman"/>
          <w:b/>
        </w:rPr>
        <w:t>No. 5473</w:t>
      </w:r>
      <w:r w:rsidRPr="008F73F8">
        <w:rPr>
          <w:rFonts w:ascii="Times New Roman" w:hAnsi="Times New Roman"/>
        </w:rPr>
        <w:t>, (November, 2010)</w:t>
      </w:r>
      <w:r w:rsidR="00DC4B2B">
        <w:rPr>
          <w:rFonts w:ascii="Times New Roman" w:hAnsi="Times New Roman"/>
        </w:rPr>
        <w:t>.</w:t>
      </w:r>
    </w:p>
    <w:p w:rsidR="0011473E" w:rsidRPr="00520E6F" w:rsidRDefault="0011473E" w:rsidP="0011473E">
      <w:pPr>
        <w:pStyle w:val="Default"/>
        <w:rPr>
          <w:rFonts w:ascii="Times New Roman" w:hAnsi="Times New Roman" w:cs="Times New Roman"/>
        </w:rPr>
      </w:pPr>
      <w:r w:rsidRPr="00520E6F">
        <w:rPr>
          <w:rFonts w:ascii="Times New Roman" w:hAnsi="Times New Roman" w:cs="Times New Roman"/>
        </w:rPr>
        <w:t xml:space="preserve">Embrechts, </w:t>
      </w:r>
      <w:proofErr w:type="spellStart"/>
      <w:r w:rsidRPr="00520E6F">
        <w:rPr>
          <w:rFonts w:ascii="Times New Roman" w:hAnsi="Times New Roman" w:cs="Times New Roman"/>
        </w:rPr>
        <w:t>P.</w:t>
      </w:r>
      <w:proofErr w:type="gramStart"/>
      <w:r w:rsidRPr="00520E6F">
        <w:rPr>
          <w:rFonts w:ascii="Times New Roman" w:hAnsi="Times New Roman" w:cs="Times New Roman"/>
        </w:rPr>
        <w:t>,McNeil</w:t>
      </w:r>
      <w:proofErr w:type="spellEnd"/>
      <w:proofErr w:type="gramEnd"/>
      <w:r w:rsidRPr="00520E6F">
        <w:rPr>
          <w:rFonts w:ascii="Times New Roman" w:hAnsi="Times New Roman" w:cs="Times New Roman"/>
        </w:rPr>
        <w:t xml:space="preserve">, A.J., Straumann, D., 1999, Correlation: pitfalls and alternatives, Risk 12, </w:t>
      </w:r>
    </w:p>
    <w:p w:rsidR="0011473E" w:rsidRPr="00520E6F" w:rsidRDefault="0011473E" w:rsidP="0011473E">
      <w:pPr>
        <w:pStyle w:val="Default"/>
        <w:rPr>
          <w:rFonts w:ascii="Times New Roman" w:hAnsi="Times New Roman" w:cs="Times New Roman"/>
        </w:rPr>
      </w:pPr>
      <w:r w:rsidRPr="00520E6F">
        <w:rPr>
          <w:rFonts w:ascii="Times New Roman" w:hAnsi="Times New Roman" w:cs="Times New Roman"/>
        </w:rPr>
        <w:t>69–71.</w:t>
      </w:r>
    </w:p>
    <w:p w:rsidR="0011473E" w:rsidRPr="00520E6F" w:rsidRDefault="0011473E" w:rsidP="0011473E">
      <w:pPr>
        <w:pStyle w:val="Default"/>
        <w:rPr>
          <w:rFonts w:ascii="Times New Roman" w:hAnsi="Times New Roman" w:cs="Times New Roman"/>
        </w:rPr>
      </w:pPr>
    </w:p>
    <w:p w:rsidR="0011473E" w:rsidRPr="00520E6F" w:rsidRDefault="0011473E" w:rsidP="0011473E">
      <w:pPr>
        <w:pStyle w:val="Default"/>
        <w:rPr>
          <w:rFonts w:ascii="Times New Roman" w:hAnsi="Times New Roman" w:cs="Times New Roman"/>
        </w:rPr>
      </w:pPr>
      <w:r w:rsidRPr="00520E6F">
        <w:rPr>
          <w:rFonts w:ascii="Times New Roman" w:hAnsi="Times New Roman" w:cs="Times New Roman"/>
          <w:u w:val="single"/>
        </w:rPr>
        <w:t xml:space="preserve">                </w:t>
      </w:r>
      <w:r w:rsidRPr="00520E6F">
        <w:rPr>
          <w:rFonts w:ascii="Times New Roman" w:hAnsi="Times New Roman" w:cs="Times New Roman"/>
        </w:rPr>
        <w:t xml:space="preserve"> , McNeil, A.J., Straumann, D., 2002. Correlation and dependence in risk management: properties and </w:t>
      </w:r>
      <w:proofErr w:type="gramStart"/>
      <w:r w:rsidRPr="00520E6F">
        <w:rPr>
          <w:rFonts w:ascii="Times New Roman" w:hAnsi="Times New Roman" w:cs="Times New Roman"/>
        </w:rPr>
        <w:t>pitfalls.,</w:t>
      </w:r>
      <w:proofErr w:type="gramEnd"/>
      <w:r w:rsidRPr="00520E6F">
        <w:rPr>
          <w:rFonts w:ascii="Times New Roman" w:hAnsi="Times New Roman" w:cs="Times New Roman"/>
        </w:rPr>
        <w:t xml:space="preserve"> in Dempster, M.A.H., ed.:, Risk Management: Value at Risk and Beyond, (Cambridge University Press, Cambridge, UK), 176–223.</w:t>
      </w:r>
    </w:p>
    <w:p w:rsidR="0011473E" w:rsidRPr="00520E6F" w:rsidRDefault="0011473E" w:rsidP="0011473E">
      <w:pPr>
        <w:pStyle w:val="Default"/>
        <w:rPr>
          <w:rFonts w:ascii="Times New Roman" w:hAnsi="Times New Roman" w:cs="Times New Roman"/>
        </w:rPr>
      </w:pPr>
    </w:p>
    <w:p w:rsidR="0011473E" w:rsidRPr="00520E6F" w:rsidRDefault="0011473E" w:rsidP="0011473E">
      <w:pPr>
        <w:pStyle w:val="Default"/>
        <w:rPr>
          <w:rFonts w:ascii="Times New Roman" w:hAnsi="Times New Roman" w:cs="Times New Roman"/>
        </w:rPr>
      </w:pPr>
      <w:r w:rsidRPr="00520E6F">
        <w:rPr>
          <w:rFonts w:ascii="Times New Roman" w:hAnsi="Times New Roman" w:cs="Times New Roman"/>
          <w:u w:val="single"/>
        </w:rPr>
        <w:t xml:space="preserve">                </w:t>
      </w:r>
      <w:r w:rsidRPr="00520E6F">
        <w:rPr>
          <w:rFonts w:ascii="Times New Roman" w:hAnsi="Times New Roman" w:cs="Times New Roman"/>
        </w:rPr>
        <w:t xml:space="preserve"> , Lindskog, F., McNeil, A.J., 2003, Modeling dependence with copulas and applications to </w:t>
      </w:r>
      <w:r w:rsidRPr="00520E6F">
        <w:rPr>
          <w:rFonts w:ascii="Times New Roman" w:hAnsi="Times New Roman" w:cs="Times New Roman"/>
        </w:rPr>
        <w:tab/>
        <w:t>risk management, in: Rachev, S., ed.: Handbook of Heavy Tailed Distributions in Finance, (Elsevier, Rotterdam), 329–384.</w:t>
      </w:r>
    </w:p>
    <w:p w:rsidR="0011473E" w:rsidRDefault="0011473E" w:rsidP="00DC4B2B">
      <w:pPr>
        <w:pStyle w:val="Default"/>
        <w:rPr>
          <w:rFonts w:ascii="Times New Roman" w:hAnsi="Times New Roman" w:cs="Times New Roman"/>
        </w:rPr>
      </w:pPr>
    </w:p>
    <w:p w:rsidR="00DC4B2B" w:rsidRPr="00DC4B2B" w:rsidRDefault="00DC4B2B" w:rsidP="00DC4B2B">
      <w:pPr>
        <w:pStyle w:val="Default"/>
        <w:rPr>
          <w:rFonts w:ascii="Times New Roman" w:hAnsi="Times New Roman" w:cs="Times New Roman"/>
        </w:rPr>
      </w:pPr>
      <w:r w:rsidRPr="00DC4B2B">
        <w:rPr>
          <w:rFonts w:ascii="Times New Roman" w:hAnsi="Times New Roman" w:cs="Times New Roman"/>
        </w:rPr>
        <w:lastRenderedPageBreak/>
        <w:t xml:space="preserve">R.S Frame, A. </w:t>
      </w:r>
      <w:proofErr w:type="spellStart"/>
      <w:r w:rsidRPr="00DC4B2B">
        <w:rPr>
          <w:rFonts w:ascii="Times New Roman" w:hAnsi="Times New Roman" w:cs="Times New Roman"/>
        </w:rPr>
        <w:t>Fuster</w:t>
      </w:r>
      <w:proofErr w:type="spellEnd"/>
      <w:r w:rsidRPr="00DC4B2B">
        <w:rPr>
          <w:rFonts w:ascii="Times New Roman" w:hAnsi="Times New Roman" w:cs="Times New Roman"/>
        </w:rPr>
        <w:t>, J. Tracy and J. Vickery, The Rescue of Fannie Mae and Freddie Mac, Federal Reserve Bank of New York</w:t>
      </w:r>
      <w:r w:rsidRPr="00DC4B2B">
        <w:rPr>
          <w:rFonts w:ascii="Times New Roman" w:hAnsi="Times New Roman" w:cs="Times New Roman"/>
          <w:i/>
        </w:rPr>
        <w:t xml:space="preserve"> Staff Reports </w:t>
      </w:r>
      <w:r w:rsidRPr="00DC4B2B">
        <w:rPr>
          <w:rFonts w:ascii="Times New Roman" w:hAnsi="Times New Roman" w:cs="Times New Roman"/>
          <w:b/>
        </w:rPr>
        <w:t>No. 79</w:t>
      </w:r>
      <w:r w:rsidRPr="00DC4B2B">
        <w:rPr>
          <w:rFonts w:ascii="Times New Roman" w:hAnsi="Times New Roman" w:cs="Times New Roman"/>
        </w:rPr>
        <w:t xml:space="preserve"> (March 2015).</w:t>
      </w:r>
    </w:p>
    <w:p w:rsidR="00DC4B2B" w:rsidRPr="00DC4B2B" w:rsidRDefault="00DC4B2B" w:rsidP="00DC4B2B">
      <w:pPr>
        <w:pStyle w:val="Default"/>
      </w:pPr>
    </w:p>
    <w:p w:rsidR="007807F4" w:rsidRPr="008F73F8" w:rsidRDefault="007807F4" w:rsidP="006F5132">
      <w:pPr>
        <w:spacing w:line="240" w:lineRule="auto"/>
        <w:rPr>
          <w:rFonts w:ascii="Times New Roman" w:hAnsi="Times New Roman"/>
          <w:sz w:val="24"/>
          <w:szCs w:val="24"/>
        </w:rPr>
      </w:pPr>
      <w:proofErr w:type="spellStart"/>
      <w:r w:rsidRPr="008F73F8">
        <w:rPr>
          <w:rFonts w:ascii="Times New Roman" w:hAnsi="Times New Roman"/>
          <w:sz w:val="24"/>
          <w:szCs w:val="24"/>
        </w:rPr>
        <w:t>Foglia</w:t>
      </w:r>
      <w:proofErr w:type="spellEnd"/>
      <w:r w:rsidRPr="008F73F8">
        <w:rPr>
          <w:rFonts w:ascii="Times New Roman" w:hAnsi="Times New Roman"/>
          <w:sz w:val="24"/>
          <w:szCs w:val="24"/>
        </w:rPr>
        <w:t xml:space="preserve">, A., Stress Testing Credit Risk: A Survey of Authorities’ Approaches, </w:t>
      </w:r>
      <w:r w:rsidRPr="008F73F8">
        <w:rPr>
          <w:rFonts w:ascii="Times New Roman" w:hAnsi="Times New Roman"/>
          <w:i/>
          <w:sz w:val="24"/>
          <w:szCs w:val="24"/>
        </w:rPr>
        <w:t>International Journal of Central Banking</w:t>
      </w:r>
      <w:r w:rsidRPr="008F73F8">
        <w:rPr>
          <w:rFonts w:ascii="Times New Roman" w:hAnsi="Times New Roman"/>
          <w:sz w:val="24"/>
          <w:szCs w:val="24"/>
        </w:rPr>
        <w:t xml:space="preserve">, </w:t>
      </w:r>
      <w:r w:rsidRPr="008F73F8">
        <w:rPr>
          <w:rFonts w:ascii="Times New Roman" w:hAnsi="Times New Roman"/>
          <w:b/>
          <w:sz w:val="24"/>
          <w:szCs w:val="24"/>
        </w:rPr>
        <w:t>5</w:t>
      </w:r>
      <w:r w:rsidRPr="008F73F8">
        <w:rPr>
          <w:rFonts w:ascii="Times New Roman" w:hAnsi="Times New Roman"/>
          <w:sz w:val="24"/>
          <w:szCs w:val="24"/>
        </w:rPr>
        <w:t>(3), (2009), 9-37.</w:t>
      </w:r>
    </w:p>
    <w:p w:rsidR="004709C8" w:rsidRDefault="004709C8" w:rsidP="006F5132">
      <w:pPr>
        <w:pStyle w:val="Default"/>
        <w:spacing w:after="200"/>
        <w:rPr>
          <w:rFonts w:ascii="Bauer Bodoni D" w:hAnsi="Bauer Bodoni D"/>
          <w:sz w:val="22"/>
        </w:rPr>
      </w:pPr>
      <w:r w:rsidRPr="00520E6F">
        <w:rPr>
          <w:rFonts w:ascii="Bauer Bodoni D" w:hAnsi="Bauer Bodoni D"/>
          <w:sz w:val="22"/>
        </w:rPr>
        <w:t>Frey, R., McNeil, A.J., 2001, Modeling dependent defaults, Working paper, ETH Zurich.</w:t>
      </w:r>
    </w:p>
    <w:p w:rsidR="007807F4" w:rsidRPr="008F73F8" w:rsidRDefault="007807F4" w:rsidP="006F5132">
      <w:pPr>
        <w:pStyle w:val="Default"/>
        <w:spacing w:after="200"/>
        <w:rPr>
          <w:rFonts w:ascii="Times New Roman" w:hAnsi="Times New Roman" w:cs="Times New Roman"/>
        </w:rPr>
      </w:pPr>
      <w:proofErr w:type="spellStart"/>
      <w:r w:rsidRPr="008F73F8">
        <w:rPr>
          <w:rFonts w:ascii="Times New Roman" w:hAnsi="Times New Roman" w:cs="Times New Roman"/>
        </w:rPr>
        <w:t>Goldfeld</w:t>
      </w:r>
      <w:proofErr w:type="spellEnd"/>
      <w:r w:rsidRPr="008F73F8">
        <w:rPr>
          <w:rFonts w:ascii="Times New Roman" w:hAnsi="Times New Roman" w:cs="Times New Roman"/>
        </w:rPr>
        <w:t xml:space="preserve">, S.M., and R.E. </w:t>
      </w:r>
      <w:proofErr w:type="spellStart"/>
      <w:r w:rsidRPr="008F73F8">
        <w:rPr>
          <w:rFonts w:ascii="Times New Roman" w:hAnsi="Times New Roman" w:cs="Times New Roman"/>
        </w:rPr>
        <w:t>Quandt</w:t>
      </w:r>
      <w:proofErr w:type="spellEnd"/>
      <w:r w:rsidRPr="008F73F8">
        <w:rPr>
          <w:rFonts w:ascii="Times New Roman" w:hAnsi="Times New Roman" w:cs="Times New Roman"/>
        </w:rPr>
        <w:t>. A Markov Model for Switching Regressions,</w:t>
      </w:r>
      <w:r w:rsidRPr="008F73F8">
        <w:rPr>
          <w:rFonts w:ascii="Times New Roman" w:hAnsi="Times New Roman" w:cs="Times New Roman"/>
          <w:i/>
        </w:rPr>
        <w:t xml:space="preserve"> Journal of Econometrics</w:t>
      </w:r>
      <w:r w:rsidRPr="008F73F8">
        <w:rPr>
          <w:rFonts w:ascii="Times New Roman" w:hAnsi="Times New Roman" w:cs="Times New Roman"/>
        </w:rPr>
        <w:t xml:space="preserve">, </w:t>
      </w:r>
      <w:r w:rsidRPr="008F73F8">
        <w:rPr>
          <w:rFonts w:ascii="Times New Roman" w:hAnsi="Times New Roman" w:cs="Times New Roman"/>
          <w:b/>
        </w:rPr>
        <w:t>1</w:t>
      </w:r>
      <w:r w:rsidRPr="008F73F8">
        <w:rPr>
          <w:rFonts w:ascii="Times New Roman" w:hAnsi="Times New Roman" w:cs="Times New Roman"/>
        </w:rPr>
        <w:t>(1), (1973), 3-15.</w:t>
      </w:r>
    </w:p>
    <w:p w:rsidR="007807F4" w:rsidRPr="008F73F8" w:rsidRDefault="007807F4" w:rsidP="006F5132">
      <w:pPr>
        <w:pStyle w:val="Default"/>
        <w:spacing w:after="200"/>
        <w:rPr>
          <w:rFonts w:ascii="Times New Roman" w:hAnsi="Times New Roman" w:cs="Times New Roman"/>
        </w:rPr>
      </w:pPr>
      <w:r w:rsidRPr="008F73F8">
        <w:rPr>
          <w:rFonts w:ascii="Times New Roman" w:hAnsi="Times New Roman" w:cs="Times New Roman"/>
        </w:rPr>
        <w:t xml:space="preserve">Hamilton. J.D., Rational-Expectations Econometric Analysis of Changes in           Regime: An Investigation of the Term Structure of Interest Rates, </w:t>
      </w:r>
      <w:r w:rsidRPr="008F73F8">
        <w:rPr>
          <w:rFonts w:ascii="Times New Roman" w:hAnsi="Times New Roman" w:cs="Times New Roman"/>
          <w:i/>
        </w:rPr>
        <w:t>Journal of Economic Dynamics and Control</w:t>
      </w:r>
      <w:r w:rsidRPr="008F73F8">
        <w:rPr>
          <w:rFonts w:ascii="Times New Roman" w:hAnsi="Times New Roman" w:cs="Times New Roman"/>
        </w:rPr>
        <w:t xml:space="preserve">, </w:t>
      </w:r>
      <w:r w:rsidRPr="008F73F8">
        <w:rPr>
          <w:rFonts w:ascii="Times New Roman" w:hAnsi="Times New Roman" w:cs="Times New Roman"/>
          <w:b/>
        </w:rPr>
        <w:t>12</w:t>
      </w:r>
      <w:r w:rsidRPr="008F73F8">
        <w:rPr>
          <w:rFonts w:ascii="Times New Roman" w:hAnsi="Times New Roman" w:cs="Times New Roman"/>
        </w:rPr>
        <w:t>, (1988), 385-423.</w:t>
      </w:r>
    </w:p>
    <w:p w:rsidR="007807F4" w:rsidRPr="008F73F8" w:rsidRDefault="007807F4" w:rsidP="006F5132">
      <w:pPr>
        <w:pStyle w:val="Default"/>
        <w:spacing w:after="200"/>
        <w:rPr>
          <w:rFonts w:ascii="Times New Roman" w:hAnsi="Times New Roman" w:cs="Times New Roman"/>
        </w:rPr>
      </w:pPr>
      <w:r w:rsidRPr="008F73F8">
        <w:rPr>
          <w:rFonts w:ascii="Times New Roman" w:hAnsi="Times New Roman" w:cs="Times New Roman"/>
          <w:u w:val="single"/>
        </w:rPr>
        <w:t xml:space="preserve">       </w:t>
      </w:r>
      <w:r w:rsidRPr="008F73F8">
        <w:rPr>
          <w:rFonts w:ascii="Times New Roman" w:hAnsi="Times New Roman" w:cs="Times New Roman"/>
        </w:rPr>
        <w:t xml:space="preserve">, A New Approach to the Economic Analysis of Nonstationary Time Series and the Business Cycle, </w:t>
      </w:r>
      <w:proofErr w:type="spellStart"/>
      <w:r w:rsidRPr="008F73F8">
        <w:rPr>
          <w:rFonts w:ascii="Times New Roman" w:hAnsi="Times New Roman" w:cs="Times New Roman"/>
          <w:i/>
        </w:rPr>
        <w:t>Econometrica</w:t>
      </w:r>
      <w:proofErr w:type="spellEnd"/>
      <w:r w:rsidRPr="008F73F8">
        <w:rPr>
          <w:rFonts w:ascii="Times New Roman" w:hAnsi="Times New Roman" w:cs="Times New Roman"/>
        </w:rPr>
        <w:t xml:space="preserve">, </w:t>
      </w:r>
      <w:r w:rsidRPr="008F73F8">
        <w:rPr>
          <w:rFonts w:ascii="Times New Roman" w:hAnsi="Times New Roman" w:cs="Times New Roman"/>
          <w:b/>
        </w:rPr>
        <w:t>57</w:t>
      </w:r>
      <w:r w:rsidRPr="008F73F8">
        <w:rPr>
          <w:rFonts w:ascii="Times New Roman" w:hAnsi="Times New Roman" w:cs="Times New Roman"/>
        </w:rPr>
        <w:t xml:space="preserve"> (2), (1989), 357-384.</w:t>
      </w:r>
    </w:p>
    <w:p w:rsidR="007807F4" w:rsidRPr="008F73F8" w:rsidRDefault="007807F4" w:rsidP="006F5132">
      <w:pPr>
        <w:pStyle w:val="Default"/>
        <w:spacing w:after="200"/>
        <w:rPr>
          <w:rFonts w:ascii="Times New Roman" w:hAnsi="Times New Roman" w:cs="Times New Roman"/>
        </w:rPr>
      </w:pPr>
      <w:proofErr w:type="spellStart"/>
      <w:r w:rsidRPr="008F73F8">
        <w:rPr>
          <w:rFonts w:ascii="Times New Roman" w:hAnsi="Times New Roman" w:cs="Times New Roman"/>
        </w:rPr>
        <w:t>Hanan</w:t>
      </w:r>
      <w:proofErr w:type="spellEnd"/>
      <w:r w:rsidRPr="008F73F8">
        <w:rPr>
          <w:rFonts w:ascii="Times New Roman" w:hAnsi="Times New Roman" w:cs="Times New Roman"/>
        </w:rPr>
        <w:t xml:space="preserve">, E.J., </w:t>
      </w:r>
      <w:proofErr w:type="gramStart"/>
      <w:r w:rsidRPr="008F73F8">
        <w:rPr>
          <w:rFonts w:ascii="Times New Roman" w:hAnsi="Times New Roman" w:cs="Times New Roman"/>
        </w:rPr>
        <w:t>The</w:t>
      </w:r>
      <w:proofErr w:type="gramEnd"/>
      <w:r w:rsidRPr="008F73F8">
        <w:rPr>
          <w:rFonts w:ascii="Times New Roman" w:hAnsi="Times New Roman" w:cs="Times New Roman"/>
        </w:rPr>
        <w:t xml:space="preserve"> Identification Problem for Multiple Equation Systems with Moving Average Errors, </w:t>
      </w:r>
      <w:proofErr w:type="spellStart"/>
      <w:r w:rsidRPr="008F73F8">
        <w:rPr>
          <w:rFonts w:ascii="Times New Roman" w:hAnsi="Times New Roman" w:cs="Times New Roman"/>
          <w:i/>
        </w:rPr>
        <w:t>Econometrica</w:t>
      </w:r>
      <w:proofErr w:type="spellEnd"/>
      <w:r w:rsidRPr="008F73F8">
        <w:rPr>
          <w:rFonts w:ascii="Times New Roman" w:hAnsi="Times New Roman" w:cs="Times New Roman"/>
          <w:i/>
        </w:rPr>
        <w:t>,</w:t>
      </w:r>
      <w:r w:rsidRPr="008F73F8">
        <w:rPr>
          <w:rFonts w:ascii="Times New Roman" w:hAnsi="Times New Roman" w:cs="Times New Roman"/>
        </w:rPr>
        <w:t xml:space="preserve"> </w:t>
      </w:r>
      <w:r w:rsidRPr="008F73F8">
        <w:rPr>
          <w:rFonts w:ascii="Times New Roman" w:hAnsi="Times New Roman" w:cs="Times New Roman"/>
          <w:b/>
        </w:rPr>
        <w:t>39</w:t>
      </w:r>
      <w:r w:rsidRPr="008F73F8">
        <w:rPr>
          <w:rFonts w:ascii="Times New Roman" w:hAnsi="Times New Roman" w:cs="Times New Roman"/>
        </w:rPr>
        <w:t>, (1971), 751-766.</w:t>
      </w:r>
    </w:p>
    <w:p w:rsidR="007807F4" w:rsidRPr="008F73F8" w:rsidRDefault="007807F4" w:rsidP="006F5132">
      <w:pPr>
        <w:pStyle w:val="CM33"/>
        <w:spacing w:after="200"/>
        <w:contextualSpacing/>
        <w:rPr>
          <w:rFonts w:ascii="Times New Roman" w:hAnsi="Times New Roman"/>
        </w:rPr>
      </w:pPr>
      <w:r w:rsidRPr="008F73F8">
        <w:rPr>
          <w:rFonts w:ascii="Times New Roman" w:hAnsi="Times New Roman"/>
          <w:u w:val="single"/>
        </w:rPr>
        <w:t xml:space="preserve">       ,</w:t>
      </w:r>
      <w:r w:rsidRPr="008F73F8">
        <w:rPr>
          <w:rFonts w:ascii="Times New Roman" w:hAnsi="Times New Roman"/>
        </w:rPr>
        <w:t xml:space="preserve"> </w:t>
      </w:r>
      <w:r w:rsidRPr="008F73F8">
        <w:rPr>
          <w:rFonts w:ascii="Times New Roman" w:hAnsi="Times New Roman"/>
          <w:i/>
        </w:rPr>
        <w:t>The Statistical Theory of Linear Systems</w:t>
      </w:r>
      <w:r w:rsidRPr="008F73F8">
        <w:rPr>
          <w:rFonts w:ascii="Times New Roman" w:hAnsi="Times New Roman"/>
        </w:rPr>
        <w:t>, John Wiley, New York, 1988.</w:t>
      </w:r>
    </w:p>
    <w:p w:rsidR="007807F4" w:rsidRPr="008F73F8" w:rsidRDefault="007807F4" w:rsidP="006F5132">
      <w:pPr>
        <w:pStyle w:val="Default"/>
        <w:spacing w:after="200"/>
        <w:rPr>
          <w:rFonts w:ascii="Times New Roman" w:hAnsi="Times New Roman" w:cs="Times New Roman"/>
        </w:rPr>
      </w:pPr>
      <w:r w:rsidRPr="008F73F8">
        <w:rPr>
          <w:rFonts w:ascii="Times New Roman" w:hAnsi="Times New Roman" w:cs="Times New Roman"/>
        </w:rPr>
        <w:t xml:space="preserve">Heller, A., On Stochastic Processes Derived from Markov Chains, </w:t>
      </w:r>
      <w:proofErr w:type="gramStart"/>
      <w:r w:rsidRPr="008F73F8">
        <w:rPr>
          <w:rFonts w:ascii="Times New Roman" w:hAnsi="Times New Roman" w:cs="Times New Roman"/>
          <w:i/>
        </w:rPr>
        <w:t>The</w:t>
      </w:r>
      <w:proofErr w:type="gramEnd"/>
      <w:r w:rsidRPr="008F73F8">
        <w:rPr>
          <w:rFonts w:ascii="Times New Roman" w:hAnsi="Times New Roman" w:cs="Times New Roman"/>
          <w:i/>
        </w:rPr>
        <w:t xml:space="preserve"> Annals of Mathematical Statistics</w:t>
      </w:r>
      <w:r w:rsidRPr="008F73F8">
        <w:rPr>
          <w:rFonts w:ascii="Times New Roman" w:hAnsi="Times New Roman" w:cs="Times New Roman"/>
        </w:rPr>
        <w:t xml:space="preserve">, </w:t>
      </w:r>
      <w:r w:rsidRPr="008F73F8">
        <w:rPr>
          <w:rFonts w:ascii="Times New Roman" w:hAnsi="Times New Roman" w:cs="Times New Roman"/>
          <w:b/>
        </w:rPr>
        <w:t>36</w:t>
      </w:r>
      <w:r w:rsidRPr="008F73F8">
        <w:rPr>
          <w:rFonts w:ascii="Times New Roman" w:hAnsi="Times New Roman" w:cs="Times New Roman"/>
        </w:rPr>
        <w:t>(4), (1965), 1286-1291.</w:t>
      </w:r>
    </w:p>
    <w:p w:rsidR="007807F4" w:rsidRPr="008F73F8" w:rsidRDefault="007807F4" w:rsidP="006F5132">
      <w:pPr>
        <w:spacing w:line="240" w:lineRule="auto"/>
        <w:rPr>
          <w:rFonts w:ascii="Times New Roman" w:hAnsi="Times New Roman"/>
          <w:color w:val="000000"/>
          <w:sz w:val="24"/>
          <w:szCs w:val="24"/>
        </w:rPr>
      </w:pPr>
      <w:r w:rsidRPr="008F73F8">
        <w:rPr>
          <w:rFonts w:ascii="Times New Roman" w:hAnsi="Times New Roman"/>
          <w:color w:val="000000"/>
          <w:sz w:val="24"/>
          <w:szCs w:val="24"/>
        </w:rPr>
        <w:t xml:space="preserve">Inanoglu, H., and M. Jacobs, Jr., Models for Risk Aggregation and Sensitivity Analysis: An Application to Bank Economic Capital, </w:t>
      </w:r>
      <w:proofErr w:type="gramStart"/>
      <w:r w:rsidRPr="008F73F8">
        <w:rPr>
          <w:rFonts w:ascii="Times New Roman" w:hAnsi="Times New Roman"/>
          <w:i/>
          <w:color w:val="000000"/>
          <w:sz w:val="24"/>
          <w:szCs w:val="24"/>
        </w:rPr>
        <w:t>The</w:t>
      </w:r>
      <w:proofErr w:type="gramEnd"/>
      <w:r w:rsidRPr="008F73F8">
        <w:rPr>
          <w:rFonts w:ascii="Times New Roman" w:hAnsi="Times New Roman"/>
          <w:i/>
          <w:color w:val="000000"/>
          <w:sz w:val="24"/>
          <w:szCs w:val="24"/>
        </w:rPr>
        <w:t xml:space="preserve"> Journal of Risk and Financial Management</w:t>
      </w:r>
      <w:r w:rsidRPr="008F73F8">
        <w:rPr>
          <w:rFonts w:ascii="Times New Roman" w:hAnsi="Times New Roman"/>
          <w:color w:val="000000"/>
          <w:sz w:val="24"/>
          <w:szCs w:val="24"/>
        </w:rPr>
        <w:t xml:space="preserve">, </w:t>
      </w:r>
      <w:r w:rsidRPr="008F73F8">
        <w:rPr>
          <w:rFonts w:ascii="Times New Roman" w:hAnsi="Times New Roman"/>
          <w:b/>
          <w:color w:val="000000"/>
          <w:sz w:val="24"/>
          <w:szCs w:val="24"/>
        </w:rPr>
        <w:t>2</w:t>
      </w:r>
      <w:r w:rsidRPr="008F73F8">
        <w:rPr>
          <w:rFonts w:ascii="Times New Roman" w:hAnsi="Times New Roman"/>
          <w:color w:val="000000"/>
          <w:sz w:val="24"/>
          <w:szCs w:val="24"/>
        </w:rPr>
        <w:t>, 2009, 118-189.</w:t>
      </w:r>
    </w:p>
    <w:p w:rsidR="007807F4" w:rsidRDefault="007807F4" w:rsidP="006F5132">
      <w:pPr>
        <w:spacing w:line="240" w:lineRule="auto"/>
        <w:rPr>
          <w:rFonts w:ascii="Times New Roman" w:hAnsi="Times New Roman"/>
          <w:color w:val="000000"/>
          <w:sz w:val="24"/>
          <w:szCs w:val="24"/>
        </w:rPr>
      </w:pPr>
      <w:r w:rsidRPr="008F73F8">
        <w:rPr>
          <w:rFonts w:ascii="Times New Roman" w:hAnsi="Times New Roman"/>
          <w:color w:val="000000"/>
          <w:sz w:val="24"/>
          <w:szCs w:val="24"/>
        </w:rPr>
        <w:t xml:space="preserve">Jacobs, Jr., M., Validation of Economic Capital Models: State of the Practice, Supervisory Expectations and Results from a Bank Study, </w:t>
      </w:r>
      <w:r w:rsidRPr="008F73F8">
        <w:rPr>
          <w:rFonts w:ascii="Times New Roman" w:hAnsi="Times New Roman"/>
          <w:i/>
          <w:color w:val="000000"/>
          <w:sz w:val="24"/>
          <w:szCs w:val="24"/>
        </w:rPr>
        <w:t>Journal of Risk Management in Financial Institutions</w:t>
      </w:r>
      <w:r w:rsidRPr="008F73F8">
        <w:rPr>
          <w:rFonts w:ascii="Times New Roman" w:hAnsi="Times New Roman"/>
          <w:color w:val="000000"/>
          <w:sz w:val="24"/>
          <w:szCs w:val="24"/>
        </w:rPr>
        <w:t xml:space="preserve">, </w:t>
      </w:r>
      <w:r w:rsidRPr="008F73F8">
        <w:rPr>
          <w:rFonts w:ascii="Times New Roman" w:hAnsi="Times New Roman"/>
          <w:b/>
          <w:color w:val="000000"/>
          <w:sz w:val="24"/>
          <w:szCs w:val="24"/>
        </w:rPr>
        <w:t>3</w:t>
      </w:r>
      <w:r w:rsidRPr="008F73F8">
        <w:rPr>
          <w:rFonts w:ascii="Times New Roman" w:hAnsi="Times New Roman"/>
          <w:color w:val="000000"/>
          <w:sz w:val="24"/>
          <w:szCs w:val="24"/>
        </w:rPr>
        <w:t>(4), (2010), 334-365.</w:t>
      </w:r>
    </w:p>
    <w:p w:rsidR="007807F4" w:rsidRPr="008F73F8" w:rsidRDefault="007807F4" w:rsidP="006F5132">
      <w:pPr>
        <w:pStyle w:val="Default"/>
        <w:spacing w:after="200"/>
        <w:rPr>
          <w:rFonts w:ascii="Times New Roman" w:hAnsi="Times New Roman" w:cs="Times New Roman"/>
          <w:color w:val="auto"/>
        </w:rPr>
      </w:pPr>
      <w:r w:rsidRPr="008F73F8">
        <w:rPr>
          <w:rFonts w:ascii="Times New Roman" w:hAnsi="Times New Roman" w:cs="Times New Roman"/>
          <w:u w:val="single"/>
        </w:rPr>
        <w:t xml:space="preserve">       </w:t>
      </w:r>
      <w:r w:rsidRPr="008F73F8">
        <w:rPr>
          <w:rFonts w:ascii="Times New Roman" w:hAnsi="Times New Roman" w:cs="Times New Roman"/>
          <w:color w:val="auto"/>
        </w:rPr>
        <w:t xml:space="preserve">, Stress Testing Credit Risk Portfolios, </w:t>
      </w:r>
      <w:r w:rsidRPr="008F73F8">
        <w:rPr>
          <w:rFonts w:ascii="Times New Roman" w:hAnsi="Times New Roman" w:cs="Times New Roman"/>
          <w:i/>
          <w:color w:val="auto"/>
        </w:rPr>
        <w:t>Journal of Financial Transformation</w:t>
      </w:r>
      <w:r w:rsidRPr="008F73F8">
        <w:rPr>
          <w:rFonts w:ascii="Times New Roman" w:hAnsi="Times New Roman" w:cs="Times New Roman"/>
          <w:color w:val="auto"/>
        </w:rPr>
        <w:t xml:space="preserve">, </w:t>
      </w:r>
      <w:r w:rsidRPr="008F73F8">
        <w:rPr>
          <w:rFonts w:ascii="Times New Roman" w:hAnsi="Times New Roman" w:cs="Times New Roman"/>
          <w:b/>
          <w:color w:val="auto"/>
        </w:rPr>
        <w:t>37</w:t>
      </w:r>
      <w:r w:rsidRPr="008F73F8">
        <w:rPr>
          <w:rFonts w:ascii="Times New Roman" w:hAnsi="Times New Roman" w:cs="Times New Roman"/>
          <w:color w:val="auto"/>
        </w:rPr>
        <w:t>, (2013), 53-75.</w:t>
      </w:r>
    </w:p>
    <w:p w:rsidR="007807F4" w:rsidRDefault="007807F4" w:rsidP="006F51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hAnsi="Times New Roman"/>
          <w:sz w:val="24"/>
          <w:szCs w:val="24"/>
        </w:rPr>
      </w:pPr>
      <w:r w:rsidRPr="008F73F8">
        <w:rPr>
          <w:rFonts w:ascii="Times New Roman" w:hAnsi="Times New Roman"/>
          <w:sz w:val="24"/>
          <w:szCs w:val="24"/>
          <w:u w:val="single"/>
        </w:rPr>
        <w:t xml:space="preserve">       </w:t>
      </w:r>
      <w:r w:rsidRPr="008F73F8">
        <w:rPr>
          <w:rFonts w:ascii="Times New Roman" w:hAnsi="Times New Roman"/>
          <w:sz w:val="24"/>
          <w:szCs w:val="24"/>
        </w:rPr>
        <w:t xml:space="preserve">, Karagozoglu, A.K., and F.J. Sensenbrenner, Stress Testing and Model Validation: Application of the Bayesian Approach to a Credit Risk Portfolio, </w:t>
      </w:r>
      <w:r w:rsidRPr="008F73F8">
        <w:rPr>
          <w:rFonts w:ascii="Times New Roman" w:hAnsi="Times New Roman"/>
          <w:i/>
          <w:sz w:val="24"/>
          <w:szCs w:val="24"/>
        </w:rPr>
        <w:t>The Journal of Risk Model Validation</w:t>
      </w:r>
      <w:r w:rsidRPr="008F73F8">
        <w:rPr>
          <w:rFonts w:ascii="Times New Roman" w:hAnsi="Times New Roman"/>
          <w:sz w:val="24"/>
          <w:szCs w:val="24"/>
        </w:rPr>
        <w:t xml:space="preserve">, </w:t>
      </w:r>
      <w:r w:rsidRPr="008F73F8">
        <w:rPr>
          <w:rFonts w:ascii="Times New Roman" w:hAnsi="Times New Roman"/>
          <w:b/>
          <w:sz w:val="24"/>
          <w:szCs w:val="24"/>
        </w:rPr>
        <w:t>9</w:t>
      </w:r>
      <w:r w:rsidRPr="008F73F8">
        <w:rPr>
          <w:rFonts w:ascii="Times New Roman" w:hAnsi="Times New Roman"/>
          <w:sz w:val="24"/>
          <w:szCs w:val="24"/>
        </w:rPr>
        <w:t>(3), (2015), 1-70.</w:t>
      </w:r>
    </w:p>
    <w:p w:rsidR="00E87058" w:rsidRDefault="00E87058" w:rsidP="00E870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Bauer Bodoni D" w:hAnsi="Bauer Bodoni D"/>
          <w:color w:val="000000" w:themeColor="text1"/>
        </w:rPr>
      </w:pPr>
      <w:r w:rsidRPr="002E7426">
        <w:rPr>
          <w:rFonts w:ascii="Times New Roman" w:hAnsi="Times New Roman"/>
          <w:color w:val="000000" w:themeColor="text1"/>
          <w:u w:val="single"/>
        </w:rPr>
        <w:t xml:space="preserve">        </w:t>
      </w:r>
      <w:r w:rsidRPr="00E17EFE">
        <w:rPr>
          <w:rFonts w:ascii="Bauer Bodoni D" w:hAnsi="Bauer Bodoni D"/>
          <w:color w:val="000000" w:themeColor="text1"/>
        </w:rPr>
        <w:t xml:space="preserve">, 2015, </w:t>
      </w:r>
      <w:proofErr w:type="gramStart"/>
      <w:r w:rsidRPr="00E17EFE">
        <w:rPr>
          <w:rFonts w:ascii="Bauer Bodoni D" w:hAnsi="Bauer Bodoni D"/>
          <w:color w:val="000000" w:themeColor="text1"/>
        </w:rPr>
        <w:t>The</w:t>
      </w:r>
      <w:proofErr w:type="gramEnd"/>
      <w:r w:rsidRPr="00E17EFE">
        <w:rPr>
          <w:rFonts w:ascii="Bauer Bodoni D" w:hAnsi="Bauer Bodoni D"/>
          <w:color w:val="000000" w:themeColor="text1"/>
        </w:rPr>
        <w:t xml:space="preserve"> impact of asset price bubbles on credit risk measures, </w:t>
      </w:r>
      <w:r w:rsidRPr="00D10EA7">
        <w:rPr>
          <w:rFonts w:ascii="Bauer Bodoni D" w:hAnsi="Bauer Bodoni D"/>
          <w:i/>
          <w:color w:val="000000" w:themeColor="text1"/>
        </w:rPr>
        <w:t>The Journal of Financial Risk Management</w:t>
      </w:r>
      <w:r w:rsidRPr="00E17EFE">
        <w:rPr>
          <w:rFonts w:ascii="Bauer Bodoni D" w:hAnsi="Bauer Bodoni D"/>
          <w:color w:val="000000" w:themeColor="text1"/>
        </w:rPr>
        <w:t xml:space="preserve"> </w:t>
      </w:r>
      <w:r w:rsidRPr="00D10EA7">
        <w:rPr>
          <w:rFonts w:ascii="Bauer Bodoni D" w:hAnsi="Bauer Bodoni D"/>
          <w:b/>
          <w:color w:val="000000" w:themeColor="text1"/>
        </w:rPr>
        <w:t>4</w:t>
      </w:r>
      <w:r w:rsidRPr="00E17EFE">
        <w:rPr>
          <w:rFonts w:ascii="Bauer Bodoni D" w:hAnsi="Bauer Bodoni D"/>
          <w:color w:val="000000" w:themeColor="text1"/>
        </w:rPr>
        <w:t xml:space="preserve">, 251–266. </w:t>
      </w:r>
    </w:p>
    <w:p w:rsidR="00D038D5" w:rsidRPr="008F73F8" w:rsidRDefault="00D038D5" w:rsidP="006F51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uto"/>
        <w:rPr>
          <w:rFonts w:ascii="Times New Roman" w:hAnsi="Times New Roman"/>
          <w:sz w:val="24"/>
          <w:szCs w:val="24"/>
        </w:rPr>
      </w:pPr>
      <w:r w:rsidRPr="008F73F8">
        <w:rPr>
          <w:rFonts w:ascii="Times New Roman" w:hAnsi="Times New Roman"/>
          <w:sz w:val="24"/>
          <w:szCs w:val="24"/>
          <w:u w:val="single"/>
        </w:rPr>
        <w:t xml:space="preserve">       </w:t>
      </w:r>
      <w:r w:rsidRPr="00D038D5">
        <w:rPr>
          <w:rFonts w:ascii="Times New Roman" w:hAnsi="Times New Roman"/>
          <w:sz w:val="24"/>
          <w:szCs w:val="24"/>
        </w:rPr>
        <w:t xml:space="preserve">, 2017, Asset price bubbles and the quantification of credit risk capital with sensitivity analysis, empirical implementation and an application to stress testing, </w:t>
      </w:r>
      <w:r w:rsidR="00D10EA7" w:rsidRPr="00D10EA7">
        <w:rPr>
          <w:rFonts w:ascii="Times New Roman" w:hAnsi="Times New Roman"/>
          <w:i/>
          <w:sz w:val="24"/>
          <w:szCs w:val="24"/>
        </w:rPr>
        <w:t>Journal of Risk Model Validation</w:t>
      </w:r>
      <w:r w:rsidR="00D10EA7" w:rsidRPr="00D10EA7">
        <w:rPr>
          <w:rFonts w:ascii="Times New Roman" w:hAnsi="Times New Roman"/>
          <w:sz w:val="24"/>
          <w:szCs w:val="24"/>
        </w:rPr>
        <w:t xml:space="preserve"> </w:t>
      </w:r>
      <w:r w:rsidR="00D10EA7" w:rsidRPr="00D10EA7">
        <w:rPr>
          <w:rFonts w:ascii="Times New Roman" w:hAnsi="Times New Roman"/>
          <w:b/>
          <w:sz w:val="24"/>
          <w:szCs w:val="24"/>
        </w:rPr>
        <w:t>11</w:t>
      </w:r>
      <w:r w:rsidR="00D10EA7" w:rsidRPr="00D10EA7">
        <w:rPr>
          <w:rFonts w:ascii="Times New Roman" w:hAnsi="Times New Roman"/>
          <w:sz w:val="24"/>
          <w:szCs w:val="24"/>
        </w:rPr>
        <w:t>(4), 1–35</w:t>
      </w:r>
      <w:r w:rsidRPr="00D038D5">
        <w:rPr>
          <w:rFonts w:ascii="Times New Roman" w:hAnsi="Times New Roman"/>
          <w:sz w:val="24"/>
          <w:szCs w:val="24"/>
        </w:rPr>
        <w:t>.</w:t>
      </w:r>
    </w:p>
    <w:p w:rsidR="007807F4" w:rsidRPr="008F73F8" w:rsidRDefault="007807F4" w:rsidP="006F5132">
      <w:pPr>
        <w:pStyle w:val="Default"/>
        <w:spacing w:after="200"/>
        <w:rPr>
          <w:rFonts w:ascii="Times New Roman" w:hAnsi="Times New Roman" w:cs="Times New Roman"/>
        </w:rPr>
      </w:pPr>
      <w:r w:rsidRPr="008F73F8">
        <w:rPr>
          <w:rFonts w:ascii="Times New Roman" w:hAnsi="Times New Roman" w:cs="Times New Roman"/>
        </w:rPr>
        <w:t xml:space="preserve">J.P. Morgan, </w:t>
      </w:r>
      <w:proofErr w:type="spellStart"/>
      <w:r w:rsidRPr="008F73F8">
        <w:rPr>
          <w:rFonts w:ascii="Times New Roman" w:hAnsi="Times New Roman" w:cs="Times New Roman"/>
          <w:i/>
        </w:rPr>
        <w:t>RiskMetrics</w:t>
      </w:r>
      <w:r w:rsidRPr="008F73F8">
        <w:rPr>
          <w:rFonts w:ascii="Times New Roman" w:hAnsi="Times New Roman" w:cs="Times New Roman"/>
          <w:i/>
          <w:vertAlign w:val="superscript"/>
        </w:rPr>
        <w:t>TM</w:t>
      </w:r>
      <w:proofErr w:type="spellEnd"/>
      <w:r w:rsidRPr="008F73F8">
        <w:rPr>
          <w:rFonts w:ascii="Times New Roman" w:hAnsi="Times New Roman" w:cs="Times New Roman"/>
        </w:rPr>
        <w:t>, Second Edition, J.P. Morgan, New York, 1994.</w:t>
      </w:r>
    </w:p>
    <w:p w:rsidR="007807F4" w:rsidRPr="008F73F8" w:rsidRDefault="007807F4" w:rsidP="006F5132">
      <w:pPr>
        <w:pStyle w:val="Default"/>
        <w:spacing w:after="200"/>
        <w:rPr>
          <w:rFonts w:ascii="Times New Roman" w:hAnsi="Times New Roman" w:cs="Times New Roman"/>
        </w:rPr>
      </w:pPr>
      <w:r w:rsidRPr="008F73F8">
        <w:rPr>
          <w:rFonts w:ascii="Times New Roman" w:hAnsi="Times New Roman" w:cs="Times New Roman"/>
          <w:u w:val="single"/>
        </w:rPr>
        <w:t xml:space="preserve">       </w:t>
      </w:r>
      <w:r w:rsidRPr="008F73F8">
        <w:rPr>
          <w:rFonts w:ascii="Times New Roman" w:hAnsi="Times New Roman" w:cs="Times New Roman"/>
        </w:rPr>
        <w:t xml:space="preserve">, </w:t>
      </w:r>
      <w:proofErr w:type="spellStart"/>
      <w:r w:rsidRPr="008F73F8">
        <w:rPr>
          <w:rFonts w:ascii="Times New Roman" w:hAnsi="Times New Roman" w:cs="Times New Roman"/>
          <w:i/>
        </w:rPr>
        <w:t>CreditMetrics</w:t>
      </w:r>
      <w:r w:rsidRPr="008F73F8">
        <w:rPr>
          <w:rFonts w:ascii="Times New Roman" w:hAnsi="Times New Roman" w:cs="Times New Roman"/>
          <w:i/>
          <w:vertAlign w:val="superscript"/>
        </w:rPr>
        <w:t>TM</w:t>
      </w:r>
      <w:proofErr w:type="spellEnd"/>
      <w:r w:rsidRPr="008F73F8">
        <w:rPr>
          <w:rFonts w:ascii="Times New Roman" w:hAnsi="Times New Roman" w:cs="Times New Roman"/>
        </w:rPr>
        <w:t>, First Edition, J.P. Morgan, New York, 1997.</w:t>
      </w:r>
    </w:p>
    <w:p w:rsidR="007807F4" w:rsidRPr="008F73F8" w:rsidRDefault="007807F4" w:rsidP="006F5132">
      <w:pPr>
        <w:pStyle w:val="Default"/>
        <w:spacing w:after="200"/>
        <w:rPr>
          <w:rFonts w:ascii="Times New Roman" w:hAnsi="Times New Roman" w:cs="Times New Roman"/>
          <w:color w:val="auto"/>
        </w:rPr>
      </w:pPr>
      <w:r w:rsidRPr="008F73F8">
        <w:rPr>
          <w:rFonts w:ascii="Times New Roman" w:hAnsi="Times New Roman" w:cs="Times New Roman"/>
          <w:color w:val="auto"/>
        </w:rPr>
        <w:lastRenderedPageBreak/>
        <w:t xml:space="preserve">Jorion, P., </w:t>
      </w:r>
      <w:proofErr w:type="gramStart"/>
      <w:r w:rsidRPr="008F73F8">
        <w:rPr>
          <w:rFonts w:ascii="Times New Roman" w:hAnsi="Times New Roman" w:cs="Times New Roman"/>
          <w:color w:val="auto"/>
        </w:rPr>
        <w:t>Risk2</w:t>
      </w:r>
      <w:proofErr w:type="gramEnd"/>
      <w:r w:rsidRPr="008F73F8">
        <w:rPr>
          <w:rFonts w:ascii="Times New Roman" w:hAnsi="Times New Roman" w:cs="Times New Roman"/>
          <w:color w:val="auto"/>
        </w:rPr>
        <w:t xml:space="preserve">: Measuring the Value at Risk, </w:t>
      </w:r>
      <w:r w:rsidRPr="008F73F8">
        <w:rPr>
          <w:rFonts w:ascii="Times New Roman" w:hAnsi="Times New Roman" w:cs="Times New Roman"/>
          <w:i/>
          <w:color w:val="auto"/>
        </w:rPr>
        <w:t>Financial Analyst Journal</w:t>
      </w:r>
      <w:r w:rsidRPr="008F73F8">
        <w:rPr>
          <w:rFonts w:ascii="Times New Roman" w:hAnsi="Times New Roman" w:cs="Times New Roman"/>
          <w:color w:val="auto"/>
        </w:rPr>
        <w:t xml:space="preserve">, </w:t>
      </w:r>
      <w:r w:rsidRPr="008F73F8">
        <w:rPr>
          <w:rFonts w:ascii="Times New Roman" w:hAnsi="Times New Roman" w:cs="Times New Roman"/>
          <w:b/>
          <w:color w:val="auto"/>
        </w:rPr>
        <w:t>52</w:t>
      </w:r>
      <w:r w:rsidRPr="008F73F8">
        <w:rPr>
          <w:rFonts w:ascii="Times New Roman" w:hAnsi="Times New Roman" w:cs="Times New Roman"/>
          <w:color w:val="auto"/>
        </w:rPr>
        <w:t>(6), (1996), 47-56.</w:t>
      </w:r>
    </w:p>
    <w:p w:rsidR="0011473E" w:rsidRPr="00520E6F" w:rsidRDefault="0011473E" w:rsidP="0011473E">
      <w:pPr>
        <w:autoSpaceDE w:val="0"/>
        <w:autoSpaceDN w:val="0"/>
        <w:adjustRightInd w:val="0"/>
        <w:spacing w:after="0" w:line="240" w:lineRule="auto"/>
        <w:rPr>
          <w:rFonts w:ascii="Times New Roman" w:hAnsi="Times New Roman"/>
          <w:color w:val="000000"/>
          <w:sz w:val="24"/>
          <w:szCs w:val="24"/>
        </w:rPr>
      </w:pPr>
      <w:r w:rsidRPr="008F73F8">
        <w:rPr>
          <w:rFonts w:ascii="Times New Roman" w:hAnsi="Times New Roman"/>
          <w:u w:val="single"/>
        </w:rPr>
        <w:t xml:space="preserve">       </w:t>
      </w:r>
      <w:r w:rsidRPr="00520E6F">
        <w:rPr>
          <w:rFonts w:ascii="Times New Roman" w:hAnsi="Times New Roman"/>
          <w:color w:val="000000"/>
          <w:sz w:val="24"/>
          <w:szCs w:val="24"/>
        </w:rPr>
        <w:t xml:space="preserve"> (1997).Value at </w:t>
      </w:r>
      <w:proofErr w:type="spellStart"/>
      <w:r w:rsidRPr="00520E6F">
        <w:rPr>
          <w:rFonts w:ascii="Times New Roman" w:hAnsi="Times New Roman"/>
          <w:color w:val="000000"/>
          <w:sz w:val="24"/>
          <w:szCs w:val="24"/>
        </w:rPr>
        <w:t>Risk</w:t>
      </w:r>
      <w:proofErr w:type="gramStart"/>
      <w:r w:rsidRPr="00520E6F">
        <w:rPr>
          <w:rFonts w:ascii="Times New Roman" w:hAnsi="Times New Roman"/>
          <w:color w:val="000000"/>
          <w:sz w:val="24"/>
          <w:szCs w:val="24"/>
        </w:rPr>
        <w:t>:The</w:t>
      </w:r>
      <w:proofErr w:type="spellEnd"/>
      <w:proofErr w:type="gramEnd"/>
      <w:r w:rsidRPr="00520E6F">
        <w:rPr>
          <w:rFonts w:ascii="Times New Roman" w:hAnsi="Times New Roman"/>
          <w:color w:val="000000"/>
          <w:sz w:val="24"/>
          <w:szCs w:val="24"/>
        </w:rPr>
        <w:t xml:space="preserve"> New Benchmark for Controlling Market Risk, volume 2.</w:t>
      </w:r>
    </w:p>
    <w:p w:rsidR="0011473E" w:rsidRDefault="0011473E" w:rsidP="0011473E">
      <w:pPr>
        <w:pStyle w:val="Default"/>
        <w:rPr>
          <w:rFonts w:ascii="Times New Roman" w:hAnsi="Times New Roman" w:cs="Times New Roman"/>
        </w:rPr>
      </w:pPr>
      <w:r w:rsidRPr="00520E6F">
        <w:rPr>
          <w:rFonts w:ascii="Times New Roman" w:hAnsi="Times New Roman" w:cs="Times New Roman"/>
        </w:rPr>
        <w:t xml:space="preserve">McGraw-Hill, New York. </w:t>
      </w:r>
    </w:p>
    <w:p w:rsidR="00E87058" w:rsidRPr="00520E6F" w:rsidRDefault="00E87058" w:rsidP="0011473E">
      <w:pPr>
        <w:pStyle w:val="Default"/>
        <w:rPr>
          <w:rFonts w:ascii="Times New Roman" w:hAnsi="Times New Roman" w:cs="Times New Roman"/>
        </w:rPr>
      </w:pPr>
    </w:p>
    <w:p w:rsidR="00E87058" w:rsidRDefault="0011473E" w:rsidP="00E87058">
      <w:pPr>
        <w:pStyle w:val="Default"/>
        <w:rPr>
          <w:rFonts w:ascii="Times New Roman" w:hAnsi="Times New Roman" w:cs="Times New Roman"/>
          <w:color w:val="auto"/>
        </w:rPr>
      </w:pPr>
      <w:r w:rsidRPr="00A965B8">
        <w:rPr>
          <w:rFonts w:ascii="Times New Roman" w:hAnsi="Times New Roman" w:cs="Times New Roman"/>
          <w:color w:val="auto"/>
          <w:u w:val="single"/>
        </w:rPr>
        <w:t xml:space="preserve">       </w:t>
      </w:r>
      <w:r w:rsidRPr="00EB430F">
        <w:rPr>
          <w:rFonts w:ascii="Times New Roman" w:hAnsi="Times New Roman" w:cs="Times New Roman"/>
          <w:color w:val="auto"/>
        </w:rPr>
        <w:t>, 2006, Value at Risk: The Benchmark for Managing Financial Risk, Third Ed, (McGraw Hill, New York, NY).</w:t>
      </w:r>
    </w:p>
    <w:p w:rsidR="00E87058" w:rsidRDefault="00E87058" w:rsidP="00E87058">
      <w:pPr>
        <w:pStyle w:val="Default"/>
        <w:rPr>
          <w:rFonts w:ascii="Times New Roman" w:hAnsi="Times New Roman" w:cs="Times New Roman"/>
          <w:color w:val="auto"/>
        </w:rPr>
      </w:pPr>
    </w:p>
    <w:p w:rsidR="007807F4" w:rsidRPr="008F73F8" w:rsidRDefault="007807F4" w:rsidP="006F5132">
      <w:pPr>
        <w:pStyle w:val="Default"/>
        <w:spacing w:after="200"/>
        <w:rPr>
          <w:rFonts w:ascii="Times New Roman" w:hAnsi="Times New Roman" w:cs="Times New Roman"/>
          <w:color w:val="auto"/>
        </w:rPr>
      </w:pPr>
      <w:r w:rsidRPr="008F73F8">
        <w:rPr>
          <w:rFonts w:ascii="Times New Roman" w:hAnsi="Times New Roman" w:cs="Times New Roman"/>
          <w:color w:val="auto"/>
        </w:rPr>
        <w:t xml:space="preserve">Kohn, R., Asymptotic Results for ARMAX Structures, </w:t>
      </w:r>
      <w:proofErr w:type="spellStart"/>
      <w:r w:rsidRPr="008F73F8">
        <w:rPr>
          <w:rFonts w:ascii="Times New Roman" w:hAnsi="Times New Roman" w:cs="Times New Roman"/>
          <w:i/>
          <w:color w:val="auto"/>
        </w:rPr>
        <w:t>Econometrica</w:t>
      </w:r>
      <w:proofErr w:type="spellEnd"/>
      <w:r w:rsidRPr="008F73F8">
        <w:rPr>
          <w:rFonts w:ascii="Times New Roman" w:hAnsi="Times New Roman" w:cs="Times New Roman"/>
          <w:color w:val="auto"/>
        </w:rPr>
        <w:t xml:space="preserve">, </w:t>
      </w:r>
      <w:r w:rsidRPr="008F73F8">
        <w:rPr>
          <w:rFonts w:ascii="Times New Roman" w:hAnsi="Times New Roman" w:cs="Times New Roman"/>
          <w:b/>
          <w:color w:val="auto"/>
        </w:rPr>
        <w:t>47</w:t>
      </w:r>
      <w:r w:rsidRPr="008F73F8">
        <w:rPr>
          <w:rFonts w:ascii="Times New Roman" w:hAnsi="Times New Roman" w:cs="Times New Roman"/>
          <w:color w:val="auto"/>
        </w:rPr>
        <w:t>, (1979), 1295–1304.</w:t>
      </w:r>
    </w:p>
    <w:p w:rsidR="006F5132" w:rsidRDefault="007807F4" w:rsidP="006F5132">
      <w:pPr>
        <w:pStyle w:val="Default"/>
        <w:spacing w:after="200"/>
        <w:rPr>
          <w:rFonts w:ascii="Times New Roman" w:hAnsi="Times New Roman" w:cs="Times New Roman"/>
          <w:color w:val="auto"/>
        </w:rPr>
      </w:pPr>
      <w:proofErr w:type="spellStart"/>
      <w:r w:rsidRPr="008F73F8">
        <w:rPr>
          <w:rFonts w:ascii="Times New Roman" w:hAnsi="Times New Roman" w:cs="Times New Roman"/>
          <w:color w:val="auto"/>
        </w:rPr>
        <w:t>Koyluoglu</w:t>
      </w:r>
      <w:proofErr w:type="spellEnd"/>
      <w:r w:rsidRPr="008F73F8">
        <w:rPr>
          <w:rFonts w:ascii="Times New Roman" w:hAnsi="Times New Roman" w:cs="Times New Roman"/>
          <w:color w:val="auto"/>
        </w:rPr>
        <w:t xml:space="preserve">, H, and A Hickman, Reconcilable Differences, </w:t>
      </w:r>
      <w:r w:rsidRPr="008F73F8">
        <w:rPr>
          <w:rFonts w:ascii="Times New Roman" w:hAnsi="Times New Roman" w:cs="Times New Roman"/>
          <w:i/>
          <w:color w:val="auto"/>
        </w:rPr>
        <w:t>Risk</w:t>
      </w:r>
      <w:r w:rsidRPr="008F73F8">
        <w:rPr>
          <w:rFonts w:ascii="Times New Roman" w:hAnsi="Times New Roman" w:cs="Times New Roman"/>
          <w:color w:val="auto"/>
        </w:rPr>
        <w:t xml:space="preserve">, </w:t>
      </w:r>
      <w:r w:rsidRPr="008F73F8">
        <w:rPr>
          <w:rFonts w:ascii="Times New Roman" w:hAnsi="Times New Roman" w:cs="Times New Roman"/>
          <w:b/>
          <w:color w:val="auto"/>
        </w:rPr>
        <w:t>October</w:t>
      </w:r>
      <w:r w:rsidRPr="008F73F8">
        <w:rPr>
          <w:rFonts w:ascii="Times New Roman" w:hAnsi="Times New Roman" w:cs="Times New Roman"/>
          <w:color w:val="auto"/>
        </w:rPr>
        <w:t>, (1998), 56-62.</w:t>
      </w:r>
    </w:p>
    <w:p w:rsidR="007807F4" w:rsidRPr="008F73F8" w:rsidRDefault="007807F4" w:rsidP="006F5132">
      <w:pPr>
        <w:pStyle w:val="Default"/>
        <w:spacing w:after="200"/>
        <w:rPr>
          <w:rFonts w:ascii="Times New Roman" w:hAnsi="Times New Roman" w:cs="Times New Roman"/>
          <w:color w:val="auto"/>
        </w:rPr>
      </w:pPr>
      <w:proofErr w:type="spellStart"/>
      <w:r w:rsidRPr="008F73F8">
        <w:rPr>
          <w:rFonts w:ascii="Times New Roman" w:hAnsi="Times New Roman" w:cs="Times New Roman"/>
        </w:rPr>
        <w:t>Kupiec</w:t>
      </w:r>
      <w:proofErr w:type="spellEnd"/>
      <w:r w:rsidRPr="008F73F8">
        <w:rPr>
          <w:rFonts w:ascii="Times New Roman" w:hAnsi="Times New Roman" w:cs="Times New Roman"/>
        </w:rPr>
        <w:t xml:space="preserve">, P, Risk Capital and VaR, </w:t>
      </w:r>
      <w:r w:rsidRPr="008F73F8">
        <w:rPr>
          <w:rFonts w:ascii="Times New Roman" w:hAnsi="Times New Roman" w:cs="Times New Roman"/>
          <w:i/>
        </w:rPr>
        <w:t>The Journal of Derivatives</w:t>
      </w:r>
      <w:r w:rsidRPr="008F73F8">
        <w:rPr>
          <w:rFonts w:ascii="Times New Roman" w:hAnsi="Times New Roman" w:cs="Times New Roman"/>
        </w:rPr>
        <w:t xml:space="preserve">, </w:t>
      </w:r>
      <w:r w:rsidRPr="008F73F8">
        <w:rPr>
          <w:rFonts w:ascii="Times New Roman" w:hAnsi="Times New Roman" w:cs="Times New Roman"/>
          <w:b/>
        </w:rPr>
        <w:t>7</w:t>
      </w:r>
      <w:r w:rsidRPr="008F73F8">
        <w:rPr>
          <w:rFonts w:ascii="Times New Roman" w:hAnsi="Times New Roman" w:cs="Times New Roman"/>
        </w:rPr>
        <w:t>(2), (1999)</w:t>
      </w:r>
      <w:proofErr w:type="gramStart"/>
      <w:r w:rsidRPr="008F73F8">
        <w:rPr>
          <w:rFonts w:ascii="Times New Roman" w:hAnsi="Times New Roman" w:cs="Times New Roman"/>
        </w:rPr>
        <w:t>,41</w:t>
      </w:r>
      <w:proofErr w:type="gramEnd"/>
      <w:r w:rsidRPr="008F73F8">
        <w:rPr>
          <w:rFonts w:ascii="Times New Roman" w:hAnsi="Times New Roman" w:cs="Times New Roman"/>
        </w:rPr>
        <w:t>-52.</w:t>
      </w:r>
    </w:p>
    <w:p w:rsidR="00942168" w:rsidRPr="00520E6F" w:rsidRDefault="00942168" w:rsidP="00942168">
      <w:pPr>
        <w:pStyle w:val="Default"/>
        <w:rPr>
          <w:rFonts w:ascii="Times New Roman" w:hAnsi="Times New Roman" w:cs="Times New Roman"/>
        </w:rPr>
      </w:pPr>
      <w:r w:rsidRPr="00520E6F">
        <w:rPr>
          <w:rFonts w:ascii="Times New Roman" w:hAnsi="Times New Roman" w:cs="Times New Roman"/>
        </w:rPr>
        <w:t xml:space="preserve">Li, D.X., 2000, </w:t>
      </w:r>
      <w:proofErr w:type="gramStart"/>
      <w:r w:rsidRPr="00520E6F">
        <w:rPr>
          <w:rFonts w:ascii="Times New Roman" w:hAnsi="Times New Roman" w:cs="Times New Roman"/>
        </w:rPr>
        <w:t>On</w:t>
      </w:r>
      <w:proofErr w:type="gramEnd"/>
      <w:r w:rsidRPr="00520E6F">
        <w:rPr>
          <w:rFonts w:ascii="Times New Roman" w:hAnsi="Times New Roman" w:cs="Times New Roman"/>
        </w:rPr>
        <w:t xml:space="preserve"> default correlation: a copula function approach, Journal of Fixed Income 9, 43–54.</w:t>
      </w:r>
    </w:p>
    <w:p w:rsidR="00942168" w:rsidRDefault="00942168" w:rsidP="006F5132">
      <w:pPr>
        <w:pStyle w:val="CM12"/>
        <w:spacing w:after="200" w:line="240" w:lineRule="auto"/>
        <w:ind w:right="105"/>
        <w:contextualSpacing/>
        <w:rPr>
          <w:rFonts w:ascii="Times New Roman" w:hAnsi="Times New Roman"/>
        </w:rPr>
      </w:pPr>
    </w:p>
    <w:p w:rsidR="007807F4" w:rsidRPr="008F73F8" w:rsidRDefault="007807F4" w:rsidP="006F5132">
      <w:pPr>
        <w:pStyle w:val="CM12"/>
        <w:spacing w:after="200" w:line="240" w:lineRule="auto"/>
        <w:ind w:right="105"/>
        <w:contextualSpacing/>
        <w:rPr>
          <w:rFonts w:ascii="Times New Roman" w:hAnsi="Times New Roman"/>
        </w:rPr>
      </w:pPr>
      <w:proofErr w:type="spellStart"/>
      <w:r w:rsidRPr="008F73F8">
        <w:rPr>
          <w:rFonts w:ascii="Times New Roman" w:hAnsi="Times New Roman"/>
        </w:rPr>
        <w:t>Loregian.A</w:t>
      </w:r>
      <w:proofErr w:type="spellEnd"/>
      <w:r w:rsidRPr="008F73F8">
        <w:rPr>
          <w:rFonts w:ascii="Times New Roman" w:hAnsi="Times New Roman"/>
        </w:rPr>
        <w:t>, and A., Meucci. Neither “Normal” nor “Lognormal”: Modeling</w:t>
      </w:r>
    </w:p>
    <w:p w:rsidR="007807F4" w:rsidRPr="008F73F8" w:rsidRDefault="007807F4" w:rsidP="006F5132">
      <w:pPr>
        <w:pStyle w:val="CM12"/>
        <w:spacing w:after="200" w:line="240" w:lineRule="auto"/>
        <w:ind w:right="105"/>
        <w:contextualSpacing/>
        <w:rPr>
          <w:rFonts w:ascii="Times New Roman" w:hAnsi="Times New Roman"/>
        </w:rPr>
      </w:pPr>
      <w:r w:rsidRPr="008F73F8">
        <w:rPr>
          <w:rFonts w:ascii="Times New Roman" w:hAnsi="Times New Roman"/>
        </w:rPr>
        <w:t xml:space="preserve">Interest Rates across All Regimes, </w:t>
      </w:r>
      <w:r w:rsidRPr="008F73F8">
        <w:rPr>
          <w:rFonts w:ascii="Times New Roman" w:hAnsi="Times New Roman"/>
          <w:i/>
        </w:rPr>
        <w:t>Financial Analysts Journal</w:t>
      </w:r>
      <w:r w:rsidRPr="008F73F8">
        <w:rPr>
          <w:rFonts w:ascii="Times New Roman" w:hAnsi="Times New Roman"/>
        </w:rPr>
        <w:t>, 72(3), (2016), 68-82.</w:t>
      </w:r>
    </w:p>
    <w:p w:rsidR="006F5132" w:rsidRDefault="006F5132" w:rsidP="006F5132">
      <w:pPr>
        <w:pStyle w:val="CM12"/>
        <w:spacing w:after="200" w:line="240" w:lineRule="auto"/>
        <w:ind w:right="105"/>
        <w:contextualSpacing/>
        <w:rPr>
          <w:rFonts w:ascii="Times New Roman" w:hAnsi="Times New Roman"/>
        </w:rPr>
      </w:pPr>
    </w:p>
    <w:p w:rsidR="007807F4" w:rsidRPr="008F73F8" w:rsidRDefault="007807F4" w:rsidP="006F5132">
      <w:pPr>
        <w:pStyle w:val="CM12"/>
        <w:spacing w:after="200" w:line="240" w:lineRule="auto"/>
        <w:ind w:right="105"/>
        <w:contextualSpacing/>
        <w:rPr>
          <w:rFonts w:ascii="Times New Roman" w:hAnsi="Times New Roman"/>
        </w:rPr>
      </w:pPr>
      <w:r w:rsidRPr="008F73F8">
        <w:rPr>
          <w:rFonts w:ascii="Times New Roman" w:hAnsi="Times New Roman"/>
        </w:rPr>
        <w:t xml:space="preserve">Merton, R., On the Pricing of Corporate Debt: The Risk Structure of Interest Rates, </w:t>
      </w:r>
      <w:r w:rsidRPr="008F73F8">
        <w:rPr>
          <w:rFonts w:ascii="Times New Roman" w:hAnsi="Times New Roman"/>
          <w:i/>
        </w:rPr>
        <w:t>Journal of Finance</w:t>
      </w:r>
      <w:r w:rsidRPr="008F73F8">
        <w:rPr>
          <w:rFonts w:ascii="Times New Roman" w:hAnsi="Times New Roman"/>
        </w:rPr>
        <w:t xml:space="preserve">, </w:t>
      </w:r>
      <w:r w:rsidRPr="008F73F8">
        <w:rPr>
          <w:rFonts w:ascii="Times New Roman" w:hAnsi="Times New Roman"/>
          <w:b/>
        </w:rPr>
        <w:t>29</w:t>
      </w:r>
      <w:r w:rsidRPr="008F73F8">
        <w:rPr>
          <w:rFonts w:ascii="Times New Roman" w:hAnsi="Times New Roman"/>
        </w:rPr>
        <w:t>(2), (1974), 449–470.</w:t>
      </w:r>
    </w:p>
    <w:p w:rsidR="007807F4" w:rsidRPr="008F73F8" w:rsidRDefault="007807F4" w:rsidP="006F5132">
      <w:pPr>
        <w:pStyle w:val="Default"/>
        <w:spacing w:after="200"/>
        <w:rPr>
          <w:rFonts w:ascii="Times New Roman" w:hAnsi="Times New Roman" w:cs="Times New Roman"/>
          <w:color w:val="auto"/>
        </w:rPr>
      </w:pPr>
      <w:proofErr w:type="spellStart"/>
      <w:r w:rsidRPr="008F73F8">
        <w:rPr>
          <w:rFonts w:ascii="Times New Roman" w:hAnsi="Times New Roman" w:cs="Times New Roman"/>
          <w:color w:val="auto"/>
        </w:rPr>
        <w:t>Mosser</w:t>
      </w:r>
      <w:proofErr w:type="spellEnd"/>
      <w:r w:rsidRPr="008F73F8">
        <w:rPr>
          <w:rFonts w:ascii="Times New Roman" w:hAnsi="Times New Roman" w:cs="Times New Roman"/>
          <w:color w:val="auto"/>
        </w:rPr>
        <w:t xml:space="preserve">, P.C., I., Fender, and M.S. Gibson, An International Survey of Stress Tests, </w:t>
      </w:r>
      <w:r w:rsidRPr="008F73F8">
        <w:rPr>
          <w:rFonts w:ascii="Times New Roman" w:hAnsi="Times New Roman" w:cs="Times New Roman"/>
          <w:i/>
          <w:color w:val="auto"/>
        </w:rPr>
        <w:t>Current Issues in Economics and Finance</w:t>
      </w:r>
      <w:r w:rsidRPr="008F73F8">
        <w:rPr>
          <w:rFonts w:ascii="Times New Roman" w:hAnsi="Times New Roman" w:cs="Times New Roman"/>
          <w:color w:val="auto"/>
        </w:rPr>
        <w:t xml:space="preserve">, </w:t>
      </w:r>
      <w:r w:rsidRPr="008F73F8">
        <w:rPr>
          <w:rFonts w:ascii="Times New Roman" w:hAnsi="Times New Roman" w:cs="Times New Roman"/>
          <w:b/>
          <w:color w:val="auto"/>
        </w:rPr>
        <w:t>7</w:t>
      </w:r>
      <w:r w:rsidRPr="008F73F8">
        <w:rPr>
          <w:rFonts w:ascii="Times New Roman" w:hAnsi="Times New Roman" w:cs="Times New Roman"/>
          <w:color w:val="auto"/>
        </w:rPr>
        <w:t>(10). (2001), 1-6.</w:t>
      </w:r>
    </w:p>
    <w:p w:rsidR="007807F4" w:rsidRPr="008F73F8" w:rsidRDefault="007807F4" w:rsidP="006F5132">
      <w:pPr>
        <w:pStyle w:val="Default"/>
        <w:spacing w:after="200"/>
        <w:rPr>
          <w:rFonts w:ascii="Times New Roman" w:hAnsi="Times New Roman" w:cs="Times New Roman"/>
        </w:rPr>
      </w:pPr>
      <w:r w:rsidRPr="008F73F8">
        <w:rPr>
          <w:rFonts w:ascii="Times New Roman" w:hAnsi="Times New Roman" w:cs="Times New Roman"/>
        </w:rPr>
        <w:t xml:space="preserve">Pearson, K. Contribution to the Mathematical Theory of Evolution, Philosophical </w:t>
      </w:r>
      <w:r w:rsidRPr="008F73F8">
        <w:rPr>
          <w:rFonts w:ascii="Times New Roman" w:hAnsi="Times New Roman" w:cs="Times New Roman"/>
          <w:i/>
        </w:rPr>
        <w:t>Transactions of the Royal Society</w:t>
      </w:r>
      <w:r w:rsidRPr="008F73F8">
        <w:rPr>
          <w:rFonts w:ascii="Times New Roman" w:hAnsi="Times New Roman" w:cs="Times New Roman"/>
        </w:rPr>
        <w:t xml:space="preserve">, </w:t>
      </w:r>
      <w:r w:rsidRPr="008F73F8">
        <w:rPr>
          <w:rFonts w:ascii="Times New Roman" w:hAnsi="Times New Roman" w:cs="Times New Roman"/>
          <w:b/>
        </w:rPr>
        <w:t>185</w:t>
      </w:r>
      <w:r w:rsidRPr="008F73F8">
        <w:rPr>
          <w:rFonts w:ascii="Times New Roman" w:hAnsi="Times New Roman" w:cs="Times New Roman"/>
        </w:rPr>
        <w:t>, (1894). 71-110.</w:t>
      </w:r>
    </w:p>
    <w:p w:rsidR="00D04372" w:rsidRPr="00520E6F" w:rsidRDefault="00D04372" w:rsidP="00D04372">
      <w:pPr>
        <w:pStyle w:val="CM33"/>
        <w:spacing w:before="100" w:beforeAutospacing="1" w:after="100" w:afterAutospacing="1"/>
        <w:contextualSpacing/>
        <w:rPr>
          <w:rFonts w:ascii="Times New Roman" w:hAnsi="Times New Roman"/>
          <w:color w:val="000000"/>
        </w:rPr>
      </w:pPr>
      <w:r w:rsidRPr="00520E6F">
        <w:rPr>
          <w:rFonts w:ascii="Times New Roman" w:hAnsi="Times New Roman"/>
          <w:color w:val="000000"/>
        </w:rPr>
        <w:t>Poon, S.-H., Rockinger, M., Tawn, J., 2004, Extreme value dependence in financial markets: diagnostics, models and financial implications, Review of Financial Studies 17, 581–610.</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R Development Core Team, 201</w:t>
      </w:r>
      <w:r w:rsidR="00442073">
        <w:rPr>
          <w:rFonts w:ascii="Times New Roman" w:hAnsi="Times New Roman"/>
          <w:sz w:val="24"/>
          <w:szCs w:val="24"/>
        </w:rPr>
        <w:t>7</w:t>
      </w:r>
      <w:r w:rsidRPr="008F73F8">
        <w:rPr>
          <w:rFonts w:ascii="Times New Roman" w:hAnsi="Times New Roman"/>
          <w:sz w:val="24"/>
          <w:szCs w:val="24"/>
        </w:rPr>
        <w:t>: “R: A Language and Environment for Statistical Computing.” R Foundation for Statistical Computing, Vienna, Austria, ISBN 3-900051-07-0.</w:t>
      </w:r>
    </w:p>
    <w:p w:rsidR="007807F4" w:rsidRPr="008F73F8" w:rsidRDefault="007807F4" w:rsidP="006F5132">
      <w:pPr>
        <w:spacing w:line="240" w:lineRule="auto"/>
        <w:rPr>
          <w:rFonts w:ascii="Times New Roman" w:hAnsi="Times New Roman"/>
          <w:sz w:val="24"/>
          <w:szCs w:val="24"/>
        </w:rPr>
      </w:pPr>
      <w:proofErr w:type="spellStart"/>
      <w:r w:rsidRPr="008F73F8">
        <w:rPr>
          <w:rFonts w:ascii="Times New Roman" w:hAnsi="Times New Roman"/>
          <w:sz w:val="24"/>
          <w:szCs w:val="24"/>
        </w:rPr>
        <w:t>Rebonato</w:t>
      </w:r>
      <w:proofErr w:type="spellEnd"/>
      <w:r w:rsidRPr="008F73F8">
        <w:rPr>
          <w:rFonts w:ascii="Times New Roman" w:hAnsi="Times New Roman"/>
          <w:sz w:val="24"/>
          <w:szCs w:val="24"/>
        </w:rPr>
        <w:t xml:space="preserve">, R., </w:t>
      </w:r>
      <w:r w:rsidRPr="008F73F8">
        <w:rPr>
          <w:rFonts w:ascii="Times New Roman" w:hAnsi="Times New Roman"/>
          <w:i/>
          <w:sz w:val="24"/>
          <w:szCs w:val="24"/>
        </w:rPr>
        <w:t>Coherent Stress Testing: A Bayesian Approach</w:t>
      </w:r>
      <w:r w:rsidRPr="008F73F8">
        <w:rPr>
          <w:rFonts w:ascii="Times New Roman" w:hAnsi="Times New Roman"/>
          <w:sz w:val="24"/>
          <w:szCs w:val="24"/>
        </w:rPr>
        <w:t>, Wiley, New York. 2010</w:t>
      </w:r>
      <w:r w:rsidR="00DB7749">
        <w:rPr>
          <w:rFonts w:ascii="Times New Roman" w:hAnsi="Times New Roman"/>
          <w:sz w:val="24"/>
          <w:szCs w:val="24"/>
        </w:rPr>
        <w:t>/</w:t>
      </w:r>
    </w:p>
    <w:p w:rsidR="007807F4" w:rsidRPr="008F73F8" w:rsidRDefault="007807F4" w:rsidP="006F5132">
      <w:pPr>
        <w:spacing w:line="240" w:lineRule="auto"/>
        <w:rPr>
          <w:rFonts w:ascii="Times New Roman" w:hAnsi="Times New Roman"/>
          <w:sz w:val="24"/>
          <w:szCs w:val="24"/>
        </w:rPr>
      </w:pPr>
      <w:proofErr w:type="spellStart"/>
      <w:r w:rsidRPr="008F73F8">
        <w:rPr>
          <w:rFonts w:ascii="Times New Roman" w:hAnsi="Times New Roman"/>
          <w:sz w:val="24"/>
          <w:szCs w:val="24"/>
        </w:rPr>
        <w:t>Schuermann</w:t>
      </w:r>
      <w:proofErr w:type="spellEnd"/>
      <w:r w:rsidRPr="008F73F8">
        <w:rPr>
          <w:rFonts w:ascii="Times New Roman" w:hAnsi="Times New Roman"/>
          <w:sz w:val="24"/>
          <w:szCs w:val="24"/>
        </w:rPr>
        <w:t xml:space="preserve">, T., Stress Testing Banks, </w:t>
      </w:r>
      <w:r w:rsidRPr="008F73F8">
        <w:rPr>
          <w:rFonts w:ascii="Times New Roman" w:hAnsi="Times New Roman"/>
          <w:i/>
          <w:sz w:val="24"/>
          <w:szCs w:val="24"/>
        </w:rPr>
        <w:t>International Journal of Forecasting</w:t>
      </w:r>
      <w:r w:rsidRPr="008F73F8">
        <w:rPr>
          <w:rFonts w:ascii="Times New Roman" w:hAnsi="Times New Roman"/>
          <w:sz w:val="24"/>
          <w:szCs w:val="24"/>
        </w:rPr>
        <w:t xml:space="preserve">, </w:t>
      </w:r>
      <w:r w:rsidRPr="008F73F8">
        <w:rPr>
          <w:rFonts w:ascii="Times New Roman" w:hAnsi="Times New Roman"/>
          <w:b/>
          <w:sz w:val="24"/>
          <w:szCs w:val="24"/>
        </w:rPr>
        <w:t>30</w:t>
      </w:r>
      <w:r w:rsidRPr="008F73F8">
        <w:rPr>
          <w:rFonts w:ascii="Times New Roman" w:hAnsi="Times New Roman"/>
          <w:sz w:val="24"/>
          <w:szCs w:val="24"/>
        </w:rPr>
        <w:t xml:space="preserve">(3), (2014), </w:t>
      </w:r>
      <w:proofErr w:type="gramStart"/>
      <w:r w:rsidRPr="008F73F8">
        <w:rPr>
          <w:rFonts w:ascii="Times New Roman" w:hAnsi="Times New Roman"/>
          <w:sz w:val="24"/>
          <w:szCs w:val="24"/>
        </w:rPr>
        <w:t>717</w:t>
      </w:r>
      <w:proofErr w:type="gramEnd"/>
      <w:r w:rsidRPr="008F73F8">
        <w:rPr>
          <w:rFonts w:ascii="Times New Roman" w:hAnsi="Times New Roman"/>
          <w:sz w:val="24"/>
          <w:szCs w:val="24"/>
        </w:rPr>
        <w:t>-728.</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 xml:space="preserve">Sims, C.A., Macroeconomics and Reality, </w:t>
      </w:r>
      <w:proofErr w:type="spellStart"/>
      <w:r w:rsidRPr="008F73F8">
        <w:rPr>
          <w:rFonts w:ascii="Times New Roman" w:hAnsi="Times New Roman"/>
          <w:i/>
          <w:sz w:val="24"/>
          <w:szCs w:val="24"/>
        </w:rPr>
        <w:t>Econometrica</w:t>
      </w:r>
      <w:proofErr w:type="spellEnd"/>
      <w:r w:rsidRPr="008F73F8">
        <w:rPr>
          <w:rFonts w:ascii="Times New Roman" w:hAnsi="Times New Roman"/>
          <w:sz w:val="24"/>
          <w:szCs w:val="24"/>
        </w:rPr>
        <w:t xml:space="preserve">, </w:t>
      </w:r>
      <w:r w:rsidRPr="008F73F8">
        <w:rPr>
          <w:rFonts w:ascii="Times New Roman" w:hAnsi="Times New Roman"/>
          <w:b/>
          <w:sz w:val="24"/>
          <w:szCs w:val="24"/>
        </w:rPr>
        <w:t>48</w:t>
      </w:r>
      <w:r w:rsidRPr="008F73F8">
        <w:rPr>
          <w:rFonts w:ascii="Times New Roman" w:hAnsi="Times New Roman"/>
          <w:sz w:val="24"/>
          <w:szCs w:val="24"/>
        </w:rPr>
        <w:t>, (1980), 1-48.</w:t>
      </w:r>
    </w:p>
    <w:p w:rsidR="007807F4" w:rsidRPr="008F73F8" w:rsidRDefault="007807F4" w:rsidP="006F5132">
      <w:pPr>
        <w:spacing w:line="240" w:lineRule="auto"/>
        <w:rPr>
          <w:rFonts w:ascii="Times New Roman" w:hAnsi="Times New Roman"/>
          <w:sz w:val="24"/>
          <w:szCs w:val="24"/>
        </w:rPr>
      </w:pPr>
      <w:r w:rsidRPr="008F73F8">
        <w:rPr>
          <w:rFonts w:ascii="Times New Roman" w:hAnsi="Times New Roman"/>
          <w:sz w:val="24"/>
          <w:szCs w:val="24"/>
        </w:rPr>
        <w:t xml:space="preserve">Stock, J.H., and M.W. Watson, Vector </w:t>
      </w:r>
      <w:proofErr w:type="spellStart"/>
      <w:r w:rsidRPr="008F73F8">
        <w:rPr>
          <w:rFonts w:ascii="Times New Roman" w:hAnsi="Times New Roman"/>
          <w:sz w:val="24"/>
          <w:szCs w:val="24"/>
        </w:rPr>
        <w:t>Autoregressions</w:t>
      </w:r>
      <w:proofErr w:type="spellEnd"/>
      <w:r w:rsidRPr="008F73F8">
        <w:rPr>
          <w:rFonts w:ascii="Times New Roman" w:hAnsi="Times New Roman"/>
          <w:sz w:val="24"/>
          <w:szCs w:val="24"/>
        </w:rPr>
        <w:t xml:space="preserve">, </w:t>
      </w:r>
      <w:r w:rsidRPr="008F73F8">
        <w:rPr>
          <w:rFonts w:ascii="Times New Roman" w:hAnsi="Times New Roman"/>
          <w:i/>
          <w:sz w:val="24"/>
          <w:szCs w:val="24"/>
        </w:rPr>
        <w:t>Journal of Economic Perspectives</w:t>
      </w:r>
      <w:r w:rsidRPr="008F73F8">
        <w:rPr>
          <w:rFonts w:ascii="Times New Roman" w:hAnsi="Times New Roman"/>
          <w:sz w:val="24"/>
          <w:szCs w:val="24"/>
        </w:rPr>
        <w:t xml:space="preserve">, </w:t>
      </w:r>
      <w:r w:rsidRPr="008F73F8">
        <w:rPr>
          <w:rFonts w:ascii="Times New Roman" w:hAnsi="Times New Roman"/>
          <w:b/>
          <w:sz w:val="24"/>
          <w:szCs w:val="24"/>
        </w:rPr>
        <w:t>15</w:t>
      </w:r>
      <w:r w:rsidRPr="008F73F8">
        <w:rPr>
          <w:rFonts w:ascii="Times New Roman" w:hAnsi="Times New Roman"/>
          <w:sz w:val="24"/>
          <w:szCs w:val="24"/>
        </w:rPr>
        <w:t>(4), (2001), 101-115.</w:t>
      </w:r>
    </w:p>
    <w:p w:rsidR="007807F4" w:rsidRPr="008F73F8" w:rsidRDefault="007807F4" w:rsidP="006F5132">
      <w:pPr>
        <w:pStyle w:val="Default"/>
        <w:spacing w:after="200"/>
        <w:rPr>
          <w:rFonts w:ascii="Times New Roman" w:hAnsi="Times New Roman" w:cs="Times New Roman"/>
        </w:rPr>
      </w:pPr>
      <w:proofErr w:type="spellStart"/>
      <w:r w:rsidRPr="008F73F8">
        <w:rPr>
          <w:rFonts w:ascii="Times New Roman" w:hAnsi="Times New Roman" w:cs="Times New Roman"/>
        </w:rPr>
        <w:t>Tjøstheim</w:t>
      </w:r>
      <w:proofErr w:type="spellEnd"/>
      <w:r w:rsidRPr="008F73F8">
        <w:rPr>
          <w:rFonts w:ascii="Times New Roman" w:hAnsi="Times New Roman" w:cs="Times New Roman"/>
        </w:rPr>
        <w:t xml:space="preserve">, D., Estimation in Nonlinear Time Series Models, Stochastic Processes and their Applications, </w:t>
      </w:r>
      <w:r w:rsidRPr="008F73F8">
        <w:rPr>
          <w:rFonts w:ascii="Times New Roman" w:hAnsi="Times New Roman" w:cs="Times New Roman"/>
          <w:b/>
        </w:rPr>
        <w:t>21</w:t>
      </w:r>
      <w:r w:rsidRPr="008F73F8">
        <w:rPr>
          <w:rFonts w:ascii="Times New Roman" w:hAnsi="Times New Roman" w:cs="Times New Roman"/>
        </w:rPr>
        <w:t>(2), (1986), 251-273.</w:t>
      </w:r>
    </w:p>
    <w:p w:rsidR="00D21F0E" w:rsidRDefault="007807F4" w:rsidP="006F5132">
      <w:pPr>
        <w:spacing w:line="240" w:lineRule="auto"/>
        <w:rPr>
          <w:rFonts w:ascii="Times New Roman" w:hAnsi="Times New Roman"/>
          <w:sz w:val="24"/>
          <w:szCs w:val="24"/>
        </w:rPr>
      </w:pPr>
      <w:r w:rsidRPr="008F73F8">
        <w:rPr>
          <w:rFonts w:ascii="Times New Roman" w:hAnsi="Times New Roman"/>
          <w:sz w:val="24"/>
          <w:szCs w:val="24"/>
        </w:rPr>
        <w:t xml:space="preserve">Wilde, T., </w:t>
      </w:r>
      <w:proofErr w:type="spellStart"/>
      <w:r w:rsidRPr="008F73F8">
        <w:rPr>
          <w:rFonts w:ascii="Times New Roman" w:hAnsi="Times New Roman"/>
          <w:i/>
          <w:sz w:val="24"/>
          <w:szCs w:val="24"/>
        </w:rPr>
        <w:t>CreditRisk</w:t>
      </w:r>
      <w:proofErr w:type="spellEnd"/>
      <w:r w:rsidRPr="008F73F8">
        <w:rPr>
          <w:rFonts w:ascii="Times New Roman" w:hAnsi="Times New Roman"/>
          <w:i/>
          <w:sz w:val="24"/>
          <w:szCs w:val="24"/>
        </w:rPr>
        <w:t>+. A Credit Risk Management Framework</w:t>
      </w:r>
      <w:r w:rsidRPr="008F73F8">
        <w:rPr>
          <w:rFonts w:ascii="Times New Roman" w:hAnsi="Times New Roman"/>
          <w:sz w:val="24"/>
          <w:szCs w:val="24"/>
        </w:rPr>
        <w:t>, Credit Suisse First</w:t>
      </w:r>
      <w:r w:rsidR="009E3A0C">
        <w:rPr>
          <w:rFonts w:ascii="Times New Roman" w:hAnsi="Times New Roman"/>
          <w:sz w:val="24"/>
          <w:szCs w:val="24"/>
        </w:rPr>
        <w:t xml:space="preserve"> </w:t>
      </w:r>
      <w:r w:rsidRPr="008F73F8">
        <w:rPr>
          <w:rFonts w:ascii="Times New Roman" w:hAnsi="Times New Roman"/>
          <w:sz w:val="24"/>
          <w:szCs w:val="24"/>
        </w:rPr>
        <w:t>Boston, 1997.</w:t>
      </w:r>
      <w:r w:rsidR="00D21F0E">
        <w:rPr>
          <w:rFonts w:ascii="Times New Roman" w:hAnsi="Times New Roman"/>
          <w:sz w:val="24"/>
          <w:szCs w:val="24"/>
        </w:rPr>
        <w:br w:type="page"/>
      </w:r>
    </w:p>
    <w:p w:rsidR="00D21F0E" w:rsidRDefault="00D21F0E" w:rsidP="00D21F0E">
      <w:pPr>
        <w:spacing w:line="240" w:lineRule="auto"/>
        <w:ind w:left="720" w:hanging="720"/>
        <w:contextualSpacing/>
        <w:jc w:val="both"/>
        <w:rPr>
          <w:rFonts w:ascii="Times New Roman" w:hAnsi="Times New Roman"/>
          <w:b/>
          <w:sz w:val="28"/>
          <w:szCs w:val="24"/>
        </w:rPr>
      </w:pPr>
      <w:r>
        <w:rPr>
          <w:rFonts w:ascii="Times New Roman" w:hAnsi="Times New Roman"/>
          <w:b/>
          <w:sz w:val="28"/>
          <w:szCs w:val="24"/>
        </w:rPr>
        <w:lastRenderedPageBreak/>
        <w:t>7</w:t>
      </w:r>
      <w:r w:rsidRPr="00111FA4">
        <w:rPr>
          <w:rFonts w:ascii="Times New Roman" w:hAnsi="Times New Roman"/>
          <w:b/>
          <w:sz w:val="28"/>
          <w:szCs w:val="24"/>
        </w:rPr>
        <w:tab/>
      </w:r>
      <w:r w:rsidR="00E15C97">
        <w:rPr>
          <w:rFonts w:ascii="Times New Roman" w:hAnsi="Times New Roman"/>
          <w:b/>
          <w:sz w:val="28"/>
          <w:szCs w:val="24"/>
        </w:rPr>
        <w:t>Ap</w:t>
      </w:r>
      <w:r w:rsidR="00F02FC9">
        <w:rPr>
          <w:rFonts w:ascii="Times New Roman" w:hAnsi="Times New Roman"/>
          <w:b/>
          <w:sz w:val="28"/>
          <w:szCs w:val="24"/>
        </w:rPr>
        <w:t>p</w:t>
      </w:r>
      <w:r w:rsidR="00E15C97">
        <w:rPr>
          <w:rFonts w:ascii="Times New Roman" w:hAnsi="Times New Roman"/>
          <w:b/>
          <w:sz w:val="28"/>
          <w:szCs w:val="24"/>
        </w:rPr>
        <w:t xml:space="preserve">endix 1: </w:t>
      </w:r>
      <w:r w:rsidR="00B44E4C">
        <w:rPr>
          <w:rFonts w:ascii="Times New Roman" w:hAnsi="Times New Roman"/>
          <w:b/>
          <w:sz w:val="28"/>
          <w:szCs w:val="24"/>
        </w:rPr>
        <w:t xml:space="preserve">Detailed Description </w:t>
      </w:r>
      <w:r>
        <w:rPr>
          <w:rFonts w:ascii="Times New Roman" w:hAnsi="Times New Roman"/>
          <w:b/>
          <w:sz w:val="28"/>
          <w:szCs w:val="24"/>
        </w:rPr>
        <w:t xml:space="preserve">of </w:t>
      </w:r>
      <w:r w:rsidR="00B44E4C">
        <w:rPr>
          <w:rFonts w:ascii="Times New Roman" w:hAnsi="Times New Roman"/>
          <w:b/>
          <w:sz w:val="28"/>
          <w:szCs w:val="24"/>
        </w:rPr>
        <w:t xml:space="preserve">Summary Statistics and Distributional Properties - </w:t>
      </w:r>
      <w:r>
        <w:rPr>
          <w:rFonts w:ascii="Times New Roman" w:hAnsi="Times New Roman"/>
          <w:b/>
          <w:sz w:val="28"/>
          <w:szCs w:val="24"/>
        </w:rPr>
        <w:t>Macroeconomic Variables</w:t>
      </w:r>
      <w:r w:rsidR="00E15C97">
        <w:rPr>
          <w:rFonts w:ascii="Times New Roman" w:hAnsi="Times New Roman"/>
          <w:b/>
          <w:sz w:val="28"/>
          <w:szCs w:val="24"/>
        </w:rPr>
        <w:t xml:space="preserve"> and Gross Charge-off Loss</w:t>
      </w:r>
      <w:r w:rsidR="00772397">
        <w:rPr>
          <w:rFonts w:ascii="Times New Roman" w:hAnsi="Times New Roman"/>
          <w:b/>
          <w:sz w:val="28"/>
          <w:szCs w:val="24"/>
        </w:rPr>
        <w:t xml:space="preserve"> Rates</w:t>
      </w:r>
    </w:p>
    <w:p w:rsidR="008A6034" w:rsidRDefault="008A6034" w:rsidP="00B123B4">
      <w:pPr>
        <w:jc w:val="both"/>
        <w:rPr>
          <w:rFonts w:ascii="Times New Roman" w:hAnsi="Times New Roman"/>
          <w:sz w:val="24"/>
          <w:szCs w:val="24"/>
        </w:rPr>
      </w:pPr>
    </w:p>
    <w:p w:rsidR="00B123B4" w:rsidRDefault="00B123B4" w:rsidP="00B123B4">
      <w:pPr>
        <w:jc w:val="both"/>
        <w:rPr>
          <w:rFonts w:ascii="Times New Roman" w:hAnsi="Times New Roman"/>
          <w:sz w:val="24"/>
          <w:szCs w:val="24"/>
        </w:rPr>
      </w:pPr>
      <w:r>
        <w:rPr>
          <w:rFonts w:ascii="Times New Roman" w:hAnsi="Times New Roman"/>
          <w:sz w:val="24"/>
          <w:szCs w:val="24"/>
        </w:rPr>
        <w:t>The summary statistics of RESI are shown in the 1</w:t>
      </w:r>
      <w:r>
        <w:rPr>
          <w:rFonts w:ascii="Times New Roman" w:hAnsi="Times New Roman"/>
          <w:sz w:val="24"/>
          <w:szCs w:val="24"/>
          <w:vertAlign w:val="superscript"/>
        </w:rPr>
        <w:t xml:space="preserve">st </w:t>
      </w:r>
      <w:r>
        <w:rPr>
          <w:rFonts w:ascii="Times New Roman" w:hAnsi="Times New Roman"/>
          <w:sz w:val="24"/>
          <w:szCs w:val="24"/>
        </w:rPr>
        <w:t>and 2</w:t>
      </w:r>
      <w:r>
        <w:rPr>
          <w:rFonts w:ascii="Times New Roman" w:hAnsi="Times New Roman"/>
          <w:sz w:val="24"/>
          <w:szCs w:val="24"/>
          <w:vertAlign w:val="superscript"/>
        </w:rPr>
        <w:t>nd</w:t>
      </w:r>
      <w:r>
        <w:rPr>
          <w:rFonts w:ascii="Times New Roman" w:hAnsi="Times New Roman"/>
          <w:sz w:val="24"/>
          <w:szCs w:val="24"/>
        </w:rPr>
        <w:t xml:space="preserve"> columns of Table 4.1, respectively in levels and percent changes, with the corresponding time series plots and histograms shown in Figure 7.6.  The level of the RESI over the historical period averages 0.73%, with a median of 0.28%, displaying significant departures from normality in terms of right skewness (1.04) and thin-tails (kurtosis of -0.31).   The series is somewhat volatile, displaying a coefficient of variation of 1.</w:t>
      </w:r>
      <w:r w:rsidR="00413367">
        <w:rPr>
          <w:rFonts w:ascii="Times New Roman" w:hAnsi="Times New Roman"/>
          <w:sz w:val="24"/>
          <w:szCs w:val="24"/>
        </w:rPr>
        <w:t>08</w:t>
      </w:r>
      <w:r>
        <w:rPr>
          <w:rFonts w:ascii="Times New Roman" w:hAnsi="Times New Roman"/>
          <w:sz w:val="24"/>
          <w:szCs w:val="24"/>
        </w:rPr>
        <w:t xml:space="preserve">, and ranging from </w:t>
      </w:r>
      <w:r w:rsidR="00413367">
        <w:rPr>
          <w:rFonts w:ascii="Times New Roman" w:hAnsi="Times New Roman"/>
          <w:sz w:val="24"/>
          <w:szCs w:val="24"/>
        </w:rPr>
        <w:t>0</w:t>
      </w:r>
      <w:r>
        <w:rPr>
          <w:rFonts w:ascii="Times New Roman" w:hAnsi="Times New Roman"/>
          <w:sz w:val="24"/>
          <w:szCs w:val="24"/>
        </w:rPr>
        <w:t>.</w:t>
      </w:r>
      <w:r w:rsidR="00413367">
        <w:rPr>
          <w:rFonts w:ascii="Times New Roman" w:hAnsi="Times New Roman"/>
          <w:sz w:val="24"/>
          <w:szCs w:val="24"/>
        </w:rPr>
        <w:t>0</w:t>
      </w:r>
      <w:r>
        <w:rPr>
          <w:rFonts w:ascii="Times New Roman" w:hAnsi="Times New Roman"/>
          <w:sz w:val="24"/>
          <w:szCs w:val="24"/>
        </w:rPr>
        <w:t xml:space="preserve">6% to </w:t>
      </w:r>
      <w:r w:rsidR="00413367">
        <w:rPr>
          <w:rFonts w:ascii="Times New Roman" w:hAnsi="Times New Roman"/>
          <w:sz w:val="24"/>
          <w:szCs w:val="24"/>
        </w:rPr>
        <w:t>2</w:t>
      </w:r>
      <w:r>
        <w:rPr>
          <w:rFonts w:ascii="Times New Roman" w:hAnsi="Times New Roman"/>
          <w:sz w:val="24"/>
          <w:szCs w:val="24"/>
        </w:rPr>
        <w:t>.</w:t>
      </w:r>
      <w:r w:rsidR="00413367">
        <w:rPr>
          <w:rFonts w:ascii="Times New Roman" w:hAnsi="Times New Roman"/>
          <w:sz w:val="24"/>
          <w:szCs w:val="24"/>
        </w:rPr>
        <w:t>7</w:t>
      </w:r>
      <w:r>
        <w:rPr>
          <w:rFonts w:ascii="Times New Roman" w:hAnsi="Times New Roman"/>
          <w:sz w:val="24"/>
          <w:szCs w:val="24"/>
        </w:rPr>
        <w:t>8% over the sample period.  On the other hand, the percent of the R</w:t>
      </w:r>
      <w:r w:rsidR="00413367">
        <w:rPr>
          <w:rFonts w:ascii="Times New Roman" w:hAnsi="Times New Roman"/>
          <w:sz w:val="24"/>
          <w:szCs w:val="24"/>
        </w:rPr>
        <w:t>ESI</w:t>
      </w:r>
      <w:r>
        <w:rPr>
          <w:rFonts w:ascii="Times New Roman" w:hAnsi="Times New Roman"/>
          <w:sz w:val="24"/>
          <w:szCs w:val="24"/>
        </w:rPr>
        <w:t xml:space="preserve"> over the historical period averages </w:t>
      </w:r>
      <w:r w:rsidR="00413367">
        <w:rPr>
          <w:rFonts w:ascii="Times New Roman" w:hAnsi="Times New Roman"/>
          <w:sz w:val="24"/>
          <w:szCs w:val="24"/>
        </w:rPr>
        <w:t>6</w:t>
      </w:r>
      <w:r>
        <w:rPr>
          <w:rFonts w:ascii="Times New Roman" w:hAnsi="Times New Roman"/>
          <w:sz w:val="24"/>
          <w:szCs w:val="24"/>
        </w:rPr>
        <w:t>.</w:t>
      </w:r>
      <w:r w:rsidR="00413367">
        <w:rPr>
          <w:rFonts w:ascii="Times New Roman" w:hAnsi="Times New Roman"/>
          <w:sz w:val="24"/>
          <w:szCs w:val="24"/>
        </w:rPr>
        <w:t>43</w:t>
      </w:r>
      <w:r>
        <w:rPr>
          <w:rFonts w:ascii="Times New Roman" w:hAnsi="Times New Roman"/>
          <w:sz w:val="24"/>
          <w:szCs w:val="24"/>
        </w:rPr>
        <w:t xml:space="preserve">%, with a median of </w:t>
      </w:r>
      <w:r w:rsidR="00413367">
        <w:rPr>
          <w:rFonts w:ascii="Times New Roman" w:hAnsi="Times New Roman"/>
          <w:sz w:val="24"/>
          <w:szCs w:val="24"/>
        </w:rPr>
        <w:t>-1</w:t>
      </w:r>
      <w:r>
        <w:rPr>
          <w:rFonts w:ascii="Times New Roman" w:hAnsi="Times New Roman"/>
          <w:sz w:val="24"/>
          <w:szCs w:val="24"/>
        </w:rPr>
        <w:t>.</w:t>
      </w:r>
      <w:r w:rsidR="00413367">
        <w:rPr>
          <w:rFonts w:ascii="Times New Roman" w:hAnsi="Times New Roman"/>
          <w:sz w:val="24"/>
          <w:szCs w:val="24"/>
        </w:rPr>
        <w:t>31</w:t>
      </w:r>
      <w:r>
        <w:rPr>
          <w:rFonts w:ascii="Times New Roman" w:hAnsi="Times New Roman"/>
          <w:sz w:val="24"/>
          <w:szCs w:val="24"/>
        </w:rPr>
        <w:t xml:space="preserve">%, displaying significant departures from normality in terms of </w:t>
      </w:r>
      <w:r w:rsidR="00413367">
        <w:rPr>
          <w:rFonts w:ascii="Times New Roman" w:hAnsi="Times New Roman"/>
          <w:sz w:val="24"/>
          <w:szCs w:val="24"/>
        </w:rPr>
        <w:t>righ</w:t>
      </w:r>
      <w:r>
        <w:rPr>
          <w:rFonts w:ascii="Times New Roman" w:hAnsi="Times New Roman"/>
          <w:sz w:val="24"/>
          <w:szCs w:val="24"/>
        </w:rPr>
        <w:t>t skewness (</w:t>
      </w:r>
      <w:r w:rsidR="00413367">
        <w:rPr>
          <w:rFonts w:ascii="Times New Roman" w:hAnsi="Times New Roman"/>
          <w:sz w:val="24"/>
          <w:szCs w:val="24"/>
        </w:rPr>
        <w:t>2</w:t>
      </w:r>
      <w:r>
        <w:rPr>
          <w:rFonts w:ascii="Times New Roman" w:hAnsi="Times New Roman"/>
          <w:sz w:val="24"/>
          <w:szCs w:val="24"/>
        </w:rPr>
        <w:t>.0</w:t>
      </w:r>
      <w:r w:rsidR="00413367">
        <w:rPr>
          <w:rFonts w:ascii="Times New Roman" w:hAnsi="Times New Roman"/>
          <w:sz w:val="24"/>
          <w:szCs w:val="24"/>
        </w:rPr>
        <w:t>9</w:t>
      </w:r>
      <w:r>
        <w:rPr>
          <w:rFonts w:ascii="Times New Roman" w:hAnsi="Times New Roman"/>
          <w:sz w:val="24"/>
          <w:szCs w:val="24"/>
        </w:rPr>
        <w:t xml:space="preserve">) and fat-tails (kurtosis of </w:t>
      </w:r>
      <w:r w:rsidR="00413367">
        <w:rPr>
          <w:rFonts w:ascii="Times New Roman" w:hAnsi="Times New Roman"/>
          <w:sz w:val="24"/>
          <w:szCs w:val="24"/>
        </w:rPr>
        <w:t>6</w:t>
      </w:r>
      <w:r>
        <w:rPr>
          <w:rFonts w:ascii="Times New Roman" w:hAnsi="Times New Roman"/>
          <w:sz w:val="24"/>
          <w:szCs w:val="24"/>
        </w:rPr>
        <w:t>.</w:t>
      </w:r>
      <w:r w:rsidR="00413367">
        <w:rPr>
          <w:rFonts w:ascii="Times New Roman" w:hAnsi="Times New Roman"/>
          <w:sz w:val="24"/>
          <w:szCs w:val="24"/>
        </w:rPr>
        <w:t>07</w:t>
      </w:r>
      <w:r>
        <w:rPr>
          <w:rFonts w:ascii="Times New Roman" w:hAnsi="Times New Roman"/>
          <w:sz w:val="24"/>
          <w:szCs w:val="24"/>
        </w:rPr>
        <w:t xml:space="preserve">), </w:t>
      </w:r>
      <w:r w:rsidR="00413367">
        <w:rPr>
          <w:rFonts w:ascii="Times New Roman" w:hAnsi="Times New Roman"/>
          <w:sz w:val="24"/>
          <w:szCs w:val="24"/>
        </w:rPr>
        <w:t xml:space="preserve">well </w:t>
      </w:r>
      <w:r>
        <w:rPr>
          <w:rFonts w:ascii="Times New Roman" w:hAnsi="Times New Roman"/>
          <w:sz w:val="24"/>
          <w:szCs w:val="24"/>
        </w:rPr>
        <w:t xml:space="preserve">in excess of the raw variable.  The percent change of the series is also </w:t>
      </w:r>
      <w:r w:rsidR="00413367">
        <w:rPr>
          <w:rFonts w:ascii="Times New Roman" w:hAnsi="Times New Roman"/>
          <w:sz w:val="24"/>
          <w:szCs w:val="24"/>
        </w:rPr>
        <w:t>rather</w:t>
      </w:r>
      <w:r>
        <w:rPr>
          <w:rFonts w:ascii="Times New Roman" w:hAnsi="Times New Roman"/>
          <w:sz w:val="24"/>
          <w:szCs w:val="24"/>
        </w:rPr>
        <w:t xml:space="preserve"> volatile</w:t>
      </w:r>
      <w:r w:rsidR="00413367">
        <w:rPr>
          <w:rFonts w:ascii="Times New Roman" w:hAnsi="Times New Roman"/>
          <w:sz w:val="24"/>
          <w:szCs w:val="24"/>
        </w:rPr>
        <w:t xml:space="preserve"> in also excess of the raw variable</w:t>
      </w:r>
      <w:r>
        <w:rPr>
          <w:rFonts w:ascii="Times New Roman" w:hAnsi="Times New Roman"/>
          <w:sz w:val="24"/>
          <w:szCs w:val="24"/>
        </w:rPr>
        <w:t xml:space="preserve">, displaying a coefficient of variation of </w:t>
      </w:r>
      <w:r w:rsidR="00413367">
        <w:rPr>
          <w:rFonts w:ascii="Times New Roman" w:hAnsi="Times New Roman"/>
          <w:sz w:val="24"/>
          <w:szCs w:val="24"/>
        </w:rPr>
        <w:t>2.09</w:t>
      </w:r>
      <w:r>
        <w:rPr>
          <w:rFonts w:ascii="Times New Roman" w:hAnsi="Times New Roman"/>
          <w:sz w:val="24"/>
          <w:szCs w:val="24"/>
        </w:rPr>
        <w:t xml:space="preserve"> and ranging from -</w:t>
      </w:r>
      <w:r w:rsidR="00413367">
        <w:rPr>
          <w:rFonts w:ascii="Times New Roman" w:hAnsi="Times New Roman"/>
          <w:sz w:val="24"/>
          <w:szCs w:val="24"/>
        </w:rPr>
        <w:t>61</w:t>
      </w:r>
      <w:r>
        <w:rPr>
          <w:rFonts w:ascii="Times New Roman" w:hAnsi="Times New Roman"/>
          <w:sz w:val="24"/>
          <w:szCs w:val="24"/>
        </w:rPr>
        <w:t>.</w:t>
      </w:r>
      <w:r w:rsidR="00413367">
        <w:rPr>
          <w:rFonts w:ascii="Times New Roman" w:hAnsi="Times New Roman"/>
          <w:sz w:val="24"/>
          <w:szCs w:val="24"/>
        </w:rPr>
        <w:t>8</w:t>
      </w:r>
      <w:r>
        <w:rPr>
          <w:rFonts w:ascii="Times New Roman" w:hAnsi="Times New Roman"/>
          <w:sz w:val="24"/>
          <w:szCs w:val="24"/>
        </w:rPr>
        <w:t>% to 164.</w:t>
      </w:r>
      <w:r w:rsidR="00413367">
        <w:rPr>
          <w:rFonts w:ascii="Times New Roman" w:hAnsi="Times New Roman"/>
          <w:sz w:val="24"/>
          <w:szCs w:val="24"/>
        </w:rPr>
        <w:t>7</w:t>
      </w:r>
      <w:r>
        <w:rPr>
          <w:rFonts w:ascii="Times New Roman" w:hAnsi="Times New Roman"/>
          <w:sz w:val="24"/>
          <w:szCs w:val="24"/>
        </w:rPr>
        <w:t>% over the sample period.</w:t>
      </w:r>
    </w:p>
    <w:p w:rsidR="0097087E" w:rsidRDefault="0097087E" w:rsidP="00B123B4">
      <w:pPr>
        <w:jc w:val="both"/>
        <w:rPr>
          <w:rFonts w:ascii="Times New Roman" w:hAnsi="Times New Roman"/>
          <w:sz w:val="24"/>
          <w:szCs w:val="24"/>
        </w:rPr>
      </w:pPr>
      <w:r>
        <w:rPr>
          <w:rFonts w:ascii="Times New Roman" w:hAnsi="Times New Roman"/>
          <w:sz w:val="24"/>
          <w:szCs w:val="24"/>
        </w:rPr>
        <w:t xml:space="preserve">The summary statistics of CRE are shown in the </w:t>
      </w:r>
      <w:r w:rsidR="00A735DC">
        <w:rPr>
          <w:rFonts w:ascii="Times New Roman" w:hAnsi="Times New Roman"/>
          <w:sz w:val="24"/>
          <w:szCs w:val="24"/>
        </w:rPr>
        <w:t>3</w:t>
      </w:r>
      <w:r w:rsidR="00A735DC">
        <w:rPr>
          <w:rFonts w:ascii="Times New Roman" w:hAnsi="Times New Roman"/>
          <w:sz w:val="24"/>
          <w:szCs w:val="24"/>
          <w:vertAlign w:val="superscript"/>
        </w:rPr>
        <w:t xml:space="preserve">rd </w:t>
      </w:r>
      <w:r>
        <w:rPr>
          <w:rFonts w:ascii="Times New Roman" w:hAnsi="Times New Roman"/>
          <w:sz w:val="24"/>
          <w:szCs w:val="24"/>
        </w:rPr>
        <w:t xml:space="preserve">and </w:t>
      </w:r>
      <w:r w:rsidR="00A735DC">
        <w:rPr>
          <w:rFonts w:ascii="Times New Roman" w:hAnsi="Times New Roman"/>
          <w:sz w:val="24"/>
          <w:szCs w:val="24"/>
        </w:rPr>
        <w:t>4</w:t>
      </w:r>
      <w:r w:rsidR="00A735DC">
        <w:rPr>
          <w:rFonts w:ascii="Times New Roman" w:hAnsi="Times New Roman"/>
          <w:sz w:val="24"/>
          <w:szCs w:val="24"/>
          <w:vertAlign w:val="superscript"/>
        </w:rPr>
        <w:t>th</w:t>
      </w:r>
      <w:r>
        <w:rPr>
          <w:rFonts w:ascii="Times New Roman" w:hAnsi="Times New Roman"/>
          <w:sz w:val="24"/>
          <w:szCs w:val="24"/>
        </w:rPr>
        <w:t xml:space="preserve"> columns of Table 4.1, respectively in levels and percent changes, with the corresponding time series plots and histograms shown in Figure 7.</w:t>
      </w:r>
      <w:r w:rsidR="00A735DC">
        <w:rPr>
          <w:rFonts w:ascii="Times New Roman" w:hAnsi="Times New Roman"/>
          <w:sz w:val="24"/>
          <w:szCs w:val="24"/>
        </w:rPr>
        <w:t>7</w:t>
      </w:r>
      <w:r>
        <w:rPr>
          <w:rFonts w:ascii="Times New Roman" w:hAnsi="Times New Roman"/>
          <w:sz w:val="24"/>
          <w:szCs w:val="24"/>
        </w:rPr>
        <w:t xml:space="preserve">.  The level of the </w:t>
      </w:r>
      <w:r w:rsidR="00A735DC">
        <w:rPr>
          <w:rFonts w:ascii="Times New Roman" w:hAnsi="Times New Roman"/>
          <w:sz w:val="24"/>
          <w:szCs w:val="24"/>
        </w:rPr>
        <w:t>CRE</w:t>
      </w:r>
      <w:r>
        <w:rPr>
          <w:rFonts w:ascii="Times New Roman" w:hAnsi="Times New Roman"/>
          <w:sz w:val="24"/>
          <w:szCs w:val="24"/>
        </w:rPr>
        <w:t xml:space="preserve"> over the historical period averages 0.</w:t>
      </w:r>
      <w:r w:rsidR="00A735DC">
        <w:rPr>
          <w:rFonts w:ascii="Times New Roman" w:hAnsi="Times New Roman"/>
          <w:sz w:val="24"/>
          <w:szCs w:val="24"/>
        </w:rPr>
        <w:t>61</w:t>
      </w:r>
      <w:r>
        <w:rPr>
          <w:rFonts w:ascii="Times New Roman" w:hAnsi="Times New Roman"/>
          <w:sz w:val="24"/>
          <w:szCs w:val="24"/>
        </w:rPr>
        <w:t>%, with a median of 0.</w:t>
      </w:r>
      <w:r w:rsidR="00A735DC">
        <w:rPr>
          <w:rFonts w:ascii="Times New Roman" w:hAnsi="Times New Roman"/>
          <w:sz w:val="24"/>
          <w:szCs w:val="24"/>
        </w:rPr>
        <w:t>14</w:t>
      </w:r>
      <w:r>
        <w:rPr>
          <w:rFonts w:ascii="Times New Roman" w:hAnsi="Times New Roman"/>
          <w:sz w:val="24"/>
          <w:szCs w:val="24"/>
        </w:rPr>
        <w:t>%, displaying significant departures from normality in terms of right skewness (1.</w:t>
      </w:r>
      <w:r w:rsidR="00A735DC">
        <w:rPr>
          <w:rFonts w:ascii="Times New Roman" w:hAnsi="Times New Roman"/>
          <w:sz w:val="24"/>
          <w:szCs w:val="24"/>
        </w:rPr>
        <w:t>36</w:t>
      </w:r>
      <w:r>
        <w:rPr>
          <w:rFonts w:ascii="Times New Roman" w:hAnsi="Times New Roman"/>
          <w:sz w:val="24"/>
          <w:szCs w:val="24"/>
        </w:rPr>
        <w:t>) and thin-tails (kurtosis of 0.</w:t>
      </w:r>
      <w:r w:rsidR="00A735DC">
        <w:rPr>
          <w:rFonts w:ascii="Times New Roman" w:hAnsi="Times New Roman"/>
          <w:sz w:val="24"/>
          <w:szCs w:val="24"/>
        </w:rPr>
        <w:t>79</w:t>
      </w:r>
      <w:r>
        <w:rPr>
          <w:rFonts w:ascii="Times New Roman" w:hAnsi="Times New Roman"/>
          <w:sz w:val="24"/>
          <w:szCs w:val="24"/>
        </w:rPr>
        <w:t>).   The series is somewhat volatile, displaying a coefficient of variation of 1.</w:t>
      </w:r>
      <w:r w:rsidR="00A735DC">
        <w:rPr>
          <w:rFonts w:ascii="Times New Roman" w:hAnsi="Times New Roman"/>
          <w:sz w:val="24"/>
          <w:szCs w:val="24"/>
        </w:rPr>
        <w:t>45</w:t>
      </w:r>
      <w:r>
        <w:rPr>
          <w:rFonts w:ascii="Times New Roman" w:hAnsi="Times New Roman"/>
          <w:sz w:val="24"/>
          <w:szCs w:val="24"/>
        </w:rPr>
        <w:t>, and ranging from 0.0</w:t>
      </w:r>
      <w:r w:rsidR="00A735DC">
        <w:rPr>
          <w:rFonts w:ascii="Times New Roman" w:hAnsi="Times New Roman"/>
          <w:sz w:val="24"/>
          <w:szCs w:val="24"/>
        </w:rPr>
        <w:t>1</w:t>
      </w:r>
      <w:r>
        <w:rPr>
          <w:rFonts w:ascii="Times New Roman" w:hAnsi="Times New Roman"/>
          <w:sz w:val="24"/>
          <w:szCs w:val="24"/>
        </w:rPr>
        <w:t>% to 2.</w:t>
      </w:r>
      <w:r w:rsidR="00A735DC">
        <w:rPr>
          <w:rFonts w:ascii="Times New Roman" w:hAnsi="Times New Roman"/>
          <w:sz w:val="24"/>
          <w:szCs w:val="24"/>
        </w:rPr>
        <w:t>95</w:t>
      </w:r>
      <w:r>
        <w:rPr>
          <w:rFonts w:ascii="Times New Roman" w:hAnsi="Times New Roman"/>
          <w:sz w:val="24"/>
          <w:szCs w:val="24"/>
        </w:rPr>
        <w:t xml:space="preserve">% over the sample period.  On the other hand, the percent of the </w:t>
      </w:r>
      <w:r w:rsidR="00A735DC">
        <w:rPr>
          <w:rFonts w:ascii="Times New Roman" w:hAnsi="Times New Roman"/>
          <w:sz w:val="24"/>
          <w:szCs w:val="24"/>
        </w:rPr>
        <w:t>CRE</w:t>
      </w:r>
      <w:r>
        <w:rPr>
          <w:rFonts w:ascii="Times New Roman" w:hAnsi="Times New Roman"/>
          <w:sz w:val="24"/>
          <w:szCs w:val="24"/>
        </w:rPr>
        <w:t xml:space="preserve"> over the historical period averages </w:t>
      </w:r>
      <w:r w:rsidR="00A735DC">
        <w:rPr>
          <w:rFonts w:ascii="Times New Roman" w:hAnsi="Times New Roman"/>
          <w:sz w:val="24"/>
          <w:szCs w:val="24"/>
        </w:rPr>
        <w:t>10</w:t>
      </w:r>
      <w:r>
        <w:rPr>
          <w:rFonts w:ascii="Times New Roman" w:hAnsi="Times New Roman"/>
          <w:sz w:val="24"/>
          <w:szCs w:val="24"/>
        </w:rPr>
        <w:t>.</w:t>
      </w:r>
      <w:r w:rsidR="00A735DC">
        <w:rPr>
          <w:rFonts w:ascii="Times New Roman" w:hAnsi="Times New Roman"/>
          <w:sz w:val="24"/>
          <w:szCs w:val="24"/>
        </w:rPr>
        <w:t>10</w:t>
      </w:r>
      <w:r>
        <w:rPr>
          <w:rFonts w:ascii="Times New Roman" w:hAnsi="Times New Roman"/>
          <w:sz w:val="24"/>
          <w:szCs w:val="24"/>
        </w:rPr>
        <w:t>%, with a median of -</w:t>
      </w:r>
      <w:r w:rsidR="00A735DC">
        <w:rPr>
          <w:rFonts w:ascii="Times New Roman" w:hAnsi="Times New Roman"/>
          <w:sz w:val="24"/>
          <w:szCs w:val="24"/>
        </w:rPr>
        <w:t>7</w:t>
      </w:r>
      <w:r>
        <w:rPr>
          <w:rFonts w:ascii="Times New Roman" w:hAnsi="Times New Roman"/>
          <w:sz w:val="24"/>
          <w:szCs w:val="24"/>
        </w:rPr>
        <w:t>.1</w:t>
      </w:r>
      <w:r w:rsidR="00A735DC">
        <w:rPr>
          <w:rFonts w:ascii="Times New Roman" w:hAnsi="Times New Roman"/>
          <w:sz w:val="24"/>
          <w:szCs w:val="24"/>
        </w:rPr>
        <w:t>8</w:t>
      </w:r>
      <w:r>
        <w:rPr>
          <w:rFonts w:ascii="Times New Roman" w:hAnsi="Times New Roman"/>
          <w:sz w:val="24"/>
          <w:szCs w:val="24"/>
        </w:rPr>
        <w:t>%, displaying significant departures from normality in terms of right skewness (</w:t>
      </w:r>
      <w:r w:rsidR="00A735DC">
        <w:rPr>
          <w:rFonts w:ascii="Times New Roman" w:hAnsi="Times New Roman"/>
          <w:sz w:val="24"/>
          <w:szCs w:val="24"/>
        </w:rPr>
        <w:t>7</w:t>
      </w:r>
      <w:r>
        <w:rPr>
          <w:rFonts w:ascii="Times New Roman" w:hAnsi="Times New Roman"/>
          <w:sz w:val="24"/>
          <w:szCs w:val="24"/>
        </w:rPr>
        <w:t>.0</w:t>
      </w:r>
      <w:r w:rsidR="00A735DC">
        <w:rPr>
          <w:rFonts w:ascii="Times New Roman" w:hAnsi="Times New Roman"/>
          <w:sz w:val="24"/>
          <w:szCs w:val="24"/>
        </w:rPr>
        <w:t>2</w:t>
      </w:r>
      <w:r>
        <w:rPr>
          <w:rFonts w:ascii="Times New Roman" w:hAnsi="Times New Roman"/>
          <w:sz w:val="24"/>
          <w:szCs w:val="24"/>
        </w:rPr>
        <w:t xml:space="preserve">) and fat-tails (kurtosis of </w:t>
      </w:r>
      <w:r w:rsidR="00A735DC">
        <w:rPr>
          <w:rFonts w:ascii="Times New Roman" w:hAnsi="Times New Roman"/>
          <w:sz w:val="24"/>
          <w:szCs w:val="24"/>
        </w:rPr>
        <w:t>15</w:t>
      </w:r>
      <w:r>
        <w:rPr>
          <w:rFonts w:ascii="Times New Roman" w:hAnsi="Times New Roman"/>
          <w:sz w:val="24"/>
          <w:szCs w:val="24"/>
        </w:rPr>
        <w:t>.</w:t>
      </w:r>
      <w:r w:rsidR="00A735DC">
        <w:rPr>
          <w:rFonts w:ascii="Times New Roman" w:hAnsi="Times New Roman"/>
          <w:sz w:val="24"/>
          <w:szCs w:val="24"/>
        </w:rPr>
        <w:t>6</w:t>
      </w:r>
      <w:r>
        <w:rPr>
          <w:rFonts w:ascii="Times New Roman" w:hAnsi="Times New Roman"/>
          <w:sz w:val="24"/>
          <w:szCs w:val="24"/>
        </w:rPr>
        <w:t xml:space="preserve">7), well in excess of the raw variable.  The percent change of the series is also rather volatile in also excess of the raw variable, displaying a coefficient of variation of </w:t>
      </w:r>
      <w:r w:rsidR="00A735DC">
        <w:rPr>
          <w:rFonts w:ascii="Times New Roman" w:hAnsi="Times New Roman"/>
          <w:sz w:val="24"/>
          <w:szCs w:val="24"/>
        </w:rPr>
        <w:t>7</w:t>
      </w:r>
      <w:r>
        <w:rPr>
          <w:rFonts w:ascii="Times New Roman" w:hAnsi="Times New Roman"/>
          <w:sz w:val="24"/>
          <w:szCs w:val="24"/>
        </w:rPr>
        <w:t>.0</w:t>
      </w:r>
      <w:r w:rsidR="00A735DC">
        <w:rPr>
          <w:rFonts w:ascii="Times New Roman" w:hAnsi="Times New Roman"/>
          <w:sz w:val="24"/>
          <w:szCs w:val="24"/>
        </w:rPr>
        <w:t>2</w:t>
      </w:r>
      <w:r>
        <w:rPr>
          <w:rFonts w:ascii="Times New Roman" w:hAnsi="Times New Roman"/>
          <w:sz w:val="24"/>
          <w:szCs w:val="24"/>
        </w:rPr>
        <w:t xml:space="preserve"> and ranging from -</w:t>
      </w:r>
      <w:r w:rsidR="00A735DC">
        <w:rPr>
          <w:rFonts w:ascii="Times New Roman" w:hAnsi="Times New Roman"/>
          <w:sz w:val="24"/>
          <w:szCs w:val="24"/>
        </w:rPr>
        <w:t>80</w:t>
      </w:r>
      <w:r>
        <w:rPr>
          <w:rFonts w:ascii="Times New Roman" w:hAnsi="Times New Roman"/>
          <w:sz w:val="24"/>
          <w:szCs w:val="24"/>
        </w:rPr>
        <w:t>.</w:t>
      </w:r>
      <w:r w:rsidR="00A735DC">
        <w:rPr>
          <w:rFonts w:ascii="Times New Roman" w:hAnsi="Times New Roman"/>
          <w:sz w:val="24"/>
          <w:szCs w:val="24"/>
        </w:rPr>
        <w:t>0</w:t>
      </w:r>
      <w:r>
        <w:rPr>
          <w:rFonts w:ascii="Times New Roman" w:hAnsi="Times New Roman"/>
          <w:sz w:val="24"/>
          <w:szCs w:val="24"/>
        </w:rPr>
        <w:t xml:space="preserve">% to </w:t>
      </w:r>
      <w:r w:rsidR="00A735DC">
        <w:rPr>
          <w:rFonts w:ascii="Times New Roman" w:hAnsi="Times New Roman"/>
          <w:sz w:val="24"/>
          <w:szCs w:val="24"/>
        </w:rPr>
        <w:t>400</w:t>
      </w:r>
      <w:r>
        <w:rPr>
          <w:rFonts w:ascii="Times New Roman" w:hAnsi="Times New Roman"/>
          <w:sz w:val="24"/>
          <w:szCs w:val="24"/>
        </w:rPr>
        <w:t>.</w:t>
      </w:r>
      <w:r w:rsidR="00A735DC">
        <w:rPr>
          <w:rFonts w:ascii="Times New Roman" w:hAnsi="Times New Roman"/>
          <w:sz w:val="24"/>
          <w:szCs w:val="24"/>
        </w:rPr>
        <w:t>0</w:t>
      </w:r>
      <w:r>
        <w:rPr>
          <w:rFonts w:ascii="Times New Roman" w:hAnsi="Times New Roman"/>
          <w:sz w:val="24"/>
          <w:szCs w:val="24"/>
        </w:rPr>
        <w:t>% over the sample period.</w:t>
      </w:r>
    </w:p>
    <w:p w:rsidR="004924DE" w:rsidRDefault="004924DE" w:rsidP="00B123B4">
      <w:pPr>
        <w:jc w:val="both"/>
        <w:rPr>
          <w:rFonts w:ascii="Times New Roman" w:hAnsi="Times New Roman"/>
          <w:b/>
          <w:sz w:val="24"/>
          <w:szCs w:val="24"/>
        </w:rPr>
      </w:pPr>
      <w:r>
        <w:rPr>
          <w:rFonts w:ascii="Times New Roman" w:hAnsi="Times New Roman"/>
          <w:sz w:val="24"/>
          <w:szCs w:val="24"/>
        </w:rPr>
        <w:t>The summary statistics of CONS are shown in the 5</w:t>
      </w:r>
      <w:r>
        <w:rPr>
          <w:rFonts w:ascii="Times New Roman" w:hAnsi="Times New Roman"/>
          <w:sz w:val="24"/>
          <w:szCs w:val="24"/>
          <w:vertAlign w:val="superscript"/>
        </w:rPr>
        <w:t xml:space="preserve">th </w:t>
      </w:r>
      <w:r>
        <w:rPr>
          <w:rFonts w:ascii="Times New Roman" w:hAnsi="Times New Roman"/>
          <w:sz w:val="24"/>
          <w:szCs w:val="24"/>
        </w:rPr>
        <w:t>and 6</w:t>
      </w:r>
      <w:r>
        <w:rPr>
          <w:rFonts w:ascii="Times New Roman" w:hAnsi="Times New Roman"/>
          <w:sz w:val="24"/>
          <w:szCs w:val="24"/>
          <w:vertAlign w:val="superscript"/>
        </w:rPr>
        <w:t>th</w:t>
      </w:r>
      <w:r>
        <w:rPr>
          <w:rFonts w:ascii="Times New Roman" w:hAnsi="Times New Roman"/>
          <w:sz w:val="24"/>
          <w:szCs w:val="24"/>
        </w:rPr>
        <w:t xml:space="preserve"> columns of Table 4.1, respectively in levels and percent changes, with the corresponding time series plots and histograms shown in Figure 7.8.  The level of the CONS over the historical period averages 3.04%, with a median of 2.72%, displaying significant departures from normality in terms of right skewness (1.51) and thin-tails (kurtosis of 1.79).   The series is somewhat volatile, displaying a coefficient of variation of 0.40, and ranging from 1.74% to 6.72% over the sample period.  On the other hand, the percent of the CONS over the historical period averages 0.18%, with a median of -0.62%, displaying significant departures from normality in terms of </w:t>
      </w:r>
      <w:r w:rsidR="00013E13">
        <w:rPr>
          <w:rFonts w:ascii="Times New Roman" w:hAnsi="Times New Roman"/>
          <w:sz w:val="24"/>
          <w:szCs w:val="24"/>
        </w:rPr>
        <w:t>righ</w:t>
      </w:r>
      <w:r>
        <w:rPr>
          <w:rFonts w:ascii="Times New Roman" w:hAnsi="Times New Roman"/>
          <w:sz w:val="24"/>
          <w:szCs w:val="24"/>
        </w:rPr>
        <w:t>t skewness (0.59) and fat-tails (kurtosis of 1.79), well in excess of the raw variable.  The percent change of the series is also rather volatile in also excess of the raw variable, displaying a coefficient of variation of 64.23 and ranging from -42.11% to 29.54% over the sample period.</w:t>
      </w:r>
    </w:p>
    <w:p w:rsidR="00042DA8" w:rsidRDefault="00042DA8" w:rsidP="00042DA8">
      <w:pPr>
        <w:jc w:val="both"/>
        <w:rPr>
          <w:rFonts w:ascii="Times New Roman" w:hAnsi="Times New Roman"/>
          <w:b/>
          <w:sz w:val="24"/>
          <w:szCs w:val="24"/>
        </w:rPr>
      </w:pPr>
      <w:r>
        <w:rPr>
          <w:rFonts w:ascii="Times New Roman" w:hAnsi="Times New Roman"/>
          <w:sz w:val="24"/>
          <w:szCs w:val="24"/>
        </w:rPr>
        <w:lastRenderedPageBreak/>
        <w:t>The summary statistics of CN</w:t>
      </w:r>
      <w:r w:rsidR="00CE5262">
        <w:rPr>
          <w:rFonts w:ascii="Times New Roman" w:hAnsi="Times New Roman"/>
          <w:sz w:val="24"/>
          <w:szCs w:val="24"/>
        </w:rPr>
        <w:t>I</w:t>
      </w:r>
      <w:r>
        <w:rPr>
          <w:rFonts w:ascii="Times New Roman" w:hAnsi="Times New Roman"/>
          <w:sz w:val="24"/>
          <w:szCs w:val="24"/>
        </w:rPr>
        <w:t xml:space="preserve"> are shown in the </w:t>
      </w:r>
      <w:r w:rsidR="00CE5262">
        <w:rPr>
          <w:rFonts w:ascii="Times New Roman" w:hAnsi="Times New Roman"/>
          <w:sz w:val="24"/>
          <w:szCs w:val="24"/>
        </w:rPr>
        <w:t>7</w:t>
      </w:r>
      <w:r>
        <w:rPr>
          <w:rFonts w:ascii="Times New Roman" w:hAnsi="Times New Roman"/>
          <w:sz w:val="24"/>
          <w:szCs w:val="24"/>
          <w:vertAlign w:val="superscript"/>
        </w:rPr>
        <w:t xml:space="preserve">th </w:t>
      </w:r>
      <w:r>
        <w:rPr>
          <w:rFonts w:ascii="Times New Roman" w:hAnsi="Times New Roman"/>
          <w:sz w:val="24"/>
          <w:szCs w:val="24"/>
        </w:rPr>
        <w:t xml:space="preserve">and </w:t>
      </w:r>
      <w:r w:rsidR="00CE5262">
        <w:rPr>
          <w:rFonts w:ascii="Times New Roman" w:hAnsi="Times New Roman"/>
          <w:sz w:val="24"/>
          <w:szCs w:val="24"/>
        </w:rPr>
        <w:t>8</w:t>
      </w:r>
      <w:r>
        <w:rPr>
          <w:rFonts w:ascii="Times New Roman" w:hAnsi="Times New Roman"/>
          <w:sz w:val="24"/>
          <w:szCs w:val="24"/>
          <w:vertAlign w:val="superscript"/>
        </w:rPr>
        <w:t>th</w:t>
      </w:r>
      <w:r>
        <w:rPr>
          <w:rFonts w:ascii="Times New Roman" w:hAnsi="Times New Roman"/>
          <w:sz w:val="24"/>
          <w:szCs w:val="24"/>
        </w:rPr>
        <w:t xml:space="preserve"> columns of Table 4.1, respectively in levels and percent changes, with the corresponding time series plots and histograms shown in Figure 7.</w:t>
      </w:r>
      <w:r w:rsidR="00CE5262">
        <w:rPr>
          <w:rFonts w:ascii="Times New Roman" w:hAnsi="Times New Roman"/>
          <w:sz w:val="24"/>
          <w:szCs w:val="24"/>
        </w:rPr>
        <w:t>9</w:t>
      </w:r>
      <w:r>
        <w:rPr>
          <w:rFonts w:ascii="Times New Roman" w:hAnsi="Times New Roman"/>
          <w:sz w:val="24"/>
          <w:szCs w:val="24"/>
        </w:rPr>
        <w:t>.  The level of the C</w:t>
      </w:r>
      <w:r w:rsidR="00BA259B">
        <w:rPr>
          <w:rFonts w:ascii="Times New Roman" w:hAnsi="Times New Roman"/>
          <w:sz w:val="24"/>
          <w:szCs w:val="24"/>
        </w:rPr>
        <w:t>NI</w:t>
      </w:r>
      <w:r>
        <w:rPr>
          <w:rFonts w:ascii="Times New Roman" w:hAnsi="Times New Roman"/>
          <w:sz w:val="24"/>
          <w:szCs w:val="24"/>
        </w:rPr>
        <w:t xml:space="preserve"> over the historical period averages </w:t>
      </w:r>
      <w:r w:rsidR="00BA259B">
        <w:rPr>
          <w:rFonts w:ascii="Times New Roman" w:hAnsi="Times New Roman"/>
          <w:sz w:val="24"/>
          <w:szCs w:val="24"/>
        </w:rPr>
        <w:t>0</w:t>
      </w:r>
      <w:r>
        <w:rPr>
          <w:rFonts w:ascii="Times New Roman" w:hAnsi="Times New Roman"/>
          <w:sz w:val="24"/>
          <w:szCs w:val="24"/>
        </w:rPr>
        <w:t>.</w:t>
      </w:r>
      <w:r w:rsidR="00BA259B">
        <w:rPr>
          <w:rFonts w:ascii="Times New Roman" w:hAnsi="Times New Roman"/>
          <w:sz w:val="24"/>
          <w:szCs w:val="24"/>
        </w:rPr>
        <w:t>87</w:t>
      </w:r>
      <w:r>
        <w:rPr>
          <w:rFonts w:ascii="Times New Roman" w:hAnsi="Times New Roman"/>
          <w:sz w:val="24"/>
          <w:szCs w:val="24"/>
        </w:rPr>
        <w:t xml:space="preserve">%, with a median of </w:t>
      </w:r>
      <w:r w:rsidR="00BA259B">
        <w:rPr>
          <w:rFonts w:ascii="Times New Roman" w:hAnsi="Times New Roman"/>
          <w:sz w:val="24"/>
          <w:szCs w:val="24"/>
        </w:rPr>
        <w:t>0</w:t>
      </w:r>
      <w:r>
        <w:rPr>
          <w:rFonts w:ascii="Times New Roman" w:hAnsi="Times New Roman"/>
          <w:sz w:val="24"/>
          <w:szCs w:val="24"/>
        </w:rPr>
        <w:t>.</w:t>
      </w:r>
      <w:r w:rsidR="00BA259B">
        <w:rPr>
          <w:rFonts w:ascii="Times New Roman" w:hAnsi="Times New Roman"/>
          <w:sz w:val="24"/>
          <w:szCs w:val="24"/>
        </w:rPr>
        <w:t>6</w:t>
      </w:r>
      <w:r>
        <w:rPr>
          <w:rFonts w:ascii="Times New Roman" w:hAnsi="Times New Roman"/>
          <w:sz w:val="24"/>
          <w:szCs w:val="24"/>
        </w:rPr>
        <w:t>2%, displaying significant departures from normality in terms of right skewness (</w:t>
      </w:r>
      <w:r w:rsidR="00BA259B">
        <w:rPr>
          <w:rFonts w:ascii="Times New Roman" w:hAnsi="Times New Roman"/>
          <w:sz w:val="24"/>
          <w:szCs w:val="24"/>
        </w:rPr>
        <w:t>0</w:t>
      </w:r>
      <w:r>
        <w:rPr>
          <w:rFonts w:ascii="Times New Roman" w:hAnsi="Times New Roman"/>
          <w:sz w:val="24"/>
          <w:szCs w:val="24"/>
        </w:rPr>
        <w:t>.</w:t>
      </w:r>
      <w:r w:rsidR="00BA259B">
        <w:rPr>
          <w:rFonts w:ascii="Times New Roman" w:hAnsi="Times New Roman"/>
          <w:sz w:val="24"/>
          <w:szCs w:val="24"/>
        </w:rPr>
        <w:t>92</w:t>
      </w:r>
      <w:r>
        <w:rPr>
          <w:rFonts w:ascii="Times New Roman" w:hAnsi="Times New Roman"/>
          <w:sz w:val="24"/>
          <w:szCs w:val="24"/>
        </w:rPr>
        <w:t xml:space="preserve">) and thin-tails (kurtosis of </w:t>
      </w:r>
      <w:r w:rsidR="00BA259B">
        <w:rPr>
          <w:rFonts w:ascii="Times New Roman" w:hAnsi="Times New Roman"/>
          <w:sz w:val="24"/>
          <w:szCs w:val="24"/>
        </w:rPr>
        <w:t>-2</w:t>
      </w:r>
      <w:r>
        <w:rPr>
          <w:rFonts w:ascii="Times New Roman" w:hAnsi="Times New Roman"/>
          <w:sz w:val="24"/>
          <w:szCs w:val="24"/>
        </w:rPr>
        <w:t>.</w:t>
      </w:r>
      <w:r w:rsidR="00BA259B">
        <w:rPr>
          <w:rFonts w:ascii="Times New Roman" w:hAnsi="Times New Roman"/>
          <w:sz w:val="24"/>
          <w:szCs w:val="24"/>
        </w:rPr>
        <w:t>2</w:t>
      </w:r>
      <w:r>
        <w:rPr>
          <w:rFonts w:ascii="Times New Roman" w:hAnsi="Times New Roman"/>
          <w:sz w:val="24"/>
          <w:szCs w:val="24"/>
        </w:rPr>
        <w:t>7).   The series is somewhat volatile, displaying a coefficient of variation of 0.</w:t>
      </w:r>
      <w:r w:rsidR="00224BB0">
        <w:rPr>
          <w:rFonts w:ascii="Times New Roman" w:hAnsi="Times New Roman"/>
          <w:sz w:val="24"/>
          <w:szCs w:val="24"/>
        </w:rPr>
        <w:t>78</w:t>
      </w:r>
      <w:r>
        <w:rPr>
          <w:rFonts w:ascii="Times New Roman" w:hAnsi="Times New Roman"/>
          <w:sz w:val="24"/>
          <w:szCs w:val="24"/>
        </w:rPr>
        <w:t xml:space="preserve">, and ranging from </w:t>
      </w:r>
      <w:r w:rsidR="00224BB0">
        <w:rPr>
          <w:rFonts w:ascii="Times New Roman" w:hAnsi="Times New Roman"/>
          <w:sz w:val="24"/>
          <w:szCs w:val="24"/>
        </w:rPr>
        <w:t>0</w:t>
      </w:r>
      <w:r>
        <w:rPr>
          <w:rFonts w:ascii="Times New Roman" w:hAnsi="Times New Roman"/>
          <w:sz w:val="24"/>
          <w:szCs w:val="24"/>
        </w:rPr>
        <w:t>.</w:t>
      </w:r>
      <w:r w:rsidR="00224BB0">
        <w:rPr>
          <w:rFonts w:ascii="Times New Roman" w:hAnsi="Times New Roman"/>
          <w:sz w:val="24"/>
          <w:szCs w:val="24"/>
        </w:rPr>
        <w:t>18</w:t>
      </w:r>
      <w:r>
        <w:rPr>
          <w:rFonts w:ascii="Times New Roman" w:hAnsi="Times New Roman"/>
          <w:sz w:val="24"/>
          <w:szCs w:val="24"/>
        </w:rPr>
        <w:t xml:space="preserve">% to </w:t>
      </w:r>
      <w:r w:rsidR="00224BB0">
        <w:rPr>
          <w:rFonts w:ascii="Times New Roman" w:hAnsi="Times New Roman"/>
          <w:sz w:val="24"/>
          <w:szCs w:val="24"/>
        </w:rPr>
        <w:t>2</w:t>
      </w:r>
      <w:r>
        <w:rPr>
          <w:rFonts w:ascii="Times New Roman" w:hAnsi="Times New Roman"/>
          <w:sz w:val="24"/>
          <w:szCs w:val="24"/>
        </w:rPr>
        <w:t>.</w:t>
      </w:r>
      <w:r w:rsidR="00224BB0">
        <w:rPr>
          <w:rFonts w:ascii="Times New Roman" w:hAnsi="Times New Roman"/>
          <w:sz w:val="24"/>
          <w:szCs w:val="24"/>
        </w:rPr>
        <w:t>53</w:t>
      </w:r>
      <w:r>
        <w:rPr>
          <w:rFonts w:ascii="Times New Roman" w:hAnsi="Times New Roman"/>
          <w:sz w:val="24"/>
          <w:szCs w:val="24"/>
        </w:rPr>
        <w:t>% over the sample period.  On the other hand, the percent of the C</w:t>
      </w:r>
      <w:r w:rsidR="00013E13">
        <w:rPr>
          <w:rFonts w:ascii="Times New Roman" w:hAnsi="Times New Roman"/>
          <w:sz w:val="24"/>
          <w:szCs w:val="24"/>
        </w:rPr>
        <w:t>NI</w:t>
      </w:r>
      <w:r>
        <w:rPr>
          <w:rFonts w:ascii="Times New Roman" w:hAnsi="Times New Roman"/>
          <w:sz w:val="24"/>
          <w:szCs w:val="24"/>
        </w:rPr>
        <w:t xml:space="preserve"> over the historical period averages 0.</w:t>
      </w:r>
      <w:r w:rsidR="00013E13">
        <w:rPr>
          <w:rFonts w:ascii="Times New Roman" w:hAnsi="Times New Roman"/>
          <w:sz w:val="24"/>
          <w:szCs w:val="24"/>
        </w:rPr>
        <w:t>07</w:t>
      </w:r>
      <w:r>
        <w:rPr>
          <w:rFonts w:ascii="Times New Roman" w:hAnsi="Times New Roman"/>
          <w:sz w:val="24"/>
          <w:szCs w:val="24"/>
        </w:rPr>
        <w:t>8%, with a median of -</w:t>
      </w:r>
      <w:r w:rsidR="00013E13">
        <w:rPr>
          <w:rFonts w:ascii="Times New Roman" w:hAnsi="Times New Roman"/>
          <w:sz w:val="24"/>
          <w:szCs w:val="24"/>
        </w:rPr>
        <w:t>3</w:t>
      </w:r>
      <w:r>
        <w:rPr>
          <w:rFonts w:ascii="Times New Roman" w:hAnsi="Times New Roman"/>
          <w:sz w:val="24"/>
          <w:szCs w:val="24"/>
        </w:rPr>
        <w:t>.</w:t>
      </w:r>
      <w:r w:rsidR="00013E13">
        <w:rPr>
          <w:rFonts w:ascii="Times New Roman" w:hAnsi="Times New Roman"/>
          <w:sz w:val="24"/>
          <w:szCs w:val="24"/>
        </w:rPr>
        <w:t>95</w:t>
      </w:r>
      <w:r>
        <w:rPr>
          <w:rFonts w:ascii="Times New Roman" w:hAnsi="Times New Roman"/>
          <w:sz w:val="24"/>
          <w:szCs w:val="24"/>
        </w:rPr>
        <w:t xml:space="preserve">%, displaying significant departures from normality in terms of </w:t>
      </w:r>
      <w:r w:rsidR="00013E13">
        <w:rPr>
          <w:rFonts w:ascii="Times New Roman" w:hAnsi="Times New Roman"/>
          <w:sz w:val="24"/>
          <w:szCs w:val="24"/>
        </w:rPr>
        <w:t>righ</w:t>
      </w:r>
      <w:r>
        <w:rPr>
          <w:rFonts w:ascii="Times New Roman" w:hAnsi="Times New Roman"/>
          <w:sz w:val="24"/>
          <w:szCs w:val="24"/>
        </w:rPr>
        <w:t>t skewness (0.</w:t>
      </w:r>
      <w:r w:rsidR="00013E13">
        <w:rPr>
          <w:rFonts w:ascii="Times New Roman" w:hAnsi="Times New Roman"/>
          <w:sz w:val="24"/>
          <w:szCs w:val="24"/>
        </w:rPr>
        <w:t>80</w:t>
      </w:r>
      <w:r>
        <w:rPr>
          <w:rFonts w:ascii="Times New Roman" w:hAnsi="Times New Roman"/>
          <w:sz w:val="24"/>
          <w:szCs w:val="24"/>
        </w:rPr>
        <w:t xml:space="preserve">) and fat-tails (kurtosis of </w:t>
      </w:r>
      <w:r w:rsidR="00013E13">
        <w:rPr>
          <w:rFonts w:ascii="Times New Roman" w:hAnsi="Times New Roman"/>
          <w:sz w:val="24"/>
          <w:szCs w:val="24"/>
        </w:rPr>
        <w:t>0</w:t>
      </w:r>
      <w:r>
        <w:rPr>
          <w:rFonts w:ascii="Times New Roman" w:hAnsi="Times New Roman"/>
          <w:sz w:val="24"/>
          <w:szCs w:val="24"/>
        </w:rPr>
        <w:t>.</w:t>
      </w:r>
      <w:r w:rsidR="00013E13">
        <w:rPr>
          <w:rFonts w:ascii="Times New Roman" w:hAnsi="Times New Roman"/>
          <w:sz w:val="24"/>
          <w:szCs w:val="24"/>
        </w:rPr>
        <w:t>21</w:t>
      </w:r>
      <w:r>
        <w:rPr>
          <w:rFonts w:ascii="Times New Roman" w:hAnsi="Times New Roman"/>
          <w:sz w:val="24"/>
          <w:szCs w:val="24"/>
        </w:rPr>
        <w:t xml:space="preserve">), well in excess of the raw variable.  The percent change of the series is also rather volatile in also excess of the raw variable, displaying a coefficient of variation of </w:t>
      </w:r>
      <w:r w:rsidR="00013E13">
        <w:rPr>
          <w:rFonts w:ascii="Times New Roman" w:hAnsi="Times New Roman"/>
          <w:sz w:val="24"/>
          <w:szCs w:val="24"/>
        </w:rPr>
        <w:t>0</w:t>
      </w:r>
      <w:r>
        <w:rPr>
          <w:rFonts w:ascii="Times New Roman" w:hAnsi="Times New Roman"/>
          <w:sz w:val="24"/>
          <w:szCs w:val="24"/>
        </w:rPr>
        <w:t>.</w:t>
      </w:r>
      <w:r w:rsidR="00013E13">
        <w:rPr>
          <w:rFonts w:ascii="Times New Roman" w:hAnsi="Times New Roman"/>
          <w:sz w:val="24"/>
          <w:szCs w:val="24"/>
        </w:rPr>
        <w:t>80</w:t>
      </w:r>
      <w:r>
        <w:rPr>
          <w:rFonts w:ascii="Times New Roman" w:hAnsi="Times New Roman"/>
          <w:sz w:val="24"/>
          <w:szCs w:val="24"/>
        </w:rPr>
        <w:t xml:space="preserve"> and ranging from -</w:t>
      </w:r>
      <w:r w:rsidR="00013E13">
        <w:rPr>
          <w:rFonts w:ascii="Times New Roman" w:hAnsi="Times New Roman"/>
          <w:sz w:val="24"/>
          <w:szCs w:val="24"/>
        </w:rPr>
        <w:t>28</w:t>
      </w:r>
      <w:r>
        <w:rPr>
          <w:rFonts w:ascii="Times New Roman" w:hAnsi="Times New Roman"/>
          <w:sz w:val="24"/>
          <w:szCs w:val="24"/>
        </w:rPr>
        <w:t>.</w:t>
      </w:r>
      <w:r w:rsidR="00013E13">
        <w:rPr>
          <w:rFonts w:ascii="Times New Roman" w:hAnsi="Times New Roman"/>
          <w:sz w:val="24"/>
          <w:szCs w:val="24"/>
        </w:rPr>
        <w:t>26</w:t>
      </w:r>
      <w:r>
        <w:rPr>
          <w:rFonts w:ascii="Times New Roman" w:hAnsi="Times New Roman"/>
          <w:sz w:val="24"/>
          <w:szCs w:val="24"/>
        </w:rPr>
        <w:t xml:space="preserve">% to </w:t>
      </w:r>
      <w:r w:rsidR="00013E13">
        <w:rPr>
          <w:rFonts w:ascii="Times New Roman" w:hAnsi="Times New Roman"/>
          <w:sz w:val="24"/>
          <w:szCs w:val="24"/>
        </w:rPr>
        <w:t>60.00</w:t>
      </w:r>
      <w:r>
        <w:rPr>
          <w:rFonts w:ascii="Times New Roman" w:hAnsi="Times New Roman"/>
          <w:sz w:val="24"/>
          <w:szCs w:val="24"/>
        </w:rPr>
        <w:t>% over the sample period.</w:t>
      </w:r>
    </w:p>
    <w:p w:rsidR="004E0BB9" w:rsidRDefault="004E0BB9" w:rsidP="004E0BB9">
      <w:pPr>
        <w:jc w:val="both"/>
        <w:rPr>
          <w:rFonts w:ascii="Times New Roman" w:hAnsi="Times New Roman"/>
          <w:b/>
          <w:sz w:val="24"/>
          <w:szCs w:val="24"/>
        </w:rPr>
      </w:pPr>
      <w:proofErr w:type="spellStart"/>
      <w:r>
        <w:rPr>
          <w:rFonts w:ascii="Times New Roman" w:hAnsi="Times New Roman"/>
          <w:sz w:val="24"/>
          <w:szCs w:val="24"/>
        </w:rPr>
        <w:t>The</w:t>
      </w:r>
      <w:r w:rsidR="00013E13">
        <w:rPr>
          <w:rFonts w:ascii="Times New Roman" w:hAnsi="Times New Roman"/>
          <w:sz w:val="24"/>
          <w:szCs w:val="24"/>
        </w:rPr>
        <w:t>.</w:t>
      </w:r>
      <w:r>
        <w:rPr>
          <w:rFonts w:ascii="Times New Roman" w:hAnsi="Times New Roman"/>
          <w:sz w:val="24"/>
          <w:szCs w:val="24"/>
        </w:rPr>
        <w:t>ummary</w:t>
      </w:r>
      <w:proofErr w:type="spellEnd"/>
      <w:r>
        <w:rPr>
          <w:rFonts w:ascii="Times New Roman" w:hAnsi="Times New Roman"/>
          <w:sz w:val="24"/>
          <w:szCs w:val="24"/>
        </w:rPr>
        <w:t xml:space="preserve"> statistics of RDIG are shown in the 9</w:t>
      </w:r>
      <w:r>
        <w:rPr>
          <w:rFonts w:ascii="Times New Roman" w:hAnsi="Times New Roman"/>
          <w:sz w:val="24"/>
          <w:szCs w:val="24"/>
          <w:vertAlign w:val="superscript"/>
        </w:rPr>
        <w:t xml:space="preserve">th </w:t>
      </w:r>
      <w:r>
        <w:rPr>
          <w:rFonts w:ascii="Times New Roman" w:hAnsi="Times New Roman"/>
          <w:sz w:val="24"/>
          <w:szCs w:val="24"/>
        </w:rPr>
        <w:t>and 10</w:t>
      </w:r>
      <w:r w:rsidRPr="00D053BB">
        <w:rPr>
          <w:rFonts w:ascii="Times New Roman" w:hAnsi="Times New Roman"/>
          <w:sz w:val="24"/>
          <w:szCs w:val="24"/>
          <w:vertAlign w:val="superscript"/>
        </w:rPr>
        <w:t>th</w:t>
      </w:r>
      <w:r>
        <w:rPr>
          <w:rFonts w:ascii="Times New Roman" w:hAnsi="Times New Roman"/>
          <w:sz w:val="24"/>
          <w:szCs w:val="24"/>
        </w:rPr>
        <w:t xml:space="preserve"> columns of Table 4.1, respectively in levels and percent changes, with the corresponding time series plots and histograms shown in Figure 7.1.  The level of the RDIG over the historical period averages 2.20%, with a median of 2.70, displaying significant departures from normality in terms of left skewness (-1.21) and fat-tails (kurtosis of 5.50).   The series is somewhat volatile, displaying a coefficient of variation of 1.65, and ranging from -12.6% to 11.8% over the sample period.  On the other hand, the percent of the RDIG over the historical period averages -1.00%, with a median of 5.00%, displaying significant departures from normality in terms of left skewness (-1.05) and fat-tails (kurtosis of 5.41), in excess of the raw variable.  The percent change of the series is also extremely volatile, displaying a coefficient of variation of 599.2 and ranging from -2,440.0% to 1,640.0% over the sample period.</w:t>
      </w:r>
    </w:p>
    <w:p w:rsidR="004E0BB9" w:rsidRDefault="004E0BB9" w:rsidP="004E0BB9">
      <w:pPr>
        <w:rPr>
          <w:rFonts w:ascii="Times New Roman" w:hAnsi="Times New Roman"/>
          <w:sz w:val="24"/>
          <w:szCs w:val="24"/>
        </w:rPr>
      </w:pPr>
      <w:r>
        <w:rPr>
          <w:rFonts w:ascii="Times New Roman" w:hAnsi="Times New Roman"/>
          <w:sz w:val="24"/>
          <w:szCs w:val="24"/>
        </w:rPr>
        <w:t>The summary statistics of UR are shown in the 10</w:t>
      </w:r>
      <w:r>
        <w:rPr>
          <w:rFonts w:ascii="Times New Roman" w:hAnsi="Times New Roman"/>
          <w:sz w:val="24"/>
          <w:szCs w:val="24"/>
          <w:vertAlign w:val="superscript"/>
        </w:rPr>
        <w:t xml:space="preserve">th </w:t>
      </w:r>
      <w:r>
        <w:rPr>
          <w:rFonts w:ascii="Times New Roman" w:hAnsi="Times New Roman"/>
          <w:sz w:val="24"/>
          <w:szCs w:val="24"/>
        </w:rPr>
        <w:t>and 11</w:t>
      </w:r>
      <w:r w:rsidRPr="00D053BB">
        <w:rPr>
          <w:rFonts w:ascii="Times New Roman" w:hAnsi="Times New Roman"/>
          <w:sz w:val="24"/>
          <w:szCs w:val="24"/>
          <w:vertAlign w:val="superscript"/>
        </w:rPr>
        <w:t>th</w:t>
      </w:r>
      <w:r>
        <w:rPr>
          <w:rFonts w:ascii="Times New Roman" w:hAnsi="Times New Roman"/>
          <w:sz w:val="24"/>
          <w:szCs w:val="24"/>
        </w:rPr>
        <w:t xml:space="preserve"> columns of Table 4.1, in levels and percent changes, respectively, with the corresponding time series plots and histograms shown in Figure 7.2.  The level of the UR over the historical period averages 6.50%, with a median of 5.85$, displaying some departures from normality in terms of right skewness (0.82) and thin-tails (kurtosis of -0.82).  The series is only somewhat volatile, displaying a coefficient of variation of 0.26, and ranging from 4.20% to 9.90% over the sample period.  On the other hand, the percent change of the UR over the historical period averages 0.60%, with a median of -1.19%, displaying significant departures from normality in terms of right skewness (3.31) and fat-tails (kurtosis of 14.31), in excess of the raw variable.  The percent change of the series is also extremely volatile, displaying a coefficient of variation of 11.68, and ranging from -7.46% to 38.10% over the sample period.</w:t>
      </w:r>
    </w:p>
    <w:p w:rsidR="004E0BB9" w:rsidRDefault="004E0BB9" w:rsidP="004E0BB9">
      <w:pPr>
        <w:jc w:val="both"/>
        <w:rPr>
          <w:rFonts w:ascii="Times New Roman" w:hAnsi="Times New Roman"/>
          <w:sz w:val="24"/>
          <w:szCs w:val="24"/>
        </w:rPr>
      </w:pPr>
      <w:r>
        <w:rPr>
          <w:rFonts w:ascii="Times New Roman" w:hAnsi="Times New Roman"/>
          <w:sz w:val="24"/>
          <w:szCs w:val="24"/>
        </w:rPr>
        <w:t>The summary statistics of CREPI are shown in the 12</w:t>
      </w:r>
      <w:r>
        <w:rPr>
          <w:rFonts w:ascii="Times New Roman" w:hAnsi="Times New Roman"/>
          <w:sz w:val="24"/>
          <w:szCs w:val="24"/>
          <w:vertAlign w:val="superscript"/>
        </w:rPr>
        <w:t xml:space="preserve">th </w:t>
      </w:r>
      <w:r>
        <w:rPr>
          <w:rFonts w:ascii="Times New Roman" w:hAnsi="Times New Roman"/>
          <w:sz w:val="24"/>
          <w:szCs w:val="24"/>
        </w:rPr>
        <w:t>and 13</w:t>
      </w:r>
      <w:r w:rsidRPr="00D053BB">
        <w:rPr>
          <w:rFonts w:ascii="Times New Roman" w:hAnsi="Times New Roman"/>
          <w:sz w:val="24"/>
          <w:szCs w:val="24"/>
          <w:vertAlign w:val="superscript"/>
        </w:rPr>
        <w:t>th</w:t>
      </w:r>
      <w:r>
        <w:rPr>
          <w:rFonts w:ascii="Times New Roman" w:hAnsi="Times New Roman"/>
          <w:sz w:val="24"/>
          <w:szCs w:val="24"/>
        </w:rPr>
        <w:t xml:space="preserve"> columns of Table 4.1, respectively levels and percent changes, with the corresponding time series plots and histograms shown in Figures 7.3.  The level of the CREPI over the historical period averages 198.9, with a median of 197.5, displaying rather mild departures from normality in terms of left skewness (-0.01) and thin-tails (kurtosis of -1.29).  The series is only somewhat volatile, displaying a coefficient of variation of 0.19, and ranging from 135.8 to 258.8 over the sample period.  On the other hand, the percent of the CREPI over the historical period averages 1.13%, with a median of 1.27%, displaying some </w:t>
      </w:r>
      <w:r>
        <w:rPr>
          <w:rFonts w:ascii="Times New Roman" w:hAnsi="Times New Roman"/>
          <w:sz w:val="24"/>
          <w:szCs w:val="24"/>
        </w:rPr>
        <w:lastRenderedPageBreak/>
        <w:t>departures from normality in terms of left skewness (-1.65) and fat-tails (kurtosis of 4.62), in excess of the raw variable.  The percent change of the series is also extremely volatile, displaying a coefficient of variation of 3.73, and ranging from -14.55% to 9.81% over the sample period.</w:t>
      </w:r>
    </w:p>
    <w:p w:rsidR="004E0BB9" w:rsidRDefault="004E0BB9" w:rsidP="004E0BB9">
      <w:pPr>
        <w:jc w:val="both"/>
        <w:rPr>
          <w:rFonts w:ascii="Times New Roman" w:hAnsi="Times New Roman"/>
          <w:sz w:val="24"/>
          <w:szCs w:val="24"/>
        </w:rPr>
      </w:pPr>
      <w:r>
        <w:rPr>
          <w:rFonts w:ascii="Times New Roman" w:hAnsi="Times New Roman"/>
          <w:sz w:val="24"/>
          <w:szCs w:val="24"/>
        </w:rPr>
        <w:t>The summary statistics of BBBCS are shown in the 14</w:t>
      </w:r>
      <w:r>
        <w:rPr>
          <w:rFonts w:ascii="Times New Roman" w:hAnsi="Times New Roman"/>
          <w:sz w:val="24"/>
          <w:szCs w:val="24"/>
          <w:vertAlign w:val="superscript"/>
        </w:rPr>
        <w:t xml:space="preserve">th </w:t>
      </w:r>
      <w:r>
        <w:rPr>
          <w:rFonts w:ascii="Times New Roman" w:hAnsi="Times New Roman"/>
          <w:sz w:val="24"/>
          <w:szCs w:val="24"/>
        </w:rPr>
        <w:t>and 15</w:t>
      </w:r>
      <w:r w:rsidRPr="00D053BB">
        <w:rPr>
          <w:rFonts w:ascii="Times New Roman" w:hAnsi="Times New Roman"/>
          <w:sz w:val="24"/>
          <w:szCs w:val="24"/>
          <w:vertAlign w:val="superscript"/>
        </w:rPr>
        <w:t>th</w:t>
      </w:r>
      <w:r>
        <w:rPr>
          <w:rFonts w:ascii="Times New Roman" w:hAnsi="Times New Roman"/>
          <w:sz w:val="24"/>
          <w:szCs w:val="24"/>
        </w:rPr>
        <w:t xml:space="preserve"> columns of Table 4.1,</w:t>
      </w:r>
      <w:r w:rsidRPr="0075533D">
        <w:rPr>
          <w:rFonts w:ascii="Times New Roman" w:hAnsi="Times New Roman"/>
          <w:sz w:val="24"/>
          <w:szCs w:val="24"/>
        </w:rPr>
        <w:t xml:space="preserve"> </w:t>
      </w:r>
      <w:r>
        <w:rPr>
          <w:rFonts w:ascii="Times New Roman" w:hAnsi="Times New Roman"/>
          <w:sz w:val="24"/>
          <w:szCs w:val="24"/>
        </w:rPr>
        <w:t>respectively levels and percent changes, with the corresponding time series plots and histograms shown in Figure 7.4.  The level of the BBBCS over the historical period averages 3.7%, with a median of 3.80%, displaying very mild departures from normality in terms of left skewness (-0.41), and only moderate deviations from a Gaussian distribution with respect to thin-tails (kurtosis of -0.63).  The series is only somewhat volatile, displaying a coefficient of variation of 0.27, and ranging from 1.6% to 5.4% over the sample period.  On the other hand, the percent of the BBBCS over the historical period averages 0.01%, with a median of 0.97%, displaying significant departures from normality in terms of right skewness (0.39) and fat-tails (kurtosis of 1.93), well in excess of the raw variable.  The percent change of the series is also extremely volatile, displaying a coefficient of variation of -1283.6, and ranging from -24.24% to 35.00% over the sample period.</w:t>
      </w:r>
    </w:p>
    <w:p w:rsidR="004E0BB9" w:rsidRDefault="004E0BB9" w:rsidP="004E0BB9">
      <w:pPr>
        <w:jc w:val="both"/>
        <w:rPr>
          <w:rFonts w:ascii="Times New Roman" w:hAnsi="Times New Roman"/>
          <w:sz w:val="24"/>
          <w:szCs w:val="24"/>
        </w:rPr>
      </w:pPr>
      <w:r>
        <w:rPr>
          <w:rFonts w:ascii="Times New Roman" w:hAnsi="Times New Roman"/>
          <w:sz w:val="24"/>
          <w:szCs w:val="24"/>
        </w:rPr>
        <w:t>The summary statistics of VIX are shown in the 16</w:t>
      </w:r>
      <w:r>
        <w:rPr>
          <w:rFonts w:ascii="Times New Roman" w:hAnsi="Times New Roman"/>
          <w:sz w:val="24"/>
          <w:szCs w:val="24"/>
          <w:vertAlign w:val="superscript"/>
        </w:rPr>
        <w:t xml:space="preserve">th </w:t>
      </w:r>
      <w:r>
        <w:rPr>
          <w:rFonts w:ascii="Times New Roman" w:hAnsi="Times New Roman"/>
          <w:sz w:val="24"/>
          <w:szCs w:val="24"/>
        </w:rPr>
        <w:t>and 14</w:t>
      </w:r>
      <w:r w:rsidRPr="00D053BB">
        <w:rPr>
          <w:rFonts w:ascii="Times New Roman" w:hAnsi="Times New Roman"/>
          <w:sz w:val="24"/>
          <w:szCs w:val="24"/>
          <w:vertAlign w:val="superscript"/>
        </w:rPr>
        <w:t>th</w:t>
      </w:r>
      <w:r>
        <w:rPr>
          <w:rFonts w:ascii="Times New Roman" w:hAnsi="Times New Roman"/>
          <w:sz w:val="24"/>
          <w:szCs w:val="24"/>
        </w:rPr>
        <w:t xml:space="preserve"> columns of Table 4.1, respectively levels and percent change, with the corresponding time series plots and histograms shown in Figure 7.5.  The level of the VIX over the historical period averages 26.52, with a median of 21.80, displaying significant departures from normality in terms of right skewness (2.10), as well as material deviations from a Gaussian distribution with respect to fat-tails (kurtosis of 5.91).  The series is only somewhat volatile, displaying a coefficient of variation of 0.46, and ranging from 12.7 to 80.9 over the sample period.  On the other hand, the percent of the VIX over the historical period averages 3.31%, with a median of -1.44%, displaying significant departures from normality in terms of right skewness (1.54) and fat-tails (kurtosis of 2.36), far in excess of the raw variable.  The percent change of the series is also extremely volatile, displaying a coefficient of variation of 9.64, and ranging from -49.45% to 111.5% over the sample period.</w:t>
      </w:r>
    </w:p>
    <w:p w:rsidR="00B44E4C" w:rsidRDefault="00B44E4C" w:rsidP="004E0BB9">
      <w:pPr>
        <w:jc w:val="both"/>
        <w:rPr>
          <w:rFonts w:ascii="Times New Roman" w:hAnsi="Times New Roman"/>
          <w:sz w:val="24"/>
          <w:szCs w:val="24"/>
        </w:rPr>
      </w:pPr>
    </w:p>
    <w:p w:rsidR="00B44E4C" w:rsidRDefault="00B44E4C" w:rsidP="00B44E4C">
      <w:pPr>
        <w:spacing w:line="240" w:lineRule="auto"/>
        <w:ind w:left="720" w:hanging="720"/>
        <w:contextualSpacing/>
        <w:jc w:val="both"/>
        <w:rPr>
          <w:rFonts w:ascii="Times New Roman" w:hAnsi="Times New Roman"/>
          <w:b/>
          <w:sz w:val="28"/>
          <w:szCs w:val="24"/>
        </w:rPr>
      </w:pPr>
      <w:r>
        <w:rPr>
          <w:rFonts w:ascii="Times New Roman" w:hAnsi="Times New Roman"/>
          <w:b/>
          <w:sz w:val="28"/>
          <w:szCs w:val="24"/>
        </w:rPr>
        <w:t>8</w:t>
      </w:r>
      <w:r w:rsidRPr="00111FA4">
        <w:rPr>
          <w:rFonts w:ascii="Times New Roman" w:hAnsi="Times New Roman"/>
          <w:b/>
          <w:sz w:val="28"/>
          <w:szCs w:val="24"/>
        </w:rPr>
        <w:tab/>
      </w:r>
      <w:r>
        <w:rPr>
          <w:rFonts w:ascii="Times New Roman" w:hAnsi="Times New Roman"/>
          <w:b/>
          <w:sz w:val="28"/>
          <w:szCs w:val="24"/>
        </w:rPr>
        <w:t>Appendix 2: Detailed Description of Summary Statistics and Distributional Properties - Macroeconomic Variables and Gross Charge-off Loss Rates</w:t>
      </w:r>
    </w:p>
    <w:p w:rsidR="00B44E4C" w:rsidRDefault="00B44E4C" w:rsidP="004E0BB9">
      <w:pPr>
        <w:jc w:val="both"/>
        <w:rPr>
          <w:rFonts w:ascii="Times New Roman" w:hAnsi="Times New Roman"/>
          <w:sz w:val="24"/>
          <w:szCs w:val="24"/>
        </w:rPr>
      </w:pPr>
    </w:p>
    <w:p w:rsidR="00B44E4C" w:rsidRDefault="00B44E4C" w:rsidP="008A6034">
      <w:pPr>
        <w:jc w:val="both"/>
        <w:rPr>
          <w:rFonts w:ascii="Times New Roman" w:hAnsi="Times New Roman"/>
          <w:sz w:val="24"/>
          <w:szCs w:val="24"/>
        </w:rPr>
      </w:pPr>
      <w:r w:rsidRPr="00377C2B">
        <w:rPr>
          <w:rFonts w:ascii="Times New Roman" w:hAnsi="Times New Roman"/>
          <w:sz w:val="24"/>
          <w:szCs w:val="24"/>
        </w:rPr>
        <w:t xml:space="preserve">The </w:t>
      </w:r>
      <w:r>
        <w:rPr>
          <w:rFonts w:ascii="Times New Roman" w:hAnsi="Times New Roman"/>
          <w:sz w:val="24"/>
          <w:szCs w:val="24"/>
        </w:rPr>
        <w:t>scenario projections for the HYS are shown in Figure 4.1.  The HYS has ranged in around 3% to 8% in benign periods, and peaked during the financial crisis at around 16%.  The Fed severe scenario for the HYS peaks just below the latter historical spike at around 14% at a year into the forecast period, declining linearly to around the level of the jump-off period in the 4</w:t>
      </w:r>
      <w:r w:rsidRPr="00377C2B">
        <w:rPr>
          <w:rFonts w:ascii="Times New Roman" w:hAnsi="Times New Roman"/>
          <w:sz w:val="24"/>
          <w:szCs w:val="24"/>
          <w:vertAlign w:val="superscript"/>
        </w:rPr>
        <w:t>th</w:t>
      </w:r>
      <w:r>
        <w:rPr>
          <w:rFonts w:ascii="Times New Roman" w:hAnsi="Times New Roman"/>
          <w:sz w:val="24"/>
          <w:szCs w:val="24"/>
        </w:rPr>
        <w:t xml:space="preserve"> quarter of 2015 of about 5%.  The VAR model does not quite achieve this level of stress but is close, peaking at just below 14% 2 years into the forecast period and then declining in a steeper and similarly linear fashion to around the pre-stress levels.  In contrast, the MS-VAR model in </w:t>
      </w:r>
      <w:r>
        <w:rPr>
          <w:rFonts w:ascii="Times New Roman" w:hAnsi="Times New Roman"/>
          <w:sz w:val="24"/>
          <w:szCs w:val="24"/>
        </w:rPr>
        <w:lastRenderedPageBreak/>
        <w:t>the severe scenario exhibits far more extreme levels, peaking at just over 23% (about 50% greater than either the VAR or the Fed model) a year into the forecast period, and remaining elevated for another year before reverting to the pre-forecast period levels.  Finally, with regard to the Base scenario, the VAR and Fed models are similar in trajectory, rising somewhat in the first year and then reverting to the levels of the period just prior to the forecast, although the former is somewhat higher peaking at around 10% vs. around 9% for the latter.</w:t>
      </w:r>
    </w:p>
    <w:p w:rsidR="00B44E4C" w:rsidRDefault="00B44E4C" w:rsidP="00B44E4C">
      <w:pPr>
        <w:jc w:val="both"/>
        <w:rPr>
          <w:rFonts w:ascii="Times New Roman" w:hAnsi="Times New Roman"/>
          <w:sz w:val="24"/>
          <w:szCs w:val="24"/>
        </w:rPr>
      </w:pPr>
      <w:r w:rsidRPr="00377C2B">
        <w:rPr>
          <w:rFonts w:ascii="Times New Roman" w:hAnsi="Times New Roman"/>
          <w:sz w:val="24"/>
          <w:szCs w:val="24"/>
        </w:rPr>
        <w:t xml:space="preserve">The </w:t>
      </w:r>
      <w:r>
        <w:rPr>
          <w:rFonts w:ascii="Times New Roman" w:hAnsi="Times New Roman"/>
          <w:sz w:val="24"/>
          <w:szCs w:val="24"/>
        </w:rPr>
        <w:t>scenario projections for the RDIG are shown in Figure 4.2.  The RDIG has ranged in around -5% to 5% in benign periods, and unlike the other macroeconomic variables, had its most adverse levels twice, during the financial crisis (in early 2013) at around -9% (-16%).  The Fed severe scenario for the RDIG reaches a trough quite below the first and milder historical trough at around -4% at around a year into the forecast period, then increasing in an s-shape to around the level of the jump-off period in the 4</w:t>
      </w:r>
      <w:r w:rsidRPr="00377C2B">
        <w:rPr>
          <w:rFonts w:ascii="Times New Roman" w:hAnsi="Times New Roman"/>
          <w:sz w:val="24"/>
          <w:szCs w:val="24"/>
          <w:vertAlign w:val="superscript"/>
        </w:rPr>
        <w:t>th</w:t>
      </w:r>
      <w:r>
        <w:rPr>
          <w:rFonts w:ascii="Times New Roman" w:hAnsi="Times New Roman"/>
          <w:sz w:val="24"/>
          <w:szCs w:val="24"/>
        </w:rPr>
        <w:t xml:space="preserve"> quarter of 2015 of about 4%.  The VAR model does not quite achieve the most level of stress for RDIG but exceeds the financial crisis value in absolute terms, a trough at around -12% 1 year into the forecast period and then increasing smoothly to around the pre-stress levels.  In contrast, the MS-VAR model in the severe scenario exhibits far more extreme levels, declining to just about the historical trough of -15% (about 20% and 5 times greater in magnitude than the VAR and Fed models, respectively) a year into the forecast period.  Finally,  with regard to the Base scenario, the VAR and MS-VAR models are similar in trajectory, dipping somewhat in the first year and then stabilizing to levels somewhat below that of the period just prior to the forecast, although the latter is somewhat lower.  On the other hand, the Fed model appears to be rather different, dipping slightly and remaining flat at levels somewhat below the levels of 2015.</w:t>
      </w:r>
    </w:p>
    <w:p w:rsidR="00B44E4C" w:rsidRDefault="00B44E4C" w:rsidP="00B44E4C">
      <w:pPr>
        <w:jc w:val="both"/>
        <w:rPr>
          <w:rFonts w:ascii="Times New Roman" w:hAnsi="Times New Roman"/>
          <w:sz w:val="24"/>
          <w:szCs w:val="24"/>
        </w:rPr>
      </w:pPr>
      <w:r w:rsidRPr="00377C2B">
        <w:rPr>
          <w:rFonts w:ascii="Times New Roman" w:hAnsi="Times New Roman"/>
          <w:sz w:val="24"/>
          <w:szCs w:val="24"/>
        </w:rPr>
        <w:t xml:space="preserve">The </w:t>
      </w:r>
      <w:r>
        <w:rPr>
          <w:rFonts w:ascii="Times New Roman" w:hAnsi="Times New Roman"/>
          <w:sz w:val="24"/>
          <w:szCs w:val="24"/>
        </w:rPr>
        <w:t>scenario projections for the UNEMP are shown in Figure 4.3.  The UNEMP has ranged in around 4% to 8% in benign periods, and peaked during the financial crisis at around 10%, exactly where the Fed severe scenario peaks around six weeks into the forecast period and then declining linearly to around the level of 2011 of about 9% and well short of recovery by the end of the forecast period.  The VAR model exceeds this level of stress, peaking at just above 12% 2 years into the forecast period, and then declining in a similarly linear fashion to a still distressed level of around 11% by the end of the forecast period.  In contrast, the MS-VAR model in the severe scenario exhibits far more extreme levels, peaking at about 18% (about 50% and about 80% greater than the VAR or the Fed models, respectively) a year into the forecast period, and remaining elevated at no less than about 15% by the end of the forecast period.  Finally, with regard to the Base scenario, the VAR and Fed models are rather similar in trajectory, dipping somewhat and then flattening out throughout the forecast period to a level about 1% lower than in the late 2015, with the VAR model being slight below the Fed model.  In contrast, the MS-VAR model starts off with a similar trajectory to the VAR and Fed models, but diverges toward the end of the forecast period to end slightly higher.</w:t>
      </w:r>
    </w:p>
    <w:p w:rsidR="00B44E4C" w:rsidRDefault="00B44E4C" w:rsidP="00B44E4C">
      <w:pPr>
        <w:jc w:val="both"/>
        <w:rPr>
          <w:rFonts w:ascii="Times New Roman" w:hAnsi="Times New Roman"/>
          <w:sz w:val="24"/>
          <w:szCs w:val="24"/>
        </w:rPr>
      </w:pPr>
      <w:r w:rsidRPr="00377C2B">
        <w:rPr>
          <w:rFonts w:ascii="Times New Roman" w:hAnsi="Times New Roman"/>
          <w:sz w:val="24"/>
          <w:szCs w:val="24"/>
        </w:rPr>
        <w:t xml:space="preserve">The </w:t>
      </w:r>
      <w:r>
        <w:rPr>
          <w:rFonts w:ascii="Times New Roman" w:hAnsi="Times New Roman"/>
          <w:sz w:val="24"/>
          <w:szCs w:val="24"/>
        </w:rPr>
        <w:t xml:space="preserve">scenario projections for the CREPI are shown in Figure 4.4.  The CREPI has ranged in around 200 to 250 in benign periods and had its most adverse levels at 150 during the financial </w:t>
      </w:r>
      <w:r>
        <w:rPr>
          <w:rFonts w:ascii="Times New Roman" w:hAnsi="Times New Roman"/>
          <w:sz w:val="24"/>
          <w:szCs w:val="24"/>
        </w:rPr>
        <w:lastRenderedPageBreak/>
        <w:t>crisis.  The Fed severe scenario for the RDIG fails to reaches a trough at this level and only goes as low as around 180 at around a year and a half into the forecast period, then increasing gradually to around 200, far from the level of the jump-off period in the 4</w:t>
      </w:r>
      <w:r w:rsidRPr="00377C2B">
        <w:rPr>
          <w:rFonts w:ascii="Times New Roman" w:hAnsi="Times New Roman"/>
          <w:sz w:val="24"/>
          <w:szCs w:val="24"/>
          <w:vertAlign w:val="superscript"/>
        </w:rPr>
        <w:t>th</w:t>
      </w:r>
      <w:r>
        <w:rPr>
          <w:rFonts w:ascii="Times New Roman" w:hAnsi="Times New Roman"/>
          <w:sz w:val="24"/>
          <w:szCs w:val="24"/>
        </w:rPr>
        <w:t xml:space="preserve"> quarter of 2015 of about 270.  The VAR model has a rather similar trajectory, albeit both declining and recovering at a slower pace.  In contrast, the MS-VAR model in the severe scenario exhibits far more extreme levels, declining to somewhat below the historical trough at around 125, or about 15% lower than the VAR and Fed models, two years into the forecast period.  Finally, with regard to the Base scenario, the VAR and Fed models are similar in trajectory, rising linearly throughout the forecast period from about 275 to around 300 and 320, with the VAR model lower.  On the other hand, the MS-VAR model appears to be rather different, increasing only slightly by the end of the forecast period to about 280.  </w:t>
      </w:r>
    </w:p>
    <w:p w:rsidR="00B44E4C" w:rsidRDefault="00B44E4C" w:rsidP="00B44E4C">
      <w:pPr>
        <w:jc w:val="both"/>
        <w:rPr>
          <w:rFonts w:ascii="Times New Roman" w:hAnsi="Times New Roman"/>
          <w:sz w:val="24"/>
          <w:szCs w:val="24"/>
        </w:rPr>
      </w:pPr>
      <w:r w:rsidRPr="00377C2B">
        <w:rPr>
          <w:rFonts w:ascii="Times New Roman" w:hAnsi="Times New Roman"/>
          <w:sz w:val="24"/>
          <w:szCs w:val="24"/>
        </w:rPr>
        <w:t xml:space="preserve">The </w:t>
      </w:r>
      <w:r>
        <w:rPr>
          <w:rFonts w:ascii="Times New Roman" w:hAnsi="Times New Roman"/>
          <w:sz w:val="24"/>
          <w:szCs w:val="24"/>
        </w:rPr>
        <w:t>scenario projections for the BAACR are shown in Figure 4.5.  The BAACR has ranged in around 2.5% to 3.5% in benign periods, and peaked during the financial crisis at around 5.5%.  The Fed severe scenario for the HYS peaks above the latter historical spike at around 6.5% at a year into the forecast period, declining linearly to 4.6%, quite above the 3.3% level of the jump-off period in the 4</w:t>
      </w:r>
      <w:r w:rsidRPr="00377C2B">
        <w:rPr>
          <w:rFonts w:ascii="Times New Roman" w:hAnsi="Times New Roman"/>
          <w:sz w:val="24"/>
          <w:szCs w:val="24"/>
          <w:vertAlign w:val="superscript"/>
        </w:rPr>
        <w:t>th</w:t>
      </w:r>
      <w:r>
        <w:rPr>
          <w:rFonts w:ascii="Times New Roman" w:hAnsi="Times New Roman"/>
          <w:sz w:val="24"/>
          <w:szCs w:val="24"/>
        </w:rPr>
        <w:t xml:space="preserve"> quarter of 2015.  The VAR model does not quite achieve this level of stress, rising more gradually peaking at 5.5% 2 years into the forecast period, and then declining to about the level where the Fed model ends up quite above the pre-stress levels.  In contrast, the MS-VAR model in the severe scenario exhibits far more extreme levels, peaking nearly 10% (about 35% and 45% greater than the Fed and VAR models, respectively) a little over a year into the forecast period, and remaining elevated for the remainder of the forecast period with a decline to a little over 7.5%.  Finally, with regard to the Base scenario, the MS-VAR and Fed models are similar in trajectory, rising throughout the forecast period to about 5.5%, although the Fed model remains above the MS-VAR model forecast until the end.  In contrast, the VAR model rises far more gradually than either the MS-VAR or Fed models, reaching around only 4.4% by the end of the forecast period. </w:t>
      </w:r>
    </w:p>
    <w:p w:rsidR="00B44E4C" w:rsidRDefault="00B44E4C" w:rsidP="00B44E4C">
      <w:pPr>
        <w:jc w:val="both"/>
        <w:rPr>
          <w:rFonts w:ascii="Times New Roman" w:hAnsi="Times New Roman"/>
          <w:sz w:val="24"/>
          <w:szCs w:val="24"/>
        </w:rPr>
      </w:pPr>
      <w:r w:rsidRPr="00377C2B">
        <w:rPr>
          <w:rFonts w:ascii="Times New Roman" w:hAnsi="Times New Roman"/>
          <w:sz w:val="24"/>
          <w:szCs w:val="24"/>
        </w:rPr>
        <w:t xml:space="preserve">The </w:t>
      </w:r>
      <w:r>
        <w:rPr>
          <w:rFonts w:ascii="Times New Roman" w:hAnsi="Times New Roman"/>
          <w:sz w:val="24"/>
          <w:szCs w:val="24"/>
        </w:rPr>
        <w:t>scenario projections for the VIX are shown in Figure 4.6.  The VIX has ranged in around 15 to 30 in benign periods, and peaked during the financial crisis at just above 75.  The Fed severe scenario for the VIX peaks just below 75 at the start of the forecast period, declining linearly thereafter to the level of the jump-off period in the 4</w:t>
      </w:r>
      <w:r w:rsidRPr="00377C2B">
        <w:rPr>
          <w:rFonts w:ascii="Times New Roman" w:hAnsi="Times New Roman"/>
          <w:sz w:val="24"/>
          <w:szCs w:val="24"/>
          <w:vertAlign w:val="superscript"/>
        </w:rPr>
        <w:t>th</w:t>
      </w:r>
      <w:r>
        <w:rPr>
          <w:rFonts w:ascii="Times New Roman" w:hAnsi="Times New Roman"/>
          <w:sz w:val="24"/>
          <w:szCs w:val="24"/>
        </w:rPr>
        <w:t xml:space="preserve"> quarter of 2015.  The VAR model slightly this level of stress, rising more gradually peaking at around 80 at 6 quarters into the forecast period, and then declining to about the level where the Fed model ends up near the pre-stress levels.  In contrast, the MS-VAR model in the severe scenario exhibits far more extreme levels, peaking nearly just over 135 (about 80-90% greater than either the Fed and VAR models) in about the same timeframe of the VAR model and then declining to slightly lower levels as during the jump-off period.  Finally, with regard to the Base scenario, the MS-VAR and VAR models are similar in trajectory, rising gradually throughout the forecast period to about 30-35, with the MS-VAR model remaining above the VAR model forecast until the end.  In contrast, the Fed model gradually declines throughout the projection, ending up at somewhat lower by the end of the forecast period.</w:t>
      </w:r>
    </w:p>
    <w:p w:rsidR="006A1D3E" w:rsidRDefault="006A1D3E" w:rsidP="00B44E4C">
      <w:pPr>
        <w:jc w:val="both"/>
        <w:rPr>
          <w:rFonts w:ascii="Times New Roman" w:hAnsi="Times New Roman"/>
          <w:sz w:val="24"/>
          <w:szCs w:val="24"/>
        </w:rPr>
      </w:pPr>
    </w:p>
    <w:p w:rsidR="006A1D3E" w:rsidRDefault="006A1D3E" w:rsidP="006A1D3E">
      <w:pPr>
        <w:spacing w:line="240" w:lineRule="auto"/>
        <w:ind w:left="720" w:hanging="720"/>
        <w:contextualSpacing/>
        <w:jc w:val="both"/>
        <w:rPr>
          <w:rFonts w:ascii="Times New Roman" w:hAnsi="Times New Roman"/>
          <w:b/>
          <w:sz w:val="28"/>
          <w:szCs w:val="24"/>
        </w:rPr>
      </w:pPr>
      <w:r>
        <w:rPr>
          <w:rFonts w:ascii="Times New Roman" w:hAnsi="Times New Roman"/>
          <w:b/>
          <w:sz w:val="28"/>
          <w:szCs w:val="24"/>
        </w:rPr>
        <w:t>9</w:t>
      </w:r>
      <w:r w:rsidRPr="00111FA4">
        <w:rPr>
          <w:rFonts w:ascii="Times New Roman" w:hAnsi="Times New Roman"/>
          <w:b/>
          <w:sz w:val="28"/>
          <w:szCs w:val="24"/>
        </w:rPr>
        <w:tab/>
      </w:r>
      <w:r>
        <w:rPr>
          <w:rFonts w:ascii="Times New Roman" w:hAnsi="Times New Roman"/>
          <w:b/>
          <w:sz w:val="28"/>
          <w:szCs w:val="24"/>
        </w:rPr>
        <w:t xml:space="preserve">Appendix 3: Detailed Description of </w:t>
      </w:r>
      <w:r w:rsidRPr="006A1D3E">
        <w:rPr>
          <w:rFonts w:ascii="Times New Roman" w:hAnsi="Times New Roman"/>
          <w:b/>
          <w:sz w:val="28"/>
          <w:szCs w:val="24"/>
        </w:rPr>
        <w:t>Vector Autoregressive vs. Single Equation Autoregressive Model Estimation Compared (Fed Macroeconomic Variables and Aggregate Y9 Bank Chargeoffs) - Model Estimation MLE Results and In-Sample Performance Metrics</w:t>
      </w:r>
    </w:p>
    <w:p w:rsidR="006A1D3E" w:rsidRDefault="006A1D3E" w:rsidP="006A1D3E">
      <w:pPr>
        <w:jc w:val="both"/>
        <w:rPr>
          <w:rFonts w:ascii="Times New Roman" w:hAnsi="Times New Roman"/>
          <w:sz w:val="24"/>
          <w:szCs w:val="24"/>
        </w:rPr>
      </w:pPr>
    </w:p>
    <w:p w:rsidR="006A1D3E" w:rsidRDefault="006A1D3E" w:rsidP="006A1D3E">
      <w:pPr>
        <w:jc w:val="both"/>
        <w:rPr>
          <w:rFonts w:ascii="Times New Roman" w:hAnsi="Times New Roman"/>
          <w:sz w:val="24"/>
          <w:szCs w:val="24"/>
        </w:rPr>
      </w:pPr>
      <w:r>
        <w:rPr>
          <w:rFonts w:ascii="Times New Roman" w:hAnsi="Times New Roman"/>
          <w:sz w:val="24"/>
          <w:szCs w:val="24"/>
        </w:rPr>
        <w:t>First, we discuss the results for the RRE segment.  In the VAR model the autoregressive term is significantly positive and of substantial magnitude, a parameter estimate 0.68, which is also significant but rather somewhat in the AR model having an estimate 0.96.  The cross autoregressive terms on the CRE, CONS and CNI are significantly positive in the VAR model</w:t>
      </w:r>
      <w:r w:rsidRPr="009A4410">
        <w:rPr>
          <w:rFonts w:ascii="Times New Roman" w:hAnsi="Times New Roman"/>
          <w:sz w:val="24"/>
          <w:szCs w:val="24"/>
        </w:rPr>
        <w:t xml:space="preserve"> </w:t>
      </w:r>
      <w:r>
        <w:rPr>
          <w:rFonts w:ascii="Times New Roman" w:hAnsi="Times New Roman"/>
          <w:sz w:val="24"/>
          <w:szCs w:val="24"/>
        </w:rPr>
        <w:t>and of lower of magnitude than the autocorrelation term, parameter estimates ranging in 0.22 to 0.35.  The coefficient estimates of the macroeconomic sensitivities are of acceptable magnitude with respect to model sensitivity and range in absolute vales of 0.0012 to 0.068; this compares to a range of 0.0003 to 0.0433 in the AR model, thereby showing that the VAR model exhibits greater macroeconomic sensitivity that the AR model.  According to the likelihood ratio test for the RRE segment, a value of -11.00 rejects the 35 parameter restrictions of the AR with respect to the VAR model at a very high level of confidence.  The VAR model outperforms the AR model for the RRE segment according to the RMSE, SC and CPE measures with values of 0.2609, 0.9397 and -3.69% in the former as compared to 0.33, 0.8</w:t>
      </w:r>
      <w:r w:rsidR="009F67EE">
        <w:rPr>
          <w:rFonts w:ascii="Times New Roman" w:hAnsi="Times New Roman"/>
          <w:sz w:val="24"/>
          <w:szCs w:val="24"/>
        </w:rPr>
        <w:t>4</w:t>
      </w:r>
      <w:r>
        <w:rPr>
          <w:rFonts w:ascii="Times New Roman" w:hAnsi="Times New Roman"/>
          <w:sz w:val="24"/>
          <w:szCs w:val="24"/>
        </w:rPr>
        <w:t xml:space="preserve"> and -10.33% in the latter.  The VAR model is also more conservative than the AR model, having a CPE over the downturn (recent) period of -3.69% (5.16%) in the former versus -10.33% (9.26%) in the latter.    </w:t>
      </w:r>
    </w:p>
    <w:p w:rsidR="006A1D3E" w:rsidRDefault="006A1D3E" w:rsidP="006A1D3E">
      <w:pPr>
        <w:jc w:val="both"/>
        <w:rPr>
          <w:rFonts w:ascii="Times New Roman" w:hAnsi="Times New Roman"/>
          <w:sz w:val="24"/>
          <w:szCs w:val="24"/>
        </w:rPr>
      </w:pPr>
      <w:r>
        <w:rPr>
          <w:rFonts w:ascii="Times New Roman" w:hAnsi="Times New Roman"/>
          <w:sz w:val="24"/>
          <w:szCs w:val="24"/>
        </w:rPr>
        <w:t>Second, we discuss the results for the CRE segment.  In the VAR model the autoregressive term is significantly positive and of substantial magnitude, a parameter estimate 0.</w:t>
      </w:r>
      <w:r w:rsidR="00E0143D">
        <w:rPr>
          <w:rFonts w:ascii="Times New Roman" w:hAnsi="Times New Roman"/>
          <w:sz w:val="24"/>
          <w:szCs w:val="24"/>
        </w:rPr>
        <w:t>52</w:t>
      </w:r>
      <w:r>
        <w:rPr>
          <w:rFonts w:ascii="Times New Roman" w:hAnsi="Times New Roman"/>
          <w:sz w:val="24"/>
          <w:szCs w:val="24"/>
        </w:rPr>
        <w:t>, which is also significant but rather somewhat in the AR model having an estimate 0.9</w:t>
      </w:r>
      <w:r w:rsidR="00E0143D">
        <w:rPr>
          <w:rFonts w:ascii="Times New Roman" w:hAnsi="Times New Roman"/>
          <w:sz w:val="24"/>
          <w:szCs w:val="24"/>
        </w:rPr>
        <w:t>5</w:t>
      </w:r>
      <w:r>
        <w:rPr>
          <w:rFonts w:ascii="Times New Roman" w:hAnsi="Times New Roman"/>
          <w:sz w:val="24"/>
          <w:szCs w:val="24"/>
        </w:rPr>
        <w:t>.  The cross autoregressive terms on the CRE, CONS and CNI are significantly positive in the VAR model</w:t>
      </w:r>
      <w:r w:rsidRPr="009A4410">
        <w:rPr>
          <w:rFonts w:ascii="Times New Roman" w:hAnsi="Times New Roman"/>
          <w:sz w:val="24"/>
          <w:szCs w:val="24"/>
        </w:rPr>
        <w:t xml:space="preserve"> </w:t>
      </w:r>
      <w:r>
        <w:rPr>
          <w:rFonts w:ascii="Times New Roman" w:hAnsi="Times New Roman"/>
          <w:sz w:val="24"/>
          <w:szCs w:val="24"/>
        </w:rPr>
        <w:t>and of lower of magnitude than the autocorrelation term, parameter estimates ranging in 0.2</w:t>
      </w:r>
      <w:r w:rsidR="00E0143D">
        <w:rPr>
          <w:rFonts w:ascii="Times New Roman" w:hAnsi="Times New Roman"/>
          <w:sz w:val="24"/>
          <w:szCs w:val="24"/>
        </w:rPr>
        <w:t>6</w:t>
      </w:r>
      <w:r>
        <w:rPr>
          <w:rFonts w:ascii="Times New Roman" w:hAnsi="Times New Roman"/>
          <w:sz w:val="24"/>
          <w:szCs w:val="24"/>
        </w:rPr>
        <w:t xml:space="preserve"> to 0.5</w:t>
      </w:r>
      <w:r w:rsidR="00E0143D">
        <w:rPr>
          <w:rFonts w:ascii="Times New Roman" w:hAnsi="Times New Roman"/>
          <w:sz w:val="24"/>
          <w:szCs w:val="24"/>
        </w:rPr>
        <w:t>3</w:t>
      </w:r>
      <w:r>
        <w:rPr>
          <w:rFonts w:ascii="Times New Roman" w:hAnsi="Times New Roman"/>
          <w:sz w:val="24"/>
          <w:szCs w:val="24"/>
        </w:rPr>
        <w:t>.  The coefficient estimates of the macroeconomic sensitivities are of acceptable magnitude with respect to model sensitivity and range in absolute vales of 0.01 to 0.0</w:t>
      </w:r>
      <w:r w:rsidR="002842A2">
        <w:rPr>
          <w:rFonts w:ascii="Times New Roman" w:hAnsi="Times New Roman"/>
          <w:sz w:val="24"/>
          <w:szCs w:val="24"/>
        </w:rPr>
        <w:t>2</w:t>
      </w:r>
      <w:r>
        <w:rPr>
          <w:rFonts w:ascii="Times New Roman" w:hAnsi="Times New Roman"/>
          <w:sz w:val="24"/>
          <w:szCs w:val="24"/>
        </w:rPr>
        <w:t>; this compares to a range of 0.00</w:t>
      </w:r>
      <w:r w:rsidR="002842A2">
        <w:rPr>
          <w:rFonts w:ascii="Times New Roman" w:hAnsi="Times New Roman"/>
          <w:sz w:val="24"/>
          <w:szCs w:val="24"/>
        </w:rPr>
        <w:t>4</w:t>
      </w:r>
      <w:r>
        <w:rPr>
          <w:rFonts w:ascii="Times New Roman" w:hAnsi="Times New Roman"/>
          <w:sz w:val="24"/>
          <w:szCs w:val="24"/>
        </w:rPr>
        <w:t xml:space="preserve"> to 0.0</w:t>
      </w:r>
      <w:r w:rsidR="002842A2">
        <w:rPr>
          <w:rFonts w:ascii="Times New Roman" w:hAnsi="Times New Roman"/>
          <w:sz w:val="24"/>
          <w:szCs w:val="24"/>
        </w:rPr>
        <w:t>1</w:t>
      </w:r>
      <w:r>
        <w:rPr>
          <w:rFonts w:ascii="Times New Roman" w:hAnsi="Times New Roman"/>
          <w:sz w:val="24"/>
          <w:szCs w:val="24"/>
        </w:rPr>
        <w:t xml:space="preserve"> in the AR model, thereby showing that the VAR model exhibits greater macroeconomic sensitivity that the AR model.  According to the likelihood ratio test for the RRE segment, a value of -11.</w:t>
      </w:r>
      <w:r w:rsidR="009F67EE">
        <w:rPr>
          <w:rFonts w:ascii="Times New Roman" w:hAnsi="Times New Roman"/>
          <w:sz w:val="24"/>
          <w:szCs w:val="24"/>
        </w:rPr>
        <w:t>91</w:t>
      </w:r>
      <w:r>
        <w:rPr>
          <w:rFonts w:ascii="Times New Roman" w:hAnsi="Times New Roman"/>
          <w:sz w:val="24"/>
          <w:szCs w:val="24"/>
        </w:rPr>
        <w:t xml:space="preserve"> rejects the 35 parameter restrictions of the AR with respect to the VAR model at a very high level of confidence.  The VAR model outperforms the AR model for the RRE segment according to the RMSE, SC and CPE measures with values of 0.</w:t>
      </w:r>
      <w:r w:rsidR="009F67EE">
        <w:rPr>
          <w:rFonts w:ascii="Times New Roman" w:hAnsi="Times New Roman"/>
          <w:sz w:val="24"/>
          <w:szCs w:val="24"/>
        </w:rPr>
        <w:t>30</w:t>
      </w:r>
      <w:r>
        <w:rPr>
          <w:rFonts w:ascii="Times New Roman" w:hAnsi="Times New Roman"/>
          <w:sz w:val="24"/>
          <w:szCs w:val="24"/>
        </w:rPr>
        <w:t>, 0.9</w:t>
      </w:r>
      <w:r w:rsidR="009F67EE">
        <w:rPr>
          <w:rFonts w:ascii="Times New Roman" w:hAnsi="Times New Roman"/>
          <w:sz w:val="24"/>
          <w:szCs w:val="24"/>
        </w:rPr>
        <w:t>5</w:t>
      </w:r>
      <w:r>
        <w:rPr>
          <w:rFonts w:ascii="Times New Roman" w:hAnsi="Times New Roman"/>
          <w:sz w:val="24"/>
          <w:szCs w:val="24"/>
        </w:rPr>
        <w:t xml:space="preserve"> and </w:t>
      </w:r>
      <w:r w:rsidR="009F67EE">
        <w:rPr>
          <w:rFonts w:ascii="Times New Roman" w:hAnsi="Times New Roman"/>
          <w:sz w:val="24"/>
          <w:szCs w:val="24"/>
        </w:rPr>
        <w:t>4</w:t>
      </w:r>
      <w:r>
        <w:rPr>
          <w:rFonts w:ascii="Times New Roman" w:hAnsi="Times New Roman"/>
          <w:sz w:val="24"/>
          <w:szCs w:val="24"/>
        </w:rPr>
        <w:t>.</w:t>
      </w:r>
      <w:r w:rsidR="009F67EE">
        <w:rPr>
          <w:rFonts w:ascii="Times New Roman" w:hAnsi="Times New Roman"/>
          <w:sz w:val="24"/>
          <w:szCs w:val="24"/>
        </w:rPr>
        <w:t>7</w:t>
      </w:r>
      <w:r>
        <w:rPr>
          <w:rFonts w:ascii="Times New Roman" w:hAnsi="Times New Roman"/>
          <w:sz w:val="24"/>
          <w:szCs w:val="24"/>
        </w:rPr>
        <w:t>9% in the former as compared to 0.3</w:t>
      </w:r>
      <w:r w:rsidR="009F67EE">
        <w:rPr>
          <w:rFonts w:ascii="Times New Roman" w:hAnsi="Times New Roman"/>
          <w:sz w:val="24"/>
          <w:szCs w:val="24"/>
        </w:rPr>
        <w:t>9</w:t>
      </w:r>
      <w:r>
        <w:rPr>
          <w:rFonts w:ascii="Times New Roman" w:hAnsi="Times New Roman"/>
          <w:sz w:val="24"/>
          <w:szCs w:val="24"/>
        </w:rPr>
        <w:t>, 0.8</w:t>
      </w:r>
      <w:r w:rsidR="009F67EE">
        <w:rPr>
          <w:rFonts w:ascii="Times New Roman" w:hAnsi="Times New Roman"/>
          <w:sz w:val="24"/>
          <w:szCs w:val="24"/>
        </w:rPr>
        <w:t>5</w:t>
      </w:r>
      <w:r>
        <w:rPr>
          <w:rFonts w:ascii="Times New Roman" w:hAnsi="Times New Roman"/>
          <w:sz w:val="24"/>
          <w:szCs w:val="24"/>
        </w:rPr>
        <w:t xml:space="preserve"> and </w:t>
      </w:r>
      <w:r w:rsidR="009F67EE">
        <w:rPr>
          <w:rFonts w:ascii="Times New Roman" w:hAnsi="Times New Roman"/>
          <w:sz w:val="24"/>
          <w:szCs w:val="24"/>
        </w:rPr>
        <w:t>7</w:t>
      </w:r>
      <w:r>
        <w:rPr>
          <w:rFonts w:ascii="Times New Roman" w:hAnsi="Times New Roman"/>
          <w:sz w:val="24"/>
          <w:szCs w:val="24"/>
        </w:rPr>
        <w:t>.</w:t>
      </w:r>
      <w:r w:rsidR="009F67EE">
        <w:rPr>
          <w:rFonts w:ascii="Times New Roman" w:hAnsi="Times New Roman"/>
          <w:sz w:val="24"/>
          <w:szCs w:val="24"/>
        </w:rPr>
        <w:t>6</w:t>
      </w:r>
      <w:r>
        <w:rPr>
          <w:rFonts w:ascii="Times New Roman" w:hAnsi="Times New Roman"/>
          <w:sz w:val="24"/>
          <w:szCs w:val="24"/>
        </w:rPr>
        <w:t>% in the latter.  The VAR model is also more conservative than the AR model, having a CPE over the downturn (recent) period of -</w:t>
      </w:r>
      <w:r w:rsidR="009F67EE">
        <w:rPr>
          <w:rFonts w:ascii="Times New Roman" w:hAnsi="Times New Roman"/>
          <w:sz w:val="24"/>
          <w:szCs w:val="24"/>
        </w:rPr>
        <w:t>4</w:t>
      </w:r>
      <w:r>
        <w:rPr>
          <w:rFonts w:ascii="Times New Roman" w:hAnsi="Times New Roman"/>
          <w:sz w:val="24"/>
          <w:szCs w:val="24"/>
        </w:rPr>
        <w:t>.</w:t>
      </w:r>
      <w:r w:rsidR="009F67EE">
        <w:rPr>
          <w:rFonts w:ascii="Times New Roman" w:hAnsi="Times New Roman"/>
          <w:sz w:val="24"/>
          <w:szCs w:val="24"/>
        </w:rPr>
        <w:t>37</w:t>
      </w:r>
      <w:r>
        <w:rPr>
          <w:rFonts w:ascii="Times New Roman" w:hAnsi="Times New Roman"/>
          <w:sz w:val="24"/>
          <w:szCs w:val="24"/>
        </w:rPr>
        <w:t>% (</w:t>
      </w:r>
      <w:r w:rsidR="005B0588">
        <w:rPr>
          <w:rFonts w:ascii="Times New Roman" w:hAnsi="Times New Roman"/>
          <w:sz w:val="24"/>
          <w:szCs w:val="24"/>
        </w:rPr>
        <w:t>5</w:t>
      </w:r>
      <w:r>
        <w:rPr>
          <w:rFonts w:ascii="Times New Roman" w:hAnsi="Times New Roman"/>
          <w:sz w:val="24"/>
          <w:szCs w:val="24"/>
        </w:rPr>
        <w:t>.</w:t>
      </w:r>
      <w:r w:rsidR="005B0588">
        <w:rPr>
          <w:rFonts w:ascii="Times New Roman" w:hAnsi="Times New Roman"/>
          <w:sz w:val="24"/>
          <w:szCs w:val="24"/>
        </w:rPr>
        <w:t>57</w:t>
      </w:r>
      <w:r>
        <w:rPr>
          <w:rFonts w:ascii="Times New Roman" w:hAnsi="Times New Roman"/>
          <w:sz w:val="24"/>
          <w:szCs w:val="24"/>
        </w:rPr>
        <w:t>%) in the former versus -</w:t>
      </w:r>
      <w:r w:rsidR="005B0588">
        <w:rPr>
          <w:rFonts w:ascii="Times New Roman" w:hAnsi="Times New Roman"/>
          <w:sz w:val="24"/>
          <w:szCs w:val="24"/>
        </w:rPr>
        <w:t>8</w:t>
      </w:r>
      <w:r>
        <w:rPr>
          <w:rFonts w:ascii="Times New Roman" w:hAnsi="Times New Roman"/>
          <w:sz w:val="24"/>
          <w:szCs w:val="24"/>
        </w:rPr>
        <w:t>.</w:t>
      </w:r>
      <w:r w:rsidR="005B0588">
        <w:rPr>
          <w:rFonts w:ascii="Times New Roman" w:hAnsi="Times New Roman"/>
          <w:sz w:val="24"/>
          <w:szCs w:val="24"/>
        </w:rPr>
        <w:t>46</w:t>
      </w:r>
      <w:r>
        <w:rPr>
          <w:rFonts w:ascii="Times New Roman" w:hAnsi="Times New Roman"/>
          <w:sz w:val="24"/>
          <w:szCs w:val="24"/>
        </w:rPr>
        <w:t>% (</w:t>
      </w:r>
      <w:r w:rsidR="005B0588">
        <w:rPr>
          <w:rFonts w:ascii="Times New Roman" w:hAnsi="Times New Roman"/>
          <w:sz w:val="24"/>
          <w:szCs w:val="24"/>
        </w:rPr>
        <w:t>10</w:t>
      </w:r>
      <w:r>
        <w:rPr>
          <w:rFonts w:ascii="Times New Roman" w:hAnsi="Times New Roman"/>
          <w:sz w:val="24"/>
          <w:szCs w:val="24"/>
        </w:rPr>
        <w:t>.2</w:t>
      </w:r>
      <w:r w:rsidR="005B0588">
        <w:rPr>
          <w:rFonts w:ascii="Times New Roman" w:hAnsi="Times New Roman"/>
          <w:sz w:val="24"/>
          <w:szCs w:val="24"/>
        </w:rPr>
        <w:t>9</w:t>
      </w:r>
      <w:r>
        <w:rPr>
          <w:rFonts w:ascii="Times New Roman" w:hAnsi="Times New Roman"/>
          <w:sz w:val="24"/>
          <w:szCs w:val="24"/>
        </w:rPr>
        <w:t xml:space="preserve">%) in the latter.   </w:t>
      </w:r>
    </w:p>
    <w:p w:rsidR="006A1D3E" w:rsidRDefault="006A1D3E" w:rsidP="006A1D3E">
      <w:pPr>
        <w:jc w:val="both"/>
        <w:rPr>
          <w:rFonts w:ascii="Times New Roman" w:hAnsi="Times New Roman"/>
          <w:sz w:val="24"/>
          <w:szCs w:val="24"/>
        </w:rPr>
      </w:pPr>
      <w:r>
        <w:rPr>
          <w:rFonts w:ascii="Times New Roman" w:hAnsi="Times New Roman"/>
          <w:sz w:val="24"/>
          <w:szCs w:val="24"/>
        </w:rPr>
        <w:lastRenderedPageBreak/>
        <w:t xml:space="preserve">Next, we discuss the results for the CC segment.  In the VAR model the autoregressive term is significantly positive and of substantial magnitude, a parameter estimate </w:t>
      </w:r>
      <w:r w:rsidR="005B0588">
        <w:rPr>
          <w:rFonts w:ascii="Times New Roman" w:hAnsi="Times New Roman"/>
          <w:sz w:val="24"/>
          <w:szCs w:val="24"/>
        </w:rPr>
        <w:t>0.</w:t>
      </w:r>
      <w:r w:rsidR="0052359A">
        <w:rPr>
          <w:rFonts w:ascii="Times New Roman" w:hAnsi="Times New Roman"/>
          <w:sz w:val="24"/>
          <w:szCs w:val="24"/>
        </w:rPr>
        <w:t>37</w:t>
      </w:r>
      <w:r w:rsidR="005B0588">
        <w:rPr>
          <w:rFonts w:ascii="Times New Roman" w:hAnsi="Times New Roman"/>
          <w:sz w:val="24"/>
          <w:szCs w:val="24"/>
        </w:rPr>
        <w:t>, which is also significant but rather somewhat in the AR model having an estimate 0.</w:t>
      </w:r>
      <w:r w:rsidR="0052359A">
        <w:rPr>
          <w:rFonts w:ascii="Times New Roman" w:hAnsi="Times New Roman"/>
          <w:sz w:val="24"/>
          <w:szCs w:val="24"/>
        </w:rPr>
        <w:t>87</w:t>
      </w:r>
      <w:r w:rsidR="005B0588">
        <w:rPr>
          <w:rFonts w:ascii="Times New Roman" w:hAnsi="Times New Roman"/>
          <w:sz w:val="24"/>
          <w:szCs w:val="24"/>
        </w:rPr>
        <w:t>.  The cross autoregressive terms on the CRE, CONS and CNI are significantly positive in the VAR model</w:t>
      </w:r>
      <w:r w:rsidR="005B0588" w:rsidRPr="009A4410">
        <w:rPr>
          <w:rFonts w:ascii="Times New Roman" w:hAnsi="Times New Roman"/>
          <w:sz w:val="24"/>
          <w:szCs w:val="24"/>
        </w:rPr>
        <w:t xml:space="preserve"> </w:t>
      </w:r>
      <w:r w:rsidR="005B0588">
        <w:rPr>
          <w:rFonts w:ascii="Times New Roman" w:hAnsi="Times New Roman"/>
          <w:sz w:val="24"/>
          <w:szCs w:val="24"/>
        </w:rPr>
        <w:t>and of lower of magnitude than the autocorrelation term, parameter estimates ranging in 0.26 to 0.53.  The coefficient estimates of the macroeconomic sensitivities are of acceptable magnitude with respect to model sensitivity and range in absolute vales of 0.0</w:t>
      </w:r>
      <w:r w:rsidR="0052359A">
        <w:rPr>
          <w:rFonts w:ascii="Times New Roman" w:hAnsi="Times New Roman"/>
          <w:sz w:val="24"/>
          <w:szCs w:val="24"/>
        </w:rPr>
        <w:t>06</w:t>
      </w:r>
      <w:r w:rsidR="005B0588">
        <w:rPr>
          <w:rFonts w:ascii="Times New Roman" w:hAnsi="Times New Roman"/>
          <w:sz w:val="24"/>
          <w:szCs w:val="24"/>
        </w:rPr>
        <w:t xml:space="preserve"> to 0.</w:t>
      </w:r>
      <w:r w:rsidR="0052359A">
        <w:rPr>
          <w:rFonts w:ascii="Times New Roman" w:hAnsi="Times New Roman"/>
          <w:sz w:val="24"/>
          <w:szCs w:val="24"/>
        </w:rPr>
        <w:t>27</w:t>
      </w:r>
      <w:r w:rsidR="005B0588">
        <w:rPr>
          <w:rFonts w:ascii="Times New Roman" w:hAnsi="Times New Roman"/>
          <w:sz w:val="24"/>
          <w:szCs w:val="24"/>
        </w:rPr>
        <w:t>; this compares to a range of 0.00</w:t>
      </w:r>
      <w:r w:rsidR="0052359A">
        <w:rPr>
          <w:rFonts w:ascii="Times New Roman" w:hAnsi="Times New Roman"/>
          <w:sz w:val="24"/>
          <w:szCs w:val="24"/>
        </w:rPr>
        <w:t>3</w:t>
      </w:r>
      <w:r w:rsidR="005B0588">
        <w:rPr>
          <w:rFonts w:ascii="Times New Roman" w:hAnsi="Times New Roman"/>
          <w:sz w:val="24"/>
          <w:szCs w:val="24"/>
        </w:rPr>
        <w:t xml:space="preserve"> to 0.1</w:t>
      </w:r>
      <w:r w:rsidR="0052359A">
        <w:rPr>
          <w:rFonts w:ascii="Times New Roman" w:hAnsi="Times New Roman"/>
          <w:sz w:val="24"/>
          <w:szCs w:val="24"/>
        </w:rPr>
        <w:t>4</w:t>
      </w:r>
      <w:r w:rsidR="005B0588">
        <w:rPr>
          <w:rFonts w:ascii="Times New Roman" w:hAnsi="Times New Roman"/>
          <w:sz w:val="24"/>
          <w:szCs w:val="24"/>
        </w:rPr>
        <w:t xml:space="preserve"> in the AR model, thereby showing that the VAR model exhibits greater macroeconomic sensitivity that the AR model.  According to the likelihood ratio test for the RRE segment, a value of -</w:t>
      </w:r>
      <w:r w:rsidR="004C458A">
        <w:rPr>
          <w:rFonts w:ascii="Times New Roman" w:hAnsi="Times New Roman"/>
          <w:sz w:val="24"/>
          <w:szCs w:val="24"/>
        </w:rPr>
        <w:t>34</w:t>
      </w:r>
      <w:r w:rsidR="005B0588">
        <w:rPr>
          <w:rFonts w:ascii="Times New Roman" w:hAnsi="Times New Roman"/>
          <w:sz w:val="24"/>
          <w:szCs w:val="24"/>
        </w:rPr>
        <w:t>.</w:t>
      </w:r>
      <w:r w:rsidR="004C458A">
        <w:rPr>
          <w:rFonts w:ascii="Times New Roman" w:hAnsi="Times New Roman"/>
          <w:sz w:val="24"/>
          <w:szCs w:val="24"/>
        </w:rPr>
        <w:t>81</w:t>
      </w:r>
      <w:r w:rsidR="005B0588">
        <w:rPr>
          <w:rFonts w:ascii="Times New Roman" w:hAnsi="Times New Roman"/>
          <w:sz w:val="24"/>
          <w:szCs w:val="24"/>
        </w:rPr>
        <w:t xml:space="preserve"> rejects the 35 parameter restrictions of the AR with respect to the VAR model at a very high level of confidence.  The VAR model outperforms the AR model for the RRE segment according to the RMSE, SC and CPE measures with values of 0.</w:t>
      </w:r>
      <w:r w:rsidR="004C458A">
        <w:rPr>
          <w:rFonts w:ascii="Times New Roman" w:hAnsi="Times New Roman"/>
          <w:sz w:val="24"/>
          <w:szCs w:val="24"/>
        </w:rPr>
        <w:t>1</w:t>
      </w:r>
      <w:r w:rsidR="005B0588">
        <w:rPr>
          <w:rFonts w:ascii="Times New Roman" w:hAnsi="Times New Roman"/>
          <w:sz w:val="24"/>
          <w:szCs w:val="24"/>
        </w:rPr>
        <w:t>0, 0.9</w:t>
      </w:r>
      <w:r w:rsidR="004C458A">
        <w:rPr>
          <w:rFonts w:ascii="Times New Roman" w:hAnsi="Times New Roman"/>
          <w:sz w:val="24"/>
          <w:szCs w:val="24"/>
        </w:rPr>
        <w:t>4</w:t>
      </w:r>
      <w:r w:rsidR="005B0588">
        <w:rPr>
          <w:rFonts w:ascii="Times New Roman" w:hAnsi="Times New Roman"/>
          <w:sz w:val="24"/>
          <w:szCs w:val="24"/>
        </w:rPr>
        <w:t xml:space="preserve"> and </w:t>
      </w:r>
      <w:r w:rsidR="004C458A">
        <w:rPr>
          <w:rFonts w:ascii="Times New Roman" w:hAnsi="Times New Roman"/>
          <w:sz w:val="24"/>
          <w:szCs w:val="24"/>
        </w:rPr>
        <w:t>3</w:t>
      </w:r>
      <w:r w:rsidR="005B0588">
        <w:rPr>
          <w:rFonts w:ascii="Times New Roman" w:hAnsi="Times New Roman"/>
          <w:sz w:val="24"/>
          <w:szCs w:val="24"/>
        </w:rPr>
        <w:t>.9</w:t>
      </w:r>
      <w:r w:rsidR="004C458A">
        <w:rPr>
          <w:rFonts w:ascii="Times New Roman" w:hAnsi="Times New Roman"/>
          <w:sz w:val="24"/>
          <w:szCs w:val="24"/>
        </w:rPr>
        <w:t>1</w:t>
      </w:r>
      <w:r w:rsidR="005B0588">
        <w:rPr>
          <w:rFonts w:ascii="Times New Roman" w:hAnsi="Times New Roman"/>
          <w:sz w:val="24"/>
          <w:szCs w:val="24"/>
        </w:rPr>
        <w:t>% in the former as compared to 0.</w:t>
      </w:r>
      <w:r w:rsidR="004C458A">
        <w:rPr>
          <w:rFonts w:ascii="Times New Roman" w:hAnsi="Times New Roman"/>
          <w:sz w:val="24"/>
          <w:szCs w:val="24"/>
        </w:rPr>
        <w:t>21</w:t>
      </w:r>
      <w:r w:rsidR="005B0588">
        <w:rPr>
          <w:rFonts w:ascii="Times New Roman" w:hAnsi="Times New Roman"/>
          <w:sz w:val="24"/>
          <w:szCs w:val="24"/>
        </w:rPr>
        <w:t>, 0.</w:t>
      </w:r>
      <w:r w:rsidR="004C458A">
        <w:rPr>
          <w:rFonts w:ascii="Times New Roman" w:hAnsi="Times New Roman"/>
          <w:sz w:val="24"/>
          <w:szCs w:val="24"/>
        </w:rPr>
        <w:t>79</w:t>
      </w:r>
      <w:r w:rsidR="005B0588">
        <w:rPr>
          <w:rFonts w:ascii="Times New Roman" w:hAnsi="Times New Roman"/>
          <w:sz w:val="24"/>
          <w:szCs w:val="24"/>
        </w:rPr>
        <w:t xml:space="preserve"> and </w:t>
      </w:r>
      <w:r w:rsidR="0003633E">
        <w:rPr>
          <w:rFonts w:ascii="Times New Roman" w:hAnsi="Times New Roman"/>
          <w:sz w:val="24"/>
          <w:szCs w:val="24"/>
        </w:rPr>
        <w:t>-</w:t>
      </w:r>
      <w:r w:rsidR="00692DD5">
        <w:rPr>
          <w:rFonts w:ascii="Times New Roman" w:hAnsi="Times New Roman"/>
          <w:sz w:val="24"/>
          <w:szCs w:val="24"/>
        </w:rPr>
        <w:t>11</w:t>
      </w:r>
      <w:r w:rsidR="005B0588">
        <w:rPr>
          <w:rFonts w:ascii="Times New Roman" w:hAnsi="Times New Roman"/>
          <w:sz w:val="24"/>
          <w:szCs w:val="24"/>
        </w:rPr>
        <w:t>.</w:t>
      </w:r>
      <w:r w:rsidR="00692DD5">
        <w:rPr>
          <w:rFonts w:ascii="Times New Roman" w:hAnsi="Times New Roman"/>
          <w:sz w:val="24"/>
          <w:szCs w:val="24"/>
        </w:rPr>
        <w:t>55</w:t>
      </w:r>
      <w:r w:rsidR="005B0588">
        <w:rPr>
          <w:rFonts w:ascii="Times New Roman" w:hAnsi="Times New Roman"/>
          <w:sz w:val="24"/>
          <w:szCs w:val="24"/>
        </w:rPr>
        <w:t>% in the latter.  The VAR model is also more conservative than the AR model, having a CPE over the downturn (recent) period of -</w:t>
      </w:r>
      <w:r w:rsidR="00692DD5">
        <w:rPr>
          <w:rFonts w:ascii="Times New Roman" w:hAnsi="Times New Roman"/>
          <w:sz w:val="24"/>
          <w:szCs w:val="24"/>
        </w:rPr>
        <w:t>3</w:t>
      </w:r>
      <w:r w:rsidR="005B0588">
        <w:rPr>
          <w:rFonts w:ascii="Times New Roman" w:hAnsi="Times New Roman"/>
          <w:sz w:val="24"/>
          <w:szCs w:val="24"/>
        </w:rPr>
        <w:t>.</w:t>
      </w:r>
      <w:r w:rsidR="00692DD5">
        <w:rPr>
          <w:rFonts w:ascii="Times New Roman" w:hAnsi="Times New Roman"/>
          <w:sz w:val="24"/>
          <w:szCs w:val="24"/>
        </w:rPr>
        <w:t>12</w:t>
      </w:r>
      <w:r w:rsidR="005B0588">
        <w:rPr>
          <w:rFonts w:ascii="Times New Roman" w:hAnsi="Times New Roman"/>
          <w:sz w:val="24"/>
          <w:szCs w:val="24"/>
        </w:rPr>
        <w:t>% (</w:t>
      </w:r>
      <w:r w:rsidR="00692DD5">
        <w:rPr>
          <w:rFonts w:ascii="Times New Roman" w:hAnsi="Times New Roman"/>
          <w:sz w:val="24"/>
          <w:szCs w:val="24"/>
        </w:rPr>
        <w:t>27</w:t>
      </w:r>
      <w:r w:rsidR="005B0588">
        <w:rPr>
          <w:rFonts w:ascii="Times New Roman" w:hAnsi="Times New Roman"/>
          <w:sz w:val="24"/>
          <w:szCs w:val="24"/>
        </w:rPr>
        <w:t>.7</w:t>
      </w:r>
      <w:r w:rsidR="00692DD5">
        <w:rPr>
          <w:rFonts w:ascii="Times New Roman" w:hAnsi="Times New Roman"/>
          <w:sz w:val="24"/>
          <w:szCs w:val="24"/>
        </w:rPr>
        <w:t>6</w:t>
      </w:r>
      <w:r w:rsidR="005B0588">
        <w:rPr>
          <w:rFonts w:ascii="Times New Roman" w:hAnsi="Times New Roman"/>
          <w:sz w:val="24"/>
          <w:szCs w:val="24"/>
        </w:rPr>
        <w:t xml:space="preserve">%) in the former versus </w:t>
      </w:r>
      <w:r w:rsidR="00692DD5">
        <w:rPr>
          <w:rFonts w:ascii="Times New Roman" w:hAnsi="Times New Roman"/>
          <w:sz w:val="24"/>
          <w:szCs w:val="24"/>
        </w:rPr>
        <w:t>6</w:t>
      </w:r>
      <w:r w:rsidR="005B0588">
        <w:rPr>
          <w:rFonts w:ascii="Times New Roman" w:hAnsi="Times New Roman"/>
          <w:sz w:val="24"/>
          <w:szCs w:val="24"/>
        </w:rPr>
        <w:t>.6</w:t>
      </w:r>
      <w:r w:rsidR="00692DD5">
        <w:rPr>
          <w:rFonts w:ascii="Times New Roman" w:hAnsi="Times New Roman"/>
          <w:sz w:val="24"/>
          <w:szCs w:val="24"/>
        </w:rPr>
        <w:t>7</w:t>
      </w:r>
      <w:r w:rsidR="005B0588">
        <w:rPr>
          <w:rFonts w:ascii="Times New Roman" w:hAnsi="Times New Roman"/>
          <w:sz w:val="24"/>
          <w:szCs w:val="24"/>
        </w:rPr>
        <w:t>% (</w:t>
      </w:r>
      <w:r w:rsidR="00692DD5">
        <w:rPr>
          <w:rFonts w:ascii="Times New Roman" w:hAnsi="Times New Roman"/>
          <w:sz w:val="24"/>
          <w:szCs w:val="24"/>
        </w:rPr>
        <w:t>-22</w:t>
      </w:r>
      <w:r w:rsidR="005B0588">
        <w:rPr>
          <w:rFonts w:ascii="Times New Roman" w:hAnsi="Times New Roman"/>
          <w:sz w:val="24"/>
          <w:szCs w:val="24"/>
        </w:rPr>
        <w:t>.</w:t>
      </w:r>
      <w:r w:rsidR="00692DD5">
        <w:rPr>
          <w:rFonts w:ascii="Times New Roman" w:hAnsi="Times New Roman"/>
          <w:sz w:val="24"/>
          <w:szCs w:val="24"/>
        </w:rPr>
        <w:t>5</w:t>
      </w:r>
      <w:r w:rsidR="005B0588">
        <w:rPr>
          <w:rFonts w:ascii="Times New Roman" w:hAnsi="Times New Roman"/>
          <w:sz w:val="24"/>
          <w:szCs w:val="24"/>
        </w:rPr>
        <w:t>%) in the latter.</w:t>
      </w:r>
      <w:r>
        <w:rPr>
          <w:rFonts w:ascii="Times New Roman" w:hAnsi="Times New Roman"/>
          <w:sz w:val="24"/>
          <w:szCs w:val="24"/>
        </w:rPr>
        <w:t xml:space="preserve">   </w:t>
      </w:r>
    </w:p>
    <w:p w:rsidR="006A1D3E" w:rsidRDefault="006A1D3E" w:rsidP="006A1D3E">
      <w:pPr>
        <w:jc w:val="both"/>
        <w:rPr>
          <w:rFonts w:ascii="Times New Roman" w:hAnsi="Times New Roman"/>
          <w:sz w:val="24"/>
          <w:szCs w:val="24"/>
        </w:rPr>
      </w:pPr>
      <w:r>
        <w:rPr>
          <w:rFonts w:ascii="Times New Roman" w:hAnsi="Times New Roman"/>
          <w:sz w:val="24"/>
          <w:szCs w:val="24"/>
        </w:rPr>
        <w:t xml:space="preserve">Finally, </w:t>
      </w:r>
      <w:r w:rsidR="008F1D22">
        <w:rPr>
          <w:rFonts w:ascii="Times New Roman" w:hAnsi="Times New Roman"/>
          <w:sz w:val="24"/>
          <w:szCs w:val="24"/>
        </w:rPr>
        <w:t xml:space="preserve">we discuss the results for the C&amp;I segment.  </w:t>
      </w:r>
      <w:r>
        <w:rPr>
          <w:rFonts w:ascii="Times New Roman" w:hAnsi="Times New Roman"/>
          <w:sz w:val="24"/>
          <w:szCs w:val="24"/>
        </w:rPr>
        <w:t xml:space="preserve">In the VAR model the autoregressive term is significantly positive and of substantial magnitude, a parameter estimate </w:t>
      </w:r>
      <w:r w:rsidR="003F7DBE">
        <w:rPr>
          <w:rFonts w:ascii="Times New Roman" w:hAnsi="Times New Roman"/>
          <w:sz w:val="24"/>
          <w:szCs w:val="24"/>
        </w:rPr>
        <w:t>0.</w:t>
      </w:r>
      <w:r w:rsidR="0002193E">
        <w:rPr>
          <w:rFonts w:ascii="Times New Roman" w:hAnsi="Times New Roman"/>
          <w:sz w:val="24"/>
          <w:szCs w:val="24"/>
        </w:rPr>
        <w:t>79</w:t>
      </w:r>
      <w:r w:rsidR="003F7DBE">
        <w:rPr>
          <w:rFonts w:ascii="Times New Roman" w:hAnsi="Times New Roman"/>
          <w:sz w:val="24"/>
          <w:szCs w:val="24"/>
        </w:rPr>
        <w:t>, which is also significant but rather somewhat in the AR model having an estimate 0.8</w:t>
      </w:r>
      <w:r w:rsidR="0002193E">
        <w:rPr>
          <w:rFonts w:ascii="Times New Roman" w:hAnsi="Times New Roman"/>
          <w:sz w:val="24"/>
          <w:szCs w:val="24"/>
        </w:rPr>
        <w:t>4</w:t>
      </w:r>
      <w:r w:rsidR="003F7DBE">
        <w:rPr>
          <w:rFonts w:ascii="Times New Roman" w:hAnsi="Times New Roman"/>
          <w:sz w:val="24"/>
          <w:szCs w:val="24"/>
        </w:rPr>
        <w:t>.  The cross autoregressive terms on the CRE, CONS and CNI are significantly positive in the VAR model</w:t>
      </w:r>
      <w:r w:rsidR="003F7DBE" w:rsidRPr="009A4410">
        <w:rPr>
          <w:rFonts w:ascii="Times New Roman" w:hAnsi="Times New Roman"/>
          <w:sz w:val="24"/>
          <w:szCs w:val="24"/>
        </w:rPr>
        <w:t xml:space="preserve"> </w:t>
      </w:r>
      <w:r w:rsidR="003F7DBE">
        <w:rPr>
          <w:rFonts w:ascii="Times New Roman" w:hAnsi="Times New Roman"/>
          <w:sz w:val="24"/>
          <w:szCs w:val="24"/>
        </w:rPr>
        <w:t>and of lower of magnitude than the autocorrelation term, parameter estimates ranging in 0.</w:t>
      </w:r>
      <w:r w:rsidR="0002193E">
        <w:rPr>
          <w:rFonts w:ascii="Times New Roman" w:hAnsi="Times New Roman"/>
          <w:sz w:val="24"/>
          <w:szCs w:val="24"/>
        </w:rPr>
        <w:t>01</w:t>
      </w:r>
      <w:r w:rsidR="003F7DBE">
        <w:rPr>
          <w:rFonts w:ascii="Times New Roman" w:hAnsi="Times New Roman"/>
          <w:sz w:val="24"/>
          <w:szCs w:val="24"/>
        </w:rPr>
        <w:t xml:space="preserve"> to 0.</w:t>
      </w:r>
      <w:r w:rsidR="0002193E">
        <w:rPr>
          <w:rFonts w:ascii="Times New Roman" w:hAnsi="Times New Roman"/>
          <w:sz w:val="24"/>
          <w:szCs w:val="24"/>
        </w:rPr>
        <w:t>40</w:t>
      </w:r>
      <w:r w:rsidR="003F7DBE">
        <w:rPr>
          <w:rFonts w:ascii="Times New Roman" w:hAnsi="Times New Roman"/>
          <w:sz w:val="24"/>
          <w:szCs w:val="24"/>
        </w:rPr>
        <w:t>.  The coefficient estimates of the macroeconomic sensitivities are of acceptable magnitude with respect to model sensitivity and range in absolute vales of 0.00</w:t>
      </w:r>
      <w:r w:rsidR="00320F9F">
        <w:rPr>
          <w:rFonts w:ascii="Times New Roman" w:hAnsi="Times New Roman"/>
          <w:sz w:val="24"/>
          <w:szCs w:val="24"/>
        </w:rPr>
        <w:t>5</w:t>
      </w:r>
      <w:r w:rsidR="003F7DBE">
        <w:rPr>
          <w:rFonts w:ascii="Times New Roman" w:hAnsi="Times New Roman"/>
          <w:sz w:val="24"/>
          <w:szCs w:val="24"/>
        </w:rPr>
        <w:t xml:space="preserve"> to 0.</w:t>
      </w:r>
      <w:r w:rsidR="00320F9F">
        <w:rPr>
          <w:rFonts w:ascii="Times New Roman" w:hAnsi="Times New Roman"/>
          <w:sz w:val="24"/>
          <w:szCs w:val="24"/>
        </w:rPr>
        <w:t>07</w:t>
      </w:r>
      <w:r w:rsidR="003F7DBE">
        <w:rPr>
          <w:rFonts w:ascii="Times New Roman" w:hAnsi="Times New Roman"/>
          <w:sz w:val="24"/>
          <w:szCs w:val="24"/>
        </w:rPr>
        <w:t>; this compares to a range of 0.003 to 0.</w:t>
      </w:r>
      <w:r w:rsidR="00320F9F">
        <w:rPr>
          <w:rFonts w:ascii="Times New Roman" w:hAnsi="Times New Roman"/>
          <w:sz w:val="24"/>
          <w:szCs w:val="24"/>
        </w:rPr>
        <w:t>05</w:t>
      </w:r>
      <w:r w:rsidR="003F7DBE">
        <w:rPr>
          <w:rFonts w:ascii="Times New Roman" w:hAnsi="Times New Roman"/>
          <w:sz w:val="24"/>
          <w:szCs w:val="24"/>
        </w:rPr>
        <w:t xml:space="preserve"> in the AR model, thereby showing that the VAR model exhibits greater macroeconomic sensitivity that the AR model.  According to the likelihood ratio test for the RRE segment, a value of -</w:t>
      </w:r>
      <w:r w:rsidR="00F05DD8">
        <w:rPr>
          <w:rFonts w:ascii="Times New Roman" w:hAnsi="Times New Roman"/>
          <w:sz w:val="24"/>
          <w:szCs w:val="24"/>
        </w:rPr>
        <w:t>5</w:t>
      </w:r>
      <w:r w:rsidR="003F7DBE">
        <w:rPr>
          <w:rFonts w:ascii="Times New Roman" w:hAnsi="Times New Roman"/>
          <w:sz w:val="24"/>
          <w:szCs w:val="24"/>
        </w:rPr>
        <w:t>.</w:t>
      </w:r>
      <w:r w:rsidR="00F05DD8">
        <w:rPr>
          <w:rFonts w:ascii="Times New Roman" w:hAnsi="Times New Roman"/>
          <w:sz w:val="24"/>
          <w:szCs w:val="24"/>
        </w:rPr>
        <w:t>33</w:t>
      </w:r>
      <w:r w:rsidR="003F7DBE">
        <w:rPr>
          <w:rFonts w:ascii="Times New Roman" w:hAnsi="Times New Roman"/>
          <w:sz w:val="24"/>
          <w:szCs w:val="24"/>
        </w:rPr>
        <w:t xml:space="preserve"> rejects the 35 parameter restrictions of the AR with respect to the VAR model at a very high level of confidence.  The VAR model outperforms the AR model for the RRE segment according to the RMSE, SC and CPE measures with values of 0.</w:t>
      </w:r>
      <w:r w:rsidR="0003633E">
        <w:rPr>
          <w:rFonts w:ascii="Times New Roman" w:hAnsi="Times New Roman"/>
          <w:sz w:val="24"/>
          <w:szCs w:val="24"/>
        </w:rPr>
        <w:t>24</w:t>
      </w:r>
      <w:r w:rsidR="003F7DBE">
        <w:rPr>
          <w:rFonts w:ascii="Times New Roman" w:hAnsi="Times New Roman"/>
          <w:sz w:val="24"/>
          <w:szCs w:val="24"/>
        </w:rPr>
        <w:t>, 0.9</w:t>
      </w:r>
      <w:r w:rsidR="0003633E">
        <w:rPr>
          <w:rFonts w:ascii="Times New Roman" w:hAnsi="Times New Roman"/>
          <w:sz w:val="24"/>
          <w:szCs w:val="24"/>
        </w:rPr>
        <w:t>0</w:t>
      </w:r>
      <w:r w:rsidR="003F7DBE">
        <w:rPr>
          <w:rFonts w:ascii="Times New Roman" w:hAnsi="Times New Roman"/>
          <w:sz w:val="24"/>
          <w:szCs w:val="24"/>
        </w:rPr>
        <w:t xml:space="preserve"> and </w:t>
      </w:r>
      <w:r w:rsidR="0003633E">
        <w:rPr>
          <w:rFonts w:ascii="Times New Roman" w:hAnsi="Times New Roman"/>
          <w:sz w:val="24"/>
          <w:szCs w:val="24"/>
        </w:rPr>
        <w:t>-11.30</w:t>
      </w:r>
      <w:r w:rsidR="003F7DBE">
        <w:rPr>
          <w:rFonts w:ascii="Times New Roman" w:hAnsi="Times New Roman"/>
          <w:sz w:val="24"/>
          <w:szCs w:val="24"/>
        </w:rPr>
        <w:t>% in the former as compared to 0.</w:t>
      </w:r>
      <w:r w:rsidR="0003633E">
        <w:rPr>
          <w:rFonts w:ascii="Times New Roman" w:hAnsi="Times New Roman"/>
          <w:sz w:val="24"/>
          <w:szCs w:val="24"/>
        </w:rPr>
        <w:t>3</w:t>
      </w:r>
      <w:r w:rsidR="003F7DBE">
        <w:rPr>
          <w:rFonts w:ascii="Times New Roman" w:hAnsi="Times New Roman"/>
          <w:sz w:val="24"/>
          <w:szCs w:val="24"/>
        </w:rPr>
        <w:t>1, 0.</w:t>
      </w:r>
      <w:r w:rsidR="0003633E">
        <w:rPr>
          <w:rFonts w:ascii="Times New Roman" w:hAnsi="Times New Roman"/>
          <w:sz w:val="24"/>
          <w:szCs w:val="24"/>
        </w:rPr>
        <w:t>80</w:t>
      </w:r>
      <w:r w:rsidR="003F7DBE">
        <w:rPr>
          <w:rFonts w:ascii="Times New Roman" w:hAnsi="Times New Roman"/>
          <w:sz w:val="24"/>
          <w:szCs w:val="24"/>
        </w:rPr>
        <w:t xml:space="preserve"> and 11.55% in the latter.  The VAR model is also more conservative than the AR model, having a CPE over the downturn (recent) period of -</w:t>
      </w:r>
      <w:r w:rsidR="0046601C">
        <w:rPr>
          <w:rFonts w:ascii="Times New Roman" w:hAnsi="Times New Roman"/>
          <w:sz w:val="24"/>
          <w:szCs w:val="24"/>
        </w:rPr>
        <w:t>4</w:t>
      </w:r>
      <w:r w:rsidR="003F7DBE">
        <w:rPr>
          <w:rFonts w:ascii="Times New Roman" w:hAnsi="Times New Roman"/>
          <w:sz w:val="24"/>
          <w:szCs w:val="24"/>
        </w:rPr>
        <w:t>.</w:t>
      </w:r>
      <w:r w:rsidR="0046601C">
        <w:rPr>
          <w:rFonts w:ascii="Times New Roman" w:hAnsi="Times New Roman"/>
          <w:sz w:val="24"/>
          <w:szCs w:val="24"/>
        </w:rPr>
        <w:t>07</w:t>
      </w:r>
      <w:r w:rsidR="003F7DBE">
        <w:rPr>
          <w:rFonts w:ascii="Times New Roman" w:hAnsi="Times New Roman"/>
          <w:sz w:val="24"/>
          <w:szCs w:val="24"/>
        </w:rPr>
        <w:t>% (</w:t>
      </w:r>
      <w:r w:rsidR="0046601C">
        <w:rPr>
          <w:rFonts w:ascii="Times New Roman" w:hAnsi="Times New Roman"/>
          <w:sz w:val="24"/>
          <w:szCs w:val="24"/>
        </w:rPr>
        <w:t>4</w:t>
      </w:r>
      <w:r w:rsidR="003F7DBE">
        <w:rPr>
          <w:rFonts w:ascii="Times New Roman" w:hAnsi="Times New Roman"/>
          <w:sz w:val="24"/>
          <w:szCs w:val="24"/>
        </w:rPr>
        <w:t>.</w:t>
      </w:r>
      <w:r w:rsidR="0046601C">
        <w:rPr>
          <w:rFonts w:ascii="Times New Roman" w:hAnsi="Times New Roman"/>
          <w:sz w:val="24"/>
          <w:szCs w:val="24"/>
        </w:rPr>
        <w:t>00</w:t>
      </w:r>
      <w:r w:rsidR="003F7DBE">
        <w:rPr>
          <w:rFonts w:ascii="Times New Roman" w:hAnsi="Times New Roman"/>
          <w:sz w:val="24"/>
          <w:szCs w:val="24"/>
        </w:rPr>
        <w:t xml:space="preserve">%) in the former versus </w:t>
      </w:r>
      <w:r w:rsidR="0046601C">
        <w:rPr>
          <w:rFonts w:ascii="Times New Roman" w:hAnsi="Times New Roman"/>
          <w:sz w:val="24"/>
          <w:szCs w:val="24"/>
        </w:rPr>
        <w:t>-8</w:t>
      </w:r>
      <w:r w:rsidR="003F7DBE">
        <w:rPr>
          <w:rFonts w:ascii="Times New Roman" w:hAnsi="Times New Roman"/>
          <w:sz w:val="24"/>
          <w:szCs w:val="24"/>
        </w:rPr>
        <w:t>.</w:t>
      </w:r>
      <w:r w:rsidR="0046601C">
        <w:rPr>
          <w:rFonts w:ascii="Times New Roman" w:hAnsi="Times New Roman"/>
          <w:sz w:val="24"/>
          <w:szCs w:val="24"/>
        </w:rPr>
        <w:t>34</w:t>
      </w:r>
      <w:r w:rsidR="003F7DBE">
        <w:rPr>
          <w:rFonts w:ascii="Times New Roman" w:hAnsi="Times New Roman"/>
          <w:sz w:val="24"/>
          <w:szCs w:val="24"/>
        </w:rPr>
        <w:t>% (-</w:t>
      </w:r>
      <w:r w:rsidR="0046601C">
        <w:rPr>
          <w:rFonts w:ascii="Times New Roman" w:hAnsi="Times New Roman"/>
          <w:sz w:val="24"/>
          <w:szCs w:val="24"/>
        </w:rPr>
        <w:t>6</w:t>
      </w:r>
      <w:r w:rsidR="003F7DBE">
        <w:rPr>
          <w:rFonts w:ascii="Times New Roman" w:hAnsi="Times New Roman"/>
          <w:sz w:val="24"/>
          <w:szCs w:val="24"/>
        </w:rPr>
        <w:t>.</w:t>
      </w:r>
      <w:r w:rsidR="0046601C">
        <w:rPr>
          <w:rFonts w:ascii="Times New Roman" w:hAnsi="Times New Roman"/>
          <w:sz w:val="24"/>
          <w:szCs w:val="24"/>
        </w:rPr>
        <w:t>86</w:t>
      </w:r>
      <w:r w:rsidR="003F7DBE">
        <w:rPr>
          <w:rFonts w:ascii="Times New Roman" w:hAnsi="Times New Roman"/>
          <w:sz w:val="24"/>
          <w:szCs w:val="24"/>
        </w:rPr>
        <w:t>%) in the latter.</w:t>
      </w:r>
    </w:p>
    <w:p w:rsidR="00001CE0" w:rsidRDefault="00001CE0">
      <w:pPr>
        <w:rPr>
          <w:rFonts w:ascii="Times New Roman" w:hAnsi="Times New Roman"/>
          <w:b/>
          <w:sz w:val="24"/>
          <w:szCs w:val="24"/>
        </w:rPr>
      </w:pPr>
      <w:r>
        <w:rPr>
          <w:rFonts w:ascii="Times New Roman" w:hAnsi="Times New Roman"/>
          <w:b/>
          <w:sz w:val="24"/>
          <w:szCs w:val="24"/>
        </w:rPr>
        <w:br w:type="page"/>
      </w:r>
    </w:p>
    <w:p w:rsidR="00001CE0" w:rsidRDefault="00001CE0" w:rsidP="00001CE0">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1</w:t>
      </w:r>
      <w:r w:rsidRPr="00500F8C">
        <w:rPr>
          <w:rFonts w:ascii="Times New Roman" w:hAnsi="Times New Roman"/>
          <w:b/>
          <w:sz w:val="24"/>
          <w:szCs w:val="24"/>
        </w:rPr>
        <w:t xml:space="preserve">:  Vector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w:t>
      </w:r>
      <w:r w:rsidR="00B460E7">
        <w:rPr>
          <w:rFonts w:ascii="Times New Roman" w:hAnsi="Times New Roman"/>
          <w:b/>
          <w:sz w:val="24"/>
          <w:szCs w:val="24"/>
        </w:rPr>
        <w:t>1-Step Ahead Model Predictions vs. Historical Data</w:t>
      </w:r>
    </w:p>
    <w:p w:rsidR="00001CE0" w:rsidRDefault="00001CE0" w:rsidP="00001CE0">
      <w:pPr>
        <w:rPr>
          <w:rFonts w:ascii="Times New Roman" w:hAnsi="Times New Roman"/>
          <w:b/>
          <w:sz w:val="24"/>
          <w:szCs w:val="24"/>
        </w:rPr>
      </w:pPr>
      <w:r w:rsidRPr="00001CE0">
        <w:rPr>
          <w:noProof/>
        </w:rPr>
        <w:drawing>
          <wp:inline distT="0" distB="0" distL="0" distR="0" wp14:anchorId="668D5EB4" wp14:editId="587714F4">
            <wp:extent cx="4857143" cy="284761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857143" cy="2847619"/>
                    </a:xfrm>
                    <a:prstGeom prst="rect">
                      <a:avLst/>
                    </a:prstGeom>
                  </pic:spPr>
                </pic:pic>
              </a:graphicData>
            </a:graphic>
          </wp:inline>
        </w:drawing>
      </w:r>
    </w:p>
    <w:p w:rsidR="00B460E7" w:rsidRDefault="00B460E7" w:rsidP="00B460E7">
      <w:pPr>
        <w:rPr>
          <w:rFonts w:ascii="Times New Roman" w:hAnsi="Times New Roman"/>
          <w:b/>
          <w:sz w:val="24"/>
          <w:szCs w:val="24"/>
        </w:rPr>
      </w:pPr>
    </w:p>
    <w:p w:rsidR="00B460E7" w:rsidRDefault="00B460E7" w:rsidP="00B460E7">
      <w:pPr>
        <w:rPr>
          <w:rFonts w:ascii="Times New Roman" w:hAnsi="Times New Roman"/>
          <w:b/>
          <w:sz w:val="24"/>
          <w:szCs w:val="24"/>
        </w:rPr>
      </w:pPr>
      <w:r>
        <w:rPr>
          <w:rFonts w:ascii="Times New Roman" w:hAnsi="Times New Roman"/>
          <w:b/>
          <w:sz w:val="24"/>
          <w:szCs w:val="24"/>
        </w:rPr>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2</w:t>
      </w:r>
      <w:r w:rsidRPr="00500F8C">
        <w:rPr>
          <w:rFonts w:ascii="Times New Roman" w:hAnsi="Times New Roman"/>
          <w:b/>
          <w:sz w:val="24"/>
          <w:szCs w:val="24"/>
        </w:rPr>
        <w:t xml:space="preserve">:  Vector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w:t>
      </w:r>
      <w:r w:rsidR="00711711">
        <w:rPr>
          <w:rFonts w:ascii="Times New Roman" w:hAnsi="Times New Roman"/>
          <w:b/>
          <w:sz w:val="24"/>
          <w:szCs w:val="24"/>
        </w:rPr>
        <w:t>Time Series, Cumulative Sum and</w:t>
      </w:r>
      <w:r>
        <w:rPr>
          <w:rFonts w:ascii="Times New Roman" w:hAnsi="Times New Roman"/>
          <w:b/>
          <w:sz w:val="24"/>
          <w:szCs w:val="24"/>
        </w:rPr>
        <w:t xml:space="preserve"> </w:t>
      </w:r>
      <w:r w:rsidR="00711711">
        <w:rPr>
          <w:rFonts w:ascii="Times New Roman" w:hAnsi="Times New Roman"/>
          <w:b/>
          <w:sz w:val="24"/>
          <w:szCs w:val="24"/>
        </w:rPr>
        <w:t xml:space="preserve">Histogram </w:t>
      </w:r>
      <w:r>
        <w:rPr>
          <w:rFonts w:ascii="Times New Roman" w:hAnsi="Times New Roman"/>
          <w:b/>
          <w:sz w:val="24"/>
          <w:szCs w:val="24"/>
        </w:rPr>
        <w:t>Plots</w:t>
      </w:r>
    </w:p>
    <w:p w:rsidR="00B460E7" w:rsidRDefault="00711711" w:rsidP="00B460E7">
      <w:pPr>
        <w:rPr>
          <w:rFonts w:ascii="Times New Roman" w:hAnsi="Times New Roman"/>
          <w:b/>
          <w:sz w:val="24"/>
          <w:szCs w:val="24"/>
        </w:rPr>
      </w:pPr>
      <w:r w:rsidRPr="00711711">
        <w:rPr>
          <w:noProof/>
        </w:rPr>
        <w:drawing>
          <wp:inline distT="0" distB="0" distL="0" distR="0" wp14:anchorId="07A06213" wp14:editId="2EDF2A33">
            <wp:extent cx="4923810" cy="2885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923810" cy="2885714"/>
                    </a:xfrm>
                    <a:prstGeom prst="rect">
                      <a:avLst/>
                    </a:prstGeom>
                  </pic:spPr>
                </pic:pic>
              </a:graphicData>
            </a:graphic>
          </wp:inline>
        </w:drawing>
      </w:r>
    </w:p>
    <w:p w:rsidR="00B460E7" w:rsidRDefault="00B460E7" w:rsidP="00B460E7">
      <w:pPr>
        <w:rPr>
          <w:rFonts w:ascii="Times New Roman" w:hAnsi="Times New Roman"/>
          <w:b/>
          <w:sz w:val="24"/>
          <w:szCs w:val="24"/>
        </w:rPr>
      </w:pPr>
    </w:p>
    <w:p w:rsidR="00711711" w:rsidRDefault="00711711" w:rsidP="00711711">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sidR="00E13164">
        <w:rPr>
          <w:rFonts w:ascii="Times New Roman" w:hAnsi="Times New Roman"/>
          <w:b/>
          <w:sz w:val="24"/>
          <w:szCs w:val="24"/>
        </w:rPr>
        <w:t>3</w:t>
      </w:r>
      <w:r w:rsidRPr="00500F8C">
        <w:rPr>
          <w:rFonts w:ascii="Times New Roman" w:hAnsi="Times New Roman"/>
          <w:b/>
          <w:sz w:val="24"/>
          <w:szCs w:val="24"/>
        </w:rPr>
        <w:t xml:space="preserve">:  Vector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Autocorrelation Plots</w:t>
      </w:r>
    </w:p>
    <w:p w:rsidR="00001CE0" w:rsidRDefault="00E13164" w:rsidP="00001CE0">
      <w:pPr>
        <w:rPr>
          <w:rFonts w:ascii="Times New Roman" w:hAnsi="Times New Roman"/>
          <w:b/>
          <w:sz w:val="24"/>
          <w:szCs w:val="24"/>
        </w:rPr>
      </w:pPr>
      <w:r w:rsidRPr="00E13164">
        <w:rPr>
          <w:noProof/>
        </w:rPr>
        <w:drawing>
          <wp:inline distT="0" distB="0" distL="0" distR="0" wp14:anchorId="15FB639F" wp14:editId="68299490">
            <wp:extent cx="5580953" cy="3276191"/>
            <wp:effectExtent l="0" t="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580953" cy="3276191"/>
                    </a:xfrm>
                    <a:prstGeom prst="rect">
                      <a:avLst/>
                    </a:prstGeom>
                  </pic:spPr>
                </pic:pic>
              </a:graphicData>
            </a:graphic>
          </wp:inline>
        </w:drawing>
      </w:r>
    </w:p>
    <w:p w:rsidR="00E13164" w:rsidRDefault="00E13164" w:rsidP="00001CE0">
      <w:pPr>
        <w:rPr>
          <w:rFonts w:ascii="Times New Roman" w:hAnsi="Times New Roman"/>
          <w:b/>
          <w:sz w:val="24"/>
          <w:szCs w:val="24"/>
        </w:rPr>
      </w:pPr>
    </w:p>
    <w:p w:rsidR="000A14FE" w:rsidRDefault="000A14FE" w:rsidP="000A14FE">
      <w:pPr>
        <w:rPr>
          <w:rFonts w:ascii="Times New Roman" w:hAnsi="Times New Roman"/>
          <w:b/>
          <w:sz w:val="24"/>
          <w:szCs w:val="24"/>
        </w:rPr>
      </w:pPr>
      <w:r>
        <w:rPr>
          <w:rFonts w:ascii="Times New Roman" w:hAnsi="Times New Roman"/>
          <w:b/>
          <w:sz w:val="24"/>
          <w:szCs w:val="24"/>
        </w:rPr>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4</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1-Step Ahead Model Predictions vs. Historical Data (Residential Real Estate)</w:t>
      </w:r>
    </w:p>
    <w:p w:rsidR="00E02AE5" w:rsidRDefault="000A14FE" w:rsidP="000A14FE">
      <w:pPr>
        <w:rPr>
          <w:rFonts w:ascii="Times New Roman" w:hAnsi="Times New Roman"/>
          <w:b/>
          <w:sz w:val="24"/>
          <w:szCs w:val="24"/>
        </w:rPr>
      </w:pPr>
      <w:r>
        <w:rPr>
          <w:noProof/>
        </w:rPr>
        <w:drawing>
          <wp:inline distT="0" distB="0" distL="0" distR="0" wp14:anchorId="6E24DCE8" wp14:editId="65F46D8E">
            <wp:extent cx="5305425" cy="3103673"/>
            <wp:effectExtent l="19050" t="19050" r="9525" b="2095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34"/>
                    <a:stretch>
                      <a:fillRect/>
                    </a:stretch>
                  </pic:blipFill>
                  <pic:spPr>
                    <a:xfrm>
                      <a:off x="0" y="0"/>
                      <a:ext cx="5311939" cy="3107484"/>
                    </a:xfrm>
                    <a:prstGeom prst="rect">
                      <a:avLst/>
                    </a:prstGeom>
                    <a:ln>
                      <a:solidFill>
                        <a:schemeClr val="tx1"/>
                      </a:solidFill>
                    </a:ln>
                  </pic:spPr>
                </pic:pic>
              </a:graphicData>
            </a:graphic>
          </wp:inline>
        </w:drawing>
      </w:r>
    </w:p>
    <w:p w:rsidR="00E02AE5" w:rsidRDefault="00E02AE5" w:rsidP="00E02AE5">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5</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Time Series, Cumulative Sum and Histogram Plots (Residential Real Estate)</w:t>
      </w:r>
    </w:p>
    <w:p w:rsidR="00E02AE5" w:rsidRDefault="00E02AE5" w:rsidP="00E02AE5">
      <w:pPr>
        <w:rPr>
          <w:rFonts w:ascii="Times New Roman" w:hAnsi="Times New Roman"/>
          <w:b/>
          <w:sz w:val="24"/>
          <w:szCs w:val="24"/>
        </w:rPr>
      </w:pPr>
      <w:r>
        <w:rPr>
          <w:noProof/>
        </w:rPr>
        <w:drawing>
          <wp:inline distT="0" distB="0" distL="0" distR="0" wp14:anchorId="5896F082" wp14:editId="503B6D8E">
            <wp:extent cx="5172075" cy="3025663"/>
            <wp:effectExtent l="19050" t="19050" r="9525" b="2286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35"/>
                    <a:stretch>
                      <a:fillRect/>
                    </a:stretch>
                  </pic:blipFill>
                  <pic:spPr>
                    <a:xfrm>
                      <a:off x="0" y="0"/>
                      <a:ext cx="5172075" cy="3025663"/>
                    </a:xfrm>
                    <a:prstGeom prst="rect">
                      <a:avLst/>
                    </a:prstGeom>
                    <a:ln>
                      <a:solidFill>
                        <a:schemeClr val="tx1"/>
                      </a:solidFill>
                    </a:ln>
                  </pic:spPr>
                </pic:pic>
              </a:graphicData>
            </a:graphic>
          </wp:inline>
        </w:drawing>
      </w:r>
    </w:p>
    <w:p w:rsidR="00D7290C" w:rsidRDefault="00D7290C" w:rsidP="00E02AE5">
      <w:pPr>
        <w:rPr>
          <w:rFonts w:ascii="Times New Roman" w:hAnsi="Times New Roman"/>
          <w:b/>
          <w:sz w:val="24"/>
          <w:szCs w:val="24"/>
        </w:rPr>
      </w:pPr>
    </w:p>
    <w:p w:rsidR="00E02AE5" w:rsidRDefault="00D7290C" w:rsidP="00E02AE5">
      <w:pPr>
        <w:rPr>
          <w:rFonts w:ascii="Times New Roman" w:hAnsi="Times New Roman"/>
          <w:b/>
          <w:sz w:val="24"/>
          <w:szCs w:val="24"/>
        </w:rPr>
      </w:pPr>
      <w:r>
        <w:rPr>
          <w:rFonts w:ascii="Times New Roman" w:hAnsi="Times New Roman"/>
          <w:b/>
          <w:sz w:val="24"/>
          <w:szCs w:val="24"/>
        </w:rPr>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6</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Vector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Autocorrelation Plots (Residential Real Estate)</w:t>
      </w:r>
    </w:p>
    <w:p w:rsidR="00D7290C" w:rsidRDefault="00D7290C" w:rsidP="00E02AE5">
      <w:pPr>
        <w:rPr>
          <w:rFonts w:ascii="Times New Roman" w:hAnsi="Times New Roman"/>
          <w:b/>
          <w:sz w:val="24"/>
          <w:szCs w:val="24"/>
        </w:rPr>
      </w:pPr>
      <w:r>
        <w:rPr>
          <w:noProof/>
        </w:rPr>
        <w:drawing>
          <wp:inline distT="0" distB="0" distL="0" distR="0" wp14:anchorId="791610EE" wp14:editId="01A59856">
            <wp:extent cx="5846711" cy="2314575"/>
            <wp:effectExtent l="19050" t="19050" r="20955" b="9525"/>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136"/>
                    <a:srcRect t="2" b="32328"/>
                    <a:stretch/>
                  </pic:blipFill>
                  <pic:spPr bwMode="auto">
                    <a:xfrm>
                      <a:off x="0" y="0"/>
                      <a:ext cx="5902724" cy="23367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2AE5" w:rsidRDefault="00E02AE5" w:rsidP="00E02AE5">
      <w:pPr>
        <w:rPr>
          <w:rFonts w:ascii="Times New Roman" w:hAnsi="Times New Roman"/>
          <w:b/>
          <w:sz w:val="24"/>
          <w:szCs w:val="24"/>
        </w:rPr>
      </w:pPr>
    </w:p>
    <w:p w:rsidR="00E02AE5" w:rsidRDefault="00E02AE5">
      <w:pPr>
        <w:rPr>
          <w:rFonts w:ascii="Times New Roman" w:hAnsi="Times New Roman"/>
          <w:b/>
          <w:sz w:val="24"/>
          <w:szCs w:val="24"/>
        </w:rPr>
      </w:pPr>
      <w:r>
        <w:rPr>
          <w:rFonts w:ascii="Times New Roman" w:hAnsi="Times New Roman"/>
          <w:b/>
          <w:sz w:val="24"/>
          <w:szCs w:val="24"/>
        </w:rPr>
        <w:br w:type="page"/>
      </w:r>
    </w:p>
    <w:p w:rsidR="00A46144" w:rsidRDefault="00A46144" w:rsidP="00A46144">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7</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1-Step Ahead Model Predictions vs. Historical Data (Commercial Real Estate)</w:t>
      </w:r>
    </w:p>
    <w:p w:rsidR="00A46144" w:rsidRDefault="00350711" w:rsidP="00A46144">
      <w:pPr>
        <w:rPr>
          <w:rFonts w:ascii="Times New Roman" w:hAnsi="Times New Roman"/>
          <w:b/>
          <w:sz w:val="24"/>
          <w:szCs w:val="24"/>
        </w:rPr>
      </w:pPr>
      <w:r>
        <w:rPr>
          <w:noProof/>
        </w:rPr>
        <w:drawing>
          <wp:inline distT="0" distB="0" distL="0" distR="0" wp14:anchorId="478754CF" wp14:editId="3A3535A0">
            <wp:extent cx="5067300" cy="2964371"/>
            <wp:effectExtent l="19050" t="19050" r="19050" b="2667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37"/>
                    <a:stretch>
                      <a:fillRect/>
                    </a:stretch>
                  </pic:blipFill>
                  <pic:spPr>
                    <a:xfrm>
                      <a:off x="0" y="0"/>
                      <a:ext cx="5067126" cy="2964269"/>
                    </a:xfrm>
                    <a:prstGeom prst="rect">
                      <a:avLst/>
                    </a:prstGeom>
                    <a:ln>
                      <a:solidFill>
                        <a:schemeClr val="tx1"/>
                      </a:solidFill>
                    </a:ln>
                  </pic:spPr>
                </pic:pic>
              </a:graphicData>
            </a:graphic>
          </wp:inline>
        </w:drawing>
      </w:r>
    </w:p>
    <w:p w:rsidR="00350711" w:rsidRDefault="00350711" w:rsidP="00A46144">
      <w:pPr>
        <w:rPr>
          <w:rFonts w:ascii="Times New Roman" w:hAnsi="Times New Roman"/>
          <w:b/>
          <w:sz w:val="24"/>
          <w:szCs w:val="24"/>
        </w:rPr>
      </w:pPr>
    </w:p>
    <w:p w:rsidR="00A46144" w:rsidRDefault="00A46144" w:rsidP="00A46144">
      <w:pPr>
        <w:rPr>
          <w:rFonts w:ascii="Times New Roman" w:hAnsi="Times New Roman"/>
          <w:b/>
          <w:sz w:val="24"/>
          <w:szCs w:val="24"/>
        </w:rPr>
      </w:pPr>
      <w:r>
        <w:rPr>
          <w:rFonts w:ascii="Times New Roman" w:hAnsi="Times New Roman"/>
          <w:b/>
          <w:sz w:val="24"/>
          <w:szCs w:val="24"/>
        </w:rPr>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8</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Time Series, Cumulative Sum and Histogram Plots (Commercial Real Estate)</w:t>
      </w:r>
    </w:p>
    <w:p w:rsidR="00A46144" w:rsidRDefault="00350711" w:rsidP="00A46144">
      <w:pPr>
        <w:rPr>
          <w:rFonts w:ascii="Times New Roman" w:hAnsi="Times New Roman"/>
          <w:b/>
          <w:sz w:val="24"/>
          <w:szCs w:val="24"/>
        </w:rPr>
      </w:pPr>
      <w:r>
        <w:rPr>
          <w:noProof/>
        </w:rPr>
        <w:drawing>
          <wp:inline distT="0" distB="0" distL="0" distR="0" wp14:anchorId="5EE0089C" wp14:editId="37710232">
            <wp:extent cx="5128845" cy="3000375"/>
            <wp:effectExtent l="19050" t="19050" r="15240" b="952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38"/>
                    <a:stretch>
                      <a:fillRect/>
                    </a:stretch>
                  </pic:blipFill>
                  <pic:spPr>
                    <a:xfrm>
                      <a:off x="0" y="0"/>
                      <a:ext cx="5134708" cy="3003805"/>
                    </a:xfrm>
                    <a:prstGeom prst="rect">
                      <a:avLst/>
                    </a:prstGeom>
                    <a:ln>
                      <a:solidFill>
                        <a:schemeClr val="tx1"/>
                      </a:solidFill>
                    </a:ln>
                  </pic:spPr>
                </pic:pic>
              </a:graphicData>
            </a:graphic>
          </wp:inline>
        </w:drawing>
      </w:r>
    </w:p>
    <w:p w:rsidR="00A46144" w:rsidRDefault="00A46144" w:rsidP="00A46144">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9</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Vector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Autocorrelation Plots (Commercial Real Estate)</w:t>
      </w:r>
    </w:p>
    <w:p w:rsidR="00A46144" w:rsidRDefault="00350711" w:rsidP="00A46144">
      <w:pPr>
        <w:rPr>
          <w:rFonts w:ascii="Times New Roman" w:hAnsi="Times New Roman"/>
          <w:b/>
          <w:sz w:val="24"/>
          <w:szCs w:val="24"/>
        </w:rPr>
      </w:pPr>
      <w:r>
        <w:rPr>
          <w:noProof/>
        </w:rPr>
        <w:drawing>
          <wp:inline distT="0" distB="0" distL="0" distR="0" wp14:anchorId="26B7EB7D" wp14:editId="2915929D">
            <wp:extent cx="5542211" cy="2181225"/>
            <wp:effectExtent l="19050" t="19050" r="20955" b="9525"/>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139"/>
                    <a:srcRect t="2" b="32722"/>
                    <a:stretch/>
                  </pic:blipFill>
                  <pic:spPr bwMode="auto">
                    <a:xfrm>
                      <a:off x="0" y="0"/>
                      <a:ext cx="5580630" cy="21963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F4556" w:rsidRDefault="008F4556" w:rsidP="008F4556">
      <w:pPr>
        <w:rPr>
          <w:rFonts w:ascii="Times New Roman" w:hAnsi="Times New Roman"/>
          <w:b/>
          <w:sz w:val="24"/>
          <w:szCs w:val="24"/>
        </w:rPr>
      </w:pPr>
      <w:r>
        <w:rPr>
          <w:rFonts w:ascii="Times New Roman" w:hAnsi="Times New Roman"/>
          <w:b/>
          <w:sz w:val="24"/>
          <w:szCs w:val="24"/>
        </w:rPr>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10</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1-Step Ahead Model Predictions vs. Historical Data (Consumer Credit)</w:t>
      </w:r>
    </w:p>
    <w:p w:rsidR="008F4556" w:rsidRDefault="008F4556" w:rsidP="008F4556">
      <w:pPr>
        <w:rPr>
          <w:rFonts w:ascii="Times New Roman" w:hAnsi="Times New Roman"/>
          <w:b/>
          <w:sz w:val="24"/>
          <w:szCs w:val="24"/>
        </w:rPr>
      </w:pPr>
      <w:r>
        <w:rPr>
          <w:noProof/>
        </w:rPr>
        <w:drawing>
          <wp:inline distT="0" distB="0" distL="0" distR="0" wp14:anchorId="40EF3C63" wp14:editId="70507441">
            <wp:extent cx="5591175" cy="4319434"/>
            <wp:effectExtent l="19050" t="19050" r="9525" b="2413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0"/>
                    <a:stretch>
                      <a:fillRect/>
                    </a:stretch>
                  </pic:blipFill>
                  <pic:spPr>
                    <a:xfrm>
                      <a:off x="0" y="0"/>
                      <a:ext cx="5600586" cy="4326704"/>
                    </a:xfrm>
                    <a:prstGeom prst="rect">
                      <a:avLst/>
                    </a:prstGeom>
                    <a:ln>
                      <a:solidFill>
                        <a:schemeClr val="tx1"/>
                      </a:solidFill>
                    </a:ln>
                  </pic:spPr>
                </pic:pic>
              </a:graphicData>
            </a:graphic>
          </wp:inline>
        </w:drawing>
      </w:r>
    </w:p>
    <w:p w:rsidR="00D03B3D" w:rsidRDefault="008F4556" w:rsidP="008F4556">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11</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Time Series, Cumulative Sum and Histogram Plots (Consumer Credit)</w:t>
      </w:r>
    </w:p>
    <w:p w:rsidR="00D03B3D" w:rsidRDefault="00D03B3D" w:rsidP="008F4556">
      <w:pPr>
        <w:rPr>
          <w:rFonts w:ascii="Times New Roman" w:hAnsi="Times New Roman"/>
          <w:b/>
          <w:sz w:val="24"/>
          <w:szCs w:val="24"/>
        </w:rPr>
      </w:pPr>
    </w:p>
    <w:p w:rsidR="004839B3" w:rsidRDefault="004839B3" w:rsidP="008F4556">
      <w:pPr>
        <w:rPr>
          <w:rFonts w:ascii="Times New Roman" w:hAnsi="Times New Roman"/>
          <w:b/>
          <w:sz w:val="24"/>
          <w:szCs w:val="24"/>
        </w:rPr>
      </w:pPr>
      <w:r>
        <w:rPr>
          <w:noProof/>
        </w:rPr>
        <w:drawing>
          <wp:anchor distT="0" distB="0" distL="114300" distR="114300" simplePos="0" relativeHeight="251658240" behindDoc="0" locked="0" layoutInCell="1" allowOverlap="1">
            <wp:simplePos x="933450" y="1666875"/>
            <wp:positionH relativeFrom="margin">
              <wp:align>left</wp:align>
            </wp:positionH>
            <wp:positionV relativeFrom="paragraph">
              <wp:align>top</wp:align>
            </wp:positionV>
            <wp:extent cx="4438650" cy="3428365"/>
            <wp:effectExtent l="19050" t="19050" r="19050" b="1968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4439395" cy="34294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4839B3" w:rsidRPr="004839B3" w:rsidRDefault="004839B3" w:rsidP="004839B3">
      <w:pPr>
        <w:rPr>
          <w:rFonts w:ascii="Times New Roman" w:hAnsi="Times New Roman"/>
          <w:sz w:val="24"/>
          <w:szCs w:val="24"/>
        </w:rPr>
      </w:pPr>
    </w:p>
    <w:p w:rsidR="008F4556" w:rsidRDefault="004839B3" w:rsidP="008F4556">
      <w:pPr>
        <w:rPr>
          <w:rFonts w:ascii="Times New Roman" w:hAnsi="Times New Roman"/>
          <w:b/>
          <w:sz w:val="24"/>
          <w:szCs w:val="24"/>
        </w:rPr>
      </w:pPr>
      <w:r>
        <w:rPr>
          <w:rFonts w:ascii="Times New Roman" w:hAnsi="Times New Roman"/>
          <w:b/>
          <w:sz w:val="24"/>
          <w:szCs w:val="24"/>
        </w:rPr>
        <w:br w:type="textWrapping" w:clear="all"/>
      </w:r>
      <w:r w:rsidR="008F4556">
        <w:rPr>
          <w:rFonts w:ascii="Times New Roman" w:hAnsi="Times New Roman"/>
          <w:b/>
          <w:sz w:val="24"/>
          <w:szCs w:val="24"/>
        </w:rPr>
        <w:t>Figure</w:t>
      </w:r>
      <w:r w:rsidR="008F4556" w:rsidRPr="00500F8C">
        <w:rPr>
          <w:rFonts w:ascii="Times New Roman" w:hAnsi="Times New Roman"/>
          <w:b/>
          <w:sz w:val="24"/>
          <w:szCs w:val="24"/>
        </w:rPr>
        <w:t xml:space="preserve"> </w:t>
      </w:r>
      <w:r w:rsidR="008F4556">
        <w:rPr>
          <w:rFonts w:ascii="Times New Roman" w:hAnsi="Times New Roman"/>
          <w:b/>
          <w:sz w:val="24"/>
          <w:szCs w:val="24"/>
        </w:rPr>
        <w:t>9</w:t>
      </w:r>
      <w:r w:rsidR="008F4556" w:rsidRPr="00500F8C">
        <w:rPr>
          <w:rFonts w:ascii="Times New Roman" w:hAnsi="Times New Roman"/>
          <w:b/>
          <w:sz w:val="24"/>
          <w:szCs w:val="24"/>
        </w:rPr>
        <w:t>.</w:t>
      </w:r>
      <w:r w:rsidR="008F4556">
        <w:rPr>
          <w:rFonts w:ascii="Times New Roman" w:hAnsi="Times New Roman"/>
          <w:b/>
          <w:sz w:val="24"/>
          <w:szCs w:val="24"/>
        </w:rPr>
        <w:t>12</w:t>
      </w:r>
      <w:r w:rsidR="008F4556" w:rsidRPr="00500F8C">
        <w:rPr>
          <w:rFonts w:ascii="Times New Roman" w:hAnsi="Times New Roman"/>
          <w:b/>
          <w:sz w:val="24"/>
          <w:szCs w:val="24"/>
        </w:rPr>
        <w:t xml:space="preserve">: </w:t>
      </w:r>
      <w:r w:rsidR="008F4556">
        <w:rPr>
          <w:rFonts w:ascii="Times New Roman" w:hAnsi="Times New Roman"/>
          <w:b/>
          <w:sz w:val="24"/>
          <w:szCs w:val="24"/>
        </w:rPr>
        <w:t>Univariate</w:t>
      </w:r>
      <w:r w:rsidR="008F4556" w:rsidRPr="00500F8C">
        <w:rPr>
          <w:rFonts w:ascii="Times New Roman" w:hAnsi="Times New Roman"/>
          <w:b/>
          <w:sz w:val="24"/>
          <w:szCs w:val="24"/>
        </w:rPr>
        <w:t xml:space="preserve"> Vector Autoregressive </w:t>
      </w:r>
      <w:r w:rsidR="008F4556">
        <w:rPr>
          <w:rFonts w:ascii="Times New Roman" w:hAnsi="Times New Roman"/>
          <w:b/>
          <w:sz w:val="24"/>
          <w:szCs w:val="24"/>
        </w:rPr>
        <w:t xml:space="preserve">Maximum Likelihood </w:t>
      </w:r>
      <w:r w:rsidR="008F4556" w:rsidRPr="00500F8C">
        <w:rPr>
          <w:rFonts w:ascii="Times New Roman" w:hAnsi="Times New Roman"/>
          <w:b/>
          <w:sz w:val="24"/>
          <w:szCs w:val="24"/>
        </w:rPr>
        <w:t>Estimation (Fed Macroeconomic Variables and Aggregate Y9 Bank Chargeoffs)</w:t>
      </w:r>
      <w:r w:rsidR="008F4556">
        <w:rPr>
          <w:rFonts w:ascii="Times New Roman" w:hAnsi="Times New Roman"/>
          <w:b/>
          <w:sz w:val="24"/>
          <w:szCs w:val="24"/>
        </w:rPr>
        <w:t xml:space="preserve"> – Residual Autocorrelation Plots (Consumer Credit)</w:t>
      </w:r>
    </w:p>
    <w:p w:rsidR="008F4556" w:rsidRDefault="00E92CDF" w:rsidP="008F4556">
      <w:pPr>
        <w:rPr>
          <w:rFonts w:ascii="Times New Roman" w:hAnsi="Times New Roman"/>
          <w:b/>
          <w:sz w:val="24"/>
          <w:szCs w:val="24"/>
        </w:rPr>
      </w:pPr>
      <w:r>
        <w:rPr>
          <w:noProof/>
        </w:rPr>
        <w:drawing>
          <wp:inline distT="0" distB="0" distL="0" distR="0" wp14:anchorId="067BCC85" wp14:editId="7FC35A84">
            <wp:extent cx="4861536" cy="2495550"/>
            <wp:effectExtent l="19050" t="19050" r="15875" b="1905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2"/>
                    <a:srcRect t="-3" b="33555"/>
                    <a:stretch/>
                  </pic:blipFill>
                  <pic:spPr bwMode="auto">
                    <a:xfrm>
                      <a:off x="0" y="0"/>
                      <a:ext cx="4883156" cy="250664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p>
    <w:p w:rsidR="00743404" w:rsidRDefault="00743404" w:rsidP="00743404">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13</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1-Step Ahead Model Predictions vs. Historical Data (Commercial and Industrial)</w:t>
      </w:r>
    </w:p>
    <w:p w:rsidR="00743404" w:rsidRDefault="006131C3" w:rsidP="00743404">
      <w:pPr>
        <w:rPr>
          <w:rFonts w:ascii="Times New Roman" w:hAnsi="Times New Roman"/>
          <w:b/>
          <w:sz w:val="24"/>
          <w:szCs w:val="24"/>
        </w:rPr>
      </w:pPr>
      <w:r>
        <w:rPr>
          <w:noProof/>
        </w:rPr>
        <w:drawing>
          <wp:inline distT="0" distB="0" distL="0" distR="0" wp14:anchorId="606B1A0F" wp14:editId="5CA9E3FD">
            <wp:extent cx="4191988" cy="3238500"/>
            <wp:effectExtent l="19050" t="19050" r="18415" b="1905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3"/>
                    <a:stretch>
                      <a:fillRect/>
                    </a:stretch>
                  </pic:blipFill>
                  <pic:spPr>
                    <a:xfrm>
                      <a:off x="0" y="0"/>
                      <a:ext cx="4210580" cy="3252863"/>
                    </a:xfrm>
                    <a:prstGeom prst="rect">
                      <a:avLst/>
                    </a:prstGeom>
                    <a:ln>
                      <a:solidFill>
                        <a:schemeClr val="tx1"/>
                      </a:solidFill>
                    </a:ln>
                  </pic:spPr>
                </pic:pic>
              </a:graphicData>
            </a:graphic>
          </wp:inline>
        </w:drawing>
      </w:r>
    </w:p>
    <w:p w:rsidR="00743404" w:rsidRDefault="00743404" w:rsidP="00743404">
      <w:pPr>
        <w:rPr>
          <w:rFonts w:ascii="Times New Roman" w:hAnsi="Times New Roman"/>
          <w:b/>
          <w:sz w:val="24"/>
          <w:szCs w:val="24"/>
        </w:rPr>
      </w:pPr>
      <w:r>
        <w:rPr>
          <w:rFonts w:ascii="Times New Roman" w:hAnsi="Times New Roman"/>
          <w:b/>
          <w:sz w:val="24"/>
          <w:szCs w:val="24"/>
        </w:rPr>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14</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Time Series, Cumulative Sum and Histogram Plots (Commercial and Industrial)</w:t>
      </w:r>
    </w:p>
    <w:p w:rsidR="00743404" w:rsidRDefault="001A32A6" w:rsidP="00743404">
      <w:pPr>
        <w:rPr>
          <w:rFonts w:ascii="Times New Roman" w:hAnsi="Times New Roman"/>
          <w:b/>
          <w:sz w:val="24"/>
          <w:szCs w:val="24"/>
        </w:rPr>
      </w:pPr>
      <w:r>
        <w:rPr>
          <w:noProof/>
        </w:rPr>
        <w:drawing>
          <wp:inline distT="0" distB="0" distL="0" distR="0" wp14:anchorId="564E3174" wp14:editId="7E3C59F5">
            <wp:extent cx="4265964" cy="3295650"/>
            <wp:effectExtent l="19050" t="19050" r="20320" b="1905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4"/>
                    <a:stretch>
                      <a:fillRect/>
                    </a:stretch>
                  </pic:blipFill>
                  <pic:spPr>
                    <a:xfrm>
                      <a:off x="0" y="0"/>
                      <a:ext cx="4270942" cy="3299496"/>
                    </a:xfrm>
                    <a:prstGeom prst="rect">
                      <a:avLst/>
                    </a:prstGeom>
                    <a:ln>
                      <a:solidFill>
                        <a:schemeClr val="tx1"/>
                      </a:solidFill>
                    </a:ln>
                  </pic:spPr>
                </pic:pic>
              </a:graphicData>
            </a:graphic>
          </wp:inline>
        </w:drawing>
      </w:r>
    </w:p>
    <w:p w:rsidR="00743404" w:rsidRDefault="00743404" w:rsidP="00743404">
      <w:pPr>
        <w:rPr>
          <w:rFonts w:ascii="Times New Roman" w:hAnsi="Times New Roman"/>
          <w:b/>
          <w:sz w:val="24"/>
          <w:szCs w:val="24"/>
        </w:rPr>
      </w:pPr>
      <w:r>
        <w:rPr>
          <w:rFonts w:ascii="Times New Roman" w:hAnsi="Times New Roman"/>
          <w:b/>
          <w:sz w:val="24"/>
          <w:szCs w:val="24"/>
        </w:rPr>
        <w:lastRenderedPageBreak/>
        <w:t>Figure</w:t>
      </w:r>
      <w:r w:rsidRPr="00500F8C">
        <w:rPr>
          <w:rFonts w:ascii="Times New Roman" w:hAnsi="Times New Roman"/>
          <w:b/>
          <w:sz w:val="24"/>
          <w:szCs w:val="24"/>
        </w:rPr>
        <w:t xml:space="preserve"> </w:t>
      </w:r>
      <w:r>
        <w:rPr>
          <w:rFonts w:ascii="Times New Roman" w:hAnsi="Times New Roman"/>
          <w:b/>
          <w:sz w:val="24"/>
          <w:szCs w:val="24"/>
        </w:rPr>
        <w:t>9</w:t>
      </w:r>
      <w:r w:rsidRPr="00500F8C">
        <w:rPr>
          <w:rFonts w:ascii="Times New Roman" w:hAnsi="Times New Roman"/>
          <w:b/>
          <w:sz w:val="24"/>
          <w:szCs w:val="24"/>
        </w:rPr>
        <w:t>.</w:t>
      </w:r>
      <w:r>
        <w:rPr>
          <w:rFonts w:ascii="Times New Roman" w:hAnsi="Times New Roman"/>
          <w:b/>
          <w:sz w:val="24"/>
          <w:szCs w:val="24"/>
        </w:rPr>
        <w:t>15</w:t>
      </w:r>
      <w:r w:rsidRPr="00500F8C">
        <w:rPr>
          <w:rFonts w:ascii="Times New Roman" w:hAnsi="Times New Roman"/>
          <w:b/>
          <w:sz w:val="24"/>
          <w:szCs w:val="24"/>
        </w:rPr>
        <w:t xml:space="preserve">: </w:t>
      </w:r>
      <w:r>
        <w:rPr>
          <w:rFonts w:ascii="Times New Roman" w:hAnsi="Times New Roman"/>
          <w:b/>
          <w:sz w:val="24"/>
          <w:szCs w:val="24"/>
        </w:rPr>
        <w:t>Univariate</w:t>
      </w:r>
      <w:r w:rsidRPr="00500F8C">
        <w:rPr>
          <w:rFonts w:ascii="Times New Roman" w:hAnsi="Times New Roman"/>
          <w:b/>
          <w:sz w:val="24"/>
          <w:szCs w:val="24"/>
        </w:rPr>
        <w:t xml:space="preserve"> Vector Autoregressive </w:t>
      </w:r>
      <w:r>
        <w:rPr>
          <w:rFonts w:ascii="Times New Roman" w:hAnsi="Times New Roman"/>
          <w:b/>
          <w:sz w:val="24"/>
          <w:szCs w:val="24"/>
        </w:rPr>
        <w:t xml:space="preserve">Maximum Likelihood </w:t>
      </w:r>
      <w:r w:rsidRPr="00500F8C">
        <w:rPr>
          <w:rFonts w:ascii="Times New Roman" w:hAnsi="Times New Roman"/>
          <w:b/>
          <w:sz w:val="24"/>
          <w:szCs w:val="24"/>
        </w:rPr>
        <w:t>Estimation (Fed Macroeconomic Variables and Aggregate Y9 Bank Chargeoffs)</w:t>
      </w:r>
      <w:r>
        <w:rPr>
          <w:rFonts w:ascii="Times New Roman" w:hAnsi="Times New Roman"/>
          <w:b/>
          <w:sz w:val="24"/>
          <w:szCs w:val="24"/>
        </w:rPr>
        <w:t xml:space="preserve"> – Residual Autocorrelation Plots (Commercial and Industrial)</w:t>
      </w:r>
    </w:p>
    <w:p w:rsidR="00743404" w:rsidRDefault="00523B25" w:rsidP="00743404">
      <w:pPr>
        <w:rPr>
          <w:rFonts w:ascii="Times New Roman" w:hAnsi="Times New Roman"/>
          <w:b/>
          <w:sz w:val="24"/>
          <w:szCs w:val="24"/>
        </w:rPr>
      </w:pPr>
      <w:r>
        <w:rPr>
          <w:noProof/>
        </w:rPr>
        <w:drawing>
          <wp:inline distT="0" distB="0" distL="0" distR="0" wp14:anchorId="79E9BE74" wp14:editId="03BB06E0">
            <wp:extent cx="5286375" cy="2775018"/>
            <wp:effectExtent l="19050" t="19050" r="9525" b="2540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45"/>
                    <a:srcRect t="1" b="32049"/>
                    <a:stretch/>
                  </pic:blipFill>
                  <pic:spPr bwMode="auto">
                    <a:xfrm>
                      <a:off x="0" y="0"/>
                      <a:ext cx="5296272" cy="27802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43404">
        <w:rPr>
          <w:noProof/>
        </w:rPr>
        <w:t xml:space="preserve"> </w:t>
      </w:r>
    </w:p>
    <w:p w:rsidR="00350711" w:rsidRDefault="00350711" w:rsidP="008F4556">
      <w:pPr>
        <w:ind w:firstLine="720"/>
        <w:rPr>
          <w:rFonts w:ascii="Times New Roman" w:hAnsi="Times New Roman"/>
          <w:b/>
          <w:sz w:val="24"/>
          <w:szCs w:val="24"/>
        </w:rPr>
      </w:pPr>
      <w:bookmarkStart w:id="0" w:name="_GoBack"/>
      <w:bookmarkEnd w:id="0"/>
    </w:p>
    <w:sectPr w:rsidR="00350711" w:rsidSect="00D84D20">
      <w:footerReference w:type="default" r:id="rId146"/>
      <w:pgSz w:w="12240" w:h="15840" w:code="1"/>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4C96" w:rsidRDefault="004C4C96" w:rsidP="00EB5F11">
      <w:pPr>
        <w:spacing w:after="0" w:line="240" w:lineRule="auto"/>
      </w:pPr>
      <w:r>
        <w:separator/>
      </w:r>
    </w:p>
  </w:endnote>
  <w:endnote w:type="continuationSeparator" w:id="0">
    <w:p w:rsidR="004C4C96" w:rsidRDefault="004C4C96" w:rsidP="00EB5F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uer Bodoni 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136294"/>
      <w:docPartObj>
        <w:docPartGallery w:val="Page Numbers (Bottom of Page)"/>
        <w:docPartUnique/>
      </w:docPartObj>
    </w:sdtPr>
    <w:sdtEndPr>
      <w:rPr>
        <w:noProof/>
      </w:rPr>
    </w:sdtEndPr>
    <w:sdtContent>
      <w:p w:rsidR="00D10EA7" w:rsidRDefault="00D10EA7">
        <w:pPr>
          <w:pStyle w:val="Footer"/>
          <w:jc w:val="center"/>
        </w:pPr>
        <w:r>
          <w:fldChar w:fldCharType="begin"/>
        </w:r>
        <w:r>
          <w:instrText xml:space="preserve"> PAGE   \* MERGEFORMAT </w:instrText>
        </w:r>
        <w:r>
          <w:fldChar w:fldCharType="separate"/>
        </w:r>
        <w:r w:rsidR="00C02804">
          <w:rPr>
            <w:noProof/>
          </w:rPr>
          <w:t>21</w:t>
        </w:r>
        <w:r>
          <w:rPr>
            <w:noProof/>
          </w:rPr>
          <w:fldChar w:fldCharType="end"/>
        </w:r>
      </w:p>
    </w:sdtContent>
  </w:sdt>
  <w:p w:rsidR="00D10EA7" w:rsidRDefault="00D10E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4C96" w:rsidRDefault="004C4C96" w:rsidP="00EB5F11">
      <w:pPr>
        <w:spacing w:after="0" w:line="240" w:lineRule="auto"/>
      </w:pPr>
      <w:r>
        <w:separator/>
      </w:r>
    </w:p>
  </w:footnote>
  <w:footnote w:type="continuationSeparator" w:id="0">
    <w:p w:rsidR="004C4C96" w:rsidRDefault="004C4C96" w:rsidP="00EB5F11">
      <w:pPr>
        <w:spacing w:after="0" w:line="240" w:lineRule="auto"/>
      </w:pPr>
      <w:r>
        <w:continuationSeparator/>
      </w:r>
    </w:p>
  </w:footnote>
  <w:footnote w:id="1">
    <w:p w:rsidR="00D10EA7" w:rsidRPr="00E16189" w:rsidRDefault="00D10EA7" w:rsidP="00E16189">
      <w:pPr>
        <w:pStyle w:val="FootnoteText"/>
        <w:spacing w:after="120"/>
        <w:jc w:val="both"/>
        <w:rPr>
          <w:lang w:val="en-US"/>
        </w:rPr>
      </w:pPr>
      <w:r>
        <w:rPr>
          <w:rStyle w:val="FootnoteReference"/>
        </w:rPr>
        <w:footnoteRef/>
      </w:r>
      <w:r>
        <w:t xml:space="preserve"> </w:t>
      </w:r>
      <w:r w:rsidRPr="00E16189">
        <w:rPr>
          <w:lang w:val="en-US"/>
        </w:rPr>
        <w:t>Corresponding author: Michael Jacobs, Jr., Ph.D., CFA, Principal Director, Accent</w:t>
      </w:r>
      <w:r>
        <w:rPr>
          <w:lang w:val="en-US"/>
        </w:rPr>
        <w:t>u</w:t>
      </w:r>
      <w:r w:rsidRPr="00E16189">
        <w:rPr>
          <w:lang w:val="en-US"/>
        </w:rPr>
        <w:t>re Consulting, Finance and Risk Services Advisory</w:t>
      </w:r>
      <w:r>
        <w:rPr>
          <w:lang w:val="en-US"/>
        </w:rPr>
        <w:t xml:space="preserve"> / </w:t>
      </w:r>
      <w:r w:rsidRPr="00E16189">
        <w:rPr>
          <w:lang w:val="en-US"/>
        </w:rPr>
        <w:t xml:space="preserve">Models, Methodologies &amp; Analytics, 1345 Avenue of the Americas, New York, N.Y., 10105, 917-324-2098, </w:t>
      </w:r>
      <w:hyperlink r:id="rId1" w:history="1">
        <w:r w:rsidRPr="00E16189">
          <w:rPr>
            <w:lang w:val="en-US"/>
          </w:rPr>
          <w:t>michael.a.jacobs@accenture.com</w:t>
        </w:r>
      </w:hyperlink>
      <w:r w:rsidRPr="00E16189">
        <w:rPr>
          <w:lang w:val="en-US"/>
        </w:rPr>
        <w:t>.  The views expressed herein are those of the authors and do not necessarily represent a position taken either by Accenture</w:t>
      </w:r>
      <w:r>
        <w:rPr>
          <w:lang w:val="en-US"/>
        </w:rPr>
        <w:t xml:space="preserve"> nor</w:t>
      </w:r>
      <w:r w:rsidRPr="00E16189">
        <w:rPr>
          <w:lang w:val="en-US"/>
        </w:rPr>
        <w:t xml:space="preserve"> any affiliated firms.</w:t>
      </w:r>
    </w:p>
  </w:footnote>
  <w:footnote w:id="2">
    <w:p w:rsidR="00D10EA7" w:rsidRDefault="00D10EA7" w:rsidP="0019668A">
      <w:pPr>
        <w:pStyle w:val="FootnoteText"/>
        <w:suppressAutoHyphens/>
        <w:jc w:val="both"/>
        <w:rPr>
          <w:lang w:val="en-US"/>
        </w:rPr>
      </w:pPr>
      <w:r>
        <w:rPr>
          <w:rStyle w:val="FootnoteReference"/>
          <w:lang w:val="en-US"/>
        </w:rPr>
        <w:footnoteRef/>
      </w:r>
      <w:r>
        <w:rPr>
          <w:lang w:val="en-US"/>
        </w:rPr>
        <w:t xml:space="preserve"> Frank J Sensenbrenner, Ph.D., Non-Visiting Fellow, Johns Hopkins School of Advanced International Studies, SAIS Center for Transatlantic Relations, 1717 Massachusetts Avenue, Washington, DC 20008, 202-714-2659, frank.sensenbrenner@gmail.com.  The views expressed herein are those of the authors and do not necessarily represent a position taken by Johns Hopkins SAIS Center for Transatlantic Relations.</w:t>
      </w:r>
    </w:p>
  </w:footnote>
  <w:footnote w:id="3">
    <w:p w:rsidR="00D10EA7" w:rsidRPr="00EC50C4" w:rsidRDefault="00D10EA7">
      <w:pPr>
        <w:pStyle w:val="FootnoteText"/>
        <w:rPr>
          <w:lang w:val="en-US"/>
        </w:rPr>
      </w:pPr>
      <w:r>
        <w:rPr>
          <w:rStyle w:val="FootnoteReference"/>
        </w:rPr>
        <w:footnoteRef/>
      </w:r>
      <w:r>
        <w:t xml:space="preserve"> </w:t>
      </w:r>
      <w:r w:rsidRPr="00EC50C4">
        <w:t xml:space="preserve">In fact, the exogenous variables </w:t>
      </w:r>
      <w:r w:rsidRPr="00EC50C4">
        <w:rPr>
          <w:position w:val="-12"/>
        </w:rPr>
        <w:object w:dxaOrig="460" w:dyaOrig="340">
          <v:shape id="_x0000_i1077" type="#_x0000_t75" style="width:24pt;height:16.5pt" o:ole="">
            <v:imagedata r:id="rId2" o:title=""/>
          </v:shape>
          <o:OLEObject Type="Embed" ProgID="Equation.DSMT4" ShapeID="_x0000_i1077" DrawAspect="Content" ObjectID="_1567591236" r:id="rId3"/>
        </w:object>
      </w:r>
      <w:r w:rsidRPr="00EC50C4">
        <w:t>can represent both stochastic and non-stochastic (deterministic) variables, examples being sinusoidal seasonal (periodic) functions of time, used to represent the seasonal fluctuations in the output process</w:t>
      </w:r>
      <w:r w:rsidRPr="00EC50C4">
        <w:rPr>
          <w:position w:val="-12"/>
        </w:rPr>
        <w:object w:dxaOrig="420" w:dyaOrig="340">
          <v:shape id="_x0000_i1078" type="#_x0000_t75" style="width:21.75pt;height:16.5pt" o:ole="">
            <v:imagedata r:id="rId4" o:title=""/>
          </v:shape>
          <o:OLEObject Type="Embed" ProgID="Equation.DSMT4" ShapeID="_x0000_i1078" DrawAspect="Content" ObjectID="_1567591237" r:id="rId5"/>
        </w:object>
      </w:r>
      <w:r w:rsidRPr="00EC50C4">
        <w:t xml:space="preserve">, or intervention analysis </w:t>
      </w:r>
      <w:proofErr w:type="spellStart"/>
      <w:r w:rsidRPr="00EC50C4">
        <w:t>modeling</w:t>
      </w:r>
      <w:proofErr w:type="spellEnd"/>
      <w:r w:rsidRPr="00EC50C4">
        <w:t xml:space="preserve"> in which a simple step (or pulse indicator) function taking the values of 0 or 1 to indicate the effect of output due to unusual intervention events in the system.</w:t>
      </w:r>
    </w:p>
  </w:footnote>
  <w:footnote w:id="4">
    <w:p w:rsidR="00D10EA7" w:rsidRPr="00DA6E16" w:rsidRDefault="00D10EA7" w:rsidP="00DA6E16">
      <w:pPr>
        <w:pStyle w:val="FootnoteText"/>
        <w:jc w:val="both"/>
        <w:rPr>
          <w:lang w:val="en-US"/>
        </w:rPr>
      </w:pPr>
      <w:r>
        <w:rPr>
          <w:rStyle w:val="FootnoteReference"/>
        </w:rPr>
        <w:footnoteRef/>
      </w:r>
      <w:r>
        <w:t xml:space="preserve"> </w:t>
      </w:r>
      <w:r w:rsidRPr="00DA6E16">
        <w:rPr>
          <w:lang w:val="en-US"/>
        </w:rPr>
        <w:t>Note that the VARMAX model (3.</w:t>
      </w:r>
      <w:r>
        <w:rPr>
          <w:lang w:val="en-US"/>
        </w:rPr>
        <w:t>1</w:t>
      </w:r>
      <w:r w:rsidRPr="00DA6E16">
        <w:rPr>
          <w:lang w:val="en-US"/>
        </w:rPr>
        <w:t>)</w:t>
      </w:r>
      <w:r>
        <w:rPr>
          <w:lang w:val="en-US"/>
        </w:rPr>
        <w:t>-(3.2)</w:t>
      </w:r>
      <w:r w:rsidRPr="00DA6E16">
        <w:rPr>
          <w:lang w:val="en-US"/>
        </w:rPr>
        <w:t xml:space="preserve"> could be written in various equivalent forms, involving a lower triangular coefficient matrix for</w:t>
      </w:r>
      <w:r w:rsidRPr="00EC50C4">
        <w:rPr>
          <w:position w:val="-10"/>
        </w:rPr>
        <w:object w:dxaOrig="240" w:dyaOrig="300">
          <v:shape id="_x0000_i1079" type="#_x0000_t75" style="width:11.25pt;height:14.25pt" o:ole="">
            <v:imagedata r:id="rId6" o:title=""/>
          </v:shape>
          <o:OLEObject Type="Embed" ProgID="Equation.DSMT4" ShapeID="_x0000_i1079" DrawAspect="Content" ObjectID="_1567591238" r:id="rId7"/>
        </w:object>
      </w:r>
      <w:r w:rsidRPr="00DA6E16">
        <w:rPr>
          <w:lang w:val="en-US"/>
        </w:rPr>
        <w:t>at lag zero, or a leading coefficient matrix for</w:t>
      </w:r>
      <w:r w:rsidRPr="00DA6E16">
        <w:rPr>
          <w:position w:val="-12"/>
        </w:rPr>
        <w:object w:dxaOrig="240" w:dyaOrig="360">
          <v:shape id="_x0000_i1080" type="#_x0000_t75" style="width:12pt;height:17.25pt" o:ole="">
            <v:imagedata r:id="rId8" o:title=""/>
          </v:shape>
          <o:OLEObject Type="Embed" ProgID="Equation.DSMT4" ShapeID="_x0000_i1080" DrawAspect="Content" ObjectID="_1567591239" r:id="rId9"/>
        </w:object>
      </w:r>
      <w:r w:rsidRPr="00DA6E16">
        <w:rPr>
          <w:lang w:val="en-US"/>
        </w:rPr>
        <w:t>at lag zero, or even a more general form that contains a leading (non-singular) coefficient matrix for</w:t>
      </w:r>
      <w:r w:rsidRPr="00EC50C4">
        <w:rPr>
          <w:position w:val="-10"/>
        </w:rPr>
        <w:object w:dxaOrig="240" w:dyaOrig="300">
          <v:shape id="_x0000_i1081" type="#_x0000_t75" style="width:11.25pt;height:14.25pt" o:ole="">
            <v:imagedata r:id="rId10" o:title=""/>
          </v:shape>
          <o:OLEObject Type="Embed" ProgID="Equation.DSMT4" ShapeID="_x0000_i1081" DrawAspect="Content" ObjectID="_1567591240" r:id="rId11"/>
        </w:object>
      </w:r>
      <w:r w:rsidRPr="00DA6E16">
        <w:rPr>
          <w:lang w:val="en-US"/>
        </w:rPr>
        <w:t>at lag zero that reflects instantaneous links amongst the output variables that are motivated by theoretical considerations (provided that the proper identifiability conditions are satisfied (</w:t>
      </w:r>
      <w:proofErr w:type="spellStart"/>
      <w:r w:rsidRPr="00DA6E16">
        <w:rPr>
          <w:lang w:val="en-US"/>
        </w:rPr>
        <w:t>Hanan</w:t>
      </w:r>
      <w:proofErr w:type="spellEnd"/>
      <w:r w:rsidRPr="00DA6E16">
        <w:rPr>
          <w:lang w:val="en-US"/>
        </w:rPr>
        <w:t xml:space="preserve"> (1971), Kohn (1979)).  In the econometrics setting, such a model form is usually referred to as a </w:t>
      </w:r>
      <w:r w:rsidRPr="00DA6E16">
        <w:rPr>
          <w:i/>
          <w:lang w:val="en-US"/>
        </w:rPr>
        <w:t>dynamic simultaneous equations model</w:t>
      </w:r>
      <w:r w:rsidRPr="00DA6E16">
        <w:rPr>
          <w:lang w:val="en-US"/>
        </w:rPr>
        <w:t xml:space="preserve"> or a </w:t>
      </w:r>
      <w:r w:rsidRPr="00DA6E16">
        <w:rPr>
          <w:i/>
          <w:lang w:val="en-US"/>
        </w:rPr>
        <w:t>dynamic structural equation model</w:t>
      </w:r>
      <w:r w:rsidRPr="00DA6E16">
        <w:rPr>
          <w:lang w:val="en-US"/>
        </w:rPr>
        <w:t xml:space="preserve">.  The related model in the form of equation (3.4), obtained by multiplying the dynamic simultaneous equations model form by the inverse of the lag 0 coefficient matrix, is referred to as the </w:t>
      </w:r>
      <w:r w:rsidRPr="00DA6E16">
        <w:rPr>
          <w:i/>
          <w:lang w:val="en-US"/>
        </w:rPr>
        <w:t>reduced</w:t>
      </w:r>
      <w:r w:rsidRPr="00DA6E16">
        <w:rPr>
          <w:i/>
        </w:rPr>
        <w:t xml:space="preserve"> </w:t>
      </w:r>
      <w:r w:rsidRPr="00DA6E16">
        <w:rPr>
          <w:i/>
          <w:lang w:val="en-US"/>
        </w:rPr>
        <w:t>form model</w:t>
      </w:r>
      <w:r w:rsidRPr="00DA6E16">
        <w:rPr>
          <w:lang w:val="en-US"/>
        </w:rPr>
        <w:t>. In addition, (3.</w:t>
      </w:r>
      <w:r>
        <w:rPr>
          <w:lang w:val="en-US"/>
        </w:rPr>
        <w:t>3</w:t>
      </w:r>
      <w:r w:rsidRPr="00DA6E16">
        <w:rPr>
          <w:lang w:val="en-US"/>
        </w:rPr>
        <w:t>) has a state space representation of the form (</w:t>
      </w:r>
      <w:proofErr w:type="spellStart"/>
      <w:r w:rsidRPr="00DA6E16">
        <w:rPr>
          <w:lang w:val="en-US"/>
        </w:rPr>
        <w:t>Hanan</w:t>
      </w:r>
      <w:proofErr w:type="spellEnd"/>
      <w:r w:rsidRPr="00DA6E16">
        <w:rPr>
          <w:lang w:val="en-US"/>
        </w:rPr>
        <w:t>, 1988).</w:t>
      </w:r>
    </w:p>
    <w:p w:rsidR="00D10EA7" w:rsidRPr="00DA6E16" w:rsidRDefault="00D10EA7">
      <w:pPr>
        <w:pStyle w:val="FootnoteText"/>
        <w:rPr>
          <w:lang w:val="en-US"/>
        </w:rPr>
      </w:pPr>
    </w:p>
  </w:footnote>
  <w:footnote w:id="5">
    <w:p w:rsidR="00D10EA7" w:rsidRPr="00612A14" w:rsidRDefault="00D10EA7" w:rsidP="00D7067C">
      <w:pPr>
        <w:pStyle w:val="FootnoteText"/>
        <w:rPr>
          <w:lang w:val="en-US"/>
        </w:rPr>
      </w:pPr>
      <w:r>
        <w:rPr>
          <w:rStyle w:val="FootnoteReference"/>
        </w:rPr>
        <w:footnoteRef/>
      </w:r>
      <w:r>
        <w:t xml:space="preserve"> </w:t>
      </w:r>
      <w:r w:rsidRPr="00612A14">
        <w:t>We perform this model selection in an R script designed for this purpose, using the libraries “</w:t>
      </w:r>
      <w:proofErr w:type="spellStart"/>
      <w:r w:rsidRPr="00612A14">
        <w:t>dse</w:t>
      </w:r>
      <w:proofErr w:type="spellEnd"/>
      <w:r w:rsidRPr="00612A14">
        <w:t>” and “</w:t>
      </w:r>
      <w:proofErr w:type="spellStart"/>
      <w:r w:rsidRPr="00612A14">
        <w:t>tse</w:t>
      </w:r>
      <w:proofErr w:type="spellEnd"/>
      <w:r w:rsidRPr="00612A14">
        <w:t>” to estimate and evaluate VARMAX and ARMAX models (R Core Development Team, 2016).</w:t>
      </w:r>
    </w:p>
  </w:footnote>
  <w:footnote w:id="6">
    <w:p w:rsidR="00D10EA7" w:rsidRPr="00B44E4C" w:rsidRDefault="00D10EA7">
      <w:pPr>
        <w:pStyle w:val="FootnoteText"/>
        <w:rPr>
          <w:lang w:val="en-US"/>
        </w:rPr>
      </w:pPr>
      <w:r>
        <w:rPr>
          <w:rStyle w:val="FootnoteReference"/>
        </w:rPr>
        <w:footnoteRef/>
      </w:r>
      <w:r>
        <w:t xml:space="preserve"> </w:t>
      </w:r>
      <w:r w:rsidRPr="00B44E4C">
        <w:t xml:space="preserve">This is similar to the finding of </w:t>
      </w:r>
      <w:proofErr w:type="spellStart"/>
      <w:r w:rsidRPr="00B44E4C">
        <w:t>Loregian</w:t>
      </w:r>
      <w:proofErr w:type="spellEnd"/>
      <w:r w:rsidRPr="00B44E4C">
        <w:t xml:space="preserve"> and Meucci (2016) in the context of </w:t>
      </w:r>
      <w:proofErr w:type="spellStart"/>
      <w:r w:rsidRPr="00B44E4C">
        <w:t>modeling</w:t>
      </w:r>
      <w:proofErr w:type="spellEnd"/>
      <w:r w:rsidRPr="00B44E4C">
        <w:t xml:space="preserve"> the U.S. Treasury yields.  We observe that this mixture well characterizes the empirical distributions of the data.</w:t>
      </w:r>
    </w:p>
  </w:footnote>
  <w:footnote w:id="7">
    <w:p w:rsidR="00D10EA7" w:rsidRPr="00B5730C" w:rsidRDefault="00D10EA7" w:rsidP="00155838">
      <w:pPr>
        <w:pStyle w:val="FootnoteText"/>
        <w:rPr>
          <w:lang w:val="en-US"/>
        </w:rPr>
      </w:pPr>
      <w:r>
        <w:rPr>
          <w:rStyle w:val="FootnoteReference"/>
        </w:rPr>
        <w:footnoteRef/>
      </w:r>
      <w:r>
        <w:t xml:space="preserve"> </w:t>
      </w:r>
      <w:r>
        <w:rPr>
          <w:lang w:val="en-US"/>
        </w:rPr>
        <w:t>We have performed a sensitivity analysis, available upon eques, using the 95</w:t>
      </w:r>
      <w:r w:rsidRPr="00B5730C">
        <w:rPr>
          <w:vertAlign w:val="superscript"/>
          <w:lang w:val="en-US"/>
        </w:rPr>
        <w:t>t</w:t>
      </w:r>
      <w:r>
        <w:rPr>
          <w:vertAlign w:val="superscript"/>
          <w:lang w:val="en-US"/>
        </w:rPr>
        <w:t xml:space="preserve">h </w:t>
      </w:r>
      <w:r>
        <w:rPr>
          <w:lang w:val="en-US"/>
        </w:rPr>
        <w:t>and 99.9</w:t>
      </w:r>
      <w:r w:rsidRPr="00B5730C">
        <w:rPr>
          <w:vertAlign w:val="superscript"/>
          <w:lang w:val="en-US"/>
        </w:rPr>
        <w:t>th</w:t>
      </w:r>
      <w:r>
        <w:rPr>
          <w:lang w:val="en-US"/>
        </w:rPr>
        <w:t xml:space="preserve"> percentiles, and the results are not greatly changed. </w:t>
      </w:r>
    </w:p>
  </w:footnote>
  <w:footnote w:id="8">
    <w:p w:rsidR="00C02804" w:rsidRPr="00464865" w:rsidRDefault="00C02804" w:rsidP="00C02804">
      <w:pPr>
        <w:pStyle w:val="FootnoteText"/>
        <w:rPr>
          <w:lang w:val="en-US"/>
        </w:rPr>
      </w:pPr>
      <w:r>
        <w:rPr>
          <w:rStyle w:val="FootnoteReference"/>
        </w:rPr>
        <w:footnoteRef/>
      </w:r>
      <w:r>
        <w:t xml:space="preserve"> </w:t>
      </w:r>
      <w:r>
        <w:rPr>
          <w:lang w:val="en-US"/>
        </w:rPr>
        <w:t xml:space="preserve">Estimation results for the VAR and MS-VAR model are available upon request.  The models are all convergent and goodness of fit metrics in with industry standards.  Signs of coefficient estimates are in line with economic intuition and estimates are all significant at conventional levels.  We use the </w:t>
      </w:r>
      <w:proofErr w:type="spellStart"/>
      <w:r w:rsidRPr="004C79F0">
        <w:rPr>
          <w:lang w:val="en-US"/>
        </w:rPr>
        <w:t>dse</w:t>
      </w:r>
      <w:proofErr w:type="spellEnd"/>
      <w:r>
        <w:rPr>
          <w:lang w:val="en-US"/>
        </w:rPr>
        <w:t xml:space="preserve">, </w:t>
      </w:r>
      <w:proofErr w:type="spellStart"/>
      <w:r w:rsidRPr="004C79F0">
        <w:rPr>
          <w:lang w:val="en-US"/>
        </w:rPr>
        <w:t>tseries</w:t>
      </w:r>
      <w:proofErr w:type="spellEnd"/>
      <w:r>
        <w:rPr>
          <w:lang w:val="en-US"/>
        </w:rPr>
        <w:t xml:space="preserve"> and </w:t>
      </w:r>
      <w:r w:rsidRPr="004C79F0">
        <w:rPr>
          <w:lang w:val="en-US"/>
        </w:rPr>
        <w:t>MSBVAR</w:t>
      </w:r>
      <w:r>
        <w:rPr>
          <w:lang w:val="en-US"/>
        </w:rPr>
        <w:t xml:space="preserve"> </w:t>
      </w:r>
      <w:r w:rsidRPr="004C79F0">
        <w:rPr>
          <w:lang w:val="en-US"/>
        </w:rPr>
        <w:t>librar</w:t>
      </w:r>
      <w:r>
        <w:rPr>
          <w:lang w:val="en-US"/>
        </w:rPr>
        <w:t>ies in R in order to perform the estimations (</w:t>
      </w:r>
      <w:r w:rsidRPr="004C79F0">
        <w:rPr>
          <w:lang w:val="en-US"/>
        </w:rPr>
        <w:t>R Development Core Team, 201</w:t>
      </w:r>
      <w:r>
        <w:rPr>
          <w:lang w:val="en-US"/>
        </w:rPr>
        <w:t>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842E5"/>
    <w:multiLevelType w:val="hybridMultilevel"/>
    <w:tmpl w:val="30E4E5E0"/>
    <w:lvl w:ilvl="0" w:tplc="9DB24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13984"/>
    <w:multiLevelType w:val="hybridMultilevel"/>
    <w:tmpl w:val="9800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8C1A3A"/>
    <w:multiLevelType w:val="hybridMultilevel"/>
    <w:tmpl w:val="CE80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9F5A3A"/>
    <w:multiLevelType w:val="hybridMultilevel"/>
    <w:tmpl w:val="51B400D6"/>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4" w15:restartNumberingAfterBreak="0">
    <w:nsid w:val="19296321"/>
    <w:multiLevelType w:val="hybridMultilevel"/>
    <w:tmpl w:val="4EE05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6D81"/>
    <w:multiLevelType w:val="hybridMultilevel"/>
    <w:tmpl w:val="935A6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FD2B8E"/>
    <w:multiLevelType w:val="hybridMultilevel"/>
    <w:tmpl w:val="23AE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E5009B"/>
    <w:multiLevelType w:val="hybridMultilevel"/>
    <w:tmpl w:val="EB8A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64B4E"/>
    <w:multiLevelType w:val="hybridMultilevel"/>
    <w:tmpl w:val="3FFE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2593B"/>
    <w:multiLevelType w:val="hybridMultilevel"/>
    <w:tmpl w:val="628E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2A7484"/>
    <w:multiLevelType w:val="hybridMultilevel"/>
    <w:tmpl w:val="2CE22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66ABE"/>
    <w:multiLevelType w:val="hybridMultilevel"/>
    <w:tmpl w:val="93D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4220D7"/>
    <w:multiLevelType w:val="hybridMultilevel"/>
    <w:tmpl w:val="BD7E1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B73DB"/>
    <w:multiLevelType w:val="hybridMultilevel"/>
    <w:tmpl w:val="C704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F2613"/>
    <w:multiLevelType w:val="hybridMultilevel"/>
    <w:tmpl w:val="C4162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F66115"/>
    <w:multiLevelType w:val="hybridMultilevel"/>
    <w:tmpl w:val="7B749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33620"/>
    <w:multiLevelType w:val="hybridMultilevel"/>
    <w:tmpl w:val="4B88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FD218C"/>
    <w:multiLevelType w:val="hybridMultilevel"/>
    <w:tmpl w:val="78D8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C7567"/>
    <w:multiLevelType w:val="hybridMultilevel"/>
    <w:tmpl w:val="8606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1A4E1E"/>
    <w:multiLevelType w:val="hybridMultilevel"/>
    <w:tmpl w:val="11CC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A73D0F"/>
    <w:multiLevelType w:val="hybridMultilevel"/>
    <w:tmpl w:val="42565366"/>
    <w:lvl w:ilvl="0" w:tplc="B3AC68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5F3907"/>
    <w:multiLevelType w:val="hybridMultilevel"/>
    <w:tmpl w:val="1B5876BA"/>
    <w:lvl w:ilvl="0" w:tplc="04090001">
      <w:start w:val="1"/>
      <w:numFmt w:val="bullet"/>
      <w:lvlText w:val=""/>
      <w:lvlJc w:val="left"/>
      <w:pPr>
        <w:ind w:left="3840" w:hanging="360"/>
      </w:pPr>
      <w:rPr>
        <w:rFonts w:ascii="Symbol" w:hAnsi="Symbol" w:hint="default"/>
      </w:rPr>
    </w:lvl>
    <w:lvl w:ilvl="1" w:tplc="04090003" w:tentative="1">
      <w:start w:val="1"/>
      <w:numFmt w:val="bullet"/>
      <w:lvlText w:val="o"/>
      <w:lvlJc w:val="left"/>
      <w:pPr>
        <w:ind w:left="4560" w:hanging="360"/>
      </w:pPr>
      <w:rPr>
        <w:rFonts w:ascii="Courier New" w:hAnsi="Courier New" w:cs="Courier New" w:hint="default"/>
      </w:rPr>
    </w:lvl>
    <w:lvl w:ilvl="2" w:tplc="04090005" w:tentative="1">
      <w:start w:val="1"/>
      <w:numFmt w:val="bullet"/>
      <w:lvlText w:val=""/>
      <w:lvlJc w:val="left"/>
      <w:pPr>
        <w:ind w:left="5280" w:hanging="360"/>
      </w:pPr>
      <w:rPr>
        <w:rFonts w:ascii="Wingdings" w:hAnsi="Wingdings" w:hint="default"/>
      </w:rPr>
    </w:lvl>
    <w:lvl w:ilvl="3" w:tplc="04090001" w:tentative="1">
      <w:start w:val="1"/>
      <w:numFmt w:val="bullet"/>
      <w:lvlText w:val=""/>
      <w:lvlJc w:val="left"/>
      <w:pPr>
        <w:ind w:left="6000" w:hanging="360"/>
      </w:pPr>
      <w:rPr>
        <w:rFonts w:ascii="Symbol" w:hAnsi="Symbol" w:hint="default"/>
      </w:rPr>
    </w:lvl>
    <w:lvl w:ilvl="4" w:tplc="04090003" w:tentative="1">
      <w:start w:val="1"/>
      <w:numFmt w:val="bullet"/>
      <w:lvlText w:val="o"/>
      <w:lvlJc w:val="left"/>
      <w:pPr>
        <w:ind w:left="6720" w:hanging="360"/>
      </w:pPr>
      <w:rPr>
        <w:rFonts w:ascii="Courier New" w:hAnsi="Courier New" w:cs="Courier New" w:hint="default"/>
      </w:rPr>
    </w:lvl>
    <w:lvl w:ilvl="5" w:tplc="04090005" w:tentative="1">
      <w:start w:val="1"/>
      <w:numFmt w:val="bullet"/>
      <w:lvlText w:val=""/>
      <w:lvlJc w:val="left"/>
      <w:pPr>
        <w:ind w:left="7440" w:hanging="360"/>
      </w:pPr>
      <w:rPr>
        <w:rFonts w:ascii="Wingdings" w:hAnsi="Wingdings" w:hint="default"/>
      </w:rPr>
    </w:lvl>
    <w:lvl w:ilvl="6" w:tplc="04090001" w:tentative="1">
      <w:start w:val="1"/>
      <w:numFmt w:val="bullet"/>
      <w:lvlText w:val=""/>
      <w:lvlJc w:val="left"/>
      <w:pPr>
        <w:ind w:left="8160" w:hanging="360"/>
      </w:pPr>
      <w:rPr>
        <w:rFonts w:ascii="Symbol" w:hAnsi="Symbol" w:hint="default"/>
      </w:rPr>
    </w:lvl>
    <w:lvl w:ilvl="7" w:tplc="04090003" w:tentative="1">
      <w:start w:val="1"/>
      <w:numFmt w:val="bullet"/>
      <w:lvlText w:val="o"/>
      <w:lvlJc w:val="left"/>
      <w:pPr>
        <w:ind w:left="8880" w:hanging="360"/>
      </w:pPr>
      <w:rPr>
        <w:rFonts w:ascii="Courier New" w:hAnsi="Courier New" w:cs="Courier New" w:hint="default"/>
      </w:rPr>
    </w:lvl>
    <w:lvl w:ilvl="8" w:tplc="04090005" w:tentative="1">
      <w:start w:val="1"/>
      <w:numFmt w:val="bullet"/>
      <w:lvlText w:val=""/>
      <w:lvlJc w:val="left"/>
      <w:pPr>
        <w:ind w:left="9600" w:hanging="360"/>
      </w:pPr>
      <w:rPr>
        <w:rFonts w:ascii="Wingdings" w:hAnsi="Wingdings" w:hint="default"/>
      </w:rPr>
    </w:lvl>
  </w:abstractNum>
  <w:abstractNum w:abstractNumId="22" w15:restartNumberingAfterBreak="0">
    <w:nsid w:val="667F67DC"/>
    <w:multiLevelType w:val="hybridMultilevel"/>
    <w:tmpl w:val="3F7E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741DC4"/>
    <w:multiLevelType w:val="hybridMultilevel"/>
    <w:tmpl w:val="50A2A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12B91"/>
    <w:multiLevelType w:val="hybridMultilevel"/>
    <w:tmpl w:val="1356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D15C5F"/>
    <w:multiLevelType w:val="hybridMultilevel"/>
    <w:tmpl w:val="F264A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42E0D"/>
    <w:multiLevelType w:val="hybridMultilevel"/>
    <w:tmpl w:val="E90AC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4430CEA"/>
    <w:multiLevelType w:val="hybridMultilevel"/>
    <w:tmpl w:val="6D3AD1A2"/>
    <w:lvl w:ilvl="0" w:tplc="4F447DF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A183B"/>
    <w:multiLevelType w:val="hybridMultilevel"/>
    <w:tmpl w:val="3A86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B652BF"/>
    <w:multiLevelType w:val="hybridMultilevel"/>
    <w:tmpl w:val="63924994"/>
    <w:lvl w:ilvl="0" w:tplc="8BBE8E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B205ED"/>
    <w:multiLevelType w:val="hybridMultilevel"/>
    <w:tmpl w:val="26D41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62D76"/>
    <w:multiLevelType w:val="hybridMultilevel"/>
    <w:tmpl w:val="0B78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5D4942"/>
    <w:multiLevelType w:val="hybridMultilevel"/>
    <w:tmpl w:val="703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536929"/>
    <w:multiLevelType w:val="hybridMultilevel"/>
    <w:tmpl w:val="BCD27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7"/>
  </w:num>
  <w:num w:numId="3">
    <w:abstractNumId w:val="12"/>
  </w:num>
  <w:num w:numId="4">
    <w:abstractNumId w:val="33"/>
  </w:num>
  <w:num w:numId="5">
    <w:abstractNumId w:val="20"/>
  </w:num>
  <w:num w:numId="6">
    <w:abstractNumId w:val="29"/>
  </w:num>
  <w:num w:numId="7">
    <w:abstractNumId w:val="0"/>
  </w:num>
  <w:num w:numId="8">
    <w:abstractNumId w:val="9"/>
  </w:num>
  <w:num w:numId="9">
    <w:abstractNumId w:val="11"/>
  </w:num>
  <w:num w:numId="10">
    <w:abstractNumId w:val="1"/>
  </w:num>
  <w:num w:numId="11">
    <w:abstractNumId w:val="19"/>
  </w:num>
  <w:num w:numId="12">
    <w:abstractNumId w:val="22"/>
  </w:num>
  <w:num w:numId="13">
    <w:abstractNumId w:val="25"/>
  </w:num>
  <w:num w:numId="14">
    <w:abstractNumId w:val="6"/>
  </w:num>
  <w:num w:numId="15">
    <w:abstractNumId w:val="31"/>
  </w:num>
  <w:num w:numId="16">
    <w:abstractNumId w:val="23"/>
  </w:num>
  <w:num w:numId="17">
    <w:abstractNumId w:val="8"/>
  </w:num>
  <w:num w:numId="18">
    <w:abstractNumId w:val="30"/>
  </w:num>
  <w:num w:numId="19">
    <w:abstractNumId w:val="28"/>
  </w:num>
  <w:num w:numId="20">
    <w:abstractNumId w:val="13"/>
  </w:num>
  <w:num w:numId="21">
    <w:abstractNumId w:val="32"/>
  </w:num>
  <w:num w:numId="22">
    <w:abstractNumId w:val="2"/>
  </w:num>
  <w:num w:numId="23">
    <w:abstractNumId w:val="4"/>
  </w:num>
  <w:num w:numId="24">
    <w:abstractNumId w:val="24"/>
  </w:num>
  <w:num w:numId="25">
    <w:abstractNumId w:val="5"/>
  </w:num>
  <w:num w:numId="26">
    <w:abstractNumId w:val="3"/>
  </w:num>
  <w:num w:numId="27">
    <w:abstractNumId w:val="16"/>
  </w:num>
  <w:num w:numId="28">
    <w:abstractNumId w:val="21"/>
  </w:num>
  <w:num w:numId="29">
    <w:abstractNumId w:val="18"/>
  </w:num>
  <w:num w:numId="30">
    <w:abstractNumId w:val="15"/>
  </w:num>
  <w:num w:numId="31">
    <w:abstractNumId w:val="7"/>
  </w:num>
  <w:num w:numId="32">
    <w:abstractNumId w:val="17"/>
  </w:num>
  <w:num w:numId="33">
    <w:abstractNumId w:val="26"/>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92E"/>
    <w:rsid w:val="00001A5C"/>
    <w:rsid w:val="00001CE0"/>
    <w:rsid w:val="00003756"/>
    <w:rsid w:val="00003CF2"/>
    <w:rsid w:val="0000430D"/>
    <w:rsid w:val="000046FD"/>
    <w:rsid w:val="000053E5"/>
    <w:rsid w:val="00006BF1"/>
    <w:rsid w:val="00006DA4"/>
    <w:rsid w:val="000116EF"/>
    <w:rsid w:val="000123AE"/>
    <w:rsid w:val="00012A91"/>
    <w:rsid w:val="00013D0E"/>
    <w:rsid w:val="00013E13"/>
    <w:rsid w:val="000140D8"/>
    <w:rsid w:val="000148B2"/>
    <w:rsid w:val="00014971"/>
    <w:rsid w:val="000173C2"/>
    <w:rsid w:val="00020CCF"/>
    <w:rsid w:val="0002123A"/>
    <w:rsid w:val="0002193E"/>
    <w:rsid w:val="00022D2E"/>
    <w:rsid w:val="00023573"/>
    <w:rsid w:val="00025084"/>
    <w:rsid w:val="0002559E"/>
    <w:rsid w:val="00025BCC"/>
    <w:rsid w:val="000310A0"/>
    <w:rsid w:val="00031400"/>
    <w:rsid w:val="00031A26"/>
    <w:rsid w:val="000329F9"/>
    <w:rsid w:val="00032DCA"/>
    <w:rsid w:val="000338A3"/>
    <w:rsid w:val="000345CC"/>
    <w:rsid w:val="00035117"/>
    <w:rsid w:val="00035C9F"/>
    <w:rsid w:val="00035D63"/>
    <w:rsid w:val="00036131"/>
    <w:rsid w:val="000361BE"/>
    <w:rsid w:val="0003633E"/>
    <w:rsid w:val="000413E2"/>
    <w:rsid w:val="000420C3"/>
    <w:rsid w:val="0004251C"/>
    <w:rsid w:val="00042A64"/>
    <w:rsid w:val="00042DA8"/>
    <w:rsid w:val="00044C45"/>
    <w:rsid w:val="000463A4"/>
    <w:rsid w:val="00046A3A"/>
    <w:rsid w:val="00046BD4"/>
    <w:rsid w:val="00046FF5"/>
    <w:rsid w:val="00047C29"/>
    <w:rsid w:val="00050FC7"/>
    <w:rsid w:val="00051278"/>
    <w:rsid w:val="00052500"/>
    <w:rsid w:val="00054445"/>
    <w:rsid w:val="00056739"/>
    <w:rsid w:val="000573C4"/>
    <w:rsid w:val="0005768C"/>
    <w:rsid w:val="0005796C"/>
    <w:rsid w:val="0005799E"/>
    <w:rsid w:val="0006008A"/>
    <w:rsid w:val="0006386E"/>
    <w:rsid w:val="00063B6E"/>
    <w:rsid w:val="00064011"/>
    <w:rsid w:val="000641B9"/>
    <w:rsid w:val="00065AE8"/>
    <w:rsid w:val="00066B90"/>
    <w:rsid w:val="00067EE0"/>
    <w:rsid w:val="00070ECE"/>
    <w:rsid w:val="00071221"/>
    <w:rsid w:val="00072387"/>
    <w:rsid w:val="0007344A"/>
    <w:rsid w:val="00073F70"/>
    <w:rsid w:val="00076993"/>
    <w:rsid w:val="0008031B"/>
    <w:rsid w:val="00082A3C"/>
    <w:rsid w:val="00082B1C"/>
    <w:rsid w:val="000834B9"/>
    <w:rsid w:val="00085542"/>
    <w:rsid w:val="0008585D"/>
    <w:rsid w:val="00085BDB"/>
    <w:rsid w:val="0008662D"/>
    <w:rsid w:val="00091730"/>
    <w:rsid w:val="00091A8E"/>
    <w:rsid w:val="00092D5E"/>
    <w:rsid w:val="00093620"/>
    <w:rsid w:val="000936B4"/>
    <w:rsid w:val="00097B09"/>
    <w:rsid w:val="000A14FE"/>
    <w:rsid w:val="000A1EE7"/>
    <w:rsid w:val="000A2B1E"/>
    <w:rsid w:val="000A4521"/>
    <w:rsid w:val="000A4946"/>
    <w:rsid w:val="000A588E"/>
    <w:rsid w:val="000A6024"/>
    <w:rsid w:val="000B00D2"/>
    <w:rsid w:val="000B13C4"/>
    <w:rsid w:val="000B13FE"/>
    <w:rsid w:val="000B1F99"/>
    <w:rsid w:val="000B1FC5"/>
    <w:rsid w:val="000B2656"/>
    <w:rsid w:val="000B2BD8"/>
    <w:rsid w:val="000B3271"/>
    <w:rsid w:val="000B39CE"/>
    <w:rsid w:val="000B5864"/>
    <w:rsid w:val="000B645C"/>
    <w:rsid w:val="000B719D"/>
    <w:rsid w:val="000C07E1"/>
    <w:rsid w:val="000C0F74"/>
    <w:rsid w:val="000C1221"/>
    <w:rsid w:val="000C2139"/>
    <w:rsid w:val="000C3635"/>
    <w:rsid w:val="000C4427"/>
    <w:rsid w:val="000C517F"/>
    <w:rsid w:val="000C5ADD"/>
    <w:rsid w:val="000C65E0"/>
    <w:rsid w:val="000D19A1"/>
    <w:rsid w:val="000D2701"/>
    <w:rsid w:val="000D2E8C"/>
    <w:rsid w:val="000D3ABE"/>
    <w:rsid w:val="000D3E94"/>
    <w:rsid w:val="000D403C"/>
    <w:rsid w:val="000D5531"/>
    <w:rsid w:val="000D750E"/>
    <w:rsid w:val="000E01B4"/>
    <w:rsid w:val="000E1090"/>
    <w:rsid w:val="000E286B"/>
    <w:rsid w:val="000E2F88"/>
    <w:rsid w:val="000E317D"/>
    <w:rsid w:val="000E4C3B"/>
    <w:rsid w:val="000E4CBF"/>
    <w:rsid w:val="000E4F8A"/>
    <w:rsid w:val="000E56CE"/>
    <w:rsid w:val="000E596F"/>
    <w:rsid w:val="000E679A"/>
    <w:rsid w:val="000E789C"/>
    <w:rsid w:val="000E791D"/>
    <w:rsid w:val="000E7ED5"/>
    <w:rsid w:val="000F00AC"/>
    <w:rsid w:val="000F0C60"/>
    <w:rsid w:val="000F1BAA"/>
    <w:rsid w:val="000F258E"/>
    <w:rsid w:val="000F2754"/>
    <w:rsid w:val="000F3A60"/>
    <w:rsid w:val="000F4D2C"/>
    <w:rsid w:val="000F53FC"/>
    <w:rsid w:val="000F6B22"/>
    <w:rsid w:val="000F7448"/>
    <w:rsid w:val="00100628"/>
    <w:rsid w:val="00100AC2"/>
    <w:rsid w:val="00102D2D"/>
    <w:rsid w:val="00105019"/>
    <w:rsid w:val="001052F7"/>
    <w:rsid w:val="00106C8A"/>
    <w:rsid w:val="001074A8"/>
    <w:rsid w:val="00110CAF"/>
    <w:rsid w:val="00111326"/>
    <w:rsid w:val="0011185E"/>
    <w:rsid w:val="00111FA4"/>
    <w:rsid w:val="00113041"/>
    <w:rsid w:val="00113A23"/>
    <w:rsid w:val="0011473E"/>
    <w:rsid w:val="00114B4D"/>
    <w:rsid w:val="00117294"/>
    <w:rsid w:val="001201EC"/>
    <w:rsid w:val="00120916"/>
    <w:rsid w:val="00121F6D"/>
    <w:rsid w:val="00122098"/>
    <w:rsid w:val="0012239C"/>
    <w:rsid w:val="00125874"/>
    <w:rsid w:val="0012650C"/>
    <w:rsid w:val="00126AF5"/>
    <w:rsid w:val="00127B0D"/>
    <w:rsid w:val="00127E78"/>
    <w:rsid w:val="001302FA"/>
    <w:rsid w:val="001304BC"/>
    <w:rsid w:val="00130557"/>
    <w:rsid w:val="001309E4"/>
    <w:rsid w:val="00132A19"/>
    <w:rsid w:val="0013362E"/>
    <w:rsid w:val="001346CA"/>
    <w:rsid w:val="0013526B"/>
    <w:rsid w:val="00136563"/>
    <w:rsid w:val="001375D8"/>
    <w:rsid w:val="00137A8F"/>
    <w:rsid w:val="00141F3D"/>
    <w:rsid w:val="0014217F"/>
    <w:rsid w:val="00144E19"/>
    <w:rsid w:val="0014501F"/>
    <w:rsid w:val="001451C3"/>
    <w:rsid w:val="00145EEE"/>
    <w:rsid w:val="00146055"/>
    <w:rsid w:val="001464C2"/>
    <w:rsid w:val="00147120"/>
    <w:rsid w:val="00147D6E"/>
    <w:rsid w:val="00147EC6"/>
    <w:rsid w:val="001557EF"/>
    <w:rsid w:val="00155838"/>
    <w:rsid w:val="00157449"/>
    <w:rsid w:val="00157CE1"/>
    <w:rsid w:val="0016123E"/>
    <w:rsid w:val="00162E22"/>
    <w:rsid w:val="00163221"/>
    <w:rsid w:val="0016402E"/>
    <w:rsid w:val="0016460F"/>
    <w:rsid w:val="00164A97"/>
    <w:rsid w:val="0016657C"/>
    <w:rsid w:val="00167E72"/>
    <w:rsid w:val="001716E0"/>
    <w:rsid w:val="00171819"/>
    <w:rsid w:val="00171B44"/>
    <w:rsid w:val="0017278C"/>
    <w:rsid w:val="0017396A"/>
    <w:rsid w:val="00173F2B"/>
    <w:rsid w:val="00176112"/>
    <w:rsid w:val="001769F2"/>
    <w:rsid w:val="00177B2F"/>
    <w:rsid w:val="00180F43"/>
    <w:rsid w:val="00182B09"/>
    <w:rsid w:val="0018380A"/>
    <w:rsid w:val="00183AAA"/>
    <w:rsid w:val="00183CDD"/>
    <w:rsid w:val="00185793"/>
    <w:rsid w:val="0019044C"/>
    <w:rsid w:val="00190E6A"/>
    <w:rsid w:val="001919C5"/>
    <w:rsid w:val="00194620"/>
    <w:rsid w:val="0019505F"/>
    <w:rsid w:val="0019668A"/>
    <w:rsid w:val="001A06AC"/>
    <w:rsid w:val="001A1907"/>
    <w:rsid w:val="001A32A6"/>
    <w:rsid w:val="001A38AF"/>
    <w:rsid w:val="001A6018"/>
    <w:rsid w:val="001A6026"/>
    <w:rsid w:val="001A6C6A"/>
    <w:rsid w:val="001A6D0B"/>
    <w:rsid w:val="001A7178"/>
    <w:rsid w:val="001A7C9F"/>
    <w:rsid w:val="001A7E94"/>
    <w:rsid w:val="001B0059"/>
    <w:rsid w:val="001B0BCE"/>
    <w:rsid w:val="001B3CC9"/>
    <w:rsid w:val="001B42D0"/>
    <w:rsid w:val="001B5C0E"/>
    <w:rsid w:val="001B789F"/>
    <w:rsid w:val="001C376F"/>
    <w:rsid w:val="001C4543"/>
    <w:rsid w:val="001C53C6"/>
    <w:rsid w:val="001C7E6B"/>
    <w:rsid w:val="001D3EEF"/>
    <w:rsid w:val="001D427F"/>
    <w:rsid w:val="001D4AE0"/>
    <w:rsid w:val="001D56F7"/>
    <w:rsid w:val="001D61F5"/>
    <w:rsid w:val="001D6BE6"/>
    <w:rsid w:val="001D7477"/>
    <w:rsid w:val="001D7520"/>
    <w:rsid w:val="001D7F88"/>
    <w:rsid w:val="001E008B"/>
    <w:rsid w:val="001E0199"/>
    <w:rsid w:val="001E1630"/>
    <w:rsid w:val="001E1CC8"/>
    <w:rsid w:val="001E1D13"/>
    <w:rsid w:val="001E203A"/>
    <w:rsid w:val="001E336C"/>
    <w:rsid w:val="001E3404"/>
    <w:rsid w:val="001E393B"/>
    <w:rsid w:val="001E3981"/>
    <w:rsid w:val="001E5B94"/>
    <w:rsid w:val="001E696A"/>
    <w:rsid w:val="001E6F8F"/>
    <w:rsid w:val="001E7173"/>
    <w:rsid w:val="001F2748"/>
    <w:rsid w:val="001F27D5"/>
    <w:rsid w:val="001F2D85"/>
    <w:rsid w:val="001F3948"/>
    <w:rsid w:val="001F3C09"/>
    <w:rsid w:val="001F43B7"/>
    <w:rsid w:val="00200C36"/>
    <w:rsid w:val="00200DEB"/>
    <w:rsid w:val="0020198F"/>
    <w:rsid w:val="0020204A"/>
    <w:rsid w:val="00202CE8"/>
    <w:rsid w:val="00203392"/>
    <w:rsid w:val="002036A4"/>
    <w:rsid w:val="00205EB7"/>
    <w:rsid w:val="00206991"/>
    <w:rsid w:val="002073D1"/>
    <w:rsid w:val="00210CDD"/>
    <w:rsid w:val="00211FE0"/>
    <w:rsid w:val="00212ACE"/>
    <w:rsid w:val="00213A4C"/>
    <w:rsid w:val="00214C5C"/>
    <w:rsid w:val="00215811"/>
    <w:rsid w:val="002164A1"/>
    <w:rsid w:val="00217E6C"/>
    <w:rsid w:val="00220110"/>
    <w:rsid w:val="00220634"/>
    <w:rsid w:val="002206DF"/>
    <w:rsid w:val="00220B1C"/>
    <w:rsid w:val="002215C4"/>
    <w:rsid w:val="002227F8"/>
    <w:rsid w:val="0022470B"/>
    <w:rsid w:val="00224BB0"/>
    <w:rsid w:val="00227082"/>
    <w:rsid w:val="0022730C"/>
    <w:rsid w:val="00227EF2"/>
    <w:rsid w:val="00233183"/>
    <w:rsid w:val="00234208"/>
    <w:rsid w:val="002347C3"/>
    <w:rsid w:val="00234DA0"/>
    <w:rsid w:val="00240328"/>
    <w:rsid w:val="00241E8F"/>
    <w:rsid w:val="002428F9"/>
    <w:rsid w:val="00243012"/>
    <w:rsid w:val="002444E4"/>
    <w:rsid w:val="00246B53"/>
    <w:rsid w:val="0024788F"/>
    <w:rsid w:val="00250038"/>
    <w:rsid w:val="002511E2"/>
    <w:rsid w:val="0025189D"/>
    <w:rsid w:val="00251E4D"/>
    <w:rsid w:val="0025361E"/>
    <w:rsid w:val="00253A60"/>
    <w:rsid w:val="00253C51"/>
    <w:rsid w:val="00254053"/>
    <w:rsid w:val="002543DC"/>
    <w:rsid w:val="002561AF"/>
    <w:rsid w:val="002567CD"/>
    <w:rsid w:val="00256C6D"/>
    <w:rsid w:val="0025727C"/>
    <w:rsid w:val="00257E95"/>
    <w:rsid w:val="00261158"/>
    <w:rsid w:val="002618C5"/>
    <w:rsid w:val="00262F3C"/>
    <w:rsid w:val="0026333E"/>
    <w:rsid w:val="00264788"/>
    <w:rsid w:val="002649F7"/>
    <w:rsid w:val="0026504C"/>
    <w:rsid w:val="0026544A"/>
    <w:rsid w:val="002673C6"/>
    <w:rsid w:val="00267715"/>
    <w:rsid w:val="00267A9B"/>
    <w:rsid w:val="00270037"/>
    <w:rsid w:val="002720A8"/>
    <w:rsid w:val="002723D4"/>
    <w:rsid w:val="00273173"/>
    <w:rsid w:val="00273483"/>
    <w:rsid w:val="00273849"/>
    <w:rsid w:val="0027441F"/>
    <w:rsid w:val="002758BB"/>
    <w:rsid w:val="00275C52"/>
    <w:rsid w:val="002762E3"/>
    <w:rsid w:val="0027685A"/>
    <w:rsid w:val="00276F51"/>
    <w:rsid w:val="00277232"/>
    <w:rsid w:val="0027748B"/>
    <w:rsid w:val="002810E6"/>
    <w:rsid w:val="002813DA"/>
    <w:rsid w:val="00281742"/>
    <w:rsid w:val="00282C43"/>
    <w:rsid w:val="002831E1"/>
    <w:rsid w:val="002842A2"/>
    <w:rsid w:val="00285D81"/>
    <w:rsid w:val="00286494"/>
    <w:rsid w:val="0028652F"/>
    <w:rsid w:val="00287559"/>
    <w:rsid w:val="002909EA"/>
    <w:rsid w:val="00290B6A"/>
    <w:rsid w:val="00291E0B"/>
    <w:rsid w:val="00297B59"/>
    <w:rsid w:val="002A08FC"/>
    <w:rsid w:val="002A1039"/>
    <w:rsid w:val="002A2E26"/>
    <w:rsid w:val="002A2FAD"/>
    <w:rsid w:val="002A301B"/>
    <w:rsid w:val="002A3299"/>
    <w:rsid w:val="002A36A9"/>
    <w:rsid w:val="002A4232"/>
    <w:rsid w:val="002A462A"/>
    <w:rsid w:val="002A54CD"/>
    <w:rsid w:val="002A5C53"/>
    <w:rsid w:val="002A5F52"/>
    <w:rsid w:val="002A63FD"/>
    <w:rsid w:val="002A6C9F"/>
    <w:rsid w:val="002A7A18"/>
    <w:rsid w:val="002B0108"/>
    <w:rsid w:val="002B0BB9"/>
    <w:rsid w:val="002B1CD2"/>
    <w:rsid w:val="002B284B"/>
    <w:rsid w:val="002B30AA"/>
    <w:rsid w:val="002B4453"/>
    <w:rsid w:val="002B69A1"/>
    <w:rsid w:val="002B6D40"/>
    <w:rsid w:val="002C0371"/>
    <w:rsid w:val="002C1A17"/>
    <w:rsid w:val="002C1A2E"/>
    <w:rsid w:val="002C2B98"/>
    <w:rsid w:val="002C2F40"/>
    <w:rsid w:val="002C3ECA"/>
    <w:rsid w:val="002C4370"/>
    <w:rsid w:val="002C45EA"/>
    <w:rsid w:val="002C59DE"/>
    <w:rsid w:val="002C69CD"/>
    <w:rsid w:val="002C7092"/>
    <w:rsid w:val="002D130D"/>
    <w:rsid w:val="002D21ED"/>
    <w:rsid w:val="002D29C1"/>
    <w:rsid w:val="002D3D6E"/>
    <w:rsid w:val="002D477E"/>
    <w:rsid w:val="002D4966"/>
    <w:rsid w:val="002D5552"/>
    <w:rsid w:val="002D58E8"/>
    <w:rsid w:val="002D5995"/>
    <w:rsid w:val="002D59B2"/>
    <w:rsid w:val="002D63B8"/>
    <w:rsid w:val="002D6CF7"/>
    <w:rsid w:val="002D7960"/>
    <w:rsid w:val="002E1B99"/>
    <w:rsid w:val="002E260C"/>
    <w:rsid w:val="002E374E"/>
    <w:rsid w:val="002E39E9"/>
    <w:rsid w:val="002E40A2"/>
    <w:rsid w:val="002E4BC4"/>
    <w:rsid w:val="002E5AE5"/>
    <w:rsid w:val="002E72F2"/>
    <w:rsid w:val="002E7C04"/>
    <w:rsid w:val="002F04D2"/>
    <w:rsid w:val="002F3EA3"/>
    <w:rsid w:val="002F636B"/>
    <w:rsid w:val="002F685C"/>
    <w:rsid w:val="002F7EAD"/>
    <w:rsid w:val="003005EC"/>
    <w:rsid w:val="00300B50"/>
    <w:rsid w:val="00300CFB"/>
    <w:rsid w:val="00302CFD"/>
    <w:rsid w:val="0030497E"/>
    <w:rsid w:val="00305052"/>
    <w:rsid w:val="00305A35"/>
    <w:rsid w:val="00306E75"/>
    <w:rsid w:val="003071AB"/>
    <w:rsid w:val="00307611"/>
    <w:rsid w:val="00307CFF"/>
    <w:rsid w:val="00310160"/>
    <w:rsid w:val="00311550"/>
    <w:rsid w:val="0031180A"/>
    <w:rsid w:val="003124ED"/>
    <w:rsid w:val="00312A64"/>
    <w:rsid w:val="00312C20"/>
    <w:rsid w:val="0031508D"/>
    <w:rsid w:val="0031650E"/>
    <w:rsid w:val="00320F9F"/>
    <w:rsid w:val="00321F5D"/>
    <w:rsid w:val="003222E1"/>
    <w:rsid w:val="003224CC"/>
    <w:rsid w:val="00322C74"/>
    <w:rsid w:val="00323404"/>
    <w:rsid w:val="00325232"/>
    <w:rsid w:val="00325373"/>
    <w:rsid w:val="00326EF9"/>
    <w:rsid w:val="0032775C"/>
    <w:rsid w:val="00327A62"/>
    <w:rsid w:val="00331AFD"/>
    <w:rsid w:val="00332A11"/>
    <w:rsid w:val="00332C65"/>
    <w:rsid w:val="0033317E"/>
    <w:rsid w:val="0033350D"/>
    <w:rsid w:val="003355A3"/>
    <w:rsid w:val="0033760A"/>
    <w:rsid w:val="00340EEA"/>
    <w:rsid w:val="00341330"/>
    <w:rsid w:val="00341BEF"/>
    <w:rsid w:val="003422CA"/>
    <w:rsid w:val="00342893"/>
    <w:rsid w:val="0034290E"/>
    <w:rsid w:val="00342A40"/>
    <w:rsid w:val="0034581E"/>
    <w:rsid w:val="00350711"/>
    <w:rsid w:val="00350B37"/>
    <w:rsid w:val="00350C7A"/>
    <w:rsid w:val="003512E9"/>
    <w:rsid w:val="003519B4"/>
    <w:rsid w:val="00351FF5"/>
    <w:rsid w:val="00353745"/>
    <w:rsid w:val="00354224"/>
    <w:rsid w:val="003547E2"/>
    <w:rsid w:val="00357248"/>
    <w:rsid w:val="0035764F"/>
    <w:rsid w:val="00360176"/>
    <w:rsid w:val="00361FE9"/>
    <w:rsid w:val="00364643"/>
    <w:rsid w:val="00367C4A"/>
    <w:rsid w:val="00367C5D"/>
    <w:rsid w:val="00367C63"/>
    <w:rsid w:val="003708C6"/>
    <w:rsid w:val="00371D17"/>
    <w:rsid w:val="00372794"/>
    <w:rsid w:val="00372ED9"/>
    <w:rsid w:val="00373432"/>
    <w:rsid w:val="00373EEC"/>
    <w:rsid w:val="00374234"/>
    <w:rsid w:val="00374452"/>
    <w:rsid w:val="00375177"/>
    <w:rsid w:val="00375D31"/>
    <w:rsid w:val="0037792C"/>
    <w:rsid w:val="00377C2B"/>
    <w:rsid w:val="00380F51"/>
    <w:rsid w:val="00381364"/>
    <w:rsid w:val="00382250"/>
    <w:rsid w:val="00383E5A"/>
    <w:rsid w:val="00385434"/>
    <w:rsid w:val="00386A28"/>
    <w:rsid w:val="003905F4"/>
    <w:rsid w:val="0039126C"/>
    <w:rsid w:val="003A56B7"/>
    <w:rsid w:val="003A576A"/>
    <w:rsid w:val="003A6930"/>
    <w:rsid w:val="003A6C1E"/>
    <w:rsid w:val="003A7EEB"/>
    <w:rsid w:val="003B11C6"/>
    <w:rsid w:val="003B2801"/>
    <w:rsid w:val="003B380C"/>
    <w:rsid w:val="003B4643"/>
    <w:rsid w:val="003C06FD"/>
    <w:rsid w:val="003C0898"/>
    <w:rsid w:val="003C0DC7"/>
    <w:rsid w:val="003C2AEC"/>
    <w:rsid w:val="003C3F61"/>
    <w:rsid w:val="003C44B5"/>
    <w:rsid w:val="003C51BD"/>
    <w:rsid w:val="003C5F25"/>
    <w:rsid w:val="003D159A"/>
    <w:rsid w:val="003D4B3F"/>
    <w:rsid w:val="003D531E"/>
    <w:rsid w:val="003D5CDA"/>
    <w:rsid w:val="003E0893"/>
    <w:rsid w:val="003E2700"/>
    <w:rsid w:val="003E3C88"/>
    <w:rsid w:val="003E53E0"/>
    <w:rsid w:val="003F05B8"/>
    <w:rsid w:val="003F1288"/>
    <w:rsid w:val="003F1D49"/>
    <w:rsid w:val="003F25E6"/>
    <w:rsid w:val="003F5E3D"/>
    <w:rsid w:val="003F6569"/>
    <w:rsid w:val="003F6FF2"/>
    <w:rsid w:val="003F7922"/>
    <w:rsid w:val="003F7DBE"/>
    <w:rsid w:val="003F7F5E"/>
    <w:rsid w:val="00400C10"/>
    <w:rsid w:val="00402CA4"/>
    <w:rsid w:val="004037FD"/>
    <w:rsid w:val="0040447F"/>
    <w:rsid w:val="00406C19"/>
    <w:rsid w:val="004101B2"/>
    <w:rsid w:val="00411F72"/>
    <w:rsid w:val="00413367"/>
    <w:rsid w:val="004157AF"/>
    <w:rsid w:val="00415A8F"/>
    <w:rsid w:val="00416096"/>
    <w:rsid w:val="00416198"/>
    <w:rsid w:val="0041657B"/>
    <w:rsid w:val="0042030E"/>
    <w:rsid w:val="00423768"/>
    <w:rsid w:val="004237F5"/>
    <w:rsid w:val="004241FB"/>
    <w:rsid w:val="0042607F"/>
    <w:rsid w:val="00431138"/>
    <w:rsid w:val="00432DBD"/>
    <w:rsid w:val="00433A54"/>
    <w:rsid w:val="00435C72"/>
    <w:rsid w:val="00435D30"/>
    <w:rsid w:val="00437226"/>
    <w:rsid w:val="00437BBA"/>
    <w:rsid w:val="00441529"/>
    <w:rsid w:val="00442073"/>
    <w:rsid w:val="004442CB"/>
    <w:rsid w:val="00445D3B"/>
    <w:rsid w:val="00446031"/>
    <w:rsid w:val="004467E3"/>
    <w:rsid w:val="00447E24"/>
    <w:rsid w:val="00450E75"/>
    <w:rsid w:val="004522C5"/>
    <w:rsid w:val="004523F7"/>
    <w:rsid w:val="004529A5"/>
    <w:rsid w:val="004530C3"/>
    <w:rsid w:val="004535D8"/>
    <w:rsid w:val="004538BF"/>
    <w:rsid w:val="00453AAE"/>
    <w:rsid w:val="00456286"/>
    <w:rsid w:val="0045770A"/>
    <w:rsid w:val="00460BCC"/>
    <w:rsid w:val="00462345"/>
    <w:rsid w:val="004637EA"/>
    <w:rsid w:val="0046387C"/>
    <w:rsid w:val="00464865"/>
    <w:rsid w:val="00464BE9"/>
    <w:rsid w:val="0046601C"/>
    <w:rsid w:val="00466323"/>
    <w:rsid w:val="004665EA"/>
    <w:rsid w:val="0046768B"/>
    <w:rsid w:val="00467A91"/>
    <w:rsid w:val="00470914"/>
    <w:rsid w:val="004709C8"/>
    <w:rsid w:val="004712FC"/>
    <w:rsid w:val="004713C5"/>
    <w:rsid w:val="00473B0B"/>
    <w:rsid w:val="00474A3B"/>
    <w:rsid w:val="00475DC9"/>
    <w:rsid w:val="004765C6"/>
    <w:rsid w:val="0048047D"/>
    <w:rsid w:val="00481E43"/>
    <w:rsid w:val="00481FFD"/>
    <w:rsid w:val="00483808"/>
    <w:rsid w:val="004839B3"/>
    <w:rsid w:val="00485165"/>
    <w:rsid w:val="004860F2"/>
    <w:rsid w:val="004914A8"/>
    <w:rsid w:val="00491B51"/>
    <w:rsid w:val="004924DE"/>
    <w:rsid w:val="00493542"/>
    <w:rsid w:val="00494703"/>
    <w:rsid w:val="00494E68"/>
    <w:rsid w:val="004951ED"/>
    <w:rsid w:val="0049557B"/>
    <w:rsid w:val="0049576F"/>
    <w:rsid w:val="004967AC"/>
    <w:rsid w:val="00496B87"/>
    <w:rsid w:val="004970D7"/>
    <w:rsid w:val="00497250"/>
    <w:rsid w:val="004A0AF3"/>
    <w:rsid w:val="004A2251"/>
    <w:rsid w:val="004A22FE"/>
    <w:rsid w:val="004A4009"/>
    <w:rsid w:val="004A604B"/>
    <w:rsid w:val="004A6277"/>
    <w:rsid w:val="004A6305"/>
    <w:rsid w:val="004A6ED7"/>
    <w:rsid w:val="004A75A8"/>
    <w:rsid w:val="004A786D"/>
    <w:rsid w:val="004B18DE"/>
    <w:rsid w:val="004B2792"/>
    <w:rsid w:val="004B4A6A"/>
    <w:rsid w:val="004B4EE2"/>
    <w:rsid w:val="004B5097"/>
    <w:rsid w:val="004B628F"/>
    <w:rsid w:val="004B71E0"/>
    <w:rsid w:val="004B73B3"/>
    <w:rsid w:val="004C0F07"/>
    <w:rsid w:val="004C1365"/>
    <w:rsid w:val="004C20BF"/>
    <w:rsid w:val="004C23E8"/>
    <w:rsid w:val="004C29CA"/>
    <w:rsid w:val="004C2DD8"/>
    <w:rsid w:val="004C3305"/>
    <w:rsid w:val="004C3777"/>
    <w:rsid w:val="004C458A"/>
    <w:rsid w:val="004C4C96"/>
    <w:rsid w:val="004C4F0A"/>
    <w:rsid w:val="004C65DD"/>
    <w:rsid w:val="004C79F0"/>
    <w:rsid w:val="004C7C69"/>
    <w:rsid w:val="004D05E1"/>
    <w:rsid w:val="004D1517"/>
    <w:rsid w:val="004D2CAA"/>
    <w:rsid w:val="004D2CB3"/>
    <w:rsid w:val="004D3A6B"/>
    <w:rsid w:val="004D3BD8"/>
    <w:rsid w:val="004D5188"/>
    <w:rsid w:val="004D587C"/>
    <w:rsid w:val="004D71C9"/>
    <w:rsid w:val="004D76AB"/>
    <w:rsid w:val="004D7D63"/>
    <w:rsid w:val="004E0BB9"/>
    <w:rsid w:val="004E0C71"/>
    <w:rsid w:val="004E10F4"/>
    <w:rsid w:val="004E1244"/>
    <w:rsid w:val="004E2A83"/>
    <w:rsid w:val="004E2E9B"/>
    <w:rsid w:val="004E4F6B"/>
    <w:rsid w:val="004E513E"/>
    <w:rsid w:val="004E5305"/>
    <w:rsid w:val="004E5881"/>
    <w:rsid w:val="004E74E3"/>
    <w:rsid w:val="004E7A38"/>
    <w:rsid w:val="004E7CE5"/>
    <w:rsid w:val="004E7E49"/>
    <w:rsid w:val="004F3506"/>
    <w:rsid w:val="004F3FBF"/>
    <w:rsid w:val="004F494A"/>
    <w:rsid w:val="004F5068"/>
    <w:rsid w:val="004F5249"/>
    <w:rsid w:val="004F5BF1"/>
    <w:rsid w:val="004F69E9"/>
    <w:rsid w:val="004F6BCB"/>
    <w:rsid w:val="004F6E1E"/>
    <w:rsid w:val="004F702D"/>
    <w:rsid w:val="004F71DF"/>
    <w:rsid w:val="004F785C"/>
    <w:rsid w:val="004F7868"/>
    <w:rsid w:val="004F7D02"/>
    <w:rsid w:val="00500F8C"/>
    <w:rsid w:val="005010CC"/>
    <w:rsid w:val="005016FF"/>
    <w:rsid w:val="00501C4B"/>
    <w:rsid w:val="0050261B"/>
    <w:rsid w:val="00502911"/>
    <w:rsid w:val="005032F5"/>
    <w:rsid w:val="00503943"/>
    <w:rsid w:val="00504060"/>
    <w:rsid w:val="00504B2C"/>
    <w:rsid w:val="00505179"/>
    <w:rsid w:val="00507011"/>
    <w:rsid w:val="005073D9"/>
    <w:rsid w:val="00507B04"/>
    <w:rsid w:val="00510CAB"/>
    <w:rsid w:val="00512684"/>
    <w:rsid w:val="00514523"/>
    <w:rsid w:val="00514953"/>
    <w:rsid w:val="0051516A"/>
    <w:rsid w:val="00515777"/>
    <w:rsid w:val="005157B0"/>
    <w:rsid w:val="00516965"/>
    <w:rsid w:val="005169F3"/>
    <w:rsid w:val="00516AD0"/>
    <w:rsid w:val="005171D3"/>
    <w:rsid w:val="0052026F"/>
    <w:rsid w:val="0052359A"/>
    <w:rsid w:val="00523B25"/>
    <w:rsid w:val="0052509F"/>
    <w:rsid w:val="005265A3"/>
    <w:rsid w:val="0052661A"/>
    <w:rsid w:val="00527AC5"/>
    <w:rsid w:val="00530C3E"/>
    <w:rsid w:val="005316D1"/>
    <w:rsid w:val="0053345B"/>
    <w:rsid w:val="00533DA0"/>
    <w:rsid w:val="00533DC5"/>
    <w:rsid w:val="00536B8C"/>
    <w:rsid w:val="00536F58"/>
    <w:rsid w:val="005371DB"/>
    <w:rsid w:val="005411CA"/>
    <w:rsid w:val="005412C2"/>
    <w:rsid w:val="005417C7"/>
    <w:rsid w:val="00542E63"/>
    <w:rsid w:val="005447D0"/>
    <w:rsid w:val="00545111"/>
    <w:rsid w:val="0054770F"/>
    <w:rsid w:val="005477A5"/>
    <w:rsid w:val="00547A14"/>
    <w:rsid w:val="00547B4B"/>
    <w:rsid w:val="00547EC4"/>
    <w:rsid w:val="00552B83"/>
    <w:rsid w:val="00554754"/>
    <w:rsid w:val="005551E9"/>
    <w:rsid w:val="005575D2"/>
    <w:rsid w:val="00557F5D"/>
    <w:rsid w:val="00557FEC"/>
    <w:rsid w:val="005604D3"/>
    <w:rsid w:val="00562E4C"/>
    <w:rsid w:val="00563609"/>
    <w:rsid w:val="0056371B"/>
    <w:rsid w:val="005643C1"/>
    <w:rsid w:val="005655E5"/>
    <w:rsid w:val="005656F3"/>
    <w:rsid w:val="0056582C"/>
    <w:rsid w:val="00565BDD"/>
    <w:rsid w:val="00566CDE"/>
    <w:rsid w:val="00570A84"/>
    <w:rsid w:val="00572D64"/>
    <w:rsid w:val="005736FD"/>
    <w:rsid w:val="00575BFB"/>
    <w:rsid w:val="00577B47"/>
    <w:rsid w:val="00577CF7"/>
    <w:rsid w:val="005800C4"/>
    <w:rsid w:val="00581769"/>
    <w:rsid w:val="005818B2"/>
    <w:rsid w:val="00581937"/>
    <w:rsid w:val="00583996"/>
    <w:rsid w:val="00583EEA"/>
    <w:rsid w:val="005852DA"/>
    <w:rsid w:val="005853A7"/>
    <w:rsid w:val="00587398"/>
    <w:rsid w:val="005875C2"/>
    <w:rsid w:val="005878E1"/>
    <w:rsid w:val="00587E6C"/>
    <w:rsid w:val="005903D2"/>
    <w:rsid w:val="005916F5"/>
    <w:rsid w:val="00592AA7"/>
    <w:rsid w:val="00592FCE"/>
    <w:rsid w:val="00593714"/>
    <w:rsid w:val="00594B62"/>
    <w:rsid w:val="005953E8"/>
    <w:rsid w:val="00595CBD"/>
    <w:rsid w:val="00595DD8"/>
    <w:rsid w:val="00595E27"/>
    <w:rsid w:val="00597FF4"/>
    <w:rsid w:val="005A07C8"/>
    <w:rsid w:val="005A0D16"/>
    <w:rsid w:val="005A3C7B"/>
    <w:rsid w:val="005A56BB"/>
    <w:rsid w:val="005A5E14"/>
    <w:rsid w:val="005A6982"/>
    <w:rsid w:val="005B0588"/>
    <w:rsid w:val="005B0D49"/>
    <w:rsid w:val="005B2927"/>
    <w:rsid w:val="005B4E79"/>
    <w:rsid w:val="005B616D"/>
    <w:rsid w:val="005B70F9"/>
    <w:rsid w:val="005C1185"/>
    <w:rsid w:val="005C19E4"/>
    <w:rsid w:val="005C1B19"/>
    <w:rsid w:val="005C2748"/>
    <w:rsid w:val="005D112C"/>
    <w:rsid w:val="005D2860"/>
    <w:rsid w:val="005D36A1"/>
    <w:rsid w:val="005D3DD6"/>
    <w:rsid w:val="005D420A"/>
    <w:rsid w:val="005D4C6B"/>
    <w:rsid w:val="005D51AB"/>
    <w:rsid w:val="005D586D"/>
    <w:rsid w:val="005D5AD2"/>
    <w:rsid w:val="005D5D39"/>
    <w:rsid w:val="005D787B"/>
    <w:rsid w:val="005D7EE4"/>
    <w:rsid w:val="005E04D1"/>
    <w:rsid w:val="005E0BAB"/>
    <w:rsid w:val="005E1670"/>
    <w:rsid w:val="005E2458"/>
    <w:rsid w:val="005E2473"/>
    <w:rsid w:val="005E339B"/>
    <w:rsid w:val="005E41D1"/>
    <w:rsid w:val="005E4282"/>
    <w:rsid w:val="005E70CE"/>
    <w:rsid w:val="005E7176"/>
    <w:rsid w:val="005E7DB5"/>
    <w:rsid w:val="005F075C"/>
    <w:rsid w:val="005F15C3"/>
    <w:rsid w:val="005F2A27"/>
    <w:rsid w:val="005F53E5"/>
    <w:rsid w:val="005F56E8"/>
    <w:rsid w:val="005F5D1C"/>
    <w:rsid w:val="005F6284"/>
    <w:rsid w:val="005F68EA"/>
    <w:rsid w:val="005F6B5B"/>
    <w:rsid w:val="005F72B6"/>
    <w:rsid w:val="0060067A"/>
    <w:rsid w:val="00600B5F"/>
    <w:rsid w:val="00600EA7"/>
    <w:rsid w:val="006048D7"/>
    <w:rsid w:val="006060C5"/>
    <w:rsid w:val="00610123"/>
    <w:rsid w:val="00610474"/>
    <w:rsid w:val="00612A14"/>
    <w:rsid w:val="006131C3"/>
    <w:rsid w:val="006135D8"/>
    <w:rsid w:val="00613676"/>
    <w:rsid w:val="0061497C"/>
    <w:rsid w:val="00615229"/>
    <w:rsid w:val="0062042D"/>
    <w:rsid w:val="00621394"/>
    <w:rsid w:val="006213EF"/>
    <w:rsid w:val="0062257B"/>
    <w:rsid w:val="0062491B"/>
    <w:rsid w:val="006260B5"/>
    <w:rsid w:val="00627D4E"/>
    <w:rsid w:val="00630D68"/>
    <w:rsid w:val="00632159"/>
    <w:rsid w:val="006342F0"/>
    <w:rsid w:val="0063449C"/>
    <w:rsid w:val="006344E1"/>
    <w:rsid w:val="00634A7C"/>
    <w:rsid w:val="00634EB7"/>
    <w:rsid w:val="00634FBE"/>
    <w:rsid w:val="00635267"/>
    <w:rsid w:val="0063595E"/>
    <w:rsid w:val="00636398"/>
    <w:rsid w:val="00637462"/>
    <w:rsid w:val="0064049B"/>
    <w:rsid w:val="0064093C"/>
    <w:rsid w:val="00641355"/>
    <w:rsid w:val="00641451"/>
    <w:rsid w:val="00641799"/>
    <w:rsid w:val="00642D53"/>
    <w:rsid w:val="00645D68"/>
    <w:rsid w:val="00646DF6"/>
    <w:rsid w:val="00646EEB"/>
    <w:rsid w:val="0065131D"/>
    <w:rsid w:val="00652AAB"/>
    <w:rsid w:val="00653C24"/>
    <w:rsid w:val="00653E0B"/>
    <w:rsid w:val="00654B59"/>
    <w:rsid w:val="00655E2E"/>
    <w:rsid w:val="00656720"/>
    <w:rsid w:val="006575B4"/>
    <w:rsid w:val="00657716"/>
    <w:rsid w:val="00657B86"/>
    <w:rsid w:val="006603B5"/>
    <w:rsid w:val="00661775"/>
    <w:rsid w:val="006618C2"/>
    <w:rsid w:val="006627B9"/>
    <w:rsid w:val="0066393C"/>
    <w:rsid w:val="006647CD"/>
    <w:rsid w:val="00664BFD"/>
    <w:rsid w:val="006672F8"/>
    <w:rsid w:val="00671371"/>
    <w:rsid w:val="006714A5"/>
    <w:rsid w:val="00673996"/>
    <w:rsid w:val="00675343"/>
    <w:rsid w:val="006776A4"/>
    <w:rsid w:val="006808CF"/>
    <w:rsid w:val="006815B3"/>
    <w:rsid w:val="00682FC7"/>
    <w:rsid w:val="006830D4"/>
    <w:rsid w:val="006839F6"/>
    <w:rsid w:val="00685DB4"/>
    <w:rsid w:val="00686C7E"/>
    <w:rsid w:val="00686DA6"/>
    <w:rsid w:val="006879E7"/>
    <w:rsid w:val="00687AF2"/>
    <w:rsid w:val="00690FBF"/>
    <w:rsid w:val="006917A4"/>
    <w:rsid w:val="00692DD5"/>
    <w:rsid w:val="006942C0"/>
    <w:rsid w:val="00694728"/>
    <w:rsid w:val="006948E6"/>
    <w:rsid w:val="00694F74"/>
    <w:rsid w:val="0069588C"/>
    <w:rsid w:val="00695EF5"/>
    <w:rsid w:val="00697615"/>
    <w:rsid w:val="00697880"/>
    <w:rsid w:val="00697CA1"/>
    <w:rsid w:val="006A17B3"/>
    <w:rsid w:val="006A1D3E"/>
    <w:rsid w:val="006A3844"/>
    <w:rsid w:val="006A3D5A"/>
    <w:rsid w:val="006A53C7"/>
    <w:rsid w:val="006A5EF1"/>
    <w:rsid w:val="006A6905"/>
    <w:rsid w:val="006B01DE"/>
    <w:rsid w:val="006B1587"/>
    <w:rsid w:val="006B1ADC"/>
    <w:rsid w:val="006B248D"/>
    <w:rsid w:val="006B2E5E"/>
    <w:rsid w:val="006B35BD"/>
    <w:rsid w:val="006B486C"/>
    <w:rsid w:val="006B52B7"/>
    <w:rsid w:val="006B5520"/>
    <w:rsid w:val="006B679D"/>
    <w:rsid w:val="006C0946"/>
    <w:rsid w:val="006C0EF9"/>
    <w:rsid w:val="006C17D0"/>
    <w:rsid w:val="006C18D7"/>
    <w:rsid w:val="006C323E"/>
    <w:rsid w:val="006C40DF"/>
    <w:rsid w:val="006C6247"/>
    <w:rsid w:val="006C7360"/>
    <w:rsid w:val="006C73BE"/>
    <w:rsid w:val="006D086B"/>
    <w:rsid w:val="006D25E8"/>
    <w:rsid w:val="006D2972"/>
    <w:rsid w:val="006D34C6"/>
    <w:rsid w:val="006D37EF"/>
    <w:rsid w:val="006D3E66"/>
    <w:rsid w:val="006D616A"/>
    <w:rsid w:val="006D72AE"/>
    <w:rsid w:val="006D76B1"/>
    <w:rsid w:val="006D7A23"/>
    <w:rsid w:val="006D7A9F"/>
    <w:rsid w:val="006D7C94"/>
    <w:rsid w:val="006D7DC8"/>
    <w:rsid w:val="006E05EF"/>
    <w:rsid w:val="006E205E"/>
    <w:rsid w:val="006F085D"/>
    <w:rsid w:val="006F0D68"/>
    <w:rsid w:val="006F17F8"/>
    <w:rsid w:val="006F2006"/>
    <w:rsid w:val="006F40D9"/>
    <w:rsid w:val="006F445B"/>
    <w:rsid w:val="006F4AE1"/>
    <w:rsid w:val="006F5132"/>
    <w:rsid w:val="006F5D5F"/>
    <w:rsid w:val="006F659E"/>
    <w:rsid w:val="006F71FA"/>
    <w:rsid w:val="007024C8"/>
    <w:rsid w:val="007035F4"/>
    <w:rsid w:val="00703D52"/>
    <w:rsid w:val="00704790"/>
    <w:rsid w:val="00705184"/>
    <w:rsid w:val="0070565D"/>
    <w:rsid w:val="00705C97"/>
    <w:rsid w:val="00706083"/>
    <w:rsid w:val="00706BDE"/>
    <w:rsid w:val="00706D92"/>
    <w:rsid w:val="00707FC1"/>
    <w:rsid w:val="007106B8"/>
    <w:rsid w:val="007113D8"/>
    <w:rsid w:val="00711711"/>
    <w:rsid w:val="007131A5"/>
    <w:rsid w:val="007146BF"/>
    <w:rsid w:val="00714DAE"/>
    <w:rsid w:val="007154C5"/>
    <w:rsid w:val="00716A1B"/>
    <w:rsid w:val="00717D3F"/>
    <w:rsid w:val="007216E7"/>
    <w:rsid w:val="007221C4"/>
    <w:rsid w:val="00722641"/>
    <w:rsid w:val="0072367B"/>
    <w:rsid w:val="00723D62"/>
    <w:rsid w:val="007241E5"/>
    <w:rsid w:val="007267DE"/>
    <w:rsid w:val="00726D8B"/>
    <w:rsid w:val="00727B44"/>
    <w:rsid w:val="0073003D"/>
    <w:rsid w:val="0073008F"/>
    <w:rsid w:val="0073077F"/>
    <w:rsid w:val="00733741"/>
    <w:rsid w:val="0073583F"/>
    <w:rsid w:val="00735BF6"/>
    <w:rsid w:val="00735F82"/>
    <w:rsid w:val="007377BB"/>
    <w:rsid w:val="00740423"/>
    <w:rsid w:val="00742BCC"/>
    <w:rsid w:val="00743404"/>
    <w:rsid w:val="0074731E"/>
    <w:rsid w:val="007473D8"/>
    <w:rsid w:val="00750189"/>
    <w:rsid w:val="00751B2C"/>
    <w:rsid w:val="007526D9"/>
    <w:rsid w:val="007551E0"/>
    <w:rsid w:val="0075533D"/>
    <w:rsid w:val="00755B8B"/>
    <w:rsid w:val="00755C32"/>
    <w:rsid w:val="00755ED3"/>
    <w:rsid w:val="0076190F"/>
    <w:rsid w:val="00761F71"/>
    <w:rsid w:val="00762F52"/>
    <w:rsid w:val="00763035"/>
    <w:rsid w:val="007636B1"/>
    <w:rsid w:val="007653A6"/>
    <w:rsid w:val="00765D3C"/>
    <w:rsid w:val="007676EB"/>
    <w:rsid w:val="00770B5F"/>
    <w:rsid w:val="0077121F"/>
    <w:rsid w:val="0077154A"/>
    <w:rsid w:val="00771EDD"/>
    <w:rsid w:val="00772397"/>
    <w:rsid w:val="00772A40"/>
    <w:rsid w:val="00773F0B"/>
    <w:rsid w:val="00774A55"/>
    <w:rsid w:val="007807F4"/>
    <w:rsid w:val="0078210C"/>
    <w:rsid w:val="007824EE"/>
    <w:rsid w:val="00783497"/>
    <w:rsid w:val="00783B32"/>
    <w:rsid w:val="007840C0"/>
    <w:rsid w:val="00785094"/>
    <w:rsid w:val="007860A8"/>
    <w:rsid w:val="00787664"/>
    <w:rsid w:val="007939A9"/>
    <w:rsid w:val="00793D28"/>
    <w:rsid w:val="00794D95"/>
    <w:rsid w:val="00795273"/>
    <w:rsid w:val="00795BC8"/>
    <w:rsid w:val="00796CCB"/>
    <w:rsid w:val="00797EEE"/>
    <w:rsid w:val="007A25CC"/>
    <w:rsid w:val="007A333B"/>
    <w:rsid w:val="007A33E1"/>
    <w:rsid w:val="007A3D6C"/>
    <w:rsid w:val="007A4B9C"/>
    <w:rsid w:val="007A4D3E"/>
    <w:rsid w:val="007A4EA9"/>
    <w:rsid w:val="007A4EF9"/>
    <w:rsid w:val="007A663C"/>
    <w:rsid w:val="007A7BD7"/>
    <w:rsid w:val="007B00FC"/>
    <w:rsid w:val="007B2A81"/>
    <w:rsid w:val="007B46A7"/>
    <w:rsid w:val="007B518E"/>
    <w:rsid w:val="007B5809"/>
    <w:rsid w:val="007B58C5"/>
    <w:rsid w:val="007B64B7"/>
    <w:rsid w:val="007C04D1"/>
    <w:rsid w:val="007C10D8"/>
    <w:rsid w:val="007C348A"/>
    <w:rsid w:val="007C52AB"/>
    <w:rsid w:val="007D0BBE"/>
    <w:rsid w:val="007D1EDF"/>
    <w:rsid w:val="007D2221"/>
    <w:rsid w:val="007D2BD9"/>
    <w:rsid w:val="007D3ED0"/>
    <w:rsid w:val="007D4031"/>
    <w:rsid w:val="007D4E7D"/>
    <w:rsid w:val="007D5C57"/>
    <w:rsid w:val="007D70AB"/>
    <w:rsid w:val="007D74CC"/>
    <w:rsid w:val="007D7AD5"/>
    <w:rsid w:val="007E0009"/>
    <w:rsid w:val="007E0256"/>
    <w:rsid w:val="007E0AF0"/>
    <w:rsid w:val="007E2A25"/>
    <w:rsid w:val="007E3AA7"/>
    <w:rsid w:val="007E4D49"/>
    <w:rsid w:val="007E5C8B"/>
    <w:rsid w:val="007F05B5"/>
    <w:rsid w:val="007F156F"/>
    <w:rsid w:val="007F59AE"/>
    <w:rsid w:val="007F6D23"/>
    <w:rsid w:val="00801325"/>
    <w:rsid w:val="00801426"/>
    <w:rsid w:val="008024CE"/>
    <w:rsid w:val="00803441"/>
    <w:rsid w:val="008048C5"/>
    <w:rsid w:val="00805069"/>
    <w:rsid w:val="008064AB"/>
    <w:rsid w:val="008108BB"/>
    <w:rsid w:val="008113F9"/>
    <w:rsid w:val="00813335"/>
    <w:rsid w:val="00813B9A"/>
    <w:rsid w:val="00815874"/>
    <w:rsid w:val="008167DC"/>
    <w:rsid w:val="00820C62"/>
    <w:rsid w:val="00820CE9"/>
    <w:rsid w:val="00821579"/>
    <w:rsid w:val="008226C0"/>
    <w:rsid w:val="008227C6"/>
    <w:rsid w:val="00823000"/>
    <w:rsid w:val="00823E84"/>
    <w:rsid w:val="008257F1"/>
    <w:rsid w:val="00826291"/>
    <w:rsid w:val="00826EBB"/>
    <w:rsid w:val="00827503"/>
    <w:rsid w:val="00830060"/>
    <w:rsid w:val="00830B30"/>
    <w:rsid w:val="00830CA0"/>
    <w:rsid w:val="00831412"/>
    <w:rsid w:val="00833B2C"/>
    <w:rsid w:val="00834058"/>
    <w:rsid w:val="008346CD"/>
    <w:rsid w:val="00835087"/>
    <w:rsid w:val="00836A30"/>
    <w:rsid w:val="00837B0A"/>
    <w:rsid w:val="00837CA5"/>
    <w:rsid w:val="0084097D"/>
    <w:rsid w:val="00841554"/>
    <w:rsid w:val="0084205C"/>
    <w:rsid w:val="0084331E"/>
    <w:rsid w:val="00843847"/>
    <w:rsid w:val="0084410B"/>
    <w:rsid w:val="008449EA"/>
    <w:rsid w:val="00846F6C"/>
    <w:rsid w:val="00846FEB"/>
    <w:rsid w:val="00847034"/>
    <w:rsid w:val="008476B1"/>
    <w:rsid w:val="00847AF3"/>
    <w:rsid w:val="00847F1C"/>
    <w:rsid w:val="00856E6B"/>
    <w:rsid w:val="0085744F"/>
    <w:rsid w:val="00860110"/>
    <w:rsid w:val="008606A9"/>
    <w:rsid w:val="00861826"/>
    <w:rsid w:val="00862A65"/>
    <w:rsid w:val="008641ED"/>
    <w:rsid w:val="008678F9"/>
    <w:rsid w:val="00867CB7"/>
    <w:rsid w:val="00870185"/>
    <w:rsid w:val="00870D60"/>
    <w:rsid w:val="008724E6"/>
    <w:rsid w:val="00873551"/>
    <w:rsid w:val="008757A9"/>
    <w:rsid w:val="008760E5"/>
    <w:rsid w:val="00876288"/>
    <w:rsid w:val="00877509"/>
    <w:rsid w:val="0087757D"/>
    <w:rsid w:val="00880C80"/>
    <w:rsid w:val="008816CC"/>
    <w:rsid w:val="00881B28"/>
    <w:rsid w:val="00882215"/>
    <w:rsid w:val="008827B3"/>
    <w:rsid w:val="00884EF3"/>
    <w:rsid w:val="00884F1D"/>
    <w:rsid w:val="00885804"/>
    <w:rsid w:val="00885C76"/>
    <w:rsid w:val="00885D0A"/>
    <w:rsid w:val="00886961"/>
    <w:rsid w:val="00887C87"/>
    <w:rsid w:val="00887EBC"/>
    <w:rsid w:val="00896CF4"/>
    <w:rsid w:val="00896E34"/>
    <w:rsid w:val="0089715A"/>
    <w:rsid w:val="00897DAB"/>
    <w:rsid w:val="008A0A7D"/>
    <w:rsid w:val="008A17BE"/>
    <w:rsid w:val="008A22DB"/>
    <w:rsid w:val="008A5916"/>
    <w:rsid w:val="008A6034"/>
    <w:rsid w:val="008A674D"/>
    <w:rsid w:val="008A731D"/>
    <w:rsid w:val="008A7556"/>
    <w:rsid w:val="008A764B"/>
    <w:rsid w:val="008B0D9B"/>
    <w:rsid w:val="008B0DC2"/>
    <w:rsid w:val="008B46FE"/>
    <w:rsid w:val="008B472A"/>
    <w:rsid w:val="008B4768"/>
    <w:rsid w:val="008B5153"/>
    <w:rsid w:val="008C1F48"/>
    <w:rsid w:val="008C2B48"/>
    <w:rsid w:val="008C509C"/>
    <w:rsid w:val="008C6029"/>
    <w:rsid w:val="008C6CE2"/>
    <w:rsid w:val="008C7B61"/>
    <w:rsid w:val="008D099F"/>
    <w:rsid w:val="008D4481"/>
    <w:rsid w:val="008D5089"/>
    <w:rsid w:val="008D54AA"/>
    <w:rsid w:val="008D5F52"/>
    <w:rsid w:val="008D6355"/>
    <w:rsid w:val="008D6C02"/>
    <w:rsid w:val="008D75A1"/>
    <w:rsid w:val="008E0B28"/>
    <w:rsid w:val="008E18A8"/>
    <w:rsid w:val="008E5B3A"/>
    <w:rsid w:val="008E6636"/>
    <w:rsid w:val="008E66C0"/>
    <w:rsid w:val="008E6D30"/>
    <w:rsid w:val="008F1D22"/>
    <w:rsid w:val="008F35C9"/>
    <w:rsid w:val="008F3D5B"/>
    <w:rsid w:val="008F3ED7"/>
    <w:rsid w:val="008F4226"/>
    <w:rsid w:val="008F4433"/>
    <w:rsid w:val="008F4556"/>
    <w:rsid w:val="008F635D"/>
    <w:rsid w:val="008F71E3"/>
    <w:rsid w:val="008F73F8"/>
    <w:rsid w:val="008F7D71"/>
    <w:rsid w:val="008F7F0F"/>
    <w:rsid w:val="00903B54"/>
    <w:rsid w:val="00903CD6"/>
    <w:rsid w:val="009064A8"/>
    <w:rsid w:val="00907999"/>
    <w:rsid w:val="00910F22"/>
    <w:rsid w:val="00911622"/>
    <w:rsid w:val="00911717"/>
    <w:rsid w:val="00912CEC"/>
    <w:rsid w:val="00913291"/>
    <w:rsid w:val="00913D35"/>
    <w:rsid w:val="00914E27"/>
    <w:rsid w:val="0091522E"/>
    <w:rsid w:val="00915745"/>
    <w:rsid w:val="00915A25"/>
    <w:rsid w:val="00916B83"/>
    <w:rsid w:val="009172FE"/>
    <w:rsid w:val="0092080E"/>
    <w:rsid w:val="00920D82"/>
    <w:rsid w:val="009210DC"/>
    <w:rsid w:val="009217F6"/>
    <w:rsid w:val="00921C7E"/>
    <w:rsid w:val="00921E4F"/>
    <w:rsid w:val="00922AAF"/>
    <w:rsid w:val="00922FBD"/>
    <w:rsid w:val="00923547"/>
    <w:rsid w:val="00923BE3"/>
    <w:rsid w:val="009244B5"/>
    <w:rsid w:val="0092594F"/>
    <w:rsid w:val="00925CD8"/>
    <w:rsid w:val="00925E5A"/>
    <w:rsid w:val="00926494"/>
    <w:rsid w:val="0093030C"/>
    <w:rsid w:val="00932005"/>
    <w:rsid w:val="0093250D"/>
    <w:rsid w:val="00933181"/>
    <w:rsid w:val="0093336C"/>
    <w:rsid w:val="0093445D"/>
    <w:rsid w:val="00934709"/>
    <w:rsid w:val="009358C9"/>
    <w:rsid w:val="00940B63"/>
    <w:rsid w:val="00940FD3"/>
    <w:rsid w:val="00942078"/>
    <w:rsid w:val="00942168"/>
    <w:rsid w:val="009423B5"/>
    <w:rsid w:val="009436B1"/>
    <w:rsid w:val="00943EBC"/>
    <w:rsid w:val="0094460B"/>
    <w:rsid w:val="00947892"/>
    <w:rsid w:val="009523D1"/>
    <w:rsid w:val="00952A3A"/>
    <w:rsid w:val="00952E11"/>
    <w:rsid w:val="00953165"/>
    <w:rsid w:val="0095664F"/>
    <w:rsid w:val="00960BC8"/>
    <w:rsid w:val="00960E08"/>
    <w:rsid w:val="00962102"/>
    <w:rsid w:val="00962E9C"/>
    <w:rsid w:val="0096402B"/>
    <w:rsid w:val="00964EC3"/>
    <w:rsid w:val="0096512F"/>
    <w:rsid w:val="009652C6"/>
    <w:rsid w:val="00966388"/>
    <w:rsid w:val="00966945"/>
    <w:rsid w:val="00966953"/>
    <w:rsid w:val="0096712D"/>
    <w:rsid w:val="00967B4C"/>
    <w:rsid w:val="0097087E"/>
    <w:rsid w:val="00972D23"/>
    <w:rsid w:val="00975762"/>
    <w:rsid w:val="009769AC"/>
    <w:rsid w:val="0097740E"/>
    <w:rsid w:val="00982DF3"/>
    <w:rsid w:val="0098360C"/>
    <w:rsid w:val="009842F8"/>
    <w:rsid w:val="0098445B"/>
    <w:rsid w:val="00985408"/>
    <w:rsid w:val="00985C07"/>
    <w:rsid w:val="00986316"/>
    <w:rsid w:val="0098656B"/>
    <w:rsid w:val="00993554"/>
    <w:rsid w:val="00995610"/>
    <w:rsid w:val="00995BC3"/>
    <w:rsid w:val="00995D4C"/>
    <w:rsid w:val="00996495"/>
    <w:rsid w:val="00997849"/>
    <w:rsid w:val="009A22FF"/>
    <w:rsid w:val="009A24A3"/>
    <w:rsid w:val="009A24B1"/>
    <w:rsid w:val="009A357D"/>
    <w:rsid w:val="009A4410"/>
    <w:rsid w:val="009A4A5D"/>
    <w:rsid w:val="009A4FC4"/>
    <w:rsid w:val="009A6F6D"/>
    <w:rsid w:val="009A6FFF"/>
    <w:rsid w:val="009A775A"/>
    <w:rsid w:val="009A7772"/>
    <w:rsid w:val="009B0F01"/>
    <w:rsid w:val="009B110E"/>
    <w:rsid w:val="009B20EC"/>
    <w:rsid w:val="009B29D4"/>
    <w:rsid w:val="009B2C83"/>
    <w:rsid w:val="009B389C"/>
    <w:rsid w:val="009B4957"/>
    <w:rsid w:val="009B49CA"/>
    <w:rsid w:val="009B6BED"/>
    <w:rsid w:val="009B6FD2"/>
    <w:rsid w:val="009C125D"/>
    <w:rsid w:val="009C1FCF"/>
    <w:rsid w:val="009C279B"/>
    <w:rsid w:val="009C2869"/>
    <w:rsid w:val="009C2940"/>
    <w:rsid w:val="009C3692"/>
    <w:rsid w:val="009C3B6C"/>
    <w:rsid w:val="009C40F7"/>
    <w:rsid w:val="009C54B9"/>
    <w:rsid w:val="009C7A44"/>
    <w:rsid w:val="009C7A47"/>
    <w:rsid w:val="009D0FC3"/>
    <w:rsid w:val="009D1387"/>
    <w:rsid w:val="009D26FA"/>
    <w:rsid w:val="009D27FD"/>
    <w:rsid w:val="009D2B1B"/>
    <w:rsid w:val="009D2CF0"/>
    <w:rsid w:val="009D33E9"/>
    <w:rsid w:val="009D529A"/>
    <w:rsid w:val="009D5860"/>
    <w:rsid w:val="009D7949"/>
    <w:rsid w:val="009E0BF2"/>
    <w:rsid w:val="009E3A0C"/>
    <w:rsid w:val="009E3CBE"/>
    <w:rsid w:val="009E4D87"/>
    <w:rsid w:val="009E581C"/>
    <w:rsid w:val="009E684F"/>
    <w:rsid w:val="009E79F3"/>
    <w:rsid w:val="009F136C"/>
    <w:rsid w:val="009F1EF9"/>
    <w:rsid w:val="009F1FAB"/>
    <w:rsid w:val="009F2087"/>
    <w:rsid w:val="009F245A"/>
    <w:rsid w:val="009F315D"/>
    <w:rsid w:val="009F3BDA"/>
    <w:rsid w:val="009F4A27"/>
    <w:rsid w:val="009F5B07"/>
    <w:rsid w:val="009F67EE"/>
    <w:rsid w:val="009F7585"/>
    <w:rsid w:val="009F7E04"/>
    <w:rsid w:val="009F7FB1"/>
    <w:rsid w:val="00A00B4D"/>
    <w:rsid w:val="00A00FF6"/>
    <w:rsid w:val="00A01723"/>
    <w:rsid w:val="00A03E86"/>
    <w:rsid w:val="00A10453"/>
    <w:rsid w:val="00A1108F"/>
    <w:rsid w:val="00A1126F"/>
    <w:rsid w:val="00A11960"/>
    <w:rsid w:val="00A16ACA"/>
    <w:rsid w:val="00A21FF9"/>
    <w:rsid w:val="00A22DAB"/>
    <w:rsid w:val="00A22EA5"/>
    <w:rsid w:val="00A23264"/>
    <w:rsid w:val="00A23646"/>
    <w:rsid w:val="00A23FB9"/>
    <w:rsid w:val="00A26558"/>
    <w:rsid w:val="00A26C6D"/>
    <w:rsid w:val="00A3042B"/>
    <w:rsid w:val="00A30483"/>
    <w:rsid w:val="00A3088D"/>
    <w:rsid w:val="00A30B43"/>
    <w:rsid w:val="00A31796"/>
    <w:rsid w:val="00A33E8E"/>
    <w:rsid w:val="00A346B3"/>
    <w:rsid w:val="00A35039"/>
    <w:rsid w:val="00A352FD"/>
    <w:rsid w:val="00A3557F"/>
    <w:rsid w:val="00A36CB6"/>
    <w:rsid w:val="00A3764B"/>
    <w:rsid w:val="00A37A54"/>
    <w:rsid w:val="00A37BB9"/>
    <w:rsid w:val="00A4010A"/>
    <w:rsid w:val="00A4363D"/>
    <w:rsid w:val="00A43B4F"/>
    <w:rsid w:val="00A43D93"/>
    <w:rsid w:val="00A4498D"/>
    <w:rsid w:val="00A450DC"/>
    <w:rsid w:val="00A46144"/>
    <w:rsid w:val="00A46B63"/>
    <w:rsid w:val="00A46D50"/>
    <w:rsid w:val="00A50F17"/>
    <w:rsid w:val="00A51EA2"/>
    <w:rsid w:val="00A52F88"/>
    <w:rsid w:val="00A536C8"/>
    <w:rsid w:val="00A53787"/>
    <w:rsid w:val="00A53ACA"/>
    <w:rsid w:val="00A54627"/>
    <w:rsid w:val="00A5773A"/>
    <w:rsid w:val="00A57914"/>
    <w:rsid w:val="00A57969"/>
    <w:rsid w:val="00A61B9C"/>
    <w:rsid w:val="00A65DE3"/>
    <w:rsid w:val="00A65ECF"/>
    <w:rsid w:val="00A72D1F"/>
    <w:rsid w:val="00A733CA"/>
    <w:rsid w:val="00A735DC"/>
    <w:rsid w:val="00A73FC5"/>
    <w:rsid w:val="00A760C3"/>
    <w:rsid w:val="00A7684E"/>
    <w:rsid w:val="00A76FA2"/>
    <w:rsid w:val="00A7719D"/>
    <w:rsid w:val="00A80582"/>
    <w:rsid w:val="00A816A8"/>
    <w:rsid w:val="00A82E67"/>
    <w:rsid w:val="00A85218"/>
    <w:rsid w:val="00A85F36"/>
    <w:rsid w:val="00A862CC"/>
    <w:rsid w:val="00A8732B"/>
    <w:rsid w:val="00A90464"/>
    <w:rsid w:val="00A90815"/>
    <w:rsid w:val="00A9498C"/>
    <w:rsid w:val="00A957A0"/>
    <w:rsid w:val="00A97526"/>
    <w:rsid w:val="00A97BA8"/>
    <w:rsid w:val="00AA39C8"/>
    <w:rsid w:val="00AA518C"/>
    <w:rsid w:val="00AA6C57"/>
    <w:rsid w:val="00AA747F"/>
    <w:rsid w:val="00AA7CEE"/>
    <w:rsid w:val="00AB04FB"/>
    <w:rsid w:val="00AB0D44"/>
    <w:rsid w:val="00AB24BF"/>
    <w:rsid w:val="00AB2E33"/>
    <w:rsid w:val="00AB348C"/>
    <w:rsid w:val="00AB4308"/>
    <w:rsid w:val="00AB6339"/>
    <w:rsid w:val="00AB76FE"/>
    <w:rsid w:val="00AB7E41"/>
    <w:rsid w:val="00AC009B"/>
    <w:rsid w:val="00AC0D88"/>
    <w:rsid w:val="00AC2D88"/>
    <w:rsid w:val="00AC4E18"/>
    <w:rsid w:val="00AC53B9"/>
    <w:rsid w:val="00AC693B"/>
    <w:rsid w:val="00AC7049"/>
    <w:rsid w:val="00AD03B1"/>
    <w:rsid w:val="00AD0974"/>
    <w:rsid w:val="00AD1989"/>
    <w:rsid w:val="00AD3466"/>
    <w:rsid w:val="00AD43E0"/>
    <w:rsid w:val="00AD5C30"/>
    <w:rsid w:val="00AD6E29"/>
    <w:rsid w:val="00AD7F21"/>
    <w:rsid w:val="00AE0044"/>
    <w:rsid w:val="00AE165E"/>
    <w:rsid w:val="00AE39FB"/>
    <w:rsid w:val="00AE3A48"/>
    <w:rsid w:val="00AE4850"/>
    <w:rsid w:val="00AE4BB1"/>
    <w:rsid w:val="00AE5088"/>
    <w:rsid w:val="00AE623A"/>
    <w:rsid w:val="00AE66C3"/>
    <w:rsid w:val="00AE7912"/>
    <w:rsid w:val="00AF02DF"/>
    <w:rsid w:val="00AF1FD8"/>
    <w:rsid w:val="00AF2CEA"/>
    <w:rsid w:val="00AF6F29"/>
    <w:rsid w:val="00B0022C"/>
    <w:rsid w:val="00B00802"/>
    <w:rsid w:val="00B01A96"/>
    <w:rsid w:val="00B0237B"/>
    <w:rsid w:val="00B024C2"/>
    <w:rsid w:val="00B02703"/>
    <w:rsid w:val="00B02FF0"/>
    <w:rsid w:val="00B05997"/>
    <w:rsid w:val="00B05F19"/>
    <w:rsid w:val="00B104E8"/>
    <w:rsid w:val="00B109BB"/>
    <w:rsid w:val="00B123B4"/>
    <w:rsid w:val="00B127FE"/>
    <w:rsid w:val="00B13129"/>
    <w:rsid w:val="00B13D19"/>
    <w:rsid w:val="00B163B2"/>
    <w:rsid w:val="00B17166"/>
    <w:rsid w:val="00B20D36"/>
    <w:rsid w:val="00B21FFF"/>
    <w:rsid w:val="00B2239D"/>
    <w:rsid w:val="00B22940"/>
    <w:rsid w:val="00B25EE7"/>
    <w:rsid w:val="00B260C8"/>
    <w:rsid w:val="00B266E2"/>
    <w:rsid w:val="00B278E8"/>
    <w:rsid w:val="00B27F70"/>
    <w:rsid w:val="00B30829"/>
    <w:rsid w:val="00B31CC4"/>
    <w:rsid w:val="00B32DFC"/>
    <w:rsid w:val="00B34BF1"/>
    <w:rsid w:val="00B34FA5"/>
    <w:rsid w:val="00B35432"/>
    <w:rsid w:val="00B36725"/>
    <w:rsid w:val="00B36A61"/>
    <w:rsid w:val="00B37533"/>
    <w:rsid w:val="00B37CA2"/>
    <w:rsid w:val="00B417CC"/>
    <w:rsid w:val="00B42794"/>
    <w:rsid w:val="00B42FC2"/>
    <w:rsid w:val="00B435E9"/>
    <w:rsid w:val="00B43C02"/>
    <w:rsid w:val="00B44E4C"/>
    <w:rsid w:val="00B45184"/>
    <w:rsid w:val="00B452B6"/>
    <w:rsid w:val="00B454F6"/>
    <w:rsid w:val="00B4589D"/>
    <w:rsid w:val="00B460E7"/>
    <w:rsid w:val="00B50518"/>
    <w:rsid w:val="00B50523"/>
    <w:rsid w:val="00B515A2"/>
    <w:rsid w:val="00B51A3E"/>
    <w:rsid w:val="00B51C1E"/>
    <w:rsid w:val="00B53CB1"/>
    <w:rsid w:val="00B54593"/>
    <w:rsid w:val="00B54E9F"/>
    <w:rsid w:val="00B56026"/>
    <w:rsid w:val="00B57186"/>
    <w:rsid w:val="00B5730C"/>
    <w:rsid w:val="00B5761C"/>
    <w:rsid w:val="00B6002A"/>
    <w:rsid w:val="00B6011F"/>
    <w:rsid w:val="00B616F9"/>
    <w:rsid w:val="00B64568"/>
    <w:rsid w:val="00B65004"/>
    <w:rsid w:val="00B652B4"/>
    <w:rsid w:val="00B66581"/>
    <w:rsid w:val="00B71E7E"/>
    <w:rsid w:val="00B72457"/>
    <w:rsid w:val="00B72BD4"/>
    <w:rsid w:val="00B7547A"/>
    <w:rsid w:val="00B75A6F"/>
    <w:rsid w:val="00B776FE"/>
    <w:rsid w:val="00B811FF"/>
    <w:rsid w:val="00B82F48"/>
    <w:rsid w:val="00B843AA"/>
    <w:rsid w:val="00B84DBB"/>
    <w:rsid w:val="00B872F5"/>
    <w:rsid w:val="00B87572"/>
    <w:rsid w:val="00B87B1E"/>
    <w:rsid w:val="00B9074F"/>
    <w:rsid w:val="00B9075C"/>
    <w:rsid w:val="00B91245"/>
    <w:rsid w:val="00B91860"/>
    <w:rsid w:val="00B91974"/>
    <w:rsid w:val="00B928B4"/>
    <w:rsid w:val="00B92902"/>
    <w:rsid w:val="00B93074"/>
    <w:rsid w:val="00B93779"/>
    <w:rsid w:val="00B939C1"/>
    <w:rsid w:val="00B95594"/>
    <w:rsid w:val="00B95DB1"/>
    <w:rsid w:val="00B9760D"/>
    <w:rsid w:val="00BA0109"/>
    <w:rsid w:val="00BA07B1"/>
    <w:rsid w:val="00BA259B"/>
    <w:rsid w:val="00BA2C67"/>
    <w:rsid w:val="00BA2DA6"/>
    <w:rsid w:val="00BA415C"/>
    <w:rsid w:val="00BA4A3F"/>
    <w:rsid w:val="00BA4BDD"/>
    <w:rsid w:val="00BA4EC2"/>
    <w:rsid w:val="00BA5CA5"/>
    <w:rsid w:val="00BA5DB7"/>
    <w:rsid w:val="00BA67A8"/>
    <w:rsid w:val="00BB0F08"/>
    <w:rsid w:val="00BB21B7"/>
    <w:rsid w:val="00BB270A"/>
    <w:rsid w:val="00BB3240"/>
    <w:rsid w:val="00BB475D"/>
    <w:rsid w:val="00BB5ED7"/>
    <w:rsid w:val="00BC001A"/>
    <w:rsid w:val="00BC2766"/>
    <w:rsid w:val="00BC3C7A"/>
    <w:rsid w:val="00BC430E"/>
    <w:rsid w:val="00BC55DE"/>
    <w:rsid w:val="00BC5FEA"/>
    <w:rsid w:val="00BC782E"/>
    <w:rsid w:val="00BC79F4"/>
    <w:rsid w:val="00BC7A75"/>
    <w:rsid w:val="00BC7EC6"/>
    <w:rsid w:val="00BD0170"/>
    <w:rsid w:val="00BD1D35"/>
    <w:rsid w:val="00BD4E8D"/>
    <w:rsid w:val="00BE0A2E"/>
    <w:rsid w:val="00BE0A5C"/>
    <w:rsid w:val="00BE1BD3"/>
    <w:rsid w:val="00BE233B"/>
    <w:rsid w:val="00BE2ED1"/>
    <w:rsid w:val="00BE3855"/>
    <w:rsid w:val="00BE3920"/>
    <w:rsid w:val="00BE398A"/>
    <w:rsid w:val="00BE4023"/>
    <w:rsid w:val="00BE6793"/>
    <w:rsid w:val="00BF053F"/>
    <w:rsid w:val="00BF1436"/>
    <w:rsid w:val="00BF1CF3"/>
    <w:rsid w:val="00BF1E52"/>
    <w:rsid w:val="00BF38D3"/>
    <w:rsid w:val="00BF3B1F"/>
    <w:rsid w:val="00BF516C"/>
    <w:rsid w:val="00BF7755"/>
    <w:rsid w:val="00C00BC5"/>
    <w:rsid w:val="00C00C17"/>
    <w:rsid w:val="00C013ED"/>
    <w:rsid w:val="00C01EE4"/>
    <w:rsid w:val="00C02804"/>
    <w:rsid w:val="00C02E9C"/>
    <w:rsid w:val="00C038DD"/>
    <w:rsid w:val="00C04AE3"/>
    <w:rsid w:val="00C0535F"/>
    <w:rsid w:val="00C054E4"/>
    <w:rsid w:val="00C05A99"/>
    <w:rsid w:val="00C0635E"/>
    <w:rsid w:val="00C06B21"/>
    <w:rsid w:val="00C06C77"/>
    <w:rsid w:val="00C0724E"/>
    <w:rsid w:val="00C107DC"/>
    <w:rsid w:val="00C11EB2"/>
    <w:rsid w:val="00C1325D"/>
    <w:rsid w:val="00C138A5"/>
    <w:rsid w:val="00C13F23"/>
    <w:rsid w:val="00C15CAD"/>
    <w:rsid w:val="00C168A2"/>
    <w:rsid w:val="00C16B01"/>
    <w:rsid w:val="00C16DEA"/>
    <w:rsid w:val="00C17FD6"/>
    <w:rsid w:val="00C208FF"/>
    <w:rsid w:val="00C21BB2"/>
    <w:rsid w:val="00C221DE"/>
    <w:rsid w:val="00C22A7D"/>
    <w:rsid w:val="00C22AB6"/>
    <w:rsid w:val="00C25211"/>
    <w:rsid w:val="00C25BF0"/>
    <w:rsid w:val="00C26094"/>
    <w:rsid w:val="00C267A1"/>
    <w:rsid w:val="00C26852"/>
    <w:rsid w:val="00C27AFB"/>
    <w:rsid w:val="00C30016"/>
    <w:rsid w:val="00C30522"/>
    <w:rsid w:val="00C30B7A"/>
    <w:rsid w:val="00C32E08"/>
    <w:rsid w:val="00C3375F"/>
    <w:rsid w:val="00C33814"/>
    <w:rsid w:val="00C33A83"/>
    <w:rsid w:val="00C3432A"/>
    <w:rsid w:val="00C345B4"/>
    <w:rsid w:val="00C358D8"/>
    <w:rsid w:val="00C368D7"/>
    <w:rsid w:val="00C3720A"/>
    <w:rsid w:val="00C43171"/>
    <w:rsid w:val="00C43DC6"/>
    <w:rsid w:val="00C44176"/>
    <w:rsid w:val="00C45A72"/>
    <w:rsid w:val="00C462C6"/>
    <w:rsid w:val="00C50D2E"/>
    <w:rsid w:val="00C53E9E"/>
    <w:rsid w:val="00C56423"/>
    <w:rsid w:val="00C569DF"/>
    <w:rsid w:val="00C573DC"/>
    <w:rsid w:val="00C57933"/>
    <w:rsid w:val="00C61460"/>
    <w:rsid w:val="00C61783"/>
    <w:rsid w:val="00C62137"/>
    <w:rsid w:val="00C6406F"/>
    <w:rsid w:val="00C64B33"/>
    <w:rsid w:val="00C6582D"/>
    <w:rsid w:val="00C66B45"/>
    <w:rsid w:val="00C66DF7"/>
    <w:rsid w:val="00C66EB4"/>
    <w:rsid w:val="00C674E4"/>
    <w:rsid w:val="00C70F4F"/>
    <w:rsid w:val="00C718E8"/>
    <w:rsid w:val="00C727DA"/>
    <w:rsid w:val="00C72B4A"/>
    <w:rsid w:val="00C72ED3"/>
    <w:rsid w:val="00C73031"/>
    <w:rsid w:val="00C75330"/>
    <w:rsid w:val="00C7552D"/>
    <w:rsid w:val="00C76A33"/>
    <w:rsid w:val="00C826A4"/>
    <w:rsid w:val="00C83A98"/>
    <w:rsid w:val="00C83B91"/>
    <w:rsid w:val="00C83EDA"/>
    <w:rsid w:val="00C85CAB"/>
    <w:rsid w:val="00C86791"/>
    <w:rsid w:val="00C8745D"/>
    <w:rsid w:val="00C87EDA"/>
    <w:rsid w:val="00C908D8"/>
    <w:rsid w:val="00C930A8"/>
    <w:rsid w:val="00C94054"/>
    <w:rsid w:val="00C94166"/>
    <w:rsid w:val="00C94447"/>
    <w:rsid w:val="00C94D3A"/>
    <w:rsid w:val="00C9528E"/>
    <w:rsid w:val="00C95BB7"/>
    <w:rsid w:val="00C967A6"/>
    <w:rsid w:val="00C9688A"/>
    <w:rsid w:val="00C97961"/>
    <w:rsid w:val="00C97A0D"/>
    <w:rsid w:val="00C97E26"/>
    <w:rsid w:val="00CA0CBC"/>
    <w:rsid w:val="00CA3609"/>
    <w:rsid w:val="00CA3FDC"/>
    <w:rsid w:val="00CA4771"/>
    <w:rsid w:val="00CA47A5"/>
    <w:rsid w:val="00CA580D"/>
    <w:rsid w:val="00CA6766"/>
    <w:rsid w:val="00CB15FB"/>
    <w:rsid w:val="00CB2FB9"/>
    <w:rsid w:val="00CB35B7"/>
    <w:rsid w:val="00CB4786"/>
    <w:rsid w:val="00CB5545"/>
    <w:rsid w:val="00CB6483"/>
    <w:rsid w:val="00CB6945"/>
    <w:rsid w:val="00CB6FD7"/>
    <w:rsid w:val="00CC0C69"/>
    <w:rsid w:val="00CC10AB"/>
    <w:rsid w:val="00CC230B"/>
    <w:rsid w:val="00CC2BE7"/>
    <w:rsid w:val="00CC4DB3"/>
    <w:rsid w:val="00CC5433"/>
    <w:rsid w:val="00CC6FEA"/>
    <w:rsid w:val="00CC717A"/>
    <w:rsid w:val="00CC7DBE"/>
    <w:rsid w:val="00CD02C3"/>
    <w:rsid w:val="00CD22E3"/>
    <w:rsid w:val="00CD27AA"/>
    <w:rsid w:val="00CD292E"/>
    <w:rsid w:val="00CD2EA1"/>
    <w:rsid w:val="00CD3D14"/>
    <w:rsid w:val="00CD49C6"/>
    <w:rsid w:val="00CD4C31"/>
    <w:rsid w:val="00CD5591"/>
    <w:rsid w:val="00CD621F"/>
    <w:rsid w:val="00CD6DE2"/>
    <w:rsid w:val="00CD75E4"/>
    <w:rsid w:val="00CE1D27"/>
    <w:rsid w:val="00CE4F33"/>
    <w:rsid w:val="00CE5262"/>
    <w:rsid w:val="00CE5A4F"/>
    <w:rsid w:val="00CE7B29"/>
    <w:rsid w:val="00CF01D4"/>
    <w:rsid w:val="00CF0726"/>
    <w:rsid w:val="00CF11D7"/>
    <w:rsid w:val="00CF1468"/>
    <w:rsid w:val="00CF1819"/>
    <w:rsid w:val="00CF3A11"/>
    <w:rsid w:val="00CF47D6"/>
    <w:rsid w:val="00CF4FCE"/>
    <w:rsid w:val="00CF6230"/>
    <w:rsid w:val="00CF6B5A"/>
    <w:rsid w:val="00D0158D"/>
    <w:rsid w:val="00D02176"/>
    <w:rsid w:val="00D038D5"/>
    <w:rsid w:val="00D03B3D"/>
    <w:rsid w:val="00D040FB"/>
    <w:rsid w:val="00D04372"/>
    <w:rsid w:val="00D046EC"/>
    <w:rsid w:val="00D0520E"/>
    <w:rsid w:val="00D053BB"/>
    <w:rsid w:val="00D05440"/>
    <w:rsid w:val="00D06D05"/>
    <w:rsid w:val="00D07E50"/>
    <w:rsid w:val="00D100FE"/>
    <w:rsid w:val="00D10EA7"/>
    <w:rsid w:val="00D10FD9"/>
    <w:rsid w:val="00D11827"/>
    <w:rsid w:val="00D123F0"/>
    <w:rsid w:val="00D1452D"/>
    <w:rsid w:val="00D15B45"/>
    <w:rsid w:val="00D162BD"/>
    <w:rsid w:val="00D17213"/>
    <w:rsid w:val="00D21F0E"/>
    <w:rsid w:val="00D22043"/>
    <w:rsid w:val="00D230C9"/>
    <w:rsid w:val="00D24BAD"/>
    <w:rsid w:val="00D25EBF"/>
    <w:rsid w:val="00D263BC"/>
    <w:rsid w:val="00D26F00"/>
    <w:rsid w:val="00D27BEB"/>
    <w:rsid w:val="00D312A3"/>
    <w:rsid w:val="00D32315"/>
    <w:rsid w:val="00D328B3"/>
    <w:rsid w:val="00D33E5A"/>
    <w:rsid w:val="00D342AB"/>
    <w:rsid w:val="00D344C5"/>
    <w:rsid w:val="00D376AF"/>
    <w:rsid w:val="00D378EE"/>
    <w:rsid w:val="00D419AB"/>
    <w:rsid w:val="00D430DC"/>
    <w:rsid w:val="00D43B4F"/>
    <w:rsid w:val="00D44C64"/>
    <w:rsid w:val="00D45740"/>
    <w:rsid w:val="00D45914"/>
    <w:rsid w:val="00D45A2C"/>
    <w:rsid w:val="00D46900"/>
    <w:rsid w:val="00D50E29"/>
    <w:rsid w:val="00D51084"/>
    <w:rsid w:val="00D51652"/>
    <w:rsid w:val="00D52181"/>
    <w:rsid w:val="00D54238"/>
    <w:rsid w:val="00D54808"/>
    <w:rsid w:val="00D54996"/>
    <w:rsid w:val="00D54BD8"/>
    <w:rsid w:val="00D55CF4"/>
    <w:rsid w:val="00D5619D"/>
    <w:rsid w:val="00D5778C"/>
    <w:rsid w:val="00D57BA3"/>
    <w:rsid w:val="00D57F76"/>
    <w:rsid w:val="00D6189B"/>
    <w:rsid w:val="00D61EB2"/>
    <w:rsid w:val="00D62150"/>
    <w:rsid w:val="00D62496"/>
    <w:rsid w:val="00D6286D"/>
    <w:rsid w:val="00D63167"/>
    <w:rsid w:val="00D65208"/>
    <w:rsid w:val="00D661F2"/>
    <w:rsid w:val="00D66947"/>
    <w:rsid w:val="00D66F72"/>
    <w:rsid w:val="00D674BF"/>
    <w:rsid w:val="00D7049C"/>
    <w:rsid w:val="00D7067C"/>
    <w:rsid w:val="00D7124F"/>
    <w:rsid w:val="00D7290C"/>
    <w:rsid w:val="00D72DD8"/>
    <w:rsid w:val="00D74E69"/>
    <w:rsid w:val="00D77E1F"/>
    <w:rsid w:val="00D80287"/>
    <w:rsid w:val="00D81FF7"/>
    <w:rsid w:val="00D82175"/>
    <w:rsid w:val="00D824B6"/>
    <w:rsid w:val="00D8327F"/>
    <w:rsid w:val="00D84D20"/>
    <w:rsid w:val="00D85023"/>
    <w:rsid w:val="00D85875"/>
    <w:rsid w:val="00D85E7B"/>
    <w:rsid w:val="00D90BC1"/>
    <w:rsid w:val="00D9103A"/>
    <w:rsid w:val="00D94020"/>
    <w:rsid w:val="00D9489C"/>
    <w:rsid w:val="00D94D61"/>
    <w:rsid w:val="00D95D90"/>
    <w:rsid w:val="00D965F4"/>
    <w:rsid w:val="00D973DB"/>
    <w:rsid w:val="00D97C1B"/>
    <w:rsid w:val="00DA03FB"/>
    <w:rsid w:val="00DA0BB0"/>
    <w:rsid w:val="00DA0BE3"/>
    <w:rsid w:val="00DA20F4"/>
    <w:rsid w:val="00DA24C2"/>
    <w:rsid w:val="00DA2B4C"/>
    <w:rsid w:val="00DA2BA4"/>
    <w:rsid w:val="00DA34A9"/>
    <w:rsid w:val="00DA4055"/>
    <w:rsid w:val="00DA4531"/>
    <w:rsid w:val="00DA59DD"/>
    <w:rsid w:val="00DA620D"/>
    <w:rsid w:val="00DA6702"/>
    <w:rsid w:val="00DA6AFA"/>
    <w:rsid w:val="00DA6E16"/>
    <w:rsid w:val="00DA7F18"/>
    <w:rsid w:val="00DB21C0"/>
    <w:rsid w:val="00DB4806"/>
    <w:rsid w:val="00DB5B1E"/>
    <w:rsid w:val="00DB5BF1"/>
    <w:rsid w:val="00DB5E2A"/>
    <w:rsid w:val="00DB6573"/>
    <w:rsid w:val="00DB6D6D"/>
    <w:rsid w:val="00DB706F"/>
    <w:rsid w:val="00DB762B"/>
    <w:rsid w:val="00DB76D1"/>
    <w:rsid w:val="00DB7749"/>
    <w:rsid w:val="00DC1643"/>
    <w:rsid w:val="00DC20DB"/>
    <w:rsid w:val="00DC4B2B"/>
    <w:rsid w:val="00DC7609"/>
    <w:rsid w:val="00DC7C2A"/>
    <w:rsid w:val="00DD2BA3"/>
    <w:rsid w:val="00DD3503"/>
    <w:rsid w:val="00DD42BC"/>
    <w:rsid w:val="00DD5156"/>
    <w:rsid w:val="00DD56F5"/>
    <w:rsid w:val="00DD5DF3"/>
    <w:rsid w:val="00DD7D1C"/>
    <w:rsid w:val="00DE07AA"/>
    <w:rsid w:val="00DE0F3A"/>
    <w:rsid w:val="00DE0F68"/>
    <w:rsid w:val="00DE3BD8"/>
    <w:rsid w:val="00DE4435"/>
    <w:rsid w:val="00DE4799"/>
    <w:rsid w:val="00DE4B9E"/>
    <w:rsid w:val="00DE4FBD"/>
    <w:rsid w:val="00DE5272"/>
    <w:rsid w:val="00DE5CD7"/>
    <w:rsid w:val="00DE680C"/>
    <w:rsid w:val="00DE6D21"/>
    <w:rsid w:val="00DE6D8D"/>
    <w:rsid w:val="00DF18AA"/>
    <w:rsid w:val="00DF2EFC"/>
    <w:rsid w:val="00DF37DD"/>
    <w:rsid w:val="00DF3922"/>
    <w:rsid w:val="00DF3C04"/>
    <w:rsid w:val="00DF42CF"/>
    <w:rsid w:val="00DF47BC"/>
    <w:rsid w:val="00DF5034"/>
    <w:rsid w:val="00DF54F3"/>
    <w:rsid w:val="00DF5EDB"/>
    <w:rsid w:val="00DF6673"/>
    <w:rsid w:val="00DF6B4D"/>
    <w:rsid w:val="00DF6ED8"/>
    <w:rsid w:val="00DF782D"/>
    <w:rsid w:val="00E006B0"/>
    <w:rsid w:val="00E0143D"/>
    <w:rsid w:val="00E014B4"/>
    <w:rsid w:val="00E01548"/>
    <w:rsid w:val="00E01FE3"/>
    <w:rsid w:val="00E02AE5"/>
    <w:rsid w:val="00E032D2"/>
    <w:rsid w:val="00E0336B"/>
    <w:rsid w:val="00E03C63"/>
    <w:rsid w:val="00E047B2"/>
    <w:rsid w:val="00E068DF"/>
    <w:rsid w:val="00E06F9D"/>
    <w:rsid w:val="00E10F8B"/>
    <w:rsid w:val="00E11566"/>
    <w:rsid w:val="00E12DB1"/>
    <w:rsid w:val="00E13164"/>
    <w:rsid w:val="00E13B9E"/>
    <w:rsid w:val="00E145DC"/>
    <w:rsid w:val="00E14872"/>
    <w:rsid w:val="00E14CA4"/>
    <w:rsid w:val="00E14DBB"/>
    <w:rsid w:val="00E1540C"/>
    <w:rsid w:val="00E15C97"/>
    <w:rsid w:val="00E16189"/>
    <w:rsid w:val="00E1658C"/>
    <w:rsid w:val="00E174D7"/>
    <w:rsid w:val="00E17BDA"/>
    <w:rsid w:val="00E17C03"/>
    <w:rsid w:val="00E20B1B"/>
    <w:rsid w:val="00E20E3A"/>
    <w:rsid w:val="00E22EE5"/>
    <w:rsid w:val="00E24CC5"/>
    <w:rsid w:val="00E25941"/>
    <w:rsid w:val="00E25994"/>
    <w:rsid w:val="00E260B0"/>
    <w:rsid w:val="00E2639E"/>
    <w:rsid w:val="00E27057"/>
    <w:rsid w:val="00E31F65"/>
    <w:rsid w:val="00E32564"/>
    <w:rsid w:val="00E32B2B"/>
    <w:rsid w:val="00E32B5D"/>
    <w:rsid w:val="00E32E23"/>
    <w:rsid w:val="00E34588"/>
    <w:rsid w:val="00E3620F"/>
    <w:rsid w:val="00E37A36"/>
    <w:rsid w:val="00E37B6E"/>
    <w:rsid w:val="00E37C94"/>
    <w:rsid w:val="00E40014"/>
    <w:rsid w:val="00E41209"/>
    <w:rsid w:val="00E4513F"/>
    <w:rsid w:val="00E472CF"/>
    <w:rsid w:val="00E47C33"/>
    <w:rsid w:val="00E50F67"/>
    <w:rsid w:val="00E518EE"/>
    <w:rsid w:val="00E52882"/>
    <w:rsid w:val="00E52A2D"/>
    <w:rsid w:val="00E545F0"/>
    <w:rsid w:val="00E550EB"/>
    <w:rsid w:val="00E57256"/>
    <w:rsid w:val="00E57EF7"/>
    <w:rsid w:val="00E57F51"/>
    <w:rsid w:val="00E6020E"/>
    <w:rsid w:val="00E611BC"/>
    <w:rsid w:val="00E61C73"/>
    <w:rsid w:val="00E62565"/>
    <w:rsid w:val="00E6357C"/>
    <w:rsid w:val="00E63666"/>
    <w:rsid w:val="00E63AC7"/>
    <w:rsid w:val="00E64242"/>
    <w:rsid w:val="00E64A06"/>
    <w:rsid w:val="00E65BFA"/>
    <w:rsid w:val="00E66541"/>
    <w:rsid w:val="00E67155"/>
    <w:rsid w:val="00E67D41"/>
    <w:rsid w:val="00E67FC0"/>
    <w:rsid w:val="00E7003C"/>
    <w:rsid w:val="00E71AAF"/>
    <w:rsid w:val="00E728C7"/>
    <w:rsid w:val="00E72A57"/>
    <w:rsid w:val="00E72D18"/>
    <w:rsid w:val="00E72FA4"/>
    <w:rsid w:val="00E73373"/>
    <w:rsid w:val="00E735D1"/>
    <w:rsid w:val="00E739BD"/>
    <w:rsid w:val="00E7795C"/>
    <w:rsid w:val="00E77BB4"/>
    <w:rsid w:val="00E77E48"/>
    <w:rsid w:val="00E80AA9"/>
    <w:rsid w:val="00E82DBE"/>
    <w:rsid w:val="00E849F8"/>
    <w:rsid w:val="00E8528B"/>
    <w:rsid w:val="00E8583C"/>
    <w:rsid w:val="00E85DB4"/>
    <w:rsid w:val="00E87058"/>
    <w:rsid w:val="00E90EFD"/>
    <w:rsid w:val="00E9282A"/>
    <w:rsid w:val="00E92955"/>
    <w:rsid w:val="00E92CDF"/>
    <w:rsid w:val="00E9315D"/>
    <w:rsid w:val="00E93B58"/>
    <w:rsid w:val="00E9548E"/>
    <w:rsid w:val="00E955E3"/>
    <w:rsid w:val="00E95E74"/>
    <w:rsid w:val="00E95F2B"/>
    <w:rsid w:val="00EA0254"/>
    <w:rsid w:val="00EA0705"/>
    <w:rsid w:val="00EA2C32"/>
    <w:rsid w:val="00EA36C2"/>
    <w:rsid w:val="00EA3982"/>
    <w:rsid w:val="00EA51AB"/>
    <w:rsid w:val="00EB255E"/>
    <w:rsid w:val="00EB2C2B"/>
    <w:rsid w:val="00EB5BEA"/>
    <w:rsid w:val="00EB5F11"/>
    <w:rsid w:val="00EB6260"/>
    <w:rsid w:val="00EB6834"/>
    <w:rsid w:val="00EB7CE4"/>
    <w:rsid w:val="00EB7D35"/>
    <w:rsid w:val="00EC1159"/>
    <w:rsid w:val="00EC1767"/>
    <w:rsid w:val="00EC1797"/>
    <w:rsid w:val="00EC1ACA"/>
    <w:rsid w:val="00EC4A25"/>
    <w:rsid w:val="00EC50C4"/>
    <w:rsid w:val="00EC56C5"/>
    <w:rsid w:val="00EC6615"/>
    <w:rsid w:val="00EC7DCC"/>
    <w:rsid w:val="00ED1723"/>
    <w:rsid w:val="00ED341C"/>
    <w:rsid w:val="00ED41AF"/>
    <w:rsid w:val="00ED44D5"/>
    <w:rsid w:val="00ED4596"/>
    <w:rsid w:val="00ED510C"/>
    <w:rsid w:val="00ED5478"/>
    <w:rsid w:val="00ED600F"/>
    <w:rsid w:val="00ED6BEF"/>
    <w:rsid w:val="00ED6E0E"/>
    <w:rsid w:val="00ED7BE2"/>
    <w:rsid w:val="00EE00FA"/>
    <w:rsid w:val="00EE2747"/>
    <w:rsid w:val="00EE3E42"/>
    <w:rsid w:val="00EE3EEA"/>
    <w:rsid w:val="00EE5D39"/>
    <w:rsid w:val="00EE7EE2"/>
    <w:rsid w:val="00EF0947"/>
    <w:rsid w:val="00EF0B44"/>
    <w:rsid w:val="00EF3116"/>
    <w:rsid w:val="00EF38D9"/>
    <w:rsid w:val="00EF3AEE"/>
    <w:rsid w:val="00EF4563"/>
    <w:rsid w:val="00EF4735"/>
    <w:rsid w:val="00EF5928"/>
    <w:rsid w:val="00EF5E6D"/>
    <w:rsid w:val="00F00405"/>
    <w:rsid w:val="00F00AA0"/>
    <w:rsid w:val="00F01180"/>
    <w:rsid w:val="00F0221F"/>
    <w:rsid w:val="00F02CD3"/>
    <w:rsid w:val="00F02FC9"/>
    <w:rsid w:val="00F030CA"/>
    <w:rsid w:val="00F05DD8"/>
    <w:rsid w:val="00F063B4"/>
    <w:rsid w:val="00F06D27"/>
    <w:rsid w:val="00F07ADC"/>
    <w:rsid w:val="00F10615"/>
    <w:rsid w:val="00F11AC2"/>
    <w:rsid w:val="00F11DF6"/>
    <w:rsid w:val="00F13021"/>
    <w:rsid w:val="00F149CF"/>
    <w:rsid w:val="00F15660"/>
    <w:rsid w:val="00F168B8"/>
    <w:rsid w:val="00F16D48"/>
    <w:rsid w:val="00F1796E"/>
    <w:rsid w:val="00F20182"/>
    <w:rsid w:val="00F21165"/>
    <w:rsid w:val="00F223F1"/>
    <w:rsid w:val="00F22712"/>
    <w:rsid w:val="00F23F40"/>
    <w:rsid w:val="00F24C39"/>
    <w:rsid w:val="00F25D25"/>
    <w:rsid w:val="00F25E6F"/>
    <w:rsid w:val="00F273C2"/>
    <w:rsid w:val="00F27BD2"/>
    <w:rsid w:val="00F307D8"/>
    <w:rsid w:val="00F3130D"/>
    <w:rsid w:val="00F314EC"/>
    <w:rsid w:val="00F31B4D"/>
    <w:rsid w:val="00F32A58"/>
    <w:rsid w:val="00F33BDC"/>
    <w:rsid w:val="00F34167"/>
    <w:rsid w:val="00F349FB"/>
    <w:rsid w:val="00F34C63"/>
    <w:rsid w:val="00F35FFB"/>
    <w:rsid w:val="00F37B32"/>
    <w:rsid w:val="00F37D5F"/>
    <w:rsid w:val="00F40107"/>
    <w:rsid w:val="00F40EB9"/>
    <w:rsid w:val="00F41450"/>
    <w:rsid w:val="00F41623"/>
    <w:rsid w:val="00F41700"/>
    <w:rsid w:val="00F427F9"/>
    <w:rsid w:val="00F4356F"/>
    <w:rsid w:val="00F43FA3"/>
    <w:rsid w:val="00F4424D"/>
    <w:rsid w:val="00F45B07"/>
    <w:rsid w:val="00F461F3"/>
    <w:rsid w:val="00F513A0"/>
    <w:rsid w:val="00F5184C"/>
    <w:rsid w:val="00F5261F"/>
    <w:rsid w:val="00F52F0D"/>
    <w:rsid w:val="00F53216"/>
    <w:rsid w:val="00F53D8E"/>
    <w:rsid w:val="00F54CDB"/>
    <w:rsid w:val="00F556FC"/>
    <w:rsid w:val="00F55C83"/>
    <w:rsid w:val="00F56E4F"/>
    <w:rsid w:val="00F570F0"/>
    <w:rsid w:val="00F5744F"/>
    <w:rsid w:val="00F614DC"/>
    <w:rsid w:val="00F64D33"/>
    <w:rsid w:val="00F64EC4"/>
    <w:rsid w:val="00F654AC"/>
    <w:rsid w:val="00F65799"/>
    <w:rsid w:val="00F65A04"/>
    <w:rsid w:val="00F67590"/>
    <w:rsid w:val="00F714A6"/>
    <w:rsid w:val="00F71D54"/>
    <w:rsid w:val="00F730FA"/>
    <w:rsid w:val="00F7375C"/>
    <w:rsid w:val="00F74F15"/>
    <w:rsid w:val="00F77A39"/>
    <w:rsid w:val="00F80A0C"/>
    <w:rsid w:val="00F8280B"/>
    <w:rsid w:val="00F83156"/>
    <w:rsid w:val="00F84610"/>
    <w:rsid w:val="00F84E16"/>
    <w:rsid w:val="00F8508D"/>
    <w:rsid w:val="00F85318"/>
    <w:rsid w:val="00F86EC1"/>
    <w:rsid w:val="00F87AB8"/>
    <w:rsid w:val="00F9230F"/>
    <w:rsid w:val="00F92325"/>
    <w:rsid w:val="00F93869"/>
    <w:rsid w:val="00F9548D"/>
    <w:rsid w:val="00F96235"/>
    <w:rsid w:val="00F96324"/>
    <w:rsid w:val="00F9698F"/>
    <w:rsid w:val="00F96D98"/>
    <w:rsid w:val="00F96E53"/>
    <w:rsid w:val="00F97D2A"/>
    <w:rsid w:val="00FA0889"/>
    <w:rsid w:val="00FA0A58"/>
    <w:rsid w:val="00FA10F6"/>
    <w:rsid w:val="00FA125D"/>
    <w:rsid w:val="00FA17D6"/>
    <w:rsid w:val="00FA2425"/>
    <w:rsid w:val="00FA2D78"/>
    <w:rsid w:val="00FA469E"/>
    <w:rsid w:val="00FA54FB"/>
    <w:rsid w:val="00FA6515"/>
    <w:rsid w:val="00FA7056"/>
    <w:rsid w:val="00FB0248"/>
    <w:rsid w:val="00FB0358"/>
    <w:rsid w:val="00FB03EB"/>
    <w:rsid w:val="00FB0695"/>
    <w:rsid w:val="00FB1256"/>
    <w:rsid w:val="00FB39F7"/>
    <w:rsid w:val="00FB43D8"/>
    <w:rsid w:val="00FB4825"/>
    <w:rsid w:val="00FB5E9F"/>
    <w:rsid w:val="00FB71A0"/>
    <w:rsid w:val="00FC0A7D"/>
    <w:rsid w:val="00FC148B"/>
    <w:rsid w:val="00FC2073"/>
    <w:rsid w:val="00FC2321"/>
    <w:rsid w:val="00FC2B3F"/>
    <w:rsid w:val="00FC2F6A"/>
    <w:rsid w:val="00FC4425"/>
    <w:rsid w:val="00FC4701"/>
    <w:rsid w:val="00FC74FE"/>
    <w:rsid w:val="00FD114F"/>
    <w:rsid w:val="00FD1742"/>
    <w:rsid w:val="00FD220E"/>
    <w:rsid w:val="00FD3FC2"/>
    <w:rsid w:val="00FD41FF"/>
    <w:rsid w:val="00FD439F"/>
    <w:rsid w:val="00FD458C"/>
    <w:rsid w:val="00FD5DB0"/>
    <w:rsid w:val="00FE06D5"/>
    <w:rsid w:val="00FE07C4"/>
    <w:rsid w:val="00FE1075"/>
    <w:rsid w:val="00FE2AC1"/>
    <w:rsid w:val="00FE36F7"/>
    <w:rsid w:val="00FE45F4"/>
    <w:rsid w:val="00FE63BC"/>
    <w:rsid w:val="00FE6FA2"/>
    <w:rsid w:val="00FE7B16"/>
    <w:rsid w:val="00FF0DC2"/>
    <w:rsid w:val="00FF3CA4"/>
    <w:rsid w:val="00FF465D"/>
    <w:rsid w:val="00FF6292"/>
    <w:rsid w:val="00FF7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D637912-E158-481D-AB2A-17356AF2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alibri" w:hAnsi="Calibri" w:cs="Calibri"/>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28">
    <w:name w:val="CM28"/>
    <w:basedOn w:val="Default"/>
    <w:next w:val="Default"/>
    <w:uiPriority w:val="99"/>
    <w:rPr>
      <w:rFonts w:cs="Times New Roman"/>
      <w:color w:val="auto"/>
    </w:rPr>
  </w:style>
  <w:style w:type="paragraph" w:customStyle="1" w:styleId="CM29">
    <w:name w:val="CM29"/>
    <w:basedOn w:val="Default"/>
    <w:next w:val="Default"/>
    <w:uiPriority w:val="99"/>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31">
    <w:name w:val="CM31"/>
    <w:basedOn w:val="Default"/>
    <w:next w:val="Default"/>
    <w:uiPriority w:val="99"/>
    <w:rPr>
      <w:rFonts w:cs="Times New Roman"/>
      <w:color w:val="auto"/>
    </w:rPr>
  </w:style>
  <w:style w:type="paragraph" w:customStyle="1" w:styleId="CM2">
    <w:name w:val="CM2"/>
    <w:basedOn w:val="Default"/>
    <w:next w:val="Default"/>
    <w:uiPriority w:val="99"/>
    <w:pPr>
      <w:spacing w:line="231" w:lineRule="atLeast"/>
    </w:pPr>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3">
    <w:name w:val="CM3"/>
    <w:basedOn w:val="Default"/>
    <w:next w:val="Default"/>
    <w:uiPriority w:val="99"/>
    <w:pPr>
      <w:spacing w:line="413"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4">
    <w:name w:val="CM4"/>
    <w:basedOn w:val="Default"/>
    <w:next w:val="Default"/>
    <w:uiPriority w:val="99"/>
    <w:pPr>
      <w:spacing w:line="416" w:lineRule="atLeast"/>
    </w:pPr>
    <w:rPr>
      <w:rFonts w:cs="Times New Roman"/>
      <w:color w:val="auto"/>
    </w:rPr>
  </w:style>
  <w:style w:type="paragraph" w:customStyle="1" w:styleId="CM5">
    <w:name w:val="CM5"/>
    <w:basedOn w:val="Default"/>
    <w:next w:val="Default"/>
    <w:uiPriority w:val="99"/>
    <w:pPr>
      <w:spacing w:line="416" w:lineRule="atLeast"/>
    </w:pPr>
    <w:rPr>
      <w:rFonts w:cs="Times New Roman"/>
      <w:color w:val="auto"/>
    </w:rPr>
  </w:style>
  <w:style w:type="paragraph" w:customStyle="1" w:styleId="CM34">
    <w:name w:val="CM34"/>
    <w:basedOn w:val="Default"/>
    <w:next w:val="Default"/>
    <w:uiPriority w:val="99"/>
    <w:rPr>
      <w:rFonts w:cs="Times New Roman"/>
      <w:color w:val="auto"/>
    </w:rPr>
  </w:style>
  <w:style w:type="paragraph" w:customStyle="1" w:styleId="CM6">
    <w:name w:val="CM6"/>
    <w:basedOn w:val="Default"/>
    <w:next w:val="Default"/>
    <w:uiPriority w:val="99"/>
    <w:pPr>
      <w:spacing w:line="416" w:lineRule="atLeast"/>
    </w:pPr>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38">
    <w:name w:val="CM38"/>
    <w:basedOn w:val="Default"/>
    <w:next w:val="Default"/>
    <w:uiPriority w:val="99"/>
    <w:rPr>
      <w:rFonts w:cs="Times New Roman"/>
      <w:color w:val="auto"/>
    </w:rPr>
  </w:style>
  <w:style w:type="paragraph" w:customStyle="1" w:styleId="CM35">
    <w:name w:val="CM35"/>
    <w:basedOn w:val="Default"/>
    <w:next w:val="Default"/>
    <w:uiPriority w:val="99"/>
    <w:rPr>
      <w:rFonts w:cs="Times New Roman"/>
      <w:color w:val="auto"/>
    </w:rPr>
  </w:style>
  <w:style w:type="paragraph" w:customStyle="1" w:styleId="CM39">
    <w:name w:val="CM39"/>
    <w:basedOn w:val="Default"/>
    <w:next w:val="Default"/>
    <w:uiPriority w:val="99"/>
    <w:rPr>
      <w:rFonts w:cs="Times New Roman"/>
      <w:color w:val="auto"/>
    </w:rPr>
  </w:style>
  <w:style w:type="paragraph" w:customStyle="1" w:styleId="CM40">
    <w:name w:val="CM40"/>
    <w:basedOn w:val="Default"/>
    <w:next w:val="Default"/>
    <w:uiPriority w:val="99"/>
    <w:rPr>
      <w:rFonts w:cs="Times New Roman"/>
      <w:color w:val="auto"/>
    </w:rPr>
  </w:style>
  <w:style w:type="paragraph" w:customStyle="1" w:styleId="CM7">
    <w:name w:val="CM7"/>
    <w:basedOn w:val="Default"/>
    <w:next w:val="Default"/>
    <w:uiPriority w:val="99"/>
    <w:rPr>
      <w:rFonts w:cs="Times New Roman"/>
      <w:color w:val="auto"/>
    </w:rPr>
  </w:style>
  <w:style w:type="paragraph" w:customStyle="1" w:styleId="CM8">
    <w:name w:val="CM8"/>
    <w:basedOn w:val="Default"/>
    <w:next w:val="Default"/>
    <w:uiPriority w:val="99"/>
    <w:pPr>
      <w:spacing w:line="416" w:lineRule="atLeast"/>
    </w:pPr>
    <w:rPr>
      <w:rFonts w:cs="Times New Roman"/>
      <w:color w:val="auto"/>
    </w:rPr>
  </w:style>
  <w:style w:type="paragraph" w:customStyle="1" w:styleId="CM41">
    <w:name w:val="CM41"/>
    <w:basedOn w:val="Default"/>
    <w:next w:val="Default"/>
    <w:uiPriority w:val="99"/>
    <w:rPr>
      <w:rFonts w:cs="Times New Roman"/>
      <w:color w:val="auto"/>
    </w:rPr>
  </w:style>
  <w:style w:type="paragraph" w:customStyle="1" w:styleId="CM9">
    <w:name w:val="CM9"/>
    <w:basedOn w:val="Default"/>
    <w:next w:val="Default"/>
    <w:uiPriority w:val="99"/>
    <w:rPr>
      <w:rFonts w:cs="Times New Roman"/>
      <w:color w:val="auto"/>
    </w:rPr>
  </w:style>
  <w:style w:type="paragraph" w:customStyle="1" w:styleId="CM42">
    <w:name w:val="CM42"/>
    <w:basedOn w:val="Default"/>
    <w:next w:val="Default"/>
    <w:uiPriority w:val="99"/>
    <w:rPr>
      <w:rFonts w:cs="Times New Roman"/>
      <w:color w:val="auto"/>
    </w:rPr>
  </w:style>
  <w:style w:type="paragraph" w:customStyle="1" w:styleId="CM10">
    <w:name w:val="CM10"/>
    <w:basedOn w:val="Default"/>
    <w:next w:val="Default"/>
    <w:uiPriority w:val="99"/>
    <w:rPr>
      <w:rFonts w:cs="Times New Roman"/>
      <w:color w:val="auto"/>
    </w:rPr>
  </w:style>
  <w:style w:type="paragraph" w:customStyle="1" w:styleId="CM11">
    <w:name w:val="CM11"/>
    <w:basedOn w:val="Default"/>
    <w:next w:val="Default"/>
    <w:uiPriority w:val="99"/>
    <w:rPr>
      <w:rFonts w:cs="Times New Roman"/>
      <w:color w:val="auto"/>
    </w:rPr>
  </w:style>
  <w:style w:type="paragraph" w:customStyle="1" w:styleId="CM12">
    <w:name w:val="CM12"/>
    <w:basedOn w:val="Default"/>
    <w:next w:val="Default"/>
    <w:uiPriority w:val="99"/>
    <w:pPr>
      <w:spacing w:line="413" w:lineRule="atLeast"/>
    </w:pPr>
    <w:rPr>
      <w:rFonts w:cs="Times New Roman"/>
      <w:color w:val="auto"/>
    </w:rPr>
  </w:style>
  <w:style w:type="paragraph" w:customStyle="1" w:styleId="CM13">
    <w:name w:val="CM13"/>
    <w:basedOn w:val="Default"/>
    <w:next w:val="Default"/>
    <w:uiPriority w:val="99"/>
    <w:pPr>
      <w:spacing w:line="413" w:lineRule="atLeast"/>
    </w:pPr>
    <w:rPr>
      <w:rFonts w:cs="Times New Roman"/>
      <w:color w:val="auto"/>
    </w:rPr>
  </w:style>
  <w:style w:type="paragraph" w:customStyle="1" w:styleId="CM14">
    <w:name w:val="CM14"/>
    <w:basedOn w:val="Default"/>
    <w:next w:val="Default"/>
    <w:uiPriority w:val="99"/>
    <w:pPr>
      <w:spacing w:line="416" w:lineRule="atLeast"/>
    </w:pPr>
    <w:rPr>
      <w:rFonts w:cs="Times New Roman"/>
      <w:color w:val="auto"/>
    </w:rPr>
  </w:style>
  <w:style w:type="paragraph" w:customStyle="1" w:styleId="CM15">
    <w:name w:val="CM15"/>
    <w:basedOn w:val="Default"/>
    <w:next w:val="Default"/>
    <w:uiPriority w:val="99"/>
    <w:pPr>
      <w:spacing w:line="416" w:lineRule="atLeast"/>
    </w:pPr>
    <w:rPr>
      <w:rFonts w:cs="Times New Roman"/>
      <w:color w:val="auto"/>
    </w:rPr>
  </w:style>
  <w:style w:type="paragraph" w:customStyle="1" w:styleId="CM16">
    <w:name w:val="CM16"/>
    <w:basedOn w:val="Default"/>
    <w:next w:val="Default"/>
    <w:uiPriority w:val="99"/>
    <w:pPr>
      <w:spacing w:line="413" w:lineRule="atLeast"/>
    </w:pPr>
    <w:rPr>
      <w:rFonts w:cs="Times New Roman"/>
      <w:color w:val="auto"/>
    </w:rPr>
  </w:style>
  <w:style w:type="paragraph" w:customStyle="1" w:styleId="CM17">
    <w:name w:val="CM17"/>
    <w:basedOn w:val="Default"/>
    <w:next w:val="Default"/>
    <w:uiPriority w:val="99"/>
    <w:pPr>
      <w:spacing w:line="416" w:lineRule="atLeast"/>
    </w:pPr>
    <w:rPr>
      <w:rFonts w:cs="Times New Roman"/>
      <w:color w:val="auto"/>
    </w:rPr>
  </w:style>
  <w:style w:type="paragraph" w:customStyle="1" w:styleId="CM18">
    <w:name w:val="CM18"/>
    <w:basedOn w:val="Default"/>
    <w:next w:val="Default"/>
    <w:uiPriority w:val="99"/>
    <w:pPr>
      <w:spacing w:line="231" w:lineRule="atLeast"/>
    </w:pPr>
    <w:rPr>
      <w:rFonts w:cs="Times New Roman"/>
      <w:color w:val="auto"/>
    </w:rPr>
  </w:style>
  <w:style w:type="paragraph" w:customStyle="1" w:styleId="CM19">
    <w:name w:val="CM19"/>
    <w:basedOn w:val="Default"/>
    <w:next w:val="Default"/>
    <w:uiPriority w:val="99"/>
    <w:pPr>
      <w:spacing w:line="231" w:lineRule="atLeast"/>
    </w:pPr>
    <w:rPr>
      <w:rFonts w:cs="Times New Roman"/>
      <w:color w:val="auto"/>
    </w:rPr>
  </w:style>
  <w:style w:type="paragraph" w:customStyle="1" w:styleId="CM20">
    <w:name w:val="CM20"/>
    <w:basedOn w:val="Default"/>
    <w:next w:val="Default"/>
    <w:uiPriority w:val="99"/>
    <w:pPr>
      <w:spacing w:line="231" w:lineRule="atLeast"/>
    </w:pPr>
    <w:rPr>
      <w:rFonts w:cs="Times New Roman"/>
      <w:color w:val="auto"/>
    </w:rPr>
  </w:style>
  <w:style w:type="paragraph" w:customStyle="1" w:styleId="CM21">
    <w:name w:val="CM21"/>
    <w:basedOn w:val="Default"/>
    <w:next w:val="Default"/>
    <w:uiPriority w:val="99"/>
    <w:pPr>
      <w:spacing w:line="231" w:lineRule="atLeast"/>
    </w:pPr>
    <w:rPr>
      <w:rFonts w:cs="Times New Roman"/>
      <w:color w:val="auto"/>
    </w:rPr>
  </w:style>
  <w:style w:type="paragraph" w:customStyle="1" w:styleId="CM22">
    <w:name w:val="CM22"/>
    <w:basedOn w:val="Default"/>
    <w:next w:val="Default"/>
    <w:uiPriority w:val="99"/>
    <w:pPr>
      <w:spacing w:line="263" w:lineRule="atLeast"/>
    </w:pPr>
    <w:rPr>
      <w:rFonts w:cs="Times New Roman"/>
      <w:color w:val="auto"/>
    </w:rPr>
  </w:style>
  <w:style w:type="paragraph" w:customStyle="1" w:styleId="CM23">
    <w:name w:val="CM23"/>
    <w:basedOn w:val="Default"/>
    <w:next w:val="Default"/>
    <w:uiPriority w:val="99"/>
    <w:pPr>
      <w:spacing w:line="263" w:lineRule="atLeast"/>
    </w:pPr>
    <w:rPr>
      <w:rFonts w:cs="Times New Roman"/>
      <w:color w:val="auto"/>
    </w:rPr>
  </w:style>
  <w:style w:type="paragraph" w:customStyle="1" w:styleId="CM24">
    <w:name w:val="CM24"/>
    <w:basedOn w:val="Default"/>
    <w:next w:val="Default"/>
    <w:uiPriority w:val="99"/>
    <w:pPr>
      <w:spacing w:line="263" w:lineRule="atLeast"/>
    </w:pPr>
    <w:rPr>
      <w:rFonts w:cs="Times New Roman"/>
      <w:color w:val="auto"/>
    </w:rPr>
  </w:style>
  <w:style w:type="paragraph" w:customStyle="1" w:styleId="CM25">
    <w:name w:val="CM25"/>
    <w:basedOn w:val="Default"/>
    <w:next w:val="Default"/>
    <w:uiPriority w:val="99"/>
    <w:pPr>
      <w:spacing w:line="263" w:lineRule="atLeast"/>
    </w:pPr>
    <w:rPr>
      <w:rFonts w:cs="Times New Roman"/>
      <w:color w:val="auto"/>
    </w:rPr>
  </w:style>
  <w:style w:type="paragraph" w:customStyle="1" w:styleId="CM26">
    <w:name w:val="CM26"/>
    <w:basedOn w:val="Default"/>
    <w:next w:val="Default"/>
    <w:uiPriority w:val="99"/>
    <w:pPr>
      <w:spacing w:line="231" w:lineRule="atLeast"/>
    </w:pPr>
    <w:rPr>
      <w:rFonts w:cs="Times New Roman"/>
      <w:color w:val="auto"/>
    </w:rPr>
  </w:style>
  <w:style w:type="paragraph" w:customStyle="1" w:styleId="CM27">
    <w:name w:val="CM27"/>
    <w:basedOn w:val="Default"/>
    <w:next w:val="Default"/>
    <w:uiPriority w:val="99"/>
    <w:pPr>
      <w:spacing w:line="263" w:lineRule="atLeast"/>
    </w:pPr>
    <w:rPr>
      <w:rFonts w:cs="Times New Roman"/>
      <w:color w:val="auto"/>
    </w:rPr>
  </w:style>
  <w:style w:type="paragraph" w:styleId="FootnoteText">
    <w:name w:val="footnote text"/>
    <w:basedOn w:val="Normal"/>
    <w:link w:val="FootnoteTextChar"/>
    <w:semiHidden/>
    <w:rsid w:val="00EB5F11"/>
    <w:pPr>
      <w:spacing w:after="0" w:line="240" w:lineRule="auto"/>
    </w:pPr>
    <w:rPr>
      <w:rFonts w:ascii="Times New Roman" w:hAnsi="Times New Roman"/>
      <w:sz w:val="20"/>
      <w:szCs w:val="20"/>
      <w:lang w:val="en-GB"/>
    </w:rPr>
  </w:style>
  <w:style w:type="character" w:customStyle="1" w:styleId="FootnoteTextChar">
    <w:name w:val="Footnote Text Char"/>
    <w:basedOn w:val="DefaultParagraphFont"/>
    <w:link w:val="FootnoteText"/>
    <w:semiHidden/>
    <w:locked/>
    <w:rsid w:val="00EB5F11"/>
    <w:rPr>
      <w:rFonts w:ascii="Times New Roman" w:hAnsi="Times New Roman" w:cs="Times New Roman"/>
      <w:sz w:val="20"/>
      <w:szCs w:val="20"/>
      <w:lang w:val="en-GB" w:eastAsia="x-none"/>
    </w:rPr>
  </w:style>
  <w:style w:type="character" w:styleId="FootnoteReference">
    <w:name w:val="footnote reference"/>
    <w:basedOn w:val="DefaultParagraphFont"/>
    <w:semiHidden/>
    <w:rsid w:val="00EB5F11"/>
    <w:rPr>
      <w:vertAlign w:val="superscript"/>
    </w:rPr>
  </w:style>
  <w:style w:type="paragraph" w:styleId="Footer">
    <w:name w:val="footer"/>
    <w:basedOn w:val="Normal"/>
    <w:link w:val="FooterChar"/>
    <w:uiPriority w:val="99"/>
    <w:rsid w:val="00EB5F11"/>
    <w:pPr>
      <w:tabs>
        <w:tab w:val="center" w:pos="4320"/>
        <w:tab w:val="right" w:pos="864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EB5F11"/>
    <w:rPr>
      <w:rFonts w:ascii="Times New Roman" w:hAnsi="Times New Roman" w:cs="Times New Roman"/>
      <w:sz w:val="24"/>
      <w:szCs w:val="24"/>
    </w:rPr>
  </w:style>
  <w:style w:type="character" w:styleId="Hyperlink">
    <w:name w:val="Hyperlink"/>
    <w:basedOn w:val="DefaultParagraphFont"/>
    <w:uiPriority w:val="99"/>
    <w:rsid w:val="00EB5F11"/>
    <w:rPr>
      <w:color w:val="0000FF"/>
      <w:u w:val="single"/>
    </w:rPr>
  </w:style>
  <w:style w:type="paragraph" w:styleId="BalloonText">
    <w:name w:val="Balloon Text"/>
    <w:basedOn w:val="Normal"/>
    <w:link w:val="BalloonTextChar"/>
    <w:uiPriority w:val="99"/>
    <w:semiHidden/>
    <w:unhideWhenUsed/>
    <w:rsid w:val="007F05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5B5"/>
    <w:rPr>
      <w:rFonts w:ascii="Tahoma" w:hAnsi="Tahoma" w:cs="Tahoma"/>
      <w:sz w:val="16"/>
      <w:szCs w:val="16"/>
    </w:rPr>
  </w:style>
  <w:style w:type="paragraph" w:styleId="ListParagraph">
    <w:name w:val="List Paragraph"/>
    <w:basedOn w:val="Normal"/>
    <w:uiPriority w:val="34"/>
    <w:qFormat/>
    <w:rsid w:val="002E39E9"/>
    <w:pPr>
      <w:ind w:left="720"/>
      <w:contextualSpacing/>
    </w:pPr>
  </w:style>
  <w:style w:type="paragraph" w:styleId="EndnoteText">
    <w:name w:val="endnote text"/>
    <w:basedOn w:val="Normal"/>
    <w:link w:val="EndnoteTextChar"/>
    <w:uiPriority w:val="99"/>
    <w:semiHidden/>
    <w:unhideWhenUsed/>
    <w:rsid w:val="003C2A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2AEC"/>
    <w:rPr>
      <w:sz w:val="20"/>
      <w:szCs w:val="20"/>
    </w:rPr>
  </w:style>
  <w:style w:type="character" w:styleId="EndnoteReference">
    <w:name w:val="endnote reference"/>
    <w:basedOn w:val="DefaultParagraphFont"/>
    <w:uiPriority w:val="99"/>
    <w:semiHidden/>
    <w:unhideWhenUsed/>
    <w:rsid w:val="003C2AEC"/>
    <w:rPr>
      <w:vertAlign w:val="superscript"/>
    </w:rPr>
  </w:style>
  <w:style w:type="paragraph" w:customStyle="1" w:styleId="MTDisplayEquation">
    <w:name w:val="MTDisplayEquation"/>
    <w:basedOn w:val="Normal"/>
    <w:next w:val="Normal"/>
    <w:rsid w:val="009B2C83"/>
    <w:pPr>
      <w:tabs>
        <w:tab w:val="center" w:pos="4680"/>
        <w:tab w:val="right" w:pos="9360"/>
      </w:tabs>
      <w:spacing w:after="0" w:line="240" w:lineRule="auto"/>
    </w:pPr>
    <w:rPr>
      <w:rFonts w:ascii="Times New Roman" w:eastAsia="Times New Roman" w:hAnsi="Times New Roman"/>
      <w:sz w:val="20"/>
      <w:szCs w:val="20"/>
    </w:rPr>
  </w:style>
  <w:style w:type="character" w:styleId="PlaceholderText">
    <w:name w:val="Placeholder Text"/>
    <w:basedOn w:val="DefaultParagraphFont"/>
    <w:uiPriority w:val="99"/>
    <w:semiHidden/>
    <w:rsid w:val="0012239C"/>
    <w:rPr>
      <w:color w:val="808080"/>
    </w:rPr>
  </w:style>
  <w:style w:type="paragraph" w:styleId="Caption">
    <w:name w:val="caption"/>
    <w:basedOn w:val="Normal"/>
    <w:next w:val="Normal"/>
    <w:uiPriority w:val="35"/>
    <w:semiHidden/>
    <w:unhideWhenUsed/>
    <w:qFormat/>
    <w:rsid w:val="0012239C"/>
    <w:pPr>
      <w:spacing w:line="240" w:lineRule="auto"/>
    </w:pPr>
    <w:rPr>
      <w:b/>
      <w:bCs/>
      <w:color w:val="4F81BD" w:themeColor="accent1"/>
      <w:sz w:val="18"/>
      <w:szCs w:val="18"/>
    </w:rPr>
  </w:style>
  <w:style w:type="paragraph" w:styleId="Header">
    <w:name w:val="header"/>
    <w:basedOn w:val="Normal"/>
    <w:link w:val="HeaderChar"/>
    <w:uiPriority w:val="99"/>
    <w:unhideWhenUsed/>
    <w:rsid w:val="00ED4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596"/>
  </w:style>
  <w:style w:type="character" w:styleId="CommentReference">
    <w:name w:val="annotation reference"/>
    <w:basedOn w:val="DefaultParagraphFont"/>
    <w:uiPriority w:val="99"/>
    <w:semiHidden/>
    <w:unhideWhenUsed/>
    <w:rsid w:val="006F4AE1"/>
    <w:rPr>
      <w:sz w:val="16"/>
      <w:szCs w:val="16"/>
    </w:rPr>
  </w:style>
  <w:style w:type="paragraph" w:styleId="CommentText">
    <w:name w:val="annotation text"/>
    <w:basedOn w:val="Normal"/>
    <w:link w:val="CommentTextChar"/>
    <w:uiPriority w:val="99"/>
    <w:semiHidden/>
    <w:unhideWhenUsed/>
    <w:rsid w:val="006F4AE1"/>
    <w:pPr>
      <w:spacing w:line="240" w:lineRule="auto"/>
    </w:pPr>
    <w:rPr>
      <w:sz w:val="20"/>
      <w:szCs w:val="20"/>
    </w:rPr>
  </w:style>
  <w:style w:type="character" w:customStyle="1" w:styleId="CommentTextChar">
    <w:name w:val="Comment Text Char"/>
    <w:basedOn w:val="DefaultParagraphFont"/>
    <w:link w:val="CommentText"/>
    <w:uiPriority w:val="99"/>
    <w:semiHidden/>
    <w:rsid w:val="006F4AE1"/>
    <w:rPr>
      <w:sz w:val="20"/>
      <w:szCs w:val="20"/>
    </w:rPr>
  </w:style>
  <w:style w:type="paragraph" w:styleId="CommentSubject">
    <w:name w:val="annotation subject"/>
    <w:basedOn w:val="CommentText"/>
    <w:next w:val="CommentText"/>
    <w:link w:val="CommentSubjectChar"/>
    <w:uiPriority w:val="99"/>
    <w:semiHidden/>
    <w:unhideWhenUsed/>
    <w:rsid w:val="009F3BDA"/>
    <w:rPr>
      <w:b/>
      <w:bCs/>
    </w:rPr>
  </w:style>
  <w:style w:type="character" w:customStyle="1" w:styleId="CommentSubjectChar">
    <w:name w:val="Comment Subject Char"/>
    <w:basedOn w:val="CommentTextChar"/>
    <w:link w:val="CommentSubject"/>
    <w:uiPriority w:val="99"/>
    <w:semiHidden/>
    <w:rsid w:val="009F3BDA"/>
    <w:rPr>
      <w:b/>
      <w:bCs/>
      <w:sz w:val="20"/>
      <w:szCs w:val="20"/>
    </w:rPr>
  </w:style>
  <w:style w:type="paragraph" w:styleId="NoSpacing">
    <w:name w:val="No Spacing"/>
    <w:uiPriority w:val="1"/>
    <w:qFormat/>
    <w:rsid w:val="00AF2C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0191">
      <w:bodyDiv w:val="1"/>
      <w:marLeft w:val="0"/>
      <w:marRight w:val="0"/>
      <w:marTop w:val="0"/>
      <w:marBottom w:val="0"/>
      <w:divBdr>
        <w:top w:val="none" w:sz="0" w:space="0" w:color="auto"/>
        <w:left w:val="none" w:sz="0" w:space="0" w:color="auto"/>
        <w:bottom w:val="none" w:sz="0" w:space="0" w:color="auto"/>
        <w:right w:val="none" w:sz="0" w:space="0" w:color="auto"/>
      </w:divBdr>
    </w:div>
    <w:div w:id="61100108">
      <w:bodyDiv w:val="1"/>
      <w:marLeft w:val="0"/>
      <w:marRight w:val="0"/>
      <w:marTop w:val="0"/>
      <w:marBottom w:val="0"/>
      <w:divBdr>
        <w:top w:val="none" w:sz="0" w:space="0" w:color="auto"/>
        <w:left w:val="none" w:sz="0" w:space="0" w:color="auto"/>
        <w:bottom w:val="none" w:sz="0" w:space="0" w:color="auto"/>
        <w:right w:val="none" w:sz="0" w:space="0" w:color="auto"/>
      </w:divBdr>
    </w:div>
    <w:div w:id="318194923">
      <w:bodyDiv w:val="1"/>
      <w:marLeft w:val="0"/>
      <w:marRight w:val="0"/>
      <w:marTop w:val="0"/>
      <w:marBottom w:val="0"/>
      <w:divBdr>
        <w:top w:val="none" w:sz="0" w:space="0" w:color="auto"/>
        <w:left w:val="none" w:sz="0" w:space="0" w:color="auto"/>
        <w:bottom w:val="none" w:sz="0" w:space="0" w:color="auto"/>
        <w:right w:val="none" w:sz="0" w:space="0" w:color="auto"/>
      </w:divBdr>
    </w:div>
    <w:div w:id="486635235">
      <w:bodyDiv w:val="1"/>
      <w:marLeft w:val="0"/>
      <w:marRight w:val="0"/>
      <w:marTop w:val="0"/>
      <w:marBottom w:val="0"/>
      <w:divBdr>
        <w:top w:val="none" w:sz="0" w:space="0" w:color="auto"/>
        <w:left w:val="none" w:sz="0" w:space="0" w:color="auto"/>
        <w:bottom w:val="none" w:sz="0" w:space="0" w:color="auto"/>
        <w:right w:val="none" w:sz="0" w:space="0" w:color="auto"/>
      </w:divBdr>
    </w:div>
    <w:div w:id="645473536">
      <w:bodyDiv w:val="1"/>
      <w:marLeft w:val="0"/>
      <w:marRight w:val="0"/>
      <w:marTop w:val="0"/>
      <w:marBottom w:val="0"/>
      <w:divBdr>
        <w:top w:val="none" w:sz="0" w:space="0" w:color="auto"/>
        <w:left w:val="none" w:sz="0" w:space="0" w:color="auto"/>
        <w:bottom w:val="none" w:sz="0" w:space="0" w:color="auto"/>
        <w:right w:val="none" w:sz="0" w:space="0" w:color="auto"/>
      </w:divBdr>
    </w:div>
    <w:div w:id="1123694180">
      <w:bodyDiv w:val="1"/>
      <w:marLeft w:val="0"/>
      <w:marRight w:val="0"/>
      <w:marTop w:val="0"/>
      <w:marBottom w:val="0"/>
      <w:divBdr>
        <w:top w:val="none" w:sz="0" w:space="0" w:color="auto"/>
        <w:left w:val="none" w:sz="0" w:space="0" w:color="auto"/>
        <w:bottom w:val="none" w:sz="0" w:space="0" w:color="auto"/>
        <w:right w:val="none" w:sz="0" w:space="0" w:color="auto"/>
      </w:divBdr>
    </w:div>
    <w:div w:id="1151412138">
      <w:bodyDiv w:val="1"/>
      <w:marLeft w:val="0"/>
      <w:marRight w:val="0"/>
      <w:marTop w:val="0"/>
      <w:marBottom w:val="0"/>
      <w:divBdr>
        <w:top w:val="none" w:sz="0" w:space="0" w:color="auto"/>
        <w:left w:val="none" w:sz="0" w:space="0" w:color="auto"/>
        <w:bottom w:val="none" w:sz="0" w:space="0" w:color="auto"/>
        <w:right w:val="none" w:sz="0" w:space="0" w:color="auto"/>
      </w:divBdr>
      <w:divsChild>
        <w:div w:id="2026782496">
          <w:marLeft w:val="547"/>
          <w:marRight w:val="0"/>
          <w:marTop w:val="115"/>
          <w:marBottom w:val="0"/>
          <w:divBdr>
            <w:top w:val="none" w:sz="0" w:space="0" w:color="auto"/>
            <w:left w:val="none" w:sz="0" w:space="0" w:color="auto"/>
            <w:bottom w:val="none" w:sz="0" w:space="0" w:color="auto"/>
            <w:right w:val="none" w:sz="0" w:space="0" w:color="auto"/>
          </w:divBdr>
        </w:div>
      </w:divsChild>
    </w:div>
    <w:div w:id="1492867029">
      <w:bodyDiv w:val="1"/>
      <w:marLeft w:val="0"/>
      <w:marRight w:val="0"/>
      <w:marTop w:val="0"/>
      <w:marBottom w:val="0"/>
      <w:divBdr>
        <w:top w:val="none" w:sz="0" w:space="0" w:color="auto"/>
        <w:left w:val="none" w:sz="0" w:space="0" w:color="auto"/>
        <w:bottom w:val="none" w:sz="0" w:space="0" w:color="auto"/>
        <w:right w:val="none" w:sz="0" w:space="0" w:color="auto"/>
      </w:divBdr>
    </w:div>
    <w:div w:id="1632051653">
      <w:bodyDiv w:val="1"/>
      <w:marLeft w:val="0"/>
      <w:marRight w:val="0"/>
      <w:marTop w:val="0"/>
      <w:marBottom w:val="0"/>
      <w:divBdr>
        <w:top w:val="none" w:sz="0" w:space="0" w:color="auto"/>
        <w:left w:val="none" w:sz="0" w:space="0" w:color="auto"/>
        <w:bottom w:val="none" w:sz="0" w:space="0" w:color="auto"/>
        <w:right w:val="none" w:sz="0" w:space="0" w:color="auto"/>
      </w:divBdr>
    </w:div>
    <w:div w:id="1657881059">
      <w:bodyDiv w:val="1"/>
      <w:marLeft w:val="0"/>
      <w:marRight w:val="0"/>
      <w:marTop w:val="0"/>
      <w:marBottom w:val="0"/>
      <w:divBdr>
        <w:top w:val="none" w:sz="0" w:space="0" w:color="auto"/>
        <w:left w:val="none" w:sz="0" w:space="0" w:color="auto"/>
        <w:bottom w:val="none" w:sz="0" w:space="0" w:color="auto"/>
        <w:right w:val="none" w:sz="0" w:space="0" w:color="auto"/>
      </w:divBdr>
      <w:divsChild>
        <w:div w:id="1012993601">
          <w:marLeft w:val="0"/>
          <w:marRight w:val="0"/>
          <w:marTop w:val="0"/>
          <w:marBottom w:val="0"/>
          <w:divBdr>
            <w:top w:val="none" w:sz="0" w:space="0" w:color="auto"/>
            <w:left w:val="none" w:sz="0" w:space="0" w:color="auto"/>
            <w:bottom w:val="none" w:sz="0" w:space="0" w:color="auto"/>
            <w:right w:val="none" w:sz="0" w:space="0" w:color="auto"/>
          </w:divBdr>
          <w:divsChild>
            <w:div w:id="734821937">
              <w:marLeft w:val="0"/>
              <w:marRight w:val="0"/>
              <w:marTop w:val="0"/>
              <w:marBottom w:val="0"/>
              <w:divBdr>
                <w:top w:val="none" w:sz="0" w:space="0" w:color="auto"/>
                <w:left w:val="none" w:sz="0" w:space="0" w:color="auto"/>
                <w:bottom w:val="none" w:sz="0" w:space="0" w:color="auto"/>
                <w:right w:val="none" w:sz="0" w:space="0" w:color="auto"/>
              </w:divBdr>
              <w:divsChild>
                <w:div w:id="1559365510">
                  <w:marLeft w:val="0"/>
                  <w:marRight w:val="0"/>
                  <w:marTop w:val="0"/>
                  <w:marBottom w:val="0"/>
                  <w:divBdr>
                    <w:top w:val="none" w:sz="0" w:space="0" w:color="auto"/>
                    <w:left w:val="none" w:sz="0" w:space="0" w:color="auto"/>
                    <w:bottom w:val="none" w:sz="0" w:space="0" w:color="auto"/>
                    <w:right w:val="none" w:sz="0" w:space="0" w:color="auto"/>
                  </w:divBdr>
                </w:div>
                <w:div w:id="20260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8069">
      <w:bodyDiv w:val="1"/>
      <w:marLeft w:val="0"/>
      <w:marRight w:val="0"/>
      <w:marTop w:val="0"/>
      <w:marBottom w:val="0"/>
      <w:divBdr>
        <w:top w:val="none" w:sz="0" w:space="0" w:color="auto"/>
        <w:left w:val="none" w:sz="0" w:space="0" w:color="auto"/>
        <w:bottom w:val="none" w:sz="0" w:space="0" w:color="auto"/>
        <w:right w:val="none" w:sz="0" w:space="0" w:color="auto"/>
      </w:divBdr>
    </w:div>
    <w:div w:id="213563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3.png"/><Relationship Id="rId21" Type="http://schemas.openxmlformats.org/officeDocument/2006/relationships/oleObject" Target="embeddings/oleObject7.bin"/><Relationship Id="rId42" Type="http://schemas.openxmlformats.org/officeDocument/2006/relationships/image" Target="media/image20.wmf"/><Relationship Id="rId47" Type="http://schemas.openxmlformats.org/officeDocument/2006/relationships/oleObject" Target="embeddings/oleObject25.bin"/><Relationship Id="rId63" Type="http://schemas.openxmlformats.org/officeDocument/2006/relationships/oleObject" Target="embeddings/oleObject35.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48.bin"/><Relationship Id="rId112" Type="http://schemas.openxmlformats.org/officeDocument/2006/relationships/image" Target="media/image58.png"/><Relationship Id="rId133" Type="http://schemas.openxmlformats.org/officeDocument/2006/relationships/image" Target="media/image79.png"/><Relationship Id="rId138" Type="http://schemas.openxmlformats.org/officeDocument/2006/relationships/image" Target="media/image84.png"/><Relationship Id="rId16" Type="http://schemas.openxmlformats.org/officeDocument/2006/relationships/image" Target="media/image5.wmf"/><Relationship Id="rId107" Type="http://schemas.openxmlformats.org/officeDocument/2006/relationships/image" Target="media/image53.png"/><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9.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43.bin"/><Relationship Id="rId102" Type="http://schemas.openxmlformats.org/officeDocument/2006/relationships/oleObject" Target="embeddings/oleObject56.bin"/><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90.png"/><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51.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20.bin"/><Relationship Id="rId48" Type="http://schemas.openxmlformats.org/officeDocument/2006/relationships/image" Target="media/image26.wmf"/><Relationship Id="rId64" Type="http://schemas.openxmlformats.org/officeDocument/2006/relationships/image" Target="media/image32.wmf"/><Relationship Id="rId69" Type="http://schemas.openxmlformats.org/officeDocument/2006/relationships/oleObject" Target="embeddings/oleObject38.bin"/><Relationship Id="rId113" Type="http://schemas.openxmlformats.org/officeDocument/2006/relationships/image" Target="media/image59.png"/><Relationship Id="rId118" Type="http://schemas.openxmlformats.org/officeDocument/2006/relationships/image" Target="media/image64.png"/><Relationship Id="rId134" Type="http://schemas.openxmlformats.org/officeDocument/2006/relationships/image" Target="media/image80.png"/><Relationship Id="rId139" Type="http://schemas.openxmlformats.org/officeDocument/2006/relationships/image" Target="media/image85.png"/><Relationship Id="rId80" Type="http://schemas.openxmlformats.org/officeDocument/2006/relationships/image" Target="media/image40.wmf"/><Relationship Id="rId85"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25.wmf"/><Relationship Id="rId59" Type="http://schemas.openxmlformats.org/officeDocument/2006/relationships/oleObject" Target="embeddings/oleObject33.bin"/><Relationship Id="rId67" Type="http://schemas.openxmlformats.org/officeDocument/2006/relationships/oleObject" Target="embeddings/oleObject37.bin"/><Relationship Id="rId103" Type="http://schemas.openxmlformats.org/officeDocument/2006/relationships/image" Target="media/image50.wmf"/><Relationship Id="rId108" Type="http://schemas.openxmlformats.org/officeDocument/2006/relationships/image" Target="media/image54.png"/><Relationship Id="rId116" Type="http://schemas.openxmlformats.org/officeDocument/2006/relationships/image" Target="media/image62.png"/><Relationship Id="rId124" Type="http://schemas.openxmlformats.org/officeDocument/2006/relationships/image" Target="media/image70.png"/><Relationship Id="rId129" Type="http://schemas.openxmlformats.org/officeDocument/2006/relationships/image" Target="media/image75.png"/><Relationship Id="rId137" Type="http://schemas.openxmlformats.org/officeDocument/2006/relationships/image" Target="media/image83.png"/><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8.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41.bin"/><Relationship Id="rId83" Type="http://schemas.openxmlformats.org/officeDocument/2006/relationships/oleObject" Target="embeddings/oleObject45.bin"/><Relationship Id="rId88" Type="http://schemas.openxmlformats.org/officeDocument/2006/relationships/image" Target="media/image44.wmf"/><Relationship Id="rId91" Type="http://schemas.openxmlformats.org/officeDocument/2006/relationships/oleObject" Target="embeddings/oleObject49.bin"/><Relationship Id="rId96" Type="http://schemas.openxmlformats.org/officeDocument/2006/relationships/image" Target="media/image48.wmf"/><Relationship Id="rId111" Type="http://schemas.openxmlformats.org/officeDocument/2006/relationships/image" Target="media/image57.png"/><Relationship Id="rId132" Type="http://schemas.openxmlformats.org/officeDocument/2006/relationships/image" Target="media/image78.png"/><Relationship Id="rId140" Type="http://schemas.openxmlformats.org/officeDocument/2006/relationships/image" Target="media/image86.png"/><Relationship Id="rId145"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6.bin"/><Relationship Id="rId57" Type="http://schemas.openxmlformats.org/officeDocument/2006/relationships/oleObject" Target="embeddings/oleObject32.bin"/><Relationship Id="rId106" Type="http://schemas.openxmlformats.org/officeDocument/2006/relationships/image" Target="media/image52.png"/><Relationship Id="rId114" Type="http://schemas.openxmlformats.org/officeDocument/2006/relationships/image" Target="media/image60.png"/><Relationship Id="rId119" Type="http://schemas.openxmlformats.org/officeDocument/2006/relationships/image" Target="media/image65.png"/><Relationship Id="rId127" Type="http://schemas.openxmlformats.org/officeDocument/2006/relationships/image" Target="media/image73.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1.wmf"/><Relationship Id="rId52" Type="http://schemas.openxmlformats.org/officeDocument/2006/relationships/image" Target="media/image27.wmf"/><Relationship Id="rId60" Type="http://schemas.openxmlformats.org/officeDocument/2006/relationships/image" Target="media/image30.wmf"/><Relationship Id="rId65" Type="http://schemas.openxmlformats.org/officeDocument/2006/relationships/oleObject" Target="embeddings/oleObject36.bin"/><Relationship Id="rId73" Type="http://schemas.openxmlformats.org/officeDocument/2006/relationships/oleObject" Target="embeddings/oleObject40.bin"/><Relationship Id="rId78" Type="http://schemas.openxmlformats.org/officeDocument/2006/relationships/image" Target="media/image39.wmf"/><Relationship Id="rId81" Type="http://schemas.openxmlformats.org/officeDocument/2006/relationships/oleObject" Target="embeddings/oleObject44.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54.bin"/><Relationship Id="rId101" Type="http://schemas.openxmlformats.org/officeDocument/2006/relationships/image" Target="media/image49.wmf"/><Relationship Id="rId122" Type="http://schemas.openxmlformats.org/officeDocument/2006/relationships/image" Target="media/image68.png"/><Relationship Id="rId130" Type="http://schemas.openxmlformats.org/officeDocument/2006/relationships/image" Target="media/image76.png"/><Relationship Id="rId135" Type="http://schemas.openxmlformats.org/officeDocument/2006/relationships/image" Target="media/image81.png"/><Relationship Id="rId143" Type="http://schemas.openxmlformats.org/officeDocument/2006/relationships/image" Target="media/image89.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5.png"/><Relationship Id="rId34" Type="http://schemas.openxmlformats.org/officeDocument/2006/relationships/image" Target="media/image14.wmf"/><Relationship Id="rId50" Type="http://schemas.openxmlformats.org/officeDocument/2006/relationships/oleObject" Target="embeddings/oleObject27.bin"/><Relationship Id="rId55" Type="http://schemas.openxmlformats.org/officeDocument/2006/relationships/oleObject" Target="embeddings/oleObject30.bin"/><Relationship Id="rId76" Type="http://schemas.openxmlformats.org/officeDocument/2006/relationships/image" Target="media/image38.wmf"/><Relationship Id="rId97" Type="http://schemas.openxmlformats.org/officeDocument/2006/relationships/oleObject" Target="embeddings/oleObject52.bin"/><Relationship Id="rId104" Type="http://schemas.openxmlformats.org/officeDocument/2006/relationships/oleObject" Target="embeddings/oleObject57.bin"/><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oleObject39.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21.bin"/><Relationship Id="rId66" Type="http://schemas.openxmlformats.org/officeDocument/2006/relationships/image" Target="media/image33.wmf"/><Relationship Id="rId87" Type="http://schemas.openxmlformats.org/officeDocument/2006/relationships/oleObject" Target="embeddings/oleObject47.bin"/><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png"/><Relationship Id="rId61" Type="http://schemas.openxmlformats.org/officeDocument/2006/relationships/oleObject" Target="embeddings/oleObject34.bin"/><Relationship Id="rId82" Type="http://schemas.openxmlformats.org/officeDocument/2006/relationships/image" Target="media/image41.wmf"/><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31.bin"/><Relationship Id="rId77" Type="http://schemas.openxmlformats.org/officeDocument/2006/relationships/oleObject" Target="embeddings/oleObject42.bin"/><Relationship Id="rId100" Type="http://schemas.openxmlformats.org/officeDocument/2006/relationships/oleObject" Target="embeddings/oleObject55.bin"/><Relationship Id="rId105" Type="http://schemas.openxmlformats.org/officeDocument/2006/relationships/image" Target="media/image51.png"/><Relationship Id="rId126" Type="http://schemas.openxmlformats.org/officeDocument/2006/relationships/image" Target="media/image72.png"/><Relationship Id="rId14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28.bin"/><Relationship Id="rId72" Type="http://schemas.openxmlformats.org/officeDocument/2006/relationships/image" Target="media/image36.wmf"/><Relationship Id="rId93" Type="http://schemas.openxmlformats.org/officeDocument/2006/relationships/oleObject" Target="embeddings/oleObject50.bin"/><Relationship Id="rId98" Type="http://schemas.openxmlformats.org/officeDocument/2006/relationships/oleObject" Target="embeddings/oleObject53.bin"/><Relationship Id="rId121" Type="http://schemas.openxmlformats.org/officeDocument/2006/relationships/image" Target="media/image67.png"/><Relationship Id="rId142" Type="http://schemas.openxmlformats.org/officeDocument/2006/relationships/image" Target="media/image88.png"/></Relationships>
</file>

<file path=word/_rels/footnotes.xml.rels><?xml version="1.0" encoding="UTF-8" standalone="yes"?>
<Relationships xmlns="http://schemas.openxmlformats.org/package/2006/relationships"><Relationship Id="rId8" Type="http://schemas.openxmlformats.org/officeDocument/2006/relationships/image" Target="media/image23.wmf"/><Relationship Id="rId3" Type="http://schemas.openxmlformats.org/officeDocument/2006/relationships/oleObject" Target="embeddings/oleObject18.bin"/><Relationship Id="rId7" Type="http://schemas.openxmlformats.org/officeDocument/2006/relationships/oleObject" Target="embeddings/oleObject22.bin"/><Relationship Id="rId2" Type="http://schemas.openxmlformats.org/officeDocument/2006/relationships/image" Target="media/image18.wmf"/><Relationship Id="rId1" Type="http://schemas.openxmlformats.org/officeDocument/2006/relationships/hyperlink" Target="mailto:michael.a.jacobs@accenture.com" TargetMode="External"/><Relationship Id="rId6" Type="http://schemas.openxmlformats.org/officeDocument/2006/relationships/image" Target="media/image22.wmf"/><Relationship Id="rId11" Type="http://schemas.openxmlformats.org/officeDocument/2006/relationships/oleObject" Target="embeddings/oleObject24.bin"/><Relationship Id="rId5" Type="http://schemas.openxmlformats.org/officeDocument/2006/relationships/oleObject" Target="embeddings/oleObject19.bin"/><Relationship Id="rId10" Type="http://schemas.openxmlformats.org/officeDocument/2006/relationships/image" Target="media/image24.wmf"/><Relationship Id="rId4" Type="http://schemas.openxmlformats.org/officeDocument/2006/relationships/image" Target="media/image19.wmf"/><Relationship Id="rId9" Type="http://schemas.openxmlformats.org/officeDocument/2006/relationships/oleObject" Target="embeddings/oleObject2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50D8E-C5FA-4647-9158-DFC219FC2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13304</Words>
  <Characters>75839</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IRC</vt:lpstr>
    </vt:vector>
  </TitlesOfParts>
  <Company>Hewlett-Packard</Company>
  <LinksUpToDate>false</LinksUpToDate>
  <CharactersWithSpaces>88966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IRC</dc:title>
  <dc:creator>Inanoglu &amp; Jacobs</dc:creator>
  <cp:lastModifiedBy>Jacobs, Michael A.</cp:lastModifiedBy>
  <cp:revision>5</cp:revision>
  <cp:lastPrinted>2016-08-03T18:26:00Z</cp:lastPrinted>
  <dcterms:created xsi:type="dcterms:W3CDTF">2017-09-22T16:28:00Z</dcterms:created>
  <dcterms:modified xsi:type="dcterms:W3CDTF">2017-09-22T17:00:00Z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DocHome">
    <vt:i4>1445839066</vt:i4>
  </property>
</Properties>
</file>