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12" w:rsidRPr="00AF5D14" w:rsidRDefault="0022357A" w:rsidP="00AF5D14">
      <w:pPr>
        <w:spacing w:after="0" w:line="259" w:lineRule="auto"/>
        <w:jc w:val="center"/>
        <w:rPr>
          <w:rFonts w:ascii="Times New Roman" w:hAnsi="Times New Roman" w:cs="Times New Roman"/>
          <w:b/>
          <w:sz w:val="36"/>
          <w:szCs w:val="36"/>
        </w:rPr>
      </w:pPr>
      <w:r w:rsidRPr="00AF5D14">
        <w:rPr>
          <w:rFonts w:ascii="Times New Roman" w:hAnsi="Times New Roman" w:cs="Times New Roman"/>
          <w:b/>
          <w:sz w:val="36"/>
          <w:szCs w:val="36"/>
        </w:rPr>
        <w:t xml:space="preserve">Determinants of Working Capital and Investment Financing Patterns of SMEs: </w:t>
      </w:r>
    </w:p>
    <w:p w:rsidR="0022357A" w:rsidRPr="00AF5D14" w:rsidRDefault="0022357A" w:rsidP="00AF5D14">
      <w:pPr>
        <w:spacing w:after="0" w:line="259" w:lineRule="auto"/>
        <w:jc w:val="center"/>
        <w:rPr>
          <w:rFonts w:ascii="Times New Roman" w:hAnsi="Times New Roman" w:cs="Times New Roman"/>
          <w:b/>
          <w:sz w:val="36"/>
          <w:szCs w:val="36"/>
        </w:rPr>
      </w:pPr>
      <w:r w:rsidRPr="00AF5D14">
        <w:rPr>
          <w:rFonts w:ascii="Times New Roman" w:hAnsi="Times New Roman" w:cs="Times New Roman"/>
          <w:b/>
          <w:sz w:val="36"/>
          <w:szCs w:val="36"/>
        </w:rPr>
        <w:t>Evidence from Turkey</w:t>
      </w:r>
    </w:p>
    <w:p w:rsidR="009172EC" w:rsidRPr="007E365A" w:rsidRDefault="009172EC" w:rsidP="00AF5D14">
      <w:pPr>
        <w:spacing w:line="259" w:lineRule="auto"/>
        <w:jc w:val="both"/>
        <w:rPr>
          <w:rFonts w:ascii="Times New Roman" w:hAnsi="Times New Roman" w:cs="Times New Roman"/>
          <w:sz w:val="24"/>
          <w:szCs w:val="24"/>
        </w:rPr>
      </w:pPr>
    </w:p>
    <w:p w:rsidR="00AF5D14" w:rsidRDefault="00AF5D14" w:rsidP="00AF5D14">
      <w:pPr>
        <w:autoSpaceDE w:val="0"/>
        <w:autoSpaceDN w:val="0"/>
        <w:adjustRightInd w:val="0"/>
        <w:spacing w:after="0" w:line="259" w:lineRule="auto"/>
        <w:jc w:val="both"/>
        <w:rPr>
          <w:rFonts w:ascii="Times New Roman" w:hAnsi="Times New Roman" w:cs="Times New Roman"/>
          <w:sz w:val="24"/>
          <w:szCs w:val="24"/>
        </w:rPr>
      </w:pPr>
    </w:p>
    <w:p w:rsidR="007C7697" w:rsidRDefault="007C7697" w:rsidP="00AF5D14">
      <w:pPr>
        <w:autoSpaceDE w:val="0"/>
        <w:autoSpaceDN w:val="0"/>
        <w:adjustRightInd w:val="0"/>
        <w:spacing w:after="0" w:line="259" w:lineRule="auto"/>
        <w:jc w:val="both"/>
        <w:rPr>
          <w:rFonts w:ascii="Times New Roman" w:hAnsi="Times New Roman" w:cs="Times New Roman"/>
          <w:sz w:val="24"/>
          <w:szCs w:val="24"/>
        </w:rPr>
      </w:pPr>
    </w:p>
    <w:p w:rsidR="00901C8F" w:rsidRDefault="00901C8F" w:rsidP="00AF5D14">
      <w:pPr>
        <w:autoSpaceDE w:val="0"/>
        <w:autoSpaceDN w:val="0"/>
        <w:adjustRightInd w:val="0"/>
        <w:spacing w:after="0" w:line="259" w:lineRule="auto"/>
        <w:jc w:val="center"/>
        <w:rPr>
          <w:rFonts w:ascii="Times New Roman" w:hAnsi="Times New Roman" w:cs="Times New Roman"/>
          <w:b/>
          <w:sz w:val="26"/>
          <w:szCs w:val="26"/>
        </w:rPr>
      </w:pPr>
      <w:r w:rsidRPr="00AF5D14">
        <w:rPr>
          <w:rFonts w:ascii="Times New Roman" w:hAnsi="Times New Roman" w:cs="Times New Roman"/>
          <w:b/>
          <w:sz w:val="26"/>
          <w:szCs w:val="26"/>
        </w:rPr>
        <w:t>Abstract</w:t>
      </w:r>
    </w:p>
    <w:p w:rsidR="00AF5D14" w:rsidRPr="00AF5D14" w:rsidRDefault="00AF5D14" w:rsidP="00AF5D14">
      <w:pPr>
        <w:autoSpaceDE w:val="0"/>
        <w:autoSpaceDN w:val="0"/>
        <w:adjustRightInd w:val="0"/>
        <w:spacing w:after="0" w:line="259" w:lineRule="auto"/>
        <w:jc w:val="center"/>
        <w:rPr>
          <w:rFonts w:ascii="Times New Roman" w:hAnsi="Times New Roman" w:cs="Times New Roman"/>
          <w:b/>
          <w:sz w:val="26"/>
          <w:szCs w:val="26"/>
        </w:rPr>
      </w:pPr>
    </w:p>
    <w:p w:rsidR="00DD49AA" w:rsidRDefault="004344B9" w:rsidP="00AF5D14">
      <w:pPr>
        <w:spacing w:after="0" w:line="259" w:lineRule="auto"/>
        <w:jc w:val="both"/>
        <w:rPr>
          <w:rFonts w:ascii="Times New Roman" w:eastAsia="GulliverRM" w:hAnsi="Times New Roman" w:cs="Times New Roman"/>
          <w:sz w:val="24"/>
          <w:szCs w:val="24"/>
        </w:rPr>
      </w:pPr>
      <w:r w:rsidRPr="00E7730E">
        <w:rPr>
          <w:rFonts w:ascii="Times New Roman" w:hAnsi="Times New Roman" w:cs="Times New Roman"/>
          <w:sz w:val="24"/>
          <w:szCs w:val="24"/>
        </w:rPr>
        <w:t xml:space="preserve">This paper analyzes the </w:t>
      </w:r>
      <w:r w:rsidR="00E32E69" w:rsidRPr="00E7730E">
        <w:rPr>
          <w:rFonts w:ascii="Times New Roman" w:hAnsi="Times New Roman" w:cs="Times New Roman"/>
          <w:sz w:val="24"/>
          <w:szCs w:val="24"/>
        </w:rPr>
        <w:t xml:space="preserve">firm level </w:t>
      </w:r>
      <w:r w:rsidRPr="00E7730E">
        <w:rPr>
          <w:rFonts w:ascii="Times New Roman" w:hAnsi="Times New Roman" w:cs="Times New Roman"/>
          <w:sz w:val="24"/>
          <w:szCs w:val="24"/>
        </w:rPr>
        <w:t xml:space="preserve">determinants of </w:t>
      </w:r>
      <w:r w:rsidR="006C0B04" w:rsidRPr="00E7730E">
        <w:rPr>
          <w:rFonts w:ascii="Times New Roman" w:hAnsi="Times New Roman" w:cs="Times New Roman"/>
          <w:sz w:val="24"/>
          <w:szCs w:val="24"/>
        </w:rPr>
        <w:t>financing sources composition</w:t>
      </w:r>
      <w:r w:rsidR="007A5BF9" w:rsidRPr="00E7730E">
        <w:rPr>
          <w:rFonts w:ascii="Times New Roman" w:hAnsi="Times New Roman" w:cs="Times New Roman"/>
          <w:sz w:val="24"/>
          <w:szCs w:val="24"/>
        </w:rPr>
        <w:t xml:space="preserve"> </w:t>
      </w:r>
      <w:r w:rsidR="0075063B" w:rsidRPr="00E7730E">
        <w:rPr>
          <w:rFonts w:ascii="Times New Roman" w:hAnsi="Times New Roman" w:cs="Times New Roman"/>
          <w:sz w:val="24"/>
          <w:szCs w:val="24"/>
        </w:rPr>
        <w:t xml:space="preserve">of </w:t>
      </w:r>
      <w:r w:rsidRPr="00E7730E">
        <w:rPr>
          <w:rFonts w:ascii="Times New Roman" w:hAnsi="Times New Roman" w:cs="Times New Roman"/>
          <w:sz w:val="24"/>
          <w:szCs w:val="24"/>
        </w:rPr>
        <w:t>working capital and fixed asset investments of Turkish SMEs</w:t>
      </w:r>
      <w:r w:rsidR="006C0B04" w:rsidRPr="00E7730E">
        <w:rPr>
          <w:rFonts w:ascii="Times New Roman" w:hAnsi="Times New Roman" w:cs="Times New Roman"/>
          <w:sz w:val="24"/>
          <w:szCs w:val="24"/>
        </w:rPr>
        <w:t xml:space="preserve"> </w:t>
      </w:r>
      <w:r w:rsidR="00453165" w:rsidRPr="00E7730E">
        <w:rPr>
          <w:rFonts w:ascii="Times New Roman" w:hAnsi="Times New Roman" w:cs="Times New Roman"/>
          <w:sz w:val="24"/>
          <w:szCs w:val="24"/>
        </w:rPr>
        <w:t>with a system of equations approach</w:t>
      </w:r>
      <w:r w:rsidRPr="00E7730E">
        <w:rPr>
          <w:rFonts w:ascii="Times New Roman" w:hAnsi="Times New Roman" w:cs="Times New Roman"/>
          <w:sz w:val="24"/>
          <w:szCs w:val="24"/>
        </w:rPr>
        <w:t xml:space="preserve">. </w:t>
      </w:r>
      <w:r w:rsidR="00952DEE" w:rsidRPr="00E7730E">
        <w:rPr>
          <w:rFonts w:ascii="Times New Roman" w:hAnsi="Times New Roman" w:cs="Times New Roman"/>
          <w:sz w:val="24"/>
          <w:szCs w:val="24"/>
        </w:rPr>
        <w:t xml:space="preserve">Using </w:t>
      </w:r>
      <w:r w:rsidR="00226269" w:rsidRPr="00E7730E">
        <w:rPr>
          <w:rFonts w:ascii="Times New Roman" w:hAnsi="Times New Roman" w:cs="Times New Roman"/>
          <w:sz w:val="24"/>
          <w:szCs w:val="24"/>
        </w:rPr>
        <w:t>the cross-sectional data</w:t>
      </w:r>
      <w:r w:rsidR="009F3E96" w:rsidRPr="00E7730E">
        <w:rPr>
          <w:rFonts w:ascii="Times New Roman" w:hAnsi="Times New Roman" w:cs="Times New Roman"/>
          <w:sz w:val="24"/>
          <w:szCs w:val="24"/>
        </w:rPr>
        <w:t xml:space="preserve"> set</w:t>
      </w:r>
      <w:r w:rsidR="00226269" w:rsidRPr="00E7730E">
        <w:rPr>
          <w:rFonts w:ascii="Times New Roman" w:hAnsi="Times New Roman" w:cs="Times New Roman"/>
          <w:sz w:val="24"/>
          <w:szCs w:val="24"/>
        </w:rPr>
        <w:t xml:space="preserve"> of </w:t>
      </w:r>
      <w:r w:rsidR="0026351C" w:rsidRPr="00E7730E">
        <w:rPr>
          <w:rFonts w:ascii="Times New Roman" w:hAnsi="Times New Roman" w:cs="Times New Roman"/>
          <w:sz w:val="24"/>
          <w:szCs w:val="24"/>
        </w:rPr>
        <w:t>1</w:t>
      </w:r>
      <w:r w:rsidR="0075063B" w:rsidRPr="00E7730E">
        <w:rPr>
          <w:rFonts w:ascii="Times New Roman" w:hAnsi="Times New Roman" w:cs="Times New Roman"/>
          <w:sz w:val="24"/>
          <w:szCs w:val="24"/>
        </w:rPr>
        <w:t>,278</w:t>
      </w:r>
      <w:r w:rsidR="0026351C" w:rsidRPr="00E7730E">
        <w:rPr>
          <w:rFonts w:ascii="Times New Roman" w:hAnsi="Times New Roman" w:cs="Times New Roman"/>
          <w:sz w:val="24"/>
          <w:szCs w:val="24"/>
        </w:rPr>
        <w:t xml:space="preserve"> SMEs for year 2013, </w:t>
      </w:r>
      <w:r w:rsidR="0026351C" w:rsidRPr="00E7730E">
        <w:rPr>
          <w:rFonts w:ascii="Times New Roman" w:eastAsia="GulliverRM" w:hAnsi="Times New Roman" w:cs="Times New Roman"/>
          <w:sz w:val="24"/>
          <w:szCs w:val="24"/>
        </w:rPr>
        <w:t xml:space="preserve">we find that </w:t>
      </w:r>
      <w:r w:rsidR="00237119" w:rsidRPr="00E7730E">
        <w:rPr>
          <w:rFonts w:ascii="Times New Roman" w:eastAsia="GulliverRM" w:hAnsi="Times New Roman" w:cs="Times New Roman"/>
          <w:sz w:val="24"/>
          <w:szCs w:val="24"/>
        </w:rPr>
        <w:t>larger</w:t>
      </w:r>
      <w:r w:rsidR="00150380" w:rsidRPr="00E7730E">
        <w:rPr>
          <w:rFonts w:ascii="Times New Roman" w:eastAsia="GulliverRM" w:hAnsi="Times New Roman" w:cs="Times New Roman"/>
          <w:sz w:val="24"/>
          <w:szCs w:val="24"/>
        </w:rPr>
        <w:t xml:space="preserve"> firms</w:t>
      </w:r>
      <w:r w:rsidR="00DD49AA" w:rsidRPr="00E7730E">
        <w:rPr>
          <w:rFonts w:ascii="Times New Roman" w:eastAsia="GulliverRM" w:hAnsi="Times New Roman" w:cs="Times New Roman"/>
          <w:sz w:val="24"/>
          <w:szCs w:val="24"/>
        </w:rPr>
        <w:t xml:space="preserve"> </w:t>
      </w:r>
      <w:r w:rsidR="00CF3EB9" w:rsidRPr="00E7730E">
        <w:rPr>
          <w:rFonts w:ascii="Times New Roman" w:eastAsia="GulliverRM" w:hAnsi="Times New Roman" w:cs="Times New Roman"/>
          <w:sz w:val="24"/>
          <w:szCs w:val="24"/>
        </w:rPr>
        <w:t>and firms that</w:t>
      </w:r>
      <w:r w:rsidR="00DD49AA" w:rsidRPr="00E7730E">
        <w:rPr>
          <w:rFonts w:ascii="Times New Roman" w:eastAsia="GulliverRM" w:hAnsi="Times New Roman" w:cs="Times New Roman"/>
          <w:sz w:val="24"/>
          <w:szCs w:val="24"/>
        </w:rPr>
        <w:t xml:space="preserve"> ha</w:t>
      </w:r>
      <w:r w:rsidR="00CF72B6" w:rsidRPr="00E7730E">
        <w:rPr>
          <w:rFonts w:ascii="Times New Roman" w:eastAsia="GulliverRM" w:hAnsi="Times New Roman" w:cs="Times New Roman"/>
          <w:sz w:val="24"/>
          <w:szCs w:val="24"/>
        </w:rPr>
        <w:t>ve</w:t>
      </w:r>
      <w:r w:rsidR="00DD49AA" w:rsidRPr="00E7730E">
        <w:rPr>
          <w:rFonts w:ascii="Times New Roman" w:eastAsia="GulliverRM" w:hAnsi="Times New Roman" w:cs="Times New Roman"/>
          <w:sz w:val="24"/>
          <w:szCs w:val="24"/>
        </w:rPr>
        <w:t xml:space="preserve"> an internationally recognized quality certification</w:t>
      </w:r>
      <w:r w:rsidR="00CF72B6" w:rsidRPr="00E7730E">
        <w:rPr>
          <w:rFonts w:ascii="Times New Roman" w:eastAsia="GulliverRM" w:hAnsi="Times New Roman" w:cs="Times New Roman"/>
          <w:sz w:val="24"/>
          <w:szCs w:val="24"/>
        </w:rPr>
        <w:t xml:space="preserve"> finance a </w:t>
      </w:r>
      <w:r w:rsidR="00952DEE" w:rsidRPr="00E7730E">
        <w:rPr>
          <w:rFonts w:ascii="Times New Roman" w:eastAsia="GulliverRM" w:hAnsi="Times New Roman" w:cs="Times New Roman"/>
          <w:sz w:val="24"/>
          <w:szCs w:val="24"/>
        </w:rPr>
        <w:t xml:space="preserve">lower </w:t>
      </w:r>
      <w:r w:rsidR="00CF72B6" w:rsidRPr="00E7730E">
        <w:rPr>
          <w:rFonts w:ascii="Times New Roman" w:eastAsia="GulliverRM" w:hAnsi="Times New Roman" w:cs="Times New Roman"/>
          <w:sz w:val="24"/>
          <w:szCs w:val="24"/>
        </w:rPr>
        <w:t xml:space="preserve">proportion of their working capital with </w:t>
      </w:r>
      <w:r w:rsidR="00952DEE" w:rsidRPr="00E7730E">
        <w:rPr>
          <w:rFonts w:ascii="Times New Roman" w:eastAsia="GulliverRM" w:hAnsi="Times New Roman" w:cs="Times New Roman"/>
          <w:sz w:val="24"/>
          <w:szCs w:val="24"/>
        </w:rPr>
        <w:t xml:space="preserve">internal funds. The proportion </w:t>
      </w:r>
      <w:r w:rsidR="006C0B04" w:rsidRPr="00E7730E">
        <w:rPr>
          <w:rFonts w:ascii="Times New Roman" w:eastAsia="GulliverRM" w:hAnsi="Times New Roman" w:cs="Times New Roman"/>
          <w:sz w:val="24"/>
          <w:szCs w:val="24"/>
        </w:rPr>
        <w:t xml:space="preserve">of </w:t>
      </w:r>
      <w:r w:rsidR="00CD41AC" w:rsidRPr="00E7730E">
        <w:rPr>
          <w:rFonts w:ascii="Times New Roman" w:eastAsia="GulliverRM" w:hAnsi="Times New Roman" w:cs="Times New Roman"/>
          <w:sz w:val="24"/>
          <w:szCs w:val="24"/>
        </w:rPr>
        <w:t xml:space="preserve">working capital that is financed with bank loans </w:t>
      </w:r>
      <w:r w:rsidR="00952DEE" w:rsidRPr="00E7730E">
        <w:rPr>
          <w:rFonts w:ascii="Times New Roman" w:eastAsia="GulliverRM" w:hAnsi="Times New Roman" w:cs="Times New Roman"/>
          <w:sz w:val="24"/>
          <w:szCs w:val="24"/>
        </w:rPr>
        <w:t xml:space="preserve">is higher for these firms. </w:t>
      </w:r>
      <w:r w:rsidR="0026351C" w:rsidRPr="00E7730E">
        <w:rPr>
          <w:rFonts w:ascii="Times New Roman" w:eastAsia="GulliverRM" w:hAnsi="Times New Roman" w:cs="Times New Roman"/>
          <w:sz w:val="24"/>
          <w:szCs w:val="24"/>
        </w:rPr>
        <w:t>A higher portion of working capital is financed with purchases on credit from suppliers and advances f</w:t>
      </w:r>
      <w:r w:rsidR="00B53723" w:rsidRPr="00E7730E">
        <w:rPr>
          <w:rFonts w:ascii="Times New Roman" w:eastAsia="GulliverRM" w:hAnsi="Times New Roman" w:cs="Times New Roman"/>
          <w:sz w:val="24"/>
          <w:szCs w:val="24"/>
        </w:rPr>
        <w:t>rom</w:t>
      </w:r>
      <w:r w:rsidR="0026351C" w:rsidRPr="00E7730E">
        <w:rPr>
          <w:rFonts w:ascii="Times New Roman" w:eastAsia="GulliverRM" w:hAnsi="Times New Roman" w:cs="Times New Roman"/>
          <w:sz w:val="24"/>
          <w:szCs w:val="24"/>
        </w:rPr>
        <w:t xml:space="preserve"> customers by firms that are larger and </w:t>
      </w:r>
      <w:r w:rsidR="00A316D3" w:rsidRPr="00E7730E">
        <w:rPr>
          <w:rFonts w:ascii="Times New Roman" w:eastAsia="GulliverRM" w:hAnsi="Times New Roman" w:cs="Times New Roman"/>
          <w:sz w:val="24"/>
          <w:szCs w:val="24"/>
        </w:rPr>
        <w:t xml:space="preserve">firms that are </w:t>
      </w:r>
      <w:r w:rsidR="0026351C" w:rsidRPr="00E7730E">
        <w:rPr>
          <w:rFonts w:ascii="Times New Roman" w:eastAsia="GulliverRM" w:hAnsi="Times New Roman" w:cs="Times New Roman"/>
          <w:sz w:val="24"/>
          <w:szCs w:val="24"/>
        </w:rPr>
        <w:t xml:space="preserve">younger. </w:t>
      </w:r>
      <w:r w:rsidR="00CF3EB9" w:rsidRPr="00E7730E">
        <w:rPr>
          <w:rFonts w:ascii="Times New Roman" w:eastAsia="GulliverRM" w:hAnsi="Times New Roman" w:cs="Times New Roman"/>
          <w:sz w:val="24"/>
          <w:szCs w:val="24"/>
        </w:rPr>
        <w:t>F</w:t>
      </w:r>
      <w:r w:rsidR="003518FC" w:rsidRPr="00E7730E">
        <w:rPr>
          <w:rFonts w:ascii="Times New Roman" w:eastAsia="GulliverRM" w:hAnsi="Times New Roman" w:cs="Times New Roman"/>
          <w:sz w:val="24"/>
          <w:szCs w:val="24"/>
        </w:rPr>
        <w:t xml:space="preserve">irms with a </w:t>
      </w:r>
      <w:r w:rsidR="00952DEE" w:rsidRPr="00E7730E">
        <w:rPr>
          <w:rFonts w:ascii="Times New Roman" w:eastAsia="GulliverRM" w:hAnsi="Times New Roman" w:cs="Times New Roman"/>
          <w:sz w:val="24"/>
          <w:szCs w:val="24"/>
        </w:rPr>
        <w:t xml:space="preserve">lower export intensity finance a higher portion of fixed asset investments </w:t>
      </w:r>
      <w:r w:rsidR="0026351C" w:rsidRPr="00E7730E">
        <w:rPr>
          <w:rFonts w:ascii="Times New Roman" w:eastAsia="GulliverRM" w:hAnsi="Times New Roman" w:cs="Times New Roman"/>
          <w:sz w:val="24"/>
          <w:szCs w:val="24"/>
        </w:rPr>
        <w:t>with internal fun</w:t>
      </w:r>
      <w:r w:rsidR="0075063B" w:rsidRPr="00E7730E">
        <w:rPr>
          <w:rFonts w:ascii="Times New Roman" w:eastAsia="GulliverRM" w:hAnsi="Times New Roman" w:cs="Times New Roman"/>
          <w:sz w:val="24"/>
          <w:szCs w:val="24"/>
        </w:rPr>
        <w:t xml:space="preserve">ds. </w:t>
      </w:r>
      <w:r w:rsidR="00952DEE" w:rsidRPr="00E7730E">
        <w:rPr>
          <w:rFonts w:ascii="Times New Roman" w:eastAsia="GulliverRM" w:hAnsi="Times New Roman" w:cs="Times New Roman"/>
          <w:sz w:val="24"/>
          <w:szCs w:val="24"/>
        </w:rPr>
        <w:t xml:space="preserve">The proportion of </w:t>
      </w:r>
      <w:r w:rsidR="00CD41AC" w:rsidRPr="00E7730E">
        <w:rPr>
          <w:rFonts w:ascii="Times New Roman" w:eastAsia="GulliverRM" w:hAnsi="Times New Roman" w:cs="Times New Roman"/>
          <w:sz w:val="24"/>
          <w:szCs w:val="24"/>
        </w:rPr>
        <w:t xml:space="preserve">fixed asset investments that is financed with </w:t>
      </w:r>
      <w:r w:rsidR="00952DEE" w:rsidRPr="00E7730E">
        <w:rPr>
          <w:rFonts w:ascii="Times New Roman" w:eastAsia="GulliverRM" w:hAnsi="Times New Roman" w:cs="Times New Roman"/>
          <w:sz w:val="24"/>
          <w:szCs w:val="24"/>
        </w:rPr>
        <w:t xml:space="preserve">bank loans is </w:t>
      </w:r>
      <w:r w:rsidR="0026351C" w:rsidRPr="00E7730E">
        <w:rPr>
          <w:rFonts w:ascii="Times New Roman" w:eastAsia="GulliverRM" w:hAnsi="Times New Roman" w:cs="Times New Roman"/>
          <w:sz w:val="24"/>
          <w:szCs w:val="24"/>
        </w:rPr>
        <w:t>lower for older firms</w:t>
      </w:r>
      <w:r w:rsidR="00DA1153" w:rsidRPr="00E7730E">
        <w:rPr>
          <w:rFonts w:ascii="Times New Roman" w:eastAsia="GulliverRM" w:hAnsi="Times New Roman" w:cs="Times New Roman"/>
          <w:sz w:val="24"/>
          <w:szCs w:val="24"/>
        </w:rPr>
        <w:t xml:space="preserve">. </w:t>
      </w:r>
      <w:r w:rsidR="00150380" w:rsidRPr="00E7730E">
        <w:rPr>
          <w:rFonts w:ascii="Times New Roman" w:eastAsia="GulliverRM" w:hAnsi="Times New Roman" w:cs="Times New Roman"/>
          <w:sz w:val="24"/>
          <w:szCs w:val="24"/>
        </w:rPr>
        <w:t xml:space="preserve">Older firms </w:t>
      </w:r>
      <w:r w:rsidR="00CF3EB9" w:rsidRPr="00E7730E">
        <w:rPr>
          <w:rFonts w:ascii="Times New Roman" w:eastAsia="GulliverRM" w:hAnsi="Times New Roman" w:cs="Times New Roman"/>
          <w:sz w:val="24"/>
          <w:szCs w:val="24"/>
        </w:rPr>
        <w:t xml:space="preserve">and firms with a lower percentage of sales made on credit </w:t>
      </w:r>
      <w:r w:rsidR="00150380" w:rsidRPr="00E7730E">
        <w:rPr>
          <w:rFonts w:ascii="Times New Roman" w:eastAsia="GulliverRM" w:hAnsi="Times New Roman" w:cs="Times New Roman"/>
          <w:sz w:val="24"/>
          <w:szCs w:val="24"/>
        </w:rPr>
        <w:t>use internal financing mo</w:t>
      </w:r>
      <w:r w:rsidR="00CF3EB9" w:rsidRPr="00E7730E">
        <w:rPr>
          <w:rFonts w:ascii="Times New Roman" w:eastAsia="GulliverRM" w:hAnsi="Times New Roman" w:cs="Times New Roman"/>
          <w:sz w:val="24"/>
          <w:szCs w:val="24"/>
        </w:rPr>
        <w:t>r</w:t>
      </w:r>
      <w:r w:rsidR="00150380" w:rsidRPr="00E7730E">
        <w:rPr>
          <w:rFonts w:ascii="Times New Roman" w:eastAsia="GulliverRM" w:hAnsi="Times New Roman" w:cs="Times New Roman"/>
          <w:sz w:val="24"/>
          <w:szCs w:val="24"/>
        </w:rPr>
        <w:t xml:space="preserve">e intensively </w:t>
      </w:r>
      <w:r w:rsidR="00CF3EB9" w:rsidRPr="00E7730E">
        <w:rPr>
          <w:rFonts w:ascii="Times New Roman" w:eastAsia="GulliverRM" w:hAnsi="Times New Roman" w:cs="Times New Roman"/>
          <w:sz w:val="24"/>
          <w:szCs w:val="24"/>
        </w:rPr>
        <w:t xml:space="preserve">to finance </w:t>
      </w:r>
      <w:r w:rsidR="00DA1153" w:rsidRPr="00E7730E">
        <w:rPr>
          <w:rFonts w:ascii="Times New Roman" w:eastAsia="GulliverRM" w:hAnsi="Times New Roman" w:cs="Times New Roman"/>
          <w:sz w:val="24"/>
          <w:szCs w:val="24"/>
        </w:rPr>
        <w:t xml:space="preserve">both </w:t>
      </w:r>
      <w:r w:rsidR="00CF3EB9" w:rsidRPr="00E7730E">
        <w:rPr>
          <w:rFonts w:ascii="Times New Roman" w:eastAsia="GulliverRM" w:hAnsi="Times New Roman" w:cs="Times New Roman"/>
          <w:sz w:val="24"/>
          <w:szCs w:val="24"/>
        </w:rPr>
        <w:t>working capit</w:t>
      </w:r>
      <w:r w:rsidR="00453165" w:rsidRPr="00E7730E">
        <w:rPr>
          <w:rFonts w:ascii="Times New Roman" w:eastAsia="GulliverRM" w:hAnsi="Times New Roman" w:cs="Times New Roman"/>
          <w:sz w:val="24"/>
          <w:szCs w:val="24"/>
        </w:rPr>
        <w:t>al and fixed asset investments.</w:t>
      </w:r>
      <w:r w:rsidR="000A6405" w:rsidRPr="00E7730E">
        <w:rPr>
          <w:rFonts w:ascii="Times New Roman" w:eastAsia="GulliverRM" w:hAnsi="Times New Roman" w:cs="Times New Roman"/>
          <w:sz w:val="24"/>
          <w:szCs w:val="24"/>
        </w:rPr>
        <w:t xml:space="preserve"> </w:t>
      </w:r>
      <w:r w:rsidR="00CD41AC" w:rsidRPr="00E7730E">
        <w:rPr>
          <w:rFonts w:ascii="Times New Roman" w:eastAsia="GulliverRM" w:hAnsi="Times New Roman" w:cs="Times New Roman"/>
          <w:sz w:val="24"/>
          <w:szCs w:val="24"/>
        </w:rPr>
        <w:t>Firms with a higher percentage of sales made on credit finance a higher portion of their working capital and fixed asset investments with bank loans.</w:t>
      </w:r>
      <w:r w:rsidR="00DA1153" w:rsidRPr="00E7730E">
        <w:rPr>
          <w:rFonts w:ascii="Times New Roman" w:eastAsia="GulliverRM" w:hAnsi="Times New Roman" w:cs="Times New Roman"/>
          <w:sz w:val="24"/>
          <w:szCs w:val="24"/>
        </w:rPr>
        <w:t xml:space="preserve"> </w:t>
      </w:r>
    </w:p>
    <w:p w:rsidR="00AF5D14" w:rsidRPr="00E7730E" w:rsidRDefault="00AF5D14" w:rsidP="00AF5D14">
      <w:pPr>
        <w:spacing w:after="0" w:line="259" w:lineRule="auto"/>
        <w:jc w:val="both"/>
        <w:rPr>
          <w:rFonts w:ascii="Times New Roman" w:eastAsia="GulliverRM" w:hAnsi="Times New Roman" w:cs="Times New Roman"/>
          <w:sz w:val="24"/>
          <w:szCs w:val="24"/>
        </w:rPr>
      </w:pPr>
    </w:p>
    <w:p w:rsidR="00B229D7" w:rsidRPr="00E7730E" w:rsidRDefault="00B229D7" w:rsidP="00AF5D14">
      <w:pPr>
        <w:spacing w:after="0" w:line="259" w:lineRule="auto"/>
        <w:jc w:val="both"/>
        <w:rPr>
          <w:rFonts w:ascii="Times New Roman" w:eastAsia="GulliverRM" w:hAnsi="Times New Roman" w:cs="Times New Roman"/>
          <w:sz w:val="24"/>
          <w:szCs w:val="24"/>
        </w:rPr>
      </w:pPr>
      <w:r w:rsidRPr="00AF5D14">
        <w:rPr>
          <w:rFonts w:ascii="Times New Roman" w:eastAsia="GulliverRM" w:hAnsi="Times New Roman" w:cs="Times New Roman"/>
          <w:b/>
          <w:sz w:val="24"/>
          <w:szCs w:val="24"/>
        </w:rPr>
        <w:t>Jel classification numbers:</w:t>
      </w:r>
      <w:r w:rsidRPr="00E7730E">
        <w:rPr>
          <w:rFonts w:ascii="Times New Roman" w:eastAsia="GulliverRM" w:hAnsi="Times New Roman" w:cs="Times New Roman"/>
          <w:sz w:val="24"/>
          <w:szCs w:val="24"/>
        </w:rPr>
        <w:t xml:space="preserve"> </w:t>
      </w:r>
      <w:r w:rsidRPr="00E7730E">
        <w:rPr>
          <w:rFonts w:ascii="Times New Roman" w:hAnsi="Times New Roman" w:cs="Times New Roman"/>
          <w:sz w:val="24"/>
          <w:szCs w:val="24"/>
        </w:rPr>
        <w:t>C21, G21, G30, G32</w:t>
      </w:r>
    </w:p>
    <w:p w:rsidR="00DD49AA" w:rsidRPr="00E7730E" w:rsidRDefault="00F736DC" w:rsidP="00AF5D14">
      <w:pPr>
        <w:spacing w:after="0" w:line="259" w:lineRule="auto"/>
        <w:jc w:val="both"/>
        <w:rPr>
          <w:rFonts w:ascii="Times New Roman" w:eastAsia="GulliverRM" w:hAnsi="Times New Roman" w:cs="Times New Roman"/>
          <w:sz w:val="24"/>
          <w:szCs w:val="24"/>
        </w:rPr>
      </w:pPr>
      <w:r w:rsidRPr="00AF5D14">
        <w:rPr>
          <w:rFonts w:ascii="Times New Roman" w:eastAsia="GulliverRM" w:hAnsi="Times New Roman" w:cs="Times New Roman"/>
          <w:b/>
          <w:sz w:val="24"/>
          <w:szCs w:val="24"/>
        </w:rPr>
        <w:t>Keywords:</w:t>
      </w:r>
      <w:r w:rsidR="00B229D7" w:rsidRPr="00E7730E">
        <w:rPr>
          <w:rFonts w:ascii="Times New Roman" w:eastAsia="GulliverRM" w:hAnsi="Times New Roman" w:cs="Times New Roman"/>
          <w:sz w:val="24"/>
          <w:szCs w:val="24"/>
        </w:rPr>
        <w:t xml:space="preserve"> SME, Turkey, Financing patterns, Working capital, Fixed asset investments</w:t>
      </w:r>
    </w:p>
    <w:p w:rsidR="00901C8F" w:rsidRDefault="00901C8F" w:rsidP="00AF5D14">
      <w:pPr>
        <w:autoSpaceDE w:val="0"/>
        <w:autoSpaceDN w:val="0"/>
        <w:adjustRightInd w:val="0"/>
        <w:spacing w:after="0" w:line="259" w:lineRule="auto"/>
        <w:jc w:val="both"/>
        <w:rPr>
          <w:rFonts w:ascii="Times New Roman" w:hAnsi="Times New Roman" w:cs="Times New Roman"/>
          <w:sz w:val="24"/>
          <w:szCs w:val="24"/>
        </w:rPr>
      </w:pPr>
    </w:p>
    <w:p w:rsidR="00AF5D14" w:rsidRPr="00E7730E" w:rsidRDefault="00AF5D14" w:rsidP="00AF5D14">
      <w:pPr>
        <w:autoSpaceDE w:val="0"/>
        <w:autoSpaceDN w:val="0"/>
        <w:adjustRightInd w:val="0"/>
        <w:spacing w:after="0" w:line="259" w:lineRule="auto"/>
        <w:jc w:val="both"/>
        <w:rPr>
          <w:rFonts w:ascii="Times New Roman" w:hAnsi="Times New Roman" w:cs="Times New Roman"/>
          <w:sz w:val="24"/>
          <w:szCs w:val="24"/>
        </w:rPr>
      </w:pPr>
    </w:p>
    <w:p w:rsidR="00901C8F" w:rsidRPr="00AF5D14" w:rsidRDefault="00AF5D14" w:rsidP="00AF5D14">
      <w:pPr>
        <w:autoSpaceDE w:val="0"/>
        <w:autoSpaceDN w:val="0"/>
        <w:adjustRightInd w:val="0"/>
        <w:spacing w:after="0" w:line="259" w:lineRule="auto"/>
        <w:jc w:val="both"/>
        <w:rPr>
          <w:rFonts w:ascii="Times New Roman" w:hAnsi="Times New Roman" w:cs="Times New Roman"/>
          <w:b/>
          <w:sz w:val="30"/>
          <w:szCs w:val="30"/>
        </w:rPr>
      </w:pPr>
      <w:r w:rsidRPr="00AF5D14">
        <w:rPr>
          <w:rFonts w:ascii="Times New Roman" w:hAnsi="Times New Roman" w:cs="Times New Roman"/>
          <w:b/>
          <w:sz w:val="30"/>
          <w:szCs w:val="30"/>
        </w:rPr>
        <w:t xml:space="preserve">1 </w:t>
      </w:r>
      <w:r w:rsidR="00901C8F" w:rsidRPr="00AF5D14">
        <w:rPr>
          <w:rFonts w:ascii="Times New Roman" w:hAnsi="Times New Roman" w:cs="Times New Roman"/>
          <w:b/>
          <w:sz w:val="30"/>
          <w:szCs w:val="30"/>
        </w:rPr>
        <w:t>Introduction</w:t>
      </w:r>
      <w:r w:rsidR="00C25756" w:rsidRPr="00AF5D14">
        <w:rPr>
          <w:rFonts w:ascii="Times New Roman" w:hAnsi="Times New Roman" w:cs="Times New Roman"/>
          <w:b/>
          <w:sz w:val="30"/>
          <w:szCs w:val="30"/>
        </w:rPr>
        <w:t xml:space="preserve"> and Background</w:t>
      </w:r>
    </w:p>
    <w:p w:rsidR="00C27931" w:rsidRPr="00E7730E" w:rsidRDefault="005F296E"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SMEs are important for all economies in the world because of their contribution to GDP growth, job creation and government revenues from taxation</w:t>
      </w:r>
      <w:r w:rsidR="00237119" w:rsidRPr="00E7730E">
        <w:rPr>
          <w:rFonts w:ascii="Times New Roman" w:hAnsi="Times New Roman" w:cs="Times New Roman"/>
          <w:sz w:val="24"/>
          <w:szCs w:val="24"/>
        </w:rPr>
        <w:t xml:space="preserve">. </w:t>
      </w:r>
      <w:r w:rsidRPr="00E7730E">
        <w:rPr>
          <w:rFonts w:ascii="Times New Roman" w:hAnsi="Times New Roman" w:cs="Times New Roman"/>
          <w:sz w:val="24"/>
          <w:szCs w:val="24"/>
        </w:rPr>
        <w:t>They are central to private sector development and they serve as engines of innovation. Having access to external financing is critical for the survival and growth of SMEs</w:t>
      </w:r>
      <w:r w:rsidR="00BF1C11" w:rsidRPr="00E7730E">
        <w:rPr>
          <w:rFonts w:ascii="Times New Roman" w:hAnsi="Times New Roman" w:cs="Times New Roman"/>
          <w:sz w:val="24"/>
          <w:szCs w:val="24"/>
        </w:rPr>
        <w:t xml:space="preserve"> which are dependent on bank lending. </w:t>
      </w:r>
      <w:r w:rsidRPr="00E7730E">
        <w:rPr>
          <w:rFonts w:ascii="Times New Roman" w:hAnsi="Times New Roman" w:cs="Times New Roman"/>
          <w:sz w:val="24"/>
          <w:szCs w:val="24"/>
        </w:rPr>
        <w:t>However,</w:t>
      </w:r>
      <w:r w:rsidR="00B03DCA" w:rsidRPr="00E7730E">
        <w:rPr>
          <w:rFonts w:ascii="Times New Roman" w:hAnsi="Times New Roman" w:cs="Times New Roman"/>
          <w:sz w:val="24"/>
          <w:szCs w:val="24"/>
        </w:rPr>
        <w:t xml:space="preserve"> </w:t>
      </w:r>
      <w:r w:rsidRPr="00E7730E">
        <w:rPr>
          <w:rFonts w:ascii="Times New Roman" w:hAnsi="Times New Roman" w:cs="Times New Roman"/>
          <w:sz w:val="24"/>
          <w:szCs w:val="24"/>
        </w:rPr>
        <w:t>SMEs face financing obstacles that hinder their potential to grow and create jobs</w:t>
      </w:r>
      <w:r w:rsidR="007629B7" w:rsidRPr="00E7730E">
        <w:rPr>
          <w:rFonts w:ascii="Times New Roman" w:hAnsi="Times New Roman" w:cs="Times New Roman"/>
          <w:sz w:val="24"/>
          <w:szCs w:val="24"/>
        </w:rPr>
        <w:t xml:space="preserve"> (Hughes, 2009; </w:t>
      </w:r>
      <w:r w:rsidR="0064791B" w:rsidRPr="00E7730E">
        <w:rPr>
          <w:rFonts w:ascii="Times New Roman" w:hAnsi="Times New Roman" w:cs="Times New Roman"/>
          <w:sz w:val="24"/>
          <w:szCs w:val="24"/>
        </w:rPr>
        <w:t xml:space="preserve">Mason and Kwok, 2010; </w:t>
      </w:r>
      <w:r w:rsidR="00B03DCA" w:rsidRPr="00E7730E">
        <w:rPr>
          <w:rFonts w:ascii="Times New Roman" w:hAnsi="Times New Roman" w:cs="Times New Roman"/>
          <w:sz w:val="24"/>
          <w:szCs w:val="24"/>
        </w:rPr>
        <w:t>Shen, Shen, Xu and Bai, 2009</w:t>
      </w:r>
      <w:r w:rsidR="007629B7" w:rsidRPr="00E7730E">
        <w:rPr>
          <w:rFonts w:ascii="Times New Roman" w:hAnsi="Times New Roman" w:cs="Times New Roman"/>
          <w:sz w:val="24"/>
          <w:szCs w:val="24"/>
        </w:rPr>
        <w:t>)</w:t>
      </w:r>
      <w:r w:rsidRPr="00E7730E">
        <w:rPr>
          <w:rFonts w:ascii="Times New Roman" w:hAnsi="Times New Roman" w:cs="Times New Roman"/>
          <w:sz w:val="24"/>
          <w:szCs w:val="24"/>
        </w:rPr>
        <w:t>. Difficulties encountered in accessing bank financ</w:t>
      </w:r>
      <w:r w:rsidR="00B03DCA" w:rsidRPr="00E7730E">
        <w:rPr>
          <w:rFonts w:ascii="Times New Roman" w:hAnsi="Times New Roman" w:cs="Times New Roman"/>
          <w:sz w:val="24"/>
          <w:szCs w:val="24"/>
        </w:rPr>
        <w:t xml:space="preserve">ing </w:t>
      </w:r>
      <w:r w:rsidRPr="00E7730E">
        <w:rPr>
          <w:rFonts w:ascii="Times New Roman" w:hAnsi="Times New Roman" w:cs="Times New Roman"/>
          <w:sz w:val="24"/>
          <w:szCs w:val="24"/>
        </w:rPr>
        <w:t xml:space="preserve">adversely affect </w:t>
      </w:r>
      <w:r w:rsidR="00A316D3" w:rsidRPr="00E7730E">
        <w:rPr>
          <w:rFonts w:ascii="Times New Roman" w:hAnsi="Times New Roman" w:cs="Times New Roman"/>
          <w:sz w:val="24"/>
          <w:szCs w:val="24"/>
        </w:rPr>
        <w:t xml:space="preserve">the </w:t>
      </w:r>
      <w:r w:rsidRPr="00E7730E">
        <w:rPr>
          <w:rFonts w:ascii="Times New Roman" w:hAnsi="Times New Roman" w:cs="Times New Roman"/>
          <w:sz w:val="24"/>
          <w:szCs w:val="24"/>
        </w:rPr>
        <w:t>day-to-day functioning and growth</w:t>
      </w:r>
      <w:r w:rsidR="00A316D3" w:rsidRPr="00E7730E">
        <w:rPr>
          <w:rFonts w:ascii="Times New Roman" w:hAnsi="Times New Roman" w:cs="Times New Roman"/>
          <w:sz w:val="24"/>
          <w:szCs w:val="24"/>
        </w:rPr>
        <w:t xml:space="preserve"> of SMEs</w:t>
      </w:r>
      <w:r w:rsidRPr="00E7730E">
        <w:rPr>
          <w:rFonts w:ascii="Times New Roman" w:hAnsi="Times New Roman" w:cs="Times New Roman"/>
          <w:sz w:val="24"/>
          <w:szCs w:val="24"/>
        </w:rPr>
        <w:t xml:space="preserve">. </w:t>
      </w:r>
    </w:p>
    <w:p w:rsidR="0064791B" w:rsidRPr="00E7730E" w:rsidRDefault="00876CED"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 xml:space="preserve">SME literature suggests that </w:t>
      </w:r>
      <w:r w:rsidR="00B24217" w:rsidRPr="00E7730E">
        <w:rPr>
          <w:rFonts w:ascii="Times New Roman" w:hAnsi="Times New Roman" w:cs="Times New Roman"/>
          <w:sz w:val="24"/>
          <w:szCs w:val="24"/>
        </w:rPr>
        <w:t xml:space="preserve">these firms </w:t>
      </w:r>
      <w:r w:rsidRPr="00E7730E">
        <w:rPr>
          <w:rFonts w:ascii="Times New Roman" w:hAnsi="Times New Roman" w:cs="Times New Roman"/>
          <w:sz w:val="24"/>
          <w:szCs w:val="24"/>
        </w:rPr>
        <w:t>face higher barriers to bank financing</w:t>
      </w:r>
      <w:r w:rsidR="00B24217" w:rsidRPr="00E7730E">
        <w:rPr>
          <w:rFonts w:ascii="Times New Roman" w:hAnsi="Times New Roman" w:cs="Times New Roman"/>
          <w:sz w:val="24"/>
          <w:szCs w:val="24"/>
        </w:rPr>
        <w:t xml:space="preserve"> than large firms (</w:t>
      </w:r>
      <w:r w:rsidR="006216F3" w:rsidRPr="00E7730E">
        <w:rPr>
          <w:rFonts w:ascii="Times New Roman" w:hAnsi="Times New Roman" w:cs="Times New Roman"/>
          <w:sz w:val="24"/>
          <w:szCs w:val="24"/>
        </w:rPr>
        <w:t>Beck, Demirguc-Kunt, Laeven and Maksimovic, 2006; Beck, Demirguc-Kunt and Maksimovic, 2008</w:t>
      </w:r>
      <w:r w:rsidR="0064791B" w:rsidRPr="00E7730E">
        <w:rPr>
          <w:rFonts w:ascii="Times New Roman" w:hAnsi="Times New Roman" w:cs="Times New Roman"/>
          <w:sz w:val="24"/>
          <w:szCs w:val="24"/>
        </w:rPr>
        <w:t xml:space="preserve">; </w:t>
      </w:r>
      <w:r w:rsidR="00B24217" w:rsidRPr="00E7730E">
        <w:rPr>
          <w:rFonts w:ascii="Times New Roman" w:hAnsi="Times New Roman" w:cs="Times New Roman"/>
          <w:sz w:val="24"/>
          <w:szCs w:val="24"/>
        </w:rPr>
        <w:t xml:space="preserve">Pissarides, 1999). </w:t>
      </w:r>
      <w:r w:rsidR="00F845F8" w:rsidRPr="00E7730E">
        <w:rPr>
          <w:rFonts w:ascii="Times New Roman" w:hAnsi="Times New Roman" w:cs="Times New Roman"/>
          <w:sz w:val="24"/>
          <w:szCs w:val="24"/>
        </w:rPr>
        <w:t>SMEs encounter greater difficulties in accessing bank financing because they are informationally opaque and it is difficult for banks to evaluate their corporate capabilities</w:t>
      </w:r>
      <w:r w:rsidR="00B24217" w:rsidRPr="00E7730E">
        <w:rPr>
          <w:rFonts w:ascii="Times New Roman" w:hAnsi="Times New Roman" w:cs="Times New Roman"/>
          <w:sz w:val="24"/>
          <w:szCs w:val="24"/>
        </w:rPr>
        <w:t xml:space="preserve"> (Ang 1992; Berger and Udell, 1998; Gregory, Rutherford, Oswald</w:t>
      </w:r>
      <w:r w:rsidR="0064791B" w:rsidRPr="00E7730E">
        <w:rPr>
          <w:rFonts w:ascii="Times New Roman" w:hAnsi="Times New Roman" w:cs="Times New Roman"/>
          <w:sz w:val="24"/>
          <w:szCs w:val="24"/>
        </w:rPr>
        <w:t xml:space="preserve"> and </w:t>
      </w:r>
      <w:r w:rsidR="00B24217" w:rsidRPr="00E7730E">
        <w:rPr>
          <w:rFonts w:ascii="Times New Roman" w:hAnsi="Times New Roman" w:cs="Times New Roman"/>
          <w:sz w:val="24"/>
          <w:szCs w:val="24"/>
        </w:rPr>
        <w:t>Gardiner, 2005)</w:t>
      </w:r>
      <w:r w:rsidR="00F845F8" w:rsidRPr="00E7730E">
        <w:rPr>
          <w:rFonts w:ascii="Times New Roman" w:hAnsi="Times New Roman" w:cs="Times New Roman"/>
          <w:sz w:val="24"/>
          <w:szCs w:val="24"/>
        </w:rPr>
        <w:t xml:space="preserve">. Moreover, their financial statements are not as informative as those of large firms and they have shorter credit </w:t>
      </w:r>
      <w:r w:rsidR="00F845F8" w:rsidRPr="00E7730E">
        <w:rPr>
          <w:rFonts w:ascii="Times New Roman" w:hAnsi="Times New Roman" w:cs="Times New Roman"/>
          <w:sz w:val="24"/>
          <w:szCs w:val="24"/>
        </w:rPr>
        <w:lastRenderedPageBreak/>
        <w:t>histories. Information asymmetry and monitoring costs that banks should incur also in</w:t>
      </w:r>
      <w:r w:rsidR="00B24217" w:rsidRPr="00E7730E">
        <w:rPr>
          <w:rFonts w:ascii="Times New Roman" w:hAnsi="Times New Roman" w:cs="Times New Roman"/>
          <w:sz w:val="24"/>
          <w:szCs w:val="24"/>
        </w:rPr>
        <w:t>creases the transactions cos</w:t>
      </w:r>
      <w:r w:rsidR="0064791B" w:rsidRPr="00E7730E">
        <w:rPr>
          <w:rFonts w:ascii="Times New Roman" w:hAnsi="Times New Roman" w:cs="Times New Roman"/>
          <w:sz w:val="24"/>
          <w:szCs w:val="24"/>
        </w:rPr>
        <w:t>t</w:t>
      </w:r>
      <w:r w:rsidR="00F845F8" w:rsidRPr="00E7730E">
        <w:rPr>
          <w:rFonts w:ascii="Times New Roman" w:hAnsi="Times New Roman" w:cs="Times New Roman"/>
          <w:sz w:val="24"/>
          <w:szCs w:val="24"/>
        </w:rPr>
        <w:t xml:space="preserve">s of SME lending for banks. </w:t>
      </w:r>
    </w:p>
    <w:p w:rsidR="00642F23" w:rsidRPr="00E7730E" w:rsidRDefault="00B24217" w:rsidP="00AF5D14">
      <w:pPr>
        <w:autoSpaceDE w:val="0"/>
        <w:autoSpaceDN w:val="0"/>
        <w:adjustRightInd w:val="0"/>
        <w:spacing w:after="0" w:line="259" w:lineRule="auto"/>
        <w:jc w:val="both"/>
        <w:rPr>
          <w:rFonts w:ascii="Times New Roman" w:eastAsia="AdvGulliv-R" w:hAnsi="Times New Roman" w:cs="Times New Roman"/>
          <w:sz w:val="24"/>
          <w:szCs w:val="24"/>
        </w:rPr>
      </w:pPr>
      <w:r w:rsidRPr="00E7730E">
        <w:rPr>
          <w:rFonts w:ascii="Times New Roman" w:hAnsi="Times New Roman" w:cs="Times New Roman"/>
          <w:sz w:val="24"/>
          <w:szCs w:val="24"/>
        </w:rPr>
        <w:t>Accessing bank financing is more challenging for emerging market SMEs (</w:t>
      </w:r>
      <w:r w:rsidR="00572A1C" w:rsidRPr="00E7730E">
        <w:rPr>
          <w:rFonts w:ascii="Times New Roman" w:hAnsi="Times New Roman" w:cs="Times New Roman"/>
          <w:sz w:val="24"/>
          <w:szCs w:val="24"/>
        </w:rPr>
        <w:t xml:space="preserve">Hanedar, Broccardo and Bazzana, 2014; Menkhoff, Neuberger and </w:t>
      </w:r>
      <w:r w:rsidR="00572A1C" w:rsidRPr="00E7730E">
        <w:rPr>
          <w:rFonts w:ascii="Times New Roman" w:eastAsia="AdvGulliv-R" w:hAnsi="Times New Roman" w:cs="Times New Roman"/>
          <w:sz w:val="24"/>
          <w:szCs w:val="24"/>
        </w:rPr>
        <w:t>Rungruxsirivorn</w:t>
      </w:r>
      <w:r w:rsidR="00572A1C" w:rsidRPr="00E7730E">
        <w:rPr>
          <w:rFonts w:ascii="Times New Roman" w:hAnsi="Times New Roman" w:cs="Times New Roman"/>
          <w:sz w:val="24"/>
          <w:szCs w:val="24"/>
        </w:rPr>
        <w:t xml:space="preserve">, 2012; </w:t>
      </w:r>
      <w:r w:rsidR="00572A1C" w:rsidRPr="00E7730E">
        <w:rPr>
          <w:rFonts w:ascii="Times New Roman" w:eastAsia="AdvGulliv-R" w:hAnsi="Times New Roman" w:cs="Times New Roman"/>
          <w:sz w:val="24"/>
          <w:szCs w:val="24"/>
        </w:rPr>
        <w:t>Menkhoff, Neuberger and Suwanaporn</w:t>
      </w:r>
      <w:r w:rsidR="00550C93" w:rsidRPr="00E7730E">
        <w:rPr>
          <w:rFonts w:ascii="Times New Roman" w:eastAsia="AdvGulliv-R" w:hAnsi="Times New Roman" w:cs="Times New Roman"/>
          <w:sz w:val="24"/>
          <w:szCs w:val="24"/>
        </w:rPr>
        <w:t xml:space="preserve">, </w:t>
      </w:r>
      <w:r w:rsidR="00572A1C" w:rsidRPr="00E7730E">
        <w:rPr>
          <w:rFonts w:ascii="Times New Roman" w:hAnsi="Times New Roman" w:cs="Times New Roman"/>
          <w:sz w:val="24"/>
          <w:szCs w:val="24"/>
        </w:rPr>
        <w:t xml:space="preserve">2006; </w:t>
      </w:r>
      <w:r w:rsidR="00550C93" w:rsidRPr="00E7730E">
        <w:rPr>
          <w:rFonts w:ascii="Times New Roman" w:hAnsi="Times New Roman" w:cs="Times New Roman"/>
          <w:sz w:val="24"/>
          <w:szCs w:val="24"/>
        </w:rPr>
        <w:t>Zhou, 2007</w:t>
      </w:r>
      <w:r w:rsidRPr="00E7730E">
        <w:rPr>
          <w:rFonts w:ascii="Times New Roman" w:hAnsi="Times New Roman" w:cs="Times New Roman"/>
          <w:sz w:val="24"/>
          <w:szCs w:val="24"/>
        </w:rPr>
        <w:t>)</w:t>
      </w:r>
      <w:r w:rsidR="00572A1C" w:rsidRPr="00E7730E">
        <w:rPr>
          <w:rFonts w:ascii="Times New Roman" w:hAnsi="Times New Roman" w:cs="Times New Roman"/>
          <w:sz w:val="24"/>
          <w:szCs w:val="24"/>
        </w:rPr>
        <w:t xml:space="preserve">. </w:t>
      </w:r>
      <w:r w:rsidR="00540771" w:rsidRPr="00E7730E">
        <w:rPr>
          <w:rFonts w:ascii="Times New Roman" w:hAnsi="Times New Roman" w:cs="Times New Roman"/>
          <w:sz w:val="24"/>
          <w:szCs w:val="24"/>
        </w:rPr>
        <w:t>Inability to access bank financing is exacerbated wit</w:t>
      </w:r>
      <w:r w:rsidR="00FE6D51" w:rsidRPr="00E7730E">
        <w:rPr>
          <w:rFonts w:ascii="Times New Roman" w:hAnsi="Times New Roman" w:cs="Times New Roman"/>
          <w:sz w:val="24"/>
          <w:szCs w:val="24"/>
        </w:rPr>
        <w:t>h</w:t>
      </w:r>
      <w:r w:rsidR="00540771" w:rsidRPr="00E7730E">
        <w:rPr>
          <w:rFonts w:ascii="Times New Roman" w:hAnsi="Times New Roman" w:cs="Times New Roman"/>
          <w:sz w:val="24"/>
          <w:szCs w:val="24"/>
        </w:rPr>
        <w:t xml:space="preserve"> “</w:t>
      </w:r>
      <w:r w:rsidR="00017DF3" w:rsidRPr="00E7730E">
        <w:rPr>
          <w:rFonts w:ascii="Times New Roman" w:hAnsi="Times New Roman" w:cs="Times New Roman"/>
          <w:sz w:val="24"/>
          <w:szCs w:val="24"/>
        </w:rPr>
        <w:t>informality</w:t>
      </w:r>
      <w:r w:rsidR="00540771" w:rsidRPr="00E7730E">
        <w:rPr>
          <w:rFonts w:ascii="Times New Roman" w:hAnsi="Times New Roman" w:cs="Times New Roman"/>
          <w:sz w:val="24"/>
          <w:szCs w:val="24"/>
        </w:rPr>
        <w:t xml:space="preserve">” in emerging economies </w:t>
      </w:r>
      <w:r w:rsidR="00FE6D51" w:rsidRPr="00E7730E">
        <w:rPr>
          <w:rFonts w:ascii="Times New Roman" w:hAnsi="Times New Roman" w:cs="Times New Roman"/>
          <w:sz w:val="24"/>
          <w:szCs w:val="24"/>
        </w:rPr>
        <w:t>where</w:t>
      </w:r>
      <w:r w:rsidR="00540771" w:rsidRPr="00E7730E">
        <w:rPr>
          <w:rFonts w:ascii="Times New Roman" w:hAnsi="Times New Roman" w:cs="Times New Roman"/>
          <w:sz w:val="24"/>
          <w:szCs w:val="24"/>
        </w:rPr>
        <w:t xml:space="preserve"> many SMEs operate outside the formal sector (OECD, 2006)</w:t>
      </w:r>
      <w:r w:rsidR="00FE6D51" w:rsidRPr="00E7730E">
        <w:rPr>
          <w:rFonts w:ascii="Times New Roman" w:hAnsi="Times New Roman" w:cs="Times New Roman"/>
          <w:sz w:val="24"/>
          <w:szCs w:val="24"/>
        </w:rPr>
        <w:t xml:space="preserve">. </w:t>
      </w:r>
    </w:p>
    <w:p w:rsidR="000C558E" w:rsidRPr="00E7730E" w:rsidRDefault="000C558E"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When SMEs do not have access to bank financing, they count on internal cash flow</w:t>
      </w:r>
      <w:r w:rsidR="00591353" w:rsidRPr="00E7730E">
        <w:rPr>
          <w:rFonts w:ascii="Times New Roman" w:hAnsi="Times New Roman" w:cs="Times New Roman"/>
          <w:sz w:val="24"/>
          <w:szCs w:val="24"/>
        </w:rPr>
        <w:t>s</w:t>
      </w:r>
      <w:r w:rsidRPr="00E7730E">
        <w:rPr>
          <w:rFonts w:ascii="Times New Roman" w:hAnsi="Times New Roman" w:cs="Times New Roman"/>
          <w:sz w:val="24"/>
          <w:szCs w:val="24"/>
        </w:rPr>
        <w:t xml:space="preserve"> or informal sources of credit. </w:t>
      </w:r>
      <w:r w:rsidR="00591353" w:rsidRPr="00E7730E">
        <w:rPr>
          <w:rFonts w:ascii="Times New Roman" w:hAnsi="Times New Roman" w:cs="Times New Roman"/>
          <w:sz w:val="24"/>
          <w:szCs w:val="24"/>
        </w:rPr>
        <w:t xml:space="preserve">Especially emerging market SMEs frequently </w:t>
      </w:r>
      <w:r w:rsidRPr="00E7730E">
        <w:rPr>
          <w:rFonts w:ascii="Times New Roman" w:hAnsi="Times New Roman" w:cs="Times New Roman"/>
          <w:sz w:val="24"/>
          <w:szCs w:val="24"/>
        </w:rPr>
        <w:t xml:space="preserve">fall into this </w:t>
      </w:r>
      <w:r w:rsidR="005D0045" w:rsidRPr="00E7730E">
        <w:rPr>
          <w:rFonts w:ascii="Times New Roman" w:hAnsi="Times New Roman" w:cs="Times New Roman"/>
          <w:sz w:val="24"/>
          <w:szCs w:val="24"/>
        </w:rPr>
        <w:t>situation</w:t>
      </w:r>
      <w:r w:rsidRPr="00E7730E">
        <w:rPr>
          <w:rFonts w:ascii="Times New Roman" w:hAnsi="Times New Roman" w:cs="Times New Roman"/>
          <w:sz w:val="24"/>
          <w:szCs w:val="24"/>
        </w:rPr>
        <w:t xml:space="preserve"> </w:t>
      </w:r>
      <w:r w:rsidR="004926DF" w:rsidRPr="00E7730E">
        <w:rPr>
          <w:rFonts w:ascii="Times New Roman" w:hAnsi="Times New Roman" w:cs="Times New Roman"/>
          <w:sz w:val="24"/>
          <w:szCs w:val="24"/>
        </w:rPr>
        <w:t xml:space="preserve">(OECD, 2006). </w:t>
      </w:r>
      <w:r w:rsidRPr="00E7730E">
        <w:rPr>
          <w:rFonts w:ascii="Times New Roman" w:hAnsi="Times New Roman" w:cs="Times New Roman"/>
          <w:sz w:val="24"/>
          <w:szCs w:val="24"/>
        </w:rPr>
        <w:t xml:space="preserve">Cosh and Hughes </w:t>
      </w:r>
      <w:r w:rsidR="004926DF" w:rsidRPr="00E7730E">
        <w:rPr>
          <w:rFonts w:ascii="Times New Roman" w:hAnsi="Times New Roman" w:cs="Times New Roman"/>
          <w:sz w:val="24"/>
          <w:szCs w:val="24"/>
        </w:rPr>
        <w:t xml:space="preserve">(1994) suggest that because access of SMEs to external funds is </w:t>
      </w:r>
      <w:r w:rsidR="005D0045" w:rsidRPr="00E7730E">
        <w:rPr>
          <w:rFonts w:ascii="Times New Roman" w:hAnsi="Times New Roman" w:cs="Times New Roman"/>
          <w:sz w:val="24"/>
          <w:szCs w:val="24"/>
        </w:rPr>
        <w:t xml:space="preserve">more difficult </w:t>
      </w:r>
      <w:r w:rsidR="004926DF" w:rsidRPr="00E7730E">
        <w:rPr>
          <w:rFonts w:ascii="Times New Roman" w:hAnsi="Times New Roman" w:cs="Times New Roman"/>
          <w:sz w:val="24"/>
          <w:szCs w:val="24"/>
        </w:rPr>
        <w:t>than that of large firms, the pecking order theory</w:t>
      </w:r>
      <w:r w:rsidR="005D0045" w:rsidRPr="00E7730E">
        <w:rPr>
          <w:rFonts w:ascii="Times New Roman" w:hAnsi="Times New Roman" w:cs="Times New Roman"/>
          <w:sz w:val="24"/>
          <w:szCs w:val="24"/>
        </w:rPr>
        <w:t xml:space="preserve"> (</w:t>
      </w:r>
      <w:r w:rsidR="001D6BE8" w:rsidRPr="00E7730E">
        <w:rPr>
          <w:rFonts w:ascii="Times New Roman" w:hAnsi="Times New Roman" w:cs="Times New Roman"/>
          <w:sz w:val="24"/>
          <w:szCs w:val="24"/>
        </w:rPr>
        <w:t xml:space="preserve">Myers, 1984; Myers and Majluf, </w:t>
      </w:r>
      <w:r w:rsidRPr="00E7730E">
        <w:rPr>
          <w:rFonts w:ascii="Times New Roman" w:hAnsi="Times New Roman" w:cs="Times New Roman"/>
          <w:sz w:val="24"/>
          <w:szCs w:val="24"/>
        </w:rPr>
        <w:t xml:space="preserve">1984) which suggests that firms primarily </w:t>
      </w:r>
      <w:r w:rsidR="008852FB" w:rsidRPr="00E7730E">
        <w:rPr>
          <w:rFonts w:ascii="Times New Roman" w:hAnsi="Times New Roman" w:cs="Times New Roman"/>
          <w:sz w:val="24"/>
          <w:szCs w:val="24"/>
        </w:rPr>
        <w:t xml:space="preserve">rely on </w:t>
      </w:r>
      <w:r w:rsidRPr="00E7730E">
        <w:rPr>
          <w:rFonts w:ascii="Times New Roman" w:hAnsi="Times New Roman" w:cs="Times New Roman"/>
          <w:sz w:val="24"/>
          <w:szCs w:val="24"/>
        </w:rPr>
        <w:t>internal funds rather than external funds can be</w:t>
      </w:r>
      <w:r w:rsidR="001D6BE8" w:rsidRPr="00E7730E">
        <w:rPr>
          <w:rFonts w:ascii="Times New Roman" w:hAnsi="Times New Roman" w:cs="Times New Roman"/>
          <w:sz w:val="24"/>
          <w:szCs w:val="24"/>
        </w:rPr>
        <w:t xml:space="preserve"> </w:t>
      </w:r>
      <w:r w:rsidR="008852FB" w:rsidRPr="00E7730E">
        <w:rPr>
          <w:rFonts w:ascii="Times New Roman" w:hAnsi="Times New Roman" w:cs="Times New Roman"/>
          <w:sz w:val="24"/>
          <w:szCs w:val="24"/>
        </w:rPr>
        <w:t xml:space="preserve">easily </w:t>
      </w:r>
      <w:r w:rsidRPr="00E7730E">
        <w:rPr>
          <w:rFonts w:ascii="Times New Roman" w:hAnsi="Times New Roman" w:cs="Times New Roman"/>
          <w:sz w:val="24"/>
          <w:szCs w:val="24"/>
        </w:rPr>
        <w:t>applied to SMEs</w:t>
      </w:r>
      <w:r w:rsidR="001D6BE8" w:rsidRPr="00E7730E">
        <w:rPr>
          <w:rFonts w:ascii="Times New Roman" w:hAnsi="Times New Roman" w:cs="Times New Roman"/>
          <w:sz w:val="24"/>
          <w:szCs w:val="24"/>
        </w:rPr>
        <w:t>.</w:t>
      </w:r>
    </w:p>
    <w:p w:rsidR="000C558E" w:rsidRPr="00E7730E" w:rsidRDefault="00591353"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 xml:space="preserve">Petersen and Rajan (1997) and </w:t>
      </w:r>
      <w:r w:rsidR="006F4A7C" w:rsidRPr="00E7730E">
        <w:rPr>
          <w:rFonts w:ascii="Times New Roman" w:hAnsi="Times New Roman" w:cs="Times New Roman"/>
          <w:sz w:val="24"/>
          <w:szCs w:val="24"/>
        </w:rPr>
        <w:t>N</w:t>
      </w:r>
      <w:r w:rsidR="00673DAD" w:rsidRPr="00E7730E">
        <w:rPr>
          <w:rFonts w:ascii="Times New Roman" w:hAnsi="Times New Roman" w:cs="Times New Roman"/>
          <w:sz w:val="24"/>
          <w:szCs w:val="24"/>
        </w:rPr>
        <w:t>ilsen (</w:t>
      </w:r>
      <w:r w:rsidR="006F4A7C" w:rsidRPr="00E7730E">
        <w:rPr>
          <w:rFonts w:ascii="Times New Roman" w:hAnsi="Times New Roman" w:cs="Times New Roman"/>
          <w:sz w:val="24"/>
          <w:szCs w:val="24"/>
        </w:rPr>
        <w:t>2002</w:t>
      </w:r>
      <w:r w:rsidR="00673DAD" w:rsidRPr="00E7730E">
        <w:rPr>
          <w:rFonts w:ascii="Times New Roman" w:hAnsi="Times New Roman" w:cs="Times New Roman"/>
          <w:sz w:val="24"/>
          <w:szCs w:val="24"/>
        </w:rPr>
        <w:t xml:space="preserve">) </w:t>
      </w:r>
      <w:r w:rsidR="006F4A7C" w:rsidRPr="00E7730E">
        <w:rPr>
          <w:rFonts w:ascii="Times New Roman" w:hAnsi="Times New Roman" w:cs="Times New Roman"/>
          <w:sz w:val="24"/>
          <w:szCs w:val="24"/>
        </w:rPr>
        <w:t xml:space="preserve">argue that </w:t>
      </w:r>
      <w:r w:rsidR="000C558E" w:rsidRPr="00E7730E">
        <w:rPr>
          <w:rFonts w:ascii="Times New Roman" w:hAnsi="Times New Roman" w:cs="Times New Roman"/>
          <w:sz w:val="24"/>
          <w:szCs w:val="24"/>
        </w:rPr>
        <w:t xml:space="preserve">firms that are </w:t>
      </w:r>
      <w:r w:rsidR="005D0045" w:rsidRPr="00E7730E">
        <w:rPr>
          <w:rFonts w:ascii="Times New Roman" w:hAnsi="Times New Roman" w:cs="Times New Roman"/>
          <w:sz w:val="24"/>
          <w:szCs w:val="24"/>
        </w:rPr>
        <w:t>financially constrained</w:t>
      </w:r>
      <w:r w:rsidR="000C558E" w:rsidRPr="00E7730E">
        <w:rPr>
          <w:rFonts w:ascii="Times New Roman" w:hAnsi="Times New Roman" w:cs="Times New Roman"/>
          <w:sz w:val="24"/>
          <w:szCs w:val="24"/>
        </w:rPr>
        <w:t xml:space="preserve"> are more likely to use trade credit and informal lending as alternative sources of finance. </w:t>
      </w:r>
      <w:r w:rsidR="00573EBA" w:rsidRPr="00E7730E">
        <w:rPr>
          <w:rFonts w:ascii="Times New Roman" w:hAnsi="Times New Roman" w:cs="Times New Roman"/>
          <w:sz w:val="24"/>
          <w:szCs w:val="24"/>
        </w:rPr>
        <w:t xml:space="preserve">Nilsen (2002) </w:t>
      </w:r>
      <w:r w:rsidR="000C558E" w:rsidRPr="00E7730E">
        <w:rPr>
          <w:rFonts w:ascii="Times New Roman" w:hAnsi="Times New Roman" w:cs="Times New Roman"/>
          <w:sz w:val="24"/>
          <w:szCs w:val="24"/>
        </w:rPr>
        <w:t>find that bank lending constr</w:t>
      </w:r>
      <w:r w:rsidR="00573EBA" w:rsidRPr="00E7730E">
        <w:rPr>
          <w:rFonts w:ascii="Times New Roman" w:hAnsi="Times New Roman" w:cs="Times New Roman"/>
          <w:sz w:val="24"/>
          <w:szCs w:val="24"/>
        </w:rPr>
        <w:t>ained</w:t>
      </w:r>
      <w:r w:rsidR="000C558E" w:rsidRPr="00E7730E">
        <w:rPr>
          <w:rFonts w:ascii="Times New Roman" w:hAnsi="Times New Roman" w:cs="Times New Roman"/>
          <w:sz w:val="24"/>
          <w:szCs w:val="24"/>
        </w:rPr>
        <w:t xml:space="preserve"> firms use trade credit to finance th</w:t>
      </w:r>
      <w:r w:rsidR="00673DAD" w:rsidRPr="00E7730E">
        <w:rPr>
          <w:rFonts w:ascii="Times New Roman" w:hAnsi="Times New Roman" w:cs="Times New Roman"/>
          <w:sz w:val="24"/>
          <w:szCs w:val="24"/>
        </w:rPr>
        <w:t xml:space="preserve">eir working capital. </w:t>
      </w:r>
      <w:r w:rsidR="006607D1" w:rsidRPr="00E7730E">
        <w:rPr>
          <w:rFonts w:ascii="Times New Roman" w:hAnsi="Times New Roman" w:cs="Times New Roman"/>
          <w:sz w:val="24"/>
          <w:szCs w:val="24"/>
        </w:rPr>
        <w:t>On the contrary</w:t>
      </w:r>
      <w:r w:rsidR="00673DAD" w:rsidRPr="00E7730E">
        <w:rPr>
          <w:rFonts w:ascii="Times New Roman" w:hAnsi="Times New Roman" w:cs="Times New Roman"/>
          <w:sz w:val="24"/>
          <w:szCs w:val="24"/>
        </w:rPr>
        <w:t xml:space="preserve">, </w:t>
      </w:r>
      <w:r w:rsidR="000C558E" w:rsidRPr="00E7730E">
        <w:rPr>
          <w:rFonts w:ascii="Times New Roman" w:hAnsi="Times New Roman" w:cs="Times New Roman"/>
          <w:sz w:val="24"/>
          <w:szCs w:val="24"/>
        </w:rPr>
        <w:t>Beck</w:t>
      </w:r>
      <w:r w:rsidR="006607D1" w:rsidRPr="00E7730E">
        <w:rPr>
          <w:rFonts w:ascii="Times New Roman" w:hAnsi="Times New Roman" w:cs="Times New Roman"/>
          <w:sz w:val="24"/>
          <w:szCs w:val="24"/>
        </w:rPr>
        <w:t xml:space="preserve"> et al.</w:t>
      </w:r>
      <w:r w:rsidR="000C558E" w:rsidRPr="00E7730E">
        <w:rPr>
          <w:rFonts w:ascii="Times New Roman" w:hAnsi="Times New Roman" w:cs="Times New Roman"/>
          <w:sz w:val="24"/>
          <w:szCs w:val="24"/>
        </w:rPr>
        <w:t xml:space="preserve"> (2008) show that alt</w:t>
      </w:r>
      <w:r w:rsidR="00573EBA" w:rsidRPr="00E7730E">
        <w:rPr>
          <w:rFonts w:ascii="Times New Roman" w:hAnsi="Times New Roman" w:cs="Times New Roman"/>
          <w:sz w:val="24"/>
          <w:szCs w:val="24"/>
        </w:rPr>
        <w:t>h</w:t>
      </w:r>
      <w:r w:rsidR="000C558E" w:rsidRPr="00E7730E">
        <w:rPr>
          <w:rFonts w:ascii="Times New Roman" w:hAnsi="Times New Roman" w:cs="Times New Roman"/>
          <w:sz w:val="24"/>
          <w:szCs w:val="24"/>
        </w:rPr>
        <w:t>ough smal</w:t>
      </w:r>
      <w:r w:rsidR="009A01D9" w:rsidRPr="00E7730E">
        <w:rPr>
          <w:rFonts w:ascii="Times New Roman" w:hAnsi="Times New Roman" w:cs="Times New Roman"/>
          <w:sz w:val="24"/>
          <w:szCs w:val="24"/>
        </w:rPr>
        <w:t>l</w:t>
      </w:r>
      <w:r w:rsidR="000C558E" w:rsidRPr="00E7730E">
        <w:rPr>
          <w:rFonts w:ascii="Times New Roman" w:hAnsi="Times New Roman" w:cs="Times New Roman"/>
          <w:sz w:val="24"/>
          <w:szCs w:val="24"/>
        </w:rPr>
        <w:t xml:space="preserve"> </w:t>
      </w:r>
      <w:r w:rsidR="008C2208" w:rsidRPr="00E7730E">
        <w:rPr>
          <w:rFonts w:ascii="Times New Roman" w:hAnsi="Times New Roman" w:cs="Times New Roman"/>
          <w:sz w:val="24"/>
          <w:szCs w:val="24"/>
        </w:rPr>
        <w:t xml:space="preserve">firms </w:t>
      </w:r>
      <w:r w:rsidR="000C558E" w:rsidRPr="00E7730E">
        <w:rPr>
          <w:rFonts w:ascii="Times New Roman" w:hAnsi="Times New Roman" w:cs="Times New Roman"/>
          <w:sz w:val="24"/>
          <w:szCs w:val="24"/>
        </w:rPr>
        <w:t xml:space="preserve">have lower access to bank loans than large firms, they do not try to compensate for this problem with higher use of trade finance. </w:t>
      </w:r>
    </w:p>
    <w:p w:rsidR="001F7B1C" w:rsidRPr="00E7730E" w:rsidRDefault="001B29E3"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 xml:space="preserve">Beck (2007) show that small SMEs finance a larger share of their fixed asset investments with internal funds, equity and informal finance than large SMEs. The author also provide evidence that larger </w:t>
      </w:r>
      <w:r w:rsidR="00A67A9B" w:rsidRPr="00E7730E">
        <w:rPr>
          <w:rFonts w:ascii="Times New Roman" w:hAnsi="Times New Roman" w:cs="Times New Roman"/>
          <w:sz w:val="24"/>
          <w:szCs w:val="24"/>
        </w:rPr>
        <w:t>SMEs</w:t>
      </w:r>
      <w:r w:rsidRPr="00E7730E">
        <w:rPr>
          <w:rFonts w:ascii="Times New Roman" w:hAnsi="Times New Roman" w:cs="Times New Roman"/>
          <w:sz w:val="24"/>
          <w:szCs w:val="24"/>
        </w:rPr>
        <w:t xml:space="preserve"> are more likely to use bank loans to finance investments. </w:t>
      </w:r>
    </w:p>
    <w:p w:rsidR="00601E75" w:rsidRPr="00E7730E" w:rsidRDefault="00545007" w:rsidP="00AF5D14">
      <w:pPr>
        <w:spacing w:after="0" w:line="259" w:lineRule="auto"/>
        <w:jc w:val="both"/>
        <w:rPr>
          <w:rFonts w:ascii="Times New Roman" w:eastAsia="GulliverRM" w:hAnsi="Times New Roman" w:cs="Times New Roman"/>
          <w:sz w:val="24"/>
          <w:szCs w:val="24"/>
        </w:rPr>
      </w:pPr>
      <w:r w:rsidRPr="00E7730E">
        <w:rPr>
          <w:rFonts w:ascii="Times New Roman" w:hAnsi="Times New Roman" w:cs="Times New Roman"/>
          <w:sz w:val="24"/>
          <w:szCs w:val="24"/>
        </w:rPr>
        <w:t xml:space="preserve">Because access to finance is of </w:t>
      </w:r>
      <w:r w:rsidR="00072A89" w:rsidRPr="00E7730E">
        <w:rPr>
          <w:rFonts w:ascii="Times New Roman" w:hAnsi="Times New Roman" w:cs="Times New Roman"/>
          <w:sz w:val="24"/>
          <w:szCs w:val="24"/>
        </w:rPr>
        <w:t>critical</w:t>
      </w:r>
      <w:r w:rsidRPr="00E7730E">
        <w:rPr>
          <w:rFonts w:ascii="Times New Roman" w:hAnsi="Times New Roman" w:cs="Times New Roman"/>
          <w:sz w:val="24"/>
          <w:szCs w:val="24"/>
        </w:rPr>
        <w:t xml:space="preserve"> </w:t>
      </w:r>
      <w:r w:rsidR="00C532B7" w:rsidRPr="00E7730E">
        <w:rPr>
          <w:rFonts w:ascii="Times New Roman" w:hAnsi="Times New Roman" w:cs="Times New Roman"/>
          <w:sz w:val="24"/>
          <w:szCs w:val="24"/>
        </w:rPr>
        <w:t>importan</w:t>
      </w:r>
      <w:r w:rsidRPr="00E7730E">
        <w:rPr>
          <w:rFonts w:ascii="Times New Roman" w:hAnsi="Times New Roman" w:cs="Times New Roman"/>
          <w:sz w:val="24"/>
          <w:szCs w:val="24"/>
        </w:rPr>
        <w:t>ce for the</w:t>
      </w:r>
      <w:r w:rsidR="00072A89" w:rsidRPr="00E7730E">
        <w:rPr>
          <w:rFonts w:ascii="Times New Roman" w:hAnsi="Times New Roman" w:cs="Times New Roman"/>
          <w:sz w:val="24"/>
          <w:szCs w:val="24"/>
        </w:rPr>
        <w:t xml:space="preserve"> development</w:t>
      </w:r>
      <w:r w:rsidRPr="00E7730E">
        <w:rPr>
          <w:rFonts w:ascii="Times New Roman" w:hAnsi="Times New Roman" w:cs="Times New Roman"/>
          <w:sz w:val="24"/>
          <w:szCs w:val="24"/>
        </w:rPr>
        <w:t xml:space="preserve"> of the SME sector, </w:t>
      </w:r>
      <w:r w:rsidR="00E8609F" w:rsidRPr="00E7730E">
        <w:rPr>
          <w:rFonts w:ascii="Times New Roman" w:hAnsi="Times New Roman" w:cs="Times New Roman"/>
          <w:sz w:val="24"/>
          <w:szCs w:val="24"/>
        </w:rPr>
        <w:t>analyzing h</w:t>
      </w:r>
      <w:r w:rsidR="00605D33" w:rsidRPr="00E7730E">
        <w:rPr>
          <w:rFonts w:ascii="Times New Roman" w:hAnsi="Times New Roman" w:cs="Times New Roman"/>
          <w:sz w:val="24"/>
          <w:szCs w:val="24"/>
        </w:rPr>
        <w:t>ow firm level factors affect the composition of f</w:t>
      </w:r>
      <w:r w:rsidR="00E34009" w:rsidRPr="00E7730E">
        <w:rPr>
          <w:rFonts w:ascii="Times New Roman" w:hAnsi="Times New Roman" w:cs="Times New Roman"/>
          <w:sz w:val="24"/>
          <w:szCs w:val="24"/>
        </w:rPr>
        <w:t xml:space="preserve">unding </w:t>
      </w:r>
      <w:r w:rsidR="00605D33" w:rsidRPr="00E7730E">
        <w:rPr>
          <w:rFonts w:ascii="Times New Roman" w:hAnsi="Times New Roman" w:cs="Times New Roman"/>
          <w:sz w:val="24"/>
          <w:szCs w:val="24"/>
        </w:rPr>
        <w:t xml:space="preserve">sources </w:t>
      </w:r>
      <w:r w:rsidR="00EE4711" w:rsidRPr="00E7730E">
        <w:rPr>
          <w:rFonts w:ascii="Times New Roman" w:hAnsi="Times New Roman" w:cs="Times New Roman"/>
          <w:sz w:val="24"/>
          <w:szCs w:val="24"/>
        </w:rPr>
        <w:t xml:space="preserve">of SMEs would be a useful contribution to the </w:t>
      </w:r>
      <w:r w:rsidR="00E8609F" w:rsidRPr="00E7730E">
        <w:rPr>
          <w:rFonts w:ascii="Times New Roman" w:hAnsi="Times New Roman" w:cs="Times New Roman"/>
          <w:sz w:val="24"/>
          <w:szCs w:val="24"/>
        </w:rPr>
        <w:t>literatu</w:t>
      </w:r>
      <w:r w:rsidR="00EE4711" w:rsidRPr="00E7730E">
        <w:rPr>
          <w:rFonts w:ascii="Times New Roman" w:hAnsi="Times New Roman" w:cs="Times New Roman"/>
          <w:sz w:val="24"/>
          <w:szCs w:val="24"/>
        </w:rPr>
        <w:t xml:space="preserve">re. </w:t>
      </w:r>
      <w:r w:rsidR="00540771" w:rsidRPr="00E7730E">
        <w:rPr>
          <w:rFonts w:ascii="Times New Roman" w:hAnsi="Times New Roman" w:cs="Times New Roman"/>
          <w:sz w:val="24"/>
          <w:szCs w:val="24"/>
        </w:rPr>
        <w:t xml:space="preserve">This study examines the determinants of the </w:t>
      </w:r>
      <w:r w:rsidR="00A67A9B" w:rsidRPr="00E7730E">
        <w:rPr>
          <w:rFonts w:ascii="Times New Roman" w:hAnsi="Times New Roman" w:cs="Times New Roman"/>
          <w:sz w:val="24"/>
          <w:szCs w:val="24"/>
        </w:rPr>
        <w:t xml:space="preserve">share </w:t>
      </w:r>
      <w:r w:rsidR="00540771" w:rsidRPr="00E7730E">
        <w:rPr>
          <w:rFonts w:ascii="Times New Roman" w:hAnsi="Times New Roman" w:cs="Times New Roman"/>
          <w:sz w:val="24"/>
          <w:szCs w:val="24"/>
        </w:rPr>
        <w:t xml:space="preserve">of different </w:t>
      </w:r>
      <w:r w:rsidR="00094F44" w:rsidRPr="00E7730E">
        <w:rPr>
          <w:rFonts w:ascii="Times New Roman" w:hAnsi="Times New Roman" w:cs="Times New Roman"/>
          <w:sz w:val="24"/>
          <w:szCs w:val="24"/>
        </w:rPr>
        <w:t>f</w:t>
      </w:r>
      <w:r w:rsidR="00E34009" w:rsidRPr="00E7730E">
        <w:rPr>
          <w:rFonts w:ascii="Times New Roman" w:hAnsi="Times New Roman" w:cs="Times New Roman"/>
          <w:sz w:val="24"/>
          <w:szCs w:val="24"/>
        </w:rPr>
        <w:t xml:space="preserve">inancing </w:t>
      </w:r>
      <w:r w:rsidR="00540771" w:rsidRPr="00E7730E">
        <w:rPr>
          <w:rFonts w:ascii="Times New Roman" w:hAnsi="Times New Roman" w:cs="Times New Roman"/>
          <w:sz w:val="24"/>
          <w:szCs w:val="24"/>
        </w:rPr>
        <w:t xml:space="preserve">sources in the financing of working capital and </w:t>
      </w:r>
      <w:r w:rsidR="001F7B1C" w:rsidRPr="00E7730E">
        <w:rPr>
          <w:rFonts w:ascii="Times New Roman" w:hAnsi="Times New Roman" w:cs="Times New Roman"/>
          <w:sz w:val="24"/>
          <w:szCs w:val="24"/>
        </w:rPr>
        <w:t xml:space="preserve">fixed asset </w:t>
      </w:r>
      <w:r w:rsidR="00540771" w:rsidRPr="00E7730E">
        <w:rPr>
          <w:rFonts w:ascii="Times New Roman" w:hAnsi="Times New Roman" w:cs="Times New Roman"/>
          <w:sz w:val="24"/>
          <w:szCs w:val="24"/>
        </w:rPr>
        <w:t xml:space="preserve">investments </w:t>
      </w:r>
      <w:r w:rsidR="00435E90" w:rsidRPr="00E7730E">
        <w:rPr>
          <w:rFonts w:ascii="Times New Roman" w:hAnsi="Times New Roman" w:cs="Times New Roman"/>
          <w:sz w:val="24"/>
          <w:szCs w:val="24"/>
        </w:rPr>
        <w:t xml:space="preserve">by </w:t>
      </w:r>
      <w:r w:rsidR="001F7B1C" w:rsidRPr="00E7730E">
        <w:rPr>
          <w:rFonts w:ascii="Times New Roman" w:hAnsi="Times New Roman" w:cs="Times New Roman"/>
          <w:sz w:val="24"/>
          <w:szCs w:val="24"/>
        </w:rPr>
        <w:t xml:space="preserve">SMEs </w:t>
      </w:r>
      <w:r w:rsidRPr="00E7730E">
        <w:rPr>
          <w:rFonts w:ascii="Times New Roman" w:hAnsi="Times New Roman" w:cs="Times New Roman"/>
          <w:sz w:val="24"/>
          <w:szCs w:val="24"/>
        </w:rPr>
        <w:t>in an e</w:t>
      </w:r>
      <w:r w:rsidR="00540771" w:rsidRPr="00E7730E">
        <w:rPr>
          <w:rFonts w:ascii="Times New Roman" w:hAnsi="Times New Roman" w:cs="Times New Roman"/>
          <w:sz w:val="24"/>
          <w:szCs w:val="24"/>
        </w:rPr>
        <w:t xml:space="preserve">merging market context, namely Turkey. </w:t>
      </w:r>
      <w:r w:rsidR="00C56C3C" w:rsidRPr="00E7730E">
        <w:rPr>
          <w:rFonts w:ascii="Times New Roman" w:hAnsi="Times New Roman" w:cs="Times New Roman"/>
          <w:sz w:val="24"/>
          <w:szCs w:val="24"/>
        </w:rPr>
        <w:t>The cross-sectional data</w:t>
      </w:r>
      <w:r w:rsidR="009F3E96" w:rsidRPr="00E7730E">
        <w:rPr>
          <w:rFonts w:ascii="Times New Roman" w:hAnsi="Times New Roman" w:cs="Times New Roman"/>
          <w:sz w:val="24"/>
          <w:szCs w:val="24"/>
        </w:rPr>
        <w:t xml:space="preserve"> set</w:t>
      </w:r>
      <w:r w:rsidR="00C56C3C" w:rsidRPr="00E7730E">
        <w:rPr>
          <w:rFonts w:ascii="Times New Roman" w:hAnsi="Times New Roman" w:cs="Times New Roman"/>
          <w:sz w:val="24"/>
          <w:szCs w:val="24"/>
        </w:rPr>
        <w:t xml:space="preserve"> of 1,278 SMEs for the year 2013 is used for the analysis. </w:t>
      </w:r>
      <w:r w:rsidR="00C400E8" w:rsidRPr="00E7730E">
        <w:rPr>
          <w:rFonts w:ascii="Times New Roman" w:hAnsi="Times New Roman" w:cs="Times New Roman"/>
          <w:sz w:val="24"/>
          <w:szCs w:val="24"/>
        </w:rPr>
        <w:t xml:space="preserve">We estimate </w:t>
      </w:r>
      <w:r w:rsidR="00072A89" w:rsidRPr="00E7730E">
        <w:rPr>
          <w:rFonts w:ascii="Times New Roman" w:hAnsi="Times New Roman" w:cs="Times New Roman"/>
          <w:sz w:val="24"/>
          <w:szCs w:val="24"/>
        </w:rPr>
        <w:t xml:space="preserve">two </w:t>
      </w:r>
      <w:r w:rsidR="00C400E8" w:rsidRPr="00E7730E">
        <w:rPr>
          <w:rFonts w:ascii="Times New Roman" w:hAnsi="Times New Roman" w:cs="Times New Roman"/>
          <w:sz w:val="24"/>
          <w:szCs w:val="24"/>
        </w:rPr>
        <w:t>system of equations model</w:t>
      </w:r>
      <w:r w:rsidR="00072A89" w:rsidRPr="00E7730E">
        <w:rPr>
          <w:rFonts w:ascii="Times New Roman" w:hAnsi="Times New Roman" w:cs="Times New Roman"/>
          <w:sz w:val="24"/>
          <w:szCs w:val="24"/>
        </w:rPr>
        <w:t>s</w:t>
      </w:r>
      <w:r w:rsidR="00C400E8" w:rsidRPr="00E7730E">
        <w:rPr>
          <w:rFonts w:ascii="Times New Roman" w:hAnsi="Times New Roman" w:cs="Times New Roman"/>
          <w:sz w:val="24"/>
          <w:szCs w:val="24"/>
        </w:rPr>
        <w:t xml:space="preserve"> where </w:t>
      </w:r>
      <w:r w:rsidR="00435E90" w:rsidRPr="00E7730E">
        <w:rPr>
          <w:rFonts w:ascii="Times New Roman" w:hAnsi="Times New Roman" w:cs="Times New Roman"/>
          <w:sz w:val="24"/>
          <w:szCs w:val="24"/>
        </w:rPr>
        <w:t xml:space="preserve">the </w:t>
      </w:r>
      <w:r w:rsidR="00C400E8" w:rsidRPr="00E7730E">
        <w:rPr>
          <w:rFonts w:ascii="Times New Roman" w:hAnsi="Times New Roman" w:cs="Times New Roman"/>
          <w:sz w:val="24"/>
          <w:szCs w:val="24"/>
        </w:rPr>
        <w:t xml:space="preserve">share of </w:t>
      </w:r>
      <w:r w:rsidR="00072A89" w:rsidRPr="00E7730E">
        <w:rPr>
          <w:rFonts w:ascii="Times New Roman" w:hAnsi="Times New Roman" w:cs="Times New Roman"/>
          <w:sz w:val="24"/>
          <w:szCs w:val="24"/>
        </w:rPr>
        <w:t xml:space="preserve">different </w:t>
      </w:r>
      <w:r w:rsidR="00094F44" w:rsidRPr="00E7730E">
        <w:rPr>
          <w:rFonts w:ascii="Times New Roman" w:hAnsi="Times New Roman" w:cs="Times New Roman"/>
          <w:sz w:val="24"/>
          <w:szCs w:val="24"/>
        </w:rPr>
        <w:t>f</w:t>
      </w:r>
      <w:r w:rsidR="00E34009" w:rsidRPr="00E7730E">
        <w:rPr>
          <w:rFonts w:ascii="Times New Roman" w:hAnsi="Times New Roman" w:cs="Times New Roman"/>
          <w:sz w:val="24"/>
          <w:szCs w:val="24"/>
        </w:rPr>
        <w:t xml:space="preserve">inancing </w:t>
      </w:r>
      <w:r w:rsidR="00C400E8" w:rsidRPr="00E7730E">
        <w:rPr>
          <w:rFonts w:ascii="Times New Roman" w:hAnsi="Times New Roman" w:cs="Times New Roman"/>
          <w:sz w:val="24"/>
          <w:szCs w:val="24"/>
        </w:rPr>
        <w:t xml:space="preserve">sources </w:t>
      </w:r>
      <w:r w:rsidR="00072A89" w:rsidRPr="00E7730E">
        <w:rPr>
          <w:rFonts w:ascii="Times New Roman" w:hAnsi="Times New Roman" w:cs="Times New Roman"/>
          <w:sz w:val="24"/>
          <w:szCs w:val="24"/>
        </w:rPr>
        <w:t xml:space="preserve">that are used to finance </w:t>
      </w:r>
      <w:r w:rsidR="00C400E8" w:rsidRPr="00E7730E">
        <w:rPr>
          <w:rFonts w:ascii="Times New Roman" w:hAnsi="Times New Roman" w:cs="Times New Roman"/>
          <w:sz w:val="24"/>
          <w:szCs w:val="24"/>
        </w:rPr>
        <w:t xml:space="preserve">working capital and investments are taken as the dependent variables and </w:t>
      </w:r>
      <w:r w:rsidR="00A67A9B" w:rsidRPr="00E7730E">
        <w:rPr>
          <w:rFonts w:ascii="Times New Roman" w:hAnsi="Times New Roman" w:cs="Times New Roman"/>
          <w:sz w:val="24"/>
          <w:szCs w:val="24"/>
        </w:rPr>
        <w:t xml:space="preserve">the </w:t>
      </w:r>
      <w:r w:rsidR="00C400E8" w:rsidRPr="00E7730E">
        <w:rPr>
          <w:rFonts w:ascii="Times New Roman" w:hAnsi="Times New Roman" w:cs="Times New Roman"/>
          <w:sz w:val="24"/>
          <w:szCs w:val="24"/>
        </w:rPr>
        <w:t xml:space="preserve">factors that are expected to affect </w:t>
      </w:r>
      <w:r w:rsidR="00072A89" w:rsidRPr="00E7730E">
        <w:rPr>
          <w:rFonts w:ascii="Times New Roman" w:hAnsi="Times New Roman" w:cs="Times New Roman"/>
          <w:sz w:val="24"/>
          <w:szCs w:val="24"/>
        </w:rPr>
        <w:t xml:space="preserve">the </w:t>
      </w:r>
      <w:r w:rsidR="00C400E8" w:rsidRPr="00E7730E">
        <w:rPr>
          <w:rFonts w:ascii="Times New Roman" w:hAnsi="Times New Roman" w:cs="Times New Roman"/>
          <w:sz w:val="24"/>
          <w:szCs w:val="24"/>
        </w:rPr>
        <w:t>choice of finan</w:t>
      </w:r>
      <w:r w:rsidR="00072A89" w:rsidRPr="00E7730E">
        <w:rPr>
          <w:rFonts w:ascii="Times New Roman" w:hAnsi="Times New Roman" w:cs="Times New Roman"/>
          <w:sz w:val="24"/>
          <w:szCs w:val="24"/>
        </w:rPr>
        <w:t xml:space="preserve">cing sources are </w:t>
      </w:r>
      <w:r w:rsidR="00435E90" w:rsidRPr="00E7730E">
        <w:rPr>
          <w:rFonts w:ascii="Times New Roman" w:hAnsi="Times New Roman" w:cs="Times New Roman"/>
          <w:sz w:val="24"/>
          <w:szCs w:val="24"/>
        </w:rPr>
        <w:t>taken</w:t>
      </w:r>
      <w:r w:rsidR="00072A89" w:rsidRPr="00E7730E">
        <w:rPr>
          <w:rFonts w:ascii="Times New Roman" w:hAnsi="Times New Roman" w:cs="Times New Roman"/>
          <w:sz w:val="24"/>
          <w:szCs w:val="24"/>
        </w:rPr>
        <w:t xml:space="preserve"> as </w:t>
      </w:r>
      <w:r w:rsidR="00094F44" w:rsidRPr="00E7730E">
        <w:rPr>
          <w:rFonts w:ascii="Times New Roman" w:hAnsi="Times New Roman" w:cs="Times New Roman"/>
          <w:sz w:val="24"/>
          <w:szCs w:val="24"/>
        </w:rPr>
        <w:t xml:space="preserve">the </w:t>
      </w:r>
      <w:r w:rsidR="00072A89" w:rsidRPr="00E7730E">
        <w:rPr>
          <w:rFonts w:ascii="Times New Roman" w:hAnsi="Times New Roman" w:cs="Times New Roman"/>
          <w:sz w:val="24"/>
          <w:szCs w:val="24"/>
        </w:rPr>
        <w:t xml:space="preserve">independent </w:t>
      </w:r>
      <w:r w:rsidR="00C400E8" w:rsidRPr="00E7730E">
        <w:rPr>
          <w:rFonts w:ascii="Times New Roman" w:hAnsi="Times New Roman" w:cs="Times New Roman"/>
          <w:sz w:val="24"/>
          <w:szCs w:val="24"/>
        </w:rPr>
        <w:t>variables.</w:t>
      </w:r>
      <w:r w:rsidR="00435E90" w:rsidRPr="00E7730E">
        <w:rPr>
          <w:rFonts w:ascii="Times New Roman" w:hAnsi="Times New Roman" w:cs="Times New Roman"/>
          <w:sz w:val="24"/>
          <w:szCs w:val="24"/>
        </w:rPr>
        <w:t xml:space="preserve"> </w:t>
      </w:r>
      <w:r w:rsidR="00540771" w:rsidRPr="00E7730E">
        <w:rPr>
          <w:rFonts w:ascii="Times New Roman" w:hAnsi="Times New Roman" w:cs="Times New Roman"/>
          <w:sz w:val="24"/>
          <w:szCs w:val="24"/>
        </w:rPr>
        <w:t xml:space="preserve">We find that </w:t>
      </w:r>
      <w:r w:rsidR="00435E90" w:rsidRPr="00E7730E">
        <w:rPr>
          <w:rFonts w:ascii="Times New Roman" w:eastAsia="GulliverRM" w:hAnsi="Times New Roman" w:cs="Times New Roman"/>
          <w:sz w:val="24"/>
          <w:szCs w:val="24"/>
        </w:rPr>
        <w:t>t</w:t>
      </w:r>
      <w:r w:rsidR="00960AC8" w:rsidRPr="00E7730E">
        <w:rPr>
          <w:rFonts w:ascii="Times New Roman" w:eastAsia="GulliverRM" w:hAnsi="Times New Roman" w:cs="Times New Roman"/>
          <w:sz w:val="24"/>
          <w:szCs w:val="24"/>
        </w:rPr>
        <w:t xml:space="preserve">he proportion of </w:t>
      </w:r>
      <w:r w:rsidR="0091691C" w:rsidRPr="00E7730E">
        <w:rPr>
          <w:rFonts w:ascii="Times New Roman" w:eastAsia="GulliverRM" w:hAnsi="Times New Roman" w:cs="Times New Roman"/>
          <w:sz w:val="24"/>
          <w:szCs w:val="24"/>
        </w:rPr>
        <w:t>internal funds</w:t>
      </w:r>
      <w:r w:rsidR="00960AC8" w:rsidRPr="00E7730E">
        <w:rPr>
          <w:rFonts w:ascii="Times New Roman" w:eastAsia="GulliverRM" w:hAnsi="Times New Roman" w:cs="Times New Roman"/>
          <w:sz w:val="24"/>
          <w:szCs w:val="24"/>
        </w:rPr>
        <w:t xml:space="preserve"> used for working capital</w:t>
      </w:r>
      <w:r w:rsidR="00435E90" w:rsidRPr="00E7730E">
        <w:rPr>
          <w:rFonts w:ascii="Times New Roman" w:eastAsia="GulliverRM" w:hAnsi="Times New Roman" w:cs="Times New Roman"/>
          <w:sz w:val="24"/>
          <w:szCs w:val="24"/>
        </w:rPr>
        <w:t xml:space="preserve"> financing is </w:t>
      </w:r>
      <w:r w:rsidR="00601E75" w:rsidRPr="00E7730E">
        <w:rPr>
          <w:rFonts w:ascii="Times New Roman" w:eastAsia="GulliverRM" w:hAnsi="Times New Roman" w:cs="Times New Roman"/>
          <w:sz w:val="24"/>
          <w:szCs w:val="24"/>
        </w:rPr>
        <w:t xml:space="preserve">lower </w:t>
      </w:r>
      <w:r w:rsidR="00435E90" w:rsidRPr="00E7730E">
        <w:rPr>
          <w:rFonts w:ascii="Times New Roman" w:eastAsia="GulliverRM" w:hAnsi="Times New Roman" w:cs="Times New Roman"/>
          <w:sz w:val="24"/>
          <w:szCs w:val="24"/>
        </w:rPr>
        <w:t xml:space="preserve">for </w:t>
      </w:r>
      <w:r w:rsidR="00601E75" w:rsidRPr="00E7730E">
        <w:rPr>
          <w:rFonts w:ascii="Times New Roman" w:eastAsia="GulliverRM" w:hAnsi="Times New Roman" w:cs="Times New Roman"/>
          <w:sz w:val="24"/>
          <w:szCs w:val="24"/>
        </w:rPr>
        <w:t xml:space="preserve">larger </w:t>
      </w:r>
      <w:r w:rsidR="00960AC8" w:rsidRPr="00E7730E">
        <w:rPr>
          <w:rFonts w:ascii="Times New Roman" w:eastAsia="GulliverRM" w:hAnsi="Times New Roman" w:cs="Times New Roman"/>
          <w:sz w:val="24"/>
          <w:szCs w:val="24"/>
        </w:rPr>
        <w:t xml:space="preserve">firms, </w:t>
      </w:r>
      <w:r w:rsidR="00601E75" w:rsidRPr="00E7730E">
        <w:rPr>
          <w:rFonts w:ascii="Times New Roman" w:eastAsia="GulliverRM" w:hAnsi="Times New Roman" w:cs="Times New Roman"/>
          <w:sz w:val="24"/>
          <w:szCs w:val="24"/>
        </w:rPr>
        <w:t xml:space="preserve">younger </w:t>
      </w:r>
      <w:r w:rsidR="000A6405" w:rsidRPr="00E7730E">
        <w:rPr>
          <w:rFonts w:ascii="Times New Roman" w:eastAsia="GulliverRM" w:hAnsi="Times New Roman" w:cs="Times New Roman"/>
          <w:sz w:val="24"/>
          <w:szCs w:val="24"/>
        </w:rPr>
        <w:t xml:space="preserve">firms, </w:t>
      </w:r>
      <w:r w:rsidR="00960AC8" w:rsidRPr="00E7730E">
        <w:rPr>
          <w:rFonts w:ascii="Times New Roman" w:eastAsia="GulliverRM" w:hAnsi="Times New Roman" w:cs="Times New Roman"/>
          <w:sz w:val="24"/>
          <w:szCs w:val="24"/>
        </w:rPr>
        <w:t xml:space="preserve">firms with a </w:t>
      </w:r>
      <w:r w:rsidR="00601E75" w:rsidRPr="00E7730E">
        <w:rPr>
          <w:rFonts w:ascii="Times New Roman" w:eastAsia="GulliverRM" w:hAnsi="Times New Roman" w:cs="Times New Roman"/>
          <w:sz w:val="24"/>
          <w:szCs w:val="24"/>
        </w:rPr>
        <w:t xml:space="preserve">higher </w:t>
      </w:r>
      <w:r w:rsidR="00960AC8" w:rsidRPr="00E7730E">
        <w:rPr>
          <w:rFonts w:ascii="Times New Roman" w:eastAsia="GulliverRM" w:hAnsi="Times New Roman" w:cs="Times New Roman"/>
          <w:sz w:val="24"/>
          <w:szCs w:val="24"/>
        </w:rPr>
        <w:t>percentage of sales made on credit and firms that ha</w:t>
      </w:r>
      <w:r w:rsidR="00601E75" w:rsidRPr="00E7730E">
        <w:rPr>
          <w:rFonts w:ascii="Times New Roman" w:eastAsia="GulliverRM" w:hAnsi="Times New Roman" w:cs="Times New Roman"/>
          <w:sz w:val="24"/>
          <w:szCs w:val="24"/>
        </w:rPr>
        <w:t>ve</w:t>
      </w:r>
      <w:r w:rsidR="00960AC8" w:rsidRPr="00E7730E">
        <w:rPr>
          <w:rFonts w:ascii="Times New Roman" w:eastAsia="GulliverRM" w:hAnsi="Times New Roman" w:cs="Times New Roman"/>
          <w:sz w:val="24"/>
          <w:szCs w:val="24"/>
        </w:rPr>
        <w:t xml:space="preserve"> an internationally recognized quality certification. </w:t>
      </w:r>
      <w:r w:rsidR="00601E75" w:rsidRPr="00E7730E">
        <w:rPr>
          <w:rFonts w:ascii="Times New Roman" w:eastAsia="GulliverRM" w:hAnsi="Times New Roman" w:cs="Times New Roman"/>
          <w:sz w:val="24"/>
          <w:szCs w:val="24"/>
        </w:rPr>
        <w:t xml:space="preserve">Larger firms, firms with a higher percentage of sales made on credit and firms that have an internationally recognized quality certification finance a higher portion of their working capital with bank loans. A higher proportion of the working capital is financed with purchases on credit from suppliers and advances form customers by larger firms and younger firms. </w:t>
      </w:r>
    </w:p>
    <w:p w:rsidR="00325B5D" w:rsidRPr="00E7730E" w:rsidRDefault="00601E75" w:rsidP="00AF5D14">
      <w:pPr>
        <w:spacing w:after="0" w:line="259" w:lineRule="auto"/>
        <w:jc w:val="both"/>
        <w:rPr>
          <w:rFonts w:ascii="Times New Roman" w:hAnsi="Times New Roman" w:cs="Times New Roman"/>
          <w:sz w:val="24"/>
          <w:szCs w:val="24"/>
        </w:rPr>
      </w:pPr>
      <w:r w:rsidRPr="00E7730E">
        <w:rPr>
          <w:rFonts w:ascii="Times New Roman" w:eastAsia="GulliverRM" w:hAnsi="Times New Roman" w:cs="Times New Roman"/>
          <w:sz w:val="24"/>
          <w:szCs w:val="24"/>
        </w:rPr>
        <w:t>The proportion of</w:t>
      </w:r>
      <w:r w:rsidR="00960AC8" w:rsidRPr="00E7730E">
        <w:rPr>
          <w:rFonts w:ascii="Times New Roman" w:eastAsia="GulliverRM" w:hAnsi="Times New Roman" w:cs="Times New Roman"/>
          <w:sz w:val="24"/>
          <w:szCs w:val="24"/>
        </w:rPr>
        <w:t xml:space="preserve"> fixed asset investments </w:t>
      </w:r>
      <w:r w:rsidRPr="00E7730E">
        <w:rPr>
          <w:rFonts w:ascii="Times New Roman" w:eastAsia="GulliverRM" w:hAnsi="Times New Roman" w:cs="Times New Roman"/>
          <w:sz w:val="24"/>
          <w:szCs w:val="24"/>
        </w:rPr>
        <w:t xml:space="preserve">financed with internal funds is higher for older firms, firms </w:t>
      </w:r>
      <w:r w:rsidR="00960AC8" w:rsidRPr="00E7730E">
        <w:rPr>
          <w:rFonts w:ascii="Times New Roman" w:eastAsia="GulliverRM" w:hAnsi="Times New Roman" w:cs="Times New Roman"/>
          <w:sz w:val="24"/>
          <w:szCs w:val="24"/>
        </w:rPr>
        <w:t xml:space="preserve">with a lower percentage of sales made on credit and </w:t>
      </w:r>
      <w:r w:rsidR="00700207" w:rsidRPr="00E7730E">
        <w:rPr>
          <w:rFonts w:ascii="Times New Roman" w:eastAsia="GulliverRM" w:hAnsi="Times New Roman" w:cs="Times New Roman"/>
          <w:sz w:val="24"/>
          <w:szCs w:val="24"/>
        </w:rPr>
        <w:t xml:space="preserve">firms </w:t>
      </w:r>
      <w:r w:rsidR="00005A02" w:rsidRPr="00E7730E">
        <w:rPr>
          <w:rFonts w:ascii="Times New Roman" w:eastAsia="GulliverRM" w:hAnsi="Times New Roman" w:cs="Times New Roman"/>
          <w:sz w:val="24"/>
          <w:szCs w:val="24"/>
        </w:rPr>
        <w:t xml:space="preserve">with </w:t>
      </w:r>
      <w:r w:rsidR="00960AC8" w:rsidRPr="00E7730E">
        <w:rPr>
          <w:rFonts w:ascii="Times New Roman" w:eastAsia="GulliverRM" w:hAnsi="Times New Roman" w:cs="Times New Roman"/>
          <w:sz w:val="24"/>
          <w:szCs w:val="24"/>
        </w:rPr>
        <w:t xml:space="preserve">a lower export intensity. </w:t>
      </w:r>
      <w:r w:rsidR="00700207" w:rsidRPr="00E7730E">
        <w:rPr>
          <w:rFonts w:ascii="Times New Roman" w:eastAsia="GulliverRM" w:hAnsi="Times New Roman" w:cs="Times New Roman"/>
          <w:sz w:val="24"/>
          <w:szCs w:val="24"/>
        </w:rPr>
        <w:t xml:space="preserve">Younger firms and firms with a higher percentage of sales made on credit use bank loans more intensively to finance fixed asset investments. </w:t>
      </w:r>
      <w:r w:rsidR="00960AC8" w:rsidRPr="00E7730E">
        <w:rPr>
          <w:rFonts w:ascii="Times New Roman" w:eastAsia="GulliverRM" w:hAnsi="Times New Roman" w:cs="Times New Roman"/>
          <w:sz w:val="24"/>
          <w:szCs w:val="24"/>
        </w:rPr>
        <w:t xml:space="preserve">Firms with a higher export intensity finance a higher proportion of investments with purchases on credit from suppliers and advances from customers. </w:t>
      </w:r>
    </w:p>
    <w:p w:rsidR="00901C8F" w:rsidRPr="00E7730E" w:rsidRDefault="00E34009" w:rsidP="00AF5D14">
      <w:pPr>
        <w:autoSpaceDE w:val="0"/>
        <w:autoSpaceDN w:val="0"/>
        <w:adjustRightInd w:val="0"/>
        <w:spacing w:after="0" w:line="259" w:lineRule="auto"/>
        <w:jc w:val="both"/>
        <w:rPr>
          <w:rFonts w:ascii="Times New Roman" w:eastAsia="GulliverRM" w:hAnsi="Times New Roman" w:cs="Times New Roman"/>
          <w:sz w:val="24"/>
          <w:szCs w:val="24"/>
        </w:rPr>
      </w:pPr>
      <w:r w:rsidRPr="00E7730E">
        <w:rPr>
          <w:rFonts w:ascii="Times New Roman" w:eastAsia="GulliverRM" w:hAnsi="Times New Roman" w:cs="Times New Roman"/>
          <w:sz w:val="24"/>
          <w:szCs w:val="24"/>
        </w:rPr>
        <w:t xml:space="preserve">This paper is structured as follows: Section 2 describes the methodology and section </w:t>
      </w:r>
      <w:r w:rsidR="002E21C6" w:rsidRPr="00E7730E">
        <w:rPr>
          <w:rFonts w:ascii="Times New Roman" w:eastAsia="GulliverRM" w:hAnsi="Times New Roman" w:cs="Times New Roman"/>
          <w:sz w:val="24"/>
          <w:szCs w:val="24"/>
        </w:rPr>
        <w:t>3</w:t>
      </w:r>
      <w:r w:rsidRPr="00E7730E">
        <w:rPr>
          <w:rFonts w:ascii="Times New Roman" w:eastAsia="GulliverRM" w:hAnsi="Times New Roman" w:cs="Times New Roman"/>
          <w:sz w:val="24"/>
          <w:szCs w:val="24"/>
        </w:rPr>
        <w:t xml:space="preserve"> depicts the sample.  Section </w:t>
      </w:r>
      <w:r w:rsidR="002E21C6" w:rsidRPr="00E7730E">
        <w:rPr>
          <w:rFonts w:ascii="Times New Roman" w:eastAsia="GulliverRM" w:hAnsi="Times New Roman" w:cs="Times New Roman"/>
          <w:sz w:val="24"/>
          <w:szCs w:val="24"/>
        </w:rPr>
        <w:t>4</w:t>
      </w:r>
      <w:r w:rsidRPr="00E7730E">
        <w:rPr>
          <w:rFonts w:ascii="Times New Roman" w:eastAsia="GulliverRM" w:hAnsi="Times New Roman" w:cs="Times New Roman"/>
          <w:sz w:val="24"/>
          <w:szCs w:val="24"/>
        </w:rPr>
        <w:t xml:space="preserve"> </w:t>
      </w:r>
      <w:r w:rsidR="002E21C6" w:rsidRPr="00E7730E">
        <w:rPr>
          <w:rFonts w:ascii="Times New Roman" w:eastAsia="GulliverRM" w:hAnsi="Times New Roman" w:cs="Times New Roman"/>
          <w:sz w:val="24"/>
          <w:szCs w:val="24"/>
        </w:rPr>
        <w:t>presents the empirical results</w:t>
      </w:r>
      <w:r w:rsidRPr="00E7730E">
        <w:rPr>
          <w:rFonts w:ascii="Times New Roman" w:eastAsia="GulliverRM" w:hAnsi="Times New Roman" w:cs="Times New Roman"/>
          <w:sz w:val="24"/>
          <w:szCs w:val="24"/>
        </w:rPr>
        <w:t xml:space="preserve"> and section </w:t>
      </w:r>
      <w:r w:rsidR="002E21C6" w:rsidRPr="00E7730E">
        <w:rPr>
          <w:rFonts w:ascii="Times New Roman" w:eastAsia="GulliverRM" w:hAnsi="Times New Roman" w:cs="Times New Roman"/>
          <w:sz w:val="24"/>
          <w:szCs w:val="24"/>
        </w:rPr>
        <w:t>5</w:t>
      </w:r>
      <w:r w:rsidRPr="00E7730E">
        <w:rPr>
          <w:rFonts w:ascii="Times New Roman" w:eastAsia="GulliverRM" w:hAnsi="Times New Roman" w:cs="Times New Roman"/>
          <w:sz w:val="24"/>
          <w:szCs w:val="24"/>
        </w:rPr>
        <w:t xml:space="preserve"> concludes</w:t>
      </w:r>
      <w:r w:rsidR="002E21C6" w:rsidRPr="00E7730E">
        <w:rPr>
          <w:rFonts w:ascii="Times New Roman" w:eastAsia="GulliverRM" w:hAnsi="Times New Roman" w:cs="Times New Roman"/>
          <w:sz w:val="24"/>
          <w:szCs w:val="24"/>
        </w:rPr>
        <w:t>.</w:t>
      </w:r>
    </w:p>
    <w:p w:rsidR="00AF5D14" w:rsidRPr="00E7730E" w:rsidRDefault="00AF5D14" w:rsidP="00AF5D14">
      <w:pPr>
        <w:autoSpaceDE w:val="0"/>
        <w:autoSpaceDN w:val="0"/>
        <w:adjustRightInd w:val="0"/>
        <w:spacing w:after="0" w:line="259" w:lineRule="auto"/>
        <w:jc w:val="both"/>
        <w:rPr>
          <w:rFonts w:ascii="Times New Roman" w:hAnsi="Times New Roman" w:cs="Times New Roman"/>
          <w:sz w:val="24"/>
          <w:szCs w:val="24"/>
        </w:rPr>
      </w:pPr>
    </w:p>
    <w:p w:rsidR="00901C8F" w:rsidRPr="00AF5D14" w:rsidRDefault="00AF5D14" w:rsidP="00AF5D14">
      <w:pPr>
        <w:autoSpaceDE w:val="0"/>
        <w:autoSpaceDN w:val="0"/>
        <w:adjustRightInd w:val="0"/>
        <w:spacing w:after="0" w:line="259" w:lineRule="auto"/>
        <w:jc w:val="both"/>
        <w:rPr>
          <w:rFonts w:ascii="Times New Roman" w:hAnsi="Times New Roman" w:cs="Times New Roman"/>
          <w:b/>
          <w:sz w:val="30"/>
          <w:szCs w:val="30"/>
        </w:rPr>
      </w:pPr>
      <w:r w:rsidRPr="00AF5D14">
        <w:rPr>
          <w:rFonts w:ascii="Times New Roman" w:hAnsi="Times New Roman" w:cs="Times New Roman"/>
          <w:b/>
          <w:sz w:val="30"/>
          <w:szCs w:val="30"/>
        </w:rPr>
        <w:t xml:space="preserve">2 </w:t>
      </w:r>
      <w:r w:rsidR="00901C8F" w:rsidRPr="00AF5D14">
        <w:rPr>
          <w:rFonts w:ascii="Times New Roman" w:hAnsi="Times New Roman" w:cs="Times New Roman"/>
          <w:b/>
          <w:sz w:val="30"/>
          <w:szCs w:val="30"/>
        </w:rPr>
        <w:t>Methodology</w:t>
      </w:r>
    </w:p>
    <w:p w:rsidR="00AF5D14" w:rsidRPr="00E7730E" w:rsidRDefault="00AF5D14" w:rsidP="00AF5D14">
      <w:pPr>
        <w:autoSpaceDE w:val="0"/>
        <w:autoSpaceDN w:val="0"/>
        <w:adjustRightInd w:val="0"/>
        <w:spacing w:after="0" w:line="259" w:lineRule="auto"/>
        <w:jc w:val="both"/>
        <w:rPr>
          <w:rFonts w:ascii="Times New Roman" w:hAnsi="Times New Roman" w:cs="Times New Roman"/>
          <w:sz w:val="24"/>
          <w:szCs w:val="24"/>
        </w:rPr>
      </w:pPr>
    </w:p>
    <w:p w:rsidR="00542767" w:rsidRPr="00E7730E" w:rsidRDefault="00542767" w:rsidP="00AF5D14">
      <w:pPr>
        <w:pStyle w:val="MTDisplayEquation"/>
        <w:spacing w:line="259" w:lineRule="auto"/>
        <w:ind w:firstLine="0"/>
      </w:pPr>
      <w:r w:rsidRPr="00E7730E">
        <w:t>The composition of the funding sources for working capital can be described with the following system of seemingly unrelated regressions model:</w:t>
      </w:r>
    </w:p>
    <w:tbl>
      <w:tblPr>
        <w:tblW w:w="0" w:type="auto"/>
        <w:tblLook w:val="04A0" w:firstRow="1" w:lastRow="0" w:firstColumn="1" w:lastColumn="0" w:noHBand="0" w:noVBand="1"/>
      </w:tblPr>
      <w:tblGrid>
        <w:gridCol w:w="8897"/>
        <w:gridCol w:w="397"/>
      </w:tblGrid>
      <w:tr w:rsidR="009A01D9" w:rsidRPr="00E7730E" w:rsidTr="00C65EDD">
        <w:trPr>
          <w:trHeight w:val="428"/>
        </w:trPr>
        <w:tc>
          <w:tcPr>
            <w:tcW w:w="8897" w:type="dxa"/>
            <w:shd w:val="clear" w:color="auto" w:fill="auto"/>
          </w:tcPr>
          <w:p w:rsidR="00542767" w:rsidRPr="00E7730E" w:rsidRDefault="00C25569"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00542767"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00542767"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A75E75" w:rsidRPr="00E7730E">
              <w:rPr>
                <w:rFonts w:ascii="Times New Roman" w:hAnsi="Times New Roman" w:cs="Times New Roman"/>
                <w:position w:val="-32"/>
                <w:sz w:val="24"/>
                <w:szCs w:val="24"/>
              </w:rPr>
              <w:object w:dxaOrig="81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5pt;height:44.05pt" o:ole="">
                  <v:imagedata r:id="rId8" o:title=""/>
                </v:shape>
                <o:OLEObject Type="Embed" ProgID="Equation.DSMT4" ShapeID="_x0000_i1025" DrawAspect="Content" ObjectID="_1481900408" r:id="rId9"/>
              </w:object>
            </w:r>
          </w:p>
        </w:tc>
        <w:tc>
          <w:tcPr>
            <w:tcW w:w="397" w:type="dxa"/>
            <w:shd w:val="clear" w:color="auto" w:fill="auto"/>
          </w:tcPr>
          <w:p w:rsidR="00542767" w:rsidRPr="00E7730E" w:rsidRDefault="00542767"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w:t>
            </w:r>
            <w:r w:rsidR="00757095" w:rsidRPr="00E7730E">
              <w:rPr>
                <w:rFonts w:ascii="Times New Roman" w:eastAsia="Calibri" w:hAnsi="Times New Roman" w:cs="Times New Roman"/>
                <w:sz w:val="24"/>
                <w:szCs w:val="24"/>
              </w:rPr>
              <w:t>1</w:t>
            </w:r>
            <w:r w:rsidRPr="00E7730E">
              <w:rPr>
                <w:rFonts w:ascii="Times New Roman" w:eastAsia="Calibri" w:hAnsi="Times New Roman" w:cs="Times New Roman"/>
                <w:sz w:val="24"/>
                <w:szCs w:val="24"/>
              </w:rPr>
              <w:t>)</w:t>
            </w:r>
          </w:p>
        </w:tc>
      </w:tr>
      <w:tr w:rsidR="009A01D9" w:rsidRPr="00E7730E" w:rsidTr="00C65EDD">
        <w:trPr>
          <w:trHeight w:val="428"/>
        </w:trPr>
        <w:tc>
          <w:tcPr>
            <w:tcW w:w="8897" w:type="dxa"/>
            <w:shd w:val="clear" w:color="auto" w:fill="auto"/>
          </w:tcPr>
          <w:p w:rsidR="00542767" w:rsidRPr="00E7730E" w:rsidRDefault="00C25569"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00542767"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00542767"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A75E75" w:rsidRPr="00E7730E">
              <w:rPr>
                <w:rFonts w:ascii="Times New Roman" w:hAnsi="Times New Roman" w:cs="Times New Roman"/>
                <w:position w:val="-32"/>
                <w:sz w:val="24"/>
                <w:szCs w:val="24"/>
              </w:rPr>
              <w:object w:dxaOrig="8020" w:dyaOrig="760">
                <v:shape id="_x0000_i1026" type="#_x0000_t75" style="width:398.15pt;height:44.05pt" o:ole="">
                  <v:imagedata r:id="rId10" o:title=""/>
                </v:shape>
                <o:OLEObject Type="Embed" ProgID="Equation.DSMT4" ShapeID="_x0000_i1026" DrawAspect="Content" ObjectID="_1481900409" r:id="rId11"/>
              </w:object>
            </w:r>
          </w:p>
        </w:tc>
        <w:tc>
          <w:tcPr>
            <w:tcW w:w="397" w:type="dxa"/>
            <w:shd w:val="clear" w:color="auto" w:fill="auto"/>
          </w:tcPr>
          <w:p w:rsidR="00542767" w:rsidRPr="00E7730E" w:rsidRDefault="00542767"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w:t>
            </w:r>
            <w:r w:rsidR="00757095" w:rsidRPr="00E7730E">
              <w:rPr>
                <w:rFonts w:ascii="Times New Roman" w:eastAsia="Calibri" w:hAnsi="Times New Roman" w:cs="Times New Roman"/>
                <w:sz w:val="24"/>
                <w:szCs w:val="24"/>
              </w:rPr>
              <w:t>2</w:t>
            </w:r>
            <w:r w:rsidRPr="00E7730E">
              <w:rPr>
                <w:rFonts w:ascii="Times New Roman" w:eastAsia="Calibri" w:hAnsi="Times New Roman" w:cs="Times New Roman"/>
                <w:sz w:val="24"/>
                <w:szCs w:val="24"/>
              </w:rPr>
              <w:t>)</w:t>
            </w:r>
          </w:p>
        </w:tc>
      </w:tr>
      <w:tr w:rsidR="009A01D9" w:rsidRPr="00E7730E" w:rsidTr="00C65EDD">
        <w:trPr>
          <w:trHeight w:val="428"/>
        </w:trPr>
        <w:tc>
          <w:tcPr>
            <w:tcW w:w="8897" w:type="dxa"/>
            <w:shd w:val="clear" w:color="auto" w:fill="auto"/>
          </w:tcPr>
          <w:p w:rsidR="00542767" w:rsidRPr="00E7730E" w:rsidRDefault="00C25569"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00542767"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00542767"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DF0DB3" w:rsidRPr="00E7730E">
              <w:rPr>
                <w:rFonts w:ascii="Times New Roman" w:hAnsi="Times New Roman" w:cs="Times New Roman"/>
                <w:position w:val="-32"/>
                <w:sz w:val="24"/>
                <w:szCs w:val="24"/>
              </w:rPr>
              <w:object w:dxaOrig="8140" w:dyaOrig="760">
                <v:shape id="_x0000_i1027" type="#_x0000_t75" style="width:412.1pt;height:44.05pt" o:ole="">
                  <v:imagedata r:id="rId12" o:title=""/>
                </v:shape>
                <o:OLEObject Type="Embed" ProgID="Equation.DSMT4" ShapeID="_x0000_i1027" DrawAspect="Content" ObjectID="_1481900410" r:id="rId13"/>
              </w:object>
            </w:r>
          </w:p>
        </w:tc>
        <w:tc>
          <w:tcPr>
            <w:tcW w:w="397" w:type="dxa"/>
            <w:shd w:val="clear" w:color="auto" w:fill="auto"/>
          </w:tcPr>
          <w:p w:rsidR="00542767" w:rsidRPr="00E7730E" w:rsidRDefault="00542767"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w:t>
            </w:r>
            <w:r w:rsidR="00757095" w:rsidRPr="00E7730E">
              <w:rPr>
                <w:rFonts w:ascii="Times New Roman" w:eastAsia="Calibri" w:hAnsi="Times New Roman" w:cs="Times New Roman"/>
                <w:sz w:val="24"/>
                <w:szCs w:val="24"/>
              </w:rPr>
              <w:t>3</w:t>
            </w:r>
            <w:r w:rsidRPr="00E7730E">
              <w:rPr>
                <w:rFonts w:ascii="Times New Roman" w:eastAsia="Calibri" w:hAnsi="Times New Roman" w:cs="Times New Roman"/>
                <w:sz w:val="24"/>
                <w:szCs w:val="24"/>
              </w:rPr>
              <w:t>)</w:t>
            </w:r>
          </w:p>
        </w:tc>
      </w:tr>
      <w:tr w:rsidR="009A01D9" w:rsidRPr="00E7730E" w:rsidTr="00C65EDD">
        <w:trPr>
          <w:trHeight w:val="428"/>
        </w:trPr>
        <w:tc>
          <w:tcPr>
            <w:tcW w:w="8897" w:type="dxa"/>
            <w:shd w:val="clear" w:color="auto" w:fill="auto"/>
          </w:tcPr>
          <w:p w:rsidR="00542767" w:rsidRPr="00E7730E" w:rsidRDefault="00C25569"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00542767"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00542767"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AF5D14" w:rsidRPr="00E7730E">
              <w:rPr>
                <w:rFonts w:ascii="Times New Roman" w:hAnsi="Times New Roman" w:cs="Times New Roman"/>
                <w:position w:val="-32"/>
                <w:sz w:val="24"/>
                <w:szCs w:val="24"/>
              </w:rPr>
              <w:object w:dxaOrig="8559" w:dyaOrig="760">
                <v:shape id="_x0000_i1028" type="#_x0000_t75" style="width:422.35pt;height:44.05pt" o:ole="">
                  <v:imagedata r:id="rId14" o:title=""/>
                </v:shape>
                <o:OLEObject Type="Embed" ProgID="Equation.DSMT4" ShapeID="_x0000_i1028" DrawAspect="Content" ObjectID="_1481900411" r:id="rId15"/>
              </w:object>
            </w:r>
          </w:p>
        </w:tc>
        <w:tc>
          <w:tcPr>
            <w:tcW w:w="397" w:type="dxa"/>
            <w:shd w:val="clear" w:color="auto" w:fill="auto"/>
          </w:tcPr>
          <w:p w:rsidR="00542767" w:rsidRPr="00E7730E" w:rsidRDefault="00542767"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w:t>
            </w:r>
            <w:r w:rsidR="00757095" w:rsidRPr="00E7730E">
              <w:rPr>
                <w:rFonts w:ascii="Times New Roman" w:eastAsia="Calibri" w:hAnsi="Times New Roman" w:cs="Times New Roman"/>
                <w:sz w:val="24"/>
                <w:szCs w:val="24"/>
              </w:rPr>
              <w:t>4</w:t>
            </w:r>
            <w:r w:rsidRPr="00E7730E">
              <w:rPr>
                <w:rFonts w:ascii="Times New Roman" w:eastAsia="Calibri" w:hAnsi="Times New Roman" w:cs="Times New Roman"/>
                <w:sz w:val="24"/>
                <w:szCs w:val="24"/>
              </w:rPr>
              <w:t>)</w:t>
            </w:r>
          </w:p>
        </w:tc>
      </w:tr>
    </w:tbl>
    <w:p w:rsidR="00333C09" w:rsidRPr="00E7730E" w:rsidRDefault="00542767"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where the dependent variables give the proportion of each funding source used in the financing of working capital</w:t>
      </w:r>
      <w:r w:rsidR="00333C09" w:rsidRPr="00E7730E">
        <w:rPr>
          <w:rFonts w:ascii="Times New Roman" w:hAnsi="Times New Roman" w:cs="Times New Roman"/>
          <w:sz w:val="24"/>
          <w:szCs w:val="24"/>
        </w:rPr>
        <w:t xml:space="preserve">. </w:t>
      </w:r>
    </w:p>
    <w:p w:rsidR="00333C09" w:rsidRPr="00E7730E" w:rsidRDefault="00333C09" w:rsidP="00AF5D14">
      <w:pPr>
        <w:pStyle w:val="MTDisplayEquation"/>
        <w:spacing w:line="259" w:lineRule="auto"/>
        <w:ind w:firstLine="0"/>
      </w:pPr>
      <w:r w:rsidRPr="00E7730E">
        <w:t>The composition of the funding sources for fixed asset investments can be described with the following system of seemingly unrelated regressions model:</w:t>
      </w:r>
    </w:p>
    <w:tbl>
      <w:tblPr>
        <w:tblW w:w="0" w:type="auto"/>
        <w:tblLook w:val="04A0" w:firstRow="1" w:lastRow="0" w:firstColumn="1" w:lastColumn="0" w:noHBand="0" w:noVBand="1"/>
      </w:tblPr>
      <w:tblGrid>
        <w:gridCol w:w="8897"/>
        <w:gridCol w:w="397"/>
      </w:tblGrid>
      <w:tr w:rsidR="009A01D9" w:rsidRPr="00E7730E" w:rsidTr="0068276F">
        <w:trPr>
          <w:trHeight w:val="428"/>
        </w:trPr>
        <w:tc>
          <w:tcPr>
            <w:tcW w:w="8897" w:type="dxa"/>
            <w:shd w:val="clear" w:color="auto" w:fill="auto"/>
          </w:tcPr>
          <w:p w:rsidR="00757095" w:rsidRPr="00E7730E" w:rsidRDefault="00757095"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B14EF9" w:rsidRPr="00E7730E">
              <w:rPr>
                <w:rFonts w:ascii="Times New Roman" w:hAnsi="Times New Roman" w:cs="Times New Roman"/>
                <w:position w:val="-32"/>
                <w:sz w:val="24"/>
                <w:szCs w:val="24"/>
              </w:rPr>
              <w:object w:dxaOrig="8240" w:dyaOrig="760">
                <v:shape id="_x0000_i1029" type="#_x0000_t75" style="width:412.65pt;height:44.05pt" o:ole="">
                  <v:imagedata r:id="rId16" o:title=""/>
                </v:shape>
                <o:OLEObject Type="Embed" ProgID="Equation.DSMT4" ShapeID="_x0000_i1029" DrawAspect="Content" ObjectID="_1481900412" r:id="rId17"/>
              </w:object>
            </w:r>
          </w:p>
        </w:tc>
        <w:tc>
          <w:tcPr>
            <w:tcW w:w="397" w:type="dxa"/>
            <w:shd w:val="clear" w:color="auto" w:fill="auto"/>
          </w:tcPr>
          <w:p w:rsidR="00757095" w:rsidRPr="00E7730E" w:rsidRDefault="00757095"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((5)</w:t>
            </w:r>
          </w:p>
        </w:tc>
      </w:tr>
      <w:tr w:rsidR="009A01D9" w:rsidRPr="00E7730E" w:rsidTr="0068276F">
        <w:trPr>
          <w:trHeight w:val="428"/>
        </w:trPr>
        <w:tc>
          <w:tcPr>
            <w:tcW w:w="8897" w:type="dxa"/>
            <w:shd w:val="clear" w:color="auto" w:fill="auto"/>
          </w:tcPr>
          <w:p w:rsidR="00757095" w:rsidRPr="00E7730E" w:rsidRDefault="00757095"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4E08E0" w:rsidRPr="00E7730E">
              <w:rPr>
                <w:rFonts w:ascii="Times New Roman" w:hAnsi="Times New Roman" w:cs="Times New Roman"/>
                <w:position w:val="-32"/>
                <w:sz w:val="24"/>
                <w:szCs w:val="24"/>
              </w:rPr>
              <w:object w:dxaOrig="8480" w:dyaOrig="760">
                <v:shape id="_x0000_i1030" type="#_x0000_t75" style="width:422.35pt;height:44.05pt" o:ole="">
                  <v:imagedata r:id="rId18" o:title=""/>
                </v:shape>
                <o:OLEObject Type="Embed" ProgID="Equation.DSMT4" ShapeID="_x0000_i1030" DrawAspect="Content" ObjectID="_1481900413" r:id="rId19"/>
              </w:object>
            </w:r>
          </w:p>
        </w:tc>
        <w:tc>
          <w:tcPr>
            <w:tcW w:w="397" w:type="dxa"/>
            <w:shd w:val="clear" w:color="auto" w:fill="auto"/>
          </w:tcPr>
          <w:p w:rsidR="00757095" w:rsidRPr="00E7730E" w:rsidRDefault="00757095"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(6)</w:t>
            </w:r>
          </w:p>
        </w:tc>
      </w:tr>
      <w:tr w:rsidR="009A01D9" w:rsidRPr="00E7730E" w:rsidTr="0068276F">
        <w:trPr>
          <w:trHeight w:val="428"/>
        </w:trPr>
        <w:tc>
          <w:tcPr>
            <w:tcW w:w="8897" w:type="dxa"/>
            <w:shd w:val="clear" w:color="auto" w:fill="auto"/>
          </w:tcPr>
          <w:p w:rsidR="00757095" w:rsidRPr="00E7730E" w:rsidRDefault="00757095"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4E08E0" w:rsidRPr="00E7730E">
              <w:rPr>
                <w:rFonts w:ascii="Times New Roman" w:hAnsi="Times New Roman" w:cs="Times New Roman"/>
                <w:position w:val="-32"/>
                <w:sz w:val="24"/>
                <w:szCs w:val="24"/>
              </w:rPr>
              <w:object w:dxaOrig="8040" w:dyaOrig="760">
                <v:shape id="_x0000_i1031" type="#_x0000_t75" style="width:399.2pt;height:44.05pt" o:ole="">
                  <v:imagedata r:id="rId20" o:title=""/>
                </v:shape>
                <o:OLEObject Type="Embed" ProgID="Equation.DSMT4" ShapeID="_x0000_i1031" DrawAspect="Content" ObjectID="_1481900414" r:id="rId21"/>
              </w:object>
            </w:r>
          </w:p>
        </w:tc>
        <w:tc>
          <w:tcPr>
            <w:tcW w:w="397" w:type="dxa"/>
            <w:shd w:val="clear" w:color="auto" w:fill="auto"/>
          </w:tcPr>
          <w:p w:rsidR="00757095" w:rsidRPr="00E7730E" w:rsidRDefault="00757095"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((7)</w:t>
            </w:r>
          </w:p>
        </w:tc>
      </w:tr>
      <w:tr w:rsidR="009A01D9" w:rsidRPr="00E7730E" w:rsidTr="0068276F">
        <w:trPr>
          <w:trHeight w:val="428"/>
        </w:trPr>
        <w:tc>
          <w:tcPr>
            <w:tcW w:w="8897" w:type="dxa"/>
            <w:shd w:val="clear" w:color="auto" w:fill="auto"/>
          </w:tcPr>
          <w:p w:rsidR="00757095" w:rsidRPr="00E7730E" w:rsidRDefault="00757095"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4E08E0" w:rsidRPr="00E7730E">
              <w:rPr>
                <w:rFonts w:ascii="Times New Roman" w:hAnsi="Times New Roman" w:cs="Times New Roman"/>
                <w:position w:val="-32"/>
                <w:sz w:val="24"/>
                <w:szCs w:val="24"/>
              </w:rPr>
              <w:object w:dxaOrig="8160" w:dyaOrig="760">
                <v:shape id="_x0000_i1032" type="#_x0000_t75" style="width:413.75pt;height:44.05pt" o:ole="">
                  <v:imagedata r:id="rId22" o:title=""/>
                </v:shape>
                <o:OLEObject Type="Embed" ProgID="Equation.DSMT4" ShapeID="_x0000_i1032" DrawAspect="Content" ObjectID="_1481900415" r:id="rId23"/>
              </w:object>
            </w:r>
          </w:p>
        </w:tc>
        <w:tc>
          <w:tcPr>
            <w:tcW w:w="397" w:type="dxa"/>
            <w:shd w:val="clear" w:color="auto" w:fill="auto"/>
          </w:tcPr>
          <w:p w:rsidR="00757095" w:rsidRPr="00E7730E" w:rsidRDefault="00757095"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((8)</w:t>
            </w:r>
          </w:p>
        </w:tc>
      </w:tr>
      <w:tr w:rsidR="009A01D9" w:rsidRPr="00E7730E" w:rsidTr="0068276F">
        <w:trPr>
          <w:trHeight w:val="428"/>
        </w:trPr>
        <w:tc>
          <w:tcPr>
            <w:tcW w:w="8897" w:type="dxa"/>
            <w:shd w:val="clear" w:color="auto" w:fill="auto"/>
          </w:tcPr>
          <w:p w:rsidR="00757095" w:rsidRPr="00E7730E" w:rsidRDefault="00757095"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fldChar w:fldCharType="begin"/>
            </w:r>
            <w:r w:rsidRPr="00E7730E">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ΔCash Holdings+Investments+Dividends-External Finance=Cash Flow from Operations.         (1)</m:t>
              </m:r>
            </m:oMath>
            <w:r w:rsidRPr="00E7730E">
              <w:rPr>
                <w:rFonts w:ascii="Times New Roman" w:hAnsi="Times New Roman" w:cs="Times New Roman"/>
                <w:sz w:val="24"/>
                <w:szCs w:val="24"/>
              </w:rPr>
              <w:instrText xml:space="preserve"> </w:instrText>
            </w:r>
            <w:r w:rsidRPr="00E7730E">
              <w:rPr>
                <w:rFonts w:ascii="Times New Roman" w:hAnsi="Times New Roman" w:cs="Times New Roman"/>
                <w:sz w:val="24"/>
                <w:szCs w:val="24"/>
              </w:rPr>
              <w:fldChar w:fldCharType="end"/>
            </w:r>
            <w:r w:rsidR="009A6CB3" w:rsidRPr="00E7730E">
              <w:rPr>
                <w:rFonts w:ascii="Times New Roman" w:hAnsi="Times New Roman" w:cs="Times New Roman"/>
                <w:position w:val="-32"/>
                <w:sz w:val="24"/>
                <w:szCs w:val="24"/>
              </w:rPr>
              <w:object w:dxaOrig="8380" w:dyaOrig="760">
                <v:shape id="_x0000_i1033" type="#_x0000_t75" style="width:427.15pt;height:44.05pt" o:ole="">
                  <v:imagedata r:id="rId24" o:title=""/>
                </v:shape>
                <o:OLEObject Type="Embed" ProgID="Equation.DSMT4" ShapeID="_x0000_i1033" DrawAspect="Content" ObjectID="_1481900416" r:id="rId25"/>
              </w:object>
            </w:r>
          </w:p>
        </w:tc>
        <w:tc>
          <w:tcPr>
            <w:tcW w:w="397" w:type="dxa"/>
            <w:shd w:val="clear" w:color="auto" w:fill="auto"/>
          </w:tcPr>
          <w:p w:rsidR="00757095" w:rsidRPr="00E7730E" w:rsidRDefault="00757095" w:rsidP="00AF5D14">
            <w:pPr>
              <w:spacing w:after="0" w:line="259" w:lineRule="auto"/>
              <w:ind w:left="-179"/>
              <w:jc w:val="both"/>
              <w:rPr>
                <w:rFonts w:ascii="Times New Roman" w:eastAsia="Calibri" w:hAnsi="Times New Roman" w:cs="Times New Roman"/>
                <w:sz w:val="24"/>
                <w:szCs w:val="24"/>
              </w:rPr>
            </w:pPr>
            <w:r w:rsidRPr="00E7730E">
              <w:rPr>
                <w:rFonts w:ascii="Times New Roman" w:eastAsia="Calibri" w:hAnsi="Times New Roman" w:cs="Times New Roman"/>
                <w:sz w:val="24"/>
                <w:szCs w:val="24"/>
              </w:rPr>
              <w:t>((9)</w:t>
            </w:r>
          </w:p>
        </w:tc>
      </w:tr>
    </w:tbl>
    <w:p w:rsidR="00886AAB" w:rsidRPr="00E7730E" w:rsidRDefault="002C613C"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 xml:space="preserve">The sum of the funding sources add up </w:t>
      </w:r>
      <w:r w:rsidR="00B82F74" w:rsidRPr="00E7730E">
        <w:rPr>
          <w:rFonts w:ascii="Times New Roman" w:hAnsi="Times New Roman" w:cs="Times New Roman"/>
          <w:sz w:val="24"/>
          <w:szCs w:val="24"/>
        </w:rPr>
        <w:t>t</w:t>
      </w:r>
      <w:r w:rsidRPr="00E7730E">
        <w:rPr>
          <w:rFonts w:ascii="Times New Roman" w:hAnsi="Times New Roman" w:cs="Times New Roman"/>
          <w:sz w:val="24"/>
          <w:szCs w:val="24"/>
        </w:rPr>
        <w:t xml:space="preserve">o 100%. </w:t>
      </w:r>
      <w:r w:rsidR="00542767" w:rsidRPr="00E7730E">
        <w:rPr>
          <w:rFonts w:ascii="Times New Roman" w:hAnsi="Times New Roman" w:cs="Times New Roman"/>
          <w:i/>
          <w:sz w:val="24"/>
          <w:szCs w:val="24"/>
        </w:rPr>
        <w:t>Internal Funds</w:t>
      </w:r>
      <w:r w:rsidR="00542767" w:rsidRPr="00E7730E">
        <w:rPr>
          <w:rFonts w:ascii="Times New Roman" w:hAnsi="Times New Roman" w:cs="Times New Roman"/>
          <w:sz w:val="24"/>
          <w:szCs w:val="24"/>
        </w:rPr>
        <w:t xml:space="preserve"> represent</w:t>
      </w:r>
      <w:r w:rsidR="00250C51" w:rsidRPr="00E7730E">
        <w:rPr>
          <w:rFonts w:ascii="Times New Roman" w:hAnsi="Times New Roman" w:cs="Times New Roman"/>
          <w:sz w:val="24"/>
          <w:szCs w:val="24"/>
        </w:rPr>
        <w:t>s</w:t>
      </w:r>
      <w:r w:rsidR="00542767" w:rsidRPr="00E7730E">
        <w:rPr>
          <w:rFonts w:ascii="Times New Roman" w:hAnsi="Times New Roman" w:cs="Times New Roman"/>
          <w:sz w:val="24"/>
          <w:szCs w:val="24"/>
        </w:rPr>
        <w:t xml:space="preserve"> the proportion financed with interna</w:t>
      </w:r>
      <w:r w:rsidR="004655DB" w:rsidRPr="00E7730E">
        <w:rPr>
          <w:rFonts w:ascii="Times New Roman" w:hAnsi="Times New Roman" w:cs="Times New Roman"/>
          <w:sz w:val="24"/>
          <w:szCs w:val="24"/>
        </w:rPr>
        <w:t>l funds and retained earnings</w:t>
      </w:r>
      <w:r w:rsidR="00BC514A" w:rsidRPr="00E7730E">
        <w:rPr>
          <w:rFonts w:ascii="Times New Roman" w:hAnsi="Times New Roman" w:cs="Times New Roman"/>
          <w:sz w:val="24"/>
          <w:szCs w:val="24"/>
        </w:rPr>
        <w:t xml:space="preserve"> by firm i</w:t>
      </w:r>
      <w:r w:rsidR="009F5AB5" w:rsidRPr="00E7730E">
        <w:rPr>
          <w:rFonts w:ascii="Times New Roman" w:hAnsi="Times New Roman" w:cs="Times New Roman"/>
          <w:sz w:val="24"/>
          <w:szCs w:val="24"/>
        </w:rPr>
        <w:t xml:space="preserve">. </w:t>
      </w:r>
      <w:r w:rsidR="00542767" w:rsidRPr="00E7730E">
        <w:rPr>
          <w:rFonts w:ascii="Times New Roman" w:hAnsi="Times New Roman" w:cs="Times New Roman"/>
          <w:i/>
          <w:sz w:val="24"/>
          <w:szCs w:val="24"/>
        </w:rPr>
        <w:t>Owner and Equity</w:t>
      </w:r>
      <w:r w:rsidR="00542767" w:rsidRPr="00E7730E">
        <w:rPr>
          <w:rFonts w:ascii="Times New Roman" w:hAnsi="Times New Roman" w:cs="Times New Roman"/>
          <w:sz w:val="24"/>
          <w:szCs w:val="24"/>
        </w:rPr>
        <w:t xml:space="preserve"> represents the proportion financed with the contribution of the owner and issua</w:t>
      </w:r>
      <w:r w:rsidR="006914A2" w:rsidRPr="00E7730E">
        <w:rPr>
          <w:rFonts w:ascii="Times New Roman" w:hAnsi="Times New Roman" w:cs="Times New Roman"/>
          <w:sz w:val="24"/>
          <w:szCs w:val="24"/>
        </w:rPr>
        <w:t xml:space="preserve">nce of new equity shares. </w:t>
      </w:r>
      <w:r w:rsidR="006914A2" w:rsidRPr="00E7730E">
        <w:rPr>
          <w:rFonts w:ascii="Times New Roman" w:hAnsi="Times New Roman" w:cs="Times New Roman"/>
          <w:i/>
          <w:sz w:val="24"/>
          <w:szCs w:val="24"/>
        </w:rPr>
        <w:t>Bank L</w:t>
      </w:r>
      <w:r w:rsidR="00542767" w:rsidRPr="00E7730E">
        <w:rPr>
          <w:rFonts w:ascii="Times New Roman" w:hAnsi="Times New Roman" w:cs="Times New Roman"/>
          <w:i/>
          <w:sz w:val="24"/>
          <w:szCs w:val="24"/>
        </w:rPr>
        <w:t>oan</w:t>
      </w:r>
      <w:r w:rsidR="00250C51" w:rsidRPr="00E7730E">
        <w:rPr>
          <w:rFonts w:ascii="Times New Roman" w:hAnsi="Times New Roman" w:cs="Times New Roman"/>
          <w:i/>
          <w:sz w:val="24"/>
          <w:szCs w:val="24"/>
        </w:rPr>
        <w:t>s</w:t>
      </w:r>
      <w:r w:rsidR="00542767" w:rsidRPr="00E7730E">
        <w:rPr>
          <w:rFonts w:ascii="Times New Roman" w:hAnsi="Times New Roman" w:cs="Times New Roman"/>
          <w:sz w:val="24"/>
          <w:szCs w:val="24"/>
        </w:rPr>
        <w:t xml:space="preserve"> represents the share of bank loans in total funds</w:t>
      </w:r>
      <w:r w:rsidRPr="00E7730E">
        <w:rPr>
          <w:rFonts w:ascii="Times New Roman" w:hAnsi="Times New Roman" w:cs="Times New Roman"/>
          <w:sz w:val="24"/>
          <w:szCs w:val="24"/>
        </w:rPr>
        <w:t xml:space="preserve">. </w:t>
      </w:r>
      <w:r w:rsidR="006914A2" w:rsidRPr="00E7730E">
        <w:rPr>
          <w:rFonts w:ascii="Times New Roman" w:hAnsi="Times New Roman" w:cs="Times New Roman"/>
          <w:i/>
          <w:sz w:val="24"/>
          <w:szCs w:val="24"/>
        </w:rPr>
        <w:t>Suppliers and C</w:t>
      </w:r>
      <w:r w:rsidR="00542767" w:rsidRPr="00E7730E">
        <w:rPr>
          <w:rFonts w:ascii="Times New Roman" w:hAnsi="Times New Roman" w:cs="Times New Roman"/>
          <w:i/>
          <w:sz w:val="24"/>
          <w:szCs w:val="24"/>
        </w:rPr>
        <w:t>ustomers</w:t>
      </w:r>
      <w:r w:rsidR="00542767" w:rsidRPr="00E7730E">
        <w:rPr>
          <w:rFonts w:ascii="Times New Roman" w:hAnsi="Times New Roman" w:cs="Times New Roman"/>
          <w:sz w:val="24"/>
          <w:szCs w:val="24"/>
        </w:rPr>
        <w:t xml:space="preserve"> represent</w:t>
      </w:r>
      <w:r w:rsidR="00250C51" w:rsidRPr="00E7730E">
        <w:rPr>
          <w:rFonts w:ascii="Times New Roman" w:hAnsi="Times New Roman" w:cs="Times New Roman"/>
          <w:sz w:val="24"/>
          <w:szCs w:val="24"/>
        </w:rPr>
        <w:t>s</w:t>
      </w:r>
      <w:r w:rsidR="00542767" w:rsidRPr="00E7730E">
        <w:rPr>
          <w:rFonts w:ascii="Times New Roman" w:hAnsi="Times New Roman" w:cs="Times New Roman"/>
          <w:sz w:val="24"/>
          <w:szCs w:val="24"/>
        </w:rPr>
        <w:t xml:space="preserve"> the share of purchase on credit from suppliers and advances from customers in the total funds used</w:t>
      </w:r>
      <w:r w:rsidRPr="00E7730E">
        <w:rPr>
          <w:rFonts w:ascii="Times New Roman" w:hAnsi="Times New Roman" w:cs="Times New Roman"/>
          <w:sz w:val="24"/>
          <w:szCs w:val="24"/>
        </w:rPr>
        <w:t xml:space="preserve">. </w:t>
      </w:r>
      <w:r w:rsidR="00542767" w:rsidRPr="00E7730E">
        <w:rPr>
          <w:rFonts w:ascii="Times New Roman" w:hAnsi="Times New Roman" w:cs="Times New Roman"/>
          <w:i/>
          <w:sz w:val="24"/>
          <w:szCs w:val="24"/>
        </w:rPr>
        <w:t>Other</w:t>
      </w:r>
      <w:r w:rsidR="00542767" w:rsidRPr="00E7730E">
        <w:rPr>
          <w:rFonts w:ascii="Times New Roman" w:hAnsi="Times New Roman" w:cs="Times New Roman"/>
          <w:sz w:val="24"/>
          <w:szCs w:val="24"/>
        </w:rPr>
        <w:t xml:space="preserve"> represents the share of debt received from nonbank financial institutions and funds provided by </w:t>
      </w:r>
      <w:r w:rsidR="00A02295" w:rsidRPr="00E7730E">
        <w:rPr>
          <w:rFonts w:ascii="Times New Roman" w:hAnsi="Times New Roman" w:cs="Times New Roman"/>
          <w:sz w:val="24"/>
          <w:szCs w:val="24"/>
        </w:rPr>
        <w:lastRenderedPageBreak/>
        <w:t xml:space="preserve">microfinance institutions, credit cooperatives, </w:t>
      </w:r>
      <w:r w:rsidR="00542767" w:rsidRPr="00E7730E">
        <w:rPr>
          <w:rFonts w:ascii="Times New Roman" w:hAnsi="Times New Roman" w:cs="Times New Roman"/>
          <w:sz w:val="24"/>
          <w:szCs w:val="24"/>
        </w:rPr>
        <w:t>money lenders, friends, relatives</w:t>
      </w:r>
      <w:r w:rsidR="00BC72BC" w:rsidRPr="00E7730E">
        <w:rPr>
          <w:rFonts w:ascii="Times New Roman" w:hAnsi="Times New Roman" w:cs="Times New Roman"/>
          <w:sz w:val="24"/>
          <w:szCs w:val="24"/>
        </w:rPr>
        <w:t>,</w:t>
      </w:r>
      <w:r w:rsidR="00542767" w:rsidRPr="00E7730E">
        <w:rPr>
          <w:rFonts w:ascii="Times New Roman" w:hAnsi="Times New Roman" w:cs="Times New Roman"/>
          <w:sz w:val="24"/>
          <w:szCs w:val="24"/>
        </w:rPr>
        <w:t xml:space="preserve"> etc. in total funding.</w:t>
      </w:r>
      <w:r w:rsidR="00250C51" w:rsidRPr="00E7730E">
        <w:rPr>
          <w:rFonts w:ascii="Times New Roman" w:hAnsi="Times New Roman" w:cs="Times New Roman"/>
          <w:sz w:val="24"/>
          <w:szCs w:val="24"/>
        </w:rPr>
        <w:t xml:space="preserve"> </w:t>
      </w:r>
    </w:p>
    <w:p w:rsidR="00542767" w:rsidRPr="00E7730E" w:rsidRDefault="001D6261"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Among our independent variables,</w:t>
      </w:r>
      <w:r w:rsidRPr="00E7730E">
        <w:rPr>
          <w:rFonts w:ascii="Times New Roman" w:hAnsi="Times New Roman" w:cs="Times New Roman"/>
          <w:i/>
          <w:sz w:val="24"/>
          <w:szCs w:val="24"/>
        </w:rPr>
        <w:t xml:space="preserve"> </w:t>
      </w:r>
      <w:r w:rsidR="00542767" w:rsidRPr="00E7730E">
        <w:rPr>
          <w:rFonts w:ascii="Times New Roman" w:hAnsi="Times New Roman" w:cs="Times New Roman"/>
          <w:i/>
          <w:sz w:val="24"/>
          <w:szCs w:val="24"/>
        </w:rPr>
        <w:t>Size</w:t>
      </w:r>
      <w:r w:rsidR="00542767" w:rsidRPr="00E7730E">
        <w:rPr>
          <w:rFonts w:ascii="Times New Roman" w:hAnsi="Times New Roman" w:cs="Times New Roman"/>
          <w:sz w:val="24"/>
          <w:szCs w:val="24"/>
        </w:rPr>
        <w:t xml:space="preserve"> represents firm size and it is measured with the number of employees of the firm. Size is included in the model because we expect size to effect the possibility that the firm is facing financing constraints and the way investments are financed</w:t>
      </w:r>
      <w:r w:rsidR="008C2208" w:rsidRPr="00E7730E">
        <w:rPr>
          <w:rFonts w:ascii="Times New Roman" w:hAnsi="Times New Roman" w:cs="Times New Roman"/>
          <w:sz w:val="24"/>
          <w:szCs w:val="24"/>
        </w:rPr>
        <w:t xml:space="preserve"> (</w:t>
      </w:r>
      <w:r w:rsidR="00AC6D36" w:rsidRPr="00E7730E">
        <w:rPr>
          <w:rFonts w:ascii="Times New Roman" w:hAnsi="Times New Roman" w:cs="Times New Roman"/>
          <w:sz w:val="24"/>
          <w:szCs w:val="24"/>
        </w:rPr>
        <w:t>Beck</w:t>
      </w:r>
      <w:r w:rsidR="00796BD6" w:rsidRPr="00E7730E">
        <w:rPr>
          <w:rFonts w:ascii="Times New Roman" w:hAnsi="Times New Roman" w:cs="Times New Roman"/>
          <w:sz w:val="24"/>
          <w:szCs w:val="24"/>
        </w:rPr>
        <w:t xml:space="preserve"> et al.,</w:t>
      </w:r>
      <w:r w:rsidR="00AC6D36" w:rsidRPr="00E7730E">
        <w:rPr>
          <w:rFonts w:ascii="Times New Roman" w:hAnsi="Times New Roman" w:cs="Times New Roman"/>
          <w:sz w:val="24"/>
          <w:szCs w:val="24"/>
        </w:rPr>
        <w:t xml:space="preserve"> 2006; Beck</w:t>
      </w:r>
      <w:r w:rsidR="00796BD6" w:rsidRPr="00E7730E">
        <w:rPr>
          <w:rFonts w:ascii="Times New Roman" w:hAnsi="Times New Roman" w:cs="Times New Roman"/>
          <w:sz w:val="24"/>
          <w:szCs w:val="24"/>
        </w:rPr>
        <w:t xml:space="preserve"> et al., </w:t>
      </w:r>
      <w:r w:rsidR="00AC6D36" w:rsidRPr="00E7730E">
        <w:rPr>
          <w:rFonts w:ascii="Times New Roman" w:hAnsi="Times New Roman" w:cs="Times New Roman"/>
          <w:sz w:val="24"/>
          <w:szCs w:val="24"/>
        </w:rPr>
        <w:t>2008</w:t>
      </w:r>
      <w:r w:rsidR="008C0650" w:rsidRPr="00E7730E">
        <w:rPr>
          <w:rFonts w:ascii="Times New Roman" w:hAnsi="Times New Roman" w:cs="Times New Roman"/>
          <w:sz w:val="24"/>
          <w:szCs w:val="24"/>
        </w:rPr>
        <w:t xml:space="preserve">; </w:t>
      </w:r>
      <w:r w:rsidR="00BC72BC" w:rsidRPr="00E7730E">
        <w:rPr>
          <w:rFonts w:ascii="Times New Roman" w:hAnsi="Times New Roman" w:cs="Times New Roman"/>
          <w:sz w:val="24"/>
          <w:szCs w:val="24"/>
        </w:rPr>
        <w:t>Berger and Udell, 1992, 1998</w:t>
      </w:r>
      <w:r w:rsidR="008C2208" w:rsidRPr="00E7730E">
        <w:rPr>
          <w:rFonts w:ascii="Times New Roman" w:hAnsi="Times New Roman" w:cs="Times New Roman"/>
          <w:sz w:val="24"/>
          <w:szCs w:val="24"/>
        </w:rPr>
        <w:t>)</w:t>
      </w:r>
      <w:r w:rsidR="00542767" w:rsidRPr="00E7730E">
        <w:rPr>
          <w:rFonts w:ascii="Times New Roman" w:hAnsi="Times New Roman" w:cs="Times New Roman"/>
          <w:sz w:val="24"/>
          <w:szCs w:val="24"/>
        </w:rPr>
        <w:t xml:space="preserve">. </w:t>
      </w:r>
    </w:p>
    <w:p w:rsidR="006A67F1" w:rsidRPr="00E7730E" w:rsidRDefault="00FB1B8B" w:rsidP="00AF5D14">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i/>
          <w:sz w:val="24"/>
          <w:szCs w:val="24"/>
        </w:rPr>
        <w:t>Age</w:t>
      </w:r>
      <w:r w:rsidRPr="00E7730E">
        <w:rPr>
          <w:rFonts w:ascii="Times New Roman" w:hAnsi="Times New Roman" w:cs="Times New Roman"/>
          <w:sz w:val="24"/>
          <w:szCs w:val="24"/>
        </w:rPr>
        <w:t xml:space="preserve"> </w:t>
      </w:r>
      <w:r w:rsidR="006A67F1" w:rsidRPr="00E7730E">
        <w:rPr>
          <w:rFonts w:ascii="Times New Roman" w:hAnsi="Times New Roman" w:cs="Times New Roman"/>
          <w:sz w:val="24"/>
          <w:szCs w:val="24"/>
        </w:rPr>
        <w:t>represents firm age</w:t>
      </w:r>
      <w:r w:rsidR="00756F89" w:rsidRPr="00E7730E">
        <w:rPr>
          <w:rFonts w:ascii="Times New Roman" w:hAnsi="Times New Roman" w:cs="Times New Roman"/>
          <w:sz w:val="24"/>
          <w:szCs w:val="24"/>
        </w:rPr>
        <w:t xml:space="preserve">. </w:t>
      </w:r>
      <w:r w:rsidR="006A67F1" w:rsidRPr="00E7730E">
        <w:rPr>
          <w:rFonts w:ascii="Times New Roman" w:hAnsi="Times New Roman" w:cs="Times New Roman"/>
          <w:sz w:val="24"/>
          <w:szCs w:val="24"/>
        </w:rPr>
        <w:t xml:space="preserve">Firm age is also expected to affect the funding </w:t>
      </w:r>
      <w:r w:rsidR="00E90BF5" w:rsidRPr="00E7730E">
        <w:rPr>
          <w:rFonts w:ascii="Times New Roman" w:hAnsi="Times New Roman" w:cs="Times New Roman"/>
          <w:sz w:val="24"/>
          <w:szCs w:val="24"/>
        </w:rPr>
        <w:t xml:space="preserve">patterns </w:t>
      </w:r>
      <w:r w:rsidR="006A67F1" w:rsidRPr="00E7730E">
        <w:rPr>
          <w:rFonts w:ascii="Times New Roman" w:hAnsi="Times New Roman" w:cs="Times New Roman"/>
          <w:sz w:val="24"/>
          <w:szCs w:val="24"/>
        </w:rPr>
        <w:t>of fir</w:t>
      </w:r>
      <w:r w:rsidR="00B77CAB" w:rsidRPr="00E7730E">
        <w:rPr>
          <w:rFonts w:ascii="Times New Roman" w:hAnsi="Times New Roman" w:cs="Times New Roman"/>
          <w:sz w:val="24"/>
          <w:szCs w:val="24"/>
        </w:rPr>
        <w:t xml:space="preserve">ms. </w:t>
      </w:r>
      <w:r w:rsidR="006A67F1" w:rsidRPr="00E7730E">
        <w:rPr>
          <w:rFonts w:ascii="Times New Roman" w:hAnsi="Times New Roman" w:cs="Times New Roman"/>
          <w:sz w:val="24"/>
          <w:szCs w:val="24"/>
        </w:rPr>
        <w:t>Canton</w:t>
      </w:r>
      <w:r w:rsidR="00E90BF5" w:rsidRPr="00E7730E">
        <w:rPr>
          <w:rFonts w:ascii="Times New Roman" w:hAnsi="Times New Roman" w:cs="Times New Roman"/>
          <w:bCs/>
          <w:sz w:val="24"/>
          <w:szCs w:val="24"/>
        </w:rPr>
        <w:t xml:space="preserve">, Grilo, Monteagudo and Van der Zwan </w:t>
      </w:r>
      <w:r w:rsidR="006A67F1" w:rsidRPr="00E7730E">
        <w:rPr>
          <w:rFonts w:ascii="Times New Roman" w:hAnsi="Times New Roman" w:cs="Times New Roman"/>
          <w:sz w:val="24"/>
          <w:szCs w:val="24"/>
        </w:rPr>
        <w:t>(2010)</w:t>
      </w:r>
      <w:r w:rsidR="00756F89" w:rsidRPr="00E7730E">
        <w:rPr>
          <w:rFonts w:ascii="Times New Roman" w:hAnsi="Times New Roman" w:cs="Times New Roman"/>
          <w:sz w:val="24"/>
          <w:szCs w:val="24"/>
        </w:rPr>
        <w:t xml:space="preserve"> argue that </w:t>
      </w:r>
      <w:r w:rsidR="006A67F1" w:rsidRPr="00E7730E">
        <w:rPr>
          <w:rFonts w:ascii="Times New Roman" w:hAnsi="Times New Roman" w:cs="Times New Roman"/>
          <w:sz w:val="24"/>
          <w:szCs w:val="24"/>
        </w:rPr>
        <w:t xml:space="preserve">younger firms </w:t>
      </w:r>
      <w:r w:rsidR="00756F89" w:rsidRPr="00E7730E">
        <w:rPr>
          <w:rFonts w:ascii="Times New Roman" w:hAnsi="Times New Roman" w:cs="Times New Roman"/>
          <w:sz w:val="24"/>
          <w:szCs w:val="24"/>
        </w:rPr>
        <w:t xml:space="preserve">encounter higher financing constraints because they </w:t>
      </w:r>
      <w:r w:rsidR="006A67F1" w:rsidRPr="00E7730E">
        <w:rPr>
          <w:rFonts w:ascii="Times New Roman" w:hAnsi="Times New Roman" w:cs="Times New Roman"/>
          <w:sz w:val="24"/>
          <w:szCs w:val="24"/>
        </w:rPr>
        <w:t>do not have adequate cre</w:t>
      </w:r>
      <w:r w:rsidR="00756F89" w:rsidRPr="00E7730E">
        <w:rPr>
          <w:rFonts w:ascii="Times New Roman" w:hAnsi="Times New Roman" w:cs="Times New Roman"/>
          <w:sz w:val="24"/>
          <w:szCs w:val="24"/>
        </w:rPr>
        <w:t xml:space="preserve">dit </w:t>
      </w:r>
      <w:r w:rsidR="006A67F1" w:rsidRPr="00E7730E">
        <w:rPr>
          <w:rFonts w:ascii="Times New Roman" w:hAnsi="Times New Roman" w:cs="Times New Roman"/>
          <w:sz w:val="24"/>
          <w:szCs w:val="24"/>
        </w:rPr>
        <w:t>histories that provide</w:t>
      </w:r>
      <w:r w:rsidR="00756F89" w:rsidRPr="00E7730E">
        <w:rPr>
          <w:rFonts w:ascii="Times New Roman" w:hAnsi="Times New Roman" w:cs="Times New Roman"/>
          <w:sz w:val="24"/>
          <w:szCs w:val="24"/>
        </w:rPr>
        <w:t xml:space="preserve"> </w:t>
      </w:r>
      <w:r w:rsidR="006A67F1" w:rsidRPr="00E7730E">
        <w:rPr>
          <w:rFonts w:ascii="Times New Roman" w:hAnsi="Times New Roman" w:cs="Times New Roman"/>
          <w:sz w:val="24"/>
          <w:szCs w:val="24"/>
        </w:rPr>
        <w:t>the banks with information about whether repayment is risky</w:t>
      </w:r>
      <w:r w:rsidR="00756F89" w:rsidRPr="00E7730E">
        <w:rPr>
          <w:rFonts w:ascii="Times New Roman" w:hAnsi="Times New Roman" w:cs="Times New Roman"/>
          <w:sz w:val="24"/>
          <w:szCs w:val="24"/>
        </w:rPr>
        <w:t>.</w:t>
      </w:r>
    </w:p>
    <w:p w:rsidR="007F666E" w:rsidRPr="00E7730E" w:rsidRDefault="004A60A1" w:rsidP="00AF5D14">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i/>
          <w:sz w:val="24"/>
          <w:szCs w:val="24"/>
        </w:rPr>
        <w:t>Group</w:t>
      </w:r>
      <w:r w:rsidRPr="00E7730E">
        <w:rPr>
          <w:rFonts w:ascii="Times New Roman" w:hAnsi="Times New Roman" w:cs="Times New Roman"/>
          <w:sz w:val="24"/>
          <w:szCs w:val="24"/>
        </w:rPr>
        <w:t xml:space="preserve"> represents dummy variable for business-group affiliation. Group affiliation may affect the financing </w:t>
      </w:r>
      <w:r w:rsidR="00EC1D08" w:rsidRPr="00E7730E">
        <w:rPr>
          <w:rFonts w:ascii="Times New Roman" w:hAnsi="Times New Roman" w:cs="Times New Roman"/>
          <w:sz w:val="24"/>
          <w:szCs w:val="24"/>
        </w:rPr>
        <w:t>patterns of SMEs because e</w:t>
      </w:r>
      <w:r w:rsidRPr="00E7730E">
        <w:rPr>
          <w:rFonts w:ascii="Times New Roman" w:hAnsi="Times New Roman" w:cs="Times New Roman"/>
          <w:sz w:val="24"/>
          <w:szCs w:val="24"/>
        </w:rPr>
        <w:t xml:space="preserve">xistence of an internal capital market within a group that the firm is affiliated to may affect the way necessary funds are provided. </w:t>
      </w:r>
      <w:r w:rsidR="006A67F1" w:rsidRPr="00E7730E">
        <w:rPr>
          <w:rFonts w:ascii="Times New Roman" w:hAnsi="Times New Roman" w:cs="Times New Roman"/>
          <w:i/>
          <w:sz w:val="24"/>
          <w:szCs w:val="24"/>
        </w:rPr>
        <w:t>Sales on Credit</w:t>
      </w:r>
      <w:r w:rsidR="006A67F1" w:rsidRPr="00E7730E">
        <w:rPr>
          <w:rFonts w:ascii="Times New Roman" w:hAnsi="Times New Roman" w:cs="Times New Roman"/>
          <w:sz w:val="24"/>
          <w:szCs w:val="24"/>
        </w:rPr>
        <w:t xml:space="preserve"> represents percentage of sales made on credit. Because the proportion</w:t>
      </w:r>
      <w:r w:rsidR="00E90BF5" w:rsidRPr="00E7730E">
        <w:rPr>
          <w:rFonts w:ascii="Times New Roman" w:hAnsi="Times New Roman" w:cs="Times New Roman"/>
          <w:sz w:val="24"/>
          <w:szCs w:val="24"/>
        </w:rPr>
        <w:t xml:space="preserve"> of sales sold on credit can a</w:t>
      </w:r>
      <w:r w:rsidR="006A67F1" w:rsidRPr="00E7730E">
        <w:rPr>
          <w:rFonts w:ascii="Times New Roman" w:hAnsi="Times New Roman" w:cs="Times New Roman"/>
          <w:sz w:val="24"/>
          <w:szCs w:val="24"/>
        </w:rPr>
        <w:t>ffect cash reserves, it can also have an effect on the financing pattern</w:t>
      </w:r>
      <w:r w:rsidR="00E90BF5" w:rsidRPr="00E7730E">
        <w:rPr>
          <w:rFonts w:ascii="Times New Roman" w:hAnsi="Times New Roman" w:cs="Times New Roman"/>
          <w:sz w:val="24"/>
          <w:szCs w:val="24"/>
        </w:rPr>
        <w:t>s</w:t>
      </w:r>
      <w:r w:rsidR="006A67F1" w:rsidRPr="00E7730E">
        <w:rPr>
          <w:rFonts w:ascii="Times New Roman" w:hAnsi="Times New Roman" w:cs="Times New Roman"/>
          <w:sz w:val="24"/>
          <w:szCs w:val="24"/>
        </w:rPr>
        <w:t xml:space="preserve"> of firm. </w:t>
      </w:r>
      <w:r w:rsidR="00EC1D08" w:rsidRPr="00E7730E">
        <w:rPr>
          <w:rFonts w:ascii="Times New Roman" w:hAnsi="Times New Roman" w:cs="Times New Roman"/>
          <w:sz w:val="24"/>
          <w:szCs w:val="24"/>
        </w:rPr>
        <w:t xml:space="preserve"> </w:t>
      </w:r>
    </w:p>
    <w:p w:rsidR="005E3986" w:rsidRPr="00E7730E" w:rsidRDefault="005E3986" w:rsidP="00AF5D14">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i/>
          <w:sz w:val="24"/>
          <w:szCs w:val="24"/>
        </w:rPr>
        <w:t>Export</w:t>
      </w:r>
      <w:r w:rsidRPr="00E7730E">
        <w:rPr>
          <w:rFonts w:ascii="Times New Roman" w:hAnsi="Times New Roman" w:cs="Times New Roman"/>
          <w:sz w:val="24"/>
          <w:szCs w:val="24"/>
        </w:rPr>
        <w:t xml:space="preserve"> represents percentage of sales exported by the firm. Exposure to foreign trade is expected to </w:t>
      </w:r>
      <w:r w:rsidR="00017DF3" w:rsidRPr="00E7730E">
        <w:rPr>
          <w:rFonts w:ascii="Times New Roman" w:hAnsi="Times New Roman" w:cs="Times New Roman"/>
          <w:sz w:val="24"/>
          <w:szCs w:val="24"/>
        </w:rPr>
        <w:t>affect</w:t>
      </w:r>
      <w:r w:rsidRPr="00E7730E">
        <w:rPr>
          <w:rFonts w:ascii="Times New Roman" w:hAnsi="Times New Roman" w:cs="Times New Roman"/>
          <w:sz w:val="24"/>
          <w:szCs w:val="24"/>
        </w:rPr>
        <w:t xml:space="preserve"> access to financing and financing patterns. Exporting may positively affect access to finance by bringing competitiveness and efficiency (</w:t>
      </w:r>
      <w:r w:rsidRPr="00E7730E">
        <w:rPr>
          <w:rFonts w:ascii="Times New Roman" w:eastAsia="CMUSerif-Roman" w:hAnsi="Times New Roman" w:cs="Times New Roman"/>
          <w:sz w:val="24"/>
          <w:szCs w:val="24"/>
        </w:rPr>
        <w:t>Ganesh-Kumar, Sen and Vaidya, 2001)</w:t>
      </w:r>
      <w:r w:rsidRPr="00E7730E">
        <w:rPr>
          <w:rFonts w:ascii="Times New Roman" w:hAnsi="Times New Roman" w:cs="Times New Roman"/>
          <w:sz w:val="24"/>
          <w:szCs w:val="24"/>
        </w:rPr>
        <w:t>. On the other hand, it may make SMEs credit-constrained as a result of exposure t</w:t>
      </w:r>
      <w:r w:rsidR="007F666E" w:rsidRPr="00E7730E">
        <w:rPr>
          <w:rFonts w:ascii="Times New Roman" w:hAnsi="Times New Roman" w:cs="Times New Roman"/>
          <w:sz w:val="24"/>
          <w:szCs w:val="24"/>
        </w:rPr>
        <w:t xml:space="preserve">o greater </w:t>
      </w:r>
      <w:r w:rsidRPr="00E7730E">
        <w:rPr>
          <w:rFonts w:ascii="Times New Roman" w:hAnsi="Times New Roman" w:cs="Times New Roman"/>
          <w:sz w:val="24"/>
          <w:szCs w:val="24"/>
        </w:rPr>
        <w:t xml:space="preserve">uncertainty, failure risk and need of working capital (Amiti and Weinstein, 2011).  </w:t>
      </w:r>
    </w:p>
    <w:p w:rsidR="005E3986" w:rsidRPr="00E7730E" w:rsidRDefault="005E3986" w:rsidP="00AF5D14">
      <w:pPr>
        <w:spacing w:after="0" w:line="259" w:lineRule="auto"/>
        <w:jc w:val="both"/>
        <w:rPr>
          <w:rFonts w:ascii="Times New Roman" w:hAnsi="Times New Roman" w:cs="Times New Roman"/>
          <w:sz w:val="24"/>
          <w:szCs w:val="24"/>
        </w:rPr>
      </w:pPr>
      <w:r w:rsidRPr="00E7730E">
        <w:rPr>
          <w:rFonts w:ascii="Times New Roman" w:hAnsi="Times New Roman" w:cs="Times New Roman"/>
          <w:i/>
          <w:sz w:val="24"/>
          <w:szCs w:val="24"/>
        </w:rPr>
        <w:t>Quality</w:t>
      </w:r>
      <w:r w:rsidRPr="00E7730E">
        <w:rPr>
          <w:rFonts w:ascii="Times New Roman" w:hAnsi="Times New Roman" w:cs="Times New Roman"/>
          <w:sz w:val="24"/>
          <w:szCs w:val="24"/>
        </w:rPr>
        <w:t xml:space="preserve"> represents dummy variable for having an internationally recognized quality </w:t>
      </w:r>
      <w:r w:rsidR="00017DF3" w:rsidRPr="00E7730E">
        <w:rPr>
          <w:rFonts w:ascii="Times New Roman" w:hAnsi="Times New Roman" w:cs="Times New Roman"/>
          <w:sz w:val="24"/>
          <w:szCs w:val="24"/>
        </w:rPr>
        <w:t>certification. Having</w:t>
      </w:r>
      <w:r w:rsidR="0072751B" w:rsidRPr="00E7730E">
        <w:rPr>
          <w:rFonts w:ascii="Times New Roman" w:hAnsi="Times New Roman" w:cs="Times New Roman"/>
          <w:sz w:val="24"/>
          <w:szCs w:val="24"/>
        </w:rPr>
        <w:t xml:space="preserve"> an internationally recognized quality certification is expected to positively </w:t>
      </w:r>
      <w:r w:rsidR="00017DF3" w:rsidRPr="00E7730E">
        <w:rPr>
          <w:rFonts w:ascii="Times New Roman" w:hAnsi="Times New Roman" w:cs="Times New Roman"/>
          <w:sz w:val="24"/>
          <w:szCs w:val="24"/>
        </w:rPr>
        <w:t>affect</w:t>
      </w:r>
      <w:r w:rsidR="0072751B" w:rsidRPr="00E7730E">
        <w:rPr>
          <w:rFonts w:ascii="Times New Roman" w:hAnsi="Times New Roman" w:cs="Times New Roman"/>
          <w:sz w:val="24"/>
          <w:szCs w:val="24"/>
        </w:rPr>
        <w:t xml:space="preserve"> access to external financing.</w:t>
      </w:r>
    </w:p>
    <w:p w:rsidR="00A8502B" w:rsidRDefault="004B38A1" w:rsidP="00AF5D14">
      <w:pPr>
        <w:spacing w:line="259" w:lineRule="auto"/>
        <w:jc w:val="both"/>
        <w:rPr>
          <w:rFonts w:ascii="Times New Roman" w:hAnsi="Times New Roman" w:cs="Times New Roman"/>
          <w:sz w:val="24"/>
          <w:szCs w:val="24"/>
        </w:rPr>
      </w:pPr>
      <w:r w:rsidRPr="00E7730E">
        <w:rPr>
          <w:rFonts w:ascii="Times New Roman" w:hAnsi="Times New Roman" w:cs="Times New Roman"/>
          <w:sz w:val="24"/>
          <w:szCs w:val="24"/>
        </w:rPr>
        <w:t>Industry dummies are included in the analysis</w:t>
      </w:r>
      <w:r w:rsidR="007F666E" w:rsidRPr="00E7730E">
        <w:rPr>
          <w:rFonts w:ascii="Times New Roman" w:hAnsi="Times New Roman" w:cs="Times New Roman"/>
          <w:sz w:val="24"/>
          <w:szCs w:val="24"/>
        </w:rPr>
        <w:t xml:space="preserve"> to control for industry specific effects</w:t>
      </w:r>
      <w:r w:rsidRPr="00E7730E">
        <w:rPr>
          <w:rFonts w:ascii="Times New Roman" w:hAnsi="Times New Roman" w:cs="Times New Roman"/>
          <w:sz w:val="24"/>
          <w:szCs w:val="24"/>
        </w:rPr>
        <w:t xml:space="preserve">. </w:t>
      </w:r>
      <w:r w:rsidR="00F379B2" w:rsidRPr="00E7730E">
        <w:rPr>
          <w:rFonts w:ascii="Times New Roman" w:hAnsi="Times New Roman" w:cs="Times New Roman"/>
          <w:sz w:val="24"/>
          <w:szCs w:val="24"/>
        </w:rPr>
        <w:t xml:space="preserve">Because none of the independent variables have </w:t>
      </w:r>
      <w:r w:rsidR="006554BC" w:rsidRPr="00E7730E">
        <w:rPr>
          <w:rFonts w:ascii="Times New Roman" w:hAnsi="Times New Roman" w:cs="Times New Roman"/>
          <w:sz w:val="24"/>
          <w:szCs w:val="24"/>
        </w:rPr>
        <w:t xml:space="preserve">a </w:t>
      </w:r>
      <w:r w:rsidR="00F379B2" w:rsidRPr="00E7730E">
        <w:rPr>
          <w:rFonts w:ascii="Times New Roman" w:hAnsi="Times New Roman" w:cs="Times New Roman"/>
          <w:sz w:val="24"/>
          <w:szCs w:val="24"/>
        </w:rPr>
        <w:t xml:space="preserve">VIF value </w:t>
      </w:r>
      <w:r w:rsidR="006554BC" w:rsidRPr="00E7730E">
        <w:rPr>
          <w:rFonts w:ascii="Times New Roman" w:hAnsi="Times New Roman" w:cs="Times New Roman"/>
          <w:sz w:val="24"/>
          <w:szCs w:val="24"/>
        </w:rPr>
        <w:t xml:space="preserve">that is </w:t>
      </w:r>
      <w:r w:rsidR="00F379B2" w:rsidRPr="00E7730E">
        <w:rPr>
          <w:rFonts w:ascii="Times New Roman" w:hAnsi="Times New Roman" w:cs="Times New Roman"/>
          <w:sz w:val="24"/>
          <w:szCs w:val="24"/>
        </w:rPr>
        <w:t xml:space="preserve">above </w:t>
      </w:r>
      <w:r w:rsidR="006554BC" w:rsidRPr="00E7730E">
        <w:rPr>
          <w:rFonts w:ascii="Times New Roman" w:hAnsi="Times New Roman" w:cs="Times New Roman"/>
          <w:sz w:val="24"/>
          <w:szCs w:val="24"/>
        </w:rPr>
        <w:t xml:space="preserve">the </w:t>
      </w:r>
      <w:r w:rsidR="00F379B2" w:rsidRPr="00E7730E">
        <w:rPr>
          <w:rFonts w:ascii="Times New Roman" w:hAnsi="Times New Roman" w:cs="Times New Roman"/>
          <w:sz w:val="24"/>
          <w:szCs w:val="24"/>
        </w:rPr>
        <w:t>cutoff value</w:t>
      </w:r>
      <w:r w:rsidR="006554BC" w:rsidRPr="00E7730E">
        <w:rPr>
          <w:rFonts w:ascii="Times New Roman" w:hAnsi="Times New Roman" w:cs="Times New Roman"/>
          <w:sz w:val="24"/>
          <w:szCs w:val="24"/>
        </w:rPr>
        <w:t xml:space="preserve"> of 4</w:t>
      </w:r>
      <w:r w:rsidR="00F379B2" w:rsidRPr="00E7730E">
        <w:rPr>
          <w:rFonts w:ascii="Times New Roman" w:hAnsi="Times New Roman" w:cs="Times New Roman"/>
          <w:sz w:val="24"/>
          <w:szCs w:val="24"/>
        </w:rPr>
        <w:t>, there is no problem of multicollinearity in our data.</w:t>
      </w:r>
      <w:r w:rsidR="006554BC" w:rsidRPr="00E7730E">
        <w:rPr>
          <w:rFonts w:ascii="Times New Roman" w:hAnsi="Times New Roman" w:cs="Times New Roman"/>
          <w:sz w:val="24"/>
          <w:szCs w:val="24"/>
        </w:rPr>
        <w:t xml:space="preserve"> </w:t>
      </w:r>
      <w:r w:rsidR="00A8502B" w:rsidRPr="00E7730E">
        <w:rPr>
          <w:rFonts w:ascii="Times New Roman" w:hAnsi="Times New Roman" w:cs="Times New Roman"/>
          <w:sz w:val="24"/>
          <w:szCs w:val="24"/>
        </w:rPr>
        <w:t>Table 1 presents the description of the variables used in the system of equation</w:t>
      </w:r>
      <w:r w:rsidR="007F666E" w:rsidRPr="00E7730E">
        <w:rPr>
          <w:rFonts w:ascii="Times New Roman" w:hAnsi="Times New Roman" w:cs="Times New Roman"/>
          <w:sz w:val="24"/>
          <w:szCs w:val="24"/>
        </w:rPr>
        <w:t>s</w:t>
      </w:r>
      <w:r w:rsidR="00A8502B" w:rsidRPr="00E7730E">
        <w:rPr>
          <w:rFonts w:ascii="Times New Roman" w:hAnsi="Times New Roman" w:cs="Times New Roman"/>
          <w:sz w:val="24"/>
          <w:szCs w:val="24"/>
        </w:rPr>
        <w:t xml:space="preserve"> models.</w:t>
      </w:r>
    </w:p>
    <w:p w:rsidR="00C5157E" w:rsidRPr="00AF5D14" w:rsidRDefault="00C5157E" w:rsidP="00C5157E">
      <w:pPr>
        <w:autoSpaceDE w:val="0"/>
        <w:autoSpaceDN w:val="0"/>
        <w:adjustRightInd w:val="0"/>
        <w:spacing w:after="0" w:line="259" w:lineRule="auto"/>
        <w:jc w:val="both"/>
        <w:rPr>
          <w:rFonts w:ascii="Times New Roman" w:hAnsi="Times New Roman" w:cs="Times New Roman"/>
          <w:b/>
          <w:sz w:val="30"/>
          <w:szCs w:val="30"/>
        </w:rPr>
      </w:pPr>
      <w:r w:rsidRPr="00AF5D14">
        <w:rPr>
          <w:rFonts w:ascii="Times New Roman" w:hAnsi="Times New Roman" w:cs="Times New Roman"/>
          <w:b/>
          <w:sz w:val="30"/>
          <w:szCs w:val="30"/>
        </w:rPr>
        <w:t>3 Data</w:t>
      </w:r>
    </w:p>
    <w:p w:rsidR="00C5157E" w:rsidRPr="00E7730E" w:rsidRDefault="00C5157E" w:rsidP="00C5157E">
      <w:pPr>
        <w:autoSpaceDE w:val="0"/>
        <w:autoSpaceDN w:val="0"/>
        <w:adjustRightInd w:val="0"/>
        <w:spacing w:after="0" w:line="259" w:lineRule="auto"/>
        <w:jc w:val="both"/>
        <w:rPr>
          <w:rFonts w:ascii="Times New Roman" w:hAnsi="Times New Roman" w:cs="Times New Roman"/>
          <w:sz w:val="24"/>
          <w:szCs w:val="24"/>
        </w:rPr>
      </w:pPr>
    </w:p>
    <w:p w:rsidR="00255280" w:rsidRDefault="00C5157E" w:rsidP="00255280">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The cross-sectional data are from World Bank Enterprise Survey conducted in year 2013. The responses given to face-to-face interviews allow us to construct our variables. 1,278 firms whose number of employees is less than or equal to 250 are included in the analysis. The SMEs that are</w:t>
      </w:r>
      <w:r>
        <w:rPr>
          <w:rFonts w:ascii="Times New Roman" w:hAnsi="Times New Roman" w:cs="Times New Roman"/>
          <w:sz w:val="24"/>
          <w:szCs w:val="24"/>
        </w:rPr>
        <w:t xml:space="preserve"> </w:t>
      </w:r>
      <w:r w:rsidRPr="00E7730E">
        <w:rPr>
          <w:rFonts w:ascii="Times New Roman" w:hAnsi="Times New Roman" w:cs="Times New Roman"/>
          <w:sz w:val="24"/>
          <w:szCs w:val="24"/>
        </w:rPr>
        <w:t>included in the analysis operate in nine industry categories (food, textiles, garments, non-metallic</w:t>
      </w:r>
      <w:r w:rsidR="00255280">
        <w:rPr>
          <w:rFonts w:ascii="Times New Roman" w:hAnsi="Times New Roman" w:cs="Times New Roman"/>
          <w:sz w:val="24"/>
          <w:szCs w:val="24"/>
        </w:rPr>
        <w:t xml:space="preserve"> </w:t>
      </w:r>
      <w:r w:rsidR="00255280" w:rsidRPr="00E7730E">
        <w:rPr>
          <w:rFonts w:ascii="Times New Roman" w:hAnsi="Times New Roman" w:cs="Times New Roman"/>
          <w:sz w:val="24"/>
          <w:szCs w:val="24"/>
        </w:rPr>
        <w:t xml:space="preserve">mineral products, fabricated metal products, other manufacturing, retail, other services). The data are accessible from </w:t>
      </w:r>
      <w:hyperlink r:id="rId26" w:history="1">
        <w:r w:rsidR="00255280" w:rsidRPr="00E7730E">
          <w:rPr>
            <w:rFonts w:ascii="Times New Roman" w:hAnsi="Times New Roman" w:cs="Times New Roman"/>
            <w:sz w:val="24"/>
            <w:szCs w:val="24"/>
          </w:rPr>
          <w:t>www.enterprisesurveys.org</w:t>
        </w:r>
      </w:hyperlink>
      <w:r w:rsidR="00255280" w:rsidRPr="00E7730E">
        <w:rPr>
          <w:rFonts w:ascii="Times New Roman" w:hAnsi="Times New Roman" w:cs="Times New Roman"/>
          <w:sz w:val="24"/>
          <w:szCs w:val="24"/>
        </w:rPr>
        <w:t>. The web site also includes information on the sampling method.</w:t>
      </w:r>
    </w:p>
    <w:p w:rsidR="005349EF" w:rsidRDefault="005349EF" w:rsidP="00255280">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Summary statistics of the dependent variables for the two models (model 1 for working capital and model 2 for fixed asset investments) and the independent variables are given in Table 2. We see that internal financing is the predominant source of finance that is used for financing working capital. On average, firms finance 71.2% of their working capital investments with internal funds.</w:t>
      </w:r>
    </w:p>
    <w:p w:rsidR="005349EF" w:rsidRDefault="005349EF" w:rsidP="00255280">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 xml:space="preserve">SMEs rely on bank financing as the second source for working capital financing. The proportion of working capital that is financed with bank loans is 16.9% on average. The mean of the proportion </w:t>
      </w:r>
    </w:p>
    <w:p w:rsidR="00C5157E" w:rsidRPr="00E7730E" w:rsidRDefault="00C5157E" w:rsidP="00C5157E">
      <w:pPr>
        <w:spacing w:after="0" w:line="259" w:lineRule="auto"/>
        <w:jc w:val="both"/>
        <w:rPr>
          <w:rFonts w:ascii="Times New Roman" w:hAnsi="Times New Roman" w:cs="Times New Roman"/>
          <w:b/>
          <w:sz w:val="24"/>
          <w:szCs w:val="24"/>
        </w:rPr>
      </w:pPr>
      <w:r w:rsidRPr="00E7730E">
        <w:rPr>
          <w:rFonts w:ascii="Times New Roman" w:hAnsi="Times New Roman" w:cs="Times New Roman"/>
          <w:b/>
          <w:sz w:val="24"/>
          <w:szCs w:val="24"/>
        </w:rPr>
        <w:lastRenderedPageBreak/>
        <w:t>Table 1. Description of the Variables Used in the System of Equations</w:t>
      </w:r>
    </w:p>
    <w:p w:rsidR="00C5157E" w:rsidRPr="00AF5D14" w:rsidRDefault="00C5157E" w:rsidP="00C5157E">
      <w:pPr>
        <w:spacing w:after="0" w:line="259" w:lineRule="auto"/>
        <w:jc w:val="both"/>
        <w:rPr>
          <w:rFonts w:ascii="Times New Roman" w:hAnsi="Times New Roman" w:cs="Times New Roman"/>
          <w:b/>
        </w:rPr>
      </w:pPr>
      <w:r w:rsidRPr="00AF5D14">
        <w:rPr>
          <w:rFonts w:ascii="Times New Roman" w:hAnsi="Times New Roman" w:cs="Times New Roman"/>
        </w:rPr>
        <w:t xml:space="preserve">The table gives the dependent and independent variables included in the system of equations models. </w:t>
      </w:r>
    </w:p>
    <w:tbl>
      <w:tblPr>
        <w:tblW w:w="9356" w:type="dxa"/>
        <w:tblLook w:val="04A0" w:firstRow="1" w:lastRow="0" w:firstColumn="1" w:lastColumn="0" w:noHBand="0" w:noVBand="1"/>
      </w:tblPr>
      <w:tblGrid>
        <w:gridCol w:w="2552"/>
        <w:gridCol w:w="6804"/>
      </w:tblGrid>
      <w:tr w:rsidR="00C5157E" w:rsidRPr="00AF5D14" w:rsidTr="00E930BE">
        <w:trPr>
          <w:trHeight w:val="292"/>
        </w:trPr>
        <w:tc>
          <w:tcPr>
            <w:tcW w:w="9356" w:type="dxa"/>
            <w:gridSpan w:val="2"/>
            <w:tcBorders>
              <w:top w:val="single" w:sz="4" w:space="0" w:color="auto"/>
              <w:left w:val="nil"/>
              <w:bottom w:val="single" w:sz="4" w:space="0" w:color="auto"/>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Dependent Variables for Model 1 (Working Capital)  and Model 2 (Fixed Asset Investments)</w:t>
            </w:r>
          </w:p>
        </w:tc>
      </w:tr>
      <w:tr w:rsidR="00C5157E" w:rsidRPr="00AF5D14" w:rsidTr="00E930BE">
        <w:trPr>
          <w:trHeight w:val="585"/>
        </w:trPr>
        <w:tc>
          <w:tcPr>
            <w:tcW w:w="2552" w:type="dxa"/>
            <w:tcBorders>
              <w:top w:val="nil"/>
              <w:left w:val="nil"/>
              <w:bottom w:val="nil"/>
              <w:right w:val="nil"/>
            </w:tcBorders>
            <w:shd w:val="clear" w:color="auto" w:fill="auto"/>
            <w:noWrap/>
            <w:vAlign w:val="center"/>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Internal Financing</w:t>
            </w:r>
          </w:p>
        </w:tc>
        <w:tc>
          <w:tcPr>
            <w:tcW w:w="6804" w:type="dxa"/>
            <w:tcBorders>
              <w:top w:val="nil"/>
              <w:left w:val="nil"/>
              <w:bottom w:val="nil"/>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The proportion that was financed with internal funds or retained earnings in 2012</w:t>
            </w:r>
          </w:p>
        </w:tc>
      </w:tr>
      <w:tr w:rsidR="00C5157E" w:rsidRPr="00AF5D14" w:rsidTr="00E930BE">
        <w:trPr>
          <w:trHeight w:val="585"/>
        </w:trPr>
        <w:tc>
          <w:tcPr>
            <w:tcW w:w="2552" w:type="dxa"/>
            <w:tcBorders>
              <w:top w:val="nil"/>
              <w:left w:val="nil"/>
              <w:bottom w:val="nil"/>
              <w:right w:val="nil"/>
            </w:tcBorders>
            <w:shd w:val="clear" w:color="auto" w:fill="auto"/>
            <w:noWrap/>
            <w:vAlign w:val="center"/>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Owner and Equity</w:t>
            </w:r>
          </w:p>
        </w:tc>
        <w:tc>
          <w:tcPr>
            <w:tcW w:w="6804" w:type="dxa"/>
            <w:tcBorders>
              <w:top w:val="nil"/>
              <w:left w:val="nil"/>
              <w:bottom w:val="nil"/>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The proportion that was financed with owners’ contribution or issued new equity shares in 2012</w:t>
            </w:r>
          </w:p>
        </w:tc>
      </w:tr>
      <w:tr w:rsidR="00C5157E" w:rsidRPr="00AF5D14" w:rsidTr="00E930BE">
        <w:trPr>
          <w:trHeight w:val="292"/>
        </w:trPr>
        <w:tc>
          <w:tcPr>
            <w:tcW w:w="2552" w:type="dxa"/>
            <w:tcBorders>
              <w:top w:val="nil"/>
              <w:left w:val="nil"/>
              <w:bottom w:val="nil"/>
              <w:right w:val="nil"/>
            </w:tcBorders>
            <w:shd w:val="clear" w:color="auto" w:fill="auto"/>
            <w:noWrap/>
            <w:vAlign w:val="center"/>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Bank Loans</w:t>
            </w:r>
          </w:p>
        </w:tc>
        <w:tc>
          <w:tcPr>
            <w:tcW w:w="6804" w:type="dxa"/>
            <w:tcBorders>
              <w:top w:val="nil"/>
              <w:left w:val="nil"/>
              <w:bottom w:val="nil"/>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The proportion that was financed with bank loans in 2012</w:t>
            </w:r>
          </w:p>
        </w:tc>
      </w:tr>
      <w:tr w:rsidR="00C5157E" w:rsidRPr="00AF5D14" w:rsidTr="00E930BE">
        <w:trPr>
          <w:trHeight w:val="585"/>
        </w:trPr>
        <w:tc>
          <w:tcPr>
            <w:tcW w:w="2552" w:type="dxa"/>
            <w:tcBorders>
              <w:top w:val="nil"/>
              <w:left w:val="nil"/>
              <w:bottom w:val="nil"/>
              <w:right w:val="nil"/>
            </w:tcBorders>
            <w:shd w:val="clear" w:color="auto" w:fill="auto"/>
            <w:noWrap/>
            <w:vAlign w:val="center"/>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Suppliers and Customers</w:t>
            </w:r>
          </w:p>
        </w:tc>
        <w:tc>
          <w:tcPr>
            <w:tcW w:w="6804" w:type="dxa"/>
            <w:tcBorders>
              <w:top w:val="nil"/>
              <w:left w:val="nil"/>
              <w:bottom w:val="nil"/>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The proportion  that was financed with purchases on credit from suppliers and advances from customers in 2012</w:t>
            </w:r>
          </w:p>
        </w:tc>
      </w:tr>
      <w:tr w:rsidR="00C5157E" w:rsidRPr="00AF5D14" w:rsidTr="00E930BE">
        <w:trPr>
          <w:trHeight w:val="585"/>
        </w:trPr>
        <w:tc>
          <w:tcPr>
            <w:tcW w:w="2552" w:type="dxa"/>
            <w:tcBorders>
              <w:top w:val="nil"/>
              <w:left w:val="nil"/>
              <w:bottom w:val="nil"/>
              <w:right w:val="nil"/>
            </w:tcBorders>
            <w:shd w:val="clear" w:color="auto" w:fill="auto"/>
            <w:noWrap/>
            <w:vAlign w:val="center"/>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Other</w:t>
            </w:r>
          </w:p>
        </w:tc>
        <w:tc>
          <w:tcPr>
            <w:tcW w:w="6804" w:type="dxa"/>
            <w:tcBorders>
              <w:top w:val="nil"/>
              <w:left w:val="nil"/>
              <w:bottom w:val="nil"/>
              <w:right w:val="nil"/>
            </w:tcBorders>
            <w:shd w:val="clear" w:color="auto" w:fill="auto"/>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The proportion that was financed with debt received from nonbank financial institutions and funds provided by microfinance institutions, credit cooperatives, money lenders, friends, relatives, etc.  in 2012</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p>
        </w:tc>
      </w:tr>
      <w:tr w:rsidR="00C5157E" w:rsidRPr="00AF5D14" w:rsidTr="00E930BE">
        <w:trPr>
          <w:trHeight w:val="292"/>
        </w:trPr>
        <w:tc>
          <w:tcPr>
            <w:tcW w:w="9356" w:type="dxa"/>
            <w:gridSpan w:val="2"/>
            <w:tcBorders>
              <w:top w:val="nil"/>
              <w:left w:val="nil"/>
              <w:bottom w:val="single" w:sz="4" w:space="0" w:color="auto"/>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Independent Variables</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Size</w:t>
            </w: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 xml:space="preserve">The number of full time employees </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Age</w:t>
            </w: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 xml:space="preserve">Firm age </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Group</w:t>
            </w: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Dummy=1 if the firm is part of a larger firm</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Sales on Credit</w:t>
            </w: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Percentage of sales that was sold on credit in 2012</w:t>
            </w:r>
          </w:p>
        </w:tc>
      </w:tr>
      <w:tr w:rsidR="00C5157E" w:rsidRPr="00AF5D14" w:rsidTr="00E930BE">
        <w:trPr>
          <w:trHeight w:val="292"/>
        </w:trPr>
        <w:tc>
          <w:tcPr>
            <w:tcW w:w="2552"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Export</w:t>
            </w:r>
          </w:p>
        </w:tc>
        <w:tc>
          <w:tcPr>
            <w:tcW w:w="6804" w:type="dxa"/>
            <w:tcBorders>
              <w:top w:val="nil"/>
              <w:left w:val="nil"/>
              <w:bottom w:val="nil"/>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Percentage of sales that was exported in 2012</w:t>
            </w:r>
          </w:p>
        </w:tc>
      </w:tr>
      <w:tr w:rsidR="00C5157E" w:rsidRPr="00AF5D14" w:rsidTr="00E930BE">
        <w:trPr>
          <w:trHeight w:val="292"/>
        </w:trPr>
        <w:tc>
          <w:tcPr>
            <w:tcW w:w="2552" w:type="dxa"/>
            <w:tcBorders>
              <w:top w:val="nil"/>
              <w:left w:val="nil"/>
              <w:bottom w:val="single" w:sz="4" w:space="0" w:color="auto"/>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 xml:space="preserve">Quality </w:t>
            </w:r>
          </w:p>
        </w:tc>
        <w:tc>
          <w:tcPr>
            <w:tcW w:w="6804" w:type="dxa"/>
            <w:tcBorders>
              <w:top w:val="nil"/>
              <w:left w:val="nil"/>
              <w:bottom w:val="single" w:sz="4" w:space="0" w:color="auto"/>
              <w:right w:val="nil"/>
            </w:tcBorders>
            <w:shd w:val="clear" w:color="auto" w:fill="auto"/>
            <w:noWrap/>
            <w:vAlign w:val="bottom"/>
            <w:hideMark/>
          </w:tcPr>
          <w:p w:rsidR="00C5157E" w:rsidRPr="00AF5D14" w:rsidRDefault="00C5157E" w:rsidP="00E930BE">
            <w:pPr>
              <w:spacing w:after="0" w:line="259" w:lineRule="auto"/>
              <w:jc w:val="both"/>
              <w:rPr>
                <w:rFonts w:ascii="Times New Roman" w:eastAsia="Times New Roman" w:hAnsi="Times New Roman" w:cs="Times New Roman"/>
              </w:rPr>
            </w:pPr>
            <w:r w:rsidRPr="00AF5D14">
              <w:rPr>
                <w:rFonts w:ascii="Times New Roman" w:eastAsia="Times New Roman" w:hAnsi="Times New Roman" w:cs="Times New Roman"/>
              </w:rPr>
              <w:t>Dummy=1 if the firm has an internationally recognized quality certification</w:t>
            </w:r>
          </w:p>
        </w:tc>
      </w:tr>
    </w:tbl>
    <w:p w:rsidR="00C5157E" w:rsidRDefault="00C5157E" w:rsidP="00C5157E">
      <w:pPr>
        <w:spacing w:line="259" w:lineRule="auto"/>
        <w:jc w:val="both"/>
        <w:rPr>
          <w:rFonts w:ascii="Times New Roman" w:hAnsi="Times New Roman" w:cs="Times New Roman"/>
          <w:sz w:val="24"/>
          <w:szCs w:val="24"/>
        </w:rPr>
      </w:pPr>
    </w:p>
    <w:p w:rsidR="005349EF" w:rsidRPr="00E7730E" w:rsidRDefault="005349EF" w:rsidP="005349EF">
      <w:pPr>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of working capital that is financed with trade credits from suppliers and advances from customers is 7.3%. Other sources make up 3.2% of working capital financing.</w:t>
      </w:r>
    </w:p>
    <w:p w:rsidR="00C5157E" w:rsidRPr="00E7730E" w:rsidRDefault="00C5157E" w:rsidP="00C5157E">
      <w:pPr>
        <w:spacing w:line="259" w:lineRule="auto"/>
        <w:jc w:val="both"/>
        <w:rPr>
          <w:rFonts w:ascii="Times New Roman" w:hAnsi="Times New Roman" w:cs="Times New Roman"/>
          <w:sz w:val="24"/>
          <w:szCs w:val="24"/>
        </w:rPr>
      </w:pPr>
      <w:r w:rsidRPr="00E7730E">
        <w:rPr>
          <w:rFonts w:ascii="Times New Roman" w:hAnsi="Times New Roman" w:cs="Times New Roman"/>
          <w:sz w:val="24"/>
          <w:szCs w:val="24"/>
        </w:rPr>
        <w:t>Firms mainly rely on internal financing also for fixed asset investments. On average, firms finance 59.8% of their fixed asset investments with internal funds and retained earnings. The proportion of fixed asset investments financed with bank borrowing is 26.7% on average. The mean of the</w:t>
      </w:r>
      <w:r w:rsidRPr="00C5157E">
        <w:rPr>
          <w:rFonts w:ascii="Times New Roman" w:hAnsi="Times New Roman" w:cs="Times New Roman"/>
          <w:sz w:val="24"/>
          <w:szCs w:val="24"/>
        </w:rPr>
        <w:t xml:space="preserve"> </w:t>
      </w:r>
      <w:r w:rsidRPr="00E7730E">
        <w:rPr>
          <w:rFonts w:ascii="Times New Roman" w:hAnsi="Times New Roman" w:cs="Times New Roman"/>
          <w:sz w:val="24"/>
          <w:szCs w:val="24"/>
        </w:rPr>
        <w:t>proportion of fixed asset capital expenditures that is financed with owners’ contribution or issued new equity shares is 6.1%. The mean of the proportion of fixed asset investments that is financed</w:t>
      </w:r>
      <w:r w:rsidRPr="00C5157E">
        <w:rPr>
          <w:rFonts w:ascii="Times New Roman" w:hAnsi="Times New Roman" w:cs="Times New Roman"/>
          <w:sz w:val="24"/>
          <w:szCs w:val="24"/>
        </w:rPr>
        <w:t xml:space="preserve"> </w:t>
      </w:r>
      <w:r w:rsidRPr="00E7730E">
        <w:rPr>
          <w:rFonts w:ascii="Times New Roman" w:hAnsi="Times New Roman" w:cs="Times New Roman"/>
          <w:sz w:val="24"/>
          <w:szCs w:val="24"/>
        </w:rPr>
        <w:t xml:space="preserve">with purchases on credit from suppliers and advances from customers is 2.5%. Other sources make up 2.5% of fixed asset investments financing. </w:t>
      </w:r>
    </w:p>
    <w:p w:rsidR="00C5157E" w:rsidRDefault="00C5157E" w:rsidP="00C5157E">
      <w:pPr>
        <w:autoSpaceDE w:val="0"/>
        <w:autoSpaceDN w:val="0"/>
        <w:adjustRightInd w:val="0"/>
        <w:spacing w:after="0" w:line="259" w:lineRule="auto"/>
        <w:jc w:val="both"/>
        <w:rPr>
          <w:rFonts w:ascii="Times New Roman" w:hAnsi="Times New Roman" w:cs="Times New Roman"/>
          <w:b/>
          <w:sz w:val="30"/>
          <w:szCs w:val="30"/>
        </w:rPr>
      </w:pPr>
      <w:r>
        <w:rPr>
          <w:rFonts w:ascii="Times New Roman" w:hAnsi="Times New Roman" w:cs="Times New Roman"/>
          <w:b/>
          <w:sz w:val="30"/>
          <w:szCs w:val="30"/>
        </w:rPr>
        <w:t>4</w:t>
      </w:r>
      <w:r w:rsidRPr="006F7137">
        <w:rPr>
          <w:rFonts w:ascii="Times New Roman" w:hAnsi="Times New Roman" w:cs="Times New Roman"/>
          <w:b/>
          <w:sz w:val="30"/>
          <w:szCs w:val="30"/>
        </w:rPr>
        <w:t xml:space="preserve"> Empirical Findings</w:t>
      </w:r>
    </w:p>
    <w:p w:rsidR="005349EF" w:rsidRDefault="005349EF" w:rsidP="00C5157E">
      <w:pPr>
        <w:autoSpaceDE w:val="0"/>
        <w:autoSpaceDN w:val="0"/>
        <w:adjustRightInd w:val="0"/>
        <w:spacing w:after="0" w:line="259" w:lineRule="auto"/>
        <w:jc w:val="both"/>
        <w:rPr>
          <w:rFonts w:ascii="Times New Roman" w:hAnsi="Times New Roman" w:cs="Times New Roman"/>
          <w:b/>
          <w:sz w:val="30"/>
          <w:szCs w:val="30"/>
        </w:rPr>
      </w:pPr>
    </w:p>
    <w:p w:rsidR="00F55725" w:rsidRPr="006F7137" w:rsidRDefault="00F55725" w:rsidP="00F55725">
      <w:pPr>
        <w:pStyle w:val="MTDisplayEquation"/>
        <w:spacing w:line="259" w:lineRule="auto"/>
        <w:ind w:firstLine="0"/>
        <w:rPr>
          <w:b/>
          <w:sz w:val="26"/>
          <w:szCs w:val="26"/>
        </w:rPr>
      </w:pPr>
      <w:r>
        <w:rPr>
          <w:b/>
          <w:sz w:val="26"/>
          <w:szCs w:val="26"/>
        </w:rPr>
        <w:t>4</w:t>
      </w:r>
      <w:r w:rsidRPr="006F7137">
        <w:rPr>
          <w:b/>
          <w:sz w:val="26"/>
          <w:szCs w:val="26"/>
        </w:rPr>
        <w:t xml:space="preserve">.1. Results of the System of Equations Model for the Composition of the Funding Sources for Working Capital </w:t>
      </w:r>
    </w:p>
    <w:p w:rsidR="005349EF" w:rsidRDefault="005349EF" w:rsidP="005349EF">
      <w:pPr>
        <w:autoSpaceDE w:val="0"/>
        <w:autoSpaceDN w:val="0"/>
        <w:adjustRightInd w:val="0"/>
        <w:spacing w:after="0" w:line="259" w:lineRule="auto"/>
        <w:jc w:val="both"/>
        <w:rPr>
          <w:rFonts w:ascii="Times New Roman" w:hAnsi="Times New Roman" w:cs="Times New Roman"/>
          <w:b/>
          <w:sz w:val="30"/>
          <w:szCs w:val="30"/>
        </w:rPr>
      </w:pPr>
      <w:r w:rsidRPr="00E7730E">
        <w:rPr>
          <w:rFonts w:ascii="Times New Roman" w:hAnsi="Times New Roman" w:cs="Times New Roman"/>
          <w:sz w:val="24"/>
          <w:szCs w:val="24"/>
        </w:rPr>
        <w:t>We begin our empirical analysis with the estimation of the system of four equations model described by equations (1)-(4) where the dependent variables give the proportion of working capital</w:t>
      </w:r>
    </w:p>
    <w:p w:rsidR="005349EF" w:rsidRPr="00E7730E" w:rsidRDefault="005349EF" w:rsidP="005349EF">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financed with each source. Seemingly unrelated regressio</w:t>
      </w:r>
      <w:r>
        <w:rPr>
          <w:rFonts w:ascii="Times New Roman" w:hAnsi="Times New Roman" w:cs="Times New Roman"/>
          <w:sz w:val="24"/>
          <w:szCs w:val="24"/>
        </w:rPr>
        <w:t xml:space="preserve">ns are used in the estimation. </w:t>
      </w:r>
      <w:r w:rsidRPr="00E7730E">
        <w:rPr>
          <w:rFonts w:ascii="Times New Roman" w:hAnsi="Times New Roman" w:cs="Times New Roman"/>
          <w:sz w:val="24"/>
          <w:szCs w:val="24"/>
        </w:rPr>
        <w:t xml:space="preserve">The estimation results of the system of equations are given in Table 3. </w:t>
      </w:r>
    </w:p>
    <w:p w:rsidR="005349EF" w:rsidRDefault="005349EF" w:rsidP="005349EF">
      <w:pPr>
        <w:pStyle w:val="GvdeMetniGirintisi"/>
        <w:tabs>
          <w:tab w:val="left" w:pos="0"/>
        </w:tabs>
        <w:spacing w:after="0" w:line="259" w:lineRule="auto"/>
        <w:ind w:left="0"/>
        <w:jc w:val="both"/>
        <w:rPr>
          <w:rFonts w:ascii="Times New Roman" w:hAnsi="Times New Roman" w:cs="Times New Roman"/>
          <w:b/>
          <w:sz w:val="24"/>
          <w:szCs w:val="24"/>
        </w:rPr>
      </w:pPr>
      <w:r w:rsidRPr="00E7730E">
        <w:rPr>
          <w:rFonts w:ascii="Times New Roman" w:hAnsi="Times New Roman" w:cs="Times New Roman"/>
          <w:sz w:val="24"/>
          <w:szCs w:val="24"/>
        </w:rPr>
        <w:t>We see that size has a statistically significant relationship with the proportion of working capital</w:t>
      </w:r>
      <w:r>
        <w:rPr>
          <w:rFonts w:ascii="Times New Roman" w:hAnsi="Times New Roman" w:cs="Times New Roman"/>
          <w:sz w:val="24"/>
          <w:szCs w:val="24"/>
        </w:rPr>
        <w:t xml:space="preserve"> </w:t>
      </w:r>
      <w:r w:rsidRPr="00E7730E">
        <w:rPr>
          <w:rFonts w:ascii="Times New Roman" w:hAnsi="Times New Roman" w:cs="Times New Roman"/>
          <w:sz w:val="24"/>
          <w:szCs w:val="24"/>
        </w:rPr>
        <w:t xml:space="preserve">that is financed with internal funds at the 0.01 level. The negative coefficient indicates that a 10% </w:t>
      </w:r>
    </w:p>
    <w:p w:rsidR="005349EF" w:rsidRDefault="005349EF" w:rsidP="006F7137">
      <w:pPr>
        <w:pStyle w:val="GvdeMetniGirintisi"/>
        <w:spacing w:after="0" w:line="259" w:lineRule="auto"/>
        <w:ind w:left="0"/>
        <w:jc w:val="both"/>
        <w:rPr>
          <w:rFonts w:ascii="Times New Roman" w:hAnsi="Times New Roman" w:cs="Times New Roman"/>
          <w:b/>
          <w:sz w:val="24"/>
          <w:szCs w:val="24"/>
        </w:rPr>
      </w:pPr>
    </w:p>
    <w:p w:rsidR="00A362D6" w:rsidRPr="00E7730E" w:rsidRDefault="00D23755" w:rsidP="006F7137">
      <w:pPr>
        <w:pStyle w:val="GvdeMetniGirintisi"/>
        <w:spacing w:after="0" w:line="259" w:lineRule="auto"/>
        <w:ind w:left="0"/>
        <w:jc w:val="both"/>
        <w:rPr>
          <w:rFonts w:ascii="Times New Roman" w:hAnsi="Times New Roman" w:cs="Times New Roman"/>
          <w:b/>
          <w:sz w:val="24"/>
          <w:szCs w:val="24"/>
        </w:rPr>
      </w:pPr>
      <w:r w:rsidRPr="00E7730E">
        <w:rPr>
          <w:rFonts w:ascii="Times New Roman" w:hAnsi="Times New Roman" w:cs="Times New Roman"/>
          <w:b/>
          <w:sz w:val="24"/>
          <w:szCs w:val="24"/>
        </w:rPr>
        <w:lastRenderedPageBreak/>
        <w:t>Table 2</w:t>
      </w:r>
      <w:r w:rsidR="00A362D6" w:rsidRPr="00E7730E">
        <w:rPr>
          <w:rFonts w:ascii="Times New Roman" w:hAnsi="Times New Roman" w:cs="Times New Roman"/>
          <w:b/>
          <w:sz w:val="24"/>
          <w:szCs w:val="24"/>
        </w:rPr>
        <w:t xml:space="preserve">. Summary Statistics </w:t>
      </w:r>
    </w:p>
    <w:p w:rsidR="00F81D35" w:rsidRPr="006F7137" w:rsidRDefault="00F81D35" w:rsidP="006F7137">
      <w:pPr>
        <w:pStyle w:val="GvdeMetniGirintisi"/>
        <w:spacing w:after="0" w:line="259" w:lineRule="auto"/>
        <w:ind w:left="0"/>
        <w:jc w:val="both"/>
        <w:rPr>
          <w:rFonts w:ascii="Times New Roman" w:hAnsi="Times New Roman" w:cs="Times New Roman"/>
        </w:rPr>
      </w:pPr>
      <w:r w:rsidRPr="006F7137">
        <w:rPr>
          <w:rFonts w:ascii="Times New Roman" w:hAnsi="Times New Roman" w:cs="Times New Roman"/>
        </w:rPr>
        <w:t xml:space="preserve">The table presents the means, standard deviations and medians of the dependent variables for the two models (model 1 for working capital and model 2 for fixed asset investments) and the independent variables. Cross-sectional data includes 1,278 firms. </w:t>
      </w:r>
    </w:p>
    <w:tbl>
      <w:tblPr>
        <w:tblW w:w="8980" w:type="dxa"/>
        <w:tblLook w:val="04A0" w:firstRow="1" w:lastRow="0" w:firstColumn="1" w:lastColumn="0" w:noHBand="0" w:noVBand="1"/>
      </w:tblPr>
      <w:tblGrid>
        <w:gridCol w:w="3640"/>
        <w:gridCol w:w="1780"/>
        <w:gridCol w:w="1780"/>
        <w:gridCol w:w="1780"/>
      </w:tblGrid>
      <w:tr w:rsidR="009A01D9" w:rsidRPr="006F7137" w:rsidTr="00C677D2">
        <w:trPr>
          <w:trHeight w:val="600"/>
        </w:trPr>
        <w:tc>
          <w:tcPr>
            <w:tcW w:w="3640" w:type="dxa"/>
            <w:tcBorders>
              <w:top w:val="single" w:sz="4" w:space="0" w:color="auto"/>
              <w:left w:val="nil"/>
              <w:bottom w:val="single" w:sz="4" w:space="0" w:color="auto"/>
              <w:right w:val="nil"/>
            </w:tcBorders>
            <w:shd w:val="clear" w:color="auto" w:fill="auto"/>
            <w:vAlign w:val="center"/>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c>
          <w:tcPr>
            <w:tcW w:w="1780" w:type="dxa"/>
            <w:tcBorders>
              <w:top w:val="single" w:sz="4" w:space="0" w:color="auto"/>
              <w:left w:val="nil"/>
              <w:bottom w:val="single" w:sz="4" w:space="0" w:color="auto"/>
              <w:right w:val="nil"/>
            </w:tcBorders>
            <w:shd w:val="clear" w:color="auto" w:fill="auto"/>
            <w:vAlign w:val="center"/>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Mean</w:t>
            </w:r>
          </w:p>
        </w:tc>
        <w:tc>
          <w:tcPr>
            <w:tcW w:w="1780" w:type="dxa"/>
            <w:tcBorders>
              <w:top w:val="single" w:sz="4" w:space="0" w:color="auto"/>
              <w:left w:val="nil"/>
              <w:bottom w:val="single" w:sz="4" w:space="0" w:color="auto"/>
              <w:right w:val="nil"/>
            </w:tcBorders>
            <w:shd w:val="clear" w:color="auto" w:fill="auto"/>
            <w:vAlign w:val="center"/>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Standard Deviation</w:t>
            </w:r>
          </w:p>
        </w:tc>
        <w:tc>
          <w:tcPr>
            <w:tcW w:w="1780" w:type="dxa"/>
            <w:tcBorders>
              <w:top w:val="single" w:sz="4" w:space="0" w:color="auto"/>
              <w:left w:val="nil"/>
              <w:bottom w:val="single" w:sz="4" w:space="0" w:color="auto"/>
              <w:right w:val="nil"/>
            </w:tcBorders>
            <w:shd w:val="clear" w:color="auto" w:fill="auto"/>
            <w:vAlign w:val="center"/>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Median</w:t>
            </w:r>
          </w:p>
        </w:tc>
      </w:tr>
      <w:tr w:rsidR="009A01D9" w:rsidRPr="006F7137" w:rsidTr="00C677D2">
        <w:trPr>
          <w:trHeight w:val="300"/>
        </w:trPr>
        <w:tc>
          <w:tcPr>
            <w:tcW w:w="7200" w:type="dxa"/>
            <w:gridSpan w:val="3"/>
            <w:tcBorders>
              <w:top w:val="single" w:sz="4" w:space="0" w:color="auto"/>
              <w:left w:val="nil"/>
              <w:bottom w:val="single" w:sz="4" w:space="0" w:color="auto"/>
              <w:right w:val="nil"/>
            </w:tcBorders>
            <w:shd w:val="clear" w:color="auto" w:fill="auto"/>
            <w:vAlign w:val="bottom"/>
            <w:hideMark/>
          </w:tcPr>
          <w:p w:rsidR="00C677D2" w:rsidRPr="006F7137" w:rsidRDefault="00C677D2"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Dependent Variables (Model 1: Working Capital Financing)</w:t>
            </w:r>
          </w:p>
        </w:tc>
        <w:tc>
          <w:tcPr>
            <w:tcW w:w="1780" w:type="dxa"/>
            <w:tcBorders>
              <w:top w:val="nil"/>
              <w:left w:val="nil"/>
              <w:bottom w:val="single" w:sz="4" w:space="0" w:color="auto"/>
              <w:right w:val="nil"/>
            </w:tcBorders>
            <w:shd w:val="clear" w:color="auto" w:fill="auto"/>
            <w:vAlign w:val="center"/>
            <w:hideMark/>
          </w:tcPr>
          <w:p w:rsidR="00C677D2" w:rsidRPr="006F7137" w:rsidRDefault="00C677D2" w:rsidP="006F7137">
            <w:pPr>
              <w:spacing w:after="0" w:line="259" w:lineRule="auto"/>
              <w:jc w:val="center"/>
              <w:rPr>
                <w:rFonts w:ascii="Times New Roman" w:eastAsia="Times New Roman" w:hAnsi="Times New Roman" w:cs="Times New Roman"/>
              </w:rPr>
            </w:pP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Internal Financing</w:t>
            </w:r>
          </w:p>
        </w:tc>
        <w:tc>
          <w:tcPr>
            <w:tcW w:w="1780" w:type="dxa"/>
            <w:tcBorders>
              <w:top w:val="nil"/>
              <w:left w:val="nil"/>
              <w:bottom w:val="nil"/>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712</w:t>
            </w:r>
          </w:p>
        </w:tc>
        <w:tc>
          <w:tcPr>
            <w:tcW w:w="1780" w:type="dxa"/>
            <w:tcBorders>
              <w:top w:val="nil"/>
              <w:left w:val="nil"/>
              <w:bottom w:val="nil"/>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342</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800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Bank Loans</w:t>
            </w:r>
          </w:p>
        </w:tc>
        <w:tc>
          <w:tcPr>
            <w:tcW w:w="1780" w:type="dxa"/>
            <w:tcBorders>
              <w:top w:val="nil"/>
              <w:left w:val="nil"/>
              <w:bottom w:val="nil"/>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169</w:t>
            </w:r>
          </w:p>
        </w:tc>
        <w:tc>
          <w:tcPr>
            <w:tcW w:w="1780" w:type="dxa"/>
            <w:tcBorders>
              <w:top w:val="nil"/>
              <w:left w:val="nil"/>
              <w:bottom w:val="nil"/>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269</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Suppliers and Customers</w:t>
            </w:r>
          </w:p>
        </w:tc>
        <w:tc>
          <w:tcPr>
            <w:tcW w:w="1780" w:type="dxa"/>
            <w:tcBorders>
              <w:top w:val="nil"/>
              <w:left w:val="nil"/>
              <w:bottom w:val="nil"/>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073</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171</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Other</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964E25"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C677D2" w:rsidRPr="006F7137">
              <w:rPr>
                <w:rFonts w:ascii="Times New Roman" w:eastAsia="Times New Roman" w:hAnsi="Times New Roman" w:cs="Times New Roman"/>
              </w:rPr>
              <w:t>032</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121</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7200" w:type="dxa"/>
            <w:gridSpan w:val="3"/>
            <w:tcBorders>
              <w:top w:val="nil"/>
              <w:left w:val="nil"/>
              <w:bottom w:val="single" w:sz="4" w:space="0" w:color="auto"/>
              <w:right w:val="nil"/>
            </w:tcBorders>
            <w:shd w:val="clear" w:color="auto" w:fill="auto"/>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Dependent Variables (Model 2: Fixed Asset Investments Financing)</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Internal Financing</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598</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404</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700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Owner and Equity</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061</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184</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Bank Loans</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267</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370</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Suppliers and Customers</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025</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096</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Other</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025</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114</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Independent Variables</w:t>
            </w: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p>
        </w:tc>
        <w:tc>
          <w:tcPr>
            <w:tcW w:w="1780" w:type="dxa"/>
            <w:tcBorders>
              <w:top w:val="nil"/>
              <w:left w:val="nil"/>
              <w:bottom w:val="single" w:sz="4" w:space="0" w:color="auto"/>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Size</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43</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529</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51</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971</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20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Age</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18</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042</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12</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678</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16</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Sales on Credit</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475</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323</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500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Export</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293</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379</w:t>
            </w:r>
          </w:p>
        </w:tc>
        <w:tc>
          <w:tcPr>
            <w:tcW w:w="1780" w:type="dxa"/>
            <w:tcBorders>
              <w:top w:val="nil"/>
              <w:left w:val="nil"/>
              <w:bottom w:val="nil"/>
              <w:right w:val="nil"/>
            </w:tcBorders>
            <w:shd w:val="clear" w:color="auto" w:fill="auto"/>
            <w:noWrap/>
            <w:vAlign w:val="bottom"/>
            <w:hideMark/>
          </w:tcPr>
          <w:p w:rsidR="00C677D2" w:rsidRPr="006F7137" w:rsidRDefault="00C677D2"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w:t>
            </w:r>
            <w:r w:rsidR="00964E25" w:rsidRPr="006F7137">
              <w:rPr>
                <w:rFonts w:ascii="Times New Roman" w:eastAsia="Times New Roman" w:hAnsi="Times New Roman" w:cs="Times New Roman"/>
              </w:rPr>
              <w:t>.</w:t>
            </w:r>
            <w:r w:rsidRPr="006F7137">
              <w:rPr>
                <w:rFonts w:ascii="Times New Roman" w:eastAsia="Times New Roman" w:hAnsi="Times New Roman" w:cs="Times New Roman"/>
              </w:rPr>
              <w:t>020</w:t>
            </w:r>
          </w:p>
        </w:tc>
      </w:tr>
      <w:tr w:rsidR="009A01D9" w:rsidRPr="006F7137" w:rsidTr="00C677D2">
        <w:trPr>
          <w:trHeight w:val="300"/>
        </w:trPr>
        <w:tc>
          <w:tcPr>
            <w:tcW w:w="3640" w:type="dxa"/>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Group (Dummy)</w:t>
            </w:r>
          </w:p>
        </w:tc>
        <w:tc>
          <w:tcPr>
            <w:tcW w:w="5340" w:type="dxa"/>
            <w:gridSpan w:val="3"/>
            <w:tcBorders>
              <w:top w:val="nil"/>
              <w:left w:val="nil"/>
              <w:bottom w:val="nil"/>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Percentage Frequency of 1 = 19%</w:t>
            </w:r>
          </w:p>
        </w:tc>
      </w:tr>
      <w:tr w:rsidR="00C677D2" w:rsidRPr="006F7137" w:rsidTr="00C677D2">
        <w:trPr>
          <w:trHeight w:val="300"/>
        </w:trPr>
        <w:tc>
          <w:tcPr>
            <w:tcW w:w="3640" w:type="dxa"/>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Quality (Dummy)</w:t>
            </w:r>
          </w:p>
        </w:tc>
        <w:tc>
          <w:tcPr>
            <w:tcW w:w="5340" w:type="dxa"/>
            <w:gridSpan w:val="3"/>
            <w:tcBorders>
              <w:top w:val="nil"/>
              <w:left w:val="nil"/>
              <w:bottom w:val="single" w:sz="4" w:space="0" w:color="auto"/>
              <w:right w:val="nil"/>
            </w:tcBorders>
            <w:shd w:val="clear" w:color="auto" w:fill="auto"/>
            <w:noWrap/>
            <w:vAlign w:val="bottom"/>
            <w:hideMark/>
          </w:tcPr>
          <w:p w:rsidR="00C677D2" w:rsidRPr="006F7137" w:rsidRDefault="00C677D2"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Percentage Frequency of 1 = 40%</w:t>
            </w:r>
          </w:p>
        </w:tc>
      </w:tr>
    </w:tbl>
    <w:p w:rsidR="004A60A1" w:rsidRPr="00E7730E" w:rsidRDefault="004A60A1" w:rsidP="00AF5D14">
      <w:pPr>
        <w:pStyle w:val="GvdeMetniGirintisi"/>
        <w:spacing w:line="259" w:lineRule="auto"/>
        <w:jc w:val="both"/>
        <w:rPr>
          <w:rFonts w:ascii="Times New Roman" w:hAnsi="Times New Roman" w:cs="Times New Roman"/>
          <w:sz w:val="24"/>
          <w:szCs w:val="24"/>
          <w:shd w:val="clear" w:color="auto" w:fill="FFFFFF"/>
        </w:rPr>
      </w:pPr>
    </w:p>
    <w:p w:rsidR="005349EF" w:rsidRPr="00E7730E" w:rsidRDefault="005349EF" w:rsidP="005349EF">
      <w:pPr>
        <w:pStyle w:val="GvdeMetniGirintisi"/>
        <w:tabs>
          <w:tab w:val="left" w:pos="0"/>
        </w:tabs>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increase in size produces a 0.01 % decrease in the share of internal funds in working capital financing.</w:t>
      </w:r>
    </w:p>
    <w:p w:rsidR="00C5157E" w:rsidRDefault="00C5157E" w:rsidP="00C5157E">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The estimated coefficient for size in bank loans regression is statistically significant at the 0.01 level. The positive coefficient indicates that a 10% increase in size brings a 0.01% increase in the proportion of working capital financed with bank loans. The positive statistically significant coefficient of size estimated in suppliers and customers regression shows that a 10% increase in size produces a 0.003% increase in the share of purchases on credit from suppliers and advances from customers in the financing of working capital. We see that size does not have a statistically significant relationship with the share of other sources in working capital financing. </w:t>
      </w:r>
    </w:p>
    <w:p w:rsidR="005349EF" w:rsidRPr="005349EF" w:rsidRDefault="00F55725" w:rsidP="005349EF">
      <w:pPr>
        <w:pStyle w:val="GvdeMetniGirintisi"/>
        <w:spacing w:after="0" w:line="259" w:lineRule="auto"/>
        <w:ind w:left="0"/>
        <w:jc w:val="both"/>
        <w:rPr>
          <w:rFonts w:ascii="Times New Roman" w:hAnsi="Times New Roman" w:cs="Times New Roman"/>
          <w:spacing w:val="5"/>
          <w:sz w:val="24"/>
          <w:szCs w:val="24"/>
        </w:rPr>
      </w:pPr>
      <w:r w:rsidRPr="00E7730E">
        <w:rPr>
          <w:rFonts w:ascii="Times New Roman" w:hAnsi="Times New Roman" w:cs="Times New Roman"/>
          <w:sz w:val="24"/>
          <w:szCs w:val="24"/>
        </w:rPr>
        <w:t xml:space="preserve">The positive statistically significant coefficient of age estimated in internal financing regression shows that a 10% increase in age produces a 0.02% increase in the share of internal funds used for </w:t>
      </w:r>
      <w:r w:rsidRPr="00E14AA3">
        <w:rPr>
          <w:rFonts w:ascii="Times New Roman" w:hAnsi="Times New Roman" w:cs="Times New Roman"/>
          <w:spacing w:val="5"/>
          <w:sz w:val="24"/>
          <w:szCs w:val="24"/>
        </w:rPr>
        <w:t xml:space="preserve">working capital financing. Age has a statistically significant negative impact on the share of </w:t>
      </w:r>
      <w:r w:rsidR="005349EF" w:rsidRPr="00E7730E">
        <w:rPr>
          <w:rFonts w:ascii="Times New Roman" w:hAnsi="Times New Roman" w:cs="Times New Roman"/>
          <w:sz w:val="24"/>
          <w:szCs w:val="24"/>
        </w:rPr>
        <w:t>purchases on credit from suppliers and advances from customers in working capital financing. The coefficient shows that a 10% increase in age brings a 0.01% decrease in the proportion of working capital financed with this source. Age does not affect the share of b</w:t>
      </w:r>
      <w:bookmarkStart w:id="0" w:name="_GoBack"/>
      <w:bookmarkEnd w:id="0"/>
      <w:r w:rsidR="005349EF" w:rsidRPr="00E7730E">
        <w:rPr>
          <w:rFonts w:ascii="Times New Roman" w:hAnsi="Times New Roman" w:cs="Times New Roman"/>
          <w:sz w:val="24"/>
          <w:szCs w:val="24"/>
        </w:rPr>
        <w:t xml:space="preserve">ank loans and other sources in working capital financing. </w:t>
      </w:r>
    </w:p>
    <w:p w:rsidR="005349EF" w:rsidRPr="005349EF" w:rsidRDefault="005349EF" w:rsidP="005349EF">
      <w:pPr>
        <w:pStyle w:val="GvdeMetniGirintisi"/>
        <w:spacing w:after="0" w:line="259" w:lineRule="auto"/>
        <w:ind w:left="0"/>
        <w:jc w:val="both"/>
        <w:rPr>
          <w:rFonts w:ascii="Times New Roman" w:hAnsi="Times New Roman" w:cs="Times New Roman"/>
          <w:spacing w:val="2"/>
          <w:sz w:val="24"/>
          <w:szCs w:val="24"/>
        </w:rPr>
      </w:pPr>
      <w:r w:rsidRPr="00E7730E">
        <w:rPr>
          <w:rFonts w:ascii="Times New Roman" w:hAnsi="Times New Roman" w:cs="Times New Roman"/>
          <w:sz w:val="24"/>
          <w:szCs w:val="24"/>
        </w:rPr>
        <w:t>Group dummy variable has a statistically significant relationship with the share of other sources</w:t>
      </w:r>
      <w:r w:rsidRPr="005349EF">
        <w:rPr>
          <w:rFonts w:ascii="Times New Roman" w:hAnsi="Times New Roman" w:cs="Times New Roman"/>
          <w:sz w:val="24"/>
          <w:szCs w:val="24"/>
        </w:rPr>
        <w:t xml:space="preserve"> </w:t>
      </w:r>
      <w:r w:rsidRPr="005349EF">
        <w:rPr>
          <w:rFonts w:ascii="Times New Roman" w:hAnsi="Times New Roman" w:cs="Times New Roman"/>
          <w:spacing w:val="2"/>
          <w:sz w:val="24"/>
          <w:szCs w:val="24"/>
        </w:rPr>
        <w:t>used for working capital financing. The positive coefficient indicates that firms that are part of a</w:t>
      </w:r>
    </w:p>
    <w:p w:rsidR="0033586C" w:rsidRPr="00963AE3" w:rsidRDefault="00F81D35" w:rsidP="00963AE3">
      <w:pPr>
        <w:pStyle w:val="GvdeMetniGirintisi"/>
        <w:spacing w:after="0" w:line="259" w:lineRule="auto"/>
        <w:ind w:left="0"/>
        <w:jc w:val="both"/>
        <w:rPr>
          <w:rFonts w:ascii="Times New Roman" w:hAnsi="Times New Roman" w:cs="Times New Roman"/>
          <w:b/>
          <w:sz w:val="24"/>
          <w:szCs w:val="24"/>
        </w:rPr>
      </w:pPr>
      <w:r w:rsidRPr="00963AE3">
        <w:rPr>
          <w:rFonts w:ascii="Times New Roman" w:hAnsi="Times New Roman" w:cs="Times New Roman"/>
          <w:b/>
          <w:sz w:val="24"/>
          <w:szCs w:val="24"/>
        </w:rPr>
        <w:lastRenderedPageBreak/>
        <w:t>Table 3</w:t>
      </w:r>
      <w:r w:rsidR="001C450E" w:rsidRPr="00963AE3">
        <w:rPr>
          <w:rFonts w:ascii="Times New Roman" w:hAnsi="Times New Roman" w:cs="Times New Roman"/>
          <w:b/>
          <w:sz w:val="24"/>
          <w:szCs w:val="24"/>
        </w:rPr>
        <w:t>.</w:t>
      </w:r>
      <w:r w:rsidR="0033586C" w:rsidRPr="00963AE3">
        <w:rPr>
          <w:rFonts w:ascii="Times New Roman" w:hAnsi="Times New Roman" w:cs="Times New Roman"/>
          <w:b/>
          <w:sz w:val="24"/>
          <w:szCs w:val="24"/>
        </w:rPr>
        <w:t xml:space="preserve"> Estimation Results for the Composition of the Funding Sources for Working Capital </w:t>
      </w:r>
    </w:p>
    <w:p w:rsidR="001C450E" w:rsidRPr="005B2ED8" w:rsidRDefault="001C450E" w:rsidP="00AF5D14">
      <w:pPr>
        <w:autoSpaceDE w:val="0"/>
        <w:autoSpaceDN w:val="0"/>
        <w:adjustRightInd w:val="0"/>
        <w:spacing w:after="0" w:line="259" w:lineRule="auto"/>
        <w:jc w:val="both"/>
        <w:rPr>
          <w:rFonts w:ascii="Times New Roman" w:hAnsi="Times New Roman" w:cs="Times New Roman"/>
        </w:rPr>
      </w:pPr>
      <w:r w:rsidRPr="005B2ED8">
        <w:rPr>
          <w:rFonts w:ascii="Times New Roman" w:hAnsi="Times New Roman" w:cs="Times New Roman"/>
        </w:rPr>
        <w:t>The table reports the coeffic</w:t>
      </w:r>
      <w:r w:rsidR="001F0552" w:rsidRPr="005B2ED8">
        <w:rPr>
          <w:rFonts w:ascii="Times New Roman" w:hAnsi="Times New Roman" w:cs="Times New Roman"/>
        </w:rPr>
        <w:t>ien</w:t>
      </w:r>
      <w:r w:rsidR="001F4D90" w:rsidRPr="005B2ED8">
        <w:rPr>
          <w:rFonts w:ascii="Times New Roman" w:hAnsi="Times New Roman" w:cs="Times New Roman"/>
        </w:rPr>
        <w:t>ts of the regression results. P-</w:t>
      </w:r>
      <w:r w:rsidR="001F0552" w:rsidRPr="005B2ED8">
        <w:rPr>
          <w:rFonts w:ascii="Times New Roman" w:hAnsi="Times New Roman" w:cs="Times New Roman"/>
        </w:rPr>
        <w:t xml:space="preserve">values are presented </w:t>
      </w:r>
      <w:r w:rsidRPr="005B2ED8">
        <w:rPr>
          <w:rFonts w:ascii="Times New Roman" w:hAnsi="Times New Roman" w:cs="Times New Roman"/>
        </w:rPr>
        <w:t>i</w:t>
      </w:r>
      <w:r w:rsidR="0033586C" w:rsidRPr="005B2ED8">
        <w:rPr>
          <w:rFonts w:ascii="Times New Roman" w:hAnsi="Times New Roman" w:cs="Times New Roman"/>
        </w:rPr>
        <w:t>n parentheses.  Significance at</w:t>
      </w:r>
      <w:r w:rsidRPr="005B2ED8">
        <w:rPr>
          <w:rFonts w:ascii="Times New Roman" w:hAnsi="Times New Roman" w:cs="Times New Roman"/>
        </w:rPr>
        <w:t xml:space="preserve"> the 1%, 5% and 10% are </w:t>
      </w:r>
      <w:r w:rsidR="00017DF3" w:rsidRPr="005B2ED8">
        <w:rPr>
          <w:rFonts w:ascii="Times New Roman" w:hAnsi="Times New Roman" w:cs="Times New Roman"/>
        </w:rPr>
        <w:t>denoted by</w:t>
      </w:r>
      <w:r w:rsidRPr="005B2ED8">
        <w:rPr>
          <w:rFonts w:ascii="Times New Roman" w:hAnsi="Times New Roman" w:cs="Times New Roman"/>
        </w:rPr>
        <w:t xml:space="preserve"> ***, ** and * respectively.</w:t>
      </w:r>
    </w:p>
    <w:p w:rsidR="00A50C1A" w:rsidRPr="005B2ED8" w:rsidRDefault="00A50C1A" w:rsidP="00AF5D14">
      <w:pPr>
        <w:autoSpaceDE w:val="0"/>
        <w:autoSpaceDN w:val="0"/>
        <w:adjustRightInd w:val="0"/>
        <w:spacing w:after="0" w:line="259" w:lineRule="auto"/>
        <w:jc w:val="both"/>
        <w:rPr>
          <w:rFonts w:ascii="Times New Roman" w:hAnsi="Times New Roman" w:cs="Times New Roman"/>
        </w:rPr>
      </w:pPr>
    </w:p>
    <w:tbl>
      <w:tblPr>
        <w:tblW w:w="9606" w:type="dxa"/>
        <w:tblLook w:val="04A0" w:firstRow="1" w:lastRow="0" w:firstColumn="1" w:lastColumn="0" w:noHBand="0" w:noVBand="1"/>
      </w:tblPr>
      <w:tblGrid>
        <w:gridCol w:w="2552"/>
        <w:gridCol w:w="1134"/>
        <w:gridCol w:w="931"/>
        <w:gridCol w:w="1041"/>
        <w:gridCol w:w="1133"/>
        <w:gridCol w:w="1151"/>
        <w:gridCol w:w="1156"/>
        <w:gridCol w:w="601"/>
      </w:tblGrid>
      <w:tr w:rsidR="009A01D9" w:rsidRPr="005B2ED8" w:rsidTr="006F7137">
        <w:trPr>
          <w:trHeight w:val="300"/>
        </w:trPr>
        <w:tc>
          <w:tcPr>
            <w:tcW w:w="2552" w:type="dxa"/>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 </w:t>
            </w:r>
          </w:p>
        </w:tc>
        <w:tc>
          <w:tcPr>
            <w:tcW w:w="3013" w:type="dxa"/>
            <w:gridSpan w:val="3"/>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Independent Variables</w:t>
            </w:r>
          </w:p>
        </w:tc>
        <w:tc>
          <w:tcPr>
            <w:tcW w:w="1133" w:type="dxa"/>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 </w:t>
            </w:r>
          </w:p>
        </w:tc>
        <w:tc>
          <w:tcPr>
            <w:tcW w:w="1151" w:type="dxa"/>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 </w:t>
            </w:r>
          </w:p>
        </w:tc>
        <w:tc>
          <w:tcPr>
            <w:tcW w:w="1156" w:type="dxa"/>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 </w:t>
            </w:r>
          </w:p>
        </w:tc>
        <w:tc>
          <w:tcPr>
            <w:tcW w:w="601" w:type="dxa"/>
            <w:tcBorders>
              <w:top w:val="single" w:sz="4" w:space="0" w:color="auto"/>
              <w:left w:val="nil"/>
              <w:bottom w:val="single" w:sz="4" w:space="0" w:color="auto"/>
              <w:right w:val="nil"/>
            </w:tcBorders>
            <w:shd w:val="clear" w:color="000000" w:fill="FFFFFF"/>
            <w:noWrap/>
            <w:vAlign w:val="bottom"/>
            <w:hideMark/>
          </w:tcPr>
          <w:p w:rsidR="0083759C" w:rsidRPr="005B2ED8" w:rsidRDefault="0083759C" w:rsidP="00AF5D14">
            <w:pPr>
              <w:spacing w:after="0" w:line="259" w:lineRule="auto"/>
              <w:jc w:val="both"/>
              <w:rPr>
                <w:rFonts w:ascii="Times New Roman" w:eastAsia="Times New Roman" w:hAnsi="Times New Roman" w:cs="Times New Roman"/>
              </w:rPr>
            </w:pPr>
            <w:r w:rsidRPr="005B2ED8">
              <w:rPr>
                <w:rFonts w:ascii="Times New Roman" w:eastAsia="Times New Roman" w:hAnsi="Times New Roman" w:cs="Times New Roman"/>
              </w:rPr>
              <w:t> </w:t>
            </w:r>
          </w:p>
        </w:tc>
      </w:tr>
      <w:tr w:rsidR="009A01D9" w:rsidRPr="005B2ED8" w:rsidTr="006F7137">
        <w:trPr>
          <w:trHeight w:val="600"/>
        </w:trPr>
        <w:tc>
          <w:tcPr>
            <w:tcW w:w="2552"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Dependent Variables</w:t>
            </w:r>
          </w:p>
        </w:tc>
        <w:tc>
          <w:tcPr>
            <w:tcW w:w="1134"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Size</w:t>
            </w:r>
          </w:p>
        </w:tc>
        <w:tc>
          <w:tcPr>
            <w:tcW w:w="838"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Age</w:t>
            </w:r>
          </w:p>
        </w:tc>
        <w:tc>
          <w:tcPr>
            <w:tcW w:w="1041"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Group</w:t>
            </w:r>
          </w:p>
        </w:tc>
        <w:tc>
          <w:tcPr>
            <w:tcW w:w="1133"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Sales on Credit</w:t>
            </w:r>
          </w:p>
        </w:tc>
        <w:tc>
          <w:tcPr>
            <w:tcW w:w="1151"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Export</w:t>
            </w:r>
          </w:p>
        </w:tc>
        <w:tc>
          <w:tcPr>
            <w:tcW w:w="1156"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Quality</w:t>
            </w:r>
          </w:p>
        </w:tc>
        <w:tc>
          <w:tcPr>
            <w:tcW w:w="601" w:type="dxa"/>
            <w:tcBorders>
              <w:top w:val="nil"/>
              <w:left w:val="nil"/>
              <w:bottom w:val="single" w:sz="4" w:space="0" w:color="auto"/>
              <w:right w:val="nil"/>
            </w:tcBorders>
            <w:shd w:val="clear" w:color="000000" w:fill="FFFFFF"/>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R</w:t>
            </w:r>
            <w:r w:rsidRPr="005B2ED8">
              <w:rPr>
                <w:rFonts w:ascii="Times New Roman" w:eastAsia="Times New Roman" w:hAnsi="Times New Roman" w:cs="Times New Roman"/>
                <w:vertAlign w:val="superscript"/>
              </w:rPr>
              <w:t>2</w:t>
            </w: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Internal Financing</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0.002**</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-0.033</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-0.022**</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0.02</w:t>
            </w: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(0.003)</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(0.029)</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(0.213)</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(0.445)</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(0.015)</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Bank Loans</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-0.008</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0.016*</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0.04</w:t>
            </w: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(0.008)</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(0.197)</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(0.714)</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(0.435)</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(0.085)</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Suppliers and</w:t>
            </w:r>
            <w:r w:rsidR="006F7137" w:rsidRPr="005B2ED8">
              <w:rPr>
                <w:rFonts w:ascii="Times New Roman" w:eastAsia="Times New Roman" w:hAnsi="Times New Roman" w:cs="Times New Roman"/>
              </w:rPr>
              <w:t xml:space="preserve"> Customers</w:t>
            </w:r>
            <w:r w:rsidRPr="005B2ED8">
              <w:rPr>
                <w:rFonts w:ascii="Times New Roman" w:eastAsia="Times New Roman" w:hAnsi="Times New Roman" w:cs="Times New Roman"/>
              </w:rPr>
              <w:t xml:space="preserve"> </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0.0003**</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0.009</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-0.001</w:t>
            </w:r>
          </w:p>
        </w:tc>
        <w:tc>
          <w:tcPr>
            <w:tcW w:w="601" w:type="dxa"/>
            <w:tcBorders>
              <w:top w:val="nil"/>
              <w:left w:val="nil"/>
              <w:bottom w:val="nil"/>
              <w:right w:val="nil"/>
            </w:tcBorders>
            <w:shd w:val="clear" w:color="000000" w:fill="FFFFFF"/>
            <w:noWrap/>
            <w:vAlign w:val="center"/>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0.06</w:t>
            </w:r>
          </w:p>
        </w:tc>
      </w:tr>
      <w:tr w:rsidR="009A01D9" w:rsidRPr="005B2ED8" w:rsidTr="006F7137">
        <w:trPr>
          <w:trHeight w:val="300"/>
        </w:trPr>
        <w:tc>
          <w:tcPr>
            <w:tcW w:w="2552"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(0.014)</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(0.059)</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(0.529)</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(0.161)</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(0.857)</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(0.912)</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p>
        </w:tc>
      </w:tr>
      <w:tr w:rsidR="009A01D9" w:rsidRPr="005B2ED8" w:rsidTr="006F7137">
        <w:trPr>
          <w:trHeight w:val="300"/>
        </w:trPr>
        <w:tc>
          <w:tcPr>
            <w:tcW w:w="2552" w:type="dxa"/>
            <w:tcBorders>
              <w:top w:val="nil"/>
              <w:left w:val="nil"/>
              <w:bottom w:val="nil"/>
              <w:right w:val="nil"/>
            </w:tcBorders>
            <w:shd w:val="clear" w:color="000000" w:fill="FFFFFF"/>
            <w:vAlign w:val="center"/>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Other</w:t>
            </w:r>
          </w:p>
        </w:tc>
        <w:tc>
          <w:tcPr>
            <w:tcW w:w="1134"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838"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04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0.031***</w:t>
            </w:r>
          </w:p>
        </w:tc>
        <w:tc>
          <w:tcPr>
            <w:tcW w:w="1133"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r w:rsidR="004D15E8" w:rsidRPr="005B2ED8">
              <w:rPr>
                <w:rFonts w:ascii="Times New Roman" w:eastAsia="Times New Roman" w:hAnsi="Times New Roman" w:cs="Times New Roman"/>
              </w:rPr>
              <w:t>3</w:t>
            </w:r>
            <w:r w:rsidRPr="005B2ED8">
              <w:rPr>
                <w:rFonts w:ascii="Times New Roman" w:eastAsia="Times New Roman" w:hAnsi="Times New Roman" w:cs="Times New Roman"/>
              </w:rPr>
              <w:t>***</w:t>
            </w:r>
          </w:p>
        </w:tc>
        <w:tc>
          <w:tcPr>
            <w:tcW w:w="1156"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0.007</w:t>
            </w:r>
          </w:p>
        </w:tc>
        <w:tc>
          <w:tcPr>
            <w:tcW w:w="601" w:type="dxa"/>
            <w:tcBorders>
              <w:top w:val="nil"/>
              <w:left w:val="nil"/>
              <w:bottom w:val="nil"/>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0.02</w:t>
            </w:r>
          </w:p>
        </w:tc>
      </w:tr>
      <w:tr w:rsidR="009A01D9" w:rsidRPr="005B2ED8" w:rsidTr="006F7137">
        <w:trPr>
          <w:trHeight w:val="300"/>
        </w:trPr>
        <w:tc>
          <w:tcPr>
            <w:tcW w:w="2552"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rPr>
                <w:rFonts w:ascii="Times New Roman" w:eastAsia="Times New Roman" w:hAnsi="Times New Roman" w:cs="Times New Roman"/>
              </w:rPr>
            </w:pPr>
            <w:r w:rsidRPr="005B2ED8">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(0.171)</w:t>
            </w:r>
          </w:p>
        </w:tc>
        <w:tc>
          <w:tcPr>
            <w:tcW w:w="838"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(0.866)</w:t>
            </w:r>
          </w:p>
        </w:tc>
        <w:tc>
          <w:tcPr>
            <w:tcW w:w="1041"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(0.002)</w:t>
            </w:r>
          </w:p>
        </w:tc>
        <w:tc>
          <w:tcPr>
            <w:tcW w:w="1133"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(0.510)</w:t>
            </w:r>
          </w:p>
        </w:tc>
        <w:tc>
          <w:tcPr>
            <w:tcW w:w="1151"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(0.000)</w:t>
            </w:r>
          </w:p>
        </w:tc>
        <w:tc>
          <w:tcPr>
            <w:tcW w:w="1156"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r w:rsidRPr="005B2ED8">
              <w:rPr>
                <w:rFonts w:ascii="Times New Roman" w:eastAsia="Times New Roman" w:hAnsi="Times New Roman" w:cs="Times New Roman"/>
              </w:rPr>
              <w:t>(0.166)</w:t>
            </w:r>
          </w:p>
        </w:tc>
        <w:tc>
          <w:tcPr>
            <w:tcW w:w="601" w:type="dxa"/>
            <w:tcBorders>
              <w:top w:val="nil"/>
              <w:left w:val="nil"/>
              <w:bottom w:val="single" w:sz="4" w:space="0" w:color="auto"/>
              <w:right w:val="nil"/>
            </w:tcBorders>
            <w:shd w:val="clear" w:color="000000" w:fill="FFFFFF"/>
            <w:noWrap/>
            <w:vAlign w:val="bottom"/>
            <w:hideMark/>
          </w:tcPr>
          <w:p w:rsidR="0083759C" w:rsidRPr="005B2ED8" w:rsidRDefault="0083759C" w:rsidP="006F7137">
            <w:pPr>
              <w:spacing w:after="0" w:line="259" w:lineRule="auto"/>
              <w:jc w:val="center"/>
              <w:rPr>
                <w:rFonts w:ascii="Times New Roman" w:eastAsia="Times New Roman" w:hAnsi="Times New Roman" w:cs="Times New Roman"/>
              </w:rPr>
            </w:pPr>
          </w:p>
        </w:tc>
      </w:tr>
    </w:tbl>
    <w:p w:rsidR="001C450E" w:rsidRPr="006F7137" w:rsidRDefault="001C450E" w:rsidP="00AF5D14">
      <w:pPr>
        <w:autoSpaceDE w:val="0"/>
        <w:autoSpaceDN w:val="0"/>
        <w:adjustRightInd w:val="0"/>
        <w:spacing w:after="0" w:line="259" w:lineRule="auto"/>
        <w:jc w:val="both"/>
        <w:rPr>
          <w:rFonts w:ascii="Times New Roman" w:hAnsi="Times New Roman" w:cs="Times New Roman"/>
        </w:rPr>
      </w:pPr>
    </w:p>
    <w:p w:rsidR="0092344F" w:rsidRPr="00E7730E" w:rsidRDefault="00782613"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larger firm finance a larger portion of their working capital with sources other than internal financing, bank loans</w:t>
      </w:r>
      <w:r w:rsidR="00B16432" w:rsidRPr="00E7730E">
        <w:rPr>
          <w:rFonts w:ascii="Times New Roman" w:hAnsi="Times New Roman" w:cs="Times New Roman"/>
          <w:sz w:val="24"/>
          <w:szCs w:val="24"/>
        </w:rPr>
        <w:t xml:space="preserve"> and </w:t>
      </w:r>
      <w:r w:rsidRPr="00E7730E">
        <w:rPr>
          <w:rFonts w:ascii="Times New Roman" w:hAnsi="Times New Roman" w:cs="Times New Roman"/>
          <w:sz w:val="24"/>
          <w:szCs w:val="24"/>
        </w:rPr>
        <w:t>purchases on credit from suppliers and advances from customers.  This finding may signal the use of internal capital markets within the groups that the firms are operating in for working capital financing.</w:t>
      </w:r>
    </w:p>
    <w:p w:rsidR="0092344F" w:rsidRPr="00E7730E" w:rsidRDefault="00782613"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The negative statistica</w:t>
      </w:r>
      <w:r w:rsidR="004B38A1" w:rsidRPr="00E7730E">
        <w:rPr>
          <w:rFonts w:ascii="Times New Roman" w:hAnsi="Times New Roman" w:cs="Times New Roman"/>
          <w:sz w:val="24"/>
          <w:szCs w:val="24"/>
        </w:rPr>
        <w:t>lly significant coefficient of sales on c</w:t>
      </w:r>
      <w:r w:rsidRPr="00E7730E">
        <w:rPr>
          <w:rFonts w:ascii="Times New Roman" w:hAnsi="Times New Roman" w:cs="Times New Roman"/>
          <w:sz w:val="24"/>
          <w:szCs w:val="24"/>
        </w:rPr>
        <w:t>redit variable estimated in internal financing regression shows that a 10% increase in the percentage of sales sold on credit brings a 0.01% reduction in the proportion of working capital financed with internal funds. The statistica</w:t>
      </w:r>
      <w:r w:rsidR="004B38A1" w:rsidRPr="00E7730E">
        <w:rPr>
          <w:rFonts w:ascii="Times New Roman" w:hAnsi="Times New Roman" w:cs="Times New Roman"/>
          <w:sz w:val="24"/>
          <w:szCs w:val="24"/>
        </w:rPr>
        <w:t>lly significant coefficient of sales on c</w:t>
      </w:r>
      <w:r w:rsidRPr="00E7730E">
        <w:rPr>
          <w:rFonts w:ascii="Times New Roman" w:hAnsi="Times New Roman" w:cs="Times New Roman"/>
          <w:sz w:val="24"/>
          <w:szCs w:val="24"/>
        </w:rPr>
        <w:t>redit estimated in bank loans regression show</w:t>
      </w:r>
      <w:r w:rsidR="00B16432" w:rsidRPr="00E7730E">
        <w:rPr>
          <w:rFonts w:ascii="Times New Roman" w:hAnsi="Times New Roman" w:cs="Times New Roman"/>
          <w:sz w:val="24"/>
          <w:szCs w:val="24"/>
        </w:rPr>
        <w:t>s</w:t>
      </w:r>
      <w:r w:rsidRPr="00E7730E">
        <w:rPr>
          <w:rFonts w:ascii="Times New Roman" w:hAnsi="Times New Roman" w:cs="Times New Roman"/>
          <w:sz w:val="24"/>
          <w:szCs w:val="24"/>
        </w:rPr>
        <w:t xml:space="preserve"> that the percentage of sales made on credit has a positive relationship with the share of bank loans in working capital financing.  The coefficient indicate</w:t>
      </w:r>
      <w:r w:rsidR="00B16432" w:rsidRPr="00E7730E">
        <w:rPr>
          <w:rFonts w:ascii="Times New Roman" w:hAnsi="Times New Roman" w:cs="Times New Roman"/>
          <w:sz w:val="24"/>
          <w:szCs w:val="24"/>
        </w:rPr>
        <w:t>s</w:t>
      </w:r>
      <w:r w:rsidRPr="00E7730E">
        <w:rPr>
          <w:rFonts w:ascii="Times New Roman" w:hAnsi="Times New Roman" w:cs="Times New Roman"/>
          <w:sz w:val="24"/>
          <w:szCs w:val="24"/>
        </w:rPr>
        <w:t xml:space="preserve"> that a 10% increase in </w:t>
      </w:r>
      <w:r w:rsidR="00B16432" w:rsidRPr="00E7730E">
        <w:rPr>
          <w:rFonts w:ascii="Times New Roman" w:hAnsi="Times New Roman" w:cs="Times New Roman"/>
          <w:sz w:val="24"/>
          <w:szCs w:val="24"/>
        </w:rPr>
        <w:t>the percentage of sales made on credit</w:t>
      </w:r>
      <w:r w:rsidRPr="00E7730E">
        <w:rPr>
          <w:rFonts w:ascii="Times New Roman" w:hAnsi="Times New Roman" w:cs="Times New Roman"/>
          <w:sz w:val="24"/>
          <w:szCs w:val="24"/>
        </w:rPr>
        <w:t xml:space="preserve"> produces a 0.01% increase in the share of bank loans. Sales on credit variable does not have a statistically significant effect on the share of </w:t>
      </w:r>
      <w:r w:rsidR="004B38A1" w:rsidRPr="00E7730E">
        <w:rPr>
          <w:rFonts w:ascii="Times New Roman" w:hAnsi="Times New Roman" w:cs="Times New Roman"/>
          <w:sz w:val="24"/>
          <w:szCs w:val="24"/>
        </w:rPr>
        <w:t xml:space="preserve">the </w:t>
      </w:r>
      <w:r w:rsidRPr="00E7730E">
        <w:rPr>
          <w:rFonts w:ascii="Times New Roman" w:hAnsi="Times New Roman" w:cs="Times New Roman"/>
          <w:sz w:val="24"/>
          <w:szCs w:val="24"/>
        </w:rPr>
        <w:t>other sources of funds</w:t>
      </w:r>
      <w:r w:rsidR="004B38A1" w:rsidRPr="00E7730E">
        <w:rPr>
          <w:rFonts w:ascii="Times New Roman" w:hAnsi="Times New Roman" w:cs="Times New Roman"/>
          <w:sz w:val="24"/>
          <w:szCs w:val="24"/>
        </w:rPr>
        <w:t xml:space="preserve"> in working capital financing</w:t>
      </w:r>
      <w:r w:rsidRPr="00E7730E">
        <w:rPr>
          <w:rFonts w:ascii="Times New Roman" w:hAnsi="Times New Roman" w:cs="Times New Roman"/>
          <w:sz w:val="24"/>
          <w:szCs w:val="24"/>
        </w:rPr>
        <w:t xml:space="preserve">. </w:t>
      </w:r>
    </w:p>
    <w:p w:rsidR="005957A2" w:rsidRPr="00E7730E" w:rsidRDefault="00C41957"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The estimated coefficient</w:t>
      </w:r>
      <w:r w:rsidR="005957A2" w:rsidRPr="00E7730E">
        <w:rPr>
          <w:rFonts w:ascii="Times New Roman" w:hAnsi="Times New Roman" w:cs="Times New Roman"/>
          <w:sz w:val="24"/>
          <w:szCs w:val="24"/>
        </w:rPr>
        <w:t xml:space="preserve"> of </w:t>
      </w:r>
      <w:r w:rsidR="004B38A1" w:rsidRPr="00E7730E">
        <w:rPr>
          <w:rFonts w:ascii="Times New Roman" w:hAnsi="Times New Roman" w:cs="Times New Roman"/>
          <w:sz w:val="24"/>
          <w:szCs w:val="24"/>
        </w:rPr>
        <w:t>export variable in o</w:t>
      </w:r>
      <w:r w:rsidRPr="00E7730E">
        <w:rPr>
          <w:rFonts w:ascii="Times New Roman" w:hAnsi="Times New Roman" w:cs="Times New Roman"/>
          <w:sz w:val="24"/>
          <w:szCs w:val="24"/>
        </w:rPr>
        <w:t>ther regression is statistically significant at the 0.01 level. However, the coefficient that is approximately zero shows that</w:t>
      </w:r>
      <w:r w:rsidR="005957A2" w:rsidRPr="00E7730E">
        <w:rPr>
          <w:rFonts w:ascii="Times New Roman" w:hAnsi="Times New Roman" w:cs="Times New Roman"/>
          <w:sz w:val="24"/>
          <w:szCs w:val="24"/>
        </w:rPr>
        <w:t xml:space="preserve"> the</w:t>
      </w:r>
      <w:r w:rsidRPr="00E7730E">
        <w:rPr>
          <w:rFonts w:ascii="Times New Roman" w:hAnsi="Times New Roman" w:cs="Times New Roman"/>
          <w:sz w:val="24"/>
          <w:szCs w:val="24"/>
        </w:rPr>
        <w:t xml:space="preserve"> percentage of sales exported has a minuscule effect on the proportion of working capital that is financed with </w:t>
      </w:r>
      <w:r w:rsidR="005957A2" w:rsidRPr="00E7730E">
        <w:rPr>
          <w:rFonts w:ascii="Times New Roman" w:hAnsi="Times New Roman" w:cs="Times New Roman"/>
          <w:sz w:val="24"/>
          <w:szCs w:val="24"/>
        </w:rPr>
        <w:t>other sources such as debt received from nonbank financial institutions and funds provided by microfinance institutions, credit cooperatives, money lenders, friends, relatives, etc.</w:t>
      </w:r>
    </w:p>
    <w:p w:rsidR="00BB645E" w:rsidRPr="00E7730E" w:rsidRDefault="00AC3D8B" w:rsidP="006F7137">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Quality dummy variable has a statistically significant negative relationship with the share of internal funds used in working capital financing. The negative relationship shows that SMEs that has an internationally recognized quality certification finance a lower proportion of their </w:t>
      </w:r>
      <w:r w:rsidR="00D641E5" w:rsidRPr="00E7730E">
        <w:rPr>
          <w:rFonts w:ascii="Times New Roman" w:hAnsi="Times New Roman" w:cs="Times New Roman"/>
          <w:sz w:val="24"/>
          <w:szCs w:val="24"/>
        </w:rPr>
        <w:t>working capital</w:t>
      </w:r>
      <w:r w:rsidRPr="00E7730E">
        <w:rPr>
          <w:rFonts w:ascii="Times New Roman" w:hAnsi="Times New Roman" w:cs="Times New Roman"/>
          <w:sz w:val="24"/>
          <w:szCs w:val="24"/>
        </w:rPr>
        <w:t xml:space="preserve"> with internal funds. The esti</w:t>
      </w:r>
      <w:r w:rsidR="005957A2" w:rsidRPr="00E7730E">
        <w:rPr>
          <w:rFonts w:ascii="Times New Roman" w:hAnsi="Times New Roman" w:cs="Times New Roman"/>
          <w:sz w:val="24"/>
          <w:szCs w:val="24"/>
        </w:rPr>
        <w:t>mated positive coefficient for q</w:t>
      </w:r>
      <w:r w:rsidRPr="00E7730E">
        <w:rPr>
          <w:rFonts w:ascii="Times New Roman" w:hAnsi="Times New Roman" w:cs="Times New Roman"/>
          <w:sz w:val="24"/>
          <w:szCs w:val="24"/>
        </w:rPr>
        <w:t xml:space="preserve">uality dummy variable in </w:t>
      </w:r>
      <w:r w:rsidR="005957A2" w:rsidRPr="00E7730E">
        <w:rPr>
          <w:rFonts w:ascii="Times New Roman" w:hAnsi="Times New Roman" w:cs="Times New Roman"/>
          <w:sz w:val="24"/>
          <w:szCs w:val="24"/>
        </w:rPr>
        <w:t xml:space="preserve">bank </w:t>
      </w:r>
      <w:r w:rsidR="000456F8" w:rsidRPr="00E7730E">
        <w:rPr>
          <w:rFonts w:ascii="Times New Roman" w:hAnsi="Times New Roman" w:cs="Times New Roman"/>
          <w:sz w:val="24"/>
          <w:szCs w:val="24"/>
        </w:rPr>
        <w:t>loans</w:t>
      </w:r>
      <w:r w:rsidRPr="00E7730E">
        <w:rPr>
          <w:rFonts w:ascii="Times New Roman" w:hAnsi="Times New Roman" w:cs="Times New Roman"/>
          <w:sz w:val="24"/>
          <w:szCs w:val="24"/>
        </w:rPr>
        <w:t xml:space="preserve"> regression is statistically significant at the 0.05 level</w:t>
      </w:r>
      <w:r w:rsidR="005957A2" w:rsidRPr="00E7730E">
        <w:rPr>
          <w:rFonts w:ascii="Times New Roman" w:hAnsi="Times New Roman" w:cs="Times New Roman"/>
          <w:sz w:val="24"/>
          <w:szCs w:val="24"/>
        </w:rPr>
        <w:t xml:space="preserve">. </w:t>
      </w:r>
      <w:r w:rsidRPr="00E7730E">
        <w:rPr>
          <w:rFonts w:ascii="Times New Roman" w:hAnsi="Times New Roman" w:cs="Times New Roman"/>
          <w:sz w:val="24"/>
          <w:szCs w:val="24"/>
        </w:rPr>
        <w:t xml:space="preserve">The positive coefficient shows that SMEs that have an internationally recognized quality certification finance a higher </w:t>
      </w:r>
      <w:r w:rsidR="00017DF3" w:rsidRPr="00E7730E">
        <w:rPr>
          <w:rFonts w:ascii="Times New Roman" w:hAnsi="Times New Roman" w:cs="Times New Roman"/>
          <w:sz w:val="24"/>
          <w:szCs w:val="24"/>
        </w:rPr>
        <w:t>proportion</w:t>
      </w:r>
      <w:r w:rsidRPr="00E7730E">
        <w:rPr>
          <w:rFonts w:ascii="Times New Roman" w:hAnsi="Times New Roman" w:cs="Times New Roman"/>
          <w:sz w:val="24"/>
          <w:szCs w:val="24"/>
        </w:rPr>
        <w:t xml:space="preserve"> of their fixed asset investments </w:t>
      </w:r>
      <w:r w:rsidRPr="00E7730E">
        <w:rPr>
          <w:rFonts w:ascii="Times New Roman" w:eastAsia="Times New Roman" w:hAnsi="Times New Roman" w:cs="Times New Roman"/>
          <w:sz w:val="24"/>
          <w:szCs w:val="24"/>
        </w:rPr>
        <w:t xml:space="preserve">with </w:t>
      </w:r>
      <w:r w:rsidR="000456F8" w:rsidRPr="00E7730E">
        <w:rPr>
          <w:rFonts w:ascii="Times New Roman" w:eastAsia="Times New Roman" w:hAnsi="Times New Roman" w:cs="Times New Roman"/>
          <w:sz w:val="24"/>
          <w:szCs w:val="24"/>
        </w:rPr>
        <w:t xml:space="preserve">bank loans. </w:t>
      </w:r>
      <w:r w:rsidRPr="00E7730E">
        <w:rPr>
          <w:rFonts w:ascii="Times New Roman" w:eastAsia="Times New Roman" w:hAnsi="Times New Roman" w:cs="Times New Roman"/>
          <w:sz w:val="24"/>
          <w:szCs w:val="24"/>
        </w:rPr>
        <w:t xml:space="preserve">This finding may signal that </w:t>
      </w:r>
      <w:r w:rsidR="00B16432" w:rsidRPr="00E7730E">
        <w:rPr>
          <w:rFonts w:ascii="Times New Roman" w:eastAsia="Times New Roman" w:hAnsi="Times New Roman" w:cs="Times New Roman"/>
          <w:sz w:val="24"/>
          <w:szCs w:val="24"/>
        </w:rPr>
        <w:t xml:space="preserve">the </w:t>
      </w:r>
      <w:r w:rsidRPr="00E7730E">
        <w:rPr>
          <w:rFonts w:ascii="Times New Roman" w:eastAsia="Times New Roman" w:hAnsi="Times New Roman" w:cs="Times New Roman"/>
          <w:sz w:val="24"/>
          <w:szCs w:val="24"/>
        </w:rPr>
        <w:t xml:space="preserve">existence of such a certification may make </w:t>
      </w:r>
      <w:r w:rsidR="005957A2" w:rsidRPr="00E7730E">
        <w:rPr>
          <w:rFonts w:ascii="Times New Roman" w:eastAsia="Times New Roman" w:hAnsi="Times New Roman" w:cs="Times New Roman"/>
          <w:sz w:val="24"/>
          <w:szCs w:val="24"/>
        </w:rPr>
        <w:t xml:space="preserve">it </w:t>
      </w:r>
      <w:r w:rsidRPr="00E7730E">
        <w:rPr>
          <w:rFonts w:ascii="Times New Roman" w:eastAsia="Times New Roman" w:hAnsi="Times New Roman" w:cs="Times New Roman"/>
          <w:sz w:val="24"/>
          <w:szCs w:val="24"/>
        </w:rPr>
        <w:t xml:space="preserve">easier for firms to have access to </w:t>
      </w:r>
      <w:r w:rsidR="000456F8" w:rsidRPr="00E7730E">
        <w:rPr>
          <w:rFonts w:ascii="Times New Roman" w:eastAsia="Times New Roman" w:hAnsi="Times New Roman" w:cs="Times New Roman"/>
          <w:sz w:val="24"/>
          <w:szCs w:val="24"/>
        </w:rPr>
        <w:t xml:space="preserve">bank financing. </w:t>
      </w:r>
    </w:p>
    <w:p w:rsidR="0049781E" w:rsidRPr="00E7730E" w:rsidRDefault="0049781E" w:rsidP="00AF5D14">
      <w:pPr>
        <w:autoSpaceDE w:val="0"/>
        <w:autoSpaceDN w:val="0"/>
        <w:adjustRightInd w:val="0"/>
        <w:spacing w:after="0" w:line="259" w:lineRule="auto"/>
        <w:jc w:val="both"/>
        <w:rPr>
          <w:rFonts w:ascii="Times New Roman" w:hAnsi="Times New Roman" w:cs="Times New Roman"/>
          <w:sz w:val="24"/>
          <w:szCs w:val="24"/>
        </w:rPr>
      </w:pPr>
    </w:p>
    <w:p w:rsidR="0033586C" w:rsidRPr="006F7137" w:rsidRDefault="005B2ED8" w:rsidP="00AF5D14">
      <w:pPr>
        <w:pStyle w:val="MTDisplayEquation"/>
        <w:spacing w:line="259" w:lineRule="auto"/>
        <w:ind w:firstLine="0"/>
        <w:rPr>
          <w:b/>
          <w:sz w:val="26"/>
          <w:szCs w:val="26"/>
        </w:rPr>
      </w:pPr>
      <w:r>
        <w:rPr>
          <w:b/>
          <w:sz w:val="26"/>
          <w:szCs w:val="26"/>
        </w:rPr>
        <w:lastRenderedPageBreak/>
        <w:t>4</w:t>
      </w:r>
      <w:r w:rsidR="0033586C" w:rsidRPr="006F7137">
        <w:rPr>
          <w:b/>
          <w:sz w:val="26"/>
          <w:szCs w:val="26"/>
        </w:rPr>
        <w:t>.</w:t>
      </w:r>
      <w:r w:rsidR="0005495A" w:rsidRPr="006F7137">
        <w:rPr>
          <w:b/>
          <w:sz w:val="26"/>
          <w:szCs w:val="26"/>
        </w:rPr>
        <w:t>2</w:t>
      </w:r>
      <w:r w:rsidR="0033586C" w:rsidRPr="006F7137">
        <w:rPr>
          <w:b/>
          <w:sz w:val="26"/>
          <w:szCs w:val="26"/>
        </w:rPr>
        <w:t xml:space="preserve">. Results of the System of Equations Model for the Composition of the Funding Sources for Fixed Asset Investments </w:t>
      </w:r>
    </w:p>
    <w:p w:rsidR="0049781E" w:rsidRPr="00E7730E" w:rsidRDefault="0033586C" w:rsidP="00AF5D14">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The estimation results of the system of equations described by equations (</w:t>
      </w:r>
      <w:r w:rsidR="00B16432" w:rsidRPr="00E7730E">
        <w:rPr>
          <w:rFonts w:ascii="Times New Roman" w:hAnsi="Times New Roman" w:cs="Times New Roman"/>
          <w:sz w:val="24"/>
          <w:szCs w:val="24"/>
        </w:rPr>
        <w:t>5</w:t>
      </w:r>
      <w:r w:rsidRPr="00E7730E">
        <w:rPr>
          <w:rFonts w:ascii="Times New Roman" w:hAnsi="Times New Roman" w:cs="Times New Roman"/>
          <w:sz w:val="24"/>
          <w:szCs w:val="24"/>
        </w:rPr>
        <w:t>)-(</w:t>
      </w:r>
      <w:r w:rsidR="00B16432" w:rsidRPr="00E7730E">
        <w:rPr>
          <w:rFonts w:ascii="Times New Roman" w:hAnsi="Times New Roman" w:cs="Times New Roman"/>
          <w:sz w:val="24"/>
          <w:szCs w:val="24"/>
        </w:rPr>
        <w:t>9</w:t>
      </w:r>
      <w:r w:rsidRPr="00E7730E">
        <w:rPr>
          <w:rFonts w:ascii="Times New Roman" w:hAnsi="Times New Roman" w:cs="Times New Roman"/>
          <w:sz w:val="24"/>
          <w:szCs w:val="24"/>
        </w:rPr>
        <w:t xml:space="preserve">) where the dependent variables give the proportion of fixed asset investments financed with each source are given in Table </w:t>
      </w:r>
      <w:r w:rsidR="003C4D4B" w:rsidRPr="00E7730E">
        <w:rPr>
          <w:rFonts w:ascii="Times New Roman" w:hAnsi="Times New Roman" w:cs="Times New Roman"/>
          <w:sz w:val="24"/>
          <w:szCs w:val="24"/>
        </w:rPr>
        <w:t>4</w:t>
      </w:r>
      <w:r w:rsidRPr="00E7730E">
        <w:rPr>
          <w:rFonts w:ascii="Times New Roman" w:hAnsi="Times New Roman" w:cs="Times New Roman"/>
          <w:sz w:val="24"/>
          <w:szCs w:val="24"/>
        </w:rPr>
        <w:t xml:space="preserve">. </w:t>
      </w:r>
    </w:p>
    <w:p w:rsidR="0005495A" w:rsidRPr="00E7730E" w:rsidRDefault="0005495A" w:rsidP="00AF5D14">
      <w:pPr>
        <w:pStyle w:val="MTDisplayEquation"/>
        <w:spacing w:line="259" w:lineRule="auto"/>
        <w:ind w:firstLine="0"/>
      </w:pPr>
    </w:p>
    <w:p w:rsidR="0033586C" w:rsidRPr="006F7137" w:rsidRDefault="0033586C" w:rsidP="00AF5D14">
      <w:pPr>
        <w:pStyle w:val="MTDisplayEquation"/>
        <w:spacing w:line="259" w:lineRule="auto"/>
        <w:ind w:firstLine="0"/>
        <w:rPr>
          <w:b/>
        </w:rPr>
      </w:pPr>
      <w:r w:rsidRPr="006F7137">
        <w:rPr>
          <w:b/>
        </w:rPr>
        <w:t xml:space="preserve">Table </w:t>
      </w:r>
      <w:r w:rsidR="003C4D4B" w:rsidRPr="006F7137">
        <w:rPr>
          <w:b/>
        </w:rPr>
        <w:t>4</w:t>
      </w:r>
      <w:r w:rsidRPr="006F7137">
        <w:rPr>
          <w:b/>
        </w:rPr>
        <w:t>. Estimation Results for the Composition of the Funding Sources for Fixed Asset Investments</w:t>
      </w:r>
    </w:p>
    <w:p w:rsidR="0033586C" w:rsidRPr="005B2ED8" w:rsidRDefault="0033586C" w:rsidP="00AF5D14">
      <w:pPr>
        <w:autoSpaceDE w:val="0"/>
        <w:autoSpaceDN w:val="0"/>
        <w:adjustRightInd w:val="0"/>
        <w:spacing w:after="0" w:line="259" w:lineRule="auto"/>
        <w:jc w:val="both"/>
        <w:rPr>
          <w:rFonts w:ascii="Times New Roman" w:hAnsi="Times New Roman" w:cs="Times New Roman"/>
        </w:rPr>
      </w:pPr>
      <w:r w:rsidRPr="005B2ED8">
        <w:rPr>
          <w:rFonts w:ascii="Times New Roman" w:hAnsi="Times New Roman" w:cs="Times New Roman"/>
        </w:rPr>
        <w:t xml:space="preserve">The table reports the coefficients of the regression results. P-values are presented in parentheses.  Significance </w:t>
      </w:r>
      <w:r w:rsidR="00017DF3" w:rsidRPr="005B2ED8">
        <w:rPr>
          <w:rFonts w:ascii="Times New Roman" w:hAnsi="Times New Roman" w:cs="Times New Roman"/>
        </w:rPr>
        <w:t>at the</w:t>
      </w:r>
      <w:r w:rsidRPr="005B2ED8">
        <w:rPr>
          <w:rFonts w:ascii="Times New Roman" w:hAnsi="Times New Roman" w:cs="Times New Roman"/>
        </w:rPr>
        <w:t xml:space="preserve"> 1%, 5% and 10% are </w:t>
      </w:r>
      <w:r w:rsidR="00017DF3" w:rsidRPr="005B2ED8">
        <w:rPr>
          <w:rFonts w:ascii="Times New Roman" w:hAnsi="Times New Roman" w:cs="Times New Roman"/>
        </w:rPr>
        <w:t>denoted by</w:t>
      </w:r>
      <w:r w:rsidRPr="005B2ED8">
        <w:rPr>
          <w:rFonts w:ascii="Times New Roman" w:hAnsi="Times New Roman" w:cs="Times New Roman"/>
        </w:rPr>
        <w:t xml:space="preserve"> ***, ** and * respectively.</w:t>
      </w:r>
    </w:p>
    <w:p w:rsidR="004B1B65" w:rsidRPr="005B2ED8" w:rsidRDefault="004B1B65" w:rsidP="00AF5D14">
      <w:pPr>
        <w:autoSpaceDE w:val="0"/>
        <w:autoSpaceDN w:val="0"/>
        <w:adjustRightInd w:val="0"/>
        <w:spacing w:after="0" w:line="259" w:lineRule="auto"/>
        <w:jc w:val="both"/>
        <w:rPr>
          <w:rFonts w:ascii="Times New Roman" w:hAnsi="Times New Roman" w:cs="Times New Roman"/>
        </w:rPr>
      </w:pPr>
    </w:p>
    <w:tbl>
      <w:tblPr>
        <w:tblW w:w="9781" w:type="dxa"/>
        <w:tblLayout w:type="fixed"/>
        <w:tblLook w:val="04A0" w:firstRow="1" w:lastRow="0" w:firstColumn="1" w:lastColumn="0" w:noHBand="0" w:noVBand="1"/>
      </w:tblPr>
      <w:tblGrid>
        <w:gridCol w:w="2552"/>
        <w:gridCol w:w="1134"/>
        <w:gridCol w:w="1134"/>
        <w:gridCol w:w="992"/>
        <w:gridCol w:w="1134"/>
        <w:gridCol w:w="1134"/>
        <w:gridCol w:w="992"/>
        <w:gridCol w:w="709"/>
      </w:tblGrid>
      <w:tr w:rsidR="009A01D9" w:rsidRPr="00E7730E" w:rsidTr="00C461D9">
        <w:trPr>
          <w:trHeight w:val="300"/>
        </w:trPr>
        <w:tc>
          <w:tcPr>
            <w:tcW w:w="2552" w:type="dxa"/>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c>
          <w:tcPr>
            <w:tcW w:w="3260" w:type="dxa"/>
            <w:gridSpan w:val="3"/>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Independent Variables</w:t>
            </w:r>
          </w:p>
        </w:tc>
        <w:tc>
          <w:tcPr>
            <w:tcW w:w="1134" w:type="dxa"/>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c>
          <w:tcPr>
            <w:tcW w:w="709" w:type="dxa"/>
            <w:tcBorders>
              <w:top w:val="single" w:sz="4" w:space="0" w:color="auto"/>
              <w:left w:val="nil"/>
              <w:bottom w:val="single" w:sz="4" w:space="0" w:color="auto"/>
              <w:right w:val="nil"/>
            </w:tcBorders>
            <w:shd w:val="clear" w:color="000000" w:fill="FFFFFF"/>
            <w:noWrap/>
            <w:vAlign w:val="bottom"/>
            <w:hideMark/>
          </w:tcPr>
          <w:p w:rsidR="0083759C" w:rsidRPr="006F7137" w:rsidRDefault="0083759C" w:rsidP="00AF5D14">
            <w:pPr>
              <w:spacing w:after="0" w:line="259" w:lineRule="auto"/>
              <w:jc w:val="both"/>
              <w:rPr>
                <w:rFonts w:ascii="Times New Roman" w:eastAsia="Times New Roman" w:hAnsi="Times New Roman" w:cs="Times New Roman"/>
              </w:rPr>
            </w:pPr>
            <w:r w:rsidRPr="006F7137">
              <w:rPr>
                <w:rFonts w:ascii="Times New Roman" w:eastAsia="Times New Roman" w:hAnsi="Times New Roman" w:cs="Times New Roman"/>
              </w:rPr>
              <w:t> </w:t>
            </w:r>
          </w:p>
        </w:tc>
      </w:tr>
      <w:tr w:rsidR="00C461D9" w:rsidRPr="00E7730E" w:rsidTr="00C461D9">
        <w:trPr>
          <w:trHeight w:val="600"/>
        </w:trPr>
        <w:tc>
          <w:tcPr>
            <w:tcW w:w="2552"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Dependent Variables</w:t>
            </w:r>
          </w:p>
        </w:tc>
        <w:tc>
          <w:tcPr>
            <w:tcW w:w="1134"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Size</w:t>
            </w:r>
          </w:p>
        </w:tc>
        <w:tc>
          <w:tcPr>
            <w:tcW w:w="1134"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Age</w:t>
            </w:r>
          </w:p>
        </w:tc>
        <w:tc>
          <w:tcPr>
            <w:tcW w:w="992"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Group</w:t>
            </w:r>
          </w:p>
        </w:tc>
        <w:tc>
          <w:tcPr>
            <w:tcW w:w="1134"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Sales on Credit</w:t>
            </w:r>
          </w:p>
        </w:tc>
        <w:tc>
          <w:tcPr>
            <w:tcW w:w="1134"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Export</w:t>
            </w:r>
          </w:p>
        </w:tc>
        <w:tc>
          <w:tcPr>
            <w:tcW w:w="992"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Quality</w:t>
            </w:r>
          </w:p>
        </w:tc>
        <w:tc>
          <w:tcPr>
            <w:tcW w:w="709"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R</w:t>
            </w:r>
            <w:r w:rsidRPr="006F7137">
              <w:rPr>
                <w:rFonts w:ascii="Times New Roman" w:eastAsia="Times New Roman" w:hAnsi="Times New Roman" w:cs="Times New Roman"/>
                <w:vertAlign w:val="superscript"/>
              </w:rPr>
              <w:t>2</w:t>
            </w: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Internal Financing</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0.005***</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-0065</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-0.037</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0.02</w:t>
            </w: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(0.218)</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(0.003)</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(0.165)</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(0.034)</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(0.214)</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Owner and Equity</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-0.022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0.017</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0.03</w:t>
            </w: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(0.315)</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(0.439)</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(0.402)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(0.793)</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(0.668)</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(0.299)</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Bank Loans</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-0.004***</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0.052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0.011</w:t>
            </w:r>
          </w:p>
        </w:tc>
        <w:tc>
          <w:tcPr>
            <w:tcW w:w="709" w:type="dxa"/>
            <w:tcBorders>
              <w:top w:val="nil"/>
              <w:left w:val="nil"/>
              <w:bottom w:val="nil"/>
              <w:right w:val="nil"/>
            </w:tcBorders>
            <w:shd w:val="clear" w:color="000000" w:fill="FFFFFF"/>
            <w:noWrap/>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0.09</w:t>
            </w: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 </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(0.156)</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(0.006)</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(0.258)</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(0.960)</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(0.697)</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p>
        </w:tc>
      </w:tr>
      <w:tr w:rsidR="00C461D9" w:rsidRPr="00E7730E" w:rsidTr="00C461D9">
        <w:trPr>
          <w:trHeight w:val="300"/>
        </w:trPr>
        <w:tc>
          <w:tcPr>
            <w:tcW w:w="2552" w:type="dxa"/>
            <w:tcBorders>
              <w:top w:val="nil"/>
              <w:left w:val="nil"/>
              <w:bottom w:val="nil"/>
              <w:right w:val="nil"/>
            </w:tcBorders>
            <w:shd w:val="clear" w:color="000000" w:fill="FFFFFF"/>
            <w:vAlign w:val="center"/>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Suppliers and Customers</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0.017**</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0.0002**</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0.004</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0.03</w:t>
            </w: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(0.744)</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(0.697)</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(0.065)</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(0.997)</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(0.023)</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(0.405)</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p>
        </w:tc>
      </w:tr>
      <w:tr w:rsidR="00C461D9" w:rsidRPr="00E7730E" w:rsidTr="00C461D9">
        <w:trPr>
          <w:trHeight w:val="300"/>
        </w:trPr>
        <w:tc>
          <w:tcPr>
            <w:tcW w:w="255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Other</w:t>
            </w:r>
          </w:p>
        </w:tc>
        <w:tc>
          <w:tcPr>
            <w:tcW w:w="1134" w:type="dxa"/>
            <w:tcBorders>
              <w:top w:val="nil"/>
              <w:left w:val="nil"/>
              <w:bottom w:val="nil"/>
              <w:right w:val="nil"/>
            </w:tcBorders>
            <w:shd w:val="clear" w:color="000000" w:fill="FFFFFF"/>
            <w:noWrap/>
            <w:vAlign w:val="bottom"/>
            <w:hideMark/>
          </w:tcPr>
          <w:p w:rsidR="0083759C" w:rsidRPr="006F7137" w:rsidRDefault="000E0449"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-0.0002*</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0.0002</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0.018</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1134"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0.001***</w:t>
            </w:r>
          </w:p>
        </w:tc>
        <w:tc>
          <w:tcPr>
            <w:tcW w:w="992"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0.004</w:t>
            </w:r>
          </w:p>
        </w:tc>
        <w:tc>
          <w:tcPr>
            <w:tcW w:w="709" w:type="dxa"/>
            <w:tcBorders>
              <w:top w:val="nil"/>
              <w:left w:val="nil"/>
              <w:bottom w:val="nil"/>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0.07</w:t>
            </w:r>
          </w:p>
        </w:tc>
      </w:tr>
      <w:tr w:rsidR="00C461D9" w:rsidRPr="00E7730E" w:rsidTr="00C461D9">
        <w:trPr>
          <w:trHeight w:val="300"/>
        </w:trPr>
        <w:tc>
          <w:tcPr>
            <w:tcW w:w="2552"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rPr>
                <w:rFonts w:ascii="Times New Roman" w:eastAsia="Times New Roman" w:hAnsi="Times New Roman" w:cs="Times New Roman"/>
              </w:rPr>
            </w:pPr>
            <w:r w:rsidRPr="006F713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(0.065)</w:t>
            </w:r>
          </w:p>
        </w:tc>
        <w:tc>
          <w:tcPr>
            <w:tcW w:w="1134"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(0.731)</w:t>
            </w:r>
          </w:p>
        </w:tc>
        <w:tc>
          <w:tcPr>
            <w:tcW w:w="992"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(0.220)</w:t>
            </w:r>
          </w:p>
        </w:tc>
        <w:tc>
          <w:tcPr>
            <w:tcW w:w="1134"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(0.645)</w:t>
            </w:r>
          </w:p>
        </w:tc>
        <w:tc>
          <w:tcPr>
            <w:tcW w:w="1134"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(0.000)</w:t>
            </w:r>
          </w:p>
        </w:tc>
        <w:tc>
          <w:tcPr>
            <w:tcW w:w="992" w:type="dxa"/>
            <w:tcBorders>
              <w:top w:val="nil"/>
              <w:left w:val="nil"/>
              <w:bottom w:val="single" w:sz="4" w:space="0" w:color="auto"/>
              <w:right w:val="nil"/>
            </w:tcBorders>
            <w:shd w:val="clear" w:color="000000" w:fill="FFFFFF"/>
            <w:noWrap/>
            <w:vAlign w:val="bottom"/>
            <w:hideMark/>
          </w:tcPr>
          <w:p w:rsidR="0083759C" w:rsidRPr="006F7137" w:rsidRDefault="0083759C" w:rsidP="006F7137">
            <w:pPr>
              <w:spacing w:after="0" w:line="259" w:lineRule="auto"/>
              <w:jc w:val="center"/>
              <w:rPr>
                <w:rFonts w:ascii="Times New Roman" w:eastAsia="Times New Roman" w:hAnsi="Times New Roman" w:cs="Times New Roman"/>
              </w:rPr>
            </w:pPr>
            <w:r w:rsidRPr="006F7137">
              <w:rPr>
                <w:rFonts w:ascii="Times New Roman" w:eastAsia="Times New Roman" w:hAnsi="Times New Roman" w:cs="Times New Roman"/>
              </w:rPr>
              <w:t>(0.674)</w:t>
            </w:r>
          </w:p>
        </w:tc>
        <w:tc>
          <w:tcPr>
            <w:tcW w:w="709" w:type="dxa"/>
            <w:tcBorders>
              <w:top w:val="nil"/>
              <w:left w:val="nil"/>
              <w:bottom w:val="single" w:sz="4" w:space="0" w:color="auto"/>
              <w:right w:val="nil"/>
            </w:tcBorders>
            <w:shd w:val="clear" w:color="000000" w:fill="FFFFFF"/>
            <w:vAlign w:val="center"/>
            <w:hideMark/>
          </w:tcPr>
          <w:p w:rsidR="0083759C" w:rsidRPr="006F7137" w:rsidRDefault="0083759C" w:rsidP="006F7137">
            <w:pPr>
              <w:spacing w:after="0" w:line="259" w:lineRule="auto"/>
              <w:jc w:val="center"/>
              <w:rPr>
                <w:rFonts w:ascii="Times New Roman" w:eastAsia="Times New Roman" w:hAnsi="Times New Roman" w:cs="Times New Roman"/>
              </w:rPr>
            </w:pPr>
          </w:p>
        </w:tc>
      </w:tr>
    </w:tbl>
    <w:p w:rsidR="004B1B65" w:rsidRPr="00E7730E" w:rsidRDefault="004B1B65" w:rsidP="00AF5D14">
      <w:pPr>
        <w:tabs>
          <w:tab w:val="left" w:pos="2268"/>
        </w:tabs>
        <w:autoSpaceDE w:val="0"/>
        <w:autoSpaceDN w:val="0"/>
        <w:adjustRightInd w:val="0"/>
        <w:spacing w:after="0" w:line="259" w:lineRule="auto"/>
        <w:jc w:val="both"/>
        <w:rPr>
          <w:rFonts w:ascii="Times New Roman" w:hAnsi="Times New Roman" w:cs="Times New Roman"/>
          <w:sz w:val="24"/>
          <w:szCs w:val="24"/>
        </w:rPr>
      </w:pPr>
    </w:p>
    <w:p w:rsidR="00685E38" w:rsidRPr="00E7730E" w:rsidRDefault="002535B6"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We see that size </w:t>
      </w:r>
      <w:r w:rsidR="00C96450" w:rsidRPr="00E7730E">
        <w:rPr>
          <w:rFonts w:ascii="Times New Roman" w:hAnsi="Times New Roman" w:cs="Times New Roman"/>
          <w:sz w:val="24"/>
          <w:szCs w:val="24"/>
        </w:rPr>
        <w:t>has</w:t>
      </w:r>
      <w:r w:rsidRPr="00E7730E">
        <w:rPr>
          <w:rFonts w:ascii="Times New Roman" w:hAnsi="Times New Roman" w:cs="Times New Roman"/>
          <w:sz w:val="24"/>
          <w:szCs w:val="24"/>
        </w:rPr>
        <w:t xml:space="preserve"> a</w:t>
      </w:r>
      <w:r w:rsidR="00597ED6" w:rsidRPr="00E7730E">
        <w:rPr>
          <w:rFonts w:ascii="Times New Roman" w:hAnsi="Times New Roman" w:cs="Times New Roman"/>
          <w:sz w:val="24"/>
          <w:szCs w:val="24"/>
        </w:rPr>
        <w:t xml:space="preserve"> negative</w:t>
      </w:r>
      <w:r w:rsidRPr="00E7730E">
        <w:rPr>
          <w:rFonts w:ascii="Times New Roman" w:hAnsi="Times New Roman" w:cs="Times New Roman"/>
          <w:sz w:val="24"/>
          <w:szCs w:val="24"/>
        </w:rPr>
        <w:t xml:space="preserve"> relationship with the proportion of </w:t>
      </w:r>
      <w:r w:rsidR="00557B61" w:rsidRPr="00E7730E">
        <w:rPr>
          <w:rFonts w:ascii="Times New Roman" w:hAnsi="Times New Roman" w:cs="Times New Roman"/>
          <w:sz w:val="24"/>
          <w:szCs w:val="24"/>
        </w:rPr>
        <w:t>fixed asset investments</w:t>
      </w:r>
      <w:r w:rsidRPr="00E7730E">
        <w:rPr>
          <w:rFonts w:ascii="Times New Roman" w:hAnsi="Times New Roman" w:cs="Times New Roman"/>
          <w:sz w:val="24"/>
          <w:szCs w:val="24"/>
        </w:rPr>
        <w:t xml:space="preserve"> that is financed with </w:t>
      </w:r>
      <w:r w:rsidR="00685E38" w:rsidRPr="00E7730E">
        <w:rPr>
          <w:rFonts w:ascii="Times New Roman" w:hAnsi="Times New Roman" w:cs="Times New Roman"/>
          <w:sz w:val="24"/>
          <w:szCs w:val="24"/>
        </w:rPr>
        <w:t xml:space="preserve">other sources such as debt received from nonbank financial institutions and funds provided by microfinance institutions, credit cooperatives, money lenders, friends, relatives, etc. </w:t>
      </w:r>
      <w:r w:rsidR="00597ED6" w:rsidRPr="00E7730E">
        <w:rPr>
          <w:rFonts w:ascii="Times New Roman" w:hAnsi="Times New Roman" w:cs="Times New Roman"/>
          <w:sz w:val="24"/>
          <w:szCs w:val="24"/>
        </w:rPr>
        <w:t xml:space="preserve"> The coeffici</w:t>
      </w:r>
      <w:r w:rsidR="005957A2" w:rsidRPr="00E7730E">
        <w:rPr>
          <w:rFonts w:ascii="Times New Roman" w:hAnsi="Times New Roman" w:cs="Times New Roman"/>
          <w:sz w:val="24"/>
          <w:szCs w:val="24"/>
        </w:rPr>
        <w:t>e</w:t>
      </w:r>
      <w:r w:rsidR="00597ED6" w:rsidRPr="00E7730E">
        <w:rPr>
          <w:rFonts w:ascii="Times New Roman" w:hAnsi="Times New Roman" w:cs="Times New Roman"/>
          <w:sz w:val="24"/>
          <w:szCs w:val="24"/>
        </w:rPr>
        <w:t>nt shows that a 10% increase in size</w:t>
      </w:r>
      <w:r w:rsidR="00143C5A" w:rsidRPr="00E7730E">
        <w:rPr>
          <w:rFonts w:ascii="Times New Roman" w:hAnsi="Times New Roman" w:cs="Times New Roman"/>
          <w:sz w:val="24"/>
          <w:szCs w:val="24"/>
        </w:rPr>
        <w:t xml:space="preserve"> </w:t>
      </w:r>
      <w:r w:rsidR="00597ED6" w:rsidRPr="00E7730E">
        <w:rPr>
          <w:rFonts w:ascii="Times New Roman" w:hAnsi="Times New Roman" w:cs="Times New Roman"/>
          <w:sz w:val="24"/>
          <w:szCs w:val="24"/>
        </w:rPr>
        <w:t xml:space="preserve">brings a </w:t>
      </w:r>
      <w:r w:rsidR="00143C5A" w:rsidRPr="00E7730E">
        <w:rPr>
          <w:rFonts w:ascii="Times New Roman" w:hAnsi="Times New Roman" w:cs="Times New Roman"/>
          <w:sz w:val="24"/>
          <w:szCs w:val="24"/>
        </w:rPr>
        <w:t>0.002</w:t>
      </w:r>
      <w:r w:rsidR="00597ED6" w:rsidRPr="00E7730E">
        <w:rPr>
          <w:rFonts w:ascii="Times New Roman" w:hAnsi="Times New Roman" w:cs="Times New Roman"/>
          <w:sz w:val="24"/>
          <w:szCs w:val="24"/>
        </w:rPr>
        <w:t xml:space="preserve">% </w:t>
      </w:r>
      <w:r w:rsidR="00685E38" w:rsidRPr="00E7730E">
        <w:rPr>
          <w:rFonts w:ascii="Times New Roman" w:hAnsi="Times New Roman" w:cs="Times New Roman"/>
          <w:sz w:val="24"/>
          <w:szCs w:val="24"/>
        </w:rPr>
        <w:t>reduction</w:t>
      </w:r>
      <w:r w:rsidR="00597ED6" w:rsidRPr="00E7730E">
        <w:rPr>
          <w:rFonts w:ascii="Times New Roman" w:hAnsi="Times New Roman" w:cs="Times New Roman"/>
          <w:sz w:val="24"/>
          <w:szCs w:val="24"/>
        </w:rPr>
        <w:t xml:space="preserve"> in the share of </w:t>
      </w:r>
      <w:r w:rsidR="00053186" w:rsidRPr="00E7730E">
        <w:rPr>
          <w:rFonts w:ascii="Times New Roman" w:hAnsi="Times New Roman" w:cs="Times New Roman"/>
          <w:sz w:val="24"/>
          <w:szCs w:val="24"/>
        </w:rPr>
        <w:t>these so</w:t>
      </w:r>
      <w:r w:rsidR="00B93E6E" w:rsidRPr="00E7730E">
        <w:rPr>
          <w:rFonts w:ascii="Times New Roman" w:hAnsi="Times New Roman" w:cs="Times New Roman"/>
          <w:sz w:val="24"/>
          <w:szCs w:val="24"/>
        </w:rPr>
        <w:t>urces</w:t>
      </w:r>
      <w:r w:rsidR="00143C5A" w:rsidRPr="00E7730E">
        <w:rPr>
          <w:rFonts w:ascii="Times New Roman" w:hAnsi="Times New Roman" w:cs="Times New Roman"/>
          <w:sz w:val="24"/>
          <w:szCs w:val="24"/>
        </w:rPr>
        <w:t xml:space="preserve">. </w:t>
      </w:r>
    </w:p>
    <w:p w:rsidR="00283A03" w:rsidRPr="00E7730E" w:rsidRDefault="00143C5A"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Age has a positive effect on the share of internal funds in </w:t>
      </w:r>
      <w:r w:rsidR="00685E38" w:rsidRPr="00E7730E">
        <w:rPr>
          <w:rFonts w:ascii="Times New Roman" w:hAnsi="Times New Roman" w:cs="Times New Roman"/>
          <w:sz w:val="24"/>
          <w:szCs w:val="24"/>
        </w:rPr>
        <w:t xml:space="preserve">fixed asset </w:t>
      </w:r>
      <w:r w:rsidRPr="00E7730E">
        <w:rPr>
          <w:rFonts w:ascii="Times New Roman" w:hAnsi="Times New Roman" w:cs="Times New Roman"/>
          <w:sz w:val="24"/>
          <w:szCs w:val="24"/>
        </w:rPr>
        <w:t xml:space="preserve">investments financing. The coefficient indicates that </w:t>
      </w:r>
      <w:r w:rsidR="00931B39" w:rsidRPr="00E7730E">
        <w:rPr>
          <w:rFonts w:ascii="Times New Roman" w:hAnsi="Times New Roman" w:cs="Times New Roman"/>
          <w:sz w:val="24"/>
          <w:szCs w:val="24"/>
        </w:rPr>
        <w:t xml:space="preserve">a 10% increase in age brings a 0.05% increase in the share of internal funds </w:t>
      </w:r>
      <w:r w:rsidR="00685E38" w:rsidRPr="00E7730E">
        <w:rPr>
          <w:rFonts w:ascii="Times New Roman" w:hAnsi="Times New Roman" w:cs="Times New Roman"/>
          <w:sz w:val="24"/>
          <w:szCs w:val="24"/>
        </w:rPr>
        <w:t xml:space="preserve">used </w:t>
      </w:r>
      <w:r w:rsidR="00931B39" w:rsidRPr="00E7730E">
        <w:rPr>
          <w:rFonts w:ascii="Times New Roman" w:hAnsi="Times New Roman" w:cs="Times New Roman"/>
          <w:sz w:val="24"/>
          <w:szCs w:val="24"/>
        </w:rPr>
        <w:t xml:space="preserve">in the financing of </w:t>
      </w:r>
      <w:r w:rsidR="00685E38" w:rsidRPr="00E7730E">
        <w:rPr>
          <w:rFonts w:ascii="Times New Roman" w:hAnsi="Times New Roman" w:cs="Times New Roman"/>
          <w:sz w:val="24"/>
          <w:szCs w:val="24"/>
        </w:rPr>
        <w:t xml:space="preserve">fixed asset </w:t>
      </w:r>
      <w:r w:rsidR="00931B39" w:rsidRPr="00E7730E">
        <w:rPr>
          <w:rFonts w:ascii="Times New Roman" w:hAnsi="Times New Roman" w:cs="Times New Roman"/>
          <w:sz w:val="24"/>
          <w:szCs w:val="24"/>
        </w:rPr>
        <w:t>investments. Moreover, age has a negative effect on the p</w:t>
      </w:r>
      <w:r w:rsidR="007D58A4" w:rsidRPr="00E7730E">
        <w:rPr>
          <w:rFonts w:ascii="Times New Roman" w:hAnsi="Times New Roman" w:cs="Times New Roman"/>
          <w:sz w:val="24"/>
          <w:szCs w:val="24"/>
        </w:rPr>
        <w:t>ro</w:t>
      </w:r>
      <w:r w:rsidR="00931B39" w:rsidRPr="00E7730E">
        <w:rPr>
          <w:rFonts w:ascii="Times New Roman" w:hAnsi="Times New Roman" w:cs="Times New Roman"/>
          <w:sz w:val="24"/>
          <w:szCs w:val="24"/>
        </w:rPr>
        <w:t>portion of investments financed with bank loans. A 10% increase in age brings a 0.04% reduction in the share of bank loans</w:t>
      </w:r>
      <w:r w:rsidR="00685E38" w:rsidRPr="00E7730E">
        <w:rPr>
          <w:rFonts w:ascii="Times New Roman" w:hAnsi="Times New Roman" w:cs="Times New Roman"/>
          <w:sz w:val="24"/>
          <w:szCs w:val="24"/>
        </w:rPr>
        <w:t xml:space="preserve"> used</w:t>
      </w:r>
      <w:r w:rsidR="00931B39" w:rsidRPr="00E7730E">
        <w:rPr>
          <w:rFonts w:ascii="Times New Roman" w:hAnsi="Times New Roman" w:cs="Times New Roman"/>
          <w:sz w:val="24"/>
          <w:szCs w:val="24"/>
        </w:rPr>
        <w:t xml:space="preserve"> in inve</w:t>
      </w:r>
      <w:r w:rsidR="00685E38" w:rsidRPr="00E7730E">
        <w:rPr>
          <w:rFonts w:ascii="Times New Roman" w:hAnsi="Times New Roman" w:cs="Times New Roman"/>
          <w:sz w:val="24"/>
          <w:szCs w:val="24"/>
        </w:rPr>
        <w:t>s</w:t>
      </w:r>
      <w:r w:rsidR="00931B39" w:rsidRPr="00E7730E">
        <w:rPr>
          <w:rFonts w:ascii="Times New Roman" w:hAnsi="Times New Roman" w:cs="Times New Roman"/>
          <w:sz w:val="24"/>
          <w:szCs w:val="24"/>
        </w:rPr>
        <w:t>tment</w:t>
      </w:r>
      <w:r w:rsidR="00283A03" w:rsidRPr="00E7730E">
        <w:rPr>
          <w:rFonts w:ascii="Times New Roman" w:hAnsi="Times New Roman" w:cs="Times New Roman"/>
          <w:sz w:val="24"/>
          <w:szCs w:val="24"/>
        </w:rPr>
        <w:t>s</w:t>
      </w:r>
      <w:r w:rsidR="00931B39" w:rsidRPr="00E7730E">
        <w:rPr>
          <w:rFonts w:ascii="Times New Roman" w:hAnsi="Times New Roman" w:cs="Times New Roman"/>
          <w:sz w:val="24"/>
          <w:szCs w:val="24"/>
        </w:rPr>
        <w:t xml:space="preserve"> financing. </w:t>
      </w:r>
    </w:p>
    <w:p w:rsidR="00931B39" w:rsidRPr="00E7730E" w:rsidRDefault="00931B39"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Group dummy variable has a statistically significant positive relationship with the share of purchases on credit from suppliers and advances from customers in fixed asset investments financing. The positive relationship shows that SMEs that are part of a larger firm finance a higher </w:t>
      </w:r>
      <w:r w:rsidR="00017DF3" w:rsidRPr="00E7730E">
        <w:rPr>
          <w:rFonts w:ascii="Times New Roman" w:hAnsi="Times New Roman" w:cs="Times New Roman"/>
          <w:sz w:val="24"/>
          <w:szCs w:val="24"/>
        </w:rPr>
        <w:t>proportion</w:t>
      </w:r>
      <w:r w:rsidRPr="00E7730E">
        <w:rPr>
          <w:rFonts w:ascii="Times New Roman" w:hAnsi="Times New Roman" w:cs="Times New Roman"/>
          <w:sz w:val="24"/>
          <w:szCs w:val="24"/>
        </w:rPr>
        <w:t xml:space="preserve"> of their fixed asset investments with these sources. </w:t>
      </w:r>
    </w:p>
    <w:p w:rsidR="00F64D07" w:rsidRPr="00E7730E" w:rsidRDefault="00F64D07" w:rsidP="00AF5D14">
      <w:pPr>
        <w:autoSpaceDE w:val="0"/>
        <w:autoSpaceDN w:val="0"/>
        <w:adjustRightInd w:val="0"/>
        <w:spacing w:after="0" w:line="259" w:lineRule="auto"/>
        <w:jc w:val="both"/>
        <w:rPr>
          <w:rFonts w:ascii="Times New Roman" w:hAnsi="Times New Roman" w:cs="Times New Roman"/>
          <w:sz w:val="24"/>
          <w:szCs w:val="24"/>
        </w:rPr>
      </w:pPr>
      <w:r w:rsidRPr="00E7730E">
        <w:rPr>
          <w:rFonts w:ascii="Times New Roman" w:hAnsi="Times New Roman" w:cs="Times New Roman"/>
          <w:sz w:val="24"/>
          <w:szCs w:val="24"/>
        </w:rPr>
        <w:t>The negative statistica</w:t>
      </w:r>
      <w:r w:rsidR="009C7961" w:rsidRPr="00E7730E">
        <w:rPr>
          <w:rFonts w:ascii="Times New Roman" w:hAnsi="Times New Roman" w:cs="Times New Roman"/>
          <w:sz w:val="24"/>
          <w:szCs w:val="24"/>
        </w:rPr>
        <w:t>lly significant coefficient of sales on c</w:t>
      </w:r>
      <w:r w:rsidRPr="00E7730E">
        <w:rPr>
          <w:rFonts w:ascii="Times New Roman" w:hAnsi="Times New Roman" w:cs="Times New Roman"/>
          <w:sz w:val="24"/>
          <w:szCs w:val="24"/>
        </w:rPr>
        <w:t xml:space="preserve">redit variable </w:t>
      </w:r>
      <w:r w:rsidR="009C7961" w:rsidRPr="00E7730E">
        <w:rPr>
          <w:rFonts w:ascii="Times New Roman" w:hAnsi="Times New Roman" w:cs="Times New Roman"/>
          <w:sz w:val="24"/>
          <w:szCs w:val="24"/>
        </w:rPr>
        <w:t xml:space="preserve">in internal financing regression </w:t>
      </w:r>
      <w:r w:rsidRPr="00E7730E">
        <w:rPr>
          <w:rFonts w:ascii="Times New Roman" w:hAnsi="Times New Roman" w:cs="Times New Roman"/>
          <w:sz w:val="24"/>
          <w:szCs w:val="24"/>
        </w:rPr>
        <w:t xml:space="preserve">shows that a 10% increase in percentage of sales </w:t>
      </w:r>
      <w:r w:rsidR="008F1330" w:rsidRPr="00E7730E">
        <w:rPr>
          <w:rFonts w:ascii="Times New Roman" w:hAnsi="Times New Roman" w:cs="Times New Roman"/>
          <w:sz w:val="24"/>
          <w:szCs w:val="24"/>
        </w:rPr>
        <w:t xml:space="preserve">made </w:t>
      </w:r>
      <w:r w:rsidRPr="00E7730E">
        <w:rPr>
          <w:rFonts w:ascii="Times New Roman" w:hAnsi="Times New Roman" w:cs="Times New Roman"/>
          <w:sz w:val="24"/>
          <w:szCs w:val="24"/>
        </w:rPr>
        <w:t>on credit is associated with a 0.02% decrease in the proportion of fixed asset investments financed with internal funds. Sales on credit has a statistically significant positive relationship with the share of bank loans in investment</w:t>
      </w:r>
      <w:r w:rsidR="00001778" w:rsidRPr="00E7730E">
        <w:rPr>
          <w:rFonts w:ascii="Times New Roman" w:hAnsi="Times New Roman" w:cs="Times New Roman"/>
          <w:sz w:val="24"/>
          <w:szCs w:val="24"/>
        </w:rPr>
        <w:t>s</w:t>
      </w:r>
      <w:r w:rsidRPr="00E7730E">
        <w:rPr>
          <w:rFonts w:ascii="Times New Roman" w:hAnsi="Times New Roman" w:cs="Times New Roman"/>
          <w:sz w:val="24"/>
          <w:szCs w:val="24"/>
        </w:rPr>
        <w:t xml:space="preserve"> </w:t>
      </w:r>
      <w:r w:rsidRPr="00E7730E">
        <w:rPr>
          <w:rFonts w:ascii="Times New Roman" w:hAnsi="Times New Roman" w:cs="Times New Roman"/>
          <w:sz w:val="24"/>
          <w:szCs w:val="24"/>
        </w:rPr>
        <w:lastRenderedPageBreak/>
        <w:t xml:space="preserve">financing at the 0.05 level. A 10% increase in </w:t>
      </w:r>
      <w:r w:rsidR="009C7961" w:rsidRPr="00E7730E">
        <w:rPr>
          <w:rFonts w:ascii="Times New Roman" w:hAnsi="Times New Roman" w:cs="Times New Roman"/>
          <w:sz w:val="24"/>
          <w:szCs w:val="24"/>
        </w:rPr>
        <w:t>the sales on c</w:t>
      </w:r>
      <w:r w:rsidRPr="00E7730E">
        <w:rPr>
          <w:rFonts w:ascii="Times New Roman" w:hAnsi="Times New Roman" w:cs="Times New Roman"/>
          <w:sz w:val="24"/>
          <w:szCs w:val="24"/>
        </w:rPr>
        <w:t xml:space="preserve">redit brings a 0.02% increase in the share of bank loans in </w:t>
      </w:r>
      <w:r w:rsidR="00001778" w:rsidRPr="00E7730E">
        <w:rPr>
          <w:rFonts w:ascii="Times New Roman" w:hAnsi="Times New Roman" w:cs="Times New Roman"/>
          <w:sz w:val="24"/>
          <w:szCs w:val="24"/>
        </w:rPr>
        <w:t xml:space="preserve">the financing of </w:t>
      </w:r>
      <w:r w:rsidRPr="00E7730E">
        <w:rPr>
          <w:rFonts w:ascii="Times New Roman" w:hAnsi="Times New Roman" w:cs="Times New Roman"/>
          <w:sz w:val="24"/>
          <w:szCs w:val="24"/>
        </w:rPr>
        <w:t>fixed asset investments</w:t>
      </w:r>
      <w:r w:rsidR="00001778" w:rsidRPr="00E7730E">
        <w:rPr>
          <w:rFonts w:ascii="Times New Roman" w:hAnsi="Times New Roman" w:cs="Times New Roman"/>
          <w:sz w:val="24"/>
          <w:szCs w:val="24"/>
        </w:rPr>
        <w:t>.</w:t>
      </w:r>
      <w:r w:rsidRPr="00E7730E">
        <w:rPr>
          <w:rFonts w:ascii="Times New Roman" w:hAnsi="Times New Roman" w:cs="Times New Roman"/>
          <w:sz w:val="24"/>
          <w:szCs w:val="24"/>
        </w:rPr>
        <w:t xml:space="preserve"> Th</w:t>
      </w:r>
      <w:r w:rsidR="00001778" w:rsidRPr="00E7730E">
        <w:rPr>
          <w:rFonts w:ascii="Times New Roman" w:hAnsi="Times New Roman" w:cs="Times New Roman"/>
          <w:sz w:val="24"/>
          <w:szCs w:val="24"/>
        </w:rPr>
        <w:t xml:space="preserve">ese </w:t>
      </w:r>
      <w:r w:rsidRPr="00E7730E">
        <w:rPr>
          <w:rFonts w:ascii="Times New Roman" w:hAnsi="Times New Roman" w:cs="Times New Roman"/>
          <w:sz w:val="24"/>
          <w:szCs w:val="24"/>
        </w:rPr>
        <w:t>finding</w:t>
      </w:r>
      <w:r w:rsidR="00001778" w:rsidRPr="00E7730E">
        <w:rPr>
          <w:rFonts w:ascii="Times New Roman" w:hAnsi="Times New Roman" w:cs="Times New Roman"/>
          <w:sz w:val="24"/>
          <w:szCs w:val="24"/>
        </w:rPr>
        <w:t>s</w:t>
      </w:r>
      <w:r w:rsidRPr="00E7730E">
        <w:rPr>
          <w:rFonts w:ascii="Times New Roman" w:hAnsi="Times New Roman" w:cs="Times New Roman"/>
          <w:sz w:val="24"/>
          <w:szCs w:val="24"/>
        </w:rPr>
        <w:t xml:space="preserve"> may signal that an increase in the proportion of sales sold on credit causes a deficiency in the availability of cash reserves and internal funds for investments of fixed assets. Eventually, firms may be obliged to finance investments with bank loans.  </w:t>
      </w:r>
    </w:p>
    <w:p w:rsidR="00F64D07" w:rsidRPr="00E7730E" w:rsidRDefault="00F64D07" w:rsidP="00AF5D14">
      <w:pPr>
        <w:pStyle w:val="GvdeMetniGirintisi"/>
        <w:spacing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Export variable has a statistically significant negative relationship with the proportion of internal funds used for </w:t>
      </w:r>
      <w:r w:rsidR="00001778" w:rsidRPr="00E7730E">
        <w:rPr>
          <w:rFonts w:ascii="Times New Roman" w:hAnsi="Times New Roman" w:cs="Times New Roman"/>
          <w:sz w:val="24"/>
          <w:szCs w:val="24"/>
        </w:rPr>
        <w:t xml:space="preserve">fixed asset </w:t>
      </w:r>
      <w:r w:rsidRPr="00E7730E">
        <w:rPr>
          <w:rFonts w:ascii="Times New Roman" w:hAnsi="Times New Roman" w:cs="Times New Roman"/>
          <w:sz w:val="24"/>
          <w:szCs w:val="24"/>
        </w:rPr>
        <w:t xml:space="preserve">investments financing. A 10% increase in the percentage of sales exported brings a 0.01% reduction in the share of internal funds used. </w:t>
      </w:r>
      <w:r w:rsidR="00983D18" w:rsidRPr="00E7730E">
        <w:rPr>
          <w:rFonts w:ascii="Times New Roman" w:hAnsi="Times New Roman" w:cs="Times New Roman"/>
          <w:sz w:val="24"/>
          <w:szCs w:val="24"/>
        </w:rPr>
        <w:t xml:space="preserve">The estimated positive coefficients for </w:t>
      </w:r>
      <w:r w:rsidR="00001778" w:rsidRPr="00E7730E">
        <w:rPr>
          <w:rFonts w:ascii="Times New Roman" w:hAnsi="Times New Roman" w:cs="Times New Roman"/>
          <w:sz w:val="24"/>
          <w:szCs w:val="24"/>
        </w:rPr>
        <w:t xml:space="preserve">export variable </w:t>
      </w:r>
      <w:r w:rsidR="00983D18" w:rsidRPr="00E7730E">
        <w:rPr>
          <w:rFonts w:ascii="Times New Roman" w:hAnsi="Times New Roman" w:cs="Times New Roman"/>
          <w:sz w:val="24"/>
          <w:szCs w:val="24"/>
        </w:rPr>
        <w:t xml:space="preserve">in suppliers and customers and other regressions are statistically significant </w:t>
      </w:r>
      <w:r w:rsidR="00001778" w:rsidRPr="00E7730E">
        <w:rPr>
          <w:rFonts w:ascii="Times New Roman" w:hAnsi="Times New Roman" w:cs="Times New Roman"/>
          <w:sz w:val="24"/>
          <w:szCs w:val="24"/>
        </w:rPr>
        <w:t>at the 0.05 and 0.01 level resp</w:t>
      </w:r>
      <w:r w:rsidR="00983D18" w:rsidRPr="00E7730E">
        <w:rPr>
          <w:rFonts w:ascii="Times New Roman" w:hAnsi="Times New Roman" w:cs="Times New Roman"/>
          <w:sz w:val="24"/>
          <w:szCs w:val="24"/>
        </w:rPr>
        <w:t xml:space="preserve">ectively. The positive coefficients indicate that a 10% increase in percentage of sales exported brings a 0.002% increase in the proportion of purchases on credit from suppliers and advances from customers and a 0.01% </w:t>
      </w:r>
      <w:r w:rsidR="00001778" w:rsidRPr="00E7730E">
        <w:rPr>
          <w:rFonts w:ascii="Times New Roman" w:hAnsi="Times New Roman" w:cs="Times New Roman"/>
          <w:sz w:val="24"/>
          <w:szCs w:val="24"/>
        </w:rPr>
        <w:t>i</w:t>
      </w:r>
      <w:r w:rsidR="00983D18" w:rsidRPr="00E7730E">
        <w:rPr>
          <w:rFonts w:ascii="Times New Roman" w:hAnsi="Times New Roman" w:cs="Times New Roman"/>
          <w:sz w:val="24"/>
          <w:szCs w:val="24"/>
        </w:rPr>
        <w:t xml:space="preserve">ncrease in the </w:t>
      </w:r>
      <w:r w:rsidR="00001778" w:rsidRPr="00E7730E">
        <w:rPr>
          <w:rFonts w:ascii="Times New Roman" w:hAnsi="Times New Roman" w:cs="Times New Roman"/>
          <w:sz w:val="24"/>
          <w:szCs w:val="24"/>
        </w:rPr>
        <w:t xml:space="preserve">share of </w:t>
      </w:r>
      <w:r w:rsidR="008F1330" w:rsidRPr="00E7730E">
        <w:rPr>
          <w:rFonts w:ascii="Times New Roman" w:hAnsi="Times New Roman" w:cs="Times New Roman"/>
          <w:sz w:val="24"/>
          <w:szCs w:val="24"/>
        </w:rPr>
        <w:t>debt received from nonbank financial institutions and funds provided by microfinance institutions, credit cooperatives, money lenders, friends, relatives, etc.</w:t>
      </w:r>
    </w:p>
    <w:p w:rsidR="00983D18" w:rsidRPr="00E7730E" w:rsidRDefault="00983D18" w:rsidP="00AF5D14">
      <w:pPr>
        <w:pStyle w:val="GvdeMetniGirintisi"/>
        <w:spacing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Th</w:t>
      </w:r>
      <w:r w:rsidR="00001778" w:rsidRPr="00E7730E">
        <w:rPr>
          <w:rFonts w:ascii="Times New Roman" w:hAnsi="Times New Roman" w:cs="Times New Roman"/>
          <w:sz w:val="24"/>
          <w:szCs w:val="24"/>
        </w:rPr>
        <w:t>e insignificant coefficient of q</w:t>
      </w:r>
      <w:r w:rsidRPr="00E7730E">
        <w:rPr>
          <w:rFonts w:ascii="Times New Roman" w:hAnsi="Times New Roman" w:cs="Times New Roman"/>
          <w:sz w:val="24"/>
          <w:szCs w:val="24"/>
        </w:rPr>
        <w:t xml:space="preserve">uality variable estimated in all of our regressions show that having an internationally recognized quality certification does not have a statistically significant effect on the share of each source in </w:t>
      </w:r>
      <w:r w:rsidR="00001778" w:rsidRPr="00E7730E">
        <w:rPr>
          <w:rFonts w:ascii="Times New Roman" w:hAnsi="Times New Roman" w:cs="Times New Roman"/>
          <w:sz w:val="24"/>
          <w:szCs w:val="24"/>
        </w:rPr>
        <w:t>fixed asset investments financing.</w:t>
      </w:r>
    </w:p>
    <w:p w:rsidR="00855B6D" w:rsidRPr="00E7730E" w:rsidRDefault="00855B6D" w:rsidP="00AF5D14">
      <w:pPr>
        <w:autoSpaceDE w:val="0"/>
        <w:autoSpaceDN w:val="0"/>
        <w:adjustRightInd w:val="0"/>
        <w:spacing w:after="0" w:line="259" w:lineRule="auto"/>
        <w:jc w:val="both"/>
        <w:rPr>
          <w:rFonts w:ascii="Times New Roman" w:hAnsi="Times New Roman" w:cs="Times New Roman"/>
          <w:sz w:val="24"/>
          <w:szCs w:val="24"/>
        </w:rPr>
      </w:pPr>
    </w:p>
    <w:p w:rsidR="00901C8F" w:rsidRDefault="005B2ED8" w:rsidP="00AF5D14">
      <w:pPr>
        <w:autoSpaceDE w:val="0"/>
        <w:autoSpaceDN w:val="0"/>
        <w:adjustRightInd w:val="0"/>
        <w:spacing w:after="0" w:line="259" w:lineRule="auto"/>
        <w:jc w:val="both"/>
        <w:rPr>
          <w:rFonts w:ascii="Times New Roman" w:hAnsi="Times New Roman" w:cs="Times New Roman"/>
          <w:b/>
          <w:sz w:val="30"/>
          <w:szCs w:val="30"/>
        </w:rPr>
      </w:pPr>
      <w:r w:rsidRPr="005B2ED8">
        <w:rPr>
          <w:rFonts w:ascii="Times New Roman" w:hAnsi="Times New Roman" w:cs="Times New Roman"/>
          <w:b/>
          <w:sz w:val="30"/>
          <w:szCs w:val="30"/>
        </w:rPr>
        <w:t xml:space="preserve">5 </w:t>
      </w:r>
      <w:r w:rsidR="00901C8F" w:rsidRPr="005B2ED8">
        <w:rPr>
          <w:rFonts w:ascii="Times New Roman" w:hAnsi="Times New Roman" w:cs="Times New Roman"/>
          <w:b/>
          <w:sz w:val="30"/>
          <w:szCs w:val="30"/>
        </w:rPr>
        <w:t>Conclus</w:t>
      </w:r>
      <w:r w:rsidR="008C1C14" w:rsidRPr="005B2ED8">
        <w:rPr>
          <w:rFonts w:ascii="Times New Roman" w:hAnsi="Times New Roman" w:cs="Times New Roman"/>
          <w:b/>
          <w:sz w:val="30"/>
          <w:szCs w:val="30"/>
        </w:rPr>
        <w:t>i</w:t>
      </w:r>
      <w:r w:rsidR="00901C8F" w:rsidRPr="005B2ED8">
        <w:rPr>
          <w:rFonts w:ascii="Times New Roman" w:hAnsi="Times New Roman" w:cs="Times New Roman"/>
          <w:b/>
          <w:sz w:val="30"/>
          <w:szCs w:val="30"/>
        </w:rPr>
        <w:t>on</w:t>
      </w:r>
    </w:p>
    <w:p w:rsidR="005B2ED8" w:rsidRPr="005B2ED8" w:rsidRDefault="005B2ED8" w:rsidP="00AF5D14">
      <w:pPr>
        <w:autoSpaceDE w:val="0"/>
        <w:autoSpaceDN w:val="0"/>
        <w:adjustRightInd w:val="0"/>
        <w:spacing w:after="0" w:line="259" w:lineRule="auto"/>
        <w:jc w:val="both"/>
        <w:rPr>
          <w:rFonts w:ascii="Times New Roman" w:hAnsi="Times New Roman" w:cs="Times New Roman"/>
          <w:b/>
          <w:sz w:val="30"/>
          <w:szCs w:val="30"/>
        </w:rPr>
      </w:pPr>
    </w:p>
    <w:p w:rsidR="000473A8" w:rsidRPr="00E7730E" w:rsidRDefault="00696D0C" w:rsidP="00AF5D14">
      <w:pPr>
        <w:pStyle w:val="GvdeMetniGirintisi"/>
        <w:spacing w:after="0" w:line="259" w:lineRule="auto"/>
        <w:ind w:left="0"/>
        <w:jc w:val="both"/>
        <w:rPr>
          <w:rFonts w:ascii="Times New Roman" w:hAnsi="Times New Roman" w:cs="Times New Roman"/>
          <w:sz w:val="24"/>
          <w:szCs w:val="24"/>
        </w:rPr>
      </w:pPr>
      <w:r w:rsidRPr="00E7730E">
        <w:rPr>
          <w:rFonts w:ascii="Times New Roman" w:hAnsi="Times New Roman" w:cs="Times New Roman"/>
          <w:sz w:val="24"/>
          <w:szCs w:val="24"/>
        </w:rPr>
        <w:t xml:space="preserve">This paper analyzes the firm level determinants of the proportion of different financing sources used by SMEs in the financing of working capital and fixed asset investments with a system of equations approach. </w:t>
      </w:r>
      <w:r w:rsidR="004D7F38" w:rsidRPr="00E7730E">
        <w:rPr>
          <w:rFonts w:ascii="Times New Roman" w:hAnsi="Times New Roman" w:cs="Times New Roman"/>
          <w:sz w:val="24"/>
          <w:szCs w:val="24"/>
        </w:rPr>
        <w:t>We use data from the World Bank Enterprise Survey conducted in Turkey in 2013 and our</w:t>
      </w:r>
      <w:r w:rsidRPr="00E7730E">
        <w:rPr>
          <w:rFonts w:ascii="Times New Roman" w:hAnsi="Times New Roman" w:cs="Times New Roman"/>
          <w:sz w:val="24"/>
          <w:szCs w:val="24"/>
        </w:rPr>
        <w:t xml:space="preserve"> sample includes 1</w:t>
      </w:r>
      <w:r w:rsidR="008F1330" w:rsidRPr="00E7730E">
        <w:rPr>
          <w:rFonts w:ascii="Times New Roman" w:hAnsi="Times New Roman" w:cs="Times New Roman"/>
          <w:sz w:val="24"/>
          <w:szCs w:val="24"/>
        </w:rPr>
        <w:t>,278</w:t>
      </w:r>
      <w:r w:rsidRPr="00E7730E">
        <w:rPr>
          <w:rFonts w:ascii="Times New Roman" w:hAnsi="Times New Roman" w:cs="Times New Roman"/>
          <w:sz w:val="24"/>
          <w:szCs w:val="24"/>
        </w:rPr>
        <w:t xml:space="preserve"> </w:t>
      </w:r>
      <w:r w:rsidR="004D7F38" w:rsidRPr="00E7730E">
        <w:rPr>
          <w:rFonts w:ascii="Times New Roman" w:hAnsi="Times New Roman" w:cs="Times New Roman"/>
          <w:sz w:val="24"/>
          <w:szCs w:val="24"/>
        </w:rPr>
        <w:t>SMEs.</w:t>
      </w:r>
    </w:p>
    <w:p w:rsidR="000473A8" w:rsidRPr="00E7730E" w:rsidRDefault="004D7F38" w:rsidP="00AF5D14">
      <w:pPr>
        <w:spacing w:after="0" w:line="259" w:lineRule="auto"/>
        <w:jc w:val="both"/>
        <w:rPr>
          <w:rFonts w:ascii="Times New Roman" w:eastAsia="GulliverRM" w:hAnsi="Times New Roman" w:cs="Times New Roman"/>
          <w:sz w:val="24"/>
          <w:szCs w:val="24"/>
        </w:rPr>
      </w:pPr>
      <w:r w:rsidRPr="00E7730E">
        <w:rPr>
          <w:rFonts w:ascii="Times New Roman" w:eastAsia="GulliverRM" w:hAnsi="Times New Roman" w:cs="Times New Roman"/>
          <w:sz w:val="24"/>
          <w:szCs w:val="24"/>
        </w:rPr>
        <w:t xml:space="preserve">We find that </w:t>
      </w:r>
      <w:r w:rsidR="000473A8" w:rsidRPr="00E7730E">
        <w:rPr>
          <w:rFonts w:ascii="Times New Roman" w:eastAsia="GulliverRM" w:hAnsi="Times New Roman" w:cs="Times New Roman"/>
          <w:sz w:val="24"/>
          <w:szCs w:val="24"/>
        </w:rPr>
        <w:t xml:space="preserve">larger firms use less internal financing and </w:t>
      </w:r>
      <w:r w:rsidR="00C04F55" w:rsidRPr="00E7730E">
        <w:rPr>
          <w:rFonts w:ascii="Times New Roman" w:eastAsia="GulliverRM" w:hAnsi="Times New Roman" w:cs="Times New Roman"/>
          <w:sz w:val="24"/>
          <w:szCs w:val="24"/>
        </w:rPr>
        <w:t xml:space="preserve">more </w:t>
      </w:r>
      <w:r w:rsidR="00FA1F87" w:rsidRPr="00E7730E">
        <w:rPr>
          <w:rFonts w:ascii="Times New Roman" w:eastAsia="GulliverRM" w:hAnsi="Times New Roman" w:cs="Times New Roman"/>
          <w:sz w:val="24"/>
          <w:szCs w:val="24"/>
        </w:rPr>
        <w:t xml:space="preserve">bank loans and purchases on credit </w:t>
      </w:r>
      <w:r w:rsidR="00C04F55" w:rsidRPr="00E7730E">
        <w:rPr>
          <w:rFonts w:ascii="Times New Roman" w:eastAsia="GulliverRM" w:hAnsi="Times New Roman" w:cs="Times New Roman"/>
          <w:sz w:val="24"/>
          <w:szCs w:val="24"/>
        </w:rPr>
        <w:t xml:space="preserve">from suppliers and </w:t>
      </w:r>
      <w:r w:rsidR="009B62EF" w:rsidRPr="00E7730E">
        <w:rPr>
          <w:rFonts w:ascii="Times New Roman" w:eastAsia="GulliverRM" w:hAnsi="Times New Roman" w:cs="Times New Roman"/>
          <w:sz w:val="24"/>
          <w:szCs w:val="24"/>
        </w:rPr>
        <w:t xml:space="preserve">advances from customers as </w:t>
      </w:r>
      <w:r w:rsidR="00C04F55" w:rsidRPr="00E7730E">
        <w:rPr>
          <w:rFonts w:ascii="Times New Roman" w:eastAsia="GulliverRM" w:hAnsi="Times New Roman" w:cs="Times New Roman"/>
          <w:sz w:val="24"/>
          <w:szCs w:val="24"/>
        </w:rPr>
        <w:t>source</w:t>
      </w:r>
      <w:r w:rsidR="009B62EF" w:rsidRPr="00E7730E">
        <w:rPr>
          <w:rFonts w:ascii="Times New Roman" w:eastAsia="GulliverRM" w:hAnsi="Times New Roman" w:cs="Times New Roman"/>
          <w:sz w:val="24"/>
          <w:szCs w:val="24"/>
        </w:rPr>
        <w:t>s</w:t>
      </w:r>
      <w:r w:rsidR="00C04F55" w:rsidRPr="00E7730E">
        <w:rPr>
          <w:rFonts w:ascii="Times New Roman" w:eastAsia="GulliverRM" w:hAnsi="Times New Roman" w:cs="Times New Roman"/>
          <w:sz w:val="24"/>
          <w:szCs w:val="24"/>
        </w:rPr>
        <w:t xml:space="preserve"> to finance their working capital. </w:t>
      </w:r>
      <w:r w:rsidR="009C551A" w:rsidRPr="00E7730E">
        <w:rPr>
          <w:rFonts w:ascii="Times New Roman" w:eastAsia="GulliverRM" w:hAnsi="Times New Roman" w:cs="Times New Roman"/>
          <w:sz w:val="24"/>
          <w:szCs w:val="24"/>
        </w:rPr>
        <w:t xml:space="preserve">Older firms use purchases on credit from suppliers and advances from customers less than younger firms to finance their working capital.  </w:t>
      </w:r>
      <w:r w:rsidR="00C04F55" w:rsidRPr="00E7730E">
        <w:rPr>
          <w:rFonts w:ascii="Times New Roman" w:eastAsia="GulliverRM" w:hAnsi="Times New Roman" w:cs="Times New Roman"/>
          <w:sz w:val="24"/>
          <w:szCs w:val="24"/>
        </w:rPr>
        <w:t xml:space="preserve">Firms that have a group affiliation </w:t>
      </w:r>
      <w:r w:rsidR="004D15E8" w:rsidRPr="00E7730E">
        <w:rPr>
          <w:rFonts w:ascii="Times New Roman" w:eastAsia="GulliverRM" w:hAnsi="Times New Roman" w:cs="Times New Roman"/>
          <w:sz w:val="24"/>
          <w:szCs w:val="24"/>
        </w:rPr>
        <w:t xml:space="preserve">finance a higher portion of their working capital with </w:t>
      </w:r>
      <w:r w:rsidR="009C551A" w:rsidRPr="00E7730E">
        <w:rPr>
          <w:rFonts w:ascii="Times New Roman" w:eastAsia="GulliverRM" w:hAnsi="Times New Roman" w:cs="Times New Roman"/>
          <w:sz w:val="24"/>
          <w:szCs w:val="24"/>
        </w:rPr>
        <w:t xml:space="preserve">sources such as </w:t>
      </w:r>
      <w:r w:rsidR="00594AA3" w:rsidRPr="00E7730E">
        <w:rPr>
          <w:rFonts w:ascii="Times New Roman" w:hAnsi="Times New Roman" w:cs="Times New Roman"/>
          <w:sz w:val="24"/>
          <w:szCs w:val="24"/>
        </w:rPr>
        <w:t>debt received from nonbank financial institutions and funds provided by microfinance institutions, credit cooperatives, money lenders, friends</w:t>
      </w:r>
      <w:r w:rsidR="009C551A" w:rsidRPr="00E7730E">
        <w:rPr>
          <w:rFonts w:ascii="Times New Roman" w:hAnsi="Times New Roman" w:cs="Times New Roman"/>
          <w:sz w:val="24"/>
          <w:szCs w:val="24"/>
        </w:rPr>
        <w:t xml:space="preserve"> and </w:t>
      </w:r>
      <w:r w:rsidR="00594AA3" w:rsidRPr="00E7730E">
        <w:rPr>
          <w:rFonts w:ascii="Times New Roman" w:hAnsi="Times New Roman" w:cs="Times New Roman"/>
          <w:sz w:val="24"/>
          <w:szCs w:val="24"/>
        </w:rPr>
        <w:t>relatives</w:t>
      </w:r>
      <w:r w:rsidR="009C551A" w:rsidRPr="00E7730E">
        <w:rPr>
          <w:rFonts w:ascii="Times New Roman" w:hAnsi="Times New Roman" w:cs="Times New Roman"/>
          <w:sz w:val="24"/>
          <w:szCs w:val="24"/>
        </w:rPr>
        <w:t xml:space="preserve">. </w:t>
      </w:r>
      <w:r w:rsidR="008543D0" w:rsidRPr="00E7730E">
        <w:rPr>
          <w:rFonts w:ascii="Times New Roman" w:eastAsia="GulliverRM" w:hAnsi="Times New Roman" w:cs="Times New Roman"/>
          <w:sz w:val="24"/>
          <w:szCs w:val="24"/>
        </w:rPr>
        <w:t xml:space="preserve">The reason behind this finding is probably the use of </w:t>
      </w:r>
      <w:r w:rsidR="00594AA3" w:rsidRPr="00E7730E">
        <w:rPr>
          <w:rFonts w:ascii="Times New Roman" w:eastAsia="GulliverRM" w:hAnsi="Times New Roman" w:cs="Times New Roman"/>
          <w:sz w:val="24"/>
          <w:szCs w:val="24"/>
        </w:rPr>
        <w:t>internal capital markets within groups</w:t>
      </w:r>
      <w:r w:rsidR="008543D0" w:rsidRPr="00E7730E">
        <w:rPr>
          <w:rFonts w:ascii="Times New Roman" w:eastAsia="GulliverRM" w:hAnsi="Times New Roman" w:cs="Times New Roman"/>
          <w:sz w:val="24"/>
          <w:szCs w:val="24"/>
        </w:rPr>
        <w:t xml:space="preserve">. </w:t>
      </w:r>
      <w:r w:rsidR="00FE1794" w:rsidRPr="00E7730E">
        <w:rPr>
          <w:rFonts w:ascii="Times New Roman" w:eastAsia="GulliverRM" w:hAnsi="Times New Roman" w:cs="Times New Roman"/>
          <w:sz w:val="24"/>
          <w:szCs w:val="24"/>
        </w:rPr>
        <w:t>The s</w:t>
      </w:r>
      <w:r w:rsidR="00594AA3" w:rsidRPr="00E7730E">
        <w:rPr>
          <w:rFonts w:ascii="Times New Roman" w:eastAsia="GulliverRM" w:hAnsi="Times New Roman" w:cs="Times New Roman"/>
          <w:sz w:val="24"/>
          <w:szCs w:val="24"/>
        </w:rPr>
        <w:t xml:space="preserve">hare </w:t>
      </w:r>
      <w:r w:rsidR="00FE1794" w:rsidRPr="00E7730E">
        <w:rPr>
          <w:rFonts w:ascii="Times New Roman" w:eastAsia="GulliverRM" w:hAnsi="Times New Roman" w:cs="Times New Roman"/>
          <w:sz w:val="24"/>
          <w:szCs w:val="24"/>
        </w:rPr>
        <w:t xml:space="preserve">of </w:t>
      </w:r>
      <w:r w:rsidR="00D94ED8" w:rsidRPr="00E7730E">
        <w:rPr>
          <w:rFonts w:ascii="Times New Roman" w:eastAsia="GulliverRM" w:hAnsi="Times New Roman" w:cs="Times New Roman"/>
          <w:sz w:val="24"/>
          <w:szCs w:val="24"/>
        </w:rPr>
        <w:t xml:space="preserve">these </w:t>
      </w:r>
      <w:r w:rsidR="00FE1794" w:rsidRPr="00E7730E">
        <w:rPr>
          <w:rFonts w:ascii="Times New Roman" w:eastAsia="GulliverRM" w:hAnsi="Times New Roman" w:cs="Times New Roman"/>
          <w:sz w:val="24"/>
          <w:szCs w:val="24"/>
        </w:rPr>
        <w:t xml:space="preserve">other sources of funds is </w:t>
      </w:r>
      <w:r w:rsidR="00594AA3" w:rsidRPr="00E7730E">
        <w:rPr>
          <w:rFonts w:ascii="Times New Roman" w:eastAsia="GulliverRM" w:hAnsi="Times New Roman" w:cs="Times New Roman"/>
          <w:sz w:val="24"/>
          <w:szCs w:val="24"/>
        </w:rPr>
        <w:t xml:space="preserve">also </w:t>
      </w:r>
      <w:r w:rsidR="00FE1794" w:rsidRPr="00E7730E">
        <w:rPr>
          <w:rFonts w:ascii="Times New Roman" w:eastAsia="GulliverRM" w:hAnsi="Times New Roman" w:cs="Times New Roman"/>
          <w:sz w:val="24"/>
          <w:szCs w:val="24"/>
        </w:rPr>
        <w:t>higher for firms with higher export intensity. Firms that has an internationally recognized quality certification finance a lower portion of their working capital with internal funds and a higher portion of it with bank l</w:t>
      </w:r>
      <w:r w:rsidR="00D94ED8" w:rsidRPr="00E7730E">
        <w:rPr>
          <w:rFonts w:ascii="Times New Roman" w:eastAsia="GulliverRM" w:hAnsi="Times New Roman" w:cs="Times New Roman"/>
          <w:sz w:val="24"/>
          <w:szCs w:val="24"/>
        </w:rPr>
        <w:t>oa</w:t>
      </w:r>
      <w:r w:rsidR="00FE1794" w:rsidRPr="00E7730E">
        <w:rPr>
          <w:rFonts w:ascii="Times New Roman" w:eastAsia="GulliverRM" w:hAnsi="Times New Roman" w:cs="Times New Roman"/>
          <w:sz w:val="24"/>
          <w:szCs w:val="24"/>
        </w:rPr>
        <w:t xml:space="preserve">ns. </w:t>
      </w:r>
    </w:p>
    <w:p w:rsidR="00FE1794" w:rsidRPr="00E7730E" w:rsidRDefault="00FE1794" w:rsidP="00AF5D14">
      <w:pPr>
        <w:spacing w:after="0" w:line="259" w:lineRule="auto"/>
        <w:jc w:val="both"/>
        <w:rPr>
          <w:rFonts w:ascii="Times New Roman" w:eastAsia="GulliverRM" w:hAnsi="Times New Roman" w:cs="Times New Roman"/>
          <w:sz w:val="24"/>
          <w:szCs w:val="24"/>
        </w:rPr>
      </w:pPr>
      <w:r w:rsidRPr="00E7730E">
        <w:rPr>
          <w:rFonts w:ascii="Times New Roman" w:eastAsia="GulliverRM" w:hAnsi="Times New Roman" w:cs="Times New Roman"/>
          <w:sz w:val="24"/>
          <w:szCs w:val="24"/>
        </w:rPr>
        <w:t>In our analysis of the determinants of the share of f</w:t>
      </w:r>
      <w:r w:rsidR="00D94ED8" w:rsidRPr="00E7730E">
        <w:rPr>
          <w:rFonts w:ascii="Times New Roman" w:eastAsia="GulliverRM" w:hAnsi="Times New Roman" w:cs="Times New Roman"/>
          <w:sz w:val="24"/>
          <w:szCs w:val="24"/>
        </w:rPr>
        <w:t xml:space="preserve">ive </w:t>
      </w:r>
      <w:r w:rsidRPr="00E7730E">
        <w:rPr>
          <w:rFonts w:ascii="Times New Roman" w:eastAsia="GulliverRM" w:hAnsi="Times New Roman" w:cs="Times New Roman"/>
          <w:sz w:val="24"/>
          <w:szCs w:val="24"/>
        </w:rPr>
        <w:t>types of sources in fixed asset investment</w:t>
      </w:r>
      <w:r w:rsidR="00D94ED8" w:rsidRPr="00E7730E">
        <w:rPr>
          <w:rFonts w:ascii="Times New Roman" w:eastAsia="GulliverRM" w:hAnsi="Times New Roman" w:cs="Times New Roman"/>
          <w:sz w:val="24"/>
          <w:szCs w:val="24"/>
        </w:rPr>
        <w:t>s</w:t>
      </w:r>
      <w:r w:rsidRPr="00E7730E">
        <w:rPr>
          <w:rFonts w:ascii="Times New Roman" w:eastAsia="GulliverRM" w:hAnsi="Times New Roman" w:cs="Times New Roman"/>
          <w:sz w:val="24"/>
          <w:szCs w:val="24"/>
        </w:rPr>
        <w:t xml:space="preserve"> financing, </w:t>
      </w:r>
      <w:r w:rsidR="008543D0" w:rsidRPr="00E7730E">
        <w:rPr>
          <w:rFonts w:ascii="Times New Roman" w:eastAsia="GulliverRM" w:hAnsi="Times New Roman" w:cs="Times New Roman"/>
          <w:sz w:val="24"/>
          <w:szCs w:val="24"/>
        </w:rPr>
        <w:t xml:space="preserve">we find that </w:t>
      </w:r>
      <w:r w:rsidR="00A822A3" w:rsidRPr="00E7730E">
        <w:rPr>
          <w:rFonts w:ascii="Times New Roman" w:eastAsia="GulliverRM" w:hAnsi="Times New Roman" w:cs="Times New Roman"/>
          <w:sz w:val="24"/>
          <w:szCs w:val="24"/>
        </w:rPr>
        <w:t xml:space="preserve">larger firms finance a lower portion </w:t>
      </w:r>
      <w:r w:rsidR="00D94ED8" w:rsidRPr="00E7730E">
        <w:rPr>
          <w:rFonts w:ascii="Times New Roman" w:eastAsia="GulliverRM" w:hAnsi="Times New Roman" w:cs="Times New Roman"/>
          <w:sz w:val="24"/>
          <w:szCs w:val="24"/>
        </w:rPr>
        <w:t>of</w:t>
      </w:r>
      <w:r w:rsidR="00A822A3" w:rsidRPr="00E7730E">
        <w:rPr>
          <w:rFonts w:ascii="Times New Roman" w:eastAsia="GulliverRM" w:hAnsi="Times New Roman" w:cs="Times New Roman"/>
          <w:sz w:val="24"/>
          <w:szCs w:val="24"/>
        </w:rPr>
        <w:t xml:space="preserve"> their investments with </w:t>
      </w:r>
      <w:r w:rsidR="00D94ED8" w:rsidRPr="00E7730E">
        <w:rPr>
          <w:rFonts w:ascii="Times New Roman" w:hAnsi="Times New Roman" w:cs="Times New Roman"/>
          <w:sz w:val="24"/>
          <w:szCs w:val="24"/>
        </w:rPr>
        <w:t xml:space="preserve">debt received from nonbank financial institutions and funds provided by microfinance institutions, credit cooperatives, money lenders, friends, relatives, etc. </w:t>
      </w:r>
      <w:r w:rsidR="00B539DE" w:rsidRPr="00E7730E">
        <w:rPr>
          <w:rFonts w:ascii="Times New Roman" w:eastAsia="GulliverRM" w:hAnsi="Times New Roman" w:cs="Times New Roman"/>
          <w:sz w:val="24"/>
          <w:szCs w:val="24"/>
        </w:rPr>
        <w:t>A higher portion of investme</w:t>
      </w:r>
      <w:r w:rsidR="0091691C" w:rsidRPr="00E7730E">
        <w:rPr>
          <w:rFonts w:ascii="Times New Roman" w:eastAsia="GulliverRM" w:hAnsi="Times New Roman" w:cs="Times New Roman"/>
          <w:sz w:val="24"/>
          <w:szCs w:val="24"/>
        </w:rPr>
        <w:t>n</w:t>
      </w:r>
      <w:r w:rsidR="00B539DE" w:rsidRPr="00E7730E">
        <w:rPr>
          <w:rFonts w:ascii="Times New Roman" w:eastAsia="GulliverRM" w:hAnsi="Times New Roman" w:cs="Times New Roman"/>
          <w:sz w:val="24"/>
          <w:szCs w:val="24"/>
        </w:rPr>
        <w:t xml:space="preserve">ts is financed with purchases on credit from suppliers </w:t>
      </w:r>
      <w:r w:rsidR="00D94ED8" w:rsidRPr="00E7730E">
        <w:rPr>
          <w:rFonts w:ascii="Times New Roman" w:eastAsia="GulliverRM" w:hAnsi="Times New Roman" w:cs="Times New Roman"/>
          <w:sz w:val="24"/>
          <w:szCs w:val="24"/>
        </w:rPr>
        <w:t>and advances from customers by g</w:t>
      </w:r>
      <w:r w:rsidR="00B539DE" w:rsidRPr="00E7730E">
        <w:rPr>
          <w:rFonts w:ascii="Times New Roman" w:eastAsia="GulliverRM" w:hAnsi="Times New Roman" w:cs="Times New Roman"/>
          <w:sz w:val="24"/>
          <w:szCs w:val="24"/>
        </w:rPr>
        <w:t xml:space="preserve">roup affiliated firms. Export intensive firms finance a lower proportion of their investments with internal funds and a higher proportion </w:t>
      </w:r>
      <w:r w:rsidR="00D94ED8" w:rsidRPr="00E7730E">
        <w:rPr>
          <w:rFonts w:ascii="Times New Roman" w:eastAsia="GulliverRM" w:hAnsi="Times New Roman" w:cs="Times New Roman"/>
          <w:sz w:val="24"/>
          <w:szCs w:val="24"/>
        </w:rPr>
        <w:t xml:space="preserve">of them </w:t>
      </w:r>
      <w:r w:rsidR="00B539DE" w:rsidRPr="00E7730E">
        <w:rPr>
          <w:rFonts w:ascii="Times New Roman" w:eastAsia="GulliverRM" w:hAnsi="Times New Roman" w:cs="Times New Roman"/>
          <w:sz w:val="24"/>
          <w:szCs w:val="24"/>
        </w:rPr>
        <w:t>with purchases on credit from suppliers</w:t>
      </w:r>
      <w:r w:rsidR="00D94ED8" w:rsidRPr="00E7730E">
        <w:rPr>
          <w:rFonts w:ascii="Times New Roman" w:eastAsia="GulliverRM" w:hAnsi="Times New Roman" w:cs="Times New Roman"/>
          <w:sz w:val="24"/>
          <w:szCs w:val="24"/>
        </w:rPr>
        <w:t xml:space="preserve"> and </w:t>
      </w:r>
      <w:r w:rsidR="00B539DE" w:rsidRPr="00E7730E">
        <w:rPr>
          <w:rFonts w:ascii="Times New Roman" w:eastAsia="GulliverRM" w:hAnsi="Times New Roman" w:cs="Times New Roman"/>
          <w:sz w:val="24"/>
          <w:szCs w:val="24"/>
        </w:rPr>
        <w:t>advances from customer</w:t>
      </w:r>
      <w:r w:rsidR="00D94ED8" w:rsidRPr="00E7730E">
        <w:rPr>
          <w:rFonts w:ascii="Times New Roman" w:eastAsia="GulliverRM" w:hAnsi="Times New Roman" w:cs="Times New Roman"/>
          <w:sz w:val="24"/>
          <w:szCs w:val="24"/>
        </w:rPr>
        <w:t>s</w:t>
      </w:r>
      <w:r w:rsidR="00B539DE" w:rsidRPr="00E7730E">
        <w:rPr>
          <w:rFonts w:ascii="Times New Roman" w:eastAsia="GulliverRM" w:hAnsi="Times New Roman" w:cs="Times New Roman"/>
          <w:sz w:val="24"/>
          <w:szCs w:val="24"/>
        </w:rPr>
        <w:t xml:space="preserve"> </w:t>
      </w:r>
      <w:r w:rsidR="00B539DE" w:rsidRPr="00E7730E">
        <w:rPr>
          <w:rFonts w:ascii="Times New Roman" w:eastAsia="GulliverRM" w:hAnsi="Times New Roman" w:cs="Times New Roman"/>
          <w:sz w:val="24"/>
          <w:szCs w:val="24"/>
        </w:rPr>
        <w:lastRenderedPageBreak/>
        <w:t xml:space="preserve">and </w:t>
      </w:r>
      <w:r w:rsidR="00D94ED8" w:rsidRPr="00E7730E">
        <w:rPr>
          <w:rFonts w:ascii="Times New Roman" w:eastAsia="GulliverRM" w:hAnsi="Times New Roman" w:cs="Times New Roman"/>
          <w:sz w:val="24"/>
          <w:szCs w:val="24"/>
        </w:rPr>
        <w:t>other sources</w:t>
      </w:r>
      <w:r w:rsidR="009C551A" w:rsidRPr="00E7730E">
        <w:rPr>
          <w:rFonts w:ascii="Times New Roman" w:eastAsia="GulliverRM" w:hAnsi="Times New Roman" w:cs="Times New Roman"/>
          <w:sz w:val="24"/>
          <w:szCs w:val="24"/>
        </w:rPr>
        <w:t xml:space="preserve"> such as </w:t>
      </w:r>
      <w:r w:rsidR="009C551A" w:rsidRPr="00E7730E">
        <w:rPr>
          <w:rFonts w:ascii="Times New Roman" w:hAnsi="Times New Roman" w:cs="Times New Roman"/>
          <w:sz w:val="24"/>
          <w:szCs w:val="24"/>
        </w:rPr>
        <w:t>debt received from nonbank financial institutions and funds provided by money lenders</w:t>
      </w:r>
      <w:r w:rsidR="008F1330" w:rsidRPr="00E7730E">
        <w:rPr>
          <w:rFonts w:ascii="Times New Roman" w:hAnsi="Times New Roman" w:cs="Times New Roman"/>
          <w:sz w:val="24"/>
          <w:szCs w:val="24"/>
        </w:rPr>
        <w:t xml:space="preserve"> and friends.</w:t>
      </w:r>
      <w:r w:rsidR="00D94ED8" w:rsidRPr="00E7730E">
        <w:rPr>
          <w:rFonts w:ascii="Times New Roman" w:eastAsia="GulliverRM" w:hAnsi="Times New Roman" w:cs="Times New Roman"/>
          <w:sz w:val="24"/>
          <w:szCs w:val="24"/>
        </w:rPr>
        <w:t xml:space="preserve"> </w:t>
      </w:r>
    </w:p>
    <w:p w:rsidR="00A42F15" w:rsidRPr="00E7730E" w:rsidRDefault="00A42F15" w:rsidP="00AF5D14">
      <w:pPr>
        <w:spacing w:after="0" w:line="259" w:lineRule="auto"/>
        <w:jc w:val="both"/>
        <w:rPr>
          <w:rFonts w:ascii="Times New Roman" w:eastAsia="GulliverRM" w:hAnsi="Times New Roman" w:cs="Times New Roman"/>
          <w:sz w:val="24"/>
          <w:szCs w:val="24"/>
        </w:rPr>
      </w:pPr>
      <w:r w:rsidRPr="00E7730E">
        <w:rPr>
          <w:rFonts w:ascii="Times New Roman" w:eastAsia="GulliverRM" w:hAnsi="Times New Roman" w:cs="Times New Roman"/>
          <w:sz w:val="24"/>
          <w:szCs w:val="24"/>
        </w:rPr>
        <w:t xml:space="preserve">The proportion of working capital and fixed asset investments that is financed with internal funds is higher for firms that are older. </w:t>
      </w:r>
      <w:r w:rsidR="009C551A" w:rsidRPr="00E7730E">
        <w:rPr>
          <w:rFonts w:ascii="Times New Roman" w:eastAsia="GulliverRM" w:hAnsi="Times New Roman" w:cs="Times New Roman"/>
          <w:sz w:val="24"/>
          <w:szCs w:val="24"/>
        </w:rPr>
        <w:t xml:space="preserve">Firms with a higher percentage of sales on credit finance a lower proportion of </w:t>
      </w:r>
      <w:r w:rsidR="00B72326" w:rsidRPr="00E7730E">
        <w:rPr>
          <w:rFonts w:ascii="Times New Roman" w:eastAsia="GulliverRM" w:hAnsi="Times New Roman" w:cs="Times New Roman"/>
          <w:sz w:val="24"/>
          <w:szCs w:val="24"/>
        </w:rPr>
        <w:t xml:space="preserve">their </w:t>
      </w:r>
      <w:r w:rsidRPr="00E7730E">
        <w:rPr>
          <w:rFonts w:ascii="Times New Roman" w:eastAsia="GulliverRM" w:hAnsi="Times New Roman" w:cs="Times New Roman"/>
          <w:sz w:val="24"/>
          <w:szCs w:val="24"/>
        </w:rPr>
        <w:t>working capital and investments with intern</w:t>
      </w:r>
      <w:r w:rsidR="00CF3EB9" w:rsidRPr="00E7730E">
        <w:rPr>
          <w:rFonts w:ascii="Times New Roman" w:eastAsia="GulliverRM" w:hAnsi="Times New Roman" w:cs="Times New Roman"/>
          <w:sz w:val="24"/>
          <w:szCs w:val="24"/>
        </w:rPr>
        <w:t>al</w:t>
      </w:r>
      <w:r w:rsidRPr="00E7730E">
        <w:rPr>
          <w:rFonts w:ascii="Times New Roman" w:eastAsia="GulliverRM" w:hAnsi="Times New Roman" w:cs="Times New Roman"/>
          <w:sz w:val="24"/>
          <w:szCs w:val="24"/>
        </w:rPr>
        <w:t xml:space="preserve"> funds</w:t>
      </w:r>
      <w:r w:rsidR="00B72326" w:rsidRPr="00E7730E">
        <w:rPr>
          <w:rFonts w:ascii="Times New Roman" w:eastAsia="GulliverRM" w:hAnsi="Times New Roman" w:cs="Times New Roman"/>
          <w:sz w:val="24"/>
          <w:szCs w:val="24"/>
        </w:rPr>
        <w:t xml:space="preserve">. </w:t>
      </w:r>
      <w:r w:rsidRPr="00E7730E">
        <w:rPr>
          <w:rFonts w:ascii="Times New Roman" w:eastAsia="GulliverRM" w:hAnsi="Times New Roman" w:cs="Times New Roman"/>
          <w:sz w:val="24"/>
          <w:szCs w:val="24"/>
        </w:rPr>
        <w:t xml:space="preserve">These firms finance a higher portion of their working capital and investments with bank </w:t>
      </w:r>
      <w:r w:rsidR="00B72326" w:rsidRPr="00E7730E">
        <w:rPr>
          <w:rFonts w:ascii="Times New Roman" w:eastAsia="GulliverRM" w:hAnsi="Times New Roman" w:cs="Times New Roman"/>
          <w:sz w:val="24"/>
          <w:szCs w:val="24"/>
        </w:rPr>
        <w:t xml:space="preserve">loans. </w:t>
      </w:r>
    </w:p>
    <w:p w:rsidR="00901C8F" w:rsidRPr="00E7730E" w:rsidRDefault="002C0884" w:rsidP="00AF5D14">
      <w:pPr>
        <w:spacing w:line="259" w:lineRule="auto"/>
        <w:jc w:val="both"/>
        <w:rPr>
          <w:rFonts w:ascii="Times New Roman" w:hAnsi="Times New Roman" w:cs="Times New Roman"/>
          <w:sz w:val="24"/>
          <w:szCs w:val="24"/>
        </w:rPr>
      </w:pPr>
      <w:r w:rsidRPr="00E7730E">
        <w:rPr>
          <w:rFonts w:ascii="Times New Roman" w:hAnsi="Times New Roman" w:cs="Times New Roman"/>
          <w:sz w:val="24"/>
          <w:szCs w:val="24"/>
        </w:rPr>
        <w:t>The level of financing constraints encountered by the firms may affect the proportion of investments that is financed with each source. Moreover, it may have a</w:t>
      </w:r>
      <w:r w:rsidR="00781547" w:rsidRPr="00E7730E">
        <w:rPr>
          <w:rFonts w:ascii="Times New Roman" w:hAnsi="Times New Roman" w:cs="Times New Roman"/>
          <w:sz w:val="24"/>
          <w:szCs w:val="24"/>
        </w:rPr>
        <w:t xml:space="preserve">n indirect impact on the share of each source by its </w:t>
      </w:r>
      <w:r w:rsidR="002269B2" w:rsidRPr="00E7730E">
        <w:rPr>
          <w:rFonts w:ascii="Times New Roman" w:hAnsi="Times New Roman" w:cs="Times New Roman"/>
          <w:sz w:val="24"/>
          <w:szCs w:val="24"/>
        </w:rPr>
        <w:t xml:space="preserve">influence </w:t>
      </w:r>
      <w:r w:rsidR="00781547" w:rsidRPr="00E7730E">
        <w:rPr>
          <w:rFonts w:ascii="Times New Roman" w:hAnsi="Times New Roman" w:cs="Times New Roman"/>
          <w:sz w:val="24"/>
          <w:szCs w:val="24"/>
        </w:rPr>
        <w:t xml:space="preserve">on the factors that can </w:t>
      </w:r>
      <w:r w:rsidR="002410E1" w:rsidRPr="00E7730E">
        <w:rPr>
          <w:rFonts w:ascii="Times New Roman" w:hAnsi="Times New Roman" w:cs="Times New Roman"/>
          <w:sz w:val="24"/>
          <w:szCs w:val="24"/>
        </w:rPr>
        <w:t xml:space="preserve">affect </w:t>
      </w:r>
      <w:r w:rsidR="00781547" w:rsidRPr="00E7730E">
        <w:rPr>
          <w:rFonts w:ascii="Times New Roman" w:hAnsi="Times New Roman" w:cs="Times New Roman"/>
          <w:sz w:val="24"/>
          <w:szCs w:val="24"/>
        </w:rPr>
        <w:t xml:space="preserve">how investments are financed. </w:t>
      </w:r>
      <w:r w:rsidR="002410E1" w:rsidRPr="00E7730E">
        <w:rPr>
          <w:rFonts w:ascii="Times New Roman" w:eastAsia="GulliverRM" w:hAnsi="Times New Roman" w:cs="Times New Roman"/>
          <w:sz w:val="24"/>
          <w:szCs w:val="24"/>
        </w:rPr>
        <w:t xml:space="preserve">Analyzing whether the level of financing constraints the firms face affects </w:t>
      </w:r>
      <w:r w:rsidR="002410E1" w:rsidRPr="00E7730E">
        <w:rPr>
          <w:rFonts w:ascii="Times New Roman" w:hAnsi="Times New Roman" w:cs="Times New Roman"/>
          <w:sz w:val="24"/>
          <w:szCs w:val="24"/>
        </w:rPr>
        <w:t xml:space="preserve">the firm level determinants of the composition of financing sources </w:t>
      </w:r>
      <w:r w:rsidR="002269B2" w:rsidRPr="00E7730E">
        <w:rPr>
          <w:rFonts w:ascii="Times New Roman" w:hAnsi="Times New Roman" w:cs="Times New Roman"/>
          <w:sz w:val="24"/>
          <w:szCs w:val="24"/>
        </w:rPr>
        <w:t>is a</w:t>
      </w:r>
      <w:r w:rsidR="002410E1" w:rsidRPr="00E7730E">
        <w:rPr>
          <w:rFonts w:ascii="Times New Roman" w:eastAsia="GulliverRM" w:hAnsi="Times New Roman" w:cs="Times New Roman"/>
          <w:sz w:val="24"/>
          <w:szCs w:val="24"/>
        </w:rPr>
        <w:t xml:space="preserve"> suggestion for future research. </w:t>
      </w:r>
      <w:r w:rsidR="002269B2" w:rsidRPr="00E7730E">
        <w:rPr>
          <w:rFonts w:ascii="Times New Roman" w:eastAsia="GulliverRM" w:hAnsi="Times New Roman" w:cs="Times New Roman"/>
          <w:sz w:val="24"/>
          <w:szCs w:val="24"/>
        </w:rPr>
        <w:t>F</w:t>
      </w:r>
      <w:r w:rsidR="002410E1" w:rsidRPr="00E7730E">
        <w:rPr>
          <w:rFonts w:ascii="Times New Roman" w:hAnsi="Times New Roman" w:cs="Times New Roman"/>
          <w:sz w:val="24"/>
          <w:szCs w:val="24"/>
        </w:rPr>
        <w:t xml:space="preserve">inding out the effect of the level of financing constraints on the </w:t>
      </w:r>
      <w:r w:rsidR="002269B2" w:rsidRPr="00E7730E">
        <w:rPr>
          <w:rFonts w:ascii="Times New Roman" w:hAnsi="Times New Roman" w:cs="Times New Roman"/>
          <w:sz w:val="24"/>
          <w:szCs w:val="24"/>
        </w:rPr>
        <w:t xml:space="preserve">factors that are expected to affect how investments are financed </w:t>
      </w:r>
      <w:r w:rsidR="002410E1" w:rsidRPr="00E7730E">
        <w:rPr>
          <w:rFonts w:ascii="Times New Roman" w:hAnsi="Times New Roman" w:cs="Times New Roman"/>
          <w:sz w:val="24"/>
          <w:szCs w:val="24"/>
        </w:rPr>
        <w:t>would also be a valuable contribution to the literature.</w:t>
      </w:r>
      <w:r w:rsidR="002410E1" w:rsidRPr="00E7730E">
        <w:rPr>
          <w:rFonts w:ascii="Times New Roman" w:eastAsia="GulliverRM" w:hAnsi="Times New Roman" w:cs="Times New Roman"/>
          <w:sz w:val="24"/>
          <w:szCs w:val="24"/>
        </w:rPr>
        <w:t xml:space="preserve"> </w:t>
      </w:r>
    </w:p>
    <w:p w:rsidR="00901C8F" w:rsidRPr="002115AF" w:rsidRDefault="00901C8F" w:rsidP="00AF5D14">
      <w:pPr>
        <w:autoSpaceDE w:val="0"/>
        <w:autoSpaceDN w:val="0"/>
        <w:adjustRightInd w:val="0"/>
        <w:spacing w:after="0" w:line="259" w:lineRule="auto"/>
        <w:jc w:val="both"/>
        <w:rPr>
          <w:rFonts w:ascii="Times New Roman" w:hAnsi="Times New Roman" w:cs="Times New Roman"/>
          <w:b/>
          <w:sz w:val="30"/>
          <w:szCs w:val="30"/>
        </w:rPr>
      </w:pPr>
      <w:r w:rsidRPr="002115AF">
        <w:rPr>
          <w:rFonts w:ascii="Times New Roman" w:hAnsi="Times New Roman" w:cs="Times New Roman"/>
          <w:b/>
          <w:sz w:val="30"/>
          <w:szCs w:val="30"/>
        </w:rPr>
        <w:t>References</w:t>
      </w:r>
    </w:p>
    <w:p w:rsidR="002115AF" w:rsidRDefault="002115AF" w:rsidP="002115AF">
      <w:pPr>
        <w:autoSpaceDE w:val="0"/>
        <w:autoSpaceDN w:val="0"/>
        <w:adjustRightInd w:val="0"/>
        <w:spacing w:after="0" w:line="259" w:lineRule="auto"/>
        <w:jc w:val="both"/>
        <w:rPr>
          <w:szCs w:val="24"/>
        </w:rPr>
      </w:pPr>
    </w:p>
    <w:p w:rsidR="002115AF" w:rsidRPr="002115AF" w:rsidRDefault="002115AF" w:rsidP="002115AF">
      <w:pPr>
        <w:pStyle w:val="ListeParagraf"/>
        <w:widowControl w:val="0"/>
        <w:numPr>
          <w:ilvl w:val="0"/>
          <w:numId w:val="6"/>
        </w:numPr>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Amiti, M. and Weinstein, D.E. (2011). Exports and Financial Shocks. </w:t>
      </w:r>
      <w:r w:rsidRPr="002115AF">
        <w:rPr>
          <w:rFonts w:ascii="Times New Roman" w:hAnsi="Times New Roman" w:cs="Times New Roman"/>
          <w:i/>
          <w:sz w:val="24"/>
          <w:szCs w:val="24"/>
        </w:rPr>
        <w:t>The Quarterly Journal of Economics</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126</w:t>
      </w:r>
      <w:r w:rsidRPr="002115AF">
        <w:rPr>
          <w:rFonts w:ascii="Times New Roman" w:hAnsi="Times New Roman" w:cs="Times New Roman"/>
          <w:sz w:val="24"/>
          <w:szCs w:val="24"/>
        </w:rPr>
        <w:t xml:space="preserve">(4): 1841-1877. </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Ang, J. (1992). On the Theory of Finance for Privately Held Firms. </w:t>
      </w:r>
      <w:r w:rsidRPr="002115AF">
        <w:rPr>
          <w:rFonts w:ascii="Times New Roman" w:hAnsi="Times New Roman" w:cs="Times New Roman"/>
          <w:i/>
          <w:sz w:val="24"/>
          <w:szCs w:val="24"/>
        </w:rPr>
        <w:t>Journal of Small Business   Finance.</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1</w:t>
      </w:r>
      <w:r w:rsidRPr="002115AF">
        <w:rPr>
          <w:rFonts w:ascii="Times New Roman" w:hAnsi="Times New Roman" w:cs="Times New Roman"/>
          <w:sz w:val="24"/>
          <w:szCs w:val="24"/>
        </w:rPr>
        <w:t>(3): 185-203.</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bCs/>
          <w:spacing w:val="5"/>
          <w:sz w:val="24"/>
          <w:szCs w:val="24"/>
        </w:rPr>
      </w:pPr>
      <w:r w:rsidRPr="002115AF">
        <w:rPr>
          <w:rFonts w:ascii="Times New Roman" w:hAnsi="Times New Roman" w:cs="Times New Roman"/>
          <w:sz w:val="24"/>
          <w:szCs w:val="24"/>
        </w:rPr>
        <w:t xml:space="preserve">Beck, T. (2007). </w:t>
      </w:r>
      <w:r w:rsidRPr="002115AF">
        <w:rPr>
          <w:rFonts w:ascii="Times New Roman" w:hAnsi="Times New Roman" w:cs="Times New Roman"/>
          <w:bCs/>
          <w:sz w:val="24"/>
          <w:szCs w:val="24"/>
        </w:rPr>
        <w:t xml:space="preserve">Financing Constraints of SMEs in Developing Countries: Evidence, Determinants </w:t>
      </w:r>
      <w:r w:rsidRPr="002115AF">
        <w:rPr>
          <w:rFonts w:ascii="Times New Roman" w:hAnsi="Times New Roman" w:cs="Times New Roman"/>
          <w:bCs/>
          <w:spacing w:val="5"/>
          <w:sz w:val="24"/>
          <w:szCs w:val="24"/>
        </w:rPr>
        <w:t xml:space="preserve">and Solutions. </w:t>
      </w:r>
      <w:r w:rsidRPr="002115AF">
        <w:rPr>
          <w:rFonts w:ascii="Times New Roman" w:hAnsi="Times New Roman" w:cs="Times New Roman"/>
          <w:bCs/>
          <w:i/>
          <w:spacing w:val="5"/>
          <w:sz w:val="24"/>
          <w:szCs w:val="24"/>
        </w:rPr>
        <w:t>Working Paper</w:t>
      </w:r>
      <w:r w:rsidRPr="002115AF">
        <w:rPr>
          <w:rFonts w:ascii="Times New Roman" w:hAnsi="Times New Roman" w:cs="Times New Roman"/>
          <w:bCs/>
          <w:spacing w:val="5"/>
          <w:sz w:val="24"/>
          <w:szCs w:val="24"/>
        </w:rPr>
        <w:t xml:space="preserve">. Tilburg University. </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CMUSerif-Roman" w:hAnsi="Times New Roman" w:cs="Times New Roman"/>
          <w:sz w:val="24"/>
          <w:szCs w:val="24"/>
        </w:rPr>
      </w:pPr>
      <w:r w:rsidRPr="002115AF">
        <w:rPr>
          <w:rFonts w:ascii="Times New Roman" w:eastAsia="CMUSerif-Roman" w:hAnsi="Times New Roman" w:cs="Times New Roman"/>
          <w:sz w:val="24"/>
          <w:szCs w:val="24"/>
        </w:rPr>
        <w:t xml:space="preserve">Beck, T., Demirguc-Kunt, A., Laeven, L. and Maksimovic, V. (2006). The Determinants of Financing Obstacles. </w:t>
      </w:r>
      <w:r w:rsidRPr="002115AF">
        <w:rPr>
          <w:rFonts w:ascii="Times New Roman" w:eastAsia="CMUSerif-Roman" w:hAnsi="Times New Roman" w:cs="Times New Roman"/>
          <w:i/>
          <w:iCs/>
          <w:sz w:val="24"/>
          <w:szCs w:val="24"/>
        </w:rPr>
        <w:t xml:space="preserve">Journal of International Money and Finance. </w:t>
      </w:r>
      <w:r w:rsidRPr="002115AF">
        <w:rPr>
          <w:rFonts w:ascii="Times New Roman" w:eastAsia="CMUSerif-Roman" w:hAnsi="Times New Roman" w:cs="Times New Roman"/>
          <w:b/>
          <w:iCs/>
          <w:sz w:val="24"/>
          <w:szCs w:val="24"/>
        </w:rPr>
        <w:t>25</w:t>
      </w:r>
      <w:r w:rsidRPr="002115AF">
        <w:rPr>
          <w:rFonts w:ascii="Times New Roman" w:eastAsia="CMUSerif-Roman" w:hAnsi="Times New Roman" w:cs="Times New Roman"/>
          <w:iCs/>
          <w:sz w:val="24"/>
          <w:szCs w:val="24"/>
        </w:rPr>
        <w:t>(6):</w:t>
      </w:r>
      <w:r w:rsidRPr="002115AF">
        <w:rPr>
          <w:rFonts w:ascii="Times New Roman" w:eastAsia="CMUSerif-Roman" w:hAnsi="Times New Roman" w:cs="Times New Roman"/>
          <w:i/>
          <w:iCs/>
          <w:sz w:val="24"/>
          <w:szCs w:val="24"/>
        </w:rPr>
        <w:t xml:space="preserve"> </w:t>
      </w:r>
      <w:r w:rsidRPr="002115AF">
        <w:rPr>
          <w:rFonts w:ascii="Times New Roman" w:eastAsia="CMUSerif-Roman" w:hAnsi="Times New Roman" w:cs="Times New Roman"/>
          <w:sz w:val="24"/>
          <w:szCs w:val="24"/>
        </w:rPr>
        <w:t>932-952.</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Beck, T., Demirguc-Kunt, A., and Maksimovic, V. (2008). Financing Patterns Around the World: Are Small Firms Different? </w:t>
      </w:r>
      <w:r w:rsidRPr="002115AF">
        <w:rPr>
          <w:rFonts w:ascii="Times New Roman" w:hAnsi="Times New Roman" w:cs="Times New Roman"/>
          <w:i/>
          <w:sz w:val="24"/>
          <w:szCs w:val="24"/>
        </w:rPr>
        <w:t>Journal of Financial Economics</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89</w:t>
      </w:r>
      <w:r w:rsidRPr="002115AF">
        <w:rPr>
          <w:rFonts w:ascii="Times New Roman" w:hAnsi="Times New Roman" w:cs="Times New Roman"/>
          <w:sz w:val="24"/>
          <w:szCs w:val="24"/>
        </w:rPr>
        <w:t>(3): 467-487.</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CMUSerif-Roman" w:hAnsi="Times New Roman" w:cs="Times New Roman"/>
          <w:sz w:val="24"/>
          <w:szCs w:val="24"/>
        </w:rPr>
      </w:pPr>
      <w:r w:rsidRPr="002115AF">
        <w:rPr>
          <w:rFonts w:ascii="Times New Roman" w:eastAsia="CMUSerif-Roman" w:hAnsi="Times New Roman" w:cs="Times New Roman"/>
          <w:sz w:val="24"/>
          <w:szCs w:val="24"/>
        </w:rPr>
        <w:t xml:space="preserve">Berger, A.N. and Udell, G.F. (1992). Some Evidence on the Empirical Significance of Credit Rationing. </w:t>
      </w:r>
      <w:r w:rsidRPr="002115AF">
        <w:rPr>
          <w:rFonts w:ascii="Times New Roman" w:eastAsia="CMUSerif-Roman" w:hAnsi="Times New Roman" w:cs="Times New Roman"/>
          <w:i/>
          <w:iCs/>
          <w:sz w:val="24"/>
          <w:szCs w:val="24"/>
        </w:rPr>
        <w:t xml:space="preserve">Journal of Political Economy. </w:t>
      </w:r>
      <w:r w:rsidRPr="002115AF">
        <w:rPr>
          <w:rFonts w:ascii="Times New Roman" w:eastAsia="CMUSerif-Roman" w:hAnsi="Times New Roman" w:cs="Times New Roman"/>
          <w:b/>
          <w:bCs/>
          <w:sz w:val="24"/>
          <w:szCs w:val="24"/>
        </w:rPr>
        <w:t>100</w:t>
      </w:r>
      <w:r w:rsidRPr="002115AF">
        <w:rPr>
          <w:rFonts w:ascii="Times New Roman" w:eastAsia="CMUSerif-Roman" w:hAnsi="Times New Roman" w:cs="Times New Roman"/>
          <w:bCs/>
          <w:sz w:val="24"/>
          <w:szCs w:val="24"/>
        </w:rPr>
        <w:t xml:space="preserve">(5): </w:t>
      </w:r>
      <w:r w:rsidRPr="002115AF">
        <w:rPr>
          <w:rFonts w:ascii="Times New Roman" w:eastAsia="CMUSerif-Roman" w:hAnsi="Times New Roman" w:cs="Times New Roman"/>
          <w:sz w:val="24"/>
          <w:szCs w:val="24"/>
        </w:rPr>
        <w:t>1047-1077.</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CMUSerif-Roman" w:hAnsi="Times New Roman" w:cs="Times New Roman"/>
          <w:sz w:val="24"/>
          <w:szCs w:val="24"/>
        </w:rPr>
      </w:pPr>
      <w:r w:rsidRPr="002115AF">
        <w:rPr>
          <w:rFonts w:ascii="Times New Roman" w:eastAsia="CMUSerif-Roman" w:hAnsi="Times New Roman" w:cs="Times New Roman"/>
          <w:sz w:val="24"/>
          <w:szCs w:val="24"/>
        </w:rPr>
        <w:t xml:space="preserve">Berger, A.N. and Udell, G.F. (1998). The Economics of Small Business Finance: The Roles of Private Equity and Debt Markets in the Financial Growth Cycle. </w:t>
      </w:r>
      <w:r w:rsidRPr="002115AF">
        <w:rPr>
          <w:rFonts w:ascii="Times New Roman" w:eastAsia="CMUSerif-Roman" w:hAnsi="Times New Roman" w:cs="Times New Roman"/>
          <w:i/>
          <w:iCs/>
          <w:sz w:val="24"/>
          <w:szCs w:val="24"/>
        </w:rPr>
        <w:t xml:space="preserve">Journal of Banking and Finance. </w:t>
      </w:r>
      <w:r w:rsidRPr="002115AF">
        <w:rPr>
          <w:rFonts w:ascii="Times New Roman" w:eastAsia="CMUSerif-Roman" w:hAnsi="Times New Roman" w:cs="Times New Roman"/>
          <w:b/>
          <w:bCs/>
          <w:sz w:val="24"/>
          <w:szCs w:val="24"/>
        </w:rPr>
        <w:t>22</w:t>
      </w:r>
      <w:r w:rsidRPr="002115AF">
        <w:rPr>
          <w:rFonts w:ascii="Times New Roman" w:eastAsia="CMUSerif-Roman" w:hAnsi="Times New Roman" w:cs="Times New Roman"/>
          <w:bCs/>
          <w:sz w:val="24"/>
          <w:szCs w:val="24"/>
        </w:rPr>
        <w:t>(6-8)</w:t>
      </w:r>
      <w:r w:rsidRPr="002115AF">
        <w:rPr>
          <w:rFonts w:ascii="Times New Roman" w:eastAsia="CMUSerif-Roman" w:hAnsi="Times New Roman" w:cs="Times New Roman"/>
          <w:sz w:val="24"/>
          <w:szCs w:val="24"/>
        </w:rPr>
        <w:t>: 613-673.</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bCs/>
          <w:sz w:val="24"/>
          <w:szCs w:val="24"/>
        </w:rPr>
      </w:pPr>
      <w:r w:rsidRPr="002115AF">
        <w:rPr>
          <w:rFonts w:ascii="Times New Roman" w:hAnsi="Times New Roman" w:cs="Times New Roman"/>
          <w:bCs/>
          <w:sz w:val="24"/>
          <w:szCs w:val="24"/>
        </w:rPr>
        <w:t xml:space="preserve">Canton, E., Grilo, I., Monteagudo, J. and Van der Zwan, P. (2013). Perceived Credit Constraints in the European Union. </w:t>
      </w:r>
      <w:r w:rsidRPr="002115AF">
        <w:rPr>
          <w:rFonts w:ascii="Times New Roman" w:hAnsi="Times New Roman" w:cs="Times New Roman"/>
          <w:bCs/>
          <w:i/>
          <w:sz w:val="24"/>
          <w:szCs w:val="24"/>
        </w:rPr>
        <w:t>Small Business Economics</w:t>
      </w:r>
      <w:r w:rsidRPr="002115AF">
        <w:rPr>
          <w:rFonts w:ascii="Times New Roman" w:hAnsi="Times New Roman" w:cs="Times New Roman"/>
          <w:bCs/>
          <w:sz w:val="24"/>
          <w:szCs w:val="24"/>
        </w:rPr>
        <w:t xml:space="preserve">. </w:t>
      </w:r>
      <w:r w:rsidRPr="002115AF">
        <w:rPr>
          <w:rFonts w:ascii="Times New Roman" w:hAnsi="Times New Roman" w:cs="Times New Roman"/>
          <w:b/>
          <w:bCs/>
          <w:sz w:val="24"/>
          <w:szCs w:val="24"/>
        </w:rPr>
        <w:t>41</w:t>
      </w:r>
      <w:r w:rsidRPr="002115AF">
        <w:rPr>
          <w:rFonts w:ascii="Times New Roman" w:hAnsi="Times New Roman" w:cs="Times New Roman"/>
          <w:bCs/>
          <w:sz w:val="24"/>
          <w:szCs w:val="24"/>
        </w:rPr>
        <w:t>(3): 701-715.</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bCs/>
          <w:sz w:val="24"/>
          <w:szCs w:val="24"/>
        </w:rPr>
      </w:pPr>
      <w:r w:rsidRPr="002115AF">
        <w:rPr>
          <w:rFonts w:ascii="Times New Roman" w:hAnsi="Times New Roman" w:cs="Times New Roman"/>
          <w:bCs/>
          <w:sz w:val="24"/>
          <w:szCs w:val="24"/>
        </w:rPr>
        <w:t xml:space="preserve">Cosh, A. and Hughes, A. (1994). Size, Financial Structure and Profitability: UK Companies in the 1980s. In A. Hughes and D.J. Storey (Eds.), </w:t>
      </w:r>
      <w:r w:rsidRPr="002115AF">
        <w:rPr>
          <w:rFonts w:ascii="Times New Roman" w:hAnsi="Times New Roman" w:cs="Times New Roman"/>
          <w:bCs/>
          <w:i/>
          <w:sz w:val="24"/>
          <w:szCs w:val="24"/>
        </w:rPr>
        <w:t>Finance and the Small Firm</w:t>
      </w:r>
      <w:r w:rsidRPr="002115AF">
        <w:rPr>
          <w:rFonts w:ascii="Times New Roman" w:hAnsi="Times New Roman" w:cs="Times New Roman"/>
          <w:bCs/>
          <w:sz w:val="24"/>
          <w:szCs w:val="24"/>
        </w:rPr>
        <w:t>. Routledge: London, England, pp. 18-63.</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CMUSerif-Roman" w:hAnsi="Times New Roman" w:cs="Times New Roman"/>
          <w:sz w:val="24"/>
          <w:szCs w:val="24"/>
        </w:rPr>
      </w:pPr>
      <w:r w:rsidRPr="002115AF">
        <w:rPr>
          <w:rFonts w:ascii="Times New Roman" w:eastAsia="CMUSerif-Roman" w:hAnsi="Times New Roman" w:cs="Times New Roman"/>
          <w:sz w:val="24"/>
          <w:szCs w:val="24"/>
        </w:rPr>
        <w:t xml:space="preserve">Ganesh-Kumar, A., Sen, K. and Vaidya, R.R. (2001). Outward Orientation, Investment and Finance Constraints: A Study of Indian Firms. </w:t>
      </w:r>
      <w:r w:rsidRPr="002115AF">
        <w:rPr>
          <w:rFonts w:ascii="Times New Roman" w:eastAsia="CMUSerif-Roman" w:hAnsi="Times New Roman" w:cs="Times New Roman"/>
          <w:i/>
          <w:iCs/>
          <w:sz w:val="24"/>
          <w:szCs w:val="24"/>
        </w:rPr>
        <w:t>The Journal</w:t>
      </w:r>
      <w:r w:rsidRPr="002115AF">
        <w:rPr>
          <w:rFonts w:ascii="Times New Roman" w:eastAsia="CMUSerif-Roman" w:hAnsi="Times New Roman" w:cs="Times New Roman"/>
          <w:sz w:val="24"/>
          <w:szCs w:val="24"/>
        </w:rPr>
        <w:t xml:space="preserve"> </w:t>
      </w:r>
      <w:r w:rsidRPr="002115AF">
        <w:rPr>
          <w:rFonts w:ascii="Times New Roman" w:eastAsia="CMUSerif-Roman" w:hAnsi="Times New Roman" w:cs="Times New Roman"/>
          <w:i/>
          <w:iCs/>
          <w:sz w:val="24"/>
          <w:szCs w:val="24"/>
        </w:rPr>
        <w:t>of Development Studies</w:t>
      </w:r>
      <w:r w:rsidRPr="002115AF">
        <w:rPr>
          <w:rFonts w:ascii="Times New Roman" w:eastAsia="CMUSerif-Roman" w:hAnsi="Times New Roman" w:cs="Times New Roman"/>
          <w:iCs/>
          <w:sz w:val="24"/>
          <w:szCs w:val="24"/>
        </w:rPr>
        <w:t xml:space="preserve">. </w:t>
      </w:r>
      <w:r w:rsidRPr="002115AF">
        <w:rPr>
          <w:rFonts w:ascii="Times New Roman" w:eastAsia="CMUSerif-Roman" w:hAnsi="Times New Roman" w:cs="Times New Roman"/>
          <w:b/>
          <w:bCs/>
          <w:sz w:val="24"/>
          <w:szCs w:val="24"/>
        </w:rPr>
        <w:t>37</w:t>
      </w:r>
      <w:r w:rsidRPr="002115AF">
        <w:rPr>
          <w:rFonts w:ascii="Times New Roman" w:eastAsia="CMUSerif-Roman" w:hAnsi="Times New Roman" w:cs="Times New Roman"/>
          <w:sz w:val="24"/>
          <w:szCs w:val="24"/>
        </w:rPr>
        <w:t>(4): 133-149.</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Gregory, B.T., Rutherford, M.W., Oswald, S., and Gardiner, L. (2005). An Empirical Investigation of the Growth Cycle of Small Firm Financing. </w:t>
      </w:r>
      <w:r w:rsidRPr="002115AF">
        <w:rPr>
          <w:rFonts w:ascii="Times New Roman" w:hAnsi="Times New Roman" w:cs="Times New Roman"/>
          <w:i/>
          <w:sz w:val="24"/>
          <w:szCs w:val="24"/>
        </w:rPr>
        <w:t>Journal of Small Business Management</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43</w:t>
      </w:r>
      <w:r w:rsidRPr="002115AF">
        <w:rPr>
          <w:rFonts w:ascii="Times New Roman" w:hAnsi="Times New Roman" w:cs="Times New Roman"/>
          <w:sz w:val="24"/>
          <w:szCs w:val="24"/>
        </w:rPr>
        <w:t>(4): 382-392.</w:t>
      </w:r>
    </w:p>
    <w:p w:rsidR="002115AF" w:rsidRPr="002115AF" w:rsidRDefault="002115AF" w:rsidP="002115AF">
      <w:pPr>
        <w:pStyle w:val="Stil1"/>
        <w:numPr>
          <w:ilvl w:val="0"/>
          <w:numId w:val="6"/>
        </w:numPr>
        <w:spacing w:line="259" w:lineRule="auto"/>
      </w:pPr>
      <w:r w:rsidRPr="002115AF">
        <w:lastRenderedPageBreak/>
        <w:t xml:space="preserve">Hanedar, E.Y., Broccardo, E. and Bazzana, F. (2014). Collateral Requirements of SMEs: The Evidence from Less-Developed Countries. </w:t>
      </w:r>
      <w:r w:rsidRPr="002115AF">
        <w:rPr>
          <w:i/>
        </w:rPr>
        <w:t>Journal of Banking and Finance</w:t>
      </w:r>
      <w:r w:rsidRPr="002115AF">
        <w:t xml:space="preserve">. </w:t>
      </w:r>
      <w:r w:rsidRPr="002115AF">
        <w:rPr>
          <w:b/>
        </w:rPr>
        <w:t>38</w:t>
      </w:r>
      <w:r w:rsidRPr="002115AF">
        <w:t>(2014): 106-121.</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bCs/>
          <w:sz w:val="24"/>
          <w:szCs w:val="24"/>
        </w:rPr>
      </w:pPr>
      <w:r w:rsidRPr="002115AF">
        <w:rPr>
          <w:rFonts w:ascii="Times New Roman" w:hAnsi="Times New Roman" w:cs="Times New Roman"/>
          <w:bCs/>
          <w:sz w:val="24"/>
          <w:szCs w:val="24"/>
        </w:rPr>
        <w:t xml:space="preserve">Hughes, A. (2009). Hunting the Snark: Some Reflections on the U.K. Experience of Support for the Small Business Sector. </w:t>
      </w:r>
      <w:r w:rsidRPr="002115AF">
        <w:rPr>
          <w:rFonts w:ascii="Times New Roman" w:hAnsi="Times New Roman" w:cs="Times New Roman"/>
          <w:bCs/>
          <w:i/>
          <w:sz w:val="24"/>
          <w:szCs w:val="24"/>
        </w:rPr>
        <w:t>Innovation: Management, Policy and Practice</w:t>
      </w:r>
      <w:r w:rsidRPr="002115AF">
        <w:rPr>
          <w:rFonts w:ascii="Times New Roman" w:hAnsi="Times New Roman" w:cs="Times New Roman"/>
          <w:bCs/>
          <w:sz w:val="24"/>
          <w:szCs w:val="24"/>
        </w:rPr>
        <w:t xml:space="preserve">. </w:t>
      </w:r>
      <w:r w:rsidRPr="002115AF">
        <w:rPr>
          <w:rFonts w:ascii="Times New Roman" w:hAnsi="Times New Roman" w:cs="Times New Roman"/>
          <w:b/>
          <w:bCs/>
          <w:sz w:val="24"/>
          <w:szCs w:val="24"/>
        </w:rPr>
        <w:t>11</w:t>
      </w:r>
      <w:r w:rsidRPr="002115AF">
        <w:rPr>
          <w:rFonts w:ascii="Times New Roman" w:hAnsi="Times New Roman" w:cs="Times New Roman"/>
          <w:bCs/>
          <w:sz w:val="24"/>
          <w:szCs w:val="24"/>
        </w:rPr>
        <w:t>:114-126.</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bCs/>
          <w:sz w:val="24"/>
          <w:szCs w:val="24"/>
        </w:rPr>
      </w:pPr>
      <w:r w:rsidRPr="002115AF">
        <w:rPr>
          <w:rFonts w:ascii="Times New Roman" w:hAnsi="Times New Roman" w:cs="Times New Roman"/>
          <w:bCs/>
          <w:sz w:val="24"/>
          <w:szCs w:val="24"/>
        </w:rPr>
        <w:t xml:space="preserve">Mason, C. And Kwok, J. (2010). Investment Readiness Programmes and Access to Finance: A Critical Review of Design Issues. </w:t>
      </w:r>
      <w:r w:rsidRPr="002115AF">
        <w:rPr>
          <w:rFonts w:ascii="Times New Roman" w:hAnsi="Times New Roman" w:cs="Times New Roman"/>
          <w:bCs/>
          <w:i/>
          <w:sz w:val="24"/>
          <w:szCs w:val="24"/>
        </w:rPr>
        <w:t>Local Economy</w:t>
      </w:r>
      <w:r w:rsidRPr="002115AF">
        <w:rPr>
          <w:rFonts w:ascii="Times New Roman" w:hAnsi="Times New Roman" w:cs="Times New Roman"/>
          <w:bCs/>
          <w:sz w:val="24"/>
          <w:szCs w:val="24"/>
        </w:rPr>
        <w:t xml:space="preserve">. </w:t>
      </w:r>
      <w:r w:rsidRPr="002115AF">
        <w:rPr>
          <w:rFonts w:ascii="Times New Roman" w:hAnsi="Times New Roman" w:cs="Times New Roman"/>
          <w:b/>
          <w:bCs/>
          <w:sz w:val="24"/>
          <w:szCs w:val="24"/>
        </w:rPr>
        <w:t>25</w:t>
      </w:r>
      <w:r w:rsidRPr="002115AF">
        <w:rPr>
          <w:rFonts w:ascii="Times New Roman" w:hAnsi="Times New Roman" w:cs="Times New Roman"/>
          <w:bCs/>
          <w:sz w:val="24"/>
          <w:szCs w:val="24"/>
        </w:rPr>
        <w:t xml:space="preserve">(4): 269-292. </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AdvGulliv-R" w:hAnsi="Times New Roman" w:cs="Times New Roman"/>
          <w:sz w:val="24"/>
          <w:szCs w:val="24"/>
        </w:rPr>
      </w:pPr>
      <w:r w:rsidRPr="002115AF">
        <w:rPr>
          <w:rFonts w:ascii="Times New Roman" w:eastAsia="AdvGulliv-R" w:hAnsi="Times New Roman" w:cs="Times New Roman"/>
          <w:sz w:val="24"/>
          <w:szCs w:val="24"/>
        </w:rPr>
        <w:t xml:space="preserve">Menkhoff, L., Neuberger, D. and Rungruxsirivorn, O. (2012). Collateral and Substitutes in Emerging Markets’ Lending. </w:t>
      </w:r>
      <w:r w:rsidRPr="002115AF">
        <w:rPr>
          <w:rFonts w:ascii="Times New Roman" w:eastAsia="AdvGulliv-R" w:hAnsi="Times New Roman" w:cs="Times New Roman"/>
          <w:i/>
          <w:sz w:val="24"/>
          <w:szCs w:val="24"/>
        </w:rPr>
        <w:t>Journal of Banking and Finance</w:t>
      </w:r>
      <w:r w:rsidRPr="002115AF">
        <w:rPr>
          <w:rFonts w:ascii="Times New Roman" w:eastAsia="AdvGulliv-R" w:hAnsi="Times New Roman" w:cs="Times New Roman"/>
          <w:sz w:val="24"/>
          <w:szCs w:val="24"/>
        </w:rPr>
        <w:t xml:space="preserve">. </w:t>
      </w:r>
      <w:r w:rsidRPr="002115AF">
        <w:rPr>
          <w:rFonts w:ascii="Times New Roman" w:eastAsia="AdvGulliv-R" w:hAnsi="Times New Roman" w:cs="Times New Roman"/>
          <w:b/>
          <w:sz w:val="24"/>
          <w:szCs w:val="24"/>
        </w:rPr>
        <w:t>36</w:t>
      </w:r>
      <w:r w:rsidRPr="002115AF">
        <w:rPr>
          <w:rFonts w:ascii="Times New Roman" w:eastAsia="AdvGulliv-R" w:hAnsi="Times New Roman" w:cs="Times New Roman"/>
          <w:sz w:val="24"/>
          <w:szCs w:val="24"/>
        </w:rPr>
        <w:t>(3): 817-834.</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AdvGulliv-R" w:hAnsi="Times New Roman" w:cs="Times New Roman"/>
          <w:sz w:val="24"/>
          <w:szCs w:val="24"/>
        </w:rPr>
      </w:pPr>
      <w:r w:rsidRPr="002115AF">
        <w:rPr>
          <w:rFonts w:ascii="Times New Roman" w:eastAsia="AdvGulliv-R" w:hAnsi="Times New Roman" w:cs="Times New Roman"/>
          <w:sz w:val="24"/>
          <w:szCs w:val="24"/>
        </w:rPr>
        <w:t xml:space="preserve">Menkhoff, L., Neuberger, D. and Suwanaporn, C. (2006). Collateral-Based Lending in Emerging Markets: Evidence from Thailand. </w:t>
      </w:r>
      <w:r w:rsidRPr="002115AF">
        <w:rPr>
          <w:rFonts w:ascii="Times New Roman" w:eastAsia="AdvGulliv-R" w:hAnsi="Times New Roman" w:cs="Times New Roman"/>
          <w:i/>
          <w:sz w:val="24"/>
          <w:szCs w:val="24"/>
        </w:rPr>
        <w:t>Journal of Banking and Finance</w:t>
      </w:r>
      <w:r w:rsidRPr="002115AF">
        <w:rPr>
          <w:rFonts w:ascii="Times New Roman" w:eastAsia="AdvGulliv-R" w:hAnsi="Times New Roman" w:cs="Times New Roman"/>
          <w:sz w:val="24"/>
          <w:szCs w:val="24"/>
        </w:rPr>
        <w:t xml:space="preserve">. </w:t>
      </w:r>
      <w:r w:rsidRPr="002115AF">
        <w:rPr>
          <w:rFonts w:ascii="Times New Roman" w:eastAsia="AdvGulliv-R" w:hAnsi="Times New Roman" w:cs="Times New Roman"/>
          <w:b/>
          <w:sz w:val="24"/>
          <w:szCs w:val="24"/>
        </w:rPr>
        <w:t>30</w:t>
      </w:r>
      <w:r w:rsidRPr="002115AF">
        <w:rPr>
          <w:rFonts w:ascii="Times New Roman" w:eastAsia="AdvGulliv-R" w:hAnsi="Times New Roman" w:cs="Times New Roman"/>
          <w:sz w:val="24"/>
          <w:szCs w:val="24"/>
        </w:rPr>
        <w:t>(1): 1-21.</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Myers, S.C. (1984). The Capital Structure Puzzle. </w:t>
      </w:r>
      <w:r w:rsidRPr="002115AF">
        <w:rPr>
          <w:rFonts w:ascii="Times New Roman" w:hAnsi="Times New Roman" w:cs="Times New Roman"/>
          <w:i/>
          <w:sz w:val="24"/>
          <w:szCs w:val="24"/>
        </w:rPr>
        <w:t xml:space="preserve">The </w:t>
      </w:r>
      <w:r w:rsidRPr="002115AF">
        <w:rPr>
          <w:rFonts w:ascii="Times New Roman" w:hAnsi="Times New Roman" w:cs="Times New Roman"/>
          <w:i/>
          <w:iCs/>
          <w:sz w:val="24"/>
          <w:szCs w:val="24"/>
        </w:rPr>
        <w:t>Journal of Finance</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39</w:t>
      </w:r>
      <w:r w:rsidRPr="002115AF">
        <w:rPr>
          <w:rFonts w:ascii="Times New Roman" w:hAnsi="Times New Roman" w:cs="Times New Roman"/>
          <w:sz w:val="24"/>
          <w:szCs w:val="24"/>
        </w:rPr>
        <w:t>(3): 574-592.</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Myers, S.C. and Majluf, N.S. (1984). Corporate Financing and Investment Decisions when Firms Have Information that Investors Do Not Have. </w:t>
      </w:r>
      <w:r w:rsidRPr="002115AF">
        <w:rPr>
          <w:rFonts w:ascii="Times New Roman" w:hAnsi="Times New Roman" w:cs="Times New Roman"/>
          <w:i/>
          <w:iCs/>
          <w:sz w:val="24"/>
          <w:szCs w:val="24"/>
        </w:rPr>
        <w:t>Journal of Financial Economics</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13</w:t>
      </w:r>
      <w:r w:rsidRPr="002115AF">
        <w:rPr>
          <w:rFonts w:ascii="Times New Roman" w:hAnsi="Times New Roman" w:cs="Times New Roman"/>
          <w:sz w:val="24"/>
          <w:szCs w:val="24"/>
        </w:rPr>
        <w:t>(2): 187-221.</w:t>
      </w:r>
    </w:p>
    <w:p w:rsidR="002115AF" w:rsidRPr="002115AF" w:rsidRDefault="002115AF" w:rsidP="002115AF">
      <w:pPr>
        <w:pStyle w:val="ListeParagraf"/>
        <w:widowControl w:val="0"/>
        <w:numPr>
          <w:ilvl w:val="0"/>
          <w:numId w:val="6"/>
        </w:numPr>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Nilsen, J.H. (2002). Trade Credit and the Bank Lending Channel</w:t>
      </w:r>
      <w:r w:rsidRPr="002115AF">
        <w:rPr>
          <w:rFonts w:ascii="Times New Roman" w:hAnsi="Times New Roman" w:cs="Times New Roman"/>
          <w:i/>
          <w:sz w:val="24"/>
          <w:szCs w:val="24"/>
        </w:rPr>
        <w:t>. Journal of Money, Credit and Banking</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34</w:t>
      </w:r>
      <w:r w:rsidRPr="002115AF">
        <w:rPr>
          <w:rFonts w:ascii="Times New Roman" w:hAnsi="Times New Roman" w:cs="Times New Roman"/>
          <w:sz w:val="24"/>
          <w:szCs w:val="24"/>
        </w:rPr>
        <w:t>(1): 226-253.</w:t>
      </w:r>
    </w:p>
    <w:p w:rsidR="002115AF" w:rsidRPr="002115AF" w:rsidRDefault="002115AF" w:rsidP="002115AF">
      <w:pPr>
        <w:pStyle w:val="ListeParagraf"/>
        <w:widowControl w:val="0"/>
        <w:numPr>
          <w:ilvl w:val="0"/>
          <w:numId w:val="6"/>
        </w:numPr>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OECD (2006). The SME Financing Gap: Theory and Evidence. </w:t>
      </w:r>
      <w:r w:rsidRPr="002115AF">
        <w:rPr>
          <w:rFonts w:ascii="Times New Roman" w:hAnsi="Times New Roman" w:cs="Times New Roman"/>
          <w:i/>
          <w:sz w:val="24"/>
          <w:szCs w:val="24"/>
        </w:rPr>
        <w:t>Financial Market Trends</w:t>
      </w:r>
      <w:r w:rsidRPr="002115AF">
        <w:rPr>
          <w:rFonts w:ascii="Times New Roman" w:hAnsi="Times New Roman" w:cs="Times New Roman"/>
          <w:sz w:val="24"/>
          <w:szCs w:val="24"/>
        </w:rPr>
        <w:t>. 2006(2): 87-97.</w:t>
      </w:r>
    </w:p>
    <w:p w:rsidR="002115AF" w:rsidRPr="002115AF" w:rsidRDefault="002115AF" w:rsidP="002115AF">
      <w:pPr>
        <w:pStyle w:val="ListeParagraf"/>
        <w:widowControl w:val="0"/>
        <w:numPr>
          <w:ilvl w:val="0"/>
          <w:numId w:val="6"/>
        </w:numPr>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Petersen, M.A. and Rajan, R.G. (1997). Trade Credit: Theories and Evidence. </w:t>
      </w:r>
      <w:r w:rsidRPr="002115AF">
        <w:rPr>
          <w:rFonts w:ascii="Times New Roman" w:hAnsi="Times New Roman" w:cs="Times New Roman"/>
          <w:i/>
          <w:sz w:val="24"/>
          <w:szCs w:val="24"/>
        </w:rPr>
        <w:t>The Review of Financial Studies</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10</w:t>
      </w:r>
      <w:r w:rsidRPr="002115AF">
        <w:rPr>
          <w:rFonts w:ascii="Times New Roman" w:hAnsi="Times New Roman" w:cs="Times New Roman"/>
          <w:sz w:val="24"/>
          <w:szCs w:val="24"/>
        </w:rPr>
        <w:t>(3): 661-691.</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eastAsia="GulliverRM" w:hAnsi="Times New Roman" w:cs="Times New Roman"/>
          <w:sz w:val="24"/>
          <w:szCs w:val="24"/>
        </w:rPr>
      </w:pPr>
      <w:r w:rsidRPr="002115AF">
        <w:rPr>
          <w:rFonts w:ascii="Times New Roman" w:eastAsia="GulliverRM" w:hAnsi="Times New Roman" w:cs="Times New Roman"/>
          <w:sz w:val="24"/>
          <w:szCs w:val="24"/>
        </w:rPr>
        <w:t xml:space="preserve">Pissarides, F. (1999). Is Lack of Funds the Main Obstacle to Growth? EBRD’s Experience with Small- and Medium-Sized Businesses in Central and Eastern Europe. </w:t>
      </w:r>
      <w:r w:rsidRPr="002115AF">
        <w:rPr>
          <w:rFonts w:ascii="Times New Roman" w:eastAsia="GulliverRM" w:hAnsi="Times New Roman" w:cs="Times New Roman"/>
          <w:i/>
          <w:sz w:val="24"/>
          <w:szCs w:val="24"/>
        </w:rPr>
        <w:t>Journal of Business Venturing</w:t>
      </w:r>
      <w:r w:rsidRPr="002115AF">
        <w:rPr>
          <w:rFonts w:ascii="Times New Roman" w:eastAsia="GulliverRM" w:hAnsi="Times New Roman" w:cs="Times New Roman"/>
          <w:sz w:val="24"/>
          <w:szCs w:val="24"/>
        </w:rPr>
        <w:t xml:space="preserve">. </w:t>
      </w:r>
      <w:r w:rsidRPr="002115AF">
        <w:rPr>
          <w:rFonts w:ascii="Times New Roman" w:eastAsia="GulliverRM" w:hAnsi="Times New Roman" w:cs="Times New Roman"/>
          <w:b/>
          <w:sz w:val="24"/>
          <w:szCs w:val="24"/>
        </w:rPr>
        <w:t>14</w:t>
      </w:r>
      <w:r w:rsidRPr="002115AF">
        <w:rPr>
          <w:rFonts w:ascii="Times New Roman" w:eastAsia="GulliverRM" w:hAnsi="Times New Roman" w:cs="Times New Roman"/>
          <w:sz w:val="24"/>
          <w:szCs w:val="24"/>
        </w:rPr>
        <w:t xml:space="preserve"> (5&amp;6): 519-539.</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Shen, Y., Shen, M., Xu, Z. and Bai, Y. (2009). Bank Size and Small-and Medium-Sized Enterprise (SME) Lending: Evidence from China. </w:t>
      </w:r>
      <w:r w:rsidRPr="002115AF">
        <w:rPr>
          <w:rFonts w:ascii="Times New Roman" w:hAnsi="Times New Roman" w:cs="Times New Roman"/>
          <w:i/>
          <w:sz w:val="24"/>
          <w:szCs w:val="24"/>
        </w:rPr>
        <w:t>World Development</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37</w:t>
      </w:r>
      <w:r w:rsidRPr="002115AF">
        <w:rPr>
          <w:rFonts w:ascii="Times New Roman" w:hAnsi="Times New Roman" w:cs="Times New Roman"/>
          <w:sz w:val="24"/>
          <w:szCs w:val="24"/>
        </w:rPr>
        <w:t>(4): 800-811.</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Vos, E., Yeh, A.J.Y., Carter, S. and Tagg, S. (2007). The Happy Story of Small Business Financing. </w:t>
      </w:r>
      <w:r w:rsidRPr="002115AF">
        <w:rPr>
          <w:rFonts w:ascii="Times New Roman" w:hAnsi="Times New Roman" w:cs="Times New Roman"/>
          <w:i/>
          <w:sz w:val="24"/>
          <w:szCs w:val="24"/>
        </w:rPr>
        <w:t>Journal of Banking and Finance</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31</w:t>
      </w:r>
      <w:r w:rsidRPr="002115AF">
        <w:rPr>
          <w:rFonts w:ascii="Times New Roman" w:hAnsi="Times New Roman" w:cs="Times New Roman"/>
          <w:sz w:val="24"/>
          <w:szCs w:val="24"/>
        </w:rPr>
        <w:t>(9): 2648-2672.</w:t>
      </w:r>
    </w:p>
    <w:p w:rsidR="002115AF" w:rsidRPr="002115AF" w:rsidRDefault="002115AF" w:rsidP="002115AF">
      <w:pPr>
        <w:pStyle w:val="ListeParagraf"/>
        <w:widowControl w:val="0"/>
        <w:numPr>
          <w:ilvl w:val="0"/>
          <w:numId w:val="6"/>
        </w:numPr>
        <w:autoSpaceDE w:val="0"/>
        <w:autoSpaceDN w:val="0"/>
        <w:adjustRightInd w:val="0"/>
        <w:spacing w:after="0" w:line="259" w:lineRule="auto"/>
        <w:jc w:val="both"/>
        <w:textAlignment w:val="baseline"/>
        <w:rPr>
          <w:rFonts w:ascii="Times New Roman" w:hAnsi="Times New Roman" w:cs="Times New Roman"/>
          <w:sz w:val="24"/>
          <w:szCs w:val="24"/>
        </w:rPr>
      </w:pPr>
      <w:r w:rsidRPr="002115AF">
        <w:rPr>
          <w:rFonts w:ascii="Times New Roman" w:hAnsi="Times New Roman" w:cs="Times New Roman"/>
          <w:sz w:val="24"/>
          <w:szCs w:val="24"/>
        </w:rPr>
        <w:t xml:space="preserve">Zhou, H. (2007). Auditing Standards, Increased Accounting Disclosure, and Information Asymmetry: Evidence from an Emerging Market. </w:t>
      </w:r>
      <w:r w:rsidRPr="002115AF">
        <w:rPr>
          <w:rFonts w:ascii="Times New Roman" w:hAnsi="Times New Roman" w:cs="Times New Roman"/>
          <w:i/>
          <w:sz w:val="24"/>
          <w:szCs w:val="24"/>
        </w:rPr>
        <w:t>Journal of Accounting and Public Policy</w:t>
      </w:r>
      <w:r w:rsidRPr="002115AF">
        <w:rPr>
          <w:rFonts w:ascii="Times New Roman" w:hAnsi="Times New Roman" w:cs="Times New Roman"/>
          <w:sz w:val="24"/>
          <w:szCs w:val="24"/>
        </w:rPr>
        <w:t xml:space="preserve">. </w:t>
      </w:r>
      <w:r w:rsidRPr="002115AF">
        <w:rPr>
          <w:rFonts w:ascii="Times New Roman" w:hAnsi="Times New Roman" w:cs="Times New Roman"/>
          <w:b/>
          <w:sz w:val="24"/>
          <w:szCs w:val="24"/>
        </w:rPr>
        <w:t>26</w:t>
      </w:r>
      <w:r w:rsidRPr="002115AF">
        <w:rPr>
          <w:rFonts w:ascii="Times New Roman" w:hAnsi="Times New Roman" w:cs="Times New Roman"/>
          <w:sz w:val="24"/>
          <w:szCs w:val="24"/>
        </w:rPr>
        <w:t>(5): 584-620.</w:t>
      </w:r>
    </w:p>
    <w:p w:rsidR="00C96C25" w:rsidRPr="002115AF" w:rsidRDefault="00C96C25" w:rsidP="00AF5D14">
      <w:pPr>
        <w:autoSpaceDE w:val="0"/>
        <w:autoSpaceDN w:val="0"/>
        <w:adjustRightInd w:val="0"/>
        <w:spacing w:after="0" w:line="259" w:lineRule="auto"/>
        <w:jc w:val="both"/>
        <w:rPr>
          <w:rFonts w:ascii="Times New Roman" w:hAnsi="Times New Roman" w:cs="Times New Roman"/>
          <w:bCs/>
          <w:sz w:val="24"/>
          <w:szCs w:val="24"/>
        </w:rPr>
      </w:pPr>
    </w:p>
    <w:sectPr w:rsidR="00C96C25" w:rsidRPr="002115AF" w:rsidSect="0019546E">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12" w:rsidRDefault="009E3112" w:rsidP="0063772A">
      <w:pPr>
        <w:spacing w:after="0" w:line="240" w:lineRule="auto"/>
      </w:pPr>
      <w:r>
        <w:separator/>
      </w:r>
    </w:p>
  </w:endnote>
  <w:endnote w:type="continuationSeparator" w:id="0">
    <w:p w:rsidR="009E3112" w:rsidRDefault="009E3112" w:rsidP="0063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ulliverRM">
    <w:altName w:val="MS Mincho"/>
    <w:panose1 w:val="00000000000000000000"/>
    <w:charset w:val="80"/>
    <w:family w:val="auto"/>
    <w:notTrueType/>
    <w:pitch w:val="default"/>
    <w:sig w:usb0="00000000"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MUSerif-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12" w:rsidRDefault="009E3112" w:rsidP="0063772A">
      <w:pPr>
        <w:spacing w:after="0" w:line="240" w:lineRule="auto"/>
      </w:pPr>
      <w:r>
        <w:separator/>
      </w:r>
    </w:p>
  </w:footnote>
  <w:footnote w:type="continuationSeparator" w:id="0">
    <w:p w:rsidR="009E3112" w:rsidRDefault="009E3112" w:rsidP="00637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74C"/>
    <w:multiLevelType w:val="hybridMultilevel"/>
    <w:tmpl w:val="346A3A9E"/>
    <w:lvl w:ilvl="0" w:tplc="041F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190F"/>
    <w:multiLevelType w:val="hybridMultilevel"/>
    <w:tmpl w:val="7460F5D0"/>
    <w:lvl w:ilvl="0" w:tplc="D3B8E942">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933B2C"/>
    <w:multiLevelType w:val="multilevel"/>
    <w:tmpl w:val="99A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04AFC"/>
    <w:multiLevelType w:val="multilevel"/>
    <w:tmpl w:val="EAB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50FE6"/>
    <w:multiLevelType w:val="hybridMultilevel"/>
    <w:tmpl w:val="21227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B5452D"/>
    <w:multiLevelType w:val="hybridMultilevel"/>
    <w:tmpl w:val="62CEF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8F"/>
    <w:rsid w:val="00001778"/>
    <w:rsid w:val="00005A02"/>
    <w:rsid w:val="00016AE5"/>
    <w:rsid w:val="00017DF3"/>
    <w:rsid w:val="00034EB3"/>
    <w:rsid w:val="00040E51"/>
    <w:rsid w:val="000456F8"/>
    <w:rsid w:val="000473A8"/>
    <w:rsid w:val="00053186"/>
    <w:rsid w:val="0005495A"/>
    <w:rsid w:val="00070A0E"/>
    <w:rsid w:val="00070D8E"/>
    <w:rsid w:val="00072A89"/>
    <w:rsid w:val="00075FEA"/>
    <w:rsid w:val="000830CF"/>
    <w:rsid w:val="0008764A"/>
    <w:rsid w:val="00090CB3"/>
    <w:rsid w:val="00090CCD"/>
    <w:rsid w:val="000922AB"/>
    <w:rsid w:val="00094F44"/>
    <w:rsid w:val="000A6405"/>
    <w:rsid w:val="000A74D5"/>
    <w:rsid w:val="000B5194"/>
    <w:rsid w:val="000B51AF"/>
    <w:rsid w:val="000C0738"/>
    <w:rsid w:val="000C14BD"/>
    <w:rsid w:val="000C558E"/>
    <w:rsid w:val="000D04C9"/>
    <w:rsid w:val="000D2EF8"/>
    <w:rsid w:val="000D3E4D"/>
    <w:rsid w:val="000D6887"/>
    <w:rsid w:val="000D6D79"/>
    <w:rsid w:val="000D7325"/>
    <w:rsid w:val="000D7655"/>
    <w:rsid w:val="000E0449"/>
    <w:rsid w:val="000E06D5"/>
    <w:rsid w:val="000E1615"/>
    <w:rsid w:val="000F4CBE"/>
    <w:rsid w:val="00103224"/>
    <w:rsid w:val="001039CE"/>
    <w:rsid w:val="00111051"/>
    <w:rsid w:val="0012734F"/>
    <w:rsid w:val="00136C6A"/>
    <w:rsid w:val="00143C5A"/>
    <w:rsid w:val="00150380"/>
    <w:rsid w:val="00160859"/>
    <w:rsid w:val="00162382"/>
    <w:rsid w:val="00162E4C"/>
    <w:rsid w:val="001828F8"/>
    <w:rsid w:val="0018418F"/>
    <w:rsid w:val="00184806"/>
    <w:rsid w:val="0019546E"/>
    <w:rsid w:val="001A1522"/>
    <w:rsid w:val="001B29E3"/>
    <w:rsid w:val="001B41EA"/>
    <w:rsid w:val="001B4905"/>
    <w:rsid w:val="001B767C"/>
    <w:rsid w:val="001C450E"/>
    <w:rsid w:val="001C545E"/>
    <w:rsid w:val="001D6261"/>
    <w:rsid w:val="001D6BE8"/>
    <w:rsid w:val="001D7768"/>
    <w:rsid w:val="001E16E6"/>
    <w:rsid w:val="001E18BF"/>
    <w:rsid w:val="001E70E5"/>
    <w:rsid w:val="001F0552"/>
    <w:rsid w:val="001F056D"/>
    <w:rsid w:val="001F4648"/>
    <w:rsid w:val="001F4D90"/>
    <w:rsid w:val="001F7B1C"/>
    <w:rsid w:val="00200971"/>
    <w:rsid w:val="00202988"/>
    <w:rsid w:val="00204CD5"/>
    <w:rsid w:val="002115AF"/>
    <w:rsid w:val="002137A4"/>
    <w:rsid w:val="00213965"/>
    <w:rsid w:val="0022357A"/>
    <w:rsid w:val="00226269"/>
    <w:rsid w:val="002269B2"/>
    <w:rsid w:val="00230B6A"/>
    <w:rsid w:val="00237119"/>
    <w:rsid w:val="002406E8"/>
    <w:rsid w:val="002410E1"/>
    <w:rsid w:val="00250C51"/>
    <w:rsid w:val="002535B6"/>
    <w:rsid w:val="00255280"/>
    <w:rsid w:val="002608AB"/>
    <w:rsid w:val="0026351C"/>
    <w:rsid w:val="00272D87"/>
    <w:rsid w:val="0027525E"/>
    <w:rsid w:val="00276AC0"/>
    <w:rsid w:val="00280A7D"/>
    <w:rsid w:val="002835D7"/>
    <w:rsid w:val="00283A03"/>
    <w:rsid w:val="002852C4"/>
    <w:rsid w:val="002A2055"/>
    <w:rsid w:val="002A6394"/>
    <w:rsid w:val="002B1347"/>
    <w:rsid w:val="002B75E2"/>
    <w:rsid w:val="002C0884"/>
    <w:rsid w:val="002C613C"/>
    <w:rsid w:val="002D02B7"/>
    <w:rsid w:val="002D04B9"/>
    <w:rsid w:val="002E21C6"/>
    <w:rsid w:val="002E4240"/>
    <w:rsid w:val="002E6718"/>
    <w:rsid w:val="002F2B1B"/>
    <w:rsid w:val="002F7BD8"/>
    <w:rsid w:val="00306D1F"/>
    <w:rsid w:val="00315E76"/>
    <w:rsid w:val="00316C68"/>
    <w:rsid w:val="0032476E"/>
    <w:rsid w:val="00325B5D"/>
    <w:rsid w:val="00333C09"/>
    <w:rsid w:val="0033586C"/>
    <w:rsid w:val="003478CF"/>
    <w:rsid w:val="003518FC"/>
    <w:rsid w:val="00354752"/>
    <w:rsid w:val="00355FC7"/>
    <w:rsid w:val="003570C1"/>
    <w:rsid w:val="00361117"/>
    <w:rsid w:val="003611E7"/>
    <w:rsid w:val="003620BC"/>
    <w:rsid w:val="00365021"/>
    <w:rsid w:val="00383A02"/>
    <w:rsid w:val="00386E7C"/>
    <w:rsid w:val="00391537"/>
    <w:rsid w:val="003C4D4B"/>
    <w:rsid w:val="003D6F55"/>
    <w:rsid w:val="003D7CAB"/>
    <w:rsid w:val="003F433D"/>
    <w:rsid w:val="004018B1"/>
    <w:rsid w:val="00414529"/>
    <w:rsid w:val="00427BF7"/>
    <w:rsid w:val="004333FF"/>
    <w:rsid w:val="004344B9"/>
    <w:rsid w:val="00435E90"/>
    <w:rsid w:val="00442E8D"/>
    <w:rsid w:val="00450AFE"/>
    <w:rsid w:val="00453165"/>
    <w:rsid w:val="00453CF9"/>
    <w:rsid w:val="00455DBF"/>
    <w:rsid w:val="00461D2F"/>
    <w:rsid w:val="00462BE6"/>
    <w:rsid w:val="004655DB"/>
    <w:rsid w:val="004744B1"/>
    <w:rsid w:val="0048107B"/>
    <w:rsid w:val="00481C12"/>
    <w:rsid w:val="00486C6E"/>
    <w:rsid w:val="004926DF"/>
    <w:rsid w:val="00495B8D"/>
    <w:rsid w:val="0049781E"/>
    <w:rsid w:val="004A2DCF"/>
    <w:rsid w:val="004A45D6"/>
    <w:rsid w:val="004A60A1"/>
    <w:rsid w:val="004B1B65"/>
    <w:rsid w:val="004B24DE"/>
    <w:rsid w:val="004B38A1"/>
    <w:rsid w:val="004B458B"/>
    <w:rsid w:val="004B4EF3"/>
    <w:rsid w:val="004C360D"/>
    <w:rsid w:val="004D04ED"/>
    <w:rsid w:val="004D15E8"/>
    <w:rsid w:val="004D681C"/>
    <w:rsid w:val="004D7F38"/>
    <w:rsid w:val="004E08E0"/>
    <w:rsid w:val="004E5E2A"/>
    <w:rsid w:val="004E770A"/>
    <w:rsid w:val="004F2145"/>
    <w:rsid w:val="005008DD"/>
    <w:rsid w:val="005017F3"/>
    <w:rsid w:val="00506028"/>
    <w:rsid w:val="00510AD9"/>
    <w:rsid w:val="00520AED"/>
    <w:rsid w:val="00520E61"/>
    <w:rsid w:val="00521037"/>
    <w:rsid w:val="00531FFE"/>
    <w:rsid w:val="00534935"/>
    <w:rsid w:val="005349EF"/>
    <w:rsid w:val="005366D0"/>
    <w:rsid w:val="00540771"/>
    <w:rsid w:val="00542767"/>
    <w:rsid w:val="00545007"/>
    <w:rsid w:val="005503B8"/>
    <w:rsid w:val="00550C93"/>
    <w:rsid w:val="00557B61"/>
    <w:rsid w:val="00557DD4"/>
    <w:rsid w:val="005603A8"/>
    <w:rsid w:val="005616D4"/>
    <w:rsid w:val="005619BE"/>
    <w:rsid w:val="00572A1C"/>
    <w:rsid w:val="00573EBA"/>
    <w:rsid w:val="00581524"/>
    <w:rsid w:val="00585DCC"/>
    <w:rsid w:val="00591353"/>
    <w:rsid w:val="005914CD"/>
    <w:rsid w:val="00594AA3"/>
    <w:rsid w:val="005957A2"/>
    <w:rsid w:val="00597ED6"/>
    <w:rsid w:val="005A1E14"/>
    <w:rsid w:val="005A4F6B"/>
    <w:rsid w:val="005B2ED8"/>
    <w:rsid w:val="005C6B15"/>
    <w:rsid w:val="005D0045"/>
    <w:rsid w:val="005D40C1"/>
    <w:rsid w:val="005D7EBC"/>
    <w:rsid w:val="005E3986"/>
    <w:rsid w:val="005E6747"/>
    <w:rsid w:val="005F1DB8"/>
    <w:rsid w:val="005F296E"/>
    <w:rsid w:val="005F4EF6"/>
    <w:rsid w:val="005F5D7E"/>
    <w:rsid w:val="005F7B99"/>
    <w:rsid w:val="006002C1"/>
    <w:rsid w:val="00601E75"/>
    <w:rsid w:val="006026FA"/>
    <w:rsid w:val="0060451B"/>
    <w:rsid w:val="00605B6F"/>
    <w:rsid w:val="00605D33"/>
    <w:rsid w:val="006216F3"/>
    <w:rsid w:val="006218E4"/>
    <w:rsid w:val="00622BDC"/>
    <w:rsid w:val="0063772A"/>
    <w:rsid w:val="00642F23"/>
    <w:rsid w:val="0064791B"/>
    <w:rsid w:val="006505CD"/>
    <w:rsid w:val="00651BF6"/>
    <w:rsid w:val="006554BC"/>
    <w:rsid w:val="00656E3D"/>
    <w:rsid w:val="006607D1"/>
    <w:rsid w:val="006640AD"/>
    <w:rsid w:val="00665BD1"/>
    <w:rsid w:val="0066731E"/>
    <w:rsid w:val="006729D4"/>
    <w:rsid w:val="00673DAD"/>
    <w:rsid w:val="00680133"/>
    <w:rsid w:val="0068276F"/>
    <w:rsid w:val="00685E38"/>
    <w:rsid w:val="00687BD7"/>
    <w:rsid w:val="006914A2"/>
    <w:rsid w:val="00691EB1"/>
    <w:rsid w:val="00696D0C"/>
    <w:rsid w:val="006A67F1"/>
    <w:rsid w:val="006C0545"/>
    <w:rsid w:val="006C0B04"/>
    <w:rsid w:val="006C5AB1"/>
    <w:rsid w:val="006D195F"/>
    <w:rsid w:val="006D7804"/>
    <w:rsid w:val="006E0E6D"/>
    <w:rsid w:val="006E1D6E"/>
    <w:rsid w:val="006E4926"/>
    <w:rsid w:val="006E745D"/>
    <w:rsid w:val="006F4A7C"/>
    <w:rsid w:val="006F7137"/>
    <w:rsid w:val="00700207"/>
    <w:rsid w:val="00703575"/>
    <w:rsid w:val="00704215"/>
    <w:rsid w:val="00704B8A"/>
    <w:rsid w:val="007239F8"/>
    <w:rsid w:val="00726416"/>
    <w:rsid w:val="0072751B"/>
    <w:rsid w:val="00741844"/>
    <w:rsid w:val="0075063B"/>
    <w:rsid w:val="00756F89"/>
    <w:rsid w:val="00757095"/>
    <w:rsid w:val="007629B7"/>
    <w:rsid w:val="00762C37"/>
    <w:rsid w:val="00765181"/>
    <w:rsid w:val="00781547"/>
    <w:rsid w:val="00782613"/>
    <w:rsid w:val="00786042"/>
    <w:rsid w:val="007942CA"/>
    <w:rsid w:val="00795FCA"/>
    <w:rsid w:val="007969B7"/>
    <w:rsid w:val="00796BD6"/>
    <w:rsid w:val="007A5BF9"/>
    <w:rsid w:val="007B4727"/>
    <w:rsid w:val="007B4A42"/>
    <w:rsid w:val="007B5D31"/>
    <w:rsid w:val="007B7A75"/>
    <w:rsid w:val="007C7697"/>
    <w:rsid w:val="007D190E"/>
    <w:rsid w:val="007D58A4"/>
    <w:rsid w:val="007E0BED"/>
    <w:rsid w:val="007E365A"/>
    <w:rsid w:val="007F5E6F"/>
    <w:rsid w:val="007F666E"/>
    <w:rsid w:val="00804C0F"/>
    <w:rsid w:val="00813B02"/>
    <w:rsid w:val="0082573E"/>
    <w:rsid w:val="00826DB1"/>
    <w:rsid w:val="008326E5"/>
    <w:rsid w:val="00836007"/>
    <w:rsid w:val="00836948"/>
    <w:rsid w:val="0083759C"/>
    <w:rsid w:val="00845F3D"/>
    <w:rsid w:val="0085339E"/>
    <w:rsid w:val="008543D0"/>
    <w:rsid w:val="00855B6D"/>
    <w:rsid w:val="00876710"/>
    <w:rsid w:val="00876CED"/>
    <w:rsid w:val="008775F3"/>
    <w:rsid w:val="00877810"/>
    <w:rsid w:val="008852FB"/>
    <w:rsid w:val="0088673B"/>
    <w:rsid w:val="00886AAB"/>
    <w:rsid w:val="008870C5"/>
    <w:rsid w:val="00891A25"/>
    <w:rsid w:val="00894935"/>
    <w:rsid w:val="008A1E0F"/>
    <w:rsid w:val="008C0650"/>
    <w:rsid w:val="008C1C14"/>
    <w:rsid w:val="008C2208"/>
    <w:rsid w:val="008C4980"/>
    <w:rsid w:val="008C6DB0"/>
    <w:rsid w:val="008D53C8"/>
    <w:rsid w:val="008D5C84"/>
    <w:rsid w:val="008E0A25"/>
    <w:rsid w:val="008E26E4"/>
    <w:rsid w:val="008E7D86"/>
    <w:rsid w:val="008F1330"/>
    <w:rsid w:val="00901C8F"/>
    <w:rsid w:val="00902430"/>
    <w:rsid w:val="00905FAD"/>
    <w:rsid w:val="00906A8D"/>
    <w:rsid w:val="00910822"/>
    <w:rsid w:val="00912194"/>
    <w:rsid w:val="0091691C"/>
    <w:rsid w:val="009172EC"/>
    <w:rsid w:val="009220E5"/>
    <w:rsid w:val="0092344F"/>
    <w:rsid w:val="00923460"/>
    <w:rsid w:val="00931B39"/>
    <w:rsid w:val="00934061"/>
    <w:rsid w:val="00951FDB"/>
    <w:rsid w:val="00952DEE"/>
    <w:rsid w:val="009540A1"/>
    <w:rsid w:val="00957885"/>
    <w:rsid w:val="009604CB"/>
    <w:rsid w:val="00960AC8"/>
    <w:rsid w:val="00961AC1"/>
    <w:rsid w:val="00962860"/>
    <w:rsid w:val="00962CC2"/>
    <w:rsid w:val="00963AE3"/>
    <w:rsid w:val="00964E25"/>
    <w:rsid w:val="00983D18"/>
    <w:rsid w:val="00990B25"/>
    <w:rsid w:val="009918BF"/>
    <w:rsid w:val="00991D51"/>
    <w:rsid w:val="009A01D9"/>
    <w:rsid w:val="009A6CB3"/>
    <w:rsid w:val="009A7471"/>
    <w:rsid w:val="009A754D"/>
    <w:rsid w:val="009B62EF"/>
    <w:rsid w:val="009B6830"/>
    <w:rsid w:val="009C551A"/>
    <w:rsid w:val="009C6280"/>
    <w:rsid w:val="009C7961"/>
    <w:rsid w:val="009D5377"/>
    <w:rsid w:val="009D7C05"/>
    <w:rsid w:val="009E3112"/>
    <w:rsid w:val="009E5004"/>
    <w:rsid w:val="009E5A1B"/>
    <w:rsid w:val="009F1A3A"/>
    <w:rsid w:val="009F3E96"/>
    <w:rsid w:val="009F5AB5"/>
    <w:rsid w:val="009F5C42"/>
    <w:rsid w:val="00A02295"/>
    <w:rsid w:val="00A027BE"/>
    <w:rsid w:val="00A06ABC"/>
    <w:rsid w:val="00A116EC"/>
    <w:rsid w:val="00A13E1E"/>
    <w:rsid w:val="00A13FDE"/>
    <w:rsid w:val="00A24782"/>
    <w:rsid w:val="00A316D3"/>
    <w:rsid w:val="00A31929"/>
    <w:rsid w:val="00A33F7F"/>
    <w:rsid w:val="00A358D8"/>
    <w:rsid w:val="00A35DF2"/>
    <w:rsid w:val="00A362D6"/>
    <w:rsid w:val="00A42F15"/>
    <w:rsid w:val="00A50C1A"/>
    <w:rsid w:val="00A50D22"/>
    <w:rsid w:val="00A512EC"/>
    <w:rsid w:val="00A67A9B"/>
    <w:rsid w:val="00A71D4F"/>
    <w:rsid w:val="00A75E75"/>
    <w:rsid w:val="00A81EDF"/>
    <w:rsid w:val="00A822A3"/>
    <w:rsid w:val="00A84025"/>
    <w:rsid w:val="00A84EB9"/>
    <w:rsid w:val="00A8502B"/>
    <w:rsid w:val="00A94E36"/>
    <w:rsid w:val="00AB0776"/>
    <w:rsid w:val="00AB0DD8"/>
    <w:rsid w:val="00AC3D8B"/>
    <w:rsid w:val="00AC6D36"/>
    <w:rsid w:val="00AD0481"/>
    <w:rsid w:val="00AD5D0F"/>
    <w:rsid w:val="00AE4C50"/>
    <w:rsid w:val="00AE6A4D"/>
    <w:rsid w:val="00AE6FB0"/>
    <w:rsid w:val="00AF2489"/>
    <w:rsid w:val="00AF2962"/>
    <w:rsid w:val="00AF5D14"/>
    <w:rsid w:val="00B0173D"/>
    <w:rsid w:val="00B03A90"/>
    <w:rsid w:val="00B03DCA"/>
    <w:rsid w:val="00B04A0B"/>
    <w:rsid w:val="00B0582F"/>
    <w:rsid w:val="00B10D20"/>
    <w:rsid w:val="00B14EF9"/>
    <w:rsid w:val="00B16432"/>
    <w:rsid w:val="00B1679B"/>
    <w:rsid w:val="00B229D7"/>
    <w:rsid w:val="00B23DDF"/>
    <w:rsid w:val="00B24217"/>
    <w:rsid w:val="00B254C1"/>
    <w:rsid w:val="00B268E7"/>
    <w:rsid w:val="00B42F08"/>
    <w:rsid w:val="00B46744"/>
    <w:rsid w:val="00B511B1"/>
    <w:rsid w:val="00B53723"/>
    <w:rsid w:val="00B539DE"/>
    <w:rsid w:val="00B54BB5"/>
    <w:rsid w:val="00B56683"/>
    <w:rsid w:val="00B60C28"/>
    <w:rsid w:val="00B642DF"/>
    <w:rsid w:val="00B6524D"/>
    <w:rsid w:val="00B65CC0"/>
    <w:rsid w:val="00B66DE1"/>
    <w:rsid w:val="00B710AD"/>
    <w:rsid w:val="00B72326"/>
    <w:rsid w:val="00B77CAB"/>
    <w:rsid w:val="00B81443"/>
    <w:rsid w:val="00B82F74"/>
    <w:rsid w:val="00B837B4"/>
    <w:rsid w:val="00B93E6E"/>
    <w:rsid w:val="00B970C0"/>
    <w:rsid w:val="00BA2D2F"/>
    <w:rsid w:val="00BB6348"/>
    <w:rsid w:val="00BB645E"/>
    <w:rsid w:val="00BC25D9"/>
    <w:rsid w:val="00BC514A"/>
    <w:rsid w:val="00BC72BC"/>
    <w:rsid w:val="00BD36D2"/>
    <w:rsid w:val="00BD37F6"/>
    <w:rsid w:val="00BE0EEF"/>
    <w:rsid w:val="00BF01EE"/>
    <w:rsid w:val="00BF1C11"/>
    <w:rsid w:val="00C03D48"/>
    <w:rsid w:val="00C04F55"/>
    <w:rsid w:val="00C0779E"/>
    <w:rsid w:val="00C14C48"/>
    <w:rsid w:val="00C16B92"/>
    <w:rsid w:val="00C25569"/>
    <w:rsid w:val="00C25756"/>
    <w:rsid w:val="00C27931"/>
    <w:rsid w:val="00C400E8"/>
    <w:rsid w:val="00C41957"/>
    <w:rsid w:val="00C461D9"/>
    <w:rsid w:val="00C5157E"/>
    <w:rsid w:val="00C52EE9"/>
    <w:rsid w:val="00C532B7"/>
    <w:rsid w:val="00C53582"/>
    <w:rsid w:val="00C56C3C"/>
    <w:rsid w:val="00C61263"/>
    <w:rsid w:val="00C65EDD"/>
    <w:rsid w:val="00C677D2"/>
    <w:rsid w:val="00C73D5C"/>
    <w:rsid w:val="00C75844"/>
    <w:rsid w:val="00C778D4"/>
    <w:rsid w:val="00C868E8"/>
    <w:rsid w:val="00C961B2"/>
    <w:rsid w:val="00C96450"/>
    <w:rsid w:val="00C96C25"/>
    <w:rsid w:val="00CB7339"/>
    <w:rsid w:val="00CB7CD0"/>
    <w:rsid w:val="00CC26E0"/>
    <w:rsid w:val="00CD1D2D"/>
    <w:rsid w:val="00CD41AC"/>
    <w:rsid w:val="00CD4E6C"/>
    <w:rsid w:val="00CE17DE"/>
    <w:rsid w:val="00CE1D4F"/>
    <w:rsid w:val="00CE2934"/>
    <w:rsid w:val="00CE35A6"/>
    <w:rsid w:val="00CF3EB9"/>
    <w:rsid w:val="00CF60FE"/>
    <w:rsid w:val="00CF72B6"/>
    <w:rsid w:val="00D0079C"/>
    <w:rsid w:val="00D04A6A"/>
    <w:rsid w:val="00D07F2B"/>
    <w:rsid w:val="00D13C53"/>
    <w:rsid w:val="00D23755"/>
    <w:rsid w:val="00D27675"/>
    <w:rsid w:val="00D3192D"/>
    <w:rsid w:val="00D33E88"/>
    <w:rsid w:val="00D41264"/>
    <w:rsid w:val="00D46AF0"/>
    <w:rsid w:val="00D50DB0"/>
    <w:rsid w:val="00D641E5"/>
    <w:rsid w:val="00D74816"/>
    <w:rsid w:val="00D862F2"/>
    <w:rsid w:val="00D94ED8"/>
    <w:rsid w:val="00D953C7"/>
    <w:rsid w:val="00D95FA7"/>
    <w:rsid w:val="00D966F9"/>
    <w:rsid w:val="00DA1153"/>
    <w:rsid w:val="00DA3CB6"/>
    <w:rsid w:val="00DB066B"/>
    <w:rsid w:val="00DC37F9"/>
    <w:rsid w:val="00DD0B8C"/>
    <w:rsid w:val="00DD49AA"/>
    <w:rsid w:val="00DE76DE"/>
    <w:rsid w:val="00DE7D19"/>
    <w:rsid w:val="00DF0DB3"/>
    <w:rsid w:val="00DF21E0"/>
    <w:rsid w:val="00DF4B4E"/>
    <w:rsid w:val="00DF7E92"/>
    <w:rsid w:val="00E04296"/>
    <w:rsid w:val="00E066F7"/>
    <w:rsid w:val="00E07192"/>
    <w:rsid w:val="00E12200"/>
    <w:rsid w:val="00E14AA3"/>
    <w:rsid w:val="00E23A61"/>
    <w:rsid w:val="00E300B4"/>
    <w:rsid w:val="00E32E69"/>
    <w:rsid w:val="00E33D39"/>
    <w:rsid w:val="00E33E98"/>
    <w:rsid w:val="00E34009"/>
    <w:rsid w:val="00E36BAF"/>
    <w:rsid w:val="00E5384C"/>
    <w:rsid w:val="00E55BCA"/>
    <w:rsid w:val="00E56865"/>
    <w:rsid w:val="00E712D5"/>
    <w:rsid w:val="00E7730E"/>
    <w:rsid w:val="00E81A33"/>
    <w:rsid w:val="00E820AD"/>
    <w:rsid w:val="00E8609F"/>
    <w:rsid w:val="00E87677"/>
    <w:rsid w:val="00E90BF5"/>
    <w:rsid w:val="00E94B91"/>
    <w:rsid w:val="00EA2F4E"/>
    <w:rsid w:val="00EA4677"/>
    <w:rsid w:val="00EA7B1B"/>
    <w:rsid w:val="00EB1ECF"/>
    <w:rsid w:val="00EC1D08"/>
    <w:rsid w:val="00EC254F"/>
    <w:rsid w:val="00EC799D"/>
    <w:rsid w:val="00EC79E3"/>
    <w:rsid w:val="00ED156B"/>
    <w:rsid w:val="00ED3122"/>
    <w:rsid w:val="00ED5BC2"/>
    <w:rsid w:val="00EE0529"/>
    <w:rsid w:val="00EE45BE"/>
    <w:rsid w:val="00EE4711"/>
    <w:rsid w:val="00EF1331"/>
    <w:rsid w:val="00EF596A"/>
    <w:rsid w:val="00EF73D2"/>
    <w:rsid w:val="00EF7DFF"/>
    <w:rsid w:val="00F030AC"/>
    <w:rsid w:val="00F07A89"/>
    <w:rsid w:val="00F36569"/>
    <w:rsid w:val="00F36BFC"/>
    <w:rsid w:val="00F379B2"/>
    <w:rsid w:val="00F42B3E"/>
    <w:rsid w:val="00F43014"/>
    <w:rsid w:val="00F43343"/>
    <w:rsid w:val="00F44234"/>
    <w:rsid w:val="00F5293D"/>
    <w:rsid w:val="00F55725"/>
    <w:rsid w:val="00F60EF7"/>
    <w:rsid w:val="00F64D07"/>
    <w:rsid w:val="00F736DC"/>
    <w:rsid w:val="00F77806"/>
    <w:rsid w:val="00F81760"/>
    <w:rsid w:val="00F81D35"/>
    <w:rsid w:val="00F845F8"/>
    <w:rsid w:val="00F90AA7"/>
    <w:rsid w:val="00F91898"/>
    <w:rsid w:val="00FA1F87"/>
    <w:rsid w:val="00FA480D"/>
    <w:rsid w:val="00FA72DD"/>
    <w:rsid w:val="00FB1B8B"/>
    <w:rsid w:val="00FB7AC8"/>
    <w:rsid w:val="00FC19B3"/>
    <w:rsid w:val="00FC2F49"/>
    <w:rsid w:val="00FD173C"/>
    <w:rsid w:val="00FE1794"/>
    <w:rsid w:val="00FE4953"/>
    <w:rsid w:val="00FE509B"/>
    <w:rsid w:val="00FE6D51"/>
    <w:rsid w:val="00FE7B59"/>
    <w:rsid w:val="00FF39B6"/>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264C5408-420F-4991-ACC8-16007089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8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57A"/>
    <w:pPr>
      <w:ind w:left="720"/>
      <w:contextualSpacing/>
    </w:pPr>
  </w:style>
  <w:style w:type="paragraph" w:customStyle="1" w:styleId="MTDisplayEquation">
    <w:name w:val="MTDisplayEquation"/>
    <w:basedOn w:val="GvdeMetniGirintisi"/>
    <w:next w:val="Normal"/>
    <w:link w:val="MTDisplayEquationChar"/>
    <w:rsid w:val="0022357A"/>
    <w:pPr>
      <w:widowControl w:val="0"/>
      <w:tabs>
        <w:tab w:val="center" w:pos="4820"/>
        <w:tab w:val="right" w:pos="9640"/>
      </w:tabs>
      <w:spacing w:after="0" w:line="240" w:lineRule="auto"/>
      <w:ind w:left="0" w:firstLine="708"/>
      <w:jc w:val="both"/>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22357A"/>
    <w:rPr>
      <w:rFonts w:ascii="Times New Roman" w:eastAsia="Times New Roman" w:hAnsi="Times New Roman" w:cs="Times New Roman"/>
      <w:sz w:val="24"/>
      <w:szCs w:val="24"/>
    </w:rPr>
  </w:style>
  <w:style w:type="paragraph" w:customStyle="1" w:styleId="Default">
    <w:name w:val="Default"/>
    <w:rsid w:val="0022357A"/>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GvdeMetniGirintisi">
    <w:name w:val="Body Text Indent"/>
    <w:basedOn w:val="Normal"/>
    <w:link w:val="GvdeMetniGirintisiChar"/>
    <w:uiPriority w:val="99"/>
    <w:unhideWhenUsed/>
    <w:rsid w:val="0022357A"/>
    <w:pPr>
      <w:spacing w:after="120"/>
      <w:ind w:left="283"/>
    </w:pPr>
  </w:style>
  <w:style w:type="character" w:customStyle="1" w:styleId="GvdeMetniGirintisiChar">
    <w:name w:val="Gövde Metni Girintisi Char"/>
    <w:basedOn w:val="VarsaylanParagrafYazTipi"/>
    <w:link w:val="GvdeMetniGirintisi"/>
    <w:uiPriority w:val="99"/>
    <w:rsid w:val="0022357A"/>
    <w:rPr>
      <w:lang w:val="tr-TR"/>
    </w:rPr>
  </w:style>
  <w:style w:type="character" w:customStyle="1" w:styleId="apple-converted-space">
    <w:name w:val="apple-converted-space"/>
    <w:basedOn w:val="VarsaylanParagrafYazTipi"/>
    <w:rsid w:val="00B970C0"/>
  </w:style>
  <w:style w:type="character" w:styleId="Kpr">
    <w:name w:val="Hyperlink"/>
    <w:basedOn w:val="VarsaylanParagrafYazTipi"/>
    <w:uiPriority w:val="99"/>
    <w:unhideWhenUsed/>
    <w:rsid w:val="008775F3"/>
    <w:rPr>
      <w:color w:val="0563C1" w:themeColor="hyperlink"/>
      <w:u w:val="single"/>
    </w:rPr>
  </w:style>
  <w:style w:type="character" w:styleId="Vurgu">
    <w:name w:val="Emphasis"/>
    <w:basedOn w:val="VarsaylanParagrafYazTipi"/>
    <w:uiPriority w:val="20"/>
    <w:qFormat/>
    <w:rsid w:val="000C0738"/>
    <w:rPr>
      <w:i/>
      <w:iCs/>
    </w:rPr>
  </w:style>
  <w:style w:type="character" w:customStyle="1" w:styleId="idnumber">
    <w:name w:val="id_number"/>
    <w:basedOn w:val="VarsaylanParagrafYazTipi"/>
    <w:rsid w:val="000C0738"/>
  </w:style>
  <w:style w:type="paragraph" w:styleId="stbilgi">
    <w:name w:val="header"/>
    <w:basedOn w:val="Normal"/>
    <w:link w:val="stbilgiChar"/>
    <w:uiPriority w:val="99"/>
    <w:unhideWhenUsed/>
    <w:rsid w:val="0063772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3772A"/>
  </w:style>
  <w:style w:type="paragraph" w:styleId="Altbilgi">
    <w:name w:val="footer"/>
    <w:basedOn w:val="Normal"/>
    <w:link w:val="AltbilgiChar"/>
    <w:uiPriority w:val="99"/>
    <w:unhideWhenUsed/>
    <w:rsid w:val="0063772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3772A"/>
  </w:style>
  <w:style w:type="paragraph" w:styleId="BalonMetni">
    <w:name w:val="Balloon Text"/>
    <w:basedOn w:val="Normal"/>
    <w:link w:val="BalonMetniChar"/>
    <w:uiPriority w:val="99"/>
    <w:semiHidden/>
    <w:unhideWhenUsed/>
    <w:rsid w:val="004E08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8E0"/>
    <w:rPr>
      <w:rFonts w:ascii="Segoe UI" w:hAnsi="Segoe UI" w:cs="Segoe UI"/>
      <w:sz w:val="18"/>
      <w:szCs w:val="18"/>
    </w:rPr>
  </w:style>
  <w:style w:type="paragraph" w:customStyle="1" w:styleId="Stil1">
    <w:name w:val="Stil1"/>
    <w:basedOn w:val="Normal"/>
    <w:qFormat/>
    <w:rsid w:val="00656E3D"/>
    <w:pPr>
      <w:autoSpaceDE w:val="0"/>
      <w:autoSpaceDN w:val="0"/>
      <w:adjustRightInd w:val="0"/>
      <w:spacing w:after="0" w:line="360" w:lineRule="auto"/>
      <w:jc w:val="both"/>
    </w:pPr>
    <w:rPr>
      <w:rFonts w:ascii="Times New Roman" w:hAnsi="Times New Roman" w:cs="Times New Roman"/>
      <w:sz w:val="24"/>
      <w:szCs w:val="24"/>
    </w:rPr>
  </w:style>
  <w:style w:type="paragraph" w:styleId="Altyaz">
    <w:name w:val="Subtitle"/>
    <w:basedOn w:val="Normal"/>
    <w:next w:val="Normal"/>
    <w:link w:val="AltyazChar"/>
    <w:uiPriority w:val="11"/>
    <w:qFormat/>
    <w:rsid w:val="00656E3D"/>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656E3D"/>
    <w:rPr>
      <w:rFonts w:eastAsiaTheme="minorEastAsia"/>
      <w:color w:val="5A5A5A" w:themeColor="text1" w:themeTint="A5"/>
      <w:spacing w:val="15"/>
    </w:rPr>
  </w:style>
  <w:style w:type="paragraph" w:styleId="GvdeMetni">
    <w:name w:val="Body Text"/>
    <w:basedOn w:val="Normal"/>
    <w:link w:val="GvdeMetniChar"/>
    <w:uiPriority w:val="99"/>
    <w:semiHidden/>
    <w:unhideWhenUsed/>
    <w:rsid w:val="009D7C05"/>
    <w:pPr>
      <w:spacing w:after="120"/>
    </w:pPr>
  </w:style>
  <w:style w:type="character" w:customStyle="1" w:styleId="GvdeMetniChar">
    <w:name w:val="Gövde Metni Char"/>
    <w:basedOn w:val="VarsaylanParagrafYazTipi"/>
    <w:link w:val="GvdeMetni"/>
    <w:uiPriority w:val="99"/>
    <w:semiHidden/>
    <w:rsid w:val="009D7C05"/>
  </w:style>
  <w:style w:type="paragraph" w:styleId="DipnotMetni">
    <w:name w:val="footnote text"/>
    <w:basedOn w:val="Normal"/>
    <w:link w:val="DipnotMetniChar"/>
    <w:uiPriority w:val="99"/>
    <w:semiHidden/>
    <w:rsid w:val="009D7C05"/>
    <w:pPr>
      <w:widowControl w:val="0"/>
      <w:adjustRightInd w:val="0"/>
      <w:snapToGrid w:val="0"/>
      <w:spacing w:after="0" w:line="480" w:lineRule="auto"/>
      <w:textAlignment w:val="baseline"/>
    </w:pPr>
    <w:rPr>
      <w:rFonts w:ascii="Times New Roman" w:eastAsia="PMingLiU" w:hAnsi="Times New Roman" w:cs="Times New Roman"/>
      <w:sz w:val="20"/>
      <w:szCs w:val="20"/>
      <w:lang w:eastAsia="zh-TW"/>
    </w:rPr>
  </w:style>
  <w:style w:type="character" w:customStyle="1" w:styleId="DipnotMetniChar">
    <w:name w:val="Dipnot Metni Char"/>
    <w:basedOn w:val="VarsaylanParagrafYazTipi"/>
    <w:link w:val="DipnotMetni"/>
    <w:uiPriority w:val="99"/>
    <w:semiHidden/>
    <w:rsid w:val="009D7C05"/>
    <w:rPr>
      <w:rFonts w:ascii="Times New Roman" w:eastAsia="PMingLiU" w:hAnsi="Times New Roman" w:cs="Times New Roman"/>
      <w:sz w:val="20"/>
      <w:szCs w:val="20"/>
      <w:lang w:eastAsia="zh-TW"/>
    </w:rPr>
  </w:style>
  <w:style w:type="character" w:styleId="DipnotBavurusu">
    <w:name w:val="footnote reference"/>
    <w:basedOn w:val="VarsaylanParagrafYazTipi"/>
    <w:uiPriority w:val="99"/>
    <w:semiHidden/>
    <w:rsid w:val="009D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370">
      <w:bodyDiv w:val="1"/>
      <w:marLeft w:val="0"/>
      <w:marRight w:val="0"/>
      <w:marTop w:val="0"/>
      <w:marBottom w:val="0"/>
      <w:divBdr>
        <w:top w:val="none" w:sz="0" w:space="0" w:color="auto"/>
        <w:left w:val="none" w:sz="0" w:space="0" w:color="auto"/>
        <w:bottom w:val="none" w:sz="0" w:space="0" w:color="auto"/>
        <w:right w:val="none" w:sz="0" w:space="0" w:color="auto"/>
      </w:divBdr>
    </w:div>
    <w:div w:id="14580709">
      <w:bodyDiv w:val="1"/>
      <w:marLeft w:val="0"/>
      <w:marRight w:val="0"/>
      <w:marTop w:val="0"/>
      <w:marBottom w:val="0"/>
      <w:divBdr>
        <w:top w:val="none" w:sz="0" w:space="0" w:color="auto"/>
        <w:left w:val="none" w:sz="0" w:space="0" w:color="auto"/>
        <w:bottom w:val="none" w:sz="0" w:space="0" w:color="auto"/>
        <w:right w:val="none" w:sz="0" w:space="0" w:color="auto"/>
      </w:divBdr>
    </w:div>
    <w:div w:id="27880933">
      <w:bodyDiv w:val="1"/>
      <w:marLeft w:val="0"/>
      <w:marRight w:val="0"/>
      <w:marTop w:val="0"/>
      <w:marBottom w:val="0"/>
      <w:divBdr>
        <w:top w:val="none" w:sz="0" w:space="0" w:color="auto"/>
        <w:left w:val="none" w:sz="0" w:space="0" w:color="auto"/>
        <w:bottom w:val="none" w:sz="0" w:space="0" w:color="auto"/>
        <w:right w:val="none" w:sz="0" w:space="0" w:color="auto"/>
      </w:divBdr>
    </w:div>
    <w:div w:id="48190855">
      <w:bodyDiv w:val="1"/>
      <w:marLeft w:val="0"/>
      <w:marRight w:val="0"/>
      <w:marTop w:val="0"/>
      <w:marBottom w:val="0"/>
      <w:divBdr>
        <w:top w:val="none" w:sz="0" w:space="0" w:color="auto"/>
        <w:left w:val="none" w:sz="0" w:space="0" w:color="auto"/>
        <w:bottom w:val="none" w:sz="0" w:space="0" w:color="auto"/>
        <w:right w:val="none" w:sz="0" w:space="0" w:color="auto"/>
      </w:divBdr>
    </w:div>
    <w:div w:id="300229286">
      <w:bodyDiv w:val="1"/>
      <w:marLeft w:val="0"/>
      <w:marRight w:val="0"/>
      <w:marTop w:val="0"/>
      <w:marBottom w:val="0"/>
      <w:divBdr>
        <w:top w:val="none" w:sz="0" w:space="0" w:color="auto"/>
        <w:left w:val="none" w:sz="0" w:space="0" w:color="auto"/>
        <w:bottom w:val="none" w:sz="0" w:space="0" w:color="auto"/>
        <w:right w:val="none" w:sz="0" w:space="0" w:color="auto"/>
      </w:divBdr>
    </w:div>
    <w:div w:id="437991840">
      <w:bodyDiv w:val="1"/>
      <w:marLeft w:val="0"/>
      <w:marRight w:val="0"/>
      <w:marTop w:val="0"/>
      <w:marBottom w:val="0"/>
      <w:divBdr>
        <w:top w:val="none" w:sz="0" w:space="0" w:color="auto"/>
        <w:left w:val="none" w:sz="0" w:space="0" w:color="auto"/>
        <w:bottom w:val="none" w:sz="0" w:space="0" w:color="auto"/>
        <w:right w:val="none" w:sz="0" w:space="0" w:color="auto"/>
      </w:divBdr>
    </w:div>
    <w:div w:id="469595556">
      <w:bodyDiv w:val="1"/>
      <w:marLeft w:val="0"/>
      <w:marRight w:val="0"/>
      <w:marTop w:val="0"/>
      <w:marBottom w:val="0"/>
      <w:divBdr>
        <w:top w:val="none" w:sz="0" w:space="0" w:color="auto"/>
        <w:left w:val="none" w:sz="0" w:space="0" w:color="auto"/>
        <w:bottom w:val="none" w:sz="0" w:space="0" w:color="auto"/>
        <w:right w:val="none" w:sz="0" w:space="0" w:color="auto"/>
      </w:divBdr>
    </w:div>
    <w:div w:id="728771827">
      <w:bodyDiv w:val="1"/>
      <w:marLeft w:val="0"/>
      <w:marRight w:val="0"/>
      <w:marTop w:val="0"/>
      <w:marBottom w:val="0"/>
      <w:divBdr>
        <w:top w:val="none" w:sz="0" w:space="0" w:color="auto"/>
        <w:left w:val="none" w:sz="0" w:space="0" w:color="auto"/>
        <w:bottom w:val="none" w:sz="0" w:space="0" w:color="auto"/>
        <w:right w:val="none" w:sz="0" w:space="0" w:color="auto"/>
      </w:divBdr>
    </w:div>
    <w:div w:id="760418610">
      <w:bodyDiv w:val="1"/>
      <w:marLeft w:val="0"/>
      <w:marRight w:val="0"/>
      <w:marTop w:val="0"/>
      <w:marBottom w:val="0"/>
      <w:divBdr>
        <w:top w:val="none" w:sz="0" w:space="0" w:color="auto"/>
        <w:left w:val="none" w:sz="0" w:space="0" w:color="auto"/>
        <w:bottom w:val="none" w:sz="0" w:space="0" w:color="auto"/>
        <w:right w:val="none" w:sz="0" w:space="0" w:color="auto"/>
      </w:divBdr>
    </w:div>
    <w:div w:id="776604963">
      <w:bodyDiv w:val="1"/>
      <w:marLeft w:val="0"/>
      <w:marRight w:val="0"/>
      <w:marTop w:val="0"/>
      <w:marBottom w:val="0"/>
      <w:divBdr>
        <w:top w:val="none" w:sz="0" w:space="0" w:color="auto"/>
        <w:left w:val="none" w:sz="0" w:space="0" w:color="auto"/>
        <w:bottom w:val="none" w:sz="0" w:space="0" w:color="auto"/>
        <w:right w:val="none" w:sz="0" w:space="0" w:color="auto"/>
      </w:divBdr>
    </w:div>
    <w:div w:id="1021124749">
      <w:bodyDiv w:val="1"/>
      <w:marLeft w:val="0"/>
      <w:marRight w:val="0"/>
      <w:marTop w:val="0"/>
      <w:marBottom w:val="0"/>
      <w:divBdr>
        <w:top w:val="none" w:sz="0" w:space="0" w:color="auto"/>
        <w:left w:val="none" w:sz="0" w:space="0" w:color="auto"/>
        <w:bottom w:val="none" w:sz="0" w:space="0" w:color="auto"/>
        <w:right w:val="none" w:sz="0" w:space="0" w:color="auto"/>
      </w:divBdr>
    </w:div>
    <w:div w:id="1038890932">
      <w:bodyDiv w:val="1"/>
      <w:marLeft w:val="0"/>
      <w:marRight w:val="0"/>
      <w:marTop w:val="0"/>
      <w:marBottom w:val="0"/>
      <w:divBdr>
        <w:top w:val="none" w:sz="0" w:space="0" w:color="auto"/>
        <w:left w:val="none" w:sz="0" w:space="0" w:color="auto"/>
        <w:bottom w:val="none" w:sz="0" w:space="0" w:color="auto"/>
        <w:right w:val="none" w:sz="0" w:space="0" w:color="auto"/>
      </w:divBdr>
    </w:div>
    <w:div w:id="1052272781">
      <w:bodyDiv w:val="1"/>
      <w:marLeft w:val="0"/>
      <w:marRight w:val="0"/>
      <w:marTop w:val="0"/>
      <w:marBottom w:val="0"/>
      <w:divBdr>
        <w:top w:val="none" w:sz="0" w:space="0" w:color="auto"/>
        <w:left w:val="none" w:sz="0" w:space="0" w:color="auto"/>
        <w:bottom w:val="none" w:sz="0" w:space="0" w:color="auto"/>
        <w:right w:val="none" w:sz="0" w:space="0" w:color="auto"/>
      </w:divBdr>
    </w:div>
    <w:div w:id="1183284157">
      <w:bodyDiv w:val="1"/>
      <w:marLeft w:val="0"/>
      <w:marRight w:val="0"/>
      <w:marTop w:val="0"/>
      <w:marBottom w:val="0"/>
      <w:divBdr>
        <w:top w:val="none" w:sz="0" w:space="0" w:color="auto"/>
        <w:left w:val="none" w:sz="0" w:space="0" w:color="auto"/>
        <w:bottom w:val="none" w:sz="0" w:space="0" w:color="auto"/>
        <w:right w:val="none" w:sz="0" w:space="0" w:color="auto"/>
      </w:divBdr>
    </w:div>
    <w:div w:id="1394768887">
      <w:bodyDiv w:val="1"/>
      <w:marLeft w:val="0"/>
      <w:marRight w:val="0"/>
      <w:marTop w:val="0"/>
      <w:marBottom w:val="0"/>
      <w:divBdr>
        <w:top w:val="none" w:sz="0" w:space="0" w:color="auto"/>
        <w:left w:val="none" w:sz="0" w:space="0" w:color="auto"/>
        <w:bottom w:val="none" w:sz="0" w:space="0" w:color="auto"/>
        <w:right w:val="none" w:sz="0" w:space="0" w:color="auto"/>
      </w:divBdr>
    </w:div>
    <w:div w:id="1410814189">
      <w:bodyDiv w:val="1"/>
      <w:marLeft w:val="0"/>
      <w:marRight w:val="0"/>
      <w:marTop w:val="0"/>
      <w:marBottom w:val="0"/>
      <w:divBdr>
        <w:top w:val="none" w:sz="0" w:space="0" w:color="auto"/>
        <w:left w:val="none" w:sz="0" w:space="0" w:color="auto"/>
        <w:bottom w:val="none" w:sz="0" w:space="0" w:color="auto"/>
        <w:right w:val="none" w:sz="0" w:space="0" w:color="auto"/>
      </w:divBdr>
    </w:div>
    <w:div w:id="1574849324">
      <w:bodyDiv w:val="1"/>
      <w:marLeft w:val="0"/>
      <w:marRight w:val="0"/>
      <w:marTop w:val="0"/>
      <w:marBottom w:val="0"/>
      <w:divBdr>
        <w:top w:val="none" w:sz="0" w:space="0" w:color="auto"/>
        <w:left w:val="none" w:sz="0" w:space="0" w:color="auto"/>
        <w:bottom w:val="none" w:sz="0" w:space="0" w:color="auto"/>
        <w:right w:val="none" w:sz="0" w:space="0" w:color="auto"/>
      </w:divBdr>
    </w:div>
    <w:div w:id="1584142329">
      <w:bodyDiv w:val="1"/>
      <w:marLeft w:val="0"/>
      <w:marRight w:val="0"/>
      <w:marTop w:val="0"/>
      <w:marBottom w:val="0"/>
      <w:divBdr>
        <w:top w:val="none" w:sz="0" w:space="0" w:color="auto"/>
        <w:left w:val="none" w:sz="0" w:space="0" w:color="auto"/>
        <w:bottom w:val="none" w:sz="0" w:space="0" w:color="auto"/>
        <w:right w:val="none" w:sz="0" w:space="0" w:color="auto"/>
      </w:divBdr>
    </w:div>
    <w:div w:id="1648824988">
      <w:bodyDiv w:val="1"/>
      <w:marLeft w:val="0"/>
      <w:marRight w:val="0"/>
      <w:marTop w:val="0"/>
      <w:marBottom w:val="0"/>
      <w:divBdr>
        <w:top w:val="none" w:sz="0" w:space="0" w:color="auto"/>
        <w:left w:val="none" w:sz="0" w:space="0" w:color="auto"/>
        <w:bottom w:val="none" w:sz="0" w:space="0" w:color="auto"/>
        <w:right w:val="none" w:sz="0" w:space="0" w:color="auto"/>
      </w:divBdr>
    </w:div>
    <w:div w:id="1714033687">
      <w:bodyDiv w:val="1"/>
      <w:marLeft w:val="0"/>
      <w:marRight w:val="0"/>
      <w:marTop w:val="0"/>
      <w:marBottom w:val="0"/>
      <w:divBdr>
        <w:top w:val="none" w:sz="0" w:space="0" w:color="auto"/>
        <w:left w:val="none" w:sz="0" w:space="0" w:color="auto"/>
        <w:bottom w:val="none" w:sz="0" w:space="0" w:color="auto"/>
        <w:right w:val="none" w:sz="0" w:space="0" w:color="auto"/>
      </w:divBdr>
    </w:div>
    <w:div w:id="17548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enterprisesurveys.org"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BBED-21BE-4F8F-AE73-453A7F79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4833</Words>
  <Characters>27549</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Erdogan</dc:creator>
  <cp:keywords/>
  <dc:description/>
  <cp:lastModifiedBy>Koray Erdogan</cp:lastModifiedBy>
  <cp:revision>6</cp:revision>
  <cp:lastPrinted>2015-01-03T23:04:00Z</cp:lastPrinted>
  <dcterms:created xsi:type="dcterms:W3CDTF">2015-01-04T16:04:00Z</dcterms:created>
  <dcterms:modified xsi:type="dcterms:W3CDTF">2015-01-04T16:13:00Z</dcterms:modified>
</cp:coreProperties>
</file>