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8E14D" w14:textId="77777777" w:rsidR="00710D92" w:rsidRPr="00710D92" w:rsidRDefault="00710D92" w:rsidP="00710D92">
      <w:pPr>
        <w:spacing w:line="360" w:lineRule="auto"/>
        <w:rPr>
          <w:rFonts w:asciiTheme="majorBidi" w:hAnsiTheme="majorBidi" w:cstheme="majorBidi"/>
          <w:b/>
          <w:bCs/>
        </w:rPr>
      </w:pPr>
      <w:proofErr w:type="spellStart"/>
      <w:r w:rsidRPr="00710D92">
        <w:rPr>
          <w:rFonts w:asciiTheme="majorBidi" w:hAnsiTheme="majorBidi" w:cstheme="majorBidi"/>
          <w:b/>
          <w:bCs/>
        </w:rPr>
        <w:t>Ivabradine</w:t>
      </w:r>
      <w:proofErr w:type="spellEnd"/>
      <w:r w:rsidRPr="00710D92">
        <w:rPr>
          <w:rFonts w:asciiTheme="majorBidi" w:hAnsiTheme="majorBidi" w:cstheme="majorBidi"/>
          <w:b/>
          <w:bCs/>
        </w:rPr>
        <w:t xml:space="preserve"> for the Treatment of Heart Failure: A Systematic Review and Meta-Analysis</w:t>
      </w:r>
    </w:p>
    <w:p w14:paraId="467E4CB3" w14:textId="491E4399" w:rsidR="00952A60" w:rsidRPr="00D25E24" w:rsidRDefault="00952A60" w:rsidP="00D25E24">
      <w:pPr>
        <w:widowControl w:val="0"/>
        <w:autoSpaceDE w:val="0"/>
        <w:autoSpaceDN w:val="0"/>
        <w:adjustRightInd w:val="0"/>
        <w:spacing w:line="480" w:lineRule="auto"/>
        <w:rPr>
          <w:rFonts w:asciiTheme="majorBidi" w:hAnsiTheme="majorBidi" w:cstheme="majorBidi"/>
          <w:b/>
          <w:bCs/>
          <w:i/>
          <w:iCs/>
          <w:sz w:val="22"/>
          <w:szCs w:val="22"/>
        </w:rPr>
      </w:pPr>
      <w:proofErr w:type="spellStart"/>
      <w:r w:rsidRPr="00D25E24">
        <w:rPr>
          <w:rFonts w:asciiTheme="majorBidi" w:hAnsiTheme="majorBidi" w:cstheme="majorBidi"/>
          <w:b/>
          <w:bCs/>
          <w:i/>
          <w:iCs/>
          <w:sz w:val="22"/>
          <w:szCs w:val="22"/>
        </w:rPr>
        <w:t>Hadir</w:t>
      </w:r>
      <w:proofErr w:type="spellEnd"/>
      <w:r w:rsidRPr="00D25E24">
        <w:rPr>
          <w:rFonts w:asciiTheme="majorBidi" w:hAnsiTheme="majorBidi" w:cstheme="majorBidi"/>
          <w:b/>
          <w:bCs/>
          <w:i/>
          <w:iCs/>
          <w:sz w:val="22"/>
          <w:szCs w:val="22"/>
        </w:rPr>
        <w:t xml:space="preserve"> Aljohani</w:t>
      </w:r>
      <w:r w:rsidR="00D25E24" w:rsidRPr="00D25E24">
        <w:rPr>
          <w:rFonts w:asciiTheme="majorBidi" w:hAnsiTheme="majorBidi" w:cstheme="majorBidi"/>
          <w:b/>
          <w:bCs/>
          <w:i/>
          <w:iCs/>
          <w:sz w:val="22"/>
          <w:szCs w:val="22"/>
          <w:vertAlign w:val="superscript"/>
        </w:rPr>
        <w:t>1</w:t>
      </w:r>
      <w:r w:rsidRPr="00D25E24">
        <w:rPr>
          <w:rFonts w:asciiTheme="majorBidi" w:hAnsiTheme="majorBidi" w:cstheme="majorBidi"/>
          <w:b/>
          <w:bCs/>
          <w:i/>
          <w:iCs/>
          <w:sz w:val="22"/>
          <w:szCs w:val="22"/>
        </w:rPr>
        <w:t xml:space="preserve">, MSC, </w:t>
      </w:r>
      <w:proofErr w:type="spellStart"/>
      <w:r w:rsidRPr="00D25E24">
        <w:rPr>
          <w:rFonts w:asciiTheme="majorBidi" w:hAnsiTheme="majorBidi" w:cstheme="majorBidi"/>
          <w:b/>
          <w:bCs/>
          <w:i/>
          <w:iCs/>
          <w:sz w:val="22"/>
          <w:szCs w:val="22"/>
        </w:rPr>
        <w:t>Hadeel</w:t>
      </w:r>
      <w:proofErr w:type="spellEnd"/>
      <w:r w:rsidRPr="00D25E24">
        <w:rPr>
          <w:rFonts w:asciiTheme="majorBidi" w:hAnsiTheme="majorBidi" w:cstheme="majorBidi"/>
          <w:b/>
          <w:bCs/>
          <w:i/>
          <w:iCs/>
          <w:sz w:val="22"/>
          <w:szCs w:val="22"/>
        </w:rPr>
        <w:t xml:space="preserve"> Alkofide</w:t>
      </w:r>
      <w:r w:rsidR="00D25E24" w:rsidRPr="00D25E24">
        <w:rPr>
          <w:rFonts w:asciiTheme="majorBidi" w:hAnsiTheme="majorBidi" w:cstheme="majorBidi"/>
          <w:b/>
          <w:bCs/>
          <w:i/>
          <w:iCs/>
          <w:sz w:val="22"/>
          <w:szCs w:val="22"/>
          <w:vertAlign w:val="superscript"/>
        </w:rPr>
        <w:t>2</w:t>
      </w:r>
      <w:r w:rsidRPr="00D25E24">
        <w:rPr>
          <w:rFonts w:asciiTheme="majorBidi" w:hAnsiTheme="majorBidi" w:cstheme="majorBidi"/>
          <w:b/>
          <w:bCs/>
          <w:i/>
          <w:iCs/>
          <w:sz w:val="22"/>
          <w:szCs w:val="22"/>
        </w:rPr>
        <w:t xml:space="preserve">, </w:t>
      </w:r>
      <w:proofErr w:type="gramStart"/>
      <w:r w:rsidRPr="00D25E24">
        <w:rPr>
          <w:rFonts w:asciiTheme="majorBidi" w:hAnsiTheme="majorBidi" w:cstheme="majorBidi"/>
          <w:b/>
          <w:bCs/>
          <w:i/>
          <w:iCs/>
          <w:sz w:val="22"/>
          <w:szCs w:val="22"/>
        </w:rPr>
        <w:t>PhD ,</w:t>
      </w:r>
      <w:proofErr w:type="gramEnd"/>
      <w:r w:rsidRPr="00D25E24">
        <w:rPr>
          <w:rFonts w:asciiTheme="majorBidi" w:hAnsiTheme="majorBidi" w:cstheme="majorBidi"/>
          <w:b/>
          <w:bCs/>
          <w:i/>
          <w:iCs/>
          <w:sz w:val="22"/>
          <w:szCs w:val="22"/>
        </w:rPr>
        <w:t xml:space="preserve"> </w:t>
      </w:r>
      <w:proofErr w:type="spellStart"/>
      <w:r w:rsidRPr="00D25E24">
        <w:rPr>
          <w:rFonts w:asciiTheme="majorBidi" w:hAnsiTheme="majorBidi" w:cstheme="majorBidi"/>
          <w:b/>
          <w:bCs/>
          <w:i/>
          <w:iCs/>
          <w:sz w:val="22"/>
          <w:szCs w:val="22"/>
        </w:rPr>
        <w:t>Hanin</w:t>
      </w:r>
      <w:proofErr w:type="spellEnd"/>
      <w:r w:rsidRPr="00D25E24">
        <w:rPr>
          <w:rFonts w:asciiTheme="majorBidi" w:hAnsiTheme="majorBidi" w:cstheme="majorBidi"/>
          <w:b/>
          <w:bCs/>
          <w:i/>
          <w:iCs/>
          <w:sz w:val="22"/>
          <w:szCs w:val="22"/>
        </w:rPr>
        <w:t xml:space="preserve"> Aljohani</w:t>
      </w:r>
      <w:r w:rsidR="00D25E24" w:rsidRPr="00D25E24">
        <w:rPr>
          <w:rFonts w:asciiTheme="majorBidi" w:hAnsiTheme="majorBidi" w:cstheme="majorBidi"/>
          <w:b/>
          <w:bCs/>
          <w:i/>
          <w:iCs/>
          <w:sz w:val="22"/>
          <w:szCs w:val="22"/>
          <w:vertAlign w:val="superscript"/>
        </w:rPr>
        <w:t>2</w:t>
      </w:r>
      <w:r w:rsidRPr="00D25E24">
        <w:rPr>
          <w:rFonts w:asciiTheme="majorBidi" w:hAnsiTheme="majorBidi" w:cstheme="majorBidi"/>
          <w:b/>
          <w:bCs/>
          <w:i/>
          <w:iCs/>
          <w:sz w:val="22"/>
          <w:szCs w:val="22"/>
        </w:rPr>
        <w:t>, MSC</w:t>
      </w:r>
    </w:p>
    <w:p w14:paraId="45CAC4DA" w14:textId="30283D19" w:rsidR="001714FC" w:rsidRPr="00D25E24" w:rsidRDefault="00952A60" w:rsidP="00D25E24">
      <w:pPr>
        <w:widowControl w:val="0"/>
        <w:autoSpaceDE w:val="0"/>
        <w:autoSpaceDN w:val="0"/>
        <w:adjustRightInd w:val="0"/>
        <w:spacing w:line="480" w:lineRule="auto"/>
        <w:jc w:val="both"/>
        <w:rPr>
          <w:rFonts w:asciiTheme="majorBidi" w:hAnsiTheme="majorBidi" w:cstheme="majorBidi"/>
          <w:b/>
          <w:bCs/>
          <w:i/>
          <w:iCs/>
          <w:sz w:val="22"/>
          <w:szCs w:val="22"/>
        </w:rPr>
      </w:pPr>
      <w:r w:rsidRPr="00D25E24">
        <w:rPr>
          <w:rFonts w:asciiTheme="majorBidi" w:hAnsiTheme="majorBidi" w:cstheme="majorBidi"/>
          <w:b/>
          <w:bCs/>
          <w:i/>
          <w:iCs/>
          <w:sz w:val="22"/>
          <w:szCs w:val="22"/>
          <w:vertAlign w:val="superscript"/>
        </w:rPr>
        <w:t>1</w:t>
      </w:r>
      <w:r w:rsidR="001714FC" w:rsidRPr="00D25E24">
        <w:rPr>
          <w:rFonts w:asciiTheme="majorBidi" w:hAnsiTheme="majorBidi" w:cstheme="majorBidi"/>
          <w:b/>
          <w:bCs/>
          <w:i/>
          <w:iCs/>
          <w:sz w:val="22"/>
          <w:szCs w:val="22"/>
        </w:rPr>
        <w:t>Drug Safety and Risk Management Department, Saudi</w:t>
      </w:r>
      <w:r w:rsidR="005145C4" w:rsidRPr="00D25E24">
        <w:rPr>
          <w:rFonts w:asciiTheme="majorBidi" w:hAnsiTheme="majorBidi" w:cstheme="majorBidi"/>
          <w:b/>
          <w:bCs/>
          <w:i/>
          <w:iCs/>
          <w:sz w:val="22"/>
          <w:szCs w:val="22"/>
        </w:rPr>
        <w:t xml:space="preserve"> Food and </w:t>
      </w:r>
      <w:r w:rsidR="00D25E24" w:rsidRPr="00D25E24">
        <w:rPr>
          <w:rFonts w:asciiTheme="majorBidi" w:hAnsiTheme="majorBidi" w:cstheme="majorBidi"/>
          <w:b/>
          <w:bCs/>
          <w:i/>
          <w:iCs/>
          <w:sz w:val="22"/>
          <w:szCs w:val="22"/>
        </w:rPr>
        <w:t>Drug Authority</w:t>
      </w:r>
      <w:r w:rsidR="00D25E24" w:rsidRPr="00D25E24">
        <w:rPr>
          <w:rFonts w:asciiTheme="majorBidi" w:hAnsiTheme="majorBidi" w:cstheme="majorBidi"/>
          <w:b/>
          <w:bCs/>
          <w:i/>
          <w:iCs/>
          <w:sz w:val="22"/>
          <w:szCs w:val="22"/>
        </w:rPr>
        <w:t>, Riyadh, Saudi</w:t>
      </w:r>
      <w:r w:rsidR="00D25E24" w:rsidRPr="00D25E24">
        <w:rPr>
          <w:rFonts w:asciiTheme="majorBidi" w:hAnsiTheme="majorBidi" w:cstheme="majorBidi"/>
          <w:b/>
          <w:bCs/>
          <w:i/>
          <w:iCs/>
          <w:sz w:val="22"/>
          <w:szCs w:val="22"/>
        </w:rPr>
        <w:t xml:space="preserve"> </w:t>
      </w:r>
      <w:r w:rsidR="00D25E24" w:rsidRPr="00D25E24">
        <w:rPr>
          <w:rFonts w:asciiTheme="majorBidi" w:hAnsiTheme="majorBidi" w:cstheme="majorBidi"/>
          <w:b/>
          <w:bCs/>
          <w:i/>
          <w:iCs/>
          <w:sz w:val="22"/>
          <w:szCs w:val="22"/>
        </w:rPr>
        <w:t>Arabia</w:t>
      </w:r>
    </w:p>
    <w:p w14:paraId="76514232" w14:textId="291410B6" w:rsidR="00952A60" w:rsidRPr="00D25E24" w:rsidRDefault="00D25E24" w:rsidP="00D25E24">
      <w:pPr>
        <w:widowControl w:val="0"/>
        <w:autoSpaceDE w:val="0"/>
        <w:autoSpaceDN w:val="0"/>
        <w:adjustRightInd w:val="0"/>
        <w:spacing w:line="480" w:lineRule="auto"/>
        <w:jc w:val="both"/>
        <w:rPr>
          <w:rFonts w:asciiTheme="majorBidi" w:hAnsiTheme="majorBidi" w:cstheme="majorBidi"/>
          <w:b/>
          <w:bCs/>
          <w:i/>
          <w:iCs/>
          <w:sz w:val="22"/>
          <w:szCs w:val="22"/>
        </w:rPr>
      </w:pPr>
      <w:r w:rsidRPr="00D25E24">
        <w:rPr>
          <w:rFonts w:asciiTheme="majorBidi" w:hAnsiTheme="majorBidi" w:cstheme="majorBidi"/>
          <w:b/>
          <w:bCs/>
          <w:i/>
          <w:iCs/>
          <w:sz w:val="22"/>
          <w:szCs w:val="22"/>
          <w:vertAlign w:val="superscript"/>
        </w:rPr>
        <w:t>2</w:t>
      </w:r>
      <w:r w:rsidR="00952A60" w:rsidRPr="00D25E24">
        <w:rPr>
          <w:rFonts w:asciiTheme="majorBidi" w:hAnsiTheme="majorBidi" w:cstheme="majorBidi"/>
          <w:b/>
          <w:bCs/>
          <w:i/>
          <w:iCs/>
          <w:sz w:val="22"/>
          <w:szCs w:val="22"/>
        </w:rPr>
        <w:t xml:space="preserve">Department of Clinical Pharmacy, College of Pharmacy, King Saud University, Riyadh, Saudi Arabia </w:t>
      </w:r>
    </w:p>
    <w:p w14:paraId="2884BB59" w14:textId="77777777" w:rsidR="00D25E24" w:rsidRDefault="00D25E24" w:rsidP="000F3A96">
      <w:pPr>
        <w:spacing w:line="360" w:lineRule="auto"/>
        <w:jc w:val="both"/>
        <w:rPr>
          <w:rFonts w:asciiTheme="majorBidi" w:hAnsiTheme="majorBidi" w:cstheme="majorBidi"/>
          <w:b/>
        </w:rPr>
      </w:pPr>
    </w:p>
    <w:p w14:paraId="7B056C15" w14:textId="77777777" w:rsidR="001B2B86" w:rsidRPr="00743FCB" w:rsidRDefault="001B2B86" w:rsidP="000F3A96">
      <w:pPr>
        <w:spacing w:line="360" w:lineRule="auto"/>
        <w:jc w:val="both"/>
        <w:rPr>
          <w:rFonts w:asciiTheme="majorBidi" w:hAnsiTheme="majorBidi" w:cstheme="majorBidi"/>
          <w:b/>
        </w:rPr>
      </w:pPr>
      <w:r w:rsidRPr="00743FCB">
        <w:rPr>
          <w:rFonts w:asciiTheme="majorBidi" w:hAnsiTheme="majorBidi" w:cstheme="majorBidi"/>
          <w:b/>
        </w:rPr>
        <w:t>Introduction:</w:t>
      </w:r>
    </w:p>
    <w:p w14:paraId="1A106907" w14:textId="77777777" w:rsidR="001B2B86" w:rsidRPr="00743FCB" w:rsidRDefault="001B2B86" w:rsidP="001B2B86">
      <w:pPr>
        <w:widowControl w:val="0"/>
        <w:autoSpaceDE w:val="0"/>
        <w:autoSpaceDN w:val="0"/>
        <w:adjustRightInd w:val="0"/>
        <w:spacing w:line="360" w:lineRule="auto"/>
        <w:ind w:left="640" w:hanging="640"/>
        <w:jc w:val="both"/>
        <w:rPr>
          <w:rFonts w:asciiTheme="majorBidi" w:hAnsiTheme="majorBidi" w:cstheme="majorBidi"/>
        </w:rPr>
      </w:pPr>
      <w:r w:rsidRPr="00743FCB">
        <w:rPr>
          <w:rFonts w:asciiTheme="majorBidi" w:hAnsiTheme="majorBidi" w:cstheme="majorBidi"/>
        </w:rPr>
        <w:t xml:space="preserve">             Heart failure (HF) “represents a complex clinical syndrome, which is characterized by</w:t>
      </w:r>
    </w:p>
    <w:p w14:paraId="0299EDB7" w14:textId="77777777" w:rsidR="001B2B86" w:rsidRPr="00743FCB" w:rsidRDefault="001B2B86" w:rsidP="001B2B86">
      <w:pPr>
        <w:widowControl w:val="0"/>
        <w:autoSpaceDE w:val="0"/>
        <w:autoSpaceDN w:val="0"/>
        <w:adjustRightInd w:val="0"/>
        <w:spacing w:line="360" w:lineRule="auto"/>
        <w:ind w:left="640" w:hanging="640"/>
        <w:jc w:val="both"/>
        <w:rPr>
          <w:rFonts w:asciiTheme="majorBidi" w:hAnsiTheme="majorBidi" w:cstheme="majorBidi"/>
        </w:rPr>
      </w:pPr>
      <w:r w:rsidRPr="00743FCB">
        <w:rPr>
          <w:rFonts w:asciiTheme="majorBidi" w:hAnsiTheme="majorBidi" w:cstheme="majorBidi"/>
        </w:rPr>
        <w:t>ventricular dysfunction when the heart is unable to pump adequate blood to meet the body's</w:t>
      </w:r>
    </w:p>
    <w:p w14:paraId="6641337C" w14:textId="127CB559" w:rsidR="001B2B86" w:rsidRPr="00743FCB" w:rsidRDefault="001B2B86" w:rsidP="00DB6A8B">
      <w:pPr>
        <w:widowControl w:val="0"/>
        <w:autoSpaceDE w:val="0"/>
        <w:autoSpaceDN w:val="0"/>
        <w:adjustRightInd w:val="0"/>
        <w:spacing w:line="360" w:lineRule="auto"/>
        <w:jc w:val="both"/>
        <w:rPr>
          <w:rFonts w:asciiTheme="majorBidi" w:hAnsiTheme="majorBidi" w:cstheme="majorBidi"/>
        </w:rPr>
      </w:pPr>
      <w:r w:rsidRPr="00743FCB">
        <w:rPr>
          <w:rFonts w:asciiTheme="majorBidi" w:hAnsiTheme="majorBidi" w:cstheme="majorBidi"/>
        </w:rPr>
        <w:t>metabolic needs”.</w:t>
      </w:r>
      <w:r w:rsidR="008F555B" w:rsidRPr="00743FCB">
        <w:rPr>
          <w:rFonts w:asciiTheme="majorBidi" w:hAnsiTheme="majorBidi" w:cstheme="majorBidi"/>
          <w:vertAlign w:val="superscript"/>
        </w:rPr>
        <w:t>(</w:t>
      </w:r>
      <w:r w:rsidRPr="00743FCB">
        <w:rPr>
          <w:rFonts w:asciiTheme="majorBidi" w:hAnsiTheme="majorBidi" w:cstheme="majorBidi"/>
          <w:vertAlign w:val="superscript"/>
        </w:rPr>
        <w:fldChar w:fldCharType="begin" w:fldLock="1"/>
      </w:r>
      <w:r w:rsidR="00DB6A8B" w:rsidRPr="00743FCB">
        <w:rPr>
          <w:rFonts w:asciiTheme="majorBidi" w:hAnsiTheme="majorBidi" w:cstheme="majorBidi"/>
          <w:vertAlign w:val="superscript"/>
        </w:rPr>
        <w:instrText>ADDIN CSL_CITATION { "citationItems" : [ { "id" : "ITEM-1", "itemData" : { "DOI" : "10.1159/000355169", "author" : [ { "dropping-particle" : "", "family" : "Paper", "given" : "Original", "non-dropping-particle" : "", "parse-names" : false, "suffix" : "" } ], "id" : "ITEM-1", "issued" : { "date-parts" : [ [ "2013" ] ] }, "page" : "276-280", "title" : "Ivabradine Improves Quality of Life in Subjects with Chronic Heart Failure Compared to Treatment with \u03b2-Blockers : Results of a Multicentric Observational APULIA Study", "type" : "article-journal" }, "uris" : [ "http://www.mendeley.com/documents/?uuid=355b00b9-0c66-4075-8e48-ce34aaaf096d" ] } ], "mendeley" : { "formattedCitation" : "&lt;sup&gt;1&lt;/sup&gt;", "plainTextFormattedCitation" : "1", "previouslyFormattedCitation" : "&lt;sup&gt;1&lt;/sup&gt;" }, "properties" : { "noteIndex" : 0 }, "schema" : "https://github.com/citation-style-language/schema/raw/master/csl-citation.json" }</w:instrText>
      </w:r>
      <w:r w:rsidRPr="00743FCB">
        <w:rPr>
          <w:rFonts w:asciiTheme="majorBidi" w:hAnsiTheme="majorBidi" w:cstheme="majorBidi"/>
          <w:vertAlign w:val="superscript"/>
        </w:rPr>
        <w:fldChar w:fldCharType="separate"/>
      </w:r>
      <w:r w:rsidR="00DB6A8B" w:rsidRPr="00743FCB">
        <w:rPr>
          <w:rFonts w:asciiTheme="majorBidi" w:hAnsiTheme="majorBidi" w:cstheme="majorBidi"/>
          <w:noProof/>
          <w:vertAlign w:val="superscript"/>
        </w:rPr>
        <w:t>1</w:t>
      </w:r>
      <w:r w:rsidRPr="00743FCB">
        <w:rPr>
          <w:rFonts w:asciiTheme="majorBidi" w:hAnsiTheme="majorBidi" w:cstheme="majorBidi"/>
          <w:vertAlign w:val="superscript"/>
        </w:rPr>
        <w:fldChar w:fldCharType="end"/>
      </w:r>
      <w:r w:rsidR="008F555B" w:rsidRPr="00743FCB">
        <w:rPr>
          <w:rFonts w:asciiTheme="majorBidi" w:hAnsiTheme="majorBidi" w:cstheme="majorBidi"/>
          <w:vertAlign w:val="superscript"/>
        </w:rPr>
        <w:t>)</w:t>
      </w:r>
      <w:r w:rsidRPr="00743FCB">
        <w:rPr>
          <w:rFonts w:asciiTheme="majorBidi" w:hAnsiTheme="majorBidi" w:cstheme="majorBidi"/>
        </w:rPr>
        <w:t xml:space="preserve"> The percentage of the adult populace who has HF in the developed countries</w:t>
      </w:r>
    </w:p>
    <w:p w14:paraId="6E610A1E" w14:textId="74A154EA" w:rsidR="001B2B86" w:rsidRPr="00743FCB" w:rsidRDefault="001B2B86" w:rsidP="00DB6A8B">
      <w:pPr>
        <w:widowControl w:val="0"/>
        <w:autoSpaceDE w:val="0"/>
        <w:autoSpaceDN w:val="0"/>
        <w:adjustRightInd w:val="0"/>
        <w:spacing w:line="360" w:lineRule="auto"/>
        <w:ind w:left="640" w:hanging="640"/>
        <w:jc w:val="both"/>
        <w:rPr>
          <w:rFonts w:asciiTheme="majorBidi" w:hAnsiTheme="majorBidi" w:cstheme="majorBidi"/>
        </w:rPr>
      </w:pPr>
      <w:r w:rsidRPr="00743FCB">
        <w:rPr>
          <w:rFonts w:asciiTheme="majorBidi" w:hAnsiTheme="majorBidi" w:cstheme="majorBidi"/>
        </w:rPr>
        <w:t>is between 1 to 2 %, within five years of diagnosis 50% of them will die.</w:t>
      </w:r>
      <w:r w:rsidR="008F555B" w:rsidRPr="00743FCB">
        <w:rPr>
          <w:rFonts w:asciiTheme="majorBidi" w:hAnsiTheme="majorBidi" w:cstheme="majorBidi"/>
          <w:vertAlign w:val="superscript"/>
        </w:rPr>
        <w:t>(</w:t>
      </w:r>
      <w:r w:rsidRPr="00743FCB">
        <w:rPr>
          <w:rFonts w:asciiTheme="majorBidi" w:hAnsiTheme="majorBidi" w:cstheme="majorBidi"/>
          <w:vertAlign w:val="superscript"/>
        </w:rPr>
        <w:fldChar w:fldCharType="begin" w:fldLock="1"/>
      </w:r>
      <w:r w:rsidR="00DB6A8B" w:rsidRPr="00743FCB">
        <w:rPr>
          <w:rFonts w:asciiTheme="majorBidi" w:hAnsiTheme="majorBidi" w:cstheme="majorBidi"/>
          <w:vertAlign w:val="superscript"/>
        </w:rPr>
        <w:instrText>ADDIN CSL_CITATION { "citationItems" : [ { "id" : "ITEM-1", "itemData" : { "DOI" : "10.1093/eurheartj/ehq278", "ISBN" : "1879-0844 (Electronic) 1388-9842 (Linking)", "ISSN" : "1522-9645", "PMID" : "23131078", "abstract" : "Cardiovascular disease (CVD) due to atherosclerosis of the arterial vessel wall and to thrombosis is the foremost cause of premature mortality and of disability-adjusted life years (DALYs) in Europe, and is also increasingly common in developing countries.1 In the European Union, the economic cost of CVD represents annually E192 billion1 in direct and indirect healthcare costs. The main clinical entities are coronary artery disease (CAD), ischaemic stroke, and peripheral arterial disease (PAD). The causes of these CVDs are multifactorial. Some of these factors relate to lifestyles, such as tobacco smoking, lack of physical activity, and dietary habits, and are thus modifiable. Other risk factors are also modifiable, such as elevated blood pressure, type 2 diabetes, and dyslipidaemias, or non-modifiable, such as age and male gender. These guidelines deal with the management of dyslipidaemias as an essential and integral part of CVD prevention. Prevention and treatment of dyslipidaemias should always be considered within the broader framework of CVD prevention, which is addressed in guidelines of the Joint European Societies\u2019 Task forces on CVD prevention in clinical practice.2 \u2013 5 The latest version of these guidelines was published in 20075; an update will become available in 2012. These Joint ESC/European Atherosclerosis Society (EAS) guidelines on the management of dyslipidaemias are complementary to the guidelines on CVD prevention in clinical practice and address not only physicians [e.g. general practitioners (GPs) and cardiologists] interested in CVD prevention, but also specialists from lipid clinics or metabolic units who are dealing with dyslipidaemias that are more difficult to classify and treat.", "author" : [ { "dropping-particle" : "", "family" : "Wijns", "given" : "William", "non-dropping-particle" : "", "parse-names" : false, "suffix" : "" }, { "dropping-particle" : "", "family" : "Kolh", "given" : "Philippe", "non-dropping-particle" : "", "parse-names" : false, "suffix" : "" }, { "dropping-particle" : "", "family" : "Danchin", "given" : "Nicolas", "non-dropping-particle" : "", "parse-names" : false, "suffix" : "" }, { "dropping-particle" : "", "family" : "Mario", "given" : "Carlo", "non-dropping-particle" : "Di", "parse-names" : false, "suffix" : "" }, { "dropping-particle" : "", "family" : "Falk", "given" : "Volkmar", "non-dropping-particle" : "", "parse-names" : false, "suffix" : "" }, { "dropping-particle" : "", "family" : "Folliguet", "given" : "Thierry", "non-dropping-particle" : "", "parse-names" : false, "suffix" : "" }, { "dropping-particle" : "", "family" : "Garg", "given" : "Scot", "non-dropping-particle" : "", "parse-names" : false, "suffix" : "" }, { "dropping-particle" : "", "family" : "Huber", "given" : "Kurt", "non-dropping-particle" : "", "parse-names" : false, "suffix" : "" }, { "dropping-particle" : "", "family" : "James", "given" : "Stefan", "non-dropping-particle" : "", "parse-names" : false, "suffix" : "" }, { "dropping-particle" : "", "family" : "Knuuti", "given" : "Juhani", "non-dropping-particle" : "", "parse-names" : false, "suffix" : "" }, { "dropping-particle" : "", "family" : "Lopez-Sendon", "given" : "Jose", "non-dropping-particle" : "", "parse-names" : false, "suffix" : "" }, { "dropping-particle" : "", "family" : "Marco", "given" : "Jean", "non-dropping-particle" : "", "parse-names" : false, "suffix" : "" }, { "dropping-particle" : "", "family" : "Menicanti", "given" : "Lorenzo", "non-dropping-particle" : "", "parse-names" : false, "suffix" : "" }, { "dropping-particle" : "", "family" : "Ostojic", "given" : "Miodrag", "non-dropping-particle" : "", "parse-names" : false, "suffix" : "" }, { "dropping-particle" : "", "family" : "Piepoli", "given" : "Massimo F", "non-dropping-particle" : "", "parse-names" : false, "suffix" : "" }, { "dropping-particle" : "", "family" : "Pirlet", "given" : "Charles", "non-dropping-particle" : "", "parse-names" : false, "suffix" : "" }, { "dropping-particle" : "", "family" : "Pomar", "given" : "Jose L", "non-dropping-particle" : "", "parse-names" : false, "suffix" : "" }, { "dropping-particle" : "", "family" : "Reifart", "given" : "Nicolaus", "non-dropping-particle" : "", "parse-names" : false, "suffix" : "" }, { "dropping-particle" : "", "family" : "Ribichini", "given" : "Flavio L", "non-dropping-particle" : "", "parse-names" : false, "suffix" : "" }, { "dropping-particle" : "", "family" : "Schalij", "given" : "Martin J", "non-dropping-particle" : "", "parse-names" : false, "suffix" : "" }, { "dropping-particle" : "", "family" : "Sergeant", "given" : "Paul", "non-dropping-particle" : "", "parse-names" : false, "suffix" : "" }, { "dropping-particle" : "", "family" : "Serruys", "given" : "Patrick W", "non-dropping-particle" : "", "parse-names" : false, "suffix" : "" }, { "dropping-particle" : "", "family" : "Silber", "given" : "Sigmund", "non-dropping-particle" : "", "parse-names" : false, "suffix" : "" }, { "dropping-particle" : "", "family" : "Sousa Uva", "given" : "Miguel", "non-dropping-particle" : "", "parse-names" : false, "suffix" : "" }, { "dropping-particle" : "", "family" : "Taggart", "given" : "David", "non-dropping-particle" : "", "parse-names" : false, "suffix" : "" }, { "dropping-particle" : "", "family" : "Schwartz", "given" : "Gary", "non-dropping-particle" : "", "parse-names" : false, "suffix" : "" }, { "dropping-particle" : "", "family" : "Reiner", "given" : "Zeljko", "non-dropping-particle" : "", "parse-names" : false, "suffix" : "" }, { "dropping-particle" : "", "family" : "Catapano", "given" : "Alberico L", "non-dropping-particle" : "", "parse-names" : false, "suffix" : "" }, { "dropping-particle" : "", "family" : "Backer", "given" : "Guy", "non-dropping-particle" : "De", "parse-names" : false, "suffix" : "" }, { "dropping-particle" : "", "family" : "Graham", "given" : "Ian", "non-dropping-particle" : "", "parse-names" : false, "suffix" : "" }, { "dropping-particle" : "", "family" : "Taskinen", "given" : "Marja-Riitta", "non-dropping-particle" : "", "parse-names" : false, "suffix" : "" }, { "dropping-particle" : "", "family" : "Wiklund", "given" : "Olov", "non-dropping-particle" : "", "parse-names" : false, "suffix" : "" }, { "dropping-particle" : "", "family" : "Agewall", "given" : "Stefan", "non-dropping-particle" : "", "parse-names" : false, "suffix" : "" }, { "dropping-particle" : "", "family" : "Alegria", "given" : "Eduardo", "non-dropping-particle" : "", "parse-names" : false, "suffix" : "" }, { "dropping-particle" : "", "family" : "Chapman", "given" : "M John", "non-dropping-particle" : "", "parse-names" : false, "suffix" : "" }, { "dropping-particle" : "", "family" : "Durrington", "given" : "Paul", "non-dropping-particle" : "", "parse-names" : false, "suffix" : "" }, { "dropping-particle" : "", "family" : "Erdine", "given" : "Serap", "non-dropping-particle" : "", "parse-names" : false, "suffix" : "" }, { "dropping-particle" : "", "family" : "Halcox", "given" : "Julian", "non-dropping-particle" : "", "parse-names" : false, "suffix" : "" }, { "dropping-particle" : "", "family" : "Hobbs", "given" : "Richard", "non-dropping-particle" : "", "parse-names" : false, "suffix" : "" }, { "dropping-particle" : "", "family" : "Kjekshus", "given" : "John", "non-dropping-particle" : "", "parse-names" : false, "suffix" : "" }, { "dropping-particle" : "", "family" : "Filardi", "given" : "Pasquale Perrone", "non-dropping-particle" : "", "parse-names" : false, "suffix" : "" }, { "dropping-particle" : "", "family" : "Riccardi", "given" : "Gabriele", "non-dropping-particle" : "", "parse-names" : false, "suffix" : "" }, { "dropping-particle" : "", "family" : "Storey", "given" : "Robert F", "non-dropping-particle" : "", "parse-names" : false, "suffix" : "" }, { "dropping-particle" : "", "family" : "Wood", "given" : "David", "non-dropping-particle" : "", "parse-names" : false, "suffix" : "" }, { "dropping-particle" : "V", "family" : "McMurray", "given" : "John J", "non-dropping-particle" : "", "parse-names" : false, "suffix" : "" }, { "dropping-particle" : "", "family" : "Adamopoulos", "given" : "Stamatis", "non-dropping-particle" : "", "parse-names" : false, "suffix" : "" }, { "dropping-particle" : "", "family" : "Anker", "given" : "Stefan D", "non-dropping-particle" : "", "parse-names" : false, "suffix" : "" }, { "dropping-particle" : "", "family" : "Auricchio", "given" : "Angelo", "non-dropping-particle" : "", "parse-names" : false, "suffix" : "" }, { "dropping-particle" : "", "family" : "B\u00f6hm", "given" : "Michael", "non-dropping-particle" : "", "parse-names" : false, "suffix" : "" }, { "dropping-particle" : "", "family" : "Dickstein", "given" : "Kenneth", "non-dropping-particle" : "", "parse-names" : false, "suffix" : "" }, { "dropping-particle" : "", "family" : "Filippatos", "given" : "Gerasimos", "non-dropping-particle" : "", "parse-names" : false, "suffix" : "" }, { "dropping-particle" : "", "family" : "Fonseca", "given" : "C\u00e2ndida", "non-dropping-particle" : "", "parse-names" : false, "suffix" : "" }, { "dropping-particle" : "", "family" : "Gomez-Sanchez", "given" : "Miguel Angel", "non-dropping-particle" : "", "parse-names" : false, "suffix" : "" }, { "dropping-particle" : "", "family" : "Jaarsma", "given" : "Tiny", "non-dropping-particle" : "", "parse-names" : false, "suffix" : "" }, { "dropping-particle" : "", "family" : "K\u00f8ber", "given" : "Lars", "non-dropping-particle" : "", "parse-names" : false, "suffix" : "" }, { "dropping-particle" : "", "family" : "Lip", "given" : "Gregory Y H", "non-dropping-particle" : "", "parse-names" : false, "suffix" : "" }, { "dropping-particle" : "Pietro", "family" : "Maggioni", "given" : "Aldo", "non-dropping-particle" : "", "parse-names" : false, "suffix" : "" }, { "dropping-particle" : "", "family" : "Parkhomenko", "given" : "Alexander", "non-dropping-particle" : "", "parse-names" : false, "suffix" : "" }, { "dropping-particle" : "", "family" : "Pieske", "given" : "Burkert M", "non-dropping-particle" : "", "parse-names" : false, "suffix" : "" }, { "dropping-particle" : "", "family" : "Popescu", "given" : "Bogdan a", "non-dropping-particle" : "", "parse-names" : false, "suffix" : "" }, { "dropping-particle" : "", "family" : "R\u00f8nnevik", "given" : "Per K", "non-dropping-particle" : "", "parse-names" : false, "suffix" : "" }, { "dropping-particle" : "", "family" : "Rutten", "given" : "Frans H", "non-dropping-particle" : "", "parse-names" : false, "suffix" : "" }, { "dropping-particle" : "", "family" : "Schwitter", "given" : "Juerg", "non-dropping-particle" : "", "parse-names" : false, "suffix" : "" }, { "dropping-particle" : "", "family" : "Seferovic", "given" : "Petar", "non-dropping-particle" : "", "parse-names" : false, "suffix" : "" }, { "dropping-particle" : "", "family" : "Stepinska", "given" : "Janina", "non-dropping-particle" : "", "parse-names" : false, "suffix" : "" }, { "dropping-particle" : "", "family" : "Trindade", "given" : "Pedro T", "non-dropping-particle" : "", "parse-names" : false, "suffix" : "" }, { "dropping-particle" : "", "family" : "Voors", "given" : "Adriaan a", "non-dropping-particle" : "", "parse-names" : false, "suffix" : "" }, { "dropping-particle" : "", "family" : "Zannad", "given" : "Faiez", "non-dropping-particle" : "", "parse-names" : false, "suffix" : "" }, { "dropping-particle" : "", "family" : "Zeiher", "given" : "Andreas", "non-dropping-particle" : "", "parse-names" : false, "suffix" : "" }, { "dropping-particle" : "", "family" : "Mancia", "given" : "Giuseppe", "non-dropping-particle" : "", "parse-names" : false, "suffix" : "" }, { "dropping-particle" : "", "family" : "Dominiczak", "given" : "Anna", "non-dropping-particle" : "", "parse-names" : false, "suffix" : "" }, { "dropping-particle" : "", "family" : "Cifkova", "given" : "Renata", "non-dropping-particle" : "", "parse-names" : false, "suffix" : "" }, { "dropping-particle" : "", "family" : "Fagard", "given" : "Robert", "non-dropping-particle" : "", "parse-names" : false, "suffix" : "" }, { "dropping-particle" : "", "family" : "Germano", "given" : "Giuseppe", "non-dropping-particle" : "", "parse-names" : false, "suffix" : "" }, { "dropping-particle" : "", "family" : "Grassi", "given" : "Guido", "non-dropping-particle" : "", "parse-names" : false, "suffix" : "" }, { "dropping-particle" : "", "family" : "Heagerty", "given" : "Anthony M", "non-dropping-particle" : "", "parse-names" : false, "suffix" : "" }, { "dropping-particle" : "", "family" : "Kjeldsen", "given" : "Sverre E", "non-dropping-particle" : "", "parse-names" : false, "suffix" : "" }, { "dropping-particle" : "", "family" : "Laurent", "given" : "Stephane", "non-dropping-particle" : "", "parse-names" : false, "suffix" : "" }, { "dropping-particle" : "", "family" : "Narkiewicz", "given" : "Krzysztof", "non-dropping-particle" : "", "parse-names" : false, "suffix" : "" }, { "dropping-particle" : "", "family" : "Ruilope", "given" : "Luis", "non-dropping-particle" : "", "parse-names" : false, "suffix" : "" }, { "dropping-particle" : "", "family" : "Rynkiewicz", "given" : "Andrzej", "non-dropping-particle" : "", "parse-names" : false, "suffix" : "" }, { "dropping-particle" : "", "family" : "Schmieder", "given" : "Roland E", "non-dropping-particle" : "", "parse-names" : false, "suffix" : "" }, { "dropping-particle" : "", "family" : "Struijker Boudier", "given" : "Harry a J", "non-dropping-particle" : "", "parse-names" : false, "suffix" : "" }, { "dropping-particle" : "", "family" : "Zanchetti", "given" : "Alberto", "non-dropping-particle" : "", "parse-names" : false, "suffix" : "" }, { "dropping-particle" : "", "family" : "Vahanian", "given" : "Alec", "non-dropping-particle" : "", "parse-names" : false, "suffix" : "" }, { "dropping-particle" : "", "family" : "Camm", "given" : "John", "non-dropping-particle" : "", "parse-names" : false, "suffix" : "" }, { "dropping-particle" : "", "family" : "Caterina", "given" : "Raffaele", "non-dropping-particle" : "De", "parse-names" : false, "suffix" : "" }, { "dropping-particle" : "", "family" : "Dean", "given" : "Veronica", "non-dropping-particle" : "", "parse-names" : false, "suffix" : "" }, { "dropping-particle" : "", "family" : "Funck-Brentano", "given" : "Christian", "non-dropping-particle" : "", "parse-names" : false, "suffix" : "" }, { "dropping-particle" : "", "family" : "Hellemans", "given" : "Irene", "non-dropping-particle" : "", "parse-names" : false, "suffix" : "" }, { "dropping-particle" : "", "family" : "Kristensen", "given" : "Steen Dalby", "non-dropping-particle" : "", "parse-names" : false, "suffix" : "" }, { "dropping-particle" : "", "family" : "McGregor", "given" : "Keith", "non-dropping-particle" : "", "parse-names" : false, "suffix" : "" }, { "dropping-particle" : "", "family" : "Sechtem", "given" : "Udo", "non-dropping-particle" : "", "parse-names" : false, "suffix" : "" }, { "dropping-particle" : "", "family" : "Tendera", "given" : "Michal", "non-dropping-particle" : "", "parse-names" : false, "suffix" : "" }, { "dropping-particle" : "", "family" : "Widimsky", "given" : "Petr", "non-dropping-particle" : "", "parse-names" : false, "suffix" : "" }, { "dropping-particle" : "", "family" : "Zamorano", "given" : "Jose Luis", "non-dropping-particle" : "", "parse-names" : false, "suffix" : "" }, { "dropping-particle" : "", "family" : "Kiowski", "given" : "Wolfgang", "non-dropping-particle" : "", "parse-names" : false, "suffix" : "" }, { "dropping-particle" : "", "family" : "Agabiti-Rosei", "given" : "Enrico", "non-dropping-particle" : "", "parse-names" : false, "suffix" : "" }, { "dropping-particle" : "", "family" : "Ambrosioni", "given" : "Ettore", "non-dropping-particle" : "", "parse-names" : false, "suffix" : "" }, { "dropping-particle" : "", "family" : "Lindholm", "given" : "Lars H", "non-dropping-particle" : "", "parse-names" : false, "suffix" : "" }, { "dropping-particle" : "", "family" : "Manolis", "given" : "Athanasios J", "non-dropping-particle" : "", "parse-names" : false, "suffix" : "" }, { "dropping-particle" : "", "family" : "Nilsson", "given" : "Peter M", "non-dropping-particle" : "", "parse-names" : false, "suffix" : "" }, { "dropping-particle" : "", "family" : "Redon", "given" : "Josep", "non-dropping-particle" : "", "parse-names" : false, "suffix" : "" }, { "dropping-particle" : "", "family" : "Struijker-Boudier", "given" : "Harry a J", "non-dropping-particle" : "", "parse-names" : false, "suffix" : "" }, { "dropping-particle" : "", "family" : "Viigimaa", "given" : "Margus", "non-dropping-particle" : "", "parse-names" : false, "suffix" : "" }, { "dropping-particle" : "", "family" : "Bertomeu", "given" : "Vicente", "non-dropping-particle" : "", "parse-names" : false, "suffix" : "" }, { "dropping-particle" : "", "family" : "Clement", "given" : "Denis", "non-dropping-particle" : "", "parse-names" : false, "suffix" : "" }, { "dropping-particle" : "", "family" : "Farsang", "given" : "Csaba", "non-dropping-particle" : "", "parse-names" : false, "suffix" : "" }, { "dropping-particle" : "", "family" : "Gaita", "given" : "Dan", "non-dropping-particle" : "", "parse-names" : false, "suffix" : "" }, { "dropping-particle" : "", "family" : "Mallion", "given" : "Jean-Michel", "non-dropping-particle" : "", "parse-names" : false, "suffix" : "" }, { "dropping-particle" : "", "family" : "O'Brien", "given" : "Eoin", "non-dropping-particle" : "", "parse-names" : false, "suffix" : "" }, { "dropping-particle" : "", "family" : "Ponikowski", "given" : "Piotr", "non-dropping-particle" : "", "parse-names" : false, "suffix" : "" }, { "dropping-particle" : "", "family" : "Ruschitzka", "given" : "Frank", "non-dropping-particle" : "", "parse-names" : false, "suffix" : "" }, { "dropping-particle" : "", "family" : "Tamargo", "given" : "Juan", "non-dropping-particle" : "", "parse-names" : false, "suffix" : "" }, { "dropping-particle" : "", "family" : "Zwieten", "given" : "Pieter", "non-dropping-particle" : "van", "parse-names" : false, "suffix" : "" }, { "dropping-particle" : "", "family" : "Waeber", "given" : "Bernard", "non-dropping-particle" : "", "parse-names" : false, "suffix" : "" }, { "dropping-particle" : "", "family" : "Williams", "given" : "Bryan", "non-dropping-particle" : "", "parse-names" : false, "suffix" : "" }, { "dropping-particle" : "", "family" : "The task force for the management of arterial hypertension of the European Society of Hypertension", "given" : "", "non-dropping-particle" : "", "parse-names" : false, "suffix" : "" }, { "dropping-particle" : "", "family" : "The task force for the management of arterial hypertension of the European Society of Cardiology", "given" : "", "non-dropping-particle" : "", "parse-names" : false, "suffix" : "" }, { "dropping-particle" : "", "family" : "Hamm", "given" : "Christian W", "non-dropping-particle" : "", "parse-names" : false, "suffix" : "" }, { "dropping-particle" : "", "family" : "Bassand", "given" : "Jean-Pierre", "non-dropping-particle" : "", "parse-names" : false, "suffix" : "" }, { "dropping-particle" : "", "family" : "Bax", "given" : "Jeroen", "non-dropping-particle" : "", "parse-names" : false, "suffix" : "" }, { "dropping-particle" : "", "family" : "Boersma", "given" : "Eric", "non-dropping-particle" : "", "parse-names" : false, "suffix" : "" }, { "dropping-particle" : "", "family" : "Bueno", "given" : "Hector", "non-dropping-particle" : "", "parse-names" : false, "suffix" : "" }, { "dropping-particle" : "", "family" : "Caso", "given" : "Pio", "non-dropping-particle" : "", "parse-names" : false, "suffix" : "" }, { "dropping-particle" : "", "family" : "Dudek", "given" : "Dariusz", "non-dropping-particle" : "", "parse-names" : false, "suffix" : "" }, { "dropping-particle" : "", "family" : "Gielen", "given" : "Stephan", "non-dropping-particle" : "", "parse-names" : false, "suffix" : "" }, { "dropping-particle" : "", "family" : "Ohman", "given" : "Magnus", "non-dropping-particle" : "", "parse-names" : false, "suffix" : "" }, { "dropping-particle" : "", "family" : "Petrie", "given" : "Mark C", "non-dropping-particle" : "", "parse-names" : false, "suffix" : "" }, { "dropping-particle" : "", "family" : "Sonntag", "given" : "Frank", "non-dropping-particle" : "", "parse-names" : false, "suffix" : "" }, { "dropping-particle" : "", "family" : "Uva", "given" : "Miguel Sousa", "non-dropping-particle" : "", "parse-names" : false, "suffix" : "" }, { "dropping-particle" : "", "family" : "Zahger", "given" : "Doron", "non-dropping-particle" : "", "parse-names" : false, "suffix" : "" }, { "dropping-particle" : "", "family" : "Habib", "given" : "Gilbert", "non-dropping-particle" : "", "parse-names" : false, "suffix" : "" }, { "dropping-particle" : "", "family" : "Hoen", "given" : "Bruno", "non-dropping-particle" : "", "parse-names" : false, "suffix" : "" }, { "dropping-particle" : "", "family" : "Tornos", "given" : "Pilar", "non-dropping-particle" : "", "parse-names" : false, "suffix" : "" }, { "dropping-particle" : "", "family" : "Thuny", "given" : "Franck", "non-dropping-particle" : "", "parse-names" : false, "suffix" : "" }, { "dropping-particle" : "", "family" : "Prendergast", "given" : "Bernard", "non-dropping-particle" : "", "parse-names" : false, "suffix" : "" }, { "dropping-particle" : "", "family" : "Vilacosta", "given" : "Isidre", "non-dropping-particle" : "", "parse-names" : false, "suffix" : "" }, { "dropping-particle" : "", "family" : "Moreillon", "given" : "Philippe", "non-dropping-particle" : "", "parse-names" : false, "suffix" : "" }, { "dropping-particle" : "", "family" : "Jesus Antunes", "given" : "Manuel", "non-dropping-particle" : "de", "parse-names" : false, "suffix" : "" }, { "dropping-particle" : "", "family" : "Thilen", "given" : "Ulf", "non-dropping-particle" : "", "parse-names" : false, "suffix" : "" }, { "dropping-particle" : "", "family" : "Lekakis", "given" : "John", "non-dropping-particle" : "", "parse-names" : false, "suffix" : "" }, { "dropping-particle" : "", "family" : "Lengyel", "given" : "Maria", "non-dropping-particle" : "", "parse-names" : false, "suffix" : "" }, { "dropping-particle" : "", "family" : "M\u00fcller", "given" : "Ludwig", "non-dropping-particle" : "", "parse-names" : false, "suffix" : "" }, { "dropping-particle" : "", "family" : "Naber", "given" : "Christoph K", "non-dropping-particle" : "", "parse-names" : false, "suffix" : "" }, { "dropping-particle" : "", "family" : "Nihoyannopoulos", "given" : "Petros", "non-dropping-particle" : "", "parse-names" : false, "suffix" : "" }, { "dropping-particle" : "", "family" : "Moritz", "given" : "Anton", "non-dropping-particle" : "", "parse-names" : false, "suffix" : "" }, { "dropping-particle" : "", "family" : "Camm", "given" : "a John", "non-dropping-particle" : "", "parse-names" : false, "suffix" : "" }, { "dropping-particle" : "", "family" : "Kirchhof", "given" : "Paulus", "non-dropping-particle" : "", "parse-names" : false, "suffix" : "" }, { "dropping-particle" : "", "family" : "Schotten", "given" : "Ulrich", "non-dropping-particle" : "", "parse-names" : false, "suffix" : "" }, { "dropping-particle" : "", "family" : "Savelieva", "given" : "Irene", "non-dropping-particle" : "", "parse-names" : false, "suffix" : "" }, { "dropping-particle" : "", "family" : "Ernst", "given" : "Sabine", "non-dropping-particle" : "", "parse-names" : false, "suffix" : "" }, { "dropping-particle" : "", "family" : "Gelder", "given" : "Isabelle C", "non-dropping-particle" : "Van", "parse-names" : false, "suffix" : "" }, { "dropping-particle" : "", "family" : "Al-Attar", "given" : "Nawwar", "non-dropping-particle" : "", "parse-names" : false, "suffix" : "" }, { "dropping-particle" : "", "family" : "Hindricks", "given" : "Gerhard", "non-dropping-particle" : "", "parse-names" : false, "suffix" : "" }, { "dropping-particle" : "", "family" : "Heidbuchel", "given" : "Hein", "non-dropping-particle" : "", "parse-names" : false, "suffix" : "" }, { "dropping-particle" : "", "family" : "Alfieri", "given" : "Ottavio", "non-dropping-particle" : "", "parse-names" : false, "suffix" : "" }, { "dropping-particle" : "", "family" : "Angelini", "given" : "Annalisa", "non-dropping-particle" : "", "parse-names" : false, "suffix" : "" }, { "dropping-particle" : "", "family" : "Atar", "given" : "Dan", "non-dropping-particle" : "", "parse-names" : false, "suffix" : "" }, { "dropping-particle" : "", "family" : "Colonna", "given" : "Paolo", "non-dropping-particle" : "", "parse-names" : false, "suffix" : "" }, { "dropping-particle" : "", "family" : "Sutter", "given" : "Johan", "non-dropping-particle" : "De", "parse-names" : false, "suffix" : "" }, { "dropping-particle" : "", "family" : "Goette", "given" : "Andreas", "non-dropping-particle" : "", "parse-names" : false, "suffix" : "" }, { "dropping-particle" : "", "family" : "Gorenek", "given" : "Bulent", "non-dropping-particle" : "", "parse-names" : false, "suffix" : "" }, { "dropping-particle" : "", "family" : "Heldal", "given" : "Magnus", "non-dropping-particle" : "", "parse-names" : false, "suffix" : "" }, { "dropping-particle" : "", "family" : "Hohloser", "given" : "Stefan H", "non-dropping-particle" : "", "parse-names" : false, "suffix" : "" }, { "dropping-particle" : "", "family" : "Heuzey", "given" : "Jean-Yves", "non-dropping-particle" : "Le", "parse-names" : false, "suffix" : "" }, { "dropping-particle" : "", "family" : "Bonow", "given" : "Robert O", "non-dropping-particle" : "", "parse-names" : false, "suffix" : "" }, { "dropping-particle" : "", "family" : "Carabello", "given" : "Blase a", "non-dropping-particle" : "", "parse-names" : false, "suffix" : "" }, { "dropping-particle" : "", "family" : "Chatterjee", "given" : "Kanu", "non-dropping-particle" : "", "parse-names" : false, "suffix" : "" }, { "dropping-particle" : "", "family" : "Leon", "given" : "Antonio C", "non-dropping-particle" : "de", "parse-names" : false, "suffix" : "" }, { "dropping-particle" : "", "family" : "Faxon", "given" : "David P", "non-dropping-particle" : "", "parse-names" : false, "suffix" : "" }, { "dropping-particle" : "", "family" : "Freed", "given" : "Michael D", "non-dropping-particle" : "", "parse-names" : false, "suffix" : "" }, { "dropping-particle" : "", "family" : "Gaasch", "given" : "William H", "non-dropping-particle" : "", "parse-names" : false, "suffix" : "" }, { "dropping-particle" : "", "family" : "Lytle", "given" : "Bruce Whitney", "non-dropping-particle" : "", "parse-names" : false, "suffix" : "" }, { "dropping-particle" : "", "family" : "Nishimura", "given" : "Rick a", "non-dropping-particle" : "", "parse-names" : false, "suffix" : "" }, { "dropping-particle" : "", "family" : "O'Gara", "given" : "Patrick T", "non-dropping-particle" : "", "parse-names" : false, "suffix" : "" }, { "dropping-particle" : "", "family" : "O'Rourke", "given" : "Robert a", "non-dropping-particle" : "", "parse-names" : false, "suffix" : "" }, { "dropping-particle" : "", "family" : "Otto", "given" : "Catherine M", "non-dropping-particle" : "", "parse-names" : false, "suffix" : "" }, { "dropping-particle" : "", "family" : "Shah", "given" : "Pravin M", "non-dropping-particle" : "", "parse-names" : false, "suffix" : "" }, { "dropping-particle" : "", "family" : "Shanewise", "given" : "Jack S", "non-dropping-particle" : "", "parse-names" : false, "suffix" : "" }, { "dropping-particle" : "", "family" : "Smith", "given" : "Sidney C", "non-dropping-particle" : "", "parse-names" : false, "suffix" : "" }, { "dropping-particle" : "", "family" : "Jacobs", "given" : "Alice K", "non-dropping-particle" : "", "parse-names" : false, "suffix" : "" }, { "dropping-particle" : "", "family" : "Adams", "given" : "Cynthia D", "non-dropping-particle" : "", "parse-names" : false, "suffix" : "" }, { "dropping-particle" : "", "family" : "Anderson", "given" : "Jeffrey L", "non-dropping-particle" : "", "parse-names" : false, "suffix" : "" }, { "dropping-particle" : "", "family" : "Antman", "given" : "Elliott M", "non-dropping-particle" : "", "parse-names" : false, "suffix" : "" }, { "dropping-particle" : "", "family" : "Fuster", "given" : "Valentin", "non-dropping-particle" : "", "parse-names" : false, "suffix" : "" }, { "dropping-particle" : "", "family" : "Halperin", "given" : "Jonathan L", "non-dropping-particle" : "", "parse-names" : false, "suffix" : "" }, { "dropping-particle" : "", "family" : "Hiratzka", "given" : "Loren F", "non-dropping-particle" : "", "parse-names" : false, "suffix" : "" }, { "dropping-particle" : "", "family" : "Hunt", "given" : "Sharon a", "non-dropping-particle" : "", "parse-names" : false, "suffix" : "" }, { "dropping-particle" : "", "family" : "Page", "given" : "Richard L", "non-dropping-particle" : "", "parse-names" : false, "suffix" : "" }, { "dropping-particle" : "", "family" : "Riegel", "given" : "Barbara", "non-dropping-particle" : "", "parse-names" : false, "suffix" : "" }, { "dropping-particle" : "", "family" : "Bart", "given" : "Bradley a", "non-dropping-particle" : "", "parse-names" : false, "suffix" : "" }, { "dropping-particle" : "", "family" : "Goldsmith", "given" : "Steven R", "non-dropping-particle" : "", "parse-names" : false, "suffix" : "" }, { "dropping-particle" : "", "family" : "Lee", "given" : "Kerry L", "non-dropping-particle" : "", "parse-names" : false, "suffix" : "" }, { "dropping-particle" : "", "family" : "Givertz", "given" : "Michael M", "non-dropping-particle" : "", "parse-names" : false, "suffix" : "" }, { "dropping-particle" : "", "family" : "O'Connor", "given" : "Christopher M", "non-dropping-particle" : "", "parse-names" : false, "suffix" : "" }, { "dropping-particle" : "", "family" : "Bull", "given" : "David a", "non-dropping-particle" : "", "parse-names" : false, "suffix" : "" }, { "dropping-particle" : "", "family" : "Redfield", "given" : "Margaret M", "non-dropping-particle" : "", "parse-names" : false, "suffix" : "" }, { "dropping-particle" : "", "family" : "Deswal", "given" : "Anita", "non-dropping-particle" : "", "parse-names" : false, "suffix" : "" }, { "dropping-particle" : "", "family" : "Rouleau", "given" : "Jean L", "non-dropping-particle" : "", "parse-names" : false, "suffix" : "" }, { "dropping-particle" : "", "family" : "LeWinter", "given" : "Martin M", "non-dropping-particle" : "", "parse-names" : false, "suffix" : "" }, { "dropping-particle" : "", "family" : "Ofili", "given" : "Elizabeth O", "non-dropping-particle" : "", "parse-names" : false, "suffix" : "" }, { "dropping-particle" : "", "family" : "Stevenson", "given" : "Lynne W", "non-dropping-particle" : "", "parse-names" : false, "suffix" : "" }, { "dropping-particle" : "", "family" : "Semigran", "given" : "Marc J", "non-dropping-particle" : "", "parse-names" : false, "suffix" : "" }, { "dropping-particle" : "", "family" : "Felker", "given" : "G Michael", "non-dropping-particle" : "", "parse-names" : false, "suffix" : "" }, { "dropping-particle" : "", "family" : "Chen", "given" : "Horng H", "non-dropping-particle" : "", "parse-names" : false, "suffix" : "" }, { "dropping-particle" : "", "family" : "Hernandez", "given" : "Adrian F", "non-dropping-particle" : "", "parse-names" : false, "suffix" : "" }, { "dropping-particle" : "", "family" : "Anstrom", "given" : "Kevin J", "non-dropping-particle" : "", "parse-names" : false, "suffix" : "" }, { "dropping-particle" : "", "family" : "McNulty", "given" : "Steven E", "non-dropping-particle" : "", "parse-names" : false, "suffix" : "" }, { "dropping-particle" : "", "family" : "Velazquez", "given" : "Eric J", "non-dropping-particle" : "", "parse-names" : false, "suffix" : "" }, { "dropping-particle" : "", "family" : "Ibarra", "given" : "Jenny C", "non-dropping-particle" : "", "parse-names" : false, "suffix" : "" }, { "dropping-particle" : "", "family" : "Mascette", "given" : "Alice M", "non-dropping-particle" : "", "parse-names" : false, "suffix" : "" }, { "dropping-particle" : "", "family" : "Braunwald", "given" : "Eugene", "non-dropping-particle" : "", "parse-names" : false, "suffix" : "" }, { "dropping-particle" : "", "family" : "ACCF/AHA/HRS", "given" : "", "non-dropping-particle" : "", "parse-names" : false, "suffix" : "" } ], "container-title" : "European heart journal", "id" : "ITEM-1", "issue" : "14", "issued" : { "date-parts" : [ [ "2010" ] ] }, "page" : "2369-429", "title" : "ESC Guidelines for the diagnosis and treatment of acute and chronic heart failure 2012: The Task Force for the Diagnosis and Treatment of Acute and Chronic Heart Failure 2012 of the European Society of Cardiology. Developed in collaboration with the Heart", "type" : "article-journal", "volume" : "31" }, "uris" : [ "http://www.mendeley.com/documents/?uuid=4698e7a8-2071-4dab-938d-fe4a84bd2f55" ] } ], "mendeley" : { "formattedCitation" : "&lt;sup&gt;2&lt;/sup&gt;", "plainTextFormattedCitation" : "2", "previouslyFormattedCitation" : "&lt;sup&gt;2&lt;/sup&gt;" }, "properties" : { "noteIndex" : 0 }, "schema" : "https://github.com/citation-style-language/schema/raw/master/csl-citation.json" }</w:instrText>
      </w:r>
      <w:r w:rsidRPr="00743FCB">
        <w:rPr>
          <w:rFonts w:asciiTheme="majorBidi" w:hAnsiTheme="majorBidi" w:cstheme="majorBidi"/>
          <w:vertAlign w:val="superscript"/>
        </w:rPr>
        <w:fldChar w:fldCharType="separate"/>
      </w:r>
      <w:r w:rsidR="00DB6A8B" w:rsidRPr="00743FCB">
        <w:rPr>
          <w:rFonts w:asciiTheme="majorBidi" w:hAnsiTheme="majorBidi" w:cstheme="majorBidi"/>
          <w:noProof/>
          <w:vertAlign w:val="superscript"/>
        </w:rPr>
        <w:t>2</w:t>
      </w:r>
      <w:r w:rsidRPr="00743FCB">
        <w:rPr>
          <w:rFonts w:asciiTheme="majorBidi" w:hAnsiTheme="majorBidi" w:cstheme="majorBidi"/>
          <w:vertAlign w:val="superscript"/>
        </w:rPr>
        <w:fldChar w:fldCharType="end"/>
      </w:r>
      <w:r w:rsidR="008F555B" w:rsidRPr="00743FCB">
        <w:rPr>
          <w:rFonts w:asciiTheme="majorBidi" w:hAnsiTheme="majorBidi" w:cstheme="majorBidi"/>
          <w:vertAlign w:val="superscript"/>
        </w:rPr>
        <w:t>)</w:t>
      </w:r>
      <w:r w:rsidRPr="00743FCB">
        <w:rPr>
          <w:rFonts w:asciiTheme="majorBidi" w:hAnsiTheme="majorBidi" w:cstheme="majorBidi"/>
        </w:rPr>
        <w:t xml:space="preserve"> In the last few years,</w:t>
      </w:r>
    </w:p>
    <w:p w14:paraId="1BCE0B39" w14:textId="77777777" w:rsidR="001B2B86" w:rsidRPr="00743FCB" w:rsidRDefault="001B2B86" w:rsidP="001B2B86">
      <w:pPr>
        <w:widowControl w:val="0"/>
        <w:autoSpaceDE w:val="0"/>
        <w:autoSpaceDN w:val="0"/>
        <w:adjustRightInd w:val="0"/>
        <w:spacing w:line="360" w:lineRule="auto"/>
        <w:ind w:left="640" w:hanging="640"/>
        <w:jc w:val="both"/>
        <w:rPr>
          <w:rFonts w:asciiTheme="majorBidi" w:hAnsiTheme="majorBidi" w:cstheme="majorBidi"/>
        </w:rPr>
      </w:pPr>
      <w:r w:rsidRPr="00743FCB">
        <w:rPr>
          <w:rFonts w:asciiTheme="majorBidi" w:hAnsiTheme="majorBidi" w:cstheme="majorBidi"/>
        </w:rPr>
        <w:t>there has been a considerable advancement in the management of HF. One therapeutic target is</w:t>
      </w:r>
    </w:p>
    <w:p w14:paraId="4A9159F4" w14:textId="77777777" w:rsidR="001B2B86" w:rsidRPr="00743FCB" w:rsidRDefault="001B2B86" w:rsidP="001B2B86">
      <w:pPr>
        <w:widowControl w:val="0"/>
        <w:autoSpaceDE w:val="0"/>
        <w:autoSpaceDN w:val="0"/>
        <w:adjustRightInd w:val="0"/>
        <w:spacing w:line="360" w:lineRule="auto"/>
        <w:ind w:left="640" w:hanging="640"/>
        <w:jc w:val="both"/>
        <w:rPr>
          <w:rFonts w:asciiTheme="majorBidi" w:hAnsiTheme="majorBidi" w:cstheme="majorBidi"/>
        </w:rPr>
      </w:pPr>
      <w:r w:rsidRPr="00743FCB">
        <w:rPr>
          <w:rFonts w:asciiTheme="majorBidi" w:hAnsiTheme="majorBidi" w:cstheme="majorBidi"/>
        </w:rPr>
        <w:t xml:space="preserve">heart rate reduction, which is linked to reduced mortality and cardiovascular incidents. </w:t>
      </w:r>
    </w:p>
    <w:p w14:paraId="4534D416" w14:textId="6BF90B78" w:rsidR="001B2B86" w:rsidRPr="00743FCB" w:rsidRDefault="001B2B86" w:rsidP="00DB6A8B">
      <w:pPr>
        <w:spacing w:line="360" w:lineRule="auto"/>
        <w:ind w:firstLine="720"/>
        <w:jc w:val="both"/>
        <w:rPr>
          <w:rFonts w:asciiTheme="majorBidi" w:hAnsiTheme="majorBidi" w:cstheme="majorBidi"/>
          <w:vertAlign w:val="superscript"/>
        </w:rPr>
      </w:pPr>
      <w:r w:rsidRPr="00743FCB">
        <w:rPr>
          <w:rFonts w:asciiTheme="majorBidi" w:hAnsiTheme="majorBidi" w:cstheme="majorBidi"/>
        </w:rPr>
        <w:t>Beta-blockers have been showed an improvement in the survival in subjects with HF and have an effect on lowering the heart rate.</w:t>
      </w:r>
      <w:r w:rsidR="008F555B" w:rsidRPr="00743FCB">
        <w:rPr>
          <w:rFonts w:asciiTheme="majorBidi" w:hAnsiTheme="majorBidi" w:cstheme="majorBidi"/>
          <w:vertAlign w:val="superscript"/>
        </w:rPr>
        <w:t>(</w:t>
      </w:r>
      <w:r w:rsidRPr="00743FCB">
        <w:rPr>
          <w:rFonts w:asciiTheme="majorBidi" w:hAnsiTheme="majorBidi" w:cstheme="majorBidi"/>
        </w:rPr>
        <w:fldChar w:fldCharType="begin" w:fldLock="1"/>
      </w:r>
      <w:r w:rsidR="00DB6A8B" w:rsidRPr="00743FCB">
        <w:rPr>
          <w:rFonts w:asciiTheme="majorBidi" w:hAnsiTheme="majorBidi" w:cstheme="majorBidi"/>
        </w:rPr>
        <w:instrText>ADDIN CSL_CITATION { "citationItems" : [ { "id" : "ITEM-1", "itemData" : { "DOI" : "http://dx.doi.org/10.4065/mcp.2009.0494", "ISSN" : "0025-6196", "author" : [ { "dropping-particle" : "V", "family" : "Ramani", "given" : "Gautam", "non-dropping-particle" : "", "parse-names" : false, "suffix" : "" }, { "dropping-particle" : "", "family" : "Uber", "given" : "Patricia A", "non-dropping-particle" : "", "parse-names" : false, "suffix" : "" }, { "dropping-particle" : "", "family" : "Mehra", "given" : "Mandeep R", "non-dropping-particle" : "", "parse-names" : false, "suffix" : "" } ], "container-title" : "Mayo Clinic Proceedings", "id" : "ITEM-1", "issue" : "2", "issued" : { "date-parts" : [ [ "2010", "2" ] ] }, "page" : "180-195", "title" : "Chronic Heart Failure: Contemporary Diagnosis and Management", "type" : "article-journal", "volume" : "85" }, "uris" : [ "http://www.mendeley.com/documents/?uuid=8771d7f9-6213-46d3-ab3f-ac78bde24bb3" ] } ], "mendeley" : { "formattedCitation" : "&lt;sup&gt;3&lt;/sup&gt;", "plainTextFormattedCitation" : "3", "previouslyFormattedCitation" : "&lt;sup&gt;3&lt;/sup&gt;" }, "properties" : { "noteIndex" : 0 }, "schema" : "https://github.com/citation-style-language/schema/raw/master/csl-citation.json" }</w:instrText>
      </w:r>
      <w:r w:rsidRPr="00743FCB">
        <w:rPr>
          <w:rFonts w:asciiTheme="majorBidi" w:hAnsiTheme="majorBidi" w:cstheme="majorBidi"/>
        </w:rPr>
        <w:fldChar w:fldCharType="separate"/>
      </w:r>
      <w:r w:rsidR="00DB6A8B" w:rsidRPr="00743FCB">
        <w:rPr>
          <w:rFonts w:asciiTheme="majorBidi" w:hAnsiTheme="majorBidi" w:cstheme="majorBidi"/>
          <w:noProof/>
          <w:vertAlign w:val="superscript"/>
        </w:rPr>
        <w:t>3</w:t>
      </w:r>
      <w:r w:rsidRPr="00743FCB">
        <w:rPr>
          <w:rFonts w:asciiTheme="majorBidi" w:hAnsiTheme="majorBidi" w:cstheme="majorBidi"/>
        </w:rPr>
        <w:fldChar w:fldCharType="end"/>
      </w:r>
      <w:r w:rsidR="008F555B" w:rsidRPr="00743FCB">
        <w:rPr>
          <w:rFonts w:asciiTheme="majorBidi" w:hAnsiTheme="majorBidi" w:cstheme="majorBidi"/>
          <w:vertAlign w:val="superscript"/>
        </w:rPr>
        <w:t>)</w:t>
      </w:r>
      <w:r w:rsidRPr="00743FCB">
        <w:rPr>
          <w:rFonts w:asciiTheme="majorBidi" w:hAnsiTheme="majorBidi" w:cstheme="majorBidi"/>
        </w:rPr>
        <w:t xml:space="preserve"> However, just 30-35% of patients in clinical practice reach the target therapeutic dose of beta-blockers , as their utilization is limited in subjects with conduction abnormalities, severe left ventricular (LV) dysfunction, and active bronchospasm.</w:t>
      </w:r>
      <w:r w:rsidR="008F555B" w:rsidRPr="00743FCB">
        <w:rPr>
          <w:rFonts w:asciiTheme="majorBidi" w:hAnsiTheme="majorBidi" w:cstheme="majorBidi"/>
          <w:vertAlign w:val="superscript"/>
        </w:rPr>
        <w:t>(</w:t>
      </w:r>
      <w:r w:rsidRPr="00743FCB">
        <w:rPr>
          <w:rFonts w:asciiTheme="majorBidi" w:hAnsiTheme="majorBidi" w:cstheme="majorBidi"/>
          <w:vertAlign w:val="superscript"/>
        </w:rPr>
        <w:fldChar w:fldCharType="begin" w:fldLock="1"/>
      </w:r>
      <w:r w:rsidR="00DB6A8B" w:rsidRPr="00743FCB">
        <w:rPr>
          <w:rFonts w:asciiTheme="majorBidi" w:hAnsiTheme="majorBidi" w:cstheme="majorBidi"/>
          <w:vertAlign w:val="superscript"/>
        </w:rPr>
        <w:instrText>ADDIN CSL_CITATION { "citationItems" : [ { "id" : "ITEM-1", "itemData" : { "DOI" : "10.1111/j.1751-7133.2011.00250.x", "ISBN" : "1751-7133 (Electronic)\\r1527-5299 (Linking)", "ISSN" : "15275299", "PMID" : "22277172", "abstract" : "Eligible outpatients with heart failure (HF) and reduced left ventricular ejection fraction (LVEF) frequently do not receive target doses of HF medications. The Registry to Improve the Use of Evidence-Based Heart Failure Therapies in the Outpatient Setting (IMPROVE HF) evaluated the effect of a practice-based performance improvement intervention on treatment of outpatients with LVEF \u226435%. Specific agent and dose were collected at baseline and 24\u2003months for angiotensin-converting enzyme (ACE) inhibitors/angiotensin receptor blockers (ARBs), \u03b2-blockers, and aldosterone antagonists. Changes in dosing over time were analyzed for each medication class. Data were available for 7605 patients. At baseline, target dose treatment rates were 36.1%, 20.5%, and 74.4%, respectively. Absolute and relative improvements of 9.8% and 47.7% (\u200aP&lt;.001) were achieved for \u03b2-blocker dosing at 24\u2003months. The IMPROVE HF intervention was associated with significantly increased treatment of eligible patients with target doses of \u03b2-blockers but not ACE inhibitors/ARBs or aldosterone antagonists. Additional research to determine barriers to use of target doses of HF medications may be necessary.", "author" : [ { "dropping-particle" : "", "family" : "Gheorghiade", "given" : "Mihai", "non-dropping-particle" : "", "parse-names" : false, "suffix" : "" }, { "dropping-particle" : "", "family" : "Albert", "given" : "Nancy M.", "non-dropping-particle" : "", "parse-names" : false, "suffix" : "" }, { "dropping-particle" : "", "family" : "Curtis", "given" : "Anne B.", "non-dropping-particle" : "", "parse-names" : false, "suffix" : "" }, { "dropping-particle" : "", "family" : "Thomas Heywood", "given" : "J.", "non-dropping-particle" : "", "parse-names" : false, "suffix" : "" }, { "dropping-particle" : "", "family" : "McBride", "given" : "Mark L.", "non-dropping-particle" : "", "parse-names" : false, "suffix" : "" }, { "dropping-particle" : "", "family" : "Inge", "given" : "Patches Johnson", "non-dropping-particle" : "", "parse-names" : false, "suffix" : "" }, { "dropping-particle" : "", "family" : "Mehra", "given" : "Mandeep R.", "non-dropping-particle" : "", "parse-names" : false, "suffix" : "" }, { "dropping-particle" : "", "family" : "O'Connor", "given" : "Christopher M.", "non-dropping-particle" : "", "parse-names" : false, "suffix" : "" }, { "dropping-particle" : "", "family" : "Reynolds", "given" : "Dwight", "non-dropping-particle" : "", "parse-names" : false, "suffix" : "" }, { "dropping-particle" : "", "family" : "Walsh", "given" : "Mary Norine", "non-dropping-particle" : "", "parse-names" : false, "suffix" : "" }, { "dropping-particle" : "", "family" : "Yancy", "given" : "Clyde W.", "non-dropping-particle" : "", "parse-names" : false, "suffix" : "" }, { "dropping-particle" : "", "family" : "Fonarow", "given" : "Gregg C.", "non-dropping-particle" : "", "parse-names" : false, "suffix" : "" } ], "container-title" : "Congestive Heart Failure", "id" : "ITEM-1", "issue" : "1", "issued" : { "date-parts" : [ [ "2012" ] ] }, "page" : "9-17", "title" : "Medication dosing in outpatients with heart failure after implementation of a practice-based performance improvement intervention: Findings from IMPROVE HF", "type" : "article-journal", "volume" : "18" }, "uris" : [ "http://www.mendeley.com/documents/?uuid=c42dabda-fb84-46ab-9d06-cd1abd788ac2" ] } ], "mendeley" : { "formattedCitation" : "&lt;sup&gt;4&lt;/sup&gt;", "plainTextFormattedCitation" : "4", "previouslyFormattedCitation" : "&lt;sup&gt;4&lt;/sup&gt;" }, "properties" : { "noteIndex" : 0 }, "schema" : "https://github.com/citation-style-language/schema/raw/master/csl-citation.json" }</w:instrText>
      </w:r>
      <w:r w:rsidRPr="00743FCB">
        <w:rPr>
          <w:rFonts w:asciiTheme="majorBidi" w:hAnsiTheme="majorBidi" w:cstheme="majorBidi"/>
          <w:vertAlign w:val="superscript"/>
        </w:rPr>
        <w:fldChar w:fldCharType="separate"/>
      </w:r>
      <w:r w:rsidR="00DB6A8B" w:rsidRPr="00743FCB">
        <w:rPr>
          <w:rFonts w:asciiTheme="majorBidi" w:hAnsiTheme="majorBidi" w:cstheme="majorBidi"/>
          <w:noProof/>
          <w:vertAlign w:val="superscript"/>
        </w:rPr>
        <w:t>4</w:t>
      </w:r>
      <w:r w:rsidRPr="00743FCB">
        <w:rPr>
          <w:rFonts w:asciiTheme="majorBidi" w:hAnsiTheme="majorBidi" w:cstheme="majorBidi"/>
          <w:vertAlign w:val="superscript"/>
        </w:rPr>
        <w:fldChar w:fldCharType="end"/>
      </w:r>
      <w:r w:rsidR="008F555B" w:rsidRPr="00743FCB">
        <w:rPr>
          <w:rFonts w:asciiTheme="majorBidi" w:hAnsiTheme="majorBidi" w:cstheme="majorBidi"/>
          <w:vertAlign w:val="superscript"/>
        </w:rPr>
        <w:t>)</w:t>
      </w:r>
      <w:r w:rsidRPr="00743FCB">
        <w:rPr>
          <w:rFonts w:asciiTheme="majorBidi" w:hAnsiTheme="majorBidi" w:cstheme="majorBidi"/>
        </w:rPr>
        <w:t xml:space="preserve"> Recently, </w:t>
      </w:r>
      <w:proofErr w:type="spellStart"/>
      <w:r w:rsidRPr="00743FCB">
        <w:rPr>
          <w:rFonts w:asciiTheme="majorBidi" w:hAnsiTheme="majorBidi" w:cstheme="majorBidi"/>
        </w:rPr>
        <w:t>ivabradine</w:t>
      </w:r>
      <w:proofErr w:type="spellEnd"/>
      <w:r w:rsidRPr="00743FCB">
        <w:rPr>
          <w:rFonts w:asciiTheme="majorBidi" w:hAnsiTheme="majorBidi" w:cstheme="majorBidi"/>
        </w:rPr>
        <w:t>, an anti-</w:t>
      </w:r>
      <w:proofErr w:type="spellStart"/>
      <w:r w:rsidRPr="00743FCB">
        <w:rPr>
          <w:rFonts w:asciiTheme="majorBidi" w:hAnsiTheme="majorBidi" w:cstheme="majorBidi"/>
        </w:rPr>
        <w:t>anginal</w:t>
      </w:r>
      <w:proofErr w:type="spellEnd"/>
      <w:r w:rsidRPr="00743FCB">
        <w:rPr>
          <w:rFonts w:asciiTheme="majorBidi" w:hAnsiTheme="majorBidi" w:cstheme="majorBidi"/>
        </w:rPr>
        <w:t xml:space="preserve"> and anti-ischemic agent, have been introduced in the treatment  of HF. “Ivabradine selectively and specifically inhibits the If current in the </w:t>
      </w:r>
      <w:proofErr w:type="spellStart"/>
      <w:r w:rsidRPr="00743FCB">
        <w:rPr>
          <w:rFonts w:asciiTheme="majorBidi" w:hAnsiTheme="majorBidi" w:cstheme="majorBidi"/>
        </w:rPr>
        <w:t>sino</w:t>
      </w:r>
      <w:proofErr w:type="spellEnd"/>
      <w:r w:rsidRPr="00743FCB">
        <w:rPr>
          <w:rFonts w:asciiTheme="majorBidi" w:hAnsiTheme="majorBidi" w:cstheme="majorBidi"/>
        </w:rPr>
        <w:t xml:space="preserve">-atrial (SA) node, and provides pure heart rate reduction without altering other cardiovascular parameters.” </w:t>
      </w:r>
      <w:r w:rsidR="008F555B" w:rsidRPr="00743FCB">
        <w:rPr>
          <w:rFonts w:asciiTheme="majorBidi" w:hAnsiTheme="majorBidi" w:cstheme="majorBidi"/>
          <w:vertAlign w:val="superscript"/>
        </w:rPr>
        <w:t>(</w:t>
      </w:r>
      <w:r w:rsidRPr="00743FCB">
        <w:rPr>
          <w:rFonts w:asciiTheme="majorBidi" w:hAnsiTheme="majorBidi" w:cstheme="majorBidi"/>
        </w:rPr>
        <w:fldChar w:fldCharType="begin" w:fldLock="1"/>
      </w:r>
      <w:r w:rsidR="00DB6A8B" w:rsidRPr="00743FCB">
        <w:rPr>
          <w:rFonts w:asciiTheme="majorBidi" w:hAnsiTheme="majorBidi" w:cstheme="majorBidi"/>
        </w:rPr>
        <w:instrText>ADDIN CSL_CITATION { "citationItems" : [ { "id" : "ITEM-1", "itemData" : { "DOI" : "10.1007/s40265-013-0117-0", "ISBN" : "0012-6667 (Print)\\r0012-6667", "ISSN" : "0012-6667", "PMID" : "24065301", "abstract" : "Heart rate is an important contributor in the pathophysiology of both coronary artery disease (CAD) and heart failure (HF). Ivabradine is an anti-anginal and anti-ischaemic agent, which selectively and specifically inhibits the I f current in the sino-atrial node and provides pure heart rate reduction without altering other cardiac parameters, including conduction, and without directly affecting other haemodynamic parameters. It is approved for the treatment of CAD and HF. This article summarises the pharmacological properties, pharmacokinetics, clinical efficacy and tolerability of ivabradine in the treatment of CAD and HF, and presents evidence demonstrating that the pharmacological and clinical properties and clinical efficacy of ivabradine make it an important therapeutic choice for patients with stable CAD or HF. The positive effect of ivabradine on angina pectoris symptoms and its ability to reduce myocardial ischemia make it an important agent in the management of patients with stable CAD or chronic HF. Further studies are underway to add to the already robust evidence of ivabradine for the prevention of cardiovascular events in patients with CAD but without clinical HF. The SIGNIFY (Study assessInG the morbidity-mortality beNefits of the I f inhibitor ivabradine in patients with coronarY artery disease) trial includes patients with stable CAD and an LVEF above 40\u00a0%, with no clinical sign of HF, and is investigating the long-term effects (over a period of 48\u00a0months) of ivabradine in a large study population. So far, this study has included more than 19,000 patients from 51 countries.", "author" : [ { "dropping-particle" : "", "family" : "Deedwania", "given" : "Prakash", "non-dropping-particle" : "", "parse-names" : false, "suffix" : "" } ], "container-title" : "Drugs", "id" : "ITEM-1", "issue" : "14", "issued" : { "date-parts" : [ [ "2013" ] ] }, "page" : "1569-86", "title" : "Selective and specific inhibition of If with ivabradine for the treatment of coronary artery disease or heart failure.", "type" : "article-journal", "volume" : "73" }, "uris" : [ "http://www.mendeley.com/documents/?uuid=6b82392a-7c20-4188-a54f-cf8f806997ea" ] } ], "mendeley" : { "formattedCitation" : "&lt;sup&gt;5&lt;/sup&gt;", "plainTextFormattedCitation" : "5", "previouslyFormattedCitation" : "&lt;sup&gt;5&lt;/sup&gt;" }, "properties" : { "noteIndex" : 0 }, "schema" : "https://github.com/citation-style-language/schema/raw/master/csl-citation.json" }</w:instrText>
      </w:r>
      <w:r w:rsidRPr="00743FCB">
        <w:rPr>
          <w:rFonts w:asciiTheme="majorBidi" w:hAnsiTheme="majorBidi" w:cstheme="majorBidi"/>
        </w:rPr>
        <w:fldChar w:fldCharType="separate"/>
      </w:r>
      <w:r w:rsidR="00DB6A8B" w:rsidRPr="00743FCB">
        <w:rPr>
          <w:rFonts w:asciiTheme="majorBidi" w:hAnsiTheme="majorBidi" w:cstheme="majorBidi"/>
          <w:noProof/>
          <w:vertAlign w:val="superscript"/>
        </w:rPr>
        <w:t>5</w:t>
      </w:r>
      <w:r w:rsidRPr="00743FCB">
        <w:rPr>
          <w:rFonts w:asciiTheme="majorBidi" w:hAnsiTheme="majorBidi" w:cstheme="majorBidi"/>
        </w:rPr>
        <w:fldChar w:fldCharType="end"/>
      </w:r>
      <w:r w:rsidR="008F555B" w:rsidRPr="00743FCB">
        <w:rPr>
          <w:rFonts w:asciiTheme="majorBidi" w:hAnsiTheme="majorBidi" w:cstheme="majorBidi"/>
          <w:vertAlign w:val="superscript"/>
        </w:rPr>
        <w:t>)</w:t>
      </w:r>
    </w:p>
    <w:p w14:paraId="072838C4" w14:textId="0811AD13" w:rsidR="001B2B86" w:rsidRPr="00743FCB" w:rsidRDefault="001B2B86" w:rsidP="003B35F7">
      <w:pPr>
        <w:spacing w:line="360" w:lineRule="auto"/>
        <w:ind w:firstLine="720"/>
        <w:jc w:val="both"/>
        <w:rPr>
          <w:rFonts w:asciiTheme="majorBidi" w:hAnsiTheme="majorBidi" w:cstheme="majorBidi"/>
        </w:rPr>
      </w:pPr>
      <w:r w:rsidRPr="00743FCB">
        <w:rPr>
          <w:rFonts w:asciiTheme="majorBidi" w:hAnsiTheme="majorBidi" w:cstheme="majorBidi"/>
        </w:rPr>
        <w:t xml:space="preserve">Studies have shown that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might improve the management of subjects with HF. However, only a few trials have explored the beneficial impacts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in HF, and the results have not been consistent across several clinical outcomes. Also, the safety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in subjects with HF remains unclear. So, our goal is to comprehensively evaluate the literature and determine the relative efficacy and safety of the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in subjects with HF. Our long-term goal is to gain a better understanding of the role that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can provide to subjects with HF, especially those not able to tolerate beta-blockers. We propo</w:t>
      </w:r>
      <w:r w:rsidR="005A565D" w:rsidRPr="00743FCB">
        <w:rPr>
          <w:rFonts w:asciiTheme="majorBidi" w:hAnsiTheme="majorBidi" w:cstheme="majorBidi"/>
        </w:rPr>
        <w:t>se the following specific aims</w:t>
      </w:r>
      <w:r w:rsidRPr="00743FCB">
        <w:rPr>
          <w:rFonts w:asciiTheme="majorBidi" w:hAnsiTheme="majorBidi" w:cstheme="majorBidi"/>
        </w:rPr>
        <w:t xml:space="preserve"> </w:t>
      </w:r>
      <w:r w:rsidR="005A565D" w:rsidRPr="00743FCB">
        <w:rPr>
          <w:rFonts w:asciiTheme="majorBidi" w:hAnsiTheme="majorBidi" w:cstheme="majorBidi"/>
        </w:rPr>
        <w:t>to e</w:t>
      </w:r>
      <w:r w:rsidRPr="00743FCB">
        <w:rPr>
          <w:rFonts w:asciiTheme="majorBidi" w:hAnsiTheme="majorBidi" w:cstheme="majorBidi"/>
        </w:rPr>
        <w:t xml:space="preserve">valuate the efficacy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compared to </w:t>
      </w:r>
      <w:r w:rsidR="003B35F7">
        <w:rPr>
          <w:rFonts w:asciiTheme="majorBidi" w:hAnsiTheme="majorBidi" w:cstheme="majorBidi"/>
        </w:rPr>
        <w:t>control</w:t>
      </w:r>
      <w:r w:rsidR="003B35F7" w:rsidRPr="00743FCB">
        <w:rPr>
          <w:rFonts w:asciiTheme="majorBidi" w:hAnsiTheme="majorBidi" w:cstheme="majorBidi"/>
        </w:rPr>
        <w:t xml:space="preserve"> </w:t>
      </w:r>
      <w:r w:rsidRPr="00743FCB">
        <w:rPr>
          <w:rFonts w:asciiTheme="majorBidi" w:hAnsiTheme="majorBidi" w:cstheme="majorBidi"/>
        </w:rPr>
        <w:t>in subjects with HF on objective and patient-reported outcome measures used in HF management</w:t>
      </w:r>
      <w:r w:rsidR="005A565D" w:rsidRPr="00743FCB">
        <w:rPr>
          <w:rFonts w:asciiTheme="majorBidi" w:hAnsiTheme="majorBidi" w:cstheme="majorBidi"/>
        </w:rPr>
        <w:t xml:space="preserve"> and d</w:t>
      </w:r>
      <w:r w:rsidRPr="00743FCB">
        <w:rPr>
          <w:rFonts w:asciiTheme="majorBidi" w:hAnsiTheme="majorBidi" w:cstheme="majorBidi"/>
        </w:rPr>
        <w:t xml:space="preserve">etermine the safety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compared to </w:t>
      </w:r>
      <w:r w:rsidR="003B35F7">
        <w:rPr>
          <w:rFonts w:asciiTheme="majorBidi" w:hAnsiTheme="majorBidi" w:cstheme="majorBidi"/>
        </w:rPr>
        <w:t>control</w:t>
      </w:r>
      <w:r w:rsidR="003B35F7" w:rsidRPr="00743FCB">
        <w:rPr>
          <w:rFonts w:asciiTheme="majorBidi" w:hAnsiTheme="majorBidi" w:cstheme="majorBidi"/>
        </w:rPr>
        <w:t xml:space="preserve"> </w:t>
      </w:r>
      <w:r w:rsidRPr="00743FCB">
        <w:rPr>
          <w:rFonts w:asciiTheme="majorBidi" w:hAnsiTheme="majorBidi" w:cstheme="majorBidi"/>
        </w:rPr>
        <w:t xml:space="preserve">in subjects with HF with or without low ejection fraction. </w:t>
      </w:r>
    </w:p>
    <w:p w14:paraId="01D1DE94" w14:textId="77777777" w:rsidR="00D25E24" w:rsidRDefault="00D25E24" w:rsidP="001B2B86">
      <w:pPr>
        <w:widowControl w:val="0"/>
        <w:autoSpaceDE w:val="0"/>
        <w:autoSpaceDN w:val="0"/>
        <w:adjustRightInd w:val="0"/>
        <w:spacing w:line="360" w:lineRule="auto"/>
        <w:jc w:val="both"/>
        <w:rPr>
          <w:rFonts w:asciiTheme="majorBidi" w:hAnsiTheme="majorBidi" w:cstheme="majorBidi"/>
        </w:rPr>
      </w:pPr>
    </w:p>
    <w:p w14:paraId="7B7A6634" w14:textId="77777777" w:rsidR="001B2B86" w:rsidRPr="00743FCB" w:rsidRDefault="001B2B86" w:rsidP="001B2B86">
      <w:pPr>
        <w:widowControl w:val="0"/>
        <w:autoSpaceDE w:val="0"/>
        <w:autoSpaceDN w:val="0"/>
        <w:adjustRightInd w:val="0"/>
        <w:spacing w:line="360" w:lineRule="auto"/>
        <w:jc w:val="both"/>
        <w:rPr>
          <w:rFonts w:asciiTheme="majorBidi" w:hAnsiTheme="majorBidi" w:cstheme="majorBidi"/>
          <w:b/>
        </w:rPr>
      </w:pPr>
      <w:r w:rsidRPr="00743FCB">
        <w:rPr>
          <w:rFonts w:asciiTheme="majorBidi" w:hAnsiTheme="majorBidi" w:cstheme="majorBidi"/>
          <w:b/>
        </w:rPr>
        <w:t>Research Design and Methods section</w:t>
      </w:r>
    </w:p>
    <w:p w14:paraId="711FCB5C" w14:textId="77777777" w:rsidR="001B2B86" w:rsidRPr="00743FCB" w:rsidRDefault="001B2B86" w:rsidP="001B2B86">
      <w:pPr>
        <w:widowControl w:val="0"/>
        <w:autoSpaceDE w:val="0"/>
        <w:autoSpaceDN w:val="0"/>
        <w:adjustRightInd w:val="0"/>
        <w:spacing w:line="360" w:lineRule="auto"/>
        <w:jc w:val="both"/>
        <w:rPr>
          <w:rFonts w:asciiTheme="majorBidi" w:hAnsiTheme="majorBidi" w:cstheme="majorBidi"/>
          <w:b/>
        </w:rPr>
      </w:pPr>
      <w:r w:rsidRPr="00743FCB">
        <w:rPr>
          <w:rFonts w:asciiTheme="majorBidi" w:hAnsiTheme="majorBidi" w:cstheme="majorBidi"/>
          <w:b/>
        </w:rPr>
        <w:t>Data Sources and Search:</w:t>
      </w:r>
    </w:p>
    <w:p w14:paraId="6BC98AA5" w14:textId="1DF9ABDA" w:rsidR="001B2B86" w:rsidRPr="00743FCB" w:rsidRDefault="000F3A96" w:rsidP="00825034">
      <w:pPr>
        <w:widowControl w:val="0"/>
        <w:autoSpaceDE w:val="0"/>
        <w:autoSpaceDN w:val="0"/>
        <w:adjustRightInd w:val="0"/>
        <w:spacing w:line="360" w:lineRule="auto"/>
        <w:jc w:val="lowKashida"/>
        <w:rPr>
          <w:rFonts w:asciiTheme="majorBidi" w:hAnsiTheme="majorBidi" w:cstheme="majorBidi"/>
        </w:rPr>
      </w:pPr>
      <w:r w:rsidRPr="00743FCB">
        <w:rPr>
          <w:rFonts w:asciiTheme="majorBidi" w:hAnsiTheme="majorBidi" w:cstheme="majorBidi"/>
        </w:rPr>
        <w:t xml:space="preserve">        </w:t>
      </w:r>
      <w:r w:rsidR="00825034" w:rsidRPr="00825034">
        <w:rPr>
          <w:rFonts w:asciiTheme="majorBidi" w:hAnsiTheme="majorBidi" w:cstheme="majorBidi"/>
        </w:rPr>
        <w:t xml:space="preserve">A systematic literature search performed in Medline, </w:t>
      </w:r>
      <w:proofErr w:type="spellStart"/>
      <w:r w:rsidR="00825034" w:rsidRPr="00825034">
        <w:rPr>
          <w:rFonts w:asciiTheme="majorBidi" w:hAnsiTheme="majorBidi" w:cstheme="majorBidi"/>
        </w:rPr>
        <w:t>Embase</w:t>
      </w:r>
      <w:proofErr w:type="spellEnd"/>
      <w:r w:rsidR="00825034" w:rsidRPr="00825034">
        <w:rPr>
          <w:rFonts w:asciiTheme="majorBidi" w:hAnsiTheme="majorBidi" w:cstheme="majorBidi"/>
        </w:rPr>
        <w:t>, Ovid and the Cochrane Central Register of Controlled Trials. We did the search through reference lists of eligible articles and related existing systematic reviews. To identify any unpublished studies, we searched conference proceedings of the American Heart Association/American Stroke Association, American Diabetes Association, European Society of Cardiology Congress, and World Congress of Cardiology. We developed a search strategy that includes keywords appropriate to study design (randomized, controlled trial), the disease of interest (heart failure), and the intervention of interest (Ivabradine). A list of these keywords is available in (Appendix Table 1 available at www.annals.org). Search terms explored and properly modified according to each database we were using. Searching was limited to humans, but no language restriction was applied. This systematic review was conducted in accordance with the Meta-analysis of Observational Studies in Epidemiology (MOOSE) guidelines.</w:t>
      </w:r>
    </w:p>
    <w:p w14:paraId="71C1DD5C" w14:textId="77777777" w:rsidR="001B2B86" w:rsidRPr="00743FCB" w:rsidRDefault="001B2B86" w:rsidP="001B2B86">
      <w:pPr>
        <w:widowControl w:val="0"/>
        <w:autoSpaceDE w:val="0"/>
        <w:autoSpaceDN w:val="0"/>
        <w:adjustRightInd w:val="0"/>
        <w:spacing w:line="360" w:lineRule="auto"/>
        <w:jc w:val="both"/>
        <w:rPr>
          <w:rFonts w:asciiTheme="majorBidi" w:hAnsiTheme="majorBidi" w:cstheme="majorBidi"/>
          <w:b/>
        </w:rPr>
      </w:pPr>
      <w:r w:rsidRPr="00743FCB">
        <w:rPr>
          <w:rFonts w:asciiTheme="majorBidi" w:hAnsiTheme="majorBidi" w:cstheme="majorBidi"/>
          <w:b/>
        </w:rPr>
        <w:t>Study Selection:</w:t>
      </w:r>
    </w:p>
    <w:p w14:paraId="35560FDA" w14:textId="366A91A8" w:rsidR="001B2B86" w:rsidRPr="00743FCB" w:rsidRDefault="000F3A96" w:rsidP="003B35F7">
      <w:pPr>
        <w:widowControl w:val="0"/>
        <w:autoSpaceDE w:val="0"/>
        <w:autoSpaceDN w:val="0"/>
        <w:adjustRightInd w:val="0"/>
        <w:spacing w:line="360" w:lineRule="auto"/>
        <w:jc w:val="both"/>
        <w:rPr>
          <w:rFonts w:asciiTheme="majorBidi" w:hAnsiTheme="majorBidi" w:cstheme="majorBidi"/>
        </w:rPr>
      </w:pPr>
      <w:r w:rsidRPr="00743FCB">
        <w:rPr>
          <w:rFonts w:asciiTheme="majorBidi" w:hAnsiTheme="majorBidi" w:cstheme="majorBidi"/>
        </w:rPr>
        <w:t xml:space="preserve">      </w:t>
      </w:r>
      <w:r w:rsidR="00F613B3" w:rsidRPr="00F613B3">
        <w:rPr>
          <w:rFonts w:asciiTheme="majorBidi" w:hAnsiTheme="majorBidi" w:cstheme="majorBidi"/>
        </w:rPr>
        <w:t xml:space="preserve">Two reviewers were assigned for identified and reviewed all included studies of randomized controlled trials of Ivabradine if they fulfilled the following criteria (Appendix Table 2): comparison of Ivabradine either as monotherapy or add-on therapy to other heart failure treatment with </w:t>
      </w:r>
      <w:r w:rsidR="003B35F7">
        <w:rPr>
          <w:rFonts w:asciiTheme="majorBidi" w:hAnsiTheme="majorBidi" w:cstheme="majorBidi"/>
        </w:rPr>
        <w:t>control</w:t>
      </w:r>
      <w:r w:rsidR="003B35F7" w:rsidRPr="00743FCB">
        <w:rPr>
          <w:rFonts w:asciiTheme="majorBidi" w:hAnsiTheme="majorBidi" w:cstheme="majorBidi"/>
        </w:rPr>
        <w:t xml:space="preserve"> </w:t>
      </w:r>
      <w:r w:rsidR="00F613B3" w:rsidRPr="00F613B3">
        <w:rPr>
          <w:rFonts w:asciiTheme="majorBidi" w:hAnsiTheme="majorBidi" w:cstheme="majorBidi"/>
        </w:rPr>
        <w:t xml:space="preserve">in patients with heart failure with or without low ejection fraction; at any age and without any dose or follow-up duration restriction; inclusion of at least 1 pre-specified outcome measure. We excluded any non-randomized trials and studies with a significant risk of bias as evaluated by the methods suggested by the Cochrane Collaboration. Our primary outcome was: all- causes mortality, </w:t>
      </w:r>
      <w:r w:rsidR="00F613B3" w:rsidRPr="007B72FD">
        <w:rPr>
          <w:rFonts w:asciiTheme="majorBidi" w:hAnsiTheme="majorBidi" w:cstheme="majorBidi"/>
        </w:rPr>
        <w:t>cardiovascular mortality</w:t>
      </w:r>
      <w:r w:rsidR="00F613B3" w:rsidRPr="00F613B3">
        <w:rPr>
          <w:rFonts w:asciiTheme="majorBidi" w:hAnsiTheme="majorBidi" w:cstheme="majorBidi"/>
        </w:rPr>
        <w:t xml:space="preserve">, or hospital admission for new onset or even worsening of heart failure. Secondary outcomes include resting HR from baseline until the end of follow-up, LVEF, and adverse events. Two investigators were independently screen titles and abstracts of the citations for relevant articles by using </w:t>
      </w:r>
      <w:proofErr w:type="spellStart"/>
      <w:r w:rsidR="00F613B3" w:rsidRPr="00F613B3">
        <w:rPr>
          <w:rFonts w:asciiTheme="majorBidi" w:hAnsiTheme="majorBidi" w:cstheme="majorBidi"/>
        </w:rPr>
        <w:t>Abstrackr</w:t>
      </w:r>
      <w:proofErr w:type="spellEnd"/>
      <w:r w:rsidR="00F613B3" w:rsidRPr="00F613B3">
        <w:rPr>
          <w:rFonts w:asciiTheme="majorBidi" w:hAnsiTheme="majorBidi" w:cstheme="majorBidi"/>
        </w:rPr>
        <w:t xml:space="preserve"> (Brown University). Also, the same two investigators recovered and rescreen all full-text of relevant articles. Any discrepancies were resolved by consensus.</w:t>
      </w:r>
    </w:p>
    <w:p w14:paraId="5761BE49" w14:textId="77777777" w:rsidR="001B2B86" w:rsidRPr="00743FCB" w:rsidRDefault="001B2B86" w:rsidP="001B2B86">
      <w:pPr>
        <w:widowControl w:val="0"/>
        <w:autoSpaceDE w:val="0"/>
        <w:autoSpaceDN w:val="0"/>
        <w:adjustRightInd w:val="0"/>
        <w:spacing w:line="360" w:lineRule="auto"/>
        <w:jc w:val="both"/>
        <w:rPr>
          <w:rFonts w:asciiTheme="majorBidi" w:hAnsiTheme="majorBidi" w:cstheme="majorBidi"/>
          <w:b/>
        </w:rPr>
      </w:pPr>
      <w:r w:rsidRPr="00743FCB">
        <w:rPr>
          <w:rFonts w:asciiTheme="majorBidi" w:hAnsiTheme="majorBidi" w:cstheme="majorBidi"/>
          <w:b/>
        </w:rPr>
        <w:t>Data Extraction and Quality Assessment:</w:t>
      </w:r>
    </w:p>
    <w:p w14:paraId="7891FB26" w14:textId="77777777" w:rsidR="001A6732" w:rsidRDefault="000F3A96" w:rsidP="001A6732">
      <w:pPr>
        <w:widowControl w:val="0"/>
        <w:autoSpaceDE w:val="0"/>
        <w:autoSpaceDN w:val="0"/>
        <w:adjustRightInd w:val="0"/>
        <w:spacing w:line="360" w:lineRule="auto"/>
        <w:jc w:val="both"/>
        <w:rPr>
          <w:rFonts w:asciiTheme="majorBidi" w:hAnsiTheme="majorBidi" w:cstheme="majorBidi"/>
        </w:rPr>
      </w:pPr>
      <w:r w:rsidRPr="00743FCB">
        <w:rPr>
          <w:rFonts w:asciiTheme="majorBidi" w:hAnsiTheme="majorBidi" w:cstheme="majorBidi"/>
        </w:rPr>
        <w:t xml:space="preserve">       </w:t>
      </w:r>
      <w:r w:rsidR="001A6732" w:rsidRPr="001A6732">
        <w:rPr>
          <w:rFonts w:asciiTheme="majorBidi" w:hAnsiTheme="majorBidi" w:cstheme="majorBidi"/>
        </w:rPr>
        <w:t xml:space="preserve">Two investigators assigned independently for extraction of data from each eligible study, and </w:t>
      </w:r>
      <w:r w:rsidR="001A6732" w:rsidRPr="001A6732">
        <w:rPr>
          <w:rFonts w:asciiTheme="majorBidi" w:hAnsiTheme="majorBidi" w:cstheme="majorBidi"/>
        </w:rPr>
        <w:lastRenderedPageBreak/>
        <w:t xml:space="preserve">any disagreement during data abstraction was recognized and solved consensus. We extracted data on study design and methodology, patient characteristics, interventions, comparators, outcome measures, and adverse events by using a standardized data collection form. The methodological quality of the qualified studies evaluated with” the Cochrane Collaboration's risk-of-bias tool for randomized trials” (Appendix Table 3, available at www.annals.org). Thirteen risk-of-bias items are included in this tool. A decision for the first 7 items (sequence generation, allocation concealment, patients' blinding, caregivers' blinding, outcome assessors' blinding, attrition, and selective outcome reporting) assigned by “low,” “high,” or “unclear”, while the judgment of the remainder (intention-to-treat analysis, baseline balance, co-intervention similarity, compliance, and presence of other biases) assigned by “yes,” “no,” or “unsure”. </w:t>
      </w:r>
    </w:p>
    <w:p w14:paraId="7D0EEF83" w14:textId="77777777" w:rsidR="009A7007" w:rsidRDefault="009A7007" w:rsidP="001B2B86">
      <w:pPr>
        <w:widowControl w:val="0"/>
        <w:autoSpaceDE w:val="0"/>
        <w:autoSpaceDN w:val="0"/>
        <w:adjustRightInd w:val="0"/>
        <w:spacing w:line="360" w:lineRule="auto"/>
        <w:jc w:val="both"/>
        <w:rPr>
          <w:rFonts w:asciiTheme="majorBidi" w:hAnsiTheme="majorBidi" w:cstheme="majorBidi"/>
        </w:rPr>
      </w:pPr>
      <w:r w:rsidRPr="009A7007">
        <w:rPr>
          <w:rFonts w:asciiTheme="majorBidi" w:hAnsiTheme="majorBidi" w:cstheme="majorBidi"/>
        </w:rPr>
        <w:t xml:space="preserve">After evaluating all risk-of-bias items, to each RCT, we assigned good, fair, or poor as a grade for quality. We considered studies with poor quality if they have one of the following: </w:t>
      </w:r>
      <w:r w:rsidRPr="00917A33">
        <w:rPr>
          <w:rFonts w:asciiTheme="majorBidi" w:hAnsiTheme="majorBidi" w:cstheme="majorBidi"/>
        </w:rPr>
        <w:t>lack of blinding</w:t>
      </w:r>
      <w:r w:rsidRPr="009A7007">
        <w:rPr>
          <w:rFonts w:asciiTheme="majorBidi" w:hAnsiTheme="majorBidi" w:cstheme="majorBidi"/>
        </w:rPr>
        <w:t xml:space="preserve">, differential loss to follow-up, imbalances in the baseline, or lack of a washout period in the crossover studies. Studies that described enough details about the blinding (for example double-blinding and if they used identical capsules) had a low chance of bias while studies with inadequate reporting (such as, reporting of an expression, for example, “double-blind”) had an unclear chance of bias. We looked at the extents of withdrawals in each group by using the chi-square test and for a P value, less than 0.1 will be were used to show the differential loss of follow-up. </w:t>
      </w:r>
    </w:p>
    <w:p w14:paraId="0380229A" w14:textId="77777777" w:rsidR="00256F35" w:rsidRDefault="00256F35" w:rsidP="001B2B86">
      <w:pPr>
        <w:widowControl w:val="0"/>
        <w:autoSpaceDE w:val="0"/>
        <w:autoSpaceDN w:val="0"/>
        <w:adjustRightInd w:val="0"/>
        <w:spacing w:line="360" w:lineRule="auto"/>
        <w:jc w:val="both"/>
        <w:rPr>
          <w:rFonts w:asciiTheme="majorBidi" w:hAnsiTheme="majorBidi" w:cstheme="majorBidi"/>
          <w:b/>
        </w:rPr>
      </w:pPr>
    </w:p>
    <w:p w14:paraId="444999F9" w14:textId="41077791" w:rsidR="001B2B86" w:rsidRPr="00743FCB" w:rsidRDefault="001B2B86" w:rsidP="001B2B86">
      <w:pPr>
        <w:widowControl w:val="0"/>
        <w:autoSpaceDE w:val="0"/>
        <w:autoSpaceDN w:val="0"/>
        <w:adjustRightInd w:val="0"/>
        <w:spacing w:line="360" w:lineRule="auto"/>
        <w:jc w:val="both"/>
        <w:rPr>
          <w:rFonts w:asciiTheme="majorBidi" w:hAnsiTheme="majorBidi" w:cstheme="majorBidi"/>
          <w:b/>
        </w:rPr>
      </w:pPr>
      <w:r w:rsidRPr="00743FCB">
        <w:rPr>
          <w:rFonts w:asciiTheme="majorBidi" w:hAnsiTheme="majorBidi" w:cstheme="majorBidi"/>
          <w:b/>
        </w:rPr>
        <w:t>Data Synthesis and Analysis:</w:t>
      </w:r>
    </w:p>
    <w:p w14:paraId="56A4ADB0" w14:textId="512719D0" w:rsidR="001B2B86" w:rsidRPr="00743FCB" w:rsidRDefault="000F3A96" w:rsidP="003B35F7">
      <w:pPr>
        <w:widowControl w:val="0"/>
        <w:autoSpaceDE w:val="0"/>
        <w:autoSpaceDN w:val="0"/>
        <w:adjustRightInd w:val="0"/>
        <w:spacing w:line="360" w:lineRule="auto"/>
        <w:jc w:val="both"/>
        <w:rPr>
          <w:rFonts w:asciiTheme="majorBidi" w:hAnsiTheme="majorBidi" w:cstheme="majorBidi"/>
        </w:rPr>
      </w:pPr>
      <w:r w:rsidRPr="00743FCB">
        <w:rPr>
          <w:rFonts w:asciiTheme="majorBidi" w:hAnsiTheme="majorBidi" w:cstheme="majorBidi"/>
        </w:rPr>
        <w:t xml:space="preserve">       </w:t>
      </w:r>
      <w:r w:rsidR="00E350C8" w:rsidRPr="00E350C8">
        <w:rPr>
          <w:rFonts w:asciiTheme="majorBidi" w:hAnsiTheme="majorBidi" w:cstheme="majorBidi"/>
        </w:rPr>
        <w:t xml:space="preserve">We assessed the treatment effect on binary outcomes by using the risk ratio (RR) with the corresponding 95% confidence intervals (CIs). On the other hand, for continuous outcomes, the difference in mean changes from baseline between </w:t>
      </w:r>
      <w:proofErr w:type="spellStart"/>
      <w:r w:rsidR="00E350C8" w:rsidRPr="00E350C8">
        <w:rPr>
          <w:rFonts w:asciiTheme="majorBidi" w:hAnsiTheme="majorBidi" w:cstheme="majorBidi"/>
        </w:rPr>
        <w:t>ivabradine</w:t>
      </w:r>
      <w:proofErr w:type="spellEnd"/>
      <w:r w:rsidR="00E350C8" w:rsidRPr="00E350C8">
        <w:rPr>
          <w:rFonts w:asciiTheme="majorBidi" w:hAnsiTheme="majorBidi" w:cstheme="majorBidi"/>
        </w:rPr>
        <w:t xml:space="preserve"> and </w:t>
      </w:r>
      <w:r w:rsidR="003B35F7">
        <w:rPr>
          <w:rFonts w:asciiTheme="majorBidi" w:hAnsiTheme="majorBidi" w:cstheme="majorBidi"/>
        </w:rPr>
        <w:t>control</w:t>
      </w:r>
      <w:r w:rsidR="003B35F7" w:rsidRPr="00743FCB">
        <w:rPr>
          <w:rFonts w:asciiTheme="majorBidi" w:hAnsiTheme="majorBidi" w:cstheme="majorBidi"/>
        </w:rPr>
        <w:t xml:space="preserve"> </w:t>
      </w:r>
      <w:r w:rsidR="00E350C8" w:rsidRPr="00E350C8">
        <w:rPr>
          <w:rFonts w:asciiTheme="majorBidi" w:hAnsiTheme="majorBidi" w:cstheme="majorBidi"/>
        </w:rPr>
        <w:t xml:space="preserve">was calculated for each study included. We estimated the summary treatment effects by using random-effects model that is determined by the empirical Bayes method. We calculated a summary RR, and mean difference, between Ivabradine and </w:t>
      </w:r>
      <w:r w:rsidR="003B35F7">
        <w:rPr>
          <w:rFonts w:asciiTheme="majorBidi" w:hAnsiTheme="majorBidi" w:cstheme="majorBidi"/>
        </w:rPr>
        <w:t>control</w:t>
      </w:r>
      <w:r w:rsidR="00E350C8" w:rsidRPr="00E350C8">
        <w:rPr>
          <w:rFonts w:asciiTheme="majorBidi" w:hAnsiTheme="majorBidi" w:cstheme="majorBidi"/>
        </w:rPr>
        <w:t>, where suitable. We assessed statistical heterogeneity by using Cochran’s Q and I2 statistics. Heterogeneity were classified as I2 values Low &lt;25%, moderate 25% to 50%, and high-level &gt;50%.</w:t>
      </w:r>
    </w:p>
    <w:p w14:paraId="6B5479AD" w14:textId="77777777" w:rsidR="00D25E24" w:rsidRDefault="00D25E24" w:rsidP="001B2B86">
      <w:pPr>
        <w:spacing w:line="360" w:lineRule="auto"/>
        <w:jc w:val="both"/>
        <w:rPr>
          <w:rFonts w:asciiTheme="majorBidi" w:hAnsiTheme="majorBidi" w:cstheme="majorBidi"/>
          <w:b/>
          <w:bCs/>
        </w:rPr>
      </w:pPr>
    </w:p>
    <w:p w14:paraId="716EB86F" w14:textId="77777777" w:rsidR="001B2B86" w:rsidRPr="00743FCB" w:rsidRDefault="001B2B86" w:rsidP="001B2B86">
      <w:pPr>
        <w:spacing w:line="360" w:lineRule="auto"/>
        <w:jc w:val="both"/>
        <w:rPr>
          <w:rFonts w:asciiTheme="majorBidi" w:hAnsiTheme="majorBidi" w:cstheme="majorBidi"/>
          <w:b/>
          <w:bCs/>
        </w:rPr>
      </w:pPr>
      <w:r w:rsidRPr="00743FCB">
        <w:rPr>
          <w:rFonts w:asciiTheme="majorBidi" w:hAnsiTheme="majorBidi" w:cstheme="majorBidi"/>
          <w:b/>
          <w:bCs/>
        </w:rPr>
        <w:t>RESULTS</w:t>
      </w:r>
    </w:p>
    <w:p w14:paraId="3FA65C1B" w14:textId="77777777" w:rsidR="001B2B86" w:rsidRPr="00743FCB" w:rsidRDefault="001B2B86" w:rsidP="001B2B86">
      <w:pPr>
        <w:spacing w:line="360" w:lineRule="auto"/>
        <w:jc w:val="both"/>
        <w:rPr>
          <w:rFonts w:asciiTheme="majorBidi" w:hAnsiTheme="majorBidi" w:cstheme="majorBidi"/>
          <w:b/>
          <w:bCs/>
        </w:rPr>
      </w:pPr>
      <w:r w:rsidRPr="00743FCB">
        <w:rPr>
          <w:rFonts w:asciiTheme="majorBidi" w:hAnsiTheme="majorBidi" w:cstheme="majorBidi"/>
          <w:b/>
          <w:bCs/>
        </w:rPr>
        <w:t>Literature Search</w:t>
      </w:r>
    </w:p>
    <w:p w14:paraId="4F7A1710" w14:textId="6E744E83" w:rsidR="00597C5F" w:rsidRPr="00743FCB" w:rsidRDefault="008E0EEF" w:rsidP="003E4C8B">
      <w:pPr>
        <w:spacing w:line="360" w:lineRule="auto"/>
        <w:jc w:val="both"/>
        <w:rPr>
          <w:rFonts w:asciiTheme="majorBidi" w:hAnsiTheme="majorBidi" w:cstheme="majorBidi"/>
        </w:rPr>
      </w:pPr>
      <w:r w:rsidRPr="00743FCB">
        <w:rPr>
          <w:rFonts w:asciiTheme="majorBidi" w:hAnsiTheme="majorBidi" w:cstheme="majorBidi"/>
          <w:noProof/>
        </w:rPr>
        <w:lastRenderedPageBreak/>
        <mc:AlternateContent>
          <mc:Choice Requires="wps">
            <w:drawing>
              <wp:anchor distT="0" distB="0" distL="114300" distR="114300" simplePos="0" relativeHeight="251768832" behindDoc="1" locked="0" layoutInCell="1" allowOverlap="1" wp14:anchorId="59167E11" wp14:editId="13C307A0">
                <wp:simplePos x="0" y="0"/>
                <wp:positionH relativeFrom="column">
                  <wp:posOffset>852805</wp:posOffset>
                </wp:positionH>
                <wp:positionV relativeFrom="paragraph">
                  <wp:posOffset>4804410</wp:posOffset>
                </wp:positionV>
                <wp:extent cx="4001770" cy="274320"/>
                <wp:effectExtent l="0" t="0" r="17780" b="11430"/>
                <wp:wrapTight wrapText="bothSides">
                  <wp:wrapPolygon edited="0">
                    <wp:start x="0" y="0"/>
                    <wp:lineTo x="0" y="21000"/>
                    <wp:lineTo x="21593" y="21000"/>
                    <wp:lineTo x="2159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4001770" cy="274320"/>
                        </a:xfrm>
                        <a:prstGeom prst="rect">
                          <a:avLst/>
                        </a:prstGeom>
                        <a:ln/>
                      </wps:spPr>
                      <wps:style>
                        <a:lnRef idx="2">
                          <a:schemeClr val="dk1"/>
                        </a:lnRef>
                        <a:fillRef idx="1">
                          <a:schemeClr val="lt1"/>
                        </a:fillRef>
                        <a:effectRef idx="0">
                          <a:schemeClr val="dk1"/>
                        </a:effectRef>
                        <a:fontRef idx="minor">
                          <a:schemeClr val="dk1"/>
                        </a:fontRef>
                      </wps:style>
                      <wps:txbx>
                        <w:txbxContent>
                          <w:p w14:paraId="46D32AD0" w14:textId="77777777" w:rsidR="00792B85" w:rsidRPr="00D3141F" w:rsidRDefault="00792B85" w:rsidP="00792B85">
                            <w:pPr>
                              <w:jc w:val="center"/>
                              <w:rPr>
                                <w:rFonts w:asciiTheme="majorBidi" w:hAnsiTheme="majorBidi" w:cstheme="majorBidi"/>
                                <w:b/>
                                <w:bCs/>
                                <w:sz w:val="21"/>
                                <w:szCs w:val="21"/>
                              </w:rPr>
                            </w:pPr>
                            <w:r w:rsidRPr="00917A33">
                              <w:rPr>
                                <w:rFonts w:asciiTheme="majorBidi" w:hAnsiTheme="majorBidi" w:cstheme="majorBidi"/>
                                <w:b/>
                                <w:bCs/>
                                <w:sz w:val="21"/>
                                <w:szCs w:val="21"/>
                              </w:rPr>
                              <w:t xml:space="preserve">Figure 1: </w:t>
                            </w:r>
                            <w:r w:rsidRPr="00D3141F">
                              <w:rPr>
                                <w:rFonts w:asciiTheme="majorBidi" w:hAnsiTheme="majorBidi" w:cstheme="majorBidi"/>
                                <w:b/>
                                <w:bCs/>
                                <w:sz w:val="21"/>
                                <w:szCs w:val="21"/>
                              </w:rPr>
                              <w:t>PRISMA flow diagram of evidence search and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167E11" id="_x0000_t202" coordsize="21600,21600" o:spt="202" path="m0,0l0,21600,21600,21600,21600,0xe">
                <v:stroke joinstyle="miter"/>
                <v:path gradientshapeok="t" o:connecttype="rect"/>
              </v:shapetype>
              <v:shape id="Text Box 16" o:spid="_x0000_s1026" type="#_x0000_t202" style="position:absolute;left:0;text-align:left;margin-left:67.15pt;margin-top:378.3pt;width:315.1pt;height:21.6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" fillcolor="white [3201]" strokecolor="black [3200]" strokeweight="1pt">
                <v:textbox>
                  <w:txbxContent>
                    <w:p w14:paraId="46D32AD0" w14:textId="77777777" w:rsidR="00792B85" w:rsidRPr="00D3141F" w:rsidRDefault="00792B85" w:rsidP="00792B85">
                      <w:pPr>
                        <w:jc w:val="center"/>
                        <w:rPr>
                          <w:rFonts w:asciiTheme="majorBidi" w:hAnsiTheme="majorBidi" w:cstheme="majorBidi"/>
                          <w:b/>
                          <w:bCs/>
                          <w:sz w:val="21"/>
                          <w:szCs w:val="21"/>
                        </w:rPr>
                      </w:pPr>
                      <w:r w:rsidRPr="00917A33">
                        <w:rPr>
                          <w:rFonts w:asciiTheme="majorBidi" w:hAnsiTheme="majorBidi" w:cstheme="majorBidi"/>
                          <w:b/>
                          <w:bCs/>
                          <w:sz w:val="21"/>
                          <w:szCs w:val="21"/>
                        </w:rPr>
                        <w:t xml:space="preserve">Figure 1: </w:t>
                      </w:r>
                      <w:r w:rsidRPr="00D3141F">
                        <w:rPr>
                          <w:rFonts w:asciiTheme="majorBidi" w:hAnsiTheme="majorBidi" w:cstheme="majorBidi"/>
                          <w:b/>
                          <w:bCs/>
                          <w:sz w:val="21"/>
                          <w:szCs w:val="21"/>
                        </w:rPr>
                        <w:t>PRISMA flow diagram of evidence search and selection.</w:t>
                      </w:r>
                    </w:p>
                  </w:txbxContent>
                </v:textbox>
                <w10:wrap type="tight"/>
              </v:shape>
            </w:pict>
          </mc:Fallback>
        </mc:AlternateContent>
      </w:r>
      <w:r w:rsidR="00792B85">
        <w:rPr>
          <w:noProof/>
        </w:rPr>
        <w:drawing>
          <wp:anchor distT="0" distB="0" distL="114300" distR="114300" simplePos="0" relativeHeight="251766784" behindDoc="0" locked="0" layoutInCell="1" allowOverlap="1" wp14:anchorId="558163D9" wp14:editId="476FCFD9">
            <wp:simplePos x="0" y="0"/>
            <wp:positionH relativeFrom="margin">
              <wp:posOffset>171450</wp:posOffset>
            </wp:positionH>
            <wp:positionV relativeFrom="margin">
              <wp:posOffset>921385</wp:posOffset>
            </wp:positionV>
            <wp:extent cx="5293995" cy="3766820"/>
            <wp:effectExtent l="76200" t="76200" r="141605" b="144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93995" cy="376682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B2B86" w:rsidRPr="00743FCB">
        <w:rPr>
          <w:rFonts w:asciiTheme="majorBidi" w:hAnsiTheme="majorBidi" w:cstheme="majorBidi"/>
          <w:b/>
          <w:bCs/>
        </w:rPr>
        <w:t xml:space="preserve">      </w:t>
      </w:r>
      <w:r w:rsidR="001B2B86" w:rsidRPr="00743FCB">
        <w:rPr>
          <w:rFonts w:asciiTheme="majorBidi" w:hAnsiTheme="majorBidi" w:cstheme="majorBidi"/>
        </w:rPr>
        <w:t xml:space="preserve">Figure 1 summarizes our search yield. We screened 1721citations.A total of 37 articles were retrieved for full-text review; of those, </w:t>
      </w:r>
      <w:r w:rsidR="003E4C8B">
        <w:rPr>
          <w:rFonts w:asciiTheme="majorBidi" w:hAnsiTheme="majorBidi" w:cstheme="majorBidi"/>
        </w:rPr>
        <w:t>6</w:t>
      </w:r>
      <w:r w:rsidR="001B2B86" w:rsidRPr="00743FCB">
        <w:rPr>
          <w:rFonts w:asciiTheme="majorBidi" w:hAnsiTheme="majorBidi" w:cstheme="majorBidi"/>
        </w:rPr>
        <w:t xml:space="preserve"> RCTs met our inclusion criteria with 17</w:t>
      </w:r>
      <w:r w:rsidR="003E4C8B">
        <w:rPr>
          <w:rFonts w:asciiTheme="majorBidi" w:hAnsiTheme="majorBidi" w:cstheme="majorBidi"/>
        </w:rPr>
        <w:t>886</w:t>
      </w:r>
      <w:r w:rsidR="001B2B86" w:rsidRPr="00743FCB">
        <w:rPr>
          <w:rFonts w:asciiTheme="majorBidi" w:hAnsiTheme="majorBidi" w:cstheme="majorBidi"/>
        </w:rPr>
        <w:t xml:space="preserve"> patients included in the systematic review and meta-analysis.</w:t>
      </w:r>
    </w:p>
    <w:p w14:paraId="6C28534B" w14:textId="1AD81397" w:rsidR="001B2B86" w:rsidRPr="00743FCB" w:rsidRDefault="001B2B86" w:rsidP="005503E8">
      <w:pPr>
        <w:spacing w:line="360" w:lineRule="auto"/>
        <w:jc w:val="center"/>
        <w:rPr>
          <w:rFonts w:asciiTheme="majorBidi" w:hAnsiTheme="majorBidi" w:cstheme="majorBidi"/>
        </w:rPr>
      </w:pPr>
    </w:p>
    <w:p w14:paraId="62105C21" w14:textId="0B8E76E5" w:rsidR="001B2B86" w:rsidRPr="00743FCB" w:rsidRDefault="001B2B86" w:rsidP="001B2B86">
      <w:pPr>
        <w:spacing w:line="360" w:lineRule="auto"/>
        <w:jc w:val="both"/>
        <w:rPr>
          <w:rFonts w:asciiTheme="majorBidi" w:hAnsiTheme="majorBidi" w:cstheme="majorBidi"/>
        </w:rPr>
      </w:pPr>
    </w:p>
    <w:p w14:paraId="4F21684D" w14:textId="77777777" w:rsidR="001B2B86" w:rsidRPr="00743FCB" w:rsidRDefault="001B2B86" w:rsidP="001B2B86">
      <w:pPr>
        <w:spacing w:line="360" w:lineRule="auto"/>
        <w:jc w:val="both"/>
        <w:rPr>
          <w:rFonts w:asciiTheme="majorBidi" w:hAnsiTheme="majorBidi" w:cstheme="majorBidi"/>
          <w:b/>
          <w:bCs/>
        </w:rPr>
      </w:pPr>
      <w:r w:rsidRPr="00743FCB">
        <w:rPr>
          <w:rFonts w:asciiTheme="majorBidi" w:hAnsiTheme="majorBidi" w:cstheme="majorBidi"/>
          <w:b/>
          <w:bCs/>
        </w:rPr>
        <w:t xml:space="preserve">Trial Characteristics </w:t>
      </w:r>
    </w:p>
    <w:p w14:paraId="06EAF2E8" w14:textId="3CDEEFF5" w:rsidR="00217C67" w:rsidRPr="00743FCB" w:rsidRDefault="001B2B86" w:rsidP="00710D92">
      <w:pPr>
        <w:widowControl w:val="0"/>
        <w:autoSpaceDE w:val="0"/>
        <w:autoSpaceDN w:val="0"/>
        <w:adjustRightInd w:val="0"/>
        <w:spacing w:line="360" w:lineRule="auto"/>
        <w:jc w:val="both"/>
        <w:rPr>
          <w:rFonts w:asciiTheme="majorBidi" w:hAnsiTheme="majorBidi" w:cstheme="majorBidi"/>
        </w:rPr>
      </w:pPr>
      <w:r w:rsidRPr="00743FCB">
        <w:rPr>
          <w:rFonts w:asciiTheme="majorBidi" w:hAnsiTheme="majorBidi" w:cstheme="majorBidi"/>
        </w:rPr>
        <w:t xml:space="preserve">     Table </w:t>
      </w:r>
      <w:r w:rsidR="00552FF5" w:rsidRPr="00743FCB">
        <w:rPr>
          <w:rFonts w:asciiTheme="majorBidi" w:hAnsiTheme="majorBidi" w:cstheme="majorBidi"/>
        </w:rPr>
        <w:t>1</w:t>
      </w:r>
      <w:r w:rsidRPr="00743FCB">
        <w:rPr>
          <w:rFonts w:asciiTheme="majorBidi" w:hAnsiTheme="majorBidi" w:cstheme="majorBidi"/>
        </w:rPr>
        <w:t xml:space="preserve"> summarizes the characteristics of the included RCTs, which were published between 2008 and 201</w:t>
      </w:r>
      <w:r w:rsidR="003E4C8B">
        <w:rPr>
          <w:rFonts w:asciiTheme="majorBidi" w:hAnsiTheme="majorBidi" w:cstheme="majorBidi"/>
        </w:rPr>
        <w:t>7</w:t>
      </w:r>
      <w:r w:rsidRPr="00743FCB">
        <w:rPr>
          <w:rFonts w:asciiTheme="majorBidi" w:hAnsiTheme="majorBidi" w:cstheme="majorBidi"/>
        </w:rPr>
        <w:t xml:space="preserve">. </w:t>
      </w:r>
      <w:r w:rsidR="003E4C8B">
        <w:rPr>
          <w:rFonts w:asciiTheme="majorBidi" w:hAnsiTheme="majorBidi" w:cstheme="majorBidi"/>
        </w:rPr>
        <w:t>Six</w:t>
      </w:r>
      <w:r w:rsidRPr="00743FCB">
        <w:rPr>
          <w:rFonts w:asciiTheme="majorBidi" w:hAnsiTheme="majorBidi" w:cstheme="majorBidi"/>
        </w:rPr>
        <w:t xml:space="preserve"> </w:t>
      </w:r>
      <w:r w:rsidR="003E4C8B">
        <w:rPr>
          <w:rFonts w:asciiTheme="majorBidi" w:hAnsiTheme="majorBidi" w:cstheme="majorBidi"/>
        </w:rPr>
        <w:t>RCTs met our inclusion criteria.</w:t>
      </w:r>
      <w:r w:rsidR="00722A9F">
        <w:rPr>
          <w:rFonts w:asciiTheme="majorBidi" w:hAnsiTheme="majorBidi" w:cstheme="majorBidi"/>
        </w:rPr>
        <w:t xml:space="preserve"> </w:t>
      </w:r>
      <w:r w:rsidRPr="00743FCB">
        <w:rPr>
          <w:rFonts w:asciiTheme="majorBidi" w:hAnsiTheme="majorBidi" w:cstheme="majorBidi"/>
        </w:rPr>
        <w:t xml:space="preserve">The </w:t>
      </w:r>
      <w:r w:rsidR="003E4C8B">
        <w:rPr>
          <w:rFonts w:asciiTheme="majorBidi" w:hAnsiTheme="majorBidi" w:cstheme="majorBidi"/>
        </w:rPr>
        <w:t>Six</w:t>
      </w:r>
      <w:r w:rsidRPr="00743FCB">
        <w:rPr>
          <w:rFonts w:asciiTheme="majorBidi" w:hAnsiTheme="majorBidi" w:cstheme="majorBidi"/>
        </w:rPr>
        <w:t xml:space="preserve"> studies</w:t>
      </w:r>
      <w:r w:rsidR="007E5545">
        <w:rPr>
          <w:rFonts w:asciiTheme="majorBidi" w:hAnsiTheme="majorBidi" w:cstheme="majorBidi"/>
        </w:rPr>
        <w:t xml:space="preserve"> </w:t>
      </w:r>
      <w:r w:rsidR="007E5545">
        <w:rPr>
          <w:rFonts w:asciiTheme="majorBidi" w:hAnsiTheme="majorBidi" w:cstheme="majorBidi"/>
          <w:vertAlign w:val="superscript"/>
        </w:rPr>
        <w:t>(6</w:t>
      </w:r>
      <w:proofErr w:type="gramStart"/>
      <w:r w:rsidR="007E5545">
        <w:rPr>
          <w:rFonts w:asciiTheme="majorBidi" w:hAnsiTheme="majorBidi" w:cstheme="majorBidi"/>
          <w:vertAlign w:val="superscript"/>
        </w:rPr>
        <w:t>),(</w:t>
      </w:r>
      <w:proofErr w:type="gramEnd"/>
      <w:r w:rsidR="007E5545">
        <w:rPr>
          <w:rFonts w:asciiTheme="majorBidi" w:hAnsiTheme="majorBidi" w:cstheme="majorBidi"/>
          <w:vertAlign w:val="superscript"/>
        </w:rPr>
        <w:t>7),(</w:t>
      </w:r>
      <w:r w:rsidR="002137FC">
        <w:rPr>
          <w:rFonts w:asciiTheme="majorBidi" w:hAnsiTheme="majorBidi" w:cstheme="majorBidi"/>
          <w:vertAlign w:val="superscript"/>
        </w:rPr>
        <w:t>8</w:t>
      </w:r>
      <w:r w:rsidR="007E5545">
        <w:rPr>
          <w:rFonts w:asciiTheme="majorBidi" w:hAnsiTheme="majorBidi" w:cstheme="majorBidi"/>
          <w:vertAlign w:val="superscript"/>
        </w:rPr>
        <w:t>)</w:t>
      </w:r>
      <w:r w:rsidR="00722A9F">
        <w:rPr>
          <w:rFonts w:asciiTheme="majorBidi" w:hAnsiTheme="majorBidi" w:cstheme="majorBidi"/>
          <w:vertAlign w:val="superscript"/>
        </w:rPr>
        <w:t>,(9),(10),(11)</w:t>
      </w:r>
      <w:r w:rsidRPr="00743FCB">
        <w:rPr>
          <w:rFonts w:asciiTheme="majorBidi" w:hAnsiTheme="majorBidi" w:cstheme="majorBidi"/>
        </w:rPr>
        <w:t xml:space="preserve"> included adult patients with mean age between 60 to </w:t>
      </w:r>
      <w:r w:rsidR="000A3D67">
        <w:rPr>
          <w:rFonts w:asciiTheme="majorBidi" w:hAnsiTheme="majorBidi" w:cstheme="majorBidi"/>
        </w:rPr>
        <w:t>73 years</w:t>
      </w:r>
      <w:r w:rsidRPr="00743FCB">
        <w:rPr>
          <w:rFonts w:asciiTheme="majorBidi" w:hAnsiTheme="majorBidi" w:cstheme="majorBidi"/>
        </w:rPr>
        <w:t>.</w:t>
      </w:r>
      <w:r w:rsidRPr="00743FCB">
        <w:rPr>
          <w:rFonts w:asciiTheme="majorBidi" w:hAnsiTheme="majorBidi" w:cstheme="majorBidi"/>
          <w:rtl/>
        </w:rPr>
        <w:t xml:space="preserve"> </w:t>
      </w:r>
      <w:r w:rsidR="000A3D67">
        <w:rPr>
          <w:rFonts w:asciiTheme="majorBidi" w:hAnsiTheme="majorBidi" w:cstheme="majorBidi"/>
        </w:rPr>
        <w:t xml:space="preserve">Two studies included heart failure with preserved ejection fraction, and four studies included heart failure patients with reduced ejection fraction, </w:t>
      </w:r>
      <w:r w:rsidR="007B5EE2">
        <w:rPr>
          <w:rFonts w:asciiTheme="majorBidi" w:hAnsiTheme="majorBidi" w:cstheme="majorBidi"/>
        </w:rPr>
        <w:t xml:space="preserve">of these </w:t>
      </w:r>
      <w:r w:rsidR="000A3D67">
        <w:rPr>
          <w:rFonts w:asciiTheme="majorBidi" w:hAnsiTheme="majorBidi" w:cstheme="majorBidi"/>
        </w:rPr>
        <w:t xml:space="preserve">two </w:t>
      </w:r>
      <w:r w:rsidR="007B5EE2">
        <w:rPr>
          <w:rFonts w:asciiTheme="majorBidi" w:hAnsiTheme="majorBidi" w:cstheme="majorBidi"/>
        </w:rPr>
        <w:t xml:space="preserve">were with </w:t>
      </w:r>
      <w:r w:rsidR="000A3D67">
        <w:rPr>
          <w:rFonts w:asciiTheme="majorBidi" w:hAnsiTheme="majorBidi" w:cstheme="majorBidi"/>
        </w:rPr>
        <w:t>coronary artery disease</w:t>
      </w:r>
      <w:r w:rsidR="00746ADA">
        <w:rPr>
          <w:rFonts w:asciiTheme="majorBidi" w:hAnsiTheme="majorBidi" w:cstheme="majorBidi"/>
        </w:rPr>
        <w:t>.</w:t>
      </w:r>
      <w:r w:rsidRPr="00743FCB">
        <w:rPr>
          <w:rFonts w:asciiTheme="majorBidi" w:hAnsiTheme="majorBidi" w:cstheme="majorBidi"/>
          <w:rtl/>
        </w:rPr>
        <w:t xml:space="preserve"> </w:t>
      </w:r>
      <w:r w:rsidRPr="00743FCB">
        <w:rPr>
          <w:rFonts w:asciiTheme="majorBidi" w:hAnsiTheme="majorBidi" w:cstheme="majorBidi"/>
        </w:rPr>
        <w:t>The main exclusion criteria were all patients with recent myocardial infraction within the previous six months. Overall, 17</w:t>
      </w:r>
      <w:r w:rsidR="00746ADA">
        <w:rPr>
          <w:rFonts w:asciiTheme="majorBidi" w:hAnsiTheme="majorBidi" w:cstheme="majorBidi"/>
        </w:rPr>
        <w:t>886</w:t>
      </w:r>
      <w:r w:rsidRPr="00743FCB">
        <w:rPr>
          <w:rFonts w:asciiTheme="majorBidi" w:hAnsiTheme="majorBidi" w:cstheme="majorBidi"/>
        </w:rPr>
        <w:t xml:space="preserve"> patients were randomly assigned to receive either Ivabradine or </w:t>
      </w:r>
      <w:r w:rsidR="003B35F7">
        <w:rPr>
          <w:rFonts w:asciiTheme="majorBidi" w:hAnsiTheme="majorBidi" w:cstheme="majorBidi"/>
        </w:rPr>
        <w:t>control</w:t>
      </w:r>
      <w:r w:rsidRPr="00743FCB">
        <w:rPr>
          <w:rFonts w:asciiTheme="majorBidi" w:hAnsiTheme="majorBidi" w:cstheme="majorBidi"/>
        </w:rPr>
        <w:t xml:space="preserve">. Beta-blockers, Aspirin, Diuretics, Angiotensin-converting enzyme(ACEI) or Angiotensin II receptor blockers (ARBs) were used as concomitant treatments by all patients in </w:t>
      </w:r>
      <w:r w:rsidR="008D1AF3">
        <w:rPr>
          <w:rFonts w:asciiTheme="majorBidi" w:hAnsiTheme="majorBidi" w:cstheme="majorBidi"/>
        </w:rPr>
        <w:t>five</w:t>
      </w:r>
      <w:r w:rsidRPr="00743FCB">
        <w:rPr>
          <w:rFonts w:asciiTheme="majorBidi" w:hAnsiTheme="majorBidi" w:cstheme="majorBidi"/>
        </w:rPr>
        <w:t xml:space="preserve"> studies, whereas the </w:t>
      </w:r>
      <w:r w:rsidR="008D1AF3">
        <w:rPr>
          <w:rFonts w:asciiTheme="majorBidi" w:hAnsiTheme="majorBidi" w:cstheme="majorBidi"/>
        </w:rPr>
        <w:t>sixth</w:t>
      </w:r>
      <w:r w:rsidRPr="00743FCB">
        <w:rPr>
          <w:rFonts w:asciiTheme="majorBidi" w:hAnsiTheme="majorBidi" w:cstheme="majorBidi"/>
        </w:rPr>
        <w:t xml:space="preserve"> study used </w:t>
      </w:r>
      <w:proofErr w:type="spellStart"/>
      <w:r w:rsidRPr="00743FCB">
        <w:rPr>
          <w:rFonts w:asciiTheme="majorBidi" w:hAnsiTheme="majorBidi" w:cstheme="majorBidi"/>
        </w:rPr>
        <w:t>Abciximab</w:t>
      </w:r>
      <w:proofErr w:type="spellEnd"/>
      <w:r w:rsidRPr="00743FCB">
        <w:rPr>
          <w:rFonts w:asciiTheme="majorBidi" w:hAnsiTheme="majorBidi" w:cstheme="majorBidi"/>
        </w:rPr>
        <w:t xml:space="preserve"> in addition to nitrates, aspirin, </w:t>
      </w:r>
      <w:proofErr w:type="spellStart"/>
      <w:r w:rsidRPr="00743FCB">
        <w:rPr>
          <w:rFonts w:asciiTheme="majorBidi" w:hAnsiTheme="majorBidi" w:cstheme="majorBidi"/>
        </w:rPr>
        <w:t>clopidogrel</w:t>
      </w:r>
      <w:proofErr w:type="spellEnd"/>
      <w:r w:rsidRPr="00743FCB">
        <w:rPr>
          <w:rFonts w:asciiTheme="majorBidi" w:hAnsiTheme="majorBidi" w:cstheme="majorBidi"/>
        </w:rPr>
        <w:t xml:space="preserve">, statin and ACEI as concurrent treatment. Mean HR at </w:t>
      </w:r>
      <w:r w:rsidRPr="00743FCB">
        <w:rPr>
          <w:rFonts w:asciiTheme="majorBidi" w:hAnsiTheme="majorBidi" w:cstheme="majorBidi"/>
        </w:rPr>
        <w:lastRenderedPageBreak/>
        <w:t xml:space="preserve">baseline was between 71bpm and 92 bpm and mean ejection fraction at baseline was between 29% and </w:t>
      </w:r>
      <w:r w:rsidR="00162879">
        <w:rPr>
          <w:rFonts w:asciiTheme="majorBidi" w:hAnsiTheme="majorBidi" w:cstheme="majorBidi"/>
        </w:rPr>
        <w:t>69</w:t>
      </w:r>
      <w:r w:rsidRPr="00743FCB">
        <w:rPr>
          <w:rFonts w:asciiTheme="majorBidi" w:hAnsiTheme="majorBidi" w:cstheme="majorBidi"/>
        </w:rPr>
        <w:t xml:space="preserve">%. We included </w:t>
      </w:r>
      <w:r w:rsidR="006806D4">
        <w:rPr>
          <w:rFonts w:asciiTheme="majorBidi" w:hAnsiTheme="majorBidi" w:cstheme="majorBidi"/>
        </w:rPr>
        <w:t>six</w:t>
      </w:r>
      <w:r w:rsidRPr="00743FCB">
        <w:rPr>
          <w:rFonts w:asciiTheme="majorBidi" w:hAnsiTheme="majorBidi" w:cstheme="majorBidi"/>
        </w:rPr>
        <w:t xml:space="preserve"> </w:t>
      </w:r>
      <w:r w:rsidR="006806D4">
        <w:rPr>
          <w:rFonts w:asciiTheme="majorBidi" w:hAnsiTheme="majorBidi" w:cstheme="majorBidi"/>
        </w:rPr>
        <w:t>RCT</w:t>
      </w:r>
      <w:r w:rsidRPr="00743FCB">
        <w:rPr>
          <w:rFonts w:asciiTheme="majorBidi" w:hAnsiTheme="majorBidi" w:cstheme="majorBidi"/>
        </w:rPr>
        <w:t xml:space="preserve">, and </w:t>
      </w:r>
      <w:r w:rsidR="006806D4">
        <w:rPr>
          <w:rFonts w:asciiTheme="majorBidi" w:hAnsiTheme="majorBidi" w:cstheme="majorBidi"/>
        </w:rPr>
        <w:t>four</w:t>
      </w:r>
      <w:r w:rsidRPr="00743FCB">
        <w:rPr>
          <w:rFonts w:asciiTheme="majorBidi" w:hAnsiTheme="majorBidi" w:cstheme="majorBidi"/>
        </w:rPr>
        <w:t xml:space="preserve"> RCTs were multicenter. Treatment duration ranged from </w:t>
      </w:r>
      <w:r w:rsidR="006806D4">
        <w:rPr>
          <w:rFonts w:asciiTheme="majorBidi" w:hAnsiTheme="majorBidi" w:cstheme="majorBidi"/>
        </w:rPr>
        <w:t>7 days</w:t>
      </w:r>
      <w:r w:rsidRPr="00743FCB">
        <w:rPr>
          <w:rFonts w:asciiTheme="majorBidi" w:hAnsiTheme="majorBidi" w:cstheme="majorBidi"/>
        </w:rPr>
        <w:t xml:space="preserve"> to 32 months. </w:t>
      </w:r>
    </w:p>
    <w:tbl>
      <w:tblPr>
        <w:tblStyle w:val="GridTable1Light1"/>
        <w:tblpPr w:leftFromText="180" w:rightFromText="180" w:vertAnchor="text" w:horzAnchor="page" w:tblpXSpec="center" w:tblpY="73"/>
        <w:tblW w:w="9406" w:type="dxa"/>
        <w:tblLook w:val="04A0" w:firstRow="1" w:lastRow="0" w:firstColumn="1" w:lastColumn="0" w:noHBand="0" w:noVBand="1"/>
      </w:tblPr>
      <w:tblGrid>
        <w:gridCol w:w="1781"/>
        <w:gridCol w:w="1632"/>
        <w:gridCol w:w="1580"/>
        <w:gridCol w:w="1300"/>
        <w:gridCol w:w="810"/>
        <w:gridCol w:w="900"/>
        <w:gridCol w:w="1403"/>
      </w:tblGrid>
      <w:tr w:rsidR="00217C67" w:rsidRPr="003A123F" w14:paraId="5FE1E9C0" w14:textId="77777777" w:rsidTr="000C1353">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0" w:type="auto"/>
            <w:shd w:val="clear" w:color="auto" w:fill="D0CECE" w:themeFill="background2" w:themeFillShade="E6"/>
            <w:hideMark/>
          </w:tcPr>
          <w:p w14:paraId="7B99EDF7" w14:textId="77777777" w:rsidR="00217C67" w:rsidRPr="003A123F" w:rsidRDefault="00217C67" w:rsidP="000C1353">
            <w:pPr>
              <w:jc w:val="center"/>
            </w:pPr>
            <w:r w:rsidRPr="003A123F">
              <w:t>Study, Year</w:t>
            </w:r>
          </w:p>
        </w:tc>
        <w:tc>
          <w:tcPr>
            <w:tcW w:w="1632" w:type="dxa"/>
            <w:shd w:val="clear" w:color="auto" w:fill="D0CECE" w:themeFill="background2" w:themeFillShade="E6"/>
            <w:hideMark/>
          </w:tcPr>
          <w:p w14:paraId="5B4B23C0" w14:textId="77777777" w:rsidR="00217C67" w:rsidRPr="003A123F" w:rsidRDefault="00217C67" w:rsidP="000C1353">
            <w:pPr>
              <w:cnfStyle w:val="100000000000" w:firstRow="1" w:lastRow="0" w:firstColumn="0" w:lastColumn="0" w:oddVBand="0" w:evenVBand="0" w:oddHBand="0" w:evenHBand="0" w:firstRowFirstColumn="0" w:firstRowLastColumn="0" w:lastRowFirstColumn="0" w:lastRowLastColumn="0"/>
            </w:pPr>
            <w:r w:rsidRPr="003A123F">
              <w:t>Population</w:t>
            </w:r>
          </w:p>
        </w:tc>
        <w:tc>
          <w:tcPr>
            <w:tcW w:w="1580" w:type="dxa"/>
            <w:shd w:val="clear" w:color="auto" w:fill="D0CECE" w:themeFill="background2" w:themeFillShade="E6"/>
            <w:hideMark/>
          </w:tcPr>
          <w:p w14:paraId="6CA762E0" w14:textId="77777777" w:rsidR="00217C67" w:rsidRPr="003A123F" w:rsidRDefault="00217C67" w:rsidP="000C1353">
            <w:pPr>
              <w:cnfStyle w:val="100000000000" w:firstRow="1" w:lastRow="0" w:firstColumn="0" w:lastColumn="0" w:oddVBand="0" w:evenVBand="0" w:oddHBand="0" w:evenHBand="0" w:firstRowFirstColumn="0" w:firstRowLastColumn="0" w:lastRowFirstColumn="0" w:lastRowLastColumn="0"/>
            </w:pPr>
            <w:r w:rsidRPr="003A123F">
              <w:t>Treatment Groups</w:t>
            </w:r>
          </w:p>
        </w:tc>
        <w:tc>
          <w:tcPr>
            <w:tcW w:w="1300" w:type="dxa"/>
            <w:shd w:val="clear" w:color="auto" w:fill="D0CECE" w:themeFill="background2" w:themeFillShade="E6"/>
            <w:hideMark/>
          </w:tcPr>
          <w:p w14:paraId="6C891B51" w14:textId="77777777" w:rsidR="00217C67" w:rsidRPr="003A123F" w:rsidRDefault="00217C67" w:rsidP="000C1353">
            <w:pPr>
              <w:cnfStyle w:val="100000000000" w:firstRow="1" w:lastRow="0" w:firstColumn="0" w:lastColumn="0" w:oddVBand="0" w:evenVBand="0" w:oddHBand="0" w:evenHBand="0" w:firstRowFirstColumn="0" w:firstRowLastColumn="0" w:lastRowFirstColumn="0" w:lastRowLastColumn="0"/>
            </w:pPr>
            <w:r w:rsidRPr="003A123F">
              <w:t>Patients, n</w:t>
            </w:r>
          </w:p>
        </w:tc>
        <w:tc>
          <w:tcPr>
            <w:tcW w:w="810" w:type="dxa"/>
            <w:shd w:val="clear" w:color="auto" w:fill="D0CECE" w:themeFill="background2" w:themeFillShade="E6"/>
            <w:hideMark/>
          </w:tcPr>
          <w:p w14:paraId="62E9DAA6" w14:textId="77777777" w:rsidR="00217C67" w:rsidRPr="003A123F" w:rsidRDefault="00217C67" w:rsidP="000C1353">
            <w:pPr>
              <w:cnfStyle w:val="100000000000" w:firstRow="1" w:lastRow="0" w:firstColumn="0" w:lastColumn="0" w:oddVBand="0" w:evenVBand="0" w:oddHBand="0" w:evenHBand="0" w:firstRowFirstColumn="0" w:firstRowLastColumn="0" w:lastRowFirstColumn="0" w:lastRowLastColumn="0"/>
            </w:pPr>
            <w:r w:rsidRPr="003A123F">
              <w:t>Age, y</w:t>
            </w:r>
          </w:p>
        </w:tc>
        <w:tc>
          <w:tcPr>
            <w:tcW w:w="900" w:type="dxa"/>
            <w:shd w:val="clear" w:color="auto" w:fill="D0CECE" w:themeFill="background2" w:themeFillShade="E6"/>
            <w:hideMark/>
          </w:tcPr>
          <w:p w14:paraId="4076059F" w14:textId="77777777" w:rsidR="00217C67" w:rsidRPr="003A123F" w:rsidRDefault="00217C67" w:rsidP="000C1353">
            <w:pPr>
              <w:cnfStyle w:val="100000000000" w:firstRow="1" w:lastRow="0" w:firstColumn="0" w:lastColumn="0" w:oddVBand="0" w:evenVBand="0" w:oddHBand="0" w:evenHBand="0" w:firstRowFirstColumn="0" w:firstRowLastColumn="0" w:lastRowFirstColumn="0" w:lastRowLastColumn="0"/>
            </w:pPr>
            <w:r w:rsidRPr="003A123F">
              <w:t>EF, %</w:t>
            </w:r>
          </w:p>
        </w:tc>
        <w:tc>
          <w:tcPr>
            <w:tcW w:w="1403" w:type="dxa"/>
            <w:shd w:val="clear" w:color="auto" w:fill="D0CECE" w:themeFill="background2" w:themeFillShade="E6"/>
            <w:hideMark/>
          </w:tcPr>
          <w:p w14:paraId="0AC26D25" w14:textId="77777777" w:rsidR="00217C67" w:rsidRPr="003A123F" w:rsidRDefault="00217C67" w:rsidP="000C1353">
            <w:pPr>
              <w:cnfStyle w:val="100000000000" w:firstRow="1" w:lastRow="0" w:firstColumn="0" w:lastColumn="0" w:oddVBand="0" w:evenVBand="0" w:oddHBand="0" w:evenHBand="0" w:firstRowFirstColumn="0" w:firstRowLastColumn="0" w:lastRowFirstColumn="0" w:lastRowLastColumn="0"/>
            </w:pPr>
            <w:r w:rsidRPr="003A123F">
              <w:t>Treatment Duration</w:t>
            </w:r>
          </w:p>
        </w:tc>
      </w:tr>
      <w:tr w:rsidR="00217C67" w:rsidRPr="003A123F" w14:paraId="3DB8BE02" w14:textId="77777777" w:rsidTr="000C1353">
        <w:trPr>
          <w:trHeight w:val="55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hideMark/>
          </w:tcPr>
          <w:p w14:paraId="78D14543" w14:textId="1889255A" w:rsidR="00217C67" w:rsidRPr="0085412D" w:rsidRDefault="00217C67" w:rsidP="000C1353">
            <w:pPr>
              <w:rPr>
                <w:vertAlign w:val="superscript"/>
              </w:rPr>
            </w:pPr>
            <w:r w:rsidRPr="00A53DC6">
              <w:t>BEAU</w:t>
            </w:r>
            <w:r>
              <w:t>TIFUL</w:t>
            </w:r>
            <w:r w:rsidRPr="003A123F">
              <w:t>, 2008</w:t>
            </w:r>
            <w:r w:rsidR="0085412D">
              <w:t xml:space="preserve"> </w:t>
            </w:r>
            <w:r w:rsidR="00266257">
              <w:rPr>
                <w:vertAlign w:val="superscript"/>
              </w:rPr>
              <w:t>(6</w:t>
            </w:r>
            <w:r w:rsidR="0085412D">
              <w:rPr>
                <w:vertAlign w:val="superscript"/>
              </w:rPr>
              <w:t>)</w:t>
            </w:r>
          </w:p>
        </w:tc>
        <w:tc>
          <w:tcPr>
            <w:tcW w:w="1632" w:type="dxa"/>
            <w:vMerge w:val="restart"/>
            <w:hideMark/>
          </w:tcPr>
          <w:p w14:paraId="0F5B055E"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CAD, EF&lt;40%</w:t>
            </w:r>
          </w:p>
        </w:tc>
        <w:tc>
          <w:tcPr>
            <w:tcW w:w="1580" w:type="dxa"/>
            <w:hideMark/>
          </w:tcPr>
          <w:p w14:paraId="31E99B86"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roofErr w:type="spellStart"/>
            <w:r w:rsidRPr="003A123F">
              <w:t>Ivabradine</w:t>
            </w:r>
            <w:proofErr w:type="spellEnd"/>
          </w:p>
        </w:tc>
        <w:tc>
          <w:tcPr>
            <w:tcW w:w="1300" w:type="dxa"/>
            <w:hideMark/>
          </w:tcPr>
          <w:p w14:paraId="6A003C3E"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5479</w:t>
            </w:r>
          </w:p>
        </w:tc>
        <w:tc>
          <w:tcPr>
            <w:tcW w:w="810" w:type="dxa"/>
            <w:hideMark/>
          </w:tcPr>
          <w:p w14:paraId="26140B3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65.3</w:t>
            </w:r>
          </w:p>
        </w:tc>
        <w:tc>
          <w:tcPr>
            <w:tcW w:w="900" w:type="dxa"/>
            <w:hideMark/>
          </w:tcPr>
          <w:p w14:paraId="69FE0328"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32.4</w:t>
            </w:r>
          </w:p>
        </w:tc>
        <w:tc>
          <w:tcPr>
            <w:tcW w:w="1403" w:type="dxa"/>
            <w:vMerge w:val="restart"/>
            <w:hideMark/>
          </w:tcPr>
          <w:p w14:paraId="50CC03C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24 months</w:t>
            </w:r>
          </w:p>
        </w:tc>
      </w:tr>
      <w:tr w:rsidR="00217C67" w:rsidRPr="003A123F" w14:paraId="4F51B6BE" w14:textId="77777777" w:rsidTr="000C1353">
        <w:trPr>
          <w:trHeight w:val="55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hideMark/>
          </w:tcPr>
          <w:p w14:paraId="735E23B9" w14:textId="77777777" w:rsidR="00217C67" w:rsidRPr="003A123F" w:rsidRDefault="00217C67" w:rsidP="000C1353"/>
        </w:tc>
        <w:tc>
          <w:tcPr>
            <w:tcW w:w="1632" w:type="dxa"/>
            <w:vMerge/>
            <w:hideMark/>
          </w:tcPr>
          <w:p w14:paraId="7D8D579B"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3266C8A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Placebo</w:t>
            </w:r>
          </w:p>
        </w:tc>
        <w:tc>
          <w:tcPr>
            <w:tcW w:w="1300" w:type="dxa"/>
            <w:hideMark/>
          </w:tcPr>
          <w:p w14:paraId="2C2B6A9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5438</w:t>
            </w:r>
          </w:p>
        </w:tc>
        <w:tc>
          <w:tcPr>
            <w:tcW w:w="810" w:type="dxa"/>
            <w:hideMark/>
          </w:tcPr>
          <w:p w14:paraId="18A4A269"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65</w:t>
            </w:r>
          </w:p>
        </w:tc>
        <w:tc>
          <w:tcPr>
            <w:tcW w:w="900" w:type="dxa"/>
            <w:hideMark/>
          </w:tcPr>
          <w:p w14:paraId="7EF7462C"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32.3</w:t>
            </w:r>
          </w:p>
        </w:tc>
        <w:tc>
          <w:tcPr>
            <w:tcW w:w="1403" w:type="dxa"/>
            <w:vMerge/>
            <w:hideMark/>
          </w:tcPr>
          <w:p w14:paraId="6F4BF06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r>
      <w:tr w:rsidR="00217C67" w:rsidRPr="003A123F" w14:paraId="42CC07B7" w14:textId="77777777" w:rsidTr="000C1353">
        <w:trPr>
          <w:trHeight w:val="55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hideMark/>
          </w:tcPr>
          <w:p w14:paraId="0CDC7A75" w14:textId="71274A55" w:rsidR="00217C67" w:rsidRPr="003A123F" w:rsidRDefault="00217C67" w:rsidP="000C1353">
            <w:proofErr w:type="spellStart"/>
            <w:r w:rsidRPr="003A123F">
              <w:t>Fasullo</w:t>
            </w:r>
            <w:proofErr w:type="spellEnd"/>
            <w:r w:rsidRPr="003A123F">
              <w:t>, 2009</w:t>
            </w:r>
            <w:r w:rsidR="0085412D">
              <w:t xml:space="preserve"> </w:t>
            </w:r>
            <w:r w:rsidR="00266257">
              <w:rPr>
                <w:vertAlign w:val="superscript"/>
              </w:rPr>
              <w:t>(7</w:t>
            </w:r>
            <w:r w:rsidR="0085412D" w:rsidRPr="0085412D">
              <w:rPr>
                <w:vertAlign w:val="superscript"/>
              </w:rPr>
              <w:t>)</w:t>
            </w:r>
          </w:p>
        </w:tc>
        <w:tc>
          <w:tcPr>
            <w:tcW w:w="1632" w:type="dxa"/>
            <w:vMerge w:val="restart"/>
            <w:hideMark/>
          </w:tcPr>
          <w:p w14:paraId="01528F68"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STEMI, EF&lt;50%</w:t>
            </w:r>
          </w:p>
        </w:tc>
        <w:tc>
          <w:tcPr>
            <w:tcW w:w="1580" w:type="dxa"/>
            <w:hideMark/>
          </w:tcPr>
          <w:p w14:paraId="57544566"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Ivabradine</w:t>
            </w:r>
          </w:p>
        </w:tc>
        <w:tc>
          <w:tcPr>
            <w:tcW w:w="1300" w:type="dxa"/>
            <w:hideMark/>
          </w:tcPr>
          <w:p w14:paraId="56F731DF"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78</w:t>
            </w:r>
          </w:p>
        </w:tc>
        <w:tc>
          <w:tcPr>
            <w:tcW w:w="810" w:type="dxa"/>
            <w:hideMark/>
          </w:tcPr>
          <w:p w14:paraId="644118D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61.6</w:t>
            </w:r>
          </w:p>
        </w:tc>
        <w:tc>
          <w:tcPr>
            <w:tcW w:w="900" w:type="dxa"/>
            <w:hideMark/>
          </w:tcPr>
          <w:p w14:paraId="3061FDD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41.3</w:t>
            </w:r>
          </w:p>
        </w:tc>
        <w:tc>
          <w:tcPr>
            <w:tcW w:w="1403" w:type="dxa"/>
            <w:vMerge w:val="restart"/>
            <w:hideMark/>
          </w:tcPr>
          <w:p w14:paraId="3A53FADF"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2 months</w:t>
            </w:r>
          </w:p>
        </w:tc>
      </w:tr>
      <w:tr w:rsidR="00217C67" w:rsidRPr="003A123F" w14:paraId="4229C084" w14:textId="77777777" w:rsidTr="000C1353">
        <w:trPr>
          <w:trHeight w:val="55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hideMark/>
          </w:tcPr>
          <w:p w14:paraId="2850D4FE" w14:textId="77777777" w:rsidR="00217C67" w:rsidRPr="003A123F" w:rsidRDefault="00217C67" w:rsidP="000C1353"/>
        </w:tc>
        <w:tc>
          <w:tcPr>
            <w:tcW w:w="1632" w:type="dxa"/>
            <w:vMerge/>
            <w:hideMark/>
          </w:tcPr>
          <w:p w14:paraId="4007E22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097AB4E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Placebo</w:t>
            </w:r>
          </w:p>
        </w:tc>
        <w:tc>
          <w:tcPr>
            <w:tcW w:w="1300" w:type="dxa"/>
            <w:hideMark/>
          </w:tcPr>
          <w:p w14:paraId="437ABC23"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75</w:t>
            </w:r>
          </w:p>
        </w:tc>
        <w:tc>
          <w:tcPr>
            <w:tcW w:w="810" w:type="dxa"/>
            <w:hideMark/>
          </w:tcPr>
          <w:p w14:paraId="569069B9"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62.1</w:t>
            </w:r>
          </w:p>
        </w:tc>
        <w:tc>
          <w:tcPr>
            <w:tcW w:w="900" w:type="dxa"/>
            <w:hideMark/>
          </w:tcPr>
          <w:p w14:paraId="7D34C45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42.5</w:t>
            </w:r>
          </w:p>
        </w:tc>
        <w:tc>
          <w:tcPr>
            <w:tcW w:w="1403" w:type="dxa"/>
            <w:vMerge/>
            <w:hideMark/>
          </w:tcPr>
          <w:p w14:paraId="6C5CE0D2"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r>
      <w:tr w:rsidR="00217C67" w:rsidRPr="003A123F" w14:paraId="35C4A95C" w14:textId="77777777" w:rsidTr="000C1353">
        <w:trPr>
          <w:trHeight w:val="55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hideMark/>
          </w:tcPr>
          <w:p w14:paraId="56CB54E7" w14:textId="189752EC" w:rsidR="00217C67" w:rsidRPr="003A123F" w:rsidRDefault="00217C67" w:rsidP="000C1353">
            <w:r>
              <w:t>SHIFT</w:t>
            </w:r>
            <w:r w:rsidRPr="003A123F">
              <w:t>, 2010</w:t>
            </w:r>
            <w:r w:rsidR="0085412D">
              <w:t xml:space="preserve"> </w:t>
            </w:r>
            <w:r w:rsidR="00266257">
              <w:rPr>
                <w:vertAlign w:val="superscript"/>
              </w:rPr>
              <w:t>(8</w:t>
            </w:r>
            <w:r w:rsidR="0085412D" w:rsidRPr="0085412D">
              <w:rPr>
                <w:vertAlign w:val="superscript"/>
              </w:rPr>
              <w:t>)</w:t>
            </w:r>
          </w:p>
        </w:tc>
        <w:tc>
          <w:tcPr>
            <w:tcW w:w="1632" w:type="dxa"/>
            <w:vMerge w:val="restart"/>
            <w:hideMark/>
          </w:tcPr>
          <w:p w14:paraId="518510A9"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HF, EF≤35%</w:t>
            </w:r>
          </w:p>
        </w:tc>
        <w:tc>
          <w:tcPr>
            <w:tcW w:w="1580" w:type="dxa"/>
            <w:hideMark/>
          </w:tcPr>
          <w:p w14:paraId="78DD0F1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Ivabradine</w:t>
            </w:r>
          </w:p>
        </w:tc>
        <w:tc>
          <w:tcPr>
            <w:tcW w:w="1300" w:type="dxa"/>
            <w:hideMark/>
          </w:tcPr>
          <w:p w14:paraId="5397D9B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3241</w:t>
            </w:r>
          </w:p>
        </w:tc>
        <w:tc>
          <w:tcPr>
            <w:tcW w:w="810" w:type="dxa"/>
            <w:hideMark/>
          </w:tcPr>
          <w:p w14:paraId="03871EF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60.7</w:t>
            </w:r>
          </w:p>
        </w:tc>
        <w:tc>
          <w:tcPr>
            <w:tcW w:w="900" w:type="dxa"/>
            <w:hideMark/>
          </w:tcPr>
          <w:p w14:paraId="71BB9E0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29</w:t>
            </w:r>
          </w:p>
        </w:tc>
        <w:tc>
          <w:tcPr>
            <w:tcW w:w="1403" w:type="dxa"/>
            <w:vMerge w:val="restart"/>
            <w:hideMark/>
          </w:tcPr>
          <w:p w14:paraId="45AA6A8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32 months</w:t>
            </w:r>
          </w:p>
        </w:tc>
      </w:tr>
      <w:tr w:rsidR="00217C67" w:rsidRPr="003A123F" w14:paraId="1AD9CD71" w14:textId="77777777" w:rsidTr="000C1353">
        <w:trPr>
          <w:trHeight w:val="9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hideMark/>
          </w:tcPr>
          <w:p w14:paraId="54A207BC" w14:textId="77777777" w:rsidR="00217C67" w:rsidRPr="003A123F" w:rsidRDefault="00217C67" w:rsidP="000C1353"/>
        </w:tc>
        <w:tc>
          <w:tcPr>
            <w:tcW w:w="1632" w:type="dxa"/>
            <w:vMerge/>
            <w:hideMark/>
          </w:tcPr>
          <w:p w14:paraId="670FA4EA"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5E369B3E"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Placebo</w:t>
            </w:r>
          </w:p>
        </w:tc>
        <w:tc>
          <w:tcPr>
            <w:tcW w:w="1300" w:type="dxa"/>
            <w:hideMark/>
          </w:tcPr>
          <w:p w14:paraId="6FEE8B7D"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3264</w:t>
            </w:r>
          </w:p>
        </w:tc>
        <w:tc>
          <w:tcPr>
            <w:tcW w:w="810" w:type="dxa"/>
            <w:hideMark/>
          </w:tcPr>
          <w:p w14:paraId="2D6A1ED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60.1</w:t>
            </w:r>
          </w:p>
        </w:tc>
        <w:tc>
          <w:tcPr>
            <w:tcW w:w="900" w:type="dxa"/>
            <w:hideMark/>
          </w:tcPr>
          <w:p w14:paraId="5B2CFAB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29</w:t>
            </w:r>
          </w:p>
        </w:tc>
        <w:tc>
          <w:tcPr>
            <w:tcW w:w="1403" w:type="dxa"/>
            <w:vMerge/>
            <w:hideMark/>
          </w:tcPr>
          <w:p w14:paraId="679A05B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r>
      <w:tr w:rsidR="00217C67" w:rsidRPr="003A123F" w14:paraId="520C0670" w14:textId="77777777" w:rsidTr="000C1353">
        <w:trPr>
          <w:trHeight w:val="503"/>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tcPr>
          <w:p w14:paraId="30AB35FA" w14:textId="34193C9A" w:rsidR="00217C67" w:rsidRPr="0085412D" w:rsidRDefault="00217C67" w:rsidP="000C1353">
            <w:pPr>
              <w:rPr>
                <w:vertAlign w:val="superscript"/>
              </w:rPr>
            </w:pPr>
            <w:r>
              <w:t>Kosmala,2013</w:t>
            </w:r>
            <w:r w:rsidR="0085412D">
              <w:t xml:space="preserve"> </w:t>
            </w:r>
            <w:r w:rsidR="00266257">
              <w:rPr>
                <w:vertAlign w:val="superscript"/>
              </w:rPr>
              <w:t>(9</w:t>
            </w:r>
            <w:r w:rsidR="0085412D">
              <w:rPr>
                <w:vertAlign w:val="superscript"/>
              </w:rPr>
              <w:t>)</w:t>
            </w:r>
          </w:p>
        </w:tc>
        <w:tc>
          <w:tcPr>
            <w:tcW w:w="1632" w:type="dxa"/>
            <w:vMerge w:val="restart"/>
          </w:tcPr>
          <w:p w14:paraId="33428E10"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HF, EF</w:t>
            </w:r>
            <w:r w:rsidRPr="00F40FAD">
              <w:t xml:space="preserve"> ≥50%</w:t>
            </w:r>
          </w:p>
        </w:tc>
        <w:tc>
          <w:tcPr>
            <w:tcW w:w="1580" w:type="dxa"/>
            <w:tcBorders>
              <w:bottom w:val="single" w:sz="4" w:space="0" w:color="767171" w:themeColor="background2" w:themeShade="80"/>
            </w:tcBorders>
          </w:tcPr>
          <w:p w14:paraId="1B50D847" w14:textId="2A0BA766"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Ivabradine</w:t>
            </w:r>
          </w:p>
          <w:p w14:paraId="0785D4D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300" w:type="dxa"/>
            <w:tcBorders>
              <w:bottom w:val="single" w:sz="4" w:space="0" w:color="767171" w:themeColor="background2" w:themeShade="80"/>
            </w:tcBorders>
          </w:tcPr>
          <w:p w14:paraId="3442122B"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30</w:t>
            </w:r>
          </w:p>
          <w:p w14:paraId="65BFD6F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810" w:type="dxa"/>
            <w:tcBorders>
              <w:bottom w:val="single" w:sz="4" w:space="0" w:color="767171" w:themeColor="background2" w:themeShade="80"/>
            </w:tcBorders>
          </w:tcPr>
          <w:p w14:paraId="0BA65EF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66.5</w:t>
            </w:r>
          </w:p>
          <w:p w14:paraId="08958A5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900" w:type="dxa"/>
            <w:tcBorders>
              <w:bottom w:val="single" w:sz="4" w:space="0" w:color="767171" w:themeColor="background2" w:themeShade="80"/>
            </w:tcBorders>
          </w:tcPr>
          <w:p w14:paraId="6BE8DAF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67</w:t>
            </w:r>
          </w:p>
          <w:p w14:paraId="5F24E169"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403" w:type="dxa"/>
            <w:vMerge w:val="restart"/>
          </w:tcPr>
          <w:p w14:paraId="24E87574"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p>
          <w:p w14:paraId="04EEA3BC"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 xml:space="preserve">7 days </w:t>
            </w:r>
          </w:p>
        </w:tc>
      </w:tr>
      <w:tr w:rsidR="00217C67" w:rsidRPr="003A123F" w14:paraId="60967705" w14:textId="77777777" w:rsidTr="000C1353">
        <w:trPr>
          <w:trHeight w:val="54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tcPr>
          <w:p w14:paraId="325FD7CC" w14:textId="77777777" w:rsidR="00217C67" w:rsidRDefault="00217C67" w:rsidP="000C1353"/>
        </w:tc>
        <w:tc>
          <w:tcPr>
            <w:tcW w:w="1632" w:type="dxa"/>
            <w:vMerge/>
          </w:tcPr>
          <w:p w14:paraId="21E6702C"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p>
        </w:tc>
        <w:tc>
          <w:tcPr>
            <w:tcW w:w="1580" w:type="dxa"/>
            <w:tcBorders>
              <w:top w:val="single" w:sz="4" w:space="0" w:color="767171" w:themeColor="background2" w:themeShade="80"/>
            </w:tcBorders>
          </w:tcPr>
          <w:p w14:paraId="206A1144" w14:textId="76D8BC2B"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Placebo</w:t>
            </w:r>
          </w:p>
        </w:tc>
        <w:tc>
          <w:tcPr>
            <w:tcW w:w="1300" w:type="dxa"/>
            <w:tcBorders>
              <w:top w:val="single" w:sz="4" w:space="0" w:color="767171" w:themeColor="background2" w:themeShade="80"/>
            </w:tcBorders>
          </w:tcPr>
          <w:p w14:paraId="202529E8"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r>
              <w:t>31</w:t>
            </w:r>
          </w:p>
        </w:tc>
        <w:tc>
          <w:tcPr>
            <w:tcW w:w="810" w:type="dxa"/>
            <w:tcBorders>
              <w:top w:val="single" w:sz="4" w:space="0" w:color="767171" w:themeColor="background2" w:themeShade="80"/>
            </w:tcBorders>
          </w:tcPr>
          <w:p w14:paraId="4CC578B4"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r>
              <w:t>68</w:t>
            </w:r>
          </w:p>
        </w:tc>
        <w:tc>
          <w:tcPr>
            <w:tcW w:w="900" w:type="dxa"/>
            <w:tcBorders>
              <w:top w:val="single" w:sz="4" w:space="0" w:color="767171" w:themeColor="background2" w:themeShade="80"/>
            </w:tcBorders>
          </w:tcPr>
          <w:p w14:paraId="4EB47FE9"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r>
              <w:t>69</w:t>
            </w:r>
          </w:p>
        </w:tc>
        <w:tc>
          <w:tcPr>
            <w:tcW w:w="1403" w:type="dxa"/>
            <w:vMerge/>
          </w:tcPr>
          <w:p w14:paraId="7D9BE468"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p>
        </w:tc>
      </w:tr>
      <w:tr w:rsidR="00217C67" w:rsidRPr="003A123F" w14:paraId="4513953E" w14:textId="77777777" w:rsidTr="000C1353">
        <w:trPr>
          <w:trHeight w:val="44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tcPr>
          <w:p w14:paraId="0760E3CB" w14:textId="215858DC" w:rsidR="00217C67" w:rsidRPr="0085412D" w:rsidRDefault="00217C67" w:rsidP="000C1353">
            <w:pPr>
              <w:rPr>
                <w:vertAlign w:val="superscript"/>
              </w:rPr>
            </w:pPr>
            <w:r w:rsidRPr="00C7678C">
              <w:t>ETHIC-AHF</w:t>
            </w:r>
            <w:r>
              <w:t>, 2016</w:t>
            </w:r>
            <w:r w:rsidR="0085412D">
              <w:t xml:space="preserve"> </w:t>
            </w:r>
            <w:r w:rsidR="00266257">
              <w:rPr>
                <w:vertAlign w:val="superscript"/>
              </w:rPr>
              <w:t>(10</w:t>
            </w:r>
            <w:r w:rsidR="0085412D">
              <w:rPr>
                <w:vertAlign w:val="superscript"/>
              </w:rPr>
              <w:t>)</w:t>
            </w:r>
          </w:p>
        </w:tc>
        <w:tc>
          <w:tcPr>
            <w:tcW w:w="1632" w:type="dxa"/>
            <w:vMerge w:val="restart"/>
          </w:tcPr>
          <w:p w14:paraId="2B0FA89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HF, EF&lt; 40 %</w:t>
            </w:r>
          </w:p>
        </w:tc>
        <w:tc>
          <w:tcPr>
            <w:tcW w:w="1580" w:type="dxa"/>
            <w:tcBorders>
              <w:bottom w:val="single" w:sz="4" w:space="0" w:color="767171" w:themeColor="background2" w:themeShade="80"/>
            </w:tcBorders>
          </w:tcPr>
          <w:p w14:paraId="12C31AB2"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Ivabradine</w:t>
            </w:r>
          </w:p>
          <w:p w14:paraId="61E3EBD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300" w:type="dxa"/>
            <w:tcBorders>
              <w:bottom w:val="single" w:sz="4" w:space="0" w:color="767171" w:themeColor="background2" w:themeShade="80"/>
            </w:tcBorders>
          </w:tcPr>
          <w:p w14:paraId="7FDB7463"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33</w:t>
            </w:r>
          </w:p>
        </w:tc>
        <w:tc>
          <w:tcPr>
            <w:tcW w:w="810" w:type="dxa"/>
            <w:tcBorders>
              <w:bottom w:val="single" w:sz="4" w:space="0" w:color="767171" w:themeColor="background2" w:themeShade="80"/>
            </w:tcBorders>
          </w:tcPr>
          <w:p w14:paraId="210CFFA4"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66.2</w:t>
            </w:r>
          </w:p>
        </w:tc>
        <w:tc>
          <w:tcPr>
            <w:tcW w:w="900" w:type="dxa"/>
            <w:tcBorders>
              <w:bottom w:val="single" w:sz="4" w:space="0" w:color="767171" w:themeColor="background2" w:themeShade="80"/>
            </w:tcBorders>
          </w:tcPr>
          <w:p w14:paraId="0AB7EBDB"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29.8</w:t>
            </w:r>
          </w:p>
        </w:tc>
        <w:tc>
          <w:tcPr>
            <w:tcW w:w="1403" w:type="dxa"/>
            <w:vMerge w:val="restart"/>
          </w:tcPr>
          <w:p w14:paraId="4CDFE9A7"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12 months</w:t>
            </w:r>
          </w:p>
        </w:tc>
      </w:tr>
      <w:tr w:rsidR="00217C67" w:rsidRPr="003A123F" w14:paraId="7C5DECB9" w14:textId="77777777" w:rsidTr="000C1353">
        <w:trPr>
          <w:trHeight w:val="44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tcPr>
          <w:p w14:paraId="1B5142BE" w14:textId="77777777" w:rsidR="00217C67" w:rsidRPr="00C7678C" w:rsidRDefault="00217C67" w:rsidP="000C1353"/>
        </w:tc>
        <w:tc>
          <w:tcPr>
            <w:tcW w:w="1632" w:type="dxa"/>
            <w:vMerge/>
          </w:tcPr>
          <w:p w14:paraId="177A36FC" w14:textId="77777777" w:rsidR="00217C67" w:rsidRDefault="00217C67" w:rsidP="000C1353">
            <w:pPr>
              <w:cnfStyle w:val="000000000000" w:firstRow="0" w:lastRow="0" w:firstColumn="0" w:lastColumn="0" w:oddVBand="0" w:evenVBand="0" w:oddHBand="0" w:evenHBand="0" w:firstRowFirstColumn="0" w:firstRowLastColumn="0" w:lastRowFirstColumn="0" w:lastRowLastColumn="0"/>
            </w:pPr>
          </w:p>
        </w:tc>
        <w:tc>
          <w:tcPr>
            <w:tcW w:w="1580" w:type="dxa"/>
            <w:tcBorders>
              <w:top w:val="single" w:sz="4" w:space="0" w:color="767171" w:themeColor="background2" w:themeShade="80"/>
            </w:tcBorders>
          </w:tcPr>
          <w:p w14:paraId="469C31B8" w14:textId="47BC918C" w:rsidR="00217C67" w:rsidRPr="003A123F" w:rsidRDefault="003B35F7" w:rsidP="000C1353">
            <w:pPr>
              <w:cnfStyle w:val="000000000000" w:firstRow="0" w:lastRow="0" w:firstColumn="0" w:lastColumn="0" w:oddVBand="0" w:evenVBand="0" w:oddHBand="0" w:evenHBand="0" w:firstRowFirstColumn="0" w:firstRowLastColumn="0" w:lastRowFirstColumn="0" w:lastRowLastColumn="0"/>
            </w:pPr>
            <w:r>
              <w:rPr>
                <w:rFonts w:asciiTheme="majorBidi" w:hAnsiTheme="majorBidi" w:cstheme="majorBidi"/>
              </w:rPr>
              <w:t>control</w:t>
            </w:r>
          </w:p>
        </w:tc>
        <w:tc>
          <w:tcPr>
            <w:tcW w:w="1300" w:type="dxa"/>
            <w:tcBorders>
              <w:top w:val="single" w:sz="4" w:space="0" w:color="767171" w:themeColor="background2" w:themeShade="80"/>
            </w:tcBorders>
          </w:tcPr>
          <w:p w14:paraId="712C475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38</w:t>
            </w:r>
          </w:p>
        </w:tc>
        <w:tc>
          <w:tcPr>
            <w:tcW w:w="810" w:type="dxa"/>
            <w:tcBorders>
              <w:top w:val="single" w:sz="4" w:space="0" w:color="767171" w:themeColor="background2" w:themeShade="80"/>
            </w:tcBorders>
          </w:tcPr>
          <w:p w14:paraId="4AB8E8B5"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67.7</w:t>
            </w:r>
          </w:p>
        </w:tc>
        <w:tc>
          <w:tcPr>
            <w:tcW w:w="900" w:type="dxa"/>
            <w:tcBorders>
              <w:top w:val="single" w:sz="4" w:space="0" w:color="767171" w:themeColor="background2" w:themeShade="80"/>
            </w:tcBorders>
          </w:tcPr>
          <w:p w14:paraId="32C4526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29.9</w:t>
            </w:r>
          </w:p>
        </w:tc>
        <w:tc>
          <w:tcPr>
            <w:tcW w:w="1403" w:type="dxa"/>
            <w:vMerge/>
          </w:tcPr>
          <w:p w14:paraId="309918EC"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r>
      <w:tr w:rsidR="00217C67" w:rsidRPr="003A123F" w14:paraId="1031FD22" w14:textId="77777777" w:rsidTr="000C1353">
        <w:trPr>
          <w:trHeight w:val="431"/>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tcPr>
          <w:p w14:paraId="3A4F70FD" w14:textId="7DED41C9" w:rsidR="00217C67" w:rsidRPr="0085412D" w:rsidRDefault="00217C67" w:rsidP="000C1353">
            <w:pPr>
              <w:rPr>
                <w:vertAlign w:val="superscript"/>
              </w:rPr>
            </w:pPr>
            <w:r w:rsidRPr="00FF63AD">
              <w:t>EDIFY,2017</w:t>
            </w:r>
            <w:r w:rsidR="0085412D">
              <w:t xml:space="preserve"> </w:t>
            </w:r>
            <w:r w:rsidR="00266257">
              <w:rPr>
                <w:vertAlign w:val="superscript"/>
              </w:rPr>
              <w:t>(11</w:t>
            </w:r>
            <w:r w:rsidR="0085412D">
              <w:rPr>
                <w:vertAlign w:val="superscript"/>
              </w:rPr>
              <w:t>)</w:t>
            </w:r>
          </w:p>
        </w:tc>
        <w:tc>
          <w:tcPr>
            <w:tcW w:w="1632" w:type="dxa"/>
            <w:vMerge w:val="restart"/>
          </w:tcPr>
          <w:p w14:paraId="14AE7673"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 xml:space="preserve">HF, EF </w:t>
            </w:r>
            <w:r w:rsidRPr="007820C6">
              <w:t>≥45%</w:t>
            </w:r>
          </w:p>
        </w:tc>
        <w:tc>
          <w:tcPr>
            <w:tcW w:w="1580" w:type="dxa"/>
            <w:tcBorders>
              <w:bottom w:val="single" w:sz="4" w:space="0" w:color="767171" w:themeColor="background2" w:themeShade="80"/>
            </w:tcBorders>
          </w:tcPr>
          <w:p w14:paraId="0402D9C5" w14:textId="6ABE0DC3"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Ivabradine</w:t>
            </w:r>
          </w:p>
          <w:p w14:paraId="7C6912AF" w14:textId="7A33D6BD"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300" w:type="dxa"/>
            <w:tcBorders>
              <w:bottom w:val="single" w:sz="4" w:space="0" w:color="767171" w:themeColor="background2" w:themeShade="80"/>
            </w:tcBorders>
          </w:tcPr>
          <w:p w14:paraId="65FEC5A6"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95</w:t>
            </w:r>
          </w:p>
        </w:tc>
        <w:tc>
          <w:tcPr>
            <w:tcW w:w="810" w:type="dxa"/>
            <w:tcBorders>
              <w:bottom w:val="single" w:sz="4" w:space="0" w:color="767171" w:themeColor="background2" w:themeShade="80"/>
            </w:tcBorders>
          </w:tcPr>
          <w:p w14:paraId="79F157BA"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72</w:t>
            </w:r>
          </w:p>
        </w:tc>
        <w:tc>
          <w:tcPr>
            <w:tcW w:w="900" w:type="dxa"/>
            <w:tcBorders>
              <w:bottom w:val="single" w:sz="4" w:space="0" w:color="767171" w:themeColor="background2" w:themeShade="80"/>
            </w:tcBorders>
          </w:tcPr>
          <w:p w14:paraId="3ABF8663"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60</w:t>
            </w:r>
          </w:p>
        </w:tc>
        <w:tc>
          <w:tcPr>
            <w:tcW w:w="1403" w:type="dxa"/>
            <w:vMerge w:val="restart"/>
          </w:tcPr>
          <w:p w14:paraId="60935BB4"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 xml:space="preserve">8 months </w:t>
            </w:r>
          </w:p>
        </w:tc>
      </w:tr>
      <w:tr w:rsidR="00217C67" w:rsidRPr="003A123F" w14:paraId="34023C86" w14:textId="77777777" w:rsidTr="000C1353">
        <w:trPr>
          <w:trHeight w:val="46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tcPr>
          <w:p w14:paraId="68C8B4AD" w14:textId="77777777" w:rsidR="00217C67" w:rsidRPr="003A123F" w:rsidRDefault="00217C67" w:rsidP="000C1353"/>
        </w:tc>
        <w:tc>
          <w:tcPr>
            <w:tcW w:w="1632" w:type="dxa"/>
            <w:vMerge/>
          </w:tcPr>
          <w:p w14:paraId="76C83AF1"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c>
          <w:tcPr>
            <w:tcW w:w="1580" w:type="dxa"/>
            <w:tcBorders>
              <w:top w:val="single" w:sz="4" w:space="0" w:color="767171" w:themeColor="background2" w:themeShade="80"/>
            </w:tcBorders>
          </w:tcPr>
          <w:p w14:paraId="7A8A378B" w14:textId="6C99ADB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rsidRPr="003A123F">
              <w:t>Placebo</w:t>
            </w:r>
          </w:p>
        </w:tc>
        <w:tc>
          <w:tcPr>
            <w:tcW w:w="1300" w:type="dxa"/>
            <w:tcBorders>
              <w:top w:val="single" w:sz="4" w:space="0" w:color="767171" w:themeColor="background2" w:themeShade="80"/>
            </w:tcBorders>
          </w:tcPr>
          <w:p w14:paraId="2381C36A"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84</w:t>
            </w:r>
          </w:p>
        </w:tc>
        <w:tc>
          <w:tcPr>
            <w:tcW w:w="810" w:type="dxa"/>
            <w:tcBorders>
              <w:top w:val="single" w:sz="4" w:space="0" w:color="767171" w:themeColor="background2" w:themeShade="80"/>
            </w:tcBorders>
          </w:tcPr>
          <w:p w14:paraId="44326CFC"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73</w:t>
            </w:r>
          </w:p>
        </w:tc>
        <w:tc>
          <w:tcPr>
            <w:tcW w:w="900" w:type="dxa"/>
            <w:tcBorders>
              <w:top w:val="single" w:sz="4" w:space="0" w:color="767171" w:themeColor="background2" w:themeShade="80"/>
            </w:tcBorders>
          </w:tcPr>
          <w:p w14:paraId="5D8BD138"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r>
              <w:t>61</w:t>
            </w:r>
          </w:p>
        </w:tc>
        <w:tc>
          <w:tcPr>
            <w:tcW w:w="1403" w:type="dxa"/>
            <w:vMerge/>
          </w:tcPr>
          <w:p w14:paraId="57E62ABB" w14:textId="77777777" w:rsidR="00217C67" w:rsidRPr="003A123F" w:rsidRDefault="00217C67" w:rsidP="000C1353">
            <w:pPr>
              <w:cnfStyle w:val="000000000000" w:firstRow="0" w:lastRow="0" w:firstColumn="0" w:lastColumn="0" w:oddVBand="0" w:evenVBand="0" w:oddHBand="0" w:evenHBand="0" w:firstRowFirstColumn="0" w:firstRowLastColumn="0" w:lastRowFirstColumn="0" w:lastRowLastColumn="0"/>
            </w:pPr>
          </w:p>
        </w:tc>
      </w:tr>
    </w:tbl>
    <w:p w14:paraId="2E68DBF2" w14:textId="4FA86471" w:rsidR="00552FF5" w:rsidRPr="00743FCB" w:rsidRDefault="00B84EFD" w:rsidP="00552FF5">
      <w:pPr>
        <w:widowControl w:val="0"/>
        <w:autoSpaceDE w:val="0"/>
        <w:autoSpaceDN w:val="0"/>
        <w:adjustRightInd w:val="0"/>
        <w:spacing w:line="360" w:lineRule="auto"/>
        <w:jc w:val="both"/>
        <w:rPr>
          <w:rFonts w:asciiTheme="majorBidi" w:hAnsiTheme="majorBidi" w:cstheme="majorBidi"/>
        </w:rPr>
      </w:pPr>
      <w:r w:rsidRPr="00743FCB">
        <w:rPr>
          <w:rFonts w:asciiTheme="majorBidi" w:hAnsiTheme="majorBidi" w:cstheme="majorBidi"/>
          <w:noProof/>
        </w:rPr>
        <mc:AlternateContent>
          <mc:Choice Requires="wps">
            <w:drawing>
              <wp:anchor distT="0" distB="0" distL="114300" distR="114300" simplePos="0" relativeHeight="251659264" behindDoc="0" locked="0" layoutInCell="1" allowOverlap="1" wp14:anchorId="79F37C66" wp14:editId="53D3A738">
                <wp:simplePos x="0" y="0"/>
                <wp:positionH relativeFrom="column">
                  <wp:posOffset>1883410</wp:posOffset>
                </wp:positionH>
                <wp:positionV relativeFrom="paragraph">
                  <wp:posOffset>5316855</wp:posOffset>
                </wp:positionV>
                <wp:extent cx="2513330" cy="344170"/>
                <wp:effectExtent l="0" t="0" r="26670" b="36830"/>
                <wp:wrapSquare wrapText="bothSides"/>
                <wp:docPr id="5" name="Text Box 5"/>
                <wp:cNvGraphicFramePr/>
                <a:graphic xmlns:a="http://schemas.openxmlformats.org/drawingml/2006/main">
                  <a:graphicData uri="http://schemas.microsoft.com/office/word/2010/wordprocessingShape">
                    <wps:wsp>
                      <wps:cNvSpPr txBox="1"/>
                      <wps:spPr>
                        <a:xfrm>
                          <a:off x="0" y="0"/>
                          <a:ext cx="2513330" cy="344170"/>
                        </a:xfrm>
                        <a:prstGeom prst="rect">
                          <a:avLst/>
                        </a:prstGeom>
                        <a:ln/>
                      </wps:spPr>
                      <wps:style>
                        <a:lnRef idx="2">
                          <a:schemeClr val="dk1"/>
                        </a:lnRef>
                        <a:fillRef idx="1">
                          <a:schemeClr val="lt1"/>
                        </a:fillRef>
                        <a:effectRef idx="0">
                          <a:schemeClr val="dk1"/>
                        </a:effectRef>
                        <a:fontRef idx="minor">
                          <a:schemeClr val="dk1"/>
                        </a:fontRef>
                      </wps:style>
                      <wps:txbx>
                        <w:txbxContent>
                          <w:p w14:paraId="248C4097" w14:textId="77777777" w:rsidR="00177EB9" w:rsidRPr="00743FCB" w:rsidRDefault="00177EB9" w:rsidP="00552FF5">
                            <w:pPr>
                              <w:jc w:val="center"/>
                              <w:rPr>
                                <w:b/>
                                <w:bCs/>
                                <w:sz w:val="21"/>
                                <w:szCs w:val="21"/>
                              </w:rPr>
                            </w:pPr>
                            <w:r w:rsidRPr="00743FCB">
                              <w:rPr>
                                <w:b/>
                                <w:bCs/>
                                <w:sz w:val="21"/>
                                <w:szCs w:val="21"/>
                              </w:rPr>
                              <w:t>Table 1:</w:t>
                            </w:r>
                            <w:r w:rsidRPr="00743FCB">
                              <w:rPr>
                                <w:rFonts w:asciiTheme="majorBidi" w:hAnsiTheme="majorBidi" w:cstheme="majorBidi"/>
                                <w:b/>
                                <w:bCs/>
                                <w:sz w:val="21"/>
                                <w:szCs w:val="21"/>
                              </w:rPr>
                              <w:t xml:space="preserve"> Trials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7C66" id="Text Box 5" o:spid="_x0000_s1027" type="#_x0000_t202" style="position:absolute;left:0;text-align:left;margin-left:148.3pt;margin-top:418.65pt;width:197.9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" fillcolor="white [3201]" strokecolor="black [3200]" strokeweight="1pt">
                <v:textbox>
                  <w:txbxContent>
                    <w:p w14:paraId="248C4097" w14:textId="77777777" w:rsidR="00177EB9" w:rsidRPr="00743FCB" w:rsidRDefault="00177EB9" w:rsidP="00552FF5">
                      <w:pPr>
                        <w:jc w:val="center"/>
                        <w:rPr>
                          <w:b/>
                          <w:bCs/>
                          <w:sz w:val="21"/>
                          <w:szCs w:val="21"/>
                        </w:rPr>
                      </w:pPr>
                      <w:r w:rsidRPr="00743FCB">
                        <w:rPr>
                          <w:b/>
                          <w:bCs/>
                          <w:sz w:val="21"/>
                          <w:szCs w:val="21"/>
                        </w:rPr>
                        <w:t>Table 1:</w:t>
                      </w:r>
                      <w:r w:rsidRPr="00743FCB">
                        <w:rPr>
                          <w:rFonts w:asciiTheme="majorBidi" w:hAnsiTheme="majorBidi" w:cstheme="majorBidi"/>
                          <w:b/>
                          <w:bCs/>
                          <w:sz w:val="21"/>
                          <w:szCs w:val="21"/>
                        </w:rPr>
                        <w:t xml:space="preserve"> Trials characteristics</w:t>
                      </w:r>
                    </w:p>
                  </w:txbxContent>
                </v:textbox>
                <w10:wrap type="square"/>
              </v:shape>
            </w:pict>
          </mc:Fallback>
        </mc:AlternateContent>
      </w:r>
    </w:p>
    <w:p w14:paraId="7843339F" w14:textId="2D72D295" w:rsidR="001B2B86" w:rsidRPr="00743FCB" w:rsidRDefault="001B2B86" w:rsidP="001B2B86">
      <w:pPr>
        <w:spacing w:line="360" w:lineRule="auto"/>
        <w:jc w:val="both"/>
        <w:rPr>
          <w:rFonts w:asciiTheme="majorBidi" w:hAnsiTheme="majorBidi" w:cstheme="majorBidi"/>
          <w:b/>
          <w:bCs/>
          <w:highlight w:val="yellow"/>
        </w:rPr>
      </w:pPr>
    </w:p>
    <w:p w14:paraId="452064DB" w14:textId="77777777" w:rsidR="001B2B86" w:rsidRPr="00743FCB" w:rsidRDefault="001B2B86" w:rsidP="001B2B86">
      <w:pPr>
        <w:spacing w:line="360" w:lineRule="auto"/>
        <w:jc w:val="both"/>
        <w:rPr>
          <w:rFonts w:asciiTheme="majorBidi" w:hAnsiTheme="majorBidi" w:cstheme="majorBidi"/>
          <w:b/>
          <w:bCs/>
        </w:rPr>
      </w:pPr>
      <w:r w:rsidRPr="00743FCB">
        <w:rPr>
          <w:rFonts w:asciiTheme="majorBidi" w:hAnsiTheme="majorBidi" w:cstheme="majorBidi"/>
          <w:b/>
          <w:bCs/>
        </w:rPr>
        <w:t>Assessment of Risk of Bias</w:t>
      </w:r>
    </w:p>
    <w:p w14:paraId="2614BF15" w14:textId="6C9957E7" w:rsidR="001B2B86" w:rsidRPr="00743FCB" w:rsidRDefault="000F3A96" w:rsidP="00934C47">
      <w:pPr>
        <w:spacing w:line="360" w:lineRule="auto"/>
        <w:jc w:val="both"/>
        <w:rPr>
          <w:rFonts w:asciiTheme="majorBidi" w:hAnsiTheme="majorBidi" w:cstheme="majorBidi"/>
        </w:rPr>
      </w:pPr>
      <w:r w:rsidRPr="00743FCB">
        <w:rPr>
          <w:rFonts w:asciiTheme="majorBidi" w:hAnsiTheme="majorBidi" w:cstheme="majorBidi"/>
        </w:rPr>
        <w:t xml:space="preserve">      </w:t>
      </w:r>
      <w:r w:rsidR="00541262">
        <w:rPr>
          <w:rFonts w:asciiTheme="majorBidi" w:hAnsiTheme="majorBidi" w:cstheme="majorBidi"/>
        </w:rPr>
        <w:t>Six</w:t>
      </w:r>
      <w:r w:rsidR="001B2B86" w:rsidRPr="00743FCB">
        <w:rPr>
          <w:rFonts w:asciiTheme="majorBidi" w:hAnsiTheme="majorBidi" w:cstheme="majorBidi"/>
        </w:rPr>
        <w:t xml:space="preserve"> </w:t>
      </w:r>
      <w:r w:rsidR="007B72FD" w:rsidRPr="00743FCB">
        <w:rPr>
          <w:rFonts w:asciiTheme="majorBidi" w:hAnsiTheme="majorBidi" w:cstheme="majorBidi"/>
        </w:rPr>
        <w:t>RCTs</w:t>
      </w:r>
      <w:r w:rsidR="007B72FD">
        <w:rPr>
          <w:rFonts w:asciiTheme="majorBidi" w:hAnsiTheme="majorBidi" w:cstheme="majorBidi"/>
          <w:vertAlign w:val="superscript"/>
        </w:rPr>
        <w:t xml:space="preserve"> (</w:t>
      </w:r>
      <w:r w:rsidR="00541262">
        <w:rPr>
          <w:rFonts w:asciiTheme="majorBidi" w:hAnsiTheme="majorBidi" w:cstheme="majorBidi"/>
          <w:vertAlign w:val="superscript"/>
        </w:rPr>
        <w:t>6</w:t>
      </w:r>
      <w:r w:rsidR="00934C47">
        <w:rPr>
          <w:rFonts w:asciiTheme="majorBidi" w:hAnsiTheme="majorBidi" w:cstheme="majorBidi"/>
          <w:vertAlign w:val="superscript"/>
        </w:rPr>
        <w:t>-</w:t>
      </w:r>
      <w:r w:rsidR="00541262">
        <w:rPr>
          <w:rFonts w:asciiTheme="majorBidi" w:hAnsiTheme="majorBidi" w:cstheme="majorBidi"/>
          <w:vertAlign w:val="superscript"/>
        </w:rPr>
        <w:t>11)</w:t>
      </w:r>
      <w:r w:rsidR="00934C47">
        <w:rPr>
          <w:rFonts w:asciiTheme="majorBidi" w:hAnsiTheme="majorBidi" w:cstheme="majorBidi"/>
          <w:vertAlign w:val="superscript"/>
        </w:rPr>
        <w:t xml:space="preserve"> </w:t>
      </w:r>
      <w:r w:rsidR="001B2B86" w:rsidRPr="00743FCB">
        <w:rPr>
          <w:rFonts w:asciiTheme="majorBidi" w:hAnsiTheme="majorBidi" w:cstheme="majorBidi"/>
        </w:rPr>
        <w:t xml:space="preserve">were included and </w:t>
      </w:r>
      <w:r w:rsidR="00441329">
        <w:rPr>
          <w:rFonts w:asciiTheme="majorBidi" w:hAnsiTheme="majorBidi" w:cstheme="majorBidi"/>
        </w:rPr>
        <w:t xml:space="preserve">five RCTs </w:t>
      </w:r>
      <w:r w:rsidR="001B2B86" w:rsidRPr="00743FCB">
        <w:rPr>
          <w:rFonts w:asciiTheme="majorBidi" w:hAnsiTheme="majorBidi" w:cstheme="majorBidi"/>
        </w:rPr>
        <w:t>assessed to be high quality. Generation of randomized sequence, allocation concealment and double blinding were reported clearly</w:t>
      </w:r>
      <w:r w:rsidR="00F04513">
        <w:rPr>
          <w:rFonts w:asciiTheme="majorBidi" w:hAnsiTheme="majorBidi" w:cstheme="majorBidi"/>
        </w:rPr>
        <w:t xml:space="preserve"> and </w:t>
      </w:r>
      <w:r w:rsidR="00F04513" w:rsidRPr="00743FCB">
        <w:rPr>
          <w:rFonts w:asciiTheme="majorBidi" w:hAnsiTheme="majorBidi" w:cstheme="majorBidi"/>
        </w:rPr>
        <w:t>intention to treat analysis</w:t>
      </w:r>
      <w:r w:rsidR="00F04513">
        <w:rPr>
          <w:rFonts w:asciiTheme="majorBidi" w:hAnsiTheme="majorBidi" w:cstheme="majorBidi"/>
        </w:rPr>
        <w:t xml:space="preserve"> were used </w:t>
      </w:r>
      <w:r w:rsidR="001B2B86" w:rsidRPr="00743FCB">
        <w:rPr>
          <w:rFonts w:asciiTheme="majorBidi" w:hAnsiTheme="majorBidi" w:cstheme="majorBidi"/>
        </w:rPr>
        <w:t xml:space="preserve">in </w:t>
      </w:r>
      <w:r w:rsidR="00F04513">
        <w:rPr>
          <w:rFonts w:asciiTheme="majorBidi" w:hAnsiTheme="majorBidi" w:cstheme="majorBidi"/>
        </w:rPr>
        <w:t>five</w:t>
      </w:r>
      <w:r w:rsidR="001B2B86" w:rsidRPr="00743FCB">
        <w:rPr>
          <w:rFonts w:asciiTheme="majorBidi" w:hAnsiTheme="majorBidi" w:cstheme="majorBidi"/>
        </w:rPr>
        <w:t xml:space="preserve"> trials. There was a co-interventions similarity in all trials.</w:t>
      </w:r>
    </w:p>
    <w:p w14:paraId="04F35044" w14:textId="1A687EA8" w:rsidR="001B2B86" w:rsidRPr="00743FCB" w:rsidRDefault="005A4645" w:rsidP="001B2B86">
      <w:pPr>
        <w:spacing w:line="360" w:lineRule="auto"/>
        <w:jc w:val="both"/>
        <w:rPr>
          <w:rFonts w:asciiTheme="majorBidi" w:hAnsiTheme="majorBidi" w:cstheme="majorBidi"/>
          <w:b/>
          <w:bCs/>
        </w:rPr>
      </w:pPr>
      <w:r>
        <w:rPr>
          <w:rFonts w:asciiTheme="majorBidi" w:hAnsiTheme="majorBidi" w:cstheme="majorBidi"/>
          <w:b/>
          <w:bCs/>
        </w:rPr>
        <w:t xml:space="preserve">Mortality and </w:t>
      </w:r>
      <w:r w:rsidR="001B2B86" w:rsidRPr="00743FCB">
        <w:rPr>
          <w:rFonts w:asciiTheme="majorBidi" w:hAnsiTheme="majorBidi" w:cstheme="majorBidi"/>
          <w:b/>
          <w:bCs/>
        </w:rPr>
        <w:t>Cardiovascular End Points</w:t>
      </w:r>
    </w:p>
    <w:p w14:paraId="055AE6B2" w14:textId="20BC34F3" w:rsidR="001B2B86" w:rsidRDefault="001B2B86" w:rsidP="00934C47">
      <w:pPr>
        <w:spacing w:line="360" w:lineRule="auto"/>
        <w:jc w:val="both"/>
        <w:rPr>
          <w:rFonts w:asciiTheme="majorBidi" w:hAnsiTheme="majorBidi" w:cstheme="majorBidi"/>
        </w:rPr>
      </w:pPr>
      <w:r w:rsidRPr="00743FCB">
        <w:rPr>
          <w:rFonts w:asciiTheme="majorBidi" w:hAnsiTheme="majorBidi" w:cstheme="majorBidi"/>
          <w:b/>
          <w:bCs/>
        </w:rPr>
        <w:lastRenderedPageBreak/>
        <w:t xml:space="preserve">        </w:t>
      </w:r>
      <w:proofErr w:type="gramStart"/>
      <w:r w:rsidR="00612134">
        <w:rPr>
          <w:rFonts w:asciiTheme="majorBidi" w:hAnsiTheme="majorBidi" w:cstheme="majorBidi"/>
        </w:rPr>
        <w:t>Six</w:t>
      </w:r>
      <w:r w:rsidR="00266257">
        <w:rPr>
          <w:rFonts w:asciiTheme="majorBidi" w:hAnsiTheme="majorBidi" w:cstheme="majorBidi"/>
          <w:vertAlign w:val="superscript"/>
        </w:rPr>
        <w:t>(</w:t>
      </w:r>
      <w:proofErr w:type="gramEnd"/>
      <w:r w:rsidR="00266257">
        <w:rPr>
          <w:rFonts w:asciiTheme="majorBidi" w:hAnsiTheme="majorBidi" w:cstheme="majorBidi"/>
          <w:vertAlign w:val="superscript"/>
        </w:rPr>
        <w:t>6</w:t>
      </w:r>
      <w:r w:rsidR="00934C47">
        <w:rPr>
          <w:rFonts w:asciiTheme="majorBidi" w:hAnsiTheme="majorBidi" w:cstheme="majorBidi"/>
          <w:vertAlign w:val="superscript"/>
        </w:rPr>
        <w:t>-</w:t>
      </w:r>
      <w:r w:rsidR="00266257">
        <w:rPr>
          <w:rFonts w:asciiTheme="majorBidi" w:hAnsiTheme="majorBidi" w:cstheme="majorBidi"/>
          <w:vertAlign w:val="superscript"/>
        </w:rPr>
        <w:t>11)</w:t>
      </w:r>
      <w:r w:rsidR="00266257">
        <w:rPr>
          <w:rFonts w:asciiTheme="majorBidi" w:hAnsiTheme="majorBidi" w:cstheme="majorBidi"/>
        </w:rPr>
        <w:t xml:space="preserve"> and three</w:t>
      </w:r>
      <w:r w:rsidR="00654260">
        <w:rPr>
          <w:rFonts w:asciiTheme="majorBidi" w:hAnsiTheme="majorBidi" w:cstheme="majorBidi"/>
          <w:vertAlign w:val="superscript"/>
        </w:rPr>
        <w:t xml:space="preserve"> </w:t>
      </w:r>
      <w:r w:rsidRPr="00743FCB">
        <w:rPr>
          <w:rFonts w:asciiTheme="majorBidi" w:hAnsiTheme="majorBidi" w:cstheme="majorBidi"/>
        </w:rPr>
        <w:t>trials</w:t>
      </w:r>
      <w:r w:rsidR="00266257">
        <w:rPr>
          <w:rFonts w:asciiTheme="majorBidi" w:hAnsiTheme="majorBidi" w:cstheme="majorBidi"/>
        </w:rPr>
        <w:t xml:space="preserve"> respectively, </w:t>
      </w:r>
      <w:r w:rsidR="00E233BB">
        <w:rPr>
          <w:rFonts w:asciiTheme="majorBidi" w:hAnsiTheme="majorBidi" w:cstheme="majorBidi"/>
        </w:rPr>
        <w:t xml:space="preserve">reported the effect of </w:t>
      </w:r>
      <w:proofErr w:type="spellStart"/>
      <w:r w:rsidR="00E233BB">
        <w:rPr>
          <w:rFonts w:asciiTheme="majorBidi" w:hAnsiTheme="majorBidi" w:cstheme="majorBidi"/>
        </w:rPr>
        <w:t>i</w:t>
      </w:r>
      <w:r w:rsidRPr="00743FCB">
        <w:rPr>
          <w:rFonts w:asciiTheme="majorBidi" w:hAnsiTheme="majorBidi" w:cstheme="majorBidi"/>
        </w:rPr>
        <w:t>vabradine</w:t>
      </w:r>
      <w:proofErr w:type="spellEnd"/>
      <w:r w:rsidRPr="00743FCB">
        <w:rPr>
          <w:rFonts w:asciiTheme="majorBidi" w:hAnsiTheme="majorBidi" w:cstheme="majorBidi"/>
        </w:rPr>
        <w:t xml:space="preserve"> compared with </w:t>
      </w:r>
      <w:r w:rsidR="003B35F7">
        <w:rPr>
          <w:rFonts w:asciiTheme="majorBidi" w:hAnsiTheme="majorBidi" w:cstheme="majorBidi"/>
        </w:rPr>
        <w:t>control</w:t>
      </w:r>
      <w:r w:rsidR="003B35F7" w:rsidRPr="00743FCB">
        <w:rPr>
          <w:rFonts w:asciiTheme="majorBidi" w:hAnsiTheme="majorBidi" w:cstheme="majorBidi"/>
        </w:rPr>
        <w:t xml:space="preserve"> </w:t>
      </w:r>
      <w:r w:rsidRPr="00743FCB">
        <w:rPr>
          <w:rFonts w:asciiTheme="majorBidi" w:hAnsiTheme="majorBidi" w:cstheme="majorBidi"/>
        </w:rPr>
        <w:t>on mortality</w:t>
      </w:r>
      <w:r w:rsidR="00E233BB">
        <w:rPr>
          <w:rFonts w:asciiTheme="majorBidi" w:hAnsiTheme="majorBidi" w:cstheme="majorBidi"/>
        </w:rPr>
        <w:t xml:space="preserve"> and cardiovascular mortality</w:t>
      </w:r>
      <w:r w:rsidRPr="00743FCB">
        <w:rPr>
          <w:rFonts w:asciiTheme="majorBidi" w:hAnsiTheme="majorBidi" w:cstheme="majorBidi"/>
        </w:rPr>
        <w:t>. Ivabradine did not always lower all-cause mortality (summary RR,0.97</w:t>
      </w:r>
      <w:r w:rsidR="00612134" w:rsidRPr="00743FCB">
        <w:rPr>
          <w:rFonts w:asciiTheme="majorBidi" w:hAnsiTheme="majorBidi" w:cstheme="majorBidi"/>
        </w:rPr>
        <w:t xml:space="preserve"> </w:t>
      </w:r>
      <w:r w:rsidRPr="00743FCB">
        <w:rPr>
          <w:rFonts w:asciiTheme="majorBidi" w:hAnsiTheme="majorBidi" w:cstheme="majorBidi"/>
        </w:rPr>
        <w:t xml:space="preserve">[CI, </w:t>
      </w:r>
      <w:r w:rsidR="00612134">
        <w:rPr>
          <w:rFonts w:asciiTheme="majorBidi" w:hAnsiTheme="majorBidi" w:cstheme="majorBidi"/>
        </w:rPr>
        <w:t>0.89</w:t>
      </w:r>
      <w:r w:rsidRPr="00743FCB">
        <w:rPr>
          <w:rFonts w:asciiTheme="majorBidi" w:hAnsiTheme="majorBidi" w:cstheme="majorBidi"/>
        </w:rPr>
        <w:t xml:space="preserve"> to 1.0</w:t>
      </w:r>
      <w:r w:rsidR="00612134">
        <w:rPr>
          <w:rFonts w:asciiTheme="majorBidi" w:hAnsiTheme="majorBidi" w:cstheme="majorBidi"/>
        </w:rPr>
        <w:t>7</w:t>
      </w:r>
      <w:r w:rsidRPr="00743FCB">
        <w:rPr>
          <w:rFonts w:asciiTheme="majorBidi" w:hAnsiTheme="majorBidi" w:cstheme="majorBidi"/>
        </w:rPr>
        <w:t>]; I</w:t>
      </w:r>
      <w:r w:rsidRPr="00743FCB">
        <w:rPr>
          <w:rFonts w:asciiTheme="majorBidi" w:hAnsiTheme="majorBidi" w:cstheme="majorBidi"/>
          <w:vertAlign w:val="superscript"/>
        </w:rPr>
        <w:t>2</w:t>
      </w:r>
      <w:r w:rsidRPr="00743FCB">
        <w:rPr>
          <w:rFonts w:asciiTheme="majorBidi" w:hAnsiTheme="majorBidi" w:cstheme="majorBidi"/>
        </w:rPr>
        <w:t xml:space="preserve"> =</w:t>
      </w:r>
      <w:r w:rsidR="00612134">
        <w:rPr>
          <w:rFonts w:asciiTheme="majorBidi" w:hAnsiTheme="majorBidi" w:cstheme="majorBidi"/>
        </w:rPr>
        <w:t>11</w:t>
      </w:r>
      <w:r w:rsidR="00266257">
        <w:rPr>
          <w:rFonts w:asciiTheme="majorBidi" w:hAnsiTheme="majorBidi" w:cstheme="majorBidi"/>
        </w:rPr>
        <w:t>%) (figure 2) and cardiovascular mortali</w:t>
      </w:r>
      <w:r w:rsidR="00D26FD7">
        <w:rPr>
          <w:rFonts w:asciiTheme="majorBidi" w:hAnsiTheme="majorBidi" w:cstheme="majorBidi"/>
        </w:rPr>
        <w:t>ty</w:t>
      </w:r>
      <w:r w:rsidRPr="00743FCB">
        <w:rPr>
          <w:rFonts w:asciiTheme="majorBidi" w:hAnsiTheme="majorBidi" w:cstheme="majorBidi"/>
        </w:rPr>
        <w:t xml:space="preserve"> </w:t>
      </w:r>
      <w:r w:rsidR="00D26FD7" w:rsidRPr="00743FCB">
        <w:rPr>
          <w:rFonts w:asciiTheme="majorBidi" w:hAnsiTheme="majorBidi" w:cstheme="majorBidi"/>
        </w:rPr>
        <w:t>(summary RR,</w:t>
      </w:r>
      <w:r w:rsidR="00D26FD7">
        <w:rPr>
          <w:rFonts w:asciiTheme="majorBidi" w:hAnsiTheme="majorBidi" w:cstheme="majorBidi"/>
        </w:rPr>
        <w:t>1.01</w:t>
      </w:r>
      <w:r w:rsidR="00D26FD7" w:rsidRPr="00743FCB">
        <w:rPr>
          <w:rFonts w:asciiTheme="majorBidi" w:hAnsiTheme="majorBidi" w:cstheme="majorBidi"/>
        </w:rPr>
        <w:t xml:space="preserve"> [CI, </w:t>
      </w:r>
      <w:r w:rsidR="00D26FD7">
        <w:rPr>
          <w:rFonts w:asciiTheme="majorBidi" w:hAnsiTheme="majorBidi" w:cstheme="majorBidi"/>
        </w:rPr>
        <w:t>0.82</w:t>
      </w:r>
      <w:r w:rsidR="00D26FD7" w:rsidRPr="00743FCB">
        <w:rPr>
          <w:rFonts w:asciiTheme="majorBidi" w:hAnsiTheme="majorBidi" w:cstheme="majorBidi"/>
        </w:rPr>
        <w:t xml:space="preserve"> to 1.</w:t>
      </w:r>
      <w:r w:rsidR="00D26FD7">
        <w:rPr>
          <w:rFonts w:asciiTheme="majorBidi" w:hAnsiTheme="majorBidi" w:cstheme="majorBidi"/>
        </w:rPr>
        <w:t>24</w:t>
      </w:r>
      <w:r w:rsidR="00D26FD7" w:rsidRPr="00743FCB">
        <w:rPr>
          <w:rFonts w:asciiTheme="majorBidi" w:hAnsiTheme="majorBidi" w:cstheme="majorBidi"/>
        </w:rPr>
        <w:t>]; I</w:t>
      </w:r>
      <w:r w:rsidR="00D26FD7" w:rsidRPr="00743FCB">
        <w:rPr>
          <w:rFonts w:asciiTheme="majorBidi" w:hAnsiTheme="majorBidi" w:cstheme="majorBidi"/>
          <w:vertAlign w:val="superscript"/>
        </w:rPr>
        <w:t>2</w:t>
      </w:r>
      <w:r w:rsidR="00D26FD7" w:rsidRPr="00743FCB">
        <w:rPr>
          <w:rFonts w:asciiTheme="majorBidi" w:hAnsiTheme="majorBidi" w:cstheme="majorBidi"/>
        </w:rPr>
        <w:t xml:space="preserve"> =</w:t>
      </w:r>
      <w:r w:rsidR="00D26FD7">
        <w:rPr>
          <w:rFonts w:asciiTheme="majorBidi" w:hAnsiTheme="majorBidi" w:cstheme="majorBidi"/>
        </w:rPr>
        <w:t>71%) (</w:t>
      </w:r>
      <w:r w:rsidR="00FE5B60" w:rsidRPr="00743FCB">
        <w:rPr>
          <w:rFonts w:asciiTheme="majorBidi" w:hAnsiTheme="majorBidi" w:cstheme="majorBidi"/>
          <w:i/>
          <w:iCs/>
        </w:rPr>
        <w:t xml:space="preserve">Appendix </w:t>
      </w:r>
      <w:r w:rsidR="00FE5B60">
        <w:rPr>
          <w:rFonts w:asciiTheme="majorBidi" w:hAnsiTheme="majorBidi" w:cstheme="majorBidi"/>
          <w:i/>
          <w:iCs/>
        </w:rPr>
        <w:t>figure</w:t>
      </w:r>
      <w:r w:rsidR="00FE5B60" w:rsidRPr="00743FCB">
        <w:rPr>
          <w:rFonts w:asciiTheme="majorBidi" w:hAnsiTheme="majorBidi" w:cstheme="majorBidi"/>
          <w:i/>
          <w:iCs/>
        </w:rPr>
        <w:t xml:space="preserve"> </w:t>
      </w:r>
      <w:r w:rsidR="00FE5B60">
        <w:rPr>
          <w:rFonts w:asciiTheme="majorBidi" w:hAnsiTheme="majorBidi" w:cstheme="majorBidi"/>
          <w:i/>
          <w:iCs/>
        </w:rPr>
        <w:t>1</w:t>
      </w:r>
      <w:r w:rsidR="00D26FD7">
        <w:rPr>
          <w:rFonts w:asciiTheme="majorBidi" w:hAnsiTheme="majorBidi" w:cstheme="majorBidi"/>
        </w:rPr>
        <w:t xml:space="preserve">) </w:t>
      </w:r>
      <w:r w:rsidRPr="00743FCB">
        <w:rPr>
          <w:rFonts w:asciiTheme="majorBidi" w:hAnsiTheme="majorBidi" w:cstheme="majorBidi"/>
        </w:rPr>
        <w:t xml:space="preserve">and </w:t>
      </w:r>
      <w:r w:rsidR="00612134">
        <w:rPr>
          <w:rFonts w:asciiTheme="majorBidi" w:hAnsiTheme="majorBidi" w:cstheme="majorBidi"/>
        </w:rPr>
        <w:t>four trials r</w:t>
      </w:r>
      <w:r w:rsidR="00E233BB">
        <w:rPr>
          <w:rFonts w:asciiTheme="majorBidi" w:hAnsiTheme="majorBidi" w:cstheme="majorBidi"/>
        </w:rPr>
        <w:t xml:space="preserve">eported the effect of </w:t>
      </w:r>
      <w:proofErr w:type="spellStart"/>
      <w:r w:rsidR="00E233BB">
        <w:rPr>
          <w:rFonts w:asciiTheme="majorBidi" w:hAnsiTheme="majorBidi" w:cstheme="majorBidi"/>
        </w:rPr>
        <w:t>i</w:t>
      </w:r>
      <w:r w:rsidR="00612134" w:rsidRPr="00743FCB">
        <w:rPr>
          <w:rFonts w:asciiTheme="majorBidi" w:hAnsiTheme="majorBidi" w:cstheme="majorBidi"/>
        </w:rPr>
        <w:t>vabradine</w:t>
      </w:r>
      <w:proofErr w:type="spellEnd"/>
      <w:r w:rsidR="00612134" w:rsidRPr="00743FCB">
        <w:rPr>
          <w:rFonts w:asciiTheme="majorBidi" w:hAnsiTheme="majorBidi" w:cstheme="majorBidi"/>
        </w:rPr>
        <w:t xml:space="preserve"> compared with </w:t>
      </w:r>
      <w:r w:rsidR="003B35F7">
        <w:rPr>
          <w:rFonts w:asciiTheme="majorBidi" w:hAnsiTheme="majorBidi" w:cstheme="majorBidi"/>
        </w:rPr>
        <w:t>control</w:t>
      </w:r>
      <w:r w:rsidR="003B35F7" w:rsidRPr="00743FCB">
        <w:rPr>
          <w:rFonts w:asciiTheme="majorBidi" w:hAnsiTheme="majorBidi" w:cstheme="majorBidi"/>
        </w:rPr>
        <w:t xml:space="preserve"> </w:t>
      </w:r>
      <w:r w:rsidR="00612134" w:rsidRPr="00743FCB">
        <w:rPr>
          <w:rFonts w:asciiTheme="majorBidi" w:hAnsiTheme="majorBidi" w:cstheme="majorBidi"/>
        </w:rPr>
        <w:t>on</w:t>
      </w:r>
      <w:r w:rsidR="00612134">
        <w:rPr>
          <w:rFonts w:asciiTheme="majorBidi" w:hAnsiTheme="majorBidi" w:cstheme="majorBidi"/>
        </w:rPr>
        <w:t xml:space="preserve"> </w:t>
      </w:r>
      <w:r w:rsidRPr="00743FCB">
        <w:rPr>
          <w:rFonts w:asciiTheme="majorBidi" w:hAnsiTheme="majorBidi" w:cstheme="majorBidi"/>
        </w:rPr>
        <w:t>hospital readmission (summary RR,0.8</w:t>
      </w:r>
      <w:r w:rsidR="00612134">
        <w:rPr>
          <w:rFonts w:asciiTheme="majorBidi" w:hAnsiTheme="majorBidi" w:cstheme="majorBidi"/>
        </w:rPr>
        <w:t>4</w:t>
      </w:r>
      <w:r w:rsidRPr="00743FCB">
        <w:rPr>
          <w:rFonts w:asciiTheme="majorBidi" w:hAnsiTheme="majorBidi" w:cstheme="majorBidi"/>
        </w:rPr>
        <w:t>[CI, 0.6</w:t>
      </w:r>
      <w:r w:rsidR="00026707">
        <w:rPr>
          <w:rFonts w:asciiTheme="majorBidi" w:hAnsiTheme="majorBidi" w:cstheme="majorBidi"/>
        </w:rPr>
        <w:t>6</w:t>
      </w:r>
      <w:r w:rsidRPr="00743FCB">
        <w:rPr>
          <w:rFonts w:asciiTheme="majorBidi" w:hAnsiTheme="majorBidi" w:cstheme="majorBidi"/>
        </w:rPr>
        <w:t xml:space="preserve"> to 1.07]; I</w:t>
      </w:r>
      <w:r w:rsidRPr="00743FCB">
        <w:rPr>
          <w:rFonts w:asciiTheme="majorBidi" w:hAnsiTheme="majorBidi" w:cstheme="majorBidi"/>
          <w:vertAlign w:val="superscript"/>
        </w:rPr>
        <w:t>2</w:t>
      </w:r>
      <w:r w:rsidRPr="00743FCB">
        <w:rPr>
          <w:rFonts w:asciiTheme="majorBidi" w:hAnsiTheme="majorBidi" w:cstheme="majorBidi"/>
        </w:rPr>
        <w:t xml:space="preserve"> =</w:t>
      </w:r>
      <w:r w:rsidR="00026707">
        <w:rPr>
          <w:rFonts w:asciiTheme="majorBidi" w:hAnsiTheme="majorBidi" w:cstheme="majorBidi"/>
        </w:rPr>
        <w:t>73</w:t>
      </w:r>
      <w:r w:rsidRPr="00743FCB">
        <w:rPr>
          <w:rFonts w:asciiTheme="majorBidi" w:hAnsiTheme="majorBidi" w:cstheme="majorBidi"/>
        </w:rPr>
        <w:t xml:space="preserve">%). (figure </w:t>
      </w:r>
      <w:r w:rsidR="00905A04">
        <w:rPr>
          <w:rFonts w:asciiTheme="majorBidi" w:hAnsiTheme="majorBidi" w:cstheme="majorBidi"/>
        </w:rPr>
        <w:t>3</w:t>
      </w:r>
      <w:r w:rsidRPr="00743FCB">
        <w:rPr>
          <w:rFonts w:asciiTheme="majorBidi" w:hAnsiTheme="majorBidi" w:cstheme="majorBidi"/>
        </w:rPr>
        <w:t xml:space="preserve">). A mean difference in change from baseline in percentage of ejection fraction (EF) was calculated for </w:t>
      </w:r>
      <w:r w:rsidR="00EC55A3">
        <w:rPr>
          <w:rFonts w:asciiTheme="majorBidi" w:hAnsiTheme="majorBidi" w:cstheme="majorBidi"/>
        </w:rPr>
        <w:t>five</w:t>
      </w:r>
      <w:r w:rsidRPr="00743FCB">
        <w:rPr>
          <w:rFonts w:asciiTheme="majorBidi" w:hAnsiTheme="majorBidi" w:cstheme="majorBidi"/>
        </w:rPr>
        <w:t xml:space="preserve"> trials</w:t>
      </w:r>
      <w:r w:rsidR="00EC55A3">
        <w:rPr>
          <w:rFonts w:asciiTheme="majorBidi" w:hAnsiTheme="majorBidi" w:cstheme="majorBidi"/>
        </w:rPr>
        <w:t>,</w:t>
      </w:r>
      <w:r w:rsidRPr="00743FCB">
        <w:rPr>
          <w:rFonts w:asciiTheme="majorBidi" w:hAnsiTheme="majorBidi" w:cstheme="majorBidi"/>
        </w:rPr>
        <w:t xml:space="preserve"> and </w:t>
      </w:r>
      <w:r w:rsidR="00E233BB">
        <w:rPr>
          <w:rFonts w:asciiTheme="majorBidi" w:hAnsiTheme="majorBidi" w:cstheme="majorBidi"/>
        </w:rPr>
        <w:t xml:space="preserve">overall, patients treated with </w:t>
      </w:r>
      <w:proofErr w:type="spellStart"/>
      <w:r w:rsidR="00E233BB">
        <w:rPr>
          <w:rFonts w:asciiTheme="majorBidi" w:hAnsiTheme="majorBidi" w:cstheme="majorBidi"/>
        </w:rPr>
        <w:t>i</w:t>
      </w:r>
      <w:r w:rsidRPr="00743FCB">
        <w:rPr>
          <w:rFonts w:asciiTheme="majorBidi" w:hAnsiTheme="majorBidi" w:cstheme="majorBidi"/>
        </w:rPr>
        <w:t>vabradine</w:t>
      </w:r>
      <w:proofErr w:type="spellEnd"/>
      <w:r w:rsidRPr="00743FCB">
        <w:rPr>
          <w:rFonts w:asciiTheme="majorBidi" w:hAnsiTheme="majorBidi" w:cstheme="majorBidi"/>
        </w:rPr>
        <w:t xml:space="preserve"> had an increase in EF by 3 % as compared with </w:t>
      </w:r>
      <w:r w:rsidR="003B35F7">
        <w:rPr>
          <w:rFonts w:asciiTheme="majorBidi" w:hAnsiTheme="majorBidi" w:cstheme="majorBidi"/>
        </w:rPr>
        <w:t>control</w:t>
      </w:r>
      <w:r w:rsidR="003B35F7" w:rsidRPr="00743FCB">
        <w:rPr>
          <w:rFonts w:asciiTheme="majorBidi" w:hAnsiTheme="majorBidi" w:cstheme="majorBidi"/>
        </w:rPr>
        <w:t xml:space="preserve"> </w:t>
      </w:r>
      <w:r w:rsidRPr="00743FCB">
        <w:rPr>
          <w:rFonts w:asciiTheme="majorBidi" w:hAnsiTheme="majorBidi" w:cstheme="majorBidi"/>
        </w:rPr>
        <w:t>(summary RR, 3.</w:t>
      </w:r>
      <w:r w:rsidR="00EC55A3">
        <w:rPr>
          <w:rFonts w:asciiTheme="majorBidi" w:hAnsiTheme="majorBidi" w:cstheme="majorBidi"/>
        </w:rPr>
        <w:t>27</w:t>
      </w:r>
      <w:r w:rsidRPr="00743FCB">
        <w:rPr>
          <w:rFonts w:asciiTheme="majorBidi" w:hAnsiTheme="majorBidi" w:cstheme="majorBidi"/>
        </w:rPr>
        <w:t xml:space="preserve"> [CI, </w:t>
      </w:r>
      <w:r w:rsidR="00EC55A3">
        <w:rPr>
          <w:rFonts w:asciiTheme="majorBidi" w:hAnsiTheme="majorBidi" w:cstheme="majorBidi"/>
        </w:rPr>
        <w:t>2.08</w:t>
      </w:r>
      <w:r w:rsidRPr="00743FCB">
        <w:rPr>
          <w:rFonts w:asciiTheme="majorBidi" w:hAnsiTheme="majorBidi" w:cstheme="majorBidi"/>
        </w:rPr>
        <w:t xml:space="preserve"> to </w:t>
      </w:r>
      <w:r w:rsidR="00EC55A3">
        <w:rPr>
          <w:rFonts w:asciiTheme="majorBidi" w:hAnsiTheme="majorBidi" w:cstheme="majorBidi"/>
        </w:rPr>
        <w:t>4.45</w:t>
      </w:r>
      <w:r w:rsidRPr="00743FCB">
        <w:rPr>
          <w:rFonts w:asciiTheme="majorBidi" w:hAnsiTheme="majorBidi" w:cstheme="majorBidi"/>
        </w:rPr>
        <w:t>]; I</w:t>
      </w:r>
      <w:r w:rsidRPr="00743FCB">
        <w:rPr>
          <w:rFonts w:asciiTheme="majorBidi" w:hAnsiTheme="majorBidi" w:cstheme="majorBidi"/>
          <w:vertAlign w:val="superscript"/>
        </w:rPr>
        <w:t>2</w:t>
      </w:r>
      <w:r w:rsidRPr="00743FCB">
        <w:rPr>
          <w:rFonts w:asciiTheme="majorBidi" w:hAnsiTheme="majorBidi" w:cstheme="majorBidi"/>
        </w:rPr>
        <w:t xml:space="preserve"> =</w:t>
      </w:r>
      <w:r w:rsidR="00EC55A3">
        <w:rPr>
          <w:rFonts w:asciiTheme="majorBidi" w:hAnsiTheme="majorBidi" w:cstheme="majorBidi"/>
        </w:rPr>
        <w:t>26</w:t>
      </w:r>
      <w:r w:rsidRPr="00743FCB">
        <w:rPr>
          <w:rFonts w:asciiTheme="majorBidi" w:hAnsiTheme="majorBidi" w:cstheme="majorBidi"/>
        </w:rPr>
        <w:t xml:space="preserve">%) (figure </w:t>
      </w:r>
      <w:r w:rsidR="00905A04">
        <w:rPr>
          <w:rFonts w:asciiTheme="majorBidi" w:hAnsiTheme="majorBidi" w:cstheme="majorBidi"/>
        </w:rPr>
        <w:t>4</w:t>
      </w:r>
      <w:r w:rsidRPr="00743FCB">
        <w:rPr>
          <w:rFonts w:asciiTheme="majorBidi" w:hAnsiTheme="majorBidi" w:cstheme="majorBidi"/>
        </w:rPr>
        <w:t xml:space="preserve">). </w:t>
      </w:r>
      <w:r w:rsidR="00DB6874" w:rsidRPr="00743FCB">
        <w:rPr>
          <w:rFonts w:asciiTheme="majorBidi" w:hAnsiTheme="majorBidi" w:cstheme="majorBidi"/>
        </w:rPr>
        <w:t>A mean difference in change from baseline in percentage of</w:t>
      </w:r>
      <w:r w:rsidR="00DB6874">
        <w:rPr>
          <w:rFonts w:asciiTheme="majorBidi" w:hAnsiTheme="majorBidi" w:cstheme="majorBidi"/>
        </w:rPr>
        <w:t xml:space="preserve"> heart rate</w:t>
      </w:r>
      <w:r w:rsidR="00715230">
        <w:rPr>
          <w:rFonts w:asciiTheme="majorBidi" w:hAnsiTheme="majorBidi" w:cstheme="majorBidi"/>
        </w:rPr>
        <w:t xml:space="preserve"> was calculated for four trials, and there was no statistically significant difference </w:t>
      </w:r>
      <w:r w:rsidR="00A464F5">
        <w:rPr>
          <w:rFonts w:asciiTheme="majorBidi" w:hAnsiTheme="majorBidi" w:cstheme="majorBidi"/>
        </w:rPr>
        <w:t xml:space="preserve">between </w:t>
      </w:r>
      <w:proofErr w:type="spellStart"/>
      <w:r w:rsidR="00A464F5">
        <w:rPr>
          <w:rFonts w:asciiTheme="majorBidi" w:hAnsiTheme="majorBidi" w:cstheme="majorBidi"/>
        </w:rPr>
        <w:t>ivabradine</w:t>
      </w:r>
      <w:proofErr w:type="spellEnd"/>
      <w:r w:rsidR="00A464F5">
        <w:rPr>
          <w:rFonts w:asciiTheme="majorBidi" w:hAnsiTheme="majorBidi" w:cstheme="majorBidi"/>
        </w:rPr>
        <w:t xml:space="preserve"> and </w:t>
      </w:r>
      <w:r w:rsidR="003B35F7">
        <w:rPr>
          <w:rFonts w:asciiTheme="majorBidi" w:hAnsiTheme="majorBidi" w:cstheme="majorBidi"/>
        </w:rPr>
        <w:t>control</w:t>
      </w:r>
      <w:r w:rsidR="003B35F7" w:rsidRPr="00743FCB">
        <w:rPr>
          <w:rFonts w:asciiTheme="majorBidi" w:hAnsiTheme="majorBidi" w:cstheme="majorBidi"/>
        </w:rPr>
        <w:t xml:space="preserve"> </w:t>
      </w:r>
      <w:r w:rsidR="005B1549" w:rsidRPr="00743FCB">
        <w:rPr>
          <w:rFonts w:asciiTheme="majorBidi" w:hAnsiTheme="majorBidi" w:cstheme="majorBidi"/>
        </w:rPr>
        <w:t xml:space="preserve">(summary RR, </w:t>
      </w:r>
      <w:r w:rsidR="005B1549">
        <w:rPr>
          <w:rFonts w:asciiTheme="majorBidi" w:hAnsiTheme="majorBidi" w:cstheme="majorBidi"/>
        </w:rPr>
        <w:t>0.59</w:t>
      </w:r>
      <w:r w:rsidR="005B1549" w:rsidRPr="00743FCB">
        <w:rPr>
          <w:rFonts w:asciiTheme="majorBidi" w:hAnsiTheme="majorBidi" w:cstheme="majorBidi"/>
        </w:rPr>
        <w:t xml:space="preserve"> [CI, </w:t>
      </w:r>
      <w:r w:rsidR="005B1549">
        <w:rPr>
          <w:rFonts w:asciiTheme="majorBidi" w:hAnsiTheme="majorBidi" w:cstheme="majorBidi"/>
        </w:rPr>
        <w:t>-0.08</w:t>
      </w:r>
      <w:r w:rsidR="005B1549" w:rsidRPr="00743FCB">
        <w:rPr>
          <w:rFonts w:asciiTheme="majorBidi" w:hAnsiTheme="majorBidi" w:cstheme="majorBidi"/>
        </w:rPr>
        <w:t xml:space="preserve"> to </w:t>
      </w:r>
      <w:r w:rsidR="005B1549">
        <w:rPr>
          <w:rFonts w:asciiTheme="majorBidi" w:hAnsiTheme="majorBidi" w:cstheme="majorBidi"/>
        </w:rPr>
        <w:t>1.26</w:t>
      </w:r>
      <w:r w:rsidR="005B1549" w:rsidRPr="00743FCB">
        <w:rPr>
          <w:rFonts w:asciiTheme="majorBidi" w:hAnsiTheme="majorBidi" w:cstheme="majorBidi"/>
        </w:rPr>
        <w:t>]; I</w:t>
      </w:r>
      <w:r w:rsidR="005B1549" w:rsidRPr="00743FCB">
        <w:rPr>
          <w:rFonts w:asciiTheme="majorBidi" w:hAnsiTheme="majorBidi" w:cstheme="majorBidi"/>
          <w:vertAlign w:val="superscript"/>
        </w:rPr>
        <w:t>2</w:t>
      </w:r>
      <w:r w:rsidR="005B1549" w:rsidRPr="00743FCB">
        <w:rPr>
          <w:rFonts w:asciiTheme="majorBidi" w:hAnsiTheme="majorBidi" w:cstheme="majorBidi"/>
        </w:rPr>
        <w:t xml:space="preserve"> =</w:t>
      </w:r>
      <w:r w:rsidR="005B1549">
        <w:rPr>
          <w:rFonts w:asciiTheme="majorBidi" w:hAnsiTheme="majorBidi" w:cstheme="majorBidi"/>
        </w:rPr>
        <w:t>93</w:t>
      </w:r>
      <w:r w:rsidR="005B1549" w:rsidRPr="00743FCB">
        <w:rPr>
          <w:rFonts w:asciiTheme="majorBidi" w:hAnsiTheme="majorBidi" w:cstheme="majorBidi"/>
        </w:rPr>
        <w:t>%)</w:t>
      </w:r>
      <w:r w:rsidRPr="00743FCB">
        <w:rPr>
          <w:rFonts w:asciiTheme="majorBidi" w:hAnsiTheme="majorBidi" w:cstheme="majorBidi"/>
        </w:rPr>
        <w:t xml:space="preserve"> (</w:t>
      </w:r>
      <w:r w:rsidR="00D57F38" w:rsidRPr="00743FCB">
        <w:rPr>
          <w:rFonts w:asciiTheme="majorBidi" w:hAnsiTheme="majorBidi" w:cstheme="majorBidi"/>
          <w:i/>
          <w:iCs/>
        </w:rPr>
        <w:t xml:space="preserve">Appendix </w:t>
      </w:r>
      <w:r w:rsidR="005B1549">
        <w:rPr>
          <w:rFonts w:asciiTheme="majorBidi" w:hAnsiTheme="majorBidi" w:cstheme="majorBidi"/>
          <w:i/>
          <w:iCs/>
        </w:rPr>
        <w:t>figure</w:t>
      </w:r>
      <w:r w:rsidRPr="00743FCB">
        <w:rPr>
          <w:rFonts w:asciiTheme="majorBidi" w:hAnsiTheme="majorBidi" w:cstheme="majorBidi"/>
          <w:i/>
          <w:iCs/>
        </w:rPr>
        <w:t xml:space="preserve"> </w:t>
      </w:r>
      <w:r w:rsidR="00905A04">
        <w:rPr>
          <w:rFonts w:asciiTheme="majorBidi" w:hAnsiTheme="majorBidi" w:cstheme="majorBidi"/>
          <w:i/>
          <w:iCs/>
        </w:rPr>
        <w:t>2</w:t>
      </w:r>
      <w:r w:rsidRPr="00743FCB">
        <w:rPr>
          <w:rFonts w:asciiTheme="majorBidi" w:hAnsiTheme="majorBidi" w:cstheme="majorBidi"/>
        </w:rPr>
        <w:t>).</w:t>
      </w:r>
    </w:p>
    <w:p w14:paraId="27C6B9DF" w14:textId="24AA8E37" w:rsidR="00A85DB0" w:rsidRDefault="008E0EEF" w:rsidP="00DB6874">
      <w:pPr>
        <w:spacing w:line="360" w:lineRule="auto"/>
        <w:jc w:val="both"/>
        <w:rPr>
          <w:rFonts w:asciiTheme="majorBidi" w:hAnsiTheme="majorBidi" w:cstheme="majorBidi"/>
        </w:rPr>
      </w:pPr>
      <w:r>
        <w:rPr>
          <w:noProof/>
        </w:rPr>
        <w:drawing>
          <wp:anchor distT="0" distB="0" distL="114300" distR="114300" simplePos="0" relativeHeight="251740160" behindDoc="0" locked="0" layoutInCell="1" allowOverlap="1" wp14:anchorId="12EF6F67" wp14:editId="03E1FFD7">
            <wp:simplePos x="0" y="0"/>
            <wp:positionH relativeFrom="margin">
              <wp:posOffset>504190</wp:posOffset>
            </wp:positionH>
            <wp:positionV relativeFrom="margin">
              <wp:posOffset>2969260</wp:posOffset>
            </wp:positionV>
            <wp:extent cx="5116195" cy="1945640"/>
            <wp:effectExtent l="76200" t="76200" r="141605" b="1625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18 at 7.30.38 PM.png"/>
                    <pic:cNvPicPr/>
                  </pic:nvPicPr>
                  <pic:blipFill rotWithShape="1">
                    <a:blip r:embed="rId9">
                      <a:extLst>
                        <a:ext uri="{28A0092B-C50C-407E-A947-70E740481C1C}">
                          <a14:useLocalDpi xmlns:a14="http://schemas.microsoft.com/office/drawing/2010/main" val="0"/>
                        </a:ext>
                      </a:extLst>
                    </a:blip>
                    <a:srcRect l="6550" t="32105" r="9241" b="16006"/>
                    <a:stretch/>
                  </pic:blipFill>
                  <pic:spPr bwMode="auto">
                    <a:xfrm>
                      <a:off x="0" y="0"/>
                      <a:ext cx="5116195" cy="194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5AB3A" w14:textId="6248F9F8" w:rsidR="00A85DB0" w:rsidRPr="00743FCB" w:rsidRDefault="00A85DB0" w:rsidP="00DB6874">
      <w:pPr>
        <w:spacing w:line="360" w:lineRule="auto"/>
        <w:jc w:val="both"/>
        <w:rPr>
          <w:rFonts w:asciiTheme="majorBidi" w:hAnsiTheme="majorBidi" w:cstheme="majorBidi"/>
        </w:rPr>
      </w:pPr>
    </w:p>
    <w:p w14:paraId="0B50F1AA" w14:textId="7CC9641D" w:rsidR="001B2B86" w:rsidRDefault="001B2B86" w:rsidP="001B2B86">
      <w:pPr>
        <w:spacing w:line="360" w:lineRule="auto"/>
        <w:jc w:val="both"/>
        <w:rPr>
          <w:rFonts w:asciiTheme="majorBidi" w:hAnsiTheme="majorBidi" w:cstheme="majorBidi"/>
          <w:b/>
          <w:bCs/>
        </w:rPr>
      </w:pPr>
    </w:p>
    <w:p w14:paraId="7F18D82F" w14:textId="3395036C" w:rsidR="00A85DB0" w:rsidRPr="00743FCB" w:rsidRDefault="00A85DB0" w:rsidP="001B2B86">
      <w:pPr>
        <w:spacing w:line="360" w:lineRule="auto"/>
        <w:jc w:val="both"/>
        <w:rPr>
          <w:rFonts w:asciiTheme="majorBidi" w:hAnsiTheme="majorBidi" w:cstheme="majorBidi"/>
          <w:b/>
          <w:bCs/>
        </w:rPr>
      </w:pPr>
    </w:p>
    <w:p w14:paraId="1B248003" w14:textId="77777777" w:rsidR="00A85DB0" w:rsidRDefault="00A85DB0" w:rsidP="00A85DB0">
      <w:pPr>
        <w:spacing w:line="360" w:lineRule="auto"/>
        <w:jc w:val="both"/>
        <w:rPr>
          <w:rFonts w:asciiTheme="majorBidi" w:hAnsiTheme="majorBidi" w:cstheme="majorBidi"/>
          <w:b/>
          <w:bCs/>
        </w:rPr>
      </w:pPr>
    </w:p>
    <w:p w14:paraId="77DDBB7D" w14:textId="77777777" w:rsidR="00A85DB0" w:rsidRDefault="00A85DB0" w:rsidP="00A85DB0">
      <w:pPr>
        <w:spacing w:line="360" w:lineRule="auto"/>
        <w:jc w:val="both"/>
        <w:rPr>
          <w:rFonts w:asciiTheme="majorBidi" w:hAnsiTheme="majorBidi" w:cstheme="majorBidi"/>
          <w:b/>
          <w:bCs/>
        </w:rPr>
      </w:pPr>
    </w:p>
    <w:p w14:paraId="4E54304B" w14:textId="77777777" w:rsidR="006D745A" w:rsidRDefault="006D745A" w:rsidP="00A85DB0">
      <w:pPr>
        <w:spacing w:line="360" w:lineRule="auto"/>
        <w:jc w:val="both"/>
        <w:rPr>
          <w:rFonts w:asciiTheme="majorBidi" w:hAnsiTheme="majorBidi" w:cstheme="majorBidi"/>
          <w:b/>
          <w:bCs/>
        </w:rPr>
      </w:pPr>
    </w:p>
    <w:p w14:paraId="5414BF7F" w14:textId="67CD1A6F" w:rsidR="00D57F38" w:rsidRPr="00743FCB" w:rsidRDefault="00D57F38" w:rsidP="00A85DB0">
      <w:pPr>
        <w:spacing w:line="360" w:lineRule="auto"/>
        <w:jc w:val="both"/>
        <w:rPr>
          <w:rFonts w:asciiTheme="majorBidi" w:hAnsiTheme="majorBidi" w:cstheme="majorBidi"/>
          <w:b/>
          <w:bCs/>
        </w:rPr>
      </w:pPr>
    </w:p>
    <w:p w14:paraId="3B0343B4" w14:textId="427BF9C7" w:rsidR="00D57F38" w:rsidRDefault="00256F35" w:rsidP="001B2B86">
      <w:pPr>
        <w:spacing w:line="360" w:lineRule="auto"/>
        <w:jc w:val="both"/>
        <w:rPr>
          <w:rFonts w:asciiTheme="majorBidi" w:hAnsiTheme="majorBidi" w:cstheme="majorBidi"/>
          <w:b/>
          <w:bCs/>
        </w:rPr>
      </w:pPr>
      <w:r w:rsidRPr="00743FCB">
        <w:rPr>
          <w:rFonts w:asciiTheme="majorBidi" w:hAnsiTheme="majorBidi" w:cstheme="majorBidi"/>
          <w:noProof/>
        </w:rPr>
        <mc:AlternateContent>
          <mc:Choice Requires="wps">
            <w:drawing>
              <wp:anchor distT="0" distB="0" distL="114300" distR="114300" simplePos="0" relativeHeight="251706368" behindDoc="0" locked="0" layoutInCell="1" allowOverlap="1" wp14:anchorId="584F573A" wp14:editId="2684FFCA">
                <wp:simplePos x="0" y="0"/>
                <wp:positionH relativeFrom="column">
                  <wp:posOffset>1310005</wp:posOffset>
                </wp:positionH>
                <wp:positionV relativeFrom="paragraph">
                  <wp:posOffset>36195</wp:posOffset>
                </wp:positionV>
                <wp:extent cx="3709035" cy="309245"/>
                <wp:effectExtent l="0" t="0" r="24765" b="20955"/>
                <wp:wrapSquare wrapText="bothSides"/>
                <wp:docPr id="6" name="Text Box 6"/>
                <wp:cNvGraphicFramePr/>
                <a:graphic xmlns:a="http://schemas.openxmlformats.org/drawingml/2006/main">
                  <a:graphicData uri="http://schemas.microsoft.com/office/word/2010/wordprocessingShape">
                    <wps:wsp>
                      <wps:cNvSpPr txBox="1"/>
                      <wps:spPr>
                        <a:xfrm>
                          <a:off x="0" y="0"/>
                          <a:ext cx="3709035" cy="309245"/>
                        </a:xfrm>
                        <a:prstGeom prst="rect">
                          <a:avLst/>
                        </a:prstGeom>
                        <a:ln/>
                      </wps:spPr>
                      <wps:style>
                        <a:lnRef idx="2">
                          <a:schemeClr val="dk1"/>
                        </a:lnRef>
                        <a:fillRef idx="1">
                          <a:schemeClr val="lt1"/>
                        </a:fillRef>
                        <a:effectRef idx="0">
                          <a:schemeClr val="dk1"/>
                        </a:effectRef>
                        <a:fontRef idx="minor">
                          <a:schemeClr val="dk1"/>
                        </a:fontRef>
                      </wps:style>
                      <wps:txbx>
                        <w:txbxContent>
                          <w:p w14:paraId="017F3C4A" w14:textId="77777777" w:rsidR="00177EB9" w:rsidRPr="00D57F38" w:rsidRDefault="00177EB9" w:rsidP="00A85DB0">
                            <w:pPr>
                              <w:jc w:val="center"/>
                              <w:rPr>
                                <w:b/>
                                <w:bCs/>
                                <w:sz w:val="21"/>
                                <w:szCs w:val="21"/>
                              </w:rPr>
                            </w:pPr>
                            <w:r w:rsidRPr="00D57F38">
                              <w:rPr>
                                <w:b/>
                                <w:bCs/>
                                <w:sz w:val="21"/>
                                <w:szCs w:val="21"/>
                              </w:rPr>
                              <w:t>Figure 2:</w:t>
                            </w:r>
                            <w:r w:rsidRPr="00D57F38">
                              <w:rPr>
                                <w:rFonts w:asciiTheme="majorBidi" w:hAnsiTheme="majorBidi" w:cstheme="majorBidi"/>
                                <w:b/>
                                <w:bCs/>
                                <w:sz w:val="21"/>
                                <w:szCs w:val="21"/>
                              </w:rPr>
                              <w:t xml:space="preserve"> Summary of Relative Risk of Mortality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573A" id="Text Box 6" o:spid="_x0000_s1028" type="#_x0000_t202" style="position:absolute;left:0;text-align:left;margin-left:103.15pt;margin-top:2.85pt;width:292.05pt;height:2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" fillcolor="white [3201]" strokecolor="black [3200]" strokeweight="1pt">
                <v:textbox>
                  <w:txbxContent>
                    <w:p w14:paraId="017F3C4A" w14:textId="77777777" w:rsidR="00177EB9" w:rsidRPr="00D57F38" w:rsidRDefault="00177EB9" w:rsidP="00A85DB0">
                      <w:pPr>
                        <w:jc w:val="center"/>
                        <w:rPr>
                          <w:b/>
                          <w:bCs/>
                          <w:sz w:val="21"/>
                          <w:szCs w:val="21"/>
                        </w:rPr>
                      </w:pPr>
                      <w:r w:rsidRPr="00D57F38">
                        <w:rPr>
                          <w:b/>
                          <w:bCs/>
                          <w:sz w:val="21"/>
                          <w:szCs w:val="21"/>
                        </w:rPr>
                        <w:t>Figure 2:</w:t>
                      </w:r>
                      <w:r w:rsidRPr="00D57F38">
                        <w:rPr>
                          <w:rFonts w:asciiTheme="majorBidi" w:hAnsiTheme="majorBidi" w:cstheme="majorBidi"/>
                          <w:b/>
                          <w:bCs/>
                          <w:sz w:val="21"/>
                          <w:szCs w:val="21"/>
                        </w:rPr>
                        <w:t xml:space="preserve"> Summary of Relative Risk of Mortality</w:t>
                      </w:r>
                    </w:p>
                  </w:txbxContent>
                </v:textbox>
                <w10:wrap type="square"/>
              </v:shape>
            </w:pict>
          </mc:Fallback>
        </mc:AlternateContent>
      </w:r>
    </w:p>
    <w:p w14:paraId="7BF2797C" w14:textId="079C54B6" w:rsidR="00A85DB0" w:rsidRDefault="00A85DB0" w:rsidP="001B2B86">
      <w:pPr>
        <w:spacing w:line="360" w:lineRule="auto"/>
        <w:jc w:val="both"/>
        <w:rPr>
          <w:rFonts w:asciiTheme="majorBidi" w:hAnsiTheme="majorBidi" w:cstheme="majorBidi"/>
          <w:b/>
          <w:bCs/>
        </w:rPr>
      </w:pPr>
      <w:bookmarkStart w:id="0" w:name="_GoBack"/>
      <w:bookmarkEnd w:id="0"/>
    </w:p>
    <w:p w14:paraId="0A6B5EF7" w14:textId="63516A6A" w:rsidR="00A85DB0" w:rsidRPr="00743FCB" w:rsidRDefault="008E0EEF" w:rsidP="001B2B86">
      <w:pPr>
        <w:spacing w:line="360" w:lineRule="auto"/>
        <w:jc w:val="both"/>
        <w:rPr>
          <w:rFonts w:asciiTheme="majorBidi" w:hAnsiTheme="majorBidi" w:cstheme="majorBidi"/>
          <w:b/>
          <w:bCs/>
        </w:rPr>
      </w:pPr>
      <w:r>
        <w:rPr>
          <w:noProof/>
        </w:rPr>
        <w:drawing>
          <wp:anchor distT="0" distB="0" distL="114300" distR="114300" simplePos="0" relativeHeight="251742208" behindDoc="0" locked="0" layoutInCell="1" allowOverlap="1" wp14:anchorId="51BC468F" wp14:editId="07DCB7B0">
            <wp:simplePos x="0" y="0"/>
            <wp:positionH relativeFrom="margin">
              <wp:posOffset>506730</wp:posOffset>
            </wp:positionH>
            <wp:positionV relativeFrom="margin">
              <wp:posOffset>5600700</wp:posOffset>
            </wp:positionV>
            <wp:extent cx="5144770" cy="1945640"/>
            <wp:effectExtent l="76200" t="76200" r="163830" b="1625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8 at 7.45.24 PM.png"/>
                    <pic:cNvPicPr/>
                  </pic:nvPicPr>
                  <pic:blipFill rotWithShape="1">
                    <a:blip r:embed="rId10">
                      <a:extLst>
                        <a:ext uri="{28A0092B-C50C-407E-A947-70E740481C1C}">
                          <a14:useLocalDpi xmlns:a14="http://schemas.microsoft.com/office/drawing/2010/main" val="0"/>
                        </a:ext>
                      </a:extLst>
                    </a:blip>
                    <a:srcRect l="8265" t="30795" r="10146" b="21655"/>
                    <a:stretch/>
                  </pic:blipFill>
                  <pic:spPr bwMode="auto">
                    <a:xfrm>
                      <a:off x="0" y="0"/>
                      <a:ext cx="5144770" cy="194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B2D00" w14:textId="4F329A2C" w:rsidR="00905A04" w:rsidRDefault="00905A04" w:rsidP="00265E7D">
      <w:pPr>
        <w:spacing w:line="360" w:lineRule="auto"/>
        <w:jc w:val="both"/>
        <w:rPr>
          <w:rFonts w:asciiTheme="majorBidi" w:hAnsiTheme="majorBidi" w:cstheme="majorBidi"/>
          <w:b/>
          <w:bCs/>
        </w:rPr>
      </w:pPr>
    </w:p>
    <w:p w14:paraId="6A58C662" w14:textId="08321514" w:rsidR="00905A04" w:rsidRPr="00905A04" w:rsidRDefault="00905A04" w:rsidP="00905A04">
      <w:pPr>
        <w:rPr>
          <w:rFonts w:asciiTheme="majorBidi" w:hAnsiTheme="majorBidi" w:cstheme="majorBidi"/>
        </w:rPr>
      </w:pPr>
    </w:p>
    <w:p w14:paraId="533E2335" w14:textId="77777777" w:rsidR="00905A04" w:rsidRPr="00905A04" w:rsidRDefault="00905A04" w:rsidP="00905A04">
      <w:pPr>
        <w:rPr>
          <w:rFonts w:asciiTheme="majorBidi" w:hAnsiTheme="majorBidi" w:cstheme="majorBidi"/>
        </w:rPr>
      </w:pPr>
    </w:p>
    <w:p w14:paraId="42B2BABC" w14:textId="77777777" w:rsidR="00905A04" w:rsidRDefault="00905A04" w:rsidP="00905A04">
      <w:pPr>
        <w:rPr>
          <w:rFonts w:asciiTheme="majorBidi" w:hAnsiTheme="majorBidi" w:cstheme="majorBidi"/>
        </w:rPr>
      </w:pPr>
    </w:p>
    <w:p w14:paraId="40D4FBD1" w14:textId="77777777" w:rsidR="00905A04" w:rsidRPr="00905A04" w:rsidRDefault="00905A04" w:rsidP="00905A04">
      <w:pPr>
        <w:rPr>
          <w:rFonts w:asciiTheme="majorBidi" w:hAnsiTheme="majorBidi" w:cstheme="majorBidi"/>
        </w:rPr>
      </w:pPr>
    </w:p>
    <w:p w14:paraId="24C30813" w14:textId="1EB73951" w:rsidR="00905A04" w:rsidRPr="00905A04" w:rsidRDefault="00B84EFD" w:rsidP="00905A04">
      <w:pPr>
        <w:rPr>
          <w:rFonts w:asciiTheme="majorBidi" w:hAnsiTheme="majorBidi" w:cstheme="majorBidi"/>
        </w:rPr>
      </w:pPr>
      <w:r w:rsidRPr="00743FCB">
        <w:rPr>
          <w:rFonts w:asciiTheme="majorBidi" w:hAnsiTheme="majorBidi" w:cstheme="majorBidi"/>
          <w:noProof/>
        </w:rPr>
        <mc:AlternateContent>
          <mc:Choice Requires="wps">
            <w:drawing>
              <wp:anchor distT="0" distB="0" distL="114300" distR="114300" simplePos="0" relativeHeight="251700224" behindDoc="0" locked="0" layoutInCell="1" allowOverlap="1" wp14:anchorId="29D45734" wp14:editId="5605E3B6">
                <wp:simplePos x="0" y="0"/>
                <wp:positionH relativeFrom="column">
                  <wp:posOffset>1192530</wp:posOffset>
                </wp:positionH>
                <wp:positionV relativeFrom="paragraph">
                  <wp:posOffset>1031240</wp:posOffset>
                </wp:positionV>
                <wp:extent cx="4166235" cy="274320"/>
                <wp:effectExtent l="0" t="0" r="24765" b="30480"/>
                <wp:wrapSquare wrapText="bothSides"/>
                <wp:docPr id="8" name="Text Box 8"/>
                <wp:cNvGraphicFramePr/>
                <a:graphic xmlns:a="http://schemas.openxmlformats.org/drawingml/2006/main">
                  <a:graphicData uri="http://schemas.microsoft.com/office/word/2010/wordprocessingShape">
                    <wps:wsp>
                      <wps:cNvSpPr txBox="1"/>
                      <wps:spPr>
                        <a:xfrm>
                          <a:off x="0" y="0"/>
                          <a:ext cx="4166235" cy="274320"/>
                        </a:xfrm>
                        <a:prstGeom prst="rect">
                          <a:avLst/>
                        </a:prstGeom>
                        <a:ln/>
                      </wps:spPr>
                      <wps:style>
                        <a:lnRef idx="2">
                          <a:schemeClr val="dk1"/>
                        </a:lnRef>
                        <a:fillRef idx="1">
                          <a:schemeClr val="lt1"/>
                        </a:fillRef>
                        <a:effectRef idx="0">
                          <a:schemeClr val="dk1"/>
                        </a:effectRef>
                        <a:fontRef idx="minor">
                          <a:schemeClr val="dk1"/>
                        </a:fontRef>
                      </wps:style>
                      <wps:txbx>
                        <w:txbxContent>
                          <w:p w14:paraId="24DD315B" w14:textId="019770B3" w:rsidR="00177EB9" w:rsidRPr="00D57F38" w:rsidRDefault="00177EB9" w:rsidP="00EC55A3">
                            <w:pPr>
                              <w:jc w:val="center"/>
                              <w:rPr>
                                <w:rFonts w:asciiTheme="majorBidi" w:hAnsiTheme="majorBidi" w:cstheme="majorBidi"/>
                                <w:sz w:val="21"/>
                                <w:szCs w:val="21"/>
                              </w:rPr>
                            </w:pPr>
                            <w:r>
                              <w:rPr>
                                <w:rFonts w:asciiTheme="majorBidi" w:hAnsiTheme="majorBidi" w:cstheme="majorBidi"/>
                                <w:b/>
                                <w:bCs/>
                                <w:sz w:val="21"/>
                                <w:szCs w:val="21"/>
                              </w:rPr>
                              <w:t>Figure 3</w:t>
                            </w:r>
                            <w:r w:rsidRPr="00D57F38">
                              <w:rPr>
                                <w:rFonts w:asciiTheme="majorBidi" w:hAnsiTheme="majorBidi" w:cstheme="majorBidi"/>
                                <w:b/>
                                <w:bCs/>
                                <w:sz w:val="21"/>
                                <w:szCs w:val="21"/>
                              </w:rPr>
                              <w:t>: Summary of Relative Risk of Hospital Readmission</w:t>
                            </w:r>
                          </w:p>
                          <w:p w14:paraId="54BB3A50" w14:textId="77777777" w:rsidR="00177EB9" w:rsidRPr="00D57F38" w:rsidRDefault="00177EB9" w:rsidP="00EC55A3">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5734" id="Text Box 8" o:spid="_x0000_s1029" type="#_x0000_t202" style="position:absolute;margin-left:93.9pt;margin-top:81.2pt;width:328.05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" fillcolor="white [3201]" strokecolor="black [3200]" strokeweight="1pt">
                <v:textbox>
                  <w:txbxContent>
                    <w:p w14:paraId="24DD315B" w14:textId="019770B3" w:rsidR="00177EB9" w:rsidRPr="00D57F38" w:rsidRDefault="00177EB9" w:rsidP="00EC55A3">
                      <w:pPr>
                        <w:jc w:val="center"/>
                        <w:rPr>
                          <w:rFonts w:asciiTheme="majorBidi" w:hAnsiTheme="majorBidi" w:cstheme="majorBidi"/>
                          <w:sz w:val="21"/>
                          <w:szCs w:val="21"/>
                        </w:rPr>
                      </w:pPr>
                      <w:r>
                        <w:rPr>
                          <w:rFonts w:asciiTheme="majorBidi" w:hAnsiTheme="majorBidi" w:cstheme="majorBidi"/>
                          <w:b/>
                          <w:bCs/>
                          <w:sz w:val="21"/>
                          <w:szCs w:val="21"/>
                        </w:rPr>
                        <w:t>Figure 3</w:t>
                      </w:r>
                      <w:r w:rsidRPr="00D57F38">
                        <w:rPr>
                          <w:rFonts w:asciiTheme="majorBidi" w:hAnsiTheme="majorBidi" w:cstheme="majorBidi"/>
                          <w:b/>
                          <w:bCs/>
                          <w:sz w:val="21"/>
                          <w:szCs w:val="21"/>
                        </w:rPr>
                        <w:t>: Summary of Relative Risk of Hospital Readmission</w:t>
                      </w:r>
                    </w:p>
                    <w:p w14:paraId="54BB3A50" w14:textId="77777777" w:rsidR="00177EB9" w:rsidRPr="00D57F38" w:rsidRDefault="00177EB9" w:rsidP="00EC55A3">
                      <w:pPr>
                        <w:jc w:val="center"/>
                        <w:rPr>
                          <w:rFonts w:asciiTheme="majorBidi" w:hAnsiTheme="majorBidi" w:cstheme="majorBidi"/>
                          <w:b/>
                          <w:bCs/>
                          <w:sz w:val="21"/>
                          <w:szCs w:val="21"/>
                        </w:rPr>
                      </w:pPr>
                    </w:p>
                  </w:txbxContent>
                </v:textbox>
                <w10:wrap type="square"/>
              </v:shape>
            </w:pict>
          </mc:Fallback>
        </mc:AlternateContent>
      </w:r>
    </w:p>
    <w:p w14:paraId="1255CA9C" w14:textId="4EFA0648" w:rsidR="00905A04" w:rsidRPr="00905A04" w:rsidRDefault="00521297" w:rsidP="00905A04">
      <w:pPr>
        <w:rPr>
          <w:rFonts w:asciiTheme="majorBidi" w:hAnsiTheme="majorBidi" w:cstheme="majorBidi"/>
        </w:rPr>
      </w:pPr>
      <w:r w:rsidRPr="00743FCB">
        <w:rPr>
          <w:rFonts w:asciiTheme="majorBidi" w:hAnsiTheme="majorBidi" w:cstheme="majorBidi"/>
          <w:noProof/>
        </w:rPr>
        <w:lastRenderedPageBreak/>
        <mc:AlternateContent>
          <mc:Choice Requires="wps">
            <w:drawing>
              <wp:anchor distT="0" distB="0" distL="114300" distR="114300" simplePos="0" relativeHeight="251710464" behindDoc="0" locked="0" layoutInCell="1" allowOverlap="1" wp14:anchorId="66A8D969" wp14:editId="130D3A5D">
                <wp:simplePos x="0" y="0"/>
                <wp:positionH relativeFrom="column">
                  <wp:posOffset>854075</wp:posOffset>
                </wp:positionH>
                <wp:positionV relativeFrom="paragraph">
                  <wp:posOffset>2286635</wp:posOffset>
                </wp:positionV>
                <wp:extent cx="4051935" cy="334010"/>
                <wp:effectExtent l="0" t="0" r="37465" b="21590"/>
                <wp:wrapSquare wrapText="bothSides"/>
                <wp:docPr id="10" name="Text Box 10"/>
                <wp:cNvGraphicFramePr/>
                <a:graphic xmlns:a="http://schemas.openxmlformats.org/drawingml/2006/main">
                  <a:graphicData uri="http://schemas.microsoft.com/office/word/2010/wordprocessingShape">
                    <wps:wsp>
                      <wps:cNvSpPr txBox="1"/>
                      <wps:spPr>
                        <a:xfrm>
                          <a:off x="0" y="0"/>
                          <a:ext cx="4051935" cy="334010"/>
                        </a:xfrm>
                        <a:prstGeom prst="rect">
                          <a:avLst/>
                        </a:prstGeom>
                        <a:ln/>
                      </wps:spPr>
                      <wps:style>
                        <a:lnRef idx="2">
                          <a:schemeClr val="dk1"/>
                        </a:lnRef>
                        <a:fillRef idx="1">
                          <a:schemeClr val="lt1"/>
                        </a:fillRef>
                        <a:effectRef idx="0">
                          <a:schemeClr val="dk1"/>
                        </a:effectRef>
                        <a:fontRef idx="minor">
                          <a:schemeClr val="dk1"/>
                        </a:fontRef>
                      </wps:style>
                      <wps:txbx>
                        <w:txbxContent>
                          <w:p w14:paraId="45850F92" w14:textId="77777777" w:rsidR="00177EB9" w:rsidRPr="00D57F38" w:rsidRDefault="00177EB9" w:rsidP="00905A04">
                            <w:pPr>
                              <w:jc w:val="center"/>
                              <w:rPr>
                                <w:rFonts w:asciiTheme="majorBidi" w:hAnsiTheme="majorBidi" w:cstheme="majorBidi"/>
                                <w:b/>
                                <w:bCs/>
                                <w:sz w:val="21"/>
                                <w:szCs w:val="21"/>
                              </w:rPr>
                            </w:pPr>
                            <w:r w:rsidRPr="00D57F38">
                              <w:rPr>
                                <w:rFonts w:asciiTheme="majorBidi" w:hAnsiTheme="majorBidi" w:cstheme="majorBidi"/>
                                <w:b/>
                                <w:bCs/>
                                <w:sz w:val="21"/>
                                <w:szCs w:val="21"/>
                              </w:rPr>
                              <w:t xml:space="preserve">Figure </w:t>
                            </w:r>
                            <w:r>
                              <w:rPr>
                                <w:rFonts w:asciiTheme="majorBidi" w:hAnsiTheme="majorBidi" w:cstheme="majorBidi"/>
                                <w:b/>
                                <w:bCs/>
                                <w:sz w:val="21"/>
                                <w:szCs w:val="21"/>
                              </w:rPr>
                              <w:t>4</w:t>
                            </w:r>
                            <w:r w:rsidRPr="00D57F38">
                              <w:rPr>
                                <w:rFonts w:asciiTheme="majorBidi" w:hAnsiTheme="majorBidi" w:cstheme="majorBidi"/>
                                <w:b/>
                                <w:bCs/>
                                <w:sz w:val="21"/>
                                <w:szCs w:val="21"/>
                              </w:rPr>
                              <w:t xml:space="preserve">: Pre and Post Treatment Mean Difference of EF% </w:t>
                            </w:r>
                          </w:p>
                          <w:p w14:paraId="1CB33214" w14:textId="77777777" w:rsidR="00177EB9" w:rsidRPr="00D57F38" w:rsidRDefault="00177EB9" w:rsidP="00905A04">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D969" id="Text Box 10" o:spid="_x0000_s1030" type="#_x0000_t202" style="position:absolute;margin-left:67.25pt;margin-top:180.05pt;width:319.05pt;height:2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" fillcolor="white [3201]" strokecolor="black [3200]" strokeweight="1pt">
                <v:textbox>
                  <w:txbxContent>
                    <w:p w14:paraId="45850F92" w14:textId="77777777" w:rsidR="00177EB9" w:rsidRPr="00D57F38" w:rsidRDefault="00177EB9" w:rsidP="00905A04">
                      <w:pPr>
                        <w:jc w:val="center"/>
                        <w:rPr>
                          <w:rFonts w:asciiTheme="majorBidi" w:hAnsiTheme="majorBidi" w:cstheme="majorBidi"/>
                          <w:b/>
                          <w:bCs/>
                          <w:sz w:val="21"/>
                          <w:szCs w:val="21"/>
                        </w:rPr>
                      </w:pPr>
                      <w:r w:rsidRPr="00D57F38">
                        <w:rPr>
                          <w:rFonts w:asciiTheme="majorBidi" w:hAnsiTheme="majorBidi" w:cstheme="majorBidi"/>
                          <w:b/>
                          <w:bCs/>
                          <w:sz w:val="21"/>
                          <w:szCs w:val="21"/>
                        </w:rPr>
                        <w:t xml:space="preserve">Figure </w:t>
                      </w:r>
                      <w:r>
                        <w:rPr>
                          <w:rFonts w:asciiTheme="majorBidi" w:hAnsiTheme="majorBidi" w:cstheme="majorBidi"/>
                          <w:b/>
                          <w:bCs/>
                          <w:sz w:val="21"/>
                          <w:szCs w:val="21"/>
                        </w:rPr>
                        <w:t>4</w:t>
                      </w:r>
                      <w:r w:rsidRPr="00D57F38">
                        <w:rPr>
                          <w:rFonts w:asciiTheme="majorBidi" w:hAnsiTheme="majorBidi" w:cstheme="majorBidi"/>
                          <w:b/>
                          <w:bCs/>
                          <w:sz w:val="21"/>
                          <w:szCs w:val="21"/>
                        </w:rPr>
                        <w:t xml:space="preserve">: Pre and Post Treatment Mean Difference of EF% </w:t>
                      </w:r>
                    </w:p>
                    <w:p w14:paraId="1CB33214" w14:textId="77777777" w:rsidR="00177EB9" w:rsidRPr="00D57F38" w:rsidRDefault="00177EB9" w:rsidP="00905A04">
                      <w:pPr>
                        <w:jc w:val="center"/>
                        <w:rPr>
                          <w:rFonts w:asciiTheme="majorBidi" w:hAnsiTheme="majorBidi" w:cstheme="majorBidi"/>
                          <w:b/>
                          <w:bCs/>
                          <w:sz w:val="21"/>
                          <w:szCs w:val="21"/>
                        </w:rPr>
                      </w:pPr>
                    </w:p>
                  </w:txbxContent>
                </v:textbox>
                <w10:wrap type="square"/>
              </v:shape>
            </w:pict>
          </mc:Fallback>
        </mc:AlternateContent>
      </w:r>
      <w:r>
        <w:rPr>
          <w:noProof/>
        </w:rPr>
        <w:drawing>
          <wp:anchor distT="0" distB="0" distL="114300" distR="114300" simplePos="0" relativeHeight="251744256" behindDoc="0" locked="0" layoutInCell="1" allowOverlap="1" wp14:anchorId="62661E57" wp14:editId="7C5BB47A">
            <wp:simplePos x="0" y="0"/>
            <wp:positionH relativeFrom="margin">
              <wp:posOffset>0</wp:posOffset>
            </wp:positionH>
            <wp:positionV relativeFrom="margin">
              <wp:posOffset>116840</wp:posOffset>
            </wp:positionV>
            <wp:extent cx="5834380" cy="1971675"/>
            <wp:effectExtent l="76200" t="76200" r="160020" b="1619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18 at 7.47.15 PM.png"/>
                    <pic:cNvPicPr/>
                  </pic:nvPicPr>
                  <pic:blipFill rotWithShape="1">
                    <a:blip r:embed="rId11">
                      <a:extLst>
                        <a:ext uri="{28A0092B-C50C-407E-A947-70E740481C1C}">
                          <a14:useLocalDpi xmlns:a14="http://schemas.microsoft.com/office/drawing/2010/main" val="0"/>
                        </a:ext>
                      </a:extLst>
                    </a:blip>
                    <a:srcRect l="8524" t="34926" r="10890" b="21478"/>
                    <a:stretch/>
                  </pic:blipFill>
                  <pic:spPr bwMode="auto">
                    <a:xfrm>
                      <a:off x="0" y="0"/>
                      <a:ext cx="583438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87954" w14:textId="3873D689" w:rsidR="00905A04" w:rsidRPr="00905A04" w:rsidRDefault="00905A04" w:rsidP="00905A04">
      <w:pPr>
        <w:rPr>
          <w:rFonts w:asciiTheme="majorBidi" w:hAnsiTheme="majorBidi" w:cstheme="majorBidi"/>
        </w:rPr>
      </w:pPr>
    </w:p>
    <w:p w14:paraId="7D090580" w14:textId="43F8463C" w:rsidR="00905A04" w:rsidRPr="00905A04" w:rsidRDefault="00905A04" w:rsidP="00905A04">
      <w:pPr>
        <w:rPr>
          <w:rFonts w:asciiTheme="majorBidi" w:hAnsiTheme="majorBidi" w:cstheme="majorBidi"/>
        </w:rPr>
      </w:pPr>
    </w:p>
    <w:p w14:paraId="4ADD2072" w14:textId="77777777" w:rsidR="00905A04" w:rsidRPr="00905A04" w:rsidRDefault="00905A04" w:rsidP="00905A04">
      <w:pPr>
        <w:rPr>
          <w:rFonts w:asciiTheme="majorBidi" w:hAnsiTheme="majorBidi" w:cstheme="majorBidi"/>
        </w:rPr>
      </w:pPr>
    </w:p>
    <w:p w14:paraId="5B3EC06E" w14:textId="2D12BDA4" w:rsidR="001B2B86" w:rsidRPr="00905A04" w:rsidRDefault="001B2B86" w:rsidP="004D4C3E">
      <w:pPr>
        <w:tabs>
          <w:tab w:val="left" w:pos="8416"/>
        </w:tabs>
        <w:rPr>
          <w:rFonts w:asciiTheme="majorBidi" w:hAnsiTheme="majorBidi" w:cstheme="majorBidi"/>
        </w:rPr>
      </w:pPr>
      <w:r w:rsidRPr="00743FCB">
        <w:rPr>
          <w:rFonts w:asciiTheme="majorBidi" w:hAnsiTheme="majorBidi" w:cstheme="majorBidi"/>
          <w:b/>
          <w:bCs/>
        </w:rPr>
        <w:t>Safety End Points</w:t>
      </w:r>
    </w:p>
    <w:p w14:paraId="116924F0" w14:textId="24CF10D9" w:rsidR="001B2B86" w:rsidRPr="00743FCB" w:rsidRDefault="00022873" w:rsidP="00934C47">
      <w:pPr>
        <w:spacing w:line="360" w:lineRule="auto"/>
        <w:jc w:val="both"/>
        <w:rPr>
          <w:rFonts w:asciiTheme="majorBidi" w:hAnsiTheme="majorBidi" w:cstheme="majorBidi"/>
        </w:rPr>
      </w:pPr>
      <w:r>
        <w:rPr>
          <w:noProof/>
        </w:rPr>
        <w:drawing>
          <wp:anchor distT="0" distB="0" distL="114300" distR="114300" simplePos="0" relativeHeight="251746304" behindDoc="0" locked="0" layoutInCell="1" allowOverlap="1" wp14:anchorId="74F73CB1" wp14:editId="0BB2FF08">
            <wp:simplePos x="0" y="0"/>
            <wp:positionH relativeFrom="margin">
              <wp:posOffset>56515</wp:posOffset>
            </wp:positionH>
            <wp:positionV relativeFrom="margin">
              <wp:posOffset>6057900</wp:posOffset>
            </wp:positionV>
            <wp:extent cx="5594985" cy="2216785"/>
            <wp:effectExtent l="76200" t="76200" r="145415" b="1454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8 at 7.59.07 PM.png"/>
                    <pic:cNvPicPr/>
                  </pic:nvPicPr>
                  <pic:blipFill rotWithShape="1">
                    <a:blip r:embed="rId12">
                      <a:extLst>
                        <a:ext uri="{28A0092B-C50C-407E-A947-70E740481C1C}">
                          <a14:useLocalDpi xmlns:a14="http://schemas.microsoft.com/office/drawing/2010/main" val="0"/>
                        </a:ext>
                      </a:extLst>
                    </a:blip>
                    <a:srcRect l="8838" t="24450" r="9874" b="26135"/>
                    <a:stretch/>
                  </pic:blipFill>
                  <pic:spPr bwMode="auto">
                    <a:xfrm>
                      <a:off x="0" y="0"/>
                      <a:ext cx="5594985" cy="2216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B86" w:rsidRPr="00743FCB">
        <w:rPr>
          <w:rFonts w:asciiTheme="majorBidi" w:hAnsiTheme="majorBidi" w:cstheme="majorBidi"/>
          <w:b/>
          <w:bCs/>
        </w:rPr>
        <w:t xml:space="preserve">        </w:t>
      </w:r>
      <w:r w:rsidR="007B72FD">
        <w:rPr>
          <w:rFonts w:asciiTheme="majorBidi" w:hAnsiTheme="majorBidi" w:cstheme="majorBidi"/>
        </w:rPr>
        <w:t>Six</w:t>
      </w:r>
      <w:r w:rsidR="007B72FD">
        <w:rPr>
          <w:rFonts w:asciiTheme="majorBidi" w:hAnsiTheme="majorBidi" w:cstheme="majorBidi"/>
          <w:vertAlign w:val="superscript"/>
        </w:rPr>
        <w:t xml:space="preserve"> (</w:t>
      </w:r>
      <w:r w:rsidR="00E233BB">
        <w:rPr>
          <w:rFonts w:asciiTheme="majorBidi" w:hAnsiTheme="majorBidi" w:cstheme="majorBidi"/>
          <w:vertAlign w:val="superscript"/>
        </w:rPr>
        <w:t>6</w:t>
      </w:r>
      <w:r w:rsidR="00934C47">
        <w:rPr>
          <w:rFonts w:asciiTheme="majorBidi" w:hAnsiTheme="majorBidi" w:cstheme="majorBidi"/>
          <w:vertAlign w:val="superscript"/>
        </w:rPr>
        <w:t>-</w:t>
      </w:r>
      <w:r w:rsidR="00E233BB">
        <w:rPr>
          <w:rFonts w:asciiTheme="majorBidi" w:hAnsiTheme="majorBidi" w:cstheme="majorBidi"/>
          <w:vertAlign w:val="superscript"/>
        </w:rPr>
        <w:t xml:space="preserve">11) </w:t>
      </w:r>
      <w:r w:rsidR="00E00570">
        <w:rPr>
          <w:rFonts w:asciiTheme="majorBidi" w:hAnsiTheme="majorBidi" w:cstheme="majorBidi"/>
        </w:rPr>
        <w:t>and four trials respectively, reported</w:t>
      </w:r>
      <w:r w:rsidR="00E233BB">
        <w:rPr>
          <w:rFonts w:asciiTheme="majorBidi" w:hAnsiTheme="majorBidi" w:cstheme="majorBidi"/>
        </w:rPr>
        <w:t xml:space="preserve"> </w:t>
      </w:r>
      <w:r w:rsidR="00B4530B">
        <w:rPr>
          <w:rFonts w:asciiTheme="majorBidi" w:hAnsiTheme="majorBidi" w:cstheme="majorBidi"/>
        </w:rPr>
        <w:t xml:space="preserve">the </w:t>
      </w:r>
      <w:r w:rsidR="00E233BB">
        <w:rPr>
          <w:rFonts w:asciiTheme="majorBidi" w:hAnsiTheme="majorBidi" w:cstheme="majorBidi"/>
        </w:rPr>
        <w:t xml:space="preserve">incidence of all adverse events </w:t>
      </w:r>
      <w:r w:rsidR="00E00570">
        <w:rPr>
          <w:rFonts w:asciiTheme="majorBidi" w:hAnsiTheme="majorBidi" w:cstheme="majorBidi"/>
        </w:rPr>
        <w:t xml:space="preserve">and ischemic events </w:t>
      </w:r>
      <w:r w:rsidR="00E233BB">
        <w:rPr>
          <w:rFonts w:asciiTheme="majorBidi" w:hAnsiTheme="majorBidi" w:cstheme="majorBidi"/>
        </w:rPr>
        <w:t xml:space="preserve">of </w:t>
      </w:r>
      <w:proofErr w:type="spellStart"/>
      <w:r w:rsidR="00E233BB">
        <w:rPr>
          <w:rFonts w:asciiTheme="majorBidi" w:hAnsiTheme="majorBidi" w:cstheme="majorBidi"/>
        </w:rPr>
        <w:t>ivabradine</w:t>
      </w:r>
      <w:proofErr w:type="spellEnd"/>
      <w:r w:rsidR="00E233BB">
        <w:rPr>
          <w:rFonts w:asciiTheme="majorBidi" w:hAnsiTheme="majorBidi" w:cstheme="majorBidi"/>
        </w:rPr>
        <w:t xml:space="preserve"> compared with </w:t>
      </w:r>
      <w:r w:rsidR="003B35F7">
        <w:rPr>
          <w:rFonts w:asciiTheme="majorBidi" w:hAnsiTheme="majorBidi" w:cstheme="majorBidi"/>
        </w:rPr>
        <w:t>control</w:t>
      </w:r>
      <w:r w:rsidR="00E233BB">
        <w:rPr>
          <w:rFonts w:asciiTheme="majorBidi" w:hAnsiTheme="majorBidi" w:cstheme="majorBidi"/>
        </w:rPr>
        <w:t xml:space="preserve">. </w:t>
      </w:r>
      <w:proofErr w:type="spellStart"/>
      <w:r w:rsidR="00E233BB">
        <w:rPr>
          <w:rFonts w:asciiTheme="majorBidi" w:hAnsiTheme="majorBidi" w:cstheme="majorBidi"/>
        </w:rPr>
        <w:t>I</w:t>
      </w:r>
      <w:r w:rsidR="00E233BB" w:rsidRPr="00743FCB">
        <w:rPr>
          <w:rFonts w:asciiTheme="majorBidi" w:hAnsiTheme="majorBidi" w:cstheme="majorBidi"/>
        </w:rPr>
        <w:t>vabradine</w:t>
      </w:r>
      <w:proofErr w:type="spellEnd"/>
      <w:r w:rsidR="00E233BB" w:rsidRPr="00743FCB">
        <w:rPr>
          <w:rFonts w:asciiTheme="majorBidi" w:hAnsiTheme="majorBidi" w:cstheme="majorBidi"/>
        </w:rPr>
        <w:t xml:space="preserve"> did not always</w:t>
      </w:r>
      <w:r w:rsidR="00E233BB">
        <w:rPr>
          <w:rFonts w:asciiTheme="majorBidi" w:hAnsiTheme="majorBidi" w:cstheme="majorBidi"/>
        </w:rPr>
        <w:t xml:space="preserve"> increase the</w:t>
      </w:r>
      <w:r w:rsidR="004D4C3E">
        <w:rPr>
          <w:rFonts w:asciiTheme="majorBidi" w:hAnsiTheme="majorBidi" w:cstheme="majorBidi"/>
        </w:rPr>
        <w:t xml:space="preserve"> incidence of all adverse event </w:t>
      </w:r>
      <w:r w:rsidR="001B2B86" w:rsidRPr="00743FCB">
        <w:rPr>
          <w:rFonts w:asciiTheme="majorBidi" w:hAnsiTheme="majorBidi" w:cstheme="majorBidi"/>
        </w:rPr>
        <w:t>(summary RR,0.9</w:t>
      </w:r>
      <w:r w:rsidR="00E233BB">
        <w:rPr>
          <w:rFonts w:asciiTheme="majorBidi" w:hAnsiTheme="majorBidi" w:cstheme="majorBidi"/>
        </w:rPr>
        <w:t>7</w:t>
      </w:r>
      <w:r w:rsidR="001B2B86" w:rsidRPr="00743FCB">
        <w:rPr>
          <w:rFonts w:asciiTheme="majorBidi" w:hAnsiTheme="majorBidi" w:cstheme="majorBidi"/>
          <w:rtl/>
        </w:rPr>
        <w:t>]</w:t>
      </w:r>
      <w:r w:rsidR="001B2B86" w:rsidRPr="00743FCB">
        <w:rPr>
          <w:rFonts w:asciiTheme="majorBidi" w:hAnsiTheme="majorBidi" w:cstheme="majorBidi"/>
        </w:rPr>
        <w:t xml:space="preserve">CI, 0.91 to </w:t>
      </w:r>
      <w:r w:rsidR="00E233BB">
        <w:rPr>
          <w:rFonts w:asciiTheme="majorBidi" w:hAnsiTheme="majorBidi" w:cstheme="majorBidi"/>
        </w:rPr>
        <w:t>1.02</w:t>
      </w:r>
      <w:r w:rsidR="001B2B86" w:rsidRPr="00743FCB">
        <w:rPr>
          <w:rFonts w:asciiTheme="majorBidi" w:hAnsiTheme="majorBidi" w:cstheme="majorBidi"/>
          <w:rtl/>
        </w:rPr>
        <w:t>[</w:t>
      </w:r>
      <w:r w:rsidR="001B2B86" w:rsidRPr="00743FCB">
        <w:rPr>
          <w:rFonts w:asciiTheme="majorBidi" w:hAnsiTheme="majorBidi" w:cstheme="majorBidi"/>
        </w:rPr>
        <w:t>; I</w:t>
      </w:r>
      <w:r w:rsidR="001B2B86" w:rsidRPr="00743FCB">
        <w:rPr>
          <w:rFonts w:asciiTheme="majorBidi" w:hAnsiTheme="majorBidi" w:cstheme="majorBidi"/>
          <w:vertAlign w:val="superscript"/>
        </w:rPr>
        <w:t>2</w:t>
      </w:r>
      <w:r w:rsidR="001B2B86" w:rsidRPr="00743FCB">
        <w:rPr>
          <w:rFonts w:asciiTheme="majorBidi" w:hAnsiTheme="majorBidi" w:cstheme="majorBidi"/>
        </w:rPr>
        <w:t xml:space="preserve"> =</w:t>
      </w:r>
      <w:r w:rsidR="00E233BB">
        <w:rPr>
          <w:rFonts w:asciiTheme="majorBidi" w:hAnsiTheme="majorBidi" w:cstheme="majorBidi"/>
        </w:rPr>
        <w:t>23</w:t>
      </w:r>
      <w:r w:rsidR="001B2B86" w:rsidRPr="00743FCB">
        <w:rPr>
          <w:rFonts w:asciiTheme="majorBidi" w:hAnsiTheme="majorBidi" w:cstheme="majorBidi"/>
        </w:rPr>
        <w:t xml:space="preserve">%) (figure 5), </w:t>
      </w:r>
      <w:r w:rsidR="00E00570">
        <w:rPr>
          <w:rFonts w:asciiTheme="majorBidi" w:hAnsiTheme="majorBidi" w:cstheme="majorBidi"/>
        </w:rPr>
        <w:t>and</w:t>
      </w:r>
      <w:r w:rsidR="001B2B86" w:rsidRPr="00743FCB">
        <w:rPr>
          <w:rFonts w:asciiTheme="majorBidi" w:hAnsiTheme="majorBidi" w:cstheme="majorBidi"/>
        </w:rPr>
        <w:t xml:space="preserve"> ischemic events (summary RR,0.</w:t>
      </w:r>
      <w:r w:rsidR="00E00570">
        <w:rPr>
          <w:rFonts w:asciiTheme="majorBidi" w:hAnsiTheme="majorBidi" w:cstheme="majorBidi"/>
        </w:rPr>
        <w:t>95</w:t>
      </w:r>
      <w:r w:rsidR="001B2B86" w:rsidRPr="00743FCB">
        <w:rPr>
          <w:rFonts w:asciiTheme="majorBidi" w:hAnsiTheme="majorBidi" w:cstheme="majorBidi"/>
          <w:rtl/>
        </w:rPr>
        <w:t>]</w:t>
      </w:r>
      <w:r w:rsidR="001B2B86" w:rsidRPr="00743FCB">
        <w:rPr>
          <w:rFonts w:asciiTheme="majorBidi" w:hAnsiTheme="majorBidi" w:cstheme="majorBidi"/>
        </w:rPr>
        <w:t>CI, 0.89 to 1.0</w:t>
      </w:r>
      <w:r w:rsidR="00E00570">
        <w:rPr>
          <w:rFonts w:asciiTheme="majorBidi" w:hAnsiTheme="majorBidi" w:cstheme="majorBidi"/>
        </w:rPr>
        <w:t>2</w:t>
      </w:r>
      <w:r w:rsidR="001B2B86" w:rsidRPr="00743FCB">
        <w:rPr>
          <w:rFonts w:asciiTheme="majorBidi" w:hAnsiTheme="majorBidi" w:cstheme="majorBidi"/>
          <w:rtl/>
        </w:rPr>
        <w:t>[</w:t>
      </w:r>
      <w:r w:rsidR="001B2B86" w:rsidRPr="00743FCB">
        <w:rPr>
          <w:rFonts w:asciiTheme="majorBidi" w:hAnsiTheme="majorBidi" w:cstheme="majorBidi"/>
        </w:rPr>
        <w:t>;I</w:t>
      </w:r>
      <w:r w:rsidR="001B2B86" w:rsidRPr="00743FCB">
        <w:rPr>
          <w:rFonts w:asciiTheme="majorBidi" w:hAnsiTheme="majorBidi" w:cstheme="majorBidi"/>
          <w:vertAlign w:val="superscript"/>
        </w:rPr>
        <w:t>2</w:t>
      </w:r>
      <w:r w:rsidR="001B2B86" w:rsidRPr="00743FCB">
        <w:rPr>
          <w:rFonts w:asciiTheme="majorBidi" w:hAnsiTheme="majorBidi" w:cstheme="majorBidi"/>
        </w:rPr>
        <w:t xml:space="preserve"> =0%) (</w:t>
      </w:r>
      <w:r w:rsidR="00E00570" w:rsidRPr="00743FCB">
        <w:rPr>
          <w:rFonts w:asciiTheme="majorBidi" w:hAnsiTheme="majorBidi" w:cstheme="majorBidi"/>
          <w:i/>
          <w:iCs/>
        </w:rPr>
        <w:t xml:space="preserve">Appendix </w:t>
      </w:r>
      <w:r w:rsidR="00E00570">
        <w:rPr>
          <w:rFonts w:asciiTheme="majorBidi" w:hAnsiTheme="majorBidi" w:cstheme="majorBidi"/>
          <w:i/>
          <w:iCs/>
        </w:rPr>
        <w:t>figure</w:t>
      </w:r>
      <w:r w:rsidR="00E00570" w:rsidRPr="00743FCB">
        <w:rPr>
          <w:rFonts w:asciiTheme="majorBidi" w:hAnsiTheme="majorBidi" w:cstheme="majorBidi"/>
          <w:i/>
          <w:iCs/>
        </w:rPr>
        <w:t xml:space="preserve"> </w:t>
      </w:r>
      <w:r w:rsidR="00E00570">
        <w:rPr>
          <w:rFonts w:asciiTheme="majorBidi" w:hAnsiTheme="majorBidi" w:cstheme="majorBidi"/>
          <w:i/>
          <w:iCs/>
        </w:rPr>
        <w:t>3</w:t>
      </w:r>
      <w:r w:rsidR="001B2B86" w:rsidRPr="00743FCB">
        <w:rPr>
          <w:rFonts w:asciiTheme="majorBidi" w:hAnsiTheme="majorBidi" w:cstheme="majorBidi"/>
        </w:rPr>
        <w:t>).</w:t>
      </w:r>
      <w:r w:rsidR="00E00570">
        <w:rPr>
          <w:rFonts w:asciiTheme="majorBidi" w:hAnsiTheme="majorBidi" w:cstheme="majorBidi"/>
        </w:rPr>
        <w:t xml:space="preserve">However , the incidence of bradycardia, </w:t>
      </w:r>
      <w:proofErr w:type="spellStart"/>
      <w:r w:rsidR="00E00570">
        <w:rPr>
          <w:rFonts w:asciiTheme="majorBidi" w:hAnsiTheme="majorBidi" w:cstheme="majorBidi"/>
        </w:rPr>
        <w:t>phosphenes</w:t>
      </w:r>
      <w:proofErr w:type="spellEnd"/>
      <w:r w:rsidR="00E00570">
        <w:rPr>
          <w:rFonts w:asciiTheme="majorBidi" w:hAnsiTheme="majorBidi" w:cstheme="majorBidi"/>
        </w:rPr>
        <w:t xml:space="preserve"> and blurred vision</w:t>
      </w:r>
      <w:r w:rsidR="0037449F">
        <w:rPr>
          <w:rFonts w:asciiTheme="majorBidi" w:hAnsiTheme="majorBidi" w:cstheme="majorBidi"/>
        </w:rPr>
        <w:t xml:space="preserve"> as adverse events</w:t>
      </w:r>
      <w:r w:rsidR="00E00570">
        <w:rPr>
          <w:rFonts w:asciiTheme="majorBidi" w:hAnsiTheme="majorBidi" w:cstheme="majorBidi"/>
        </w:rPr>
        <w:t xml:space="preserve"> were</w:t>
      </w:r>
      <w:r w:rsidR="006C770F">
        <w:rPr>
          <w:rFonts w:asciiTheme="majorBidi" w:hAnsiTheme="majorBidi" w:cstheme="majorBidi"/>
        </w:rPr>
        <w:t xml:space="preserve"> reported in three trials and were</w:t>
      </w:r>
      <w:r w:rsidR="00E00570">
        <w:rPr>
          <w:rFonts w:asciiTheme="majorBidi" w:hAnsiTheme="majorBidi" w:cstheme="majorBidi"/>
        </w:rPr>
        <w:t xml:space="preserve"> </w:t>
      </w:r>
      <w:r w:rsidR="00264A5D">
        <w:rPr>
          <w:rFonts w:asciiTheme="majorBidi" w:hAnsiTheme="majorBidi" w:cstheme="majorBidi"/>
        </w:rPr>
        <w:t xml:space="preserve">significantly </w:t>
      </w:r>
      <w:r w:rsidR="00E00570">
        <w:rPr>
          <w:rFonts w:asciiTheme="majorBidi" w:hAnsiTheme="majorBidi" w:cstheme="majorBidi"/>
        </w:rPr>
        <w:t xml:space="preserve">higher with </w:t>
      </w:r>
      <w:proofErr w:type="spellStart"/>
      <w:r w:rsidR="00E00570">
        <w:rPr>
          <w:rFonts w:asciiTheme="majorBidi" w:hAnsiTheme="majorBidi" w:cstheme="majorBidi"/>
        </w:rPr>
        <w:t>ivabradine</w:t>
      </w:r>
      <w:proofErr w:type="spellEnd"/>
      <w:r w:rsidR="00E00570">
        <w:rPr>
          <w:rFonts w:asciiTheme="majorBidi" w:hAnsiTheme="majorBidi" w:cstheme="majorBidi"/>
        </w:rPr>
        <w:t xml:space="preserve"> </w:t>
      </w:r>
      <w:r w:rsidR="006C6E50">
        <w:rPr>
          <w:rFonts w:asciiTheme="majorBidi" w:hAnsiTheme="majorBidi" w:cstheme="majorBidi"/>
        </w:rPr>
        <w:t xml:space="preserve">by 4 and 5 times </w:t>
      </w:r>
      <w:r w:rsidR="00E00570">
        <w:rPr>
          <w:rFonts w:asciiTheme="majorBidi" w:hAnsiTheme="majorBidi" w:cstheme="majorBidi"/>
        </w:rPr>
        <w:t xml:space="preserve">as compared with </w:t>
      </w:r>
      <w:r w:rsidR="003B35F7">
        <w:rPr>
          <w:rFonts w:asciiTheme="majorBidi" w:hAnsiTheme="majorBidi" w:cstheme="majorBidi"/>
        </w:rPr>
        <w:t>control</w:t>
      </w:r>
      <w:r w:rsidR="003B35F7" w:rsidRPr="00743FCB">
        <w:rPr>
          <w:rFonts w:asciiTheme="majorBidi" w:hAnsiTheme="majorBidi" w:cstheme="majorBidi"/>
        </w:rPr>
        <w:t xml:space="preserve"> </w:t>
      </w:r>
      <w:r w:rsidR="006C770F" w:rsidRPr="00743FCB">
        <w:rPr>
          <w:rFonts w:asciiTheme="majorBidi" w:hAnsiTheme="majorBidi" w:cstheme="majorBidi"/>
        </w:rPr>
        <w:t>(summary RR,</w:t>
      </w:r>
      <w:r w:rsidR="006C770F">
        <w:rPr>
          <w:rFonts w:asciiTheme="majorBidi" w:hAnsiTheme="majorBidi" w:cstheme="majorBidi"/>
        </w:rPr>
        <w:t>5.04</w:t>
      </w:r>
      <w:r w:rsidR="006C770F" w:rsidRPr="00743FCB">
        <w:rPr>
          <w:rFonts w:asciiTheme="majorBidi" w:hAnsiTheme="majorBidi" w:cstheme="majorBidi"/>
          <w:rtl/>
        </w:rPr>
        <w:t>]</w:t>
      </w:r>
      <w:r w:rsidR="006C770F" w:rsidRPr="00743FCB">
        <w:rPr>
          <w:rFonts w:asciiTheme="majorBidi" w:hAnsiTheme="majorBidi" w:cstheme="majorBidi"/>
        </w:rPr>
        <w:t xml:space="preserve">CI, </w:t>
      </w:r>
      <w:r w:rsidR="006C770F">
        <w:rPr>
          <w:rFonts w:asciiTheme="majorBidi" w:hAnsiTheme="majorBidi" w:cstheme="majorBidi"/>
        </w:rPr>
        <w:t>2.49</w:t>
      </w:r>
      <w:r w:rsidR="006C770F" w:rsidRPr="00743FCB">
        <w:rPr>
          <w:rFonts w:asciiTheme="majorBidi" w:hAnsiTheme="majorBidi" w:cstheme="majorBidi"/>
        </w:rPr>
        <w:t xml:space="preserve"> to </w:t>
      </w:r>
      <w:r w:rsidR="006C770F">
        <w:rPr>
          <w:rFonts w:asciiTheme="majorBidi" w:hAnsiTheme="majorBidi" w:cstheme="majorBidi"/>
        </w:rPr>
        <w:t>10.18</w:t>
      </w:r>
      <w:r w:rsidR="006C770F" w:rsidRPr="00743FCB">
        <w:rPr>
          <w:rFonts w:asciiTheme="majorBidi" w:hAnsiTheme="majorBidi" w:cstheme="majorBidi"/>
          <w:rtl/>
        </w:rPr>
        <w:t>[</w:t>
      </w:r>
      <w:r w:rsidR="006C770F" w:rsidRPr="00743FCB">
        <w:rPr>
          <w:rFonts w:asciiTheme="majorBidi" w:hAnsiTheme="majorBidi" w:cstheme="majorBidi"/>
        </w:rPr>
        <w:t>;I</w:t>
      </w:r>
      <w:r w:rsidR="006C770F" w:rsidRPr="00743FCB">
        <w:rPr>
          <w:rFonts w:asciiTheme="majorBidi" w:hAnsiTheme="majorBidi" w:cstheme="majorBidi"/>
          <w:vertAlign w:val="superscript"/>
        </w:rPr>
        <w:t>2</w:t>
      </w:r>
      <w:r w:rsidR="006C770F" w:rsidRPr="00743FCB">
        <w:rPr>
          <w:rFonts w:asciiTheme="majorBidi" w:hAnsiTheme="majorBidi" w:cstheme="majorBidi"/>
        </w:rPr>
        <w:t xml:space="preserve"> =</w:t>
      </w:r>
      <w:r w:rsidR="006C770F">
        <w:rPr>
          <w:rFonts w:asciiTheme="majorBidi" w:hAnsiTheme="majorBidi" w:cstheme="majorBidi"/>
        </w:rPr>
        <w:t>85</w:t>
      </w:r>
      <w:r w:rsidR="006C770F" w:rsidRPr="00743FCB">
        <w:rPr>
          <w:rFonts w:asciiTheme="majorBidi" w:hAnsiTheme="majorBidi" w:cstheme="majorBidi"/>
        </w:rPr>
        <w:t>%)</w:t>
      </w:r>
      <w:r w:rsidR="006C770F">
        <w:rPr>
          <w:rFonts w:asciiTheme="majorBidi" w:hAnsiTheme="majorBidi" w:cstheme="majorBidi"/>
        </w:rPr>
        <w:t xml:space="preserve">(figure 6) and </w:t>
      </w:r>
      <w:r w:rsidR="006C770F" w:rsidRPr="00743FCB">
        <w:rPr>
          <w:rFonts w:asciiTheme="majorBidi" w:hAnsiTheme="majorBidi" w:cstheme="majorBidi"/>
        </w:rPr>
        <w:t>(summary RR,</w:t>
      </w:r>
      <w:r w:rsidR="006C770F">
        <w:rPr>
          <w:rFonts w:asciiTheme="majorBidi" w:hAnsiTheme="majorBidi" w:cstheme="majorBidi"/>
        </w:rPr>
        <w:t>4.08</w:t>
      </w:r>
      <w:r w:rsidR="006C770F" w:rsidRPr="00743FCB">
        <w:rPr>
          <w:rFonts w:asciiTheme="majorBidi" w:hAnsiTheme="majorBidi" w:cstheme="majorBidi"/>
          <w:rtl/>
        </w:rPr>
        <w:t>]</w:t>
      </w:r>
      <w:r w:rsidR="006C770F" w:rsidRPr="00743FCB">
        <w:rPr>
          <w:rFonts w:asciiTheme="majorBidi" w:hAnsiTheme="majorBidi" w:cstheme="majorBidi"/>
        </w:rPr>
        <w:t xml:space="preserve">CI, </w:t>
      </w:r>
      <w:r w:rsidR="006C770F">
        <w:rPr>
          <w:rFonts w:asciiTheme="majorBidi" w:hAnsiTheme="majorBidi" w:cstheme="majorBidi"/>
        </w:rPr>
        <w:t>2.80</w:t>
      </w:r>
      <w:r w:rsidR="006C770F" w:rsidRPr="00743FCB">
        <w:rPr>
          <w:rFonts w:asciiTheme="majorBidi" w:hAnsiTheme="majorBidi" w:cstheme="majorBidi"/>
        </w:rPr>
        <w:t xml:space="preserve"> to </w:t>
      </w:r>
      <w:r w:rsidR="006C770F">
        <w:rPr>
          <w:rFonts w:asciiTheme="majorBidi" w:hAnsiTheme="majorBidi" w:cstheme="majorBidi"/>
        </w:rPr>
        <w:t>5.95</w:t>
      </w:r>
      <w:r w:rsidR="006C770F" w:rsidRPr="00743FCB">
        <w:rPr>
          <w:rFonts w:asciiTheme="majorBidi" w:hAnsiTheme="majorBidi" w:cstheme="majorBidi"/>
          <w:rtl/>
        </w:rPr>
        <w:t>[</w:t>
      </w:r>
      <w:r w:rsidR="006C770F" w:rsidRPr="00743FCB">
        <w:rPr>
          <w:rFonts w:asciiTheme="majorBidi" w:hAnsiTheme="majorBidi" w:cstheme="majorBidi"/>
        </w:rPr>
        <w:t>;I</w:t>
      </w:r>
      <w:r w:rsidR="006C770F" w:rsidRPr="00743FCB">
        <w:rPr>
          <w:rFonts w:asciiTheme="majorBidi" w:hAnsiTheme="majorBidi" w:cstheme="majorBidi"/>
          <w:vertAlign w:val="superscript"/>
        </w:rPr>
        <w:t>2</w:t>
      </w:r>
      <w:r w:rsidR="006C770F" w:rsidRPr="00743FCB">
        <w:rPr>
          <w:rFonts w:asciiTheme="majorBidi" w:hAnsiTheme="majorBidi" w:cstheme="majorBidi"/>
        </w:rPr>
        <w:t xml:space="preserve"> =0%)</w:t>
      </w:r>
      <w:r w:rsidR="006C770F">
        <w:rPr>
          <w:rFonts w:asciiTheme="majorBidi" w:hAnsiTheme="majorBidi" w:cstheme="majorBidi"/>
        </w:rPr>
        <w:t xml:space="preserve"> (figure 7) respectively.</w:t>
      </w:r>
      <w:r w:rsidR="00D01DAD">
        <w:rPr>
          <w:rFonts w:asciiTheme="majorBidi" w:hAnsiTheme="majorBidi" w:cstheme="majorBidi"/>
        </w:rPr>
        <w:t xml:space="preserve"> </w:t>
      </w:r>
      <w:r w:rsidR="001B2B86" w:rsidRPr="00743FCB">
        <w:rPr>
          <w:rFonts w:asciiTheme="majorBidi" w:hAnsiTheme="majorBidi" w:cstheme="majorBidi"/>
        </w:rPr>
        <w:t xml:space="preserve">The number of </w:t>
      </w:r>
      <w:r w:rsidR="00947807" w:rsidRPr="00743FCB">
        <w:rPr>
          <w:rFonts w:asciiTheme="majorBidi" w:hAnsiTheme="majorBidi" w:cstheme="majorBidi"/>
        </w:rPr>
        <w:t xml:space="preserve">withdrawal </w:t>
      </w:r>
      <w:r w:rsidR="001B2B86" w:rsidRPr="00743FCB">
        <w:rPr>
          <w:rFonts w:asciiTheme="majorBidi" w:hAnsiTheme="majorBidi" w:cstheme="majorBidi"/>
        </w:rPr>
        <w:t xml:space="preserve">patients from </w:t>
      </w:r>
      <w:r w:rsidR="00264A5D">
        <w:rPr>
          <w:rFonts w:asciiTheme="majorBidi" w:hAnsiTheme="majorBidi" w:cstheme="majorBidi"/>
        </w:rPr>
        <w:t>six</w:t>
      </w:r>
      <w:r w:rsidR="001B2B86" w:rsidRPr="00743FCB">
        <w:rPr>
          <w:rFonts w:asciiTheme="majorBidi" w:hAnsiTheme="majorBidi" w:cstheme="majorBidi"/>
        </w:rPr>
        <w:t xml:space="preserve"> trials in </w:t>
      </w:r>
      <w:proofErr w:type="spellStart"/>
      <w:r w:rsidR="001B2B86" w:rsidRPr="00743FCB">
        <w:rPr>
          <w:rFonts w:asciiTheme="majorBidi" w:hAnsiTheme="majorBidi" w:cstheme="majorBidi"/>
        </w:rPr>
        <w:t>ivabradine</w:t>
      </w:r>
      <w:proofErr w:type="spellEnd"/>
      <w:r w:rsidR="001B2B86" w:rsidRPr="00743FCB">
        <w:rPr>
          <w:rFonts w:asciiTheme="majorBidi" w:hAnsiTheme="majorBidi" w:cstheme="majorBidi"/>
        </w:rPr>
        <w:t xml:space="preserve"> were higher compared with </w:t>
      </w:r>
      <w:r w:rsidR="003B35F7">
        <w:rPr>
          <w:rFonts w:asciiTheme="majorBidi" w:hAnsiTheme="majorBidi" w:cstheme="majorBidi"/>
        </w:rPr>
        <w:t>control</w:t>
      </w:r>
      <w:r w:rsidR="003B35F7" w:rsidRPr="00743FCB">
        <w:rPr>
          <w:rFonts w:asciiTheme="majorBidi" w:hAnsiTheme="majorBidi" w:cstheme="majorBidi"/>
        </w:rPr>
        <w:t xml:space="preserve"> </w:t>
      </w:r>
      <w:r w:rsidR="001B2B86" w:rsidRPr="00743FCB">
        <w:rPr>
          <w:rFonts w:asciiTheme="majorBidi" w:hAnsiTheme="majorBidi" w:cstheme="majorBidi"/>
        </w:rPr>
        <w:t>(summary RR,1.12</w:t>
      </w:r>
      <w:r w:rsidR="001B2B86" w:rsidRPr="00743FCB">
        <w:rPr>
          <w:rFonts w:asciiTheme="majorBidi" w:hAnsiTheme="majorBidi" w:cstheme="majorBidi"/>
          <w:rtl/>
        </w:rPr>
        <w:t>]</w:t>
      </w:r>
      <w:r w:rsidR="001B2B86" w:rsidRPr="00743FCB">
        <w:rPr>
          <w:rFonts w:asciiTheme="majorBidi" w:hAnsiTheme="majorBidi" w:cstheme="majorBidi"/>
        </w:rPr>
        <w:t>CI, 1.0</w:t>
      </w:r>
      <w:r w:rsidR="00D01DAD">
        <w:rPr>
          <w:rFonts w:asciiTheme="majorBidi" w:hAnsiTheme="majorBidi" w:cstheme="majorBidi"/>
        </w:rPr>
        <w:t>3</w:t>
      </w:r>
      <w:r w:rsidR="001B2B86" w:rsidRPr="00743FCB">
        <w:rPr>
          <w:rFonts w:asciiTheme="majorBidi" w:hAnsiTheme="majorBidi" w:cstheme="majorBidi"/>
        </w:rPr>
        <w:t xml:space="preserve"> to 1.22</w:t>
      </w:r>
      <w:r w:rsidR="00D01DAD" w:rsidRPr="00743FCB">
        <w:rPr>
          <w:rFonts w:asciiTheme="majorBidi" w:hAnsiTheme="majorBidi" w:cstheme="majorBidi"/>
          <w:rtl/>
        </w:rPr>
        <w:t xml:space="preserve"> </w:t>
      </w:r>
      <w:proofErr w:type="gramStart"/>
      <w:r w:rsidR="001B2B86" w:rsidRPr="00743FCB">
        <w:rPr>
          <w:rFonts w:asciiTheme="majorBidi" w:hAnsiTheme="majorBidi" w:cstheme="majorBidi"/>
          <w:rtl/>
        </w:rPr>
        <w:t>[</w:t>
      </w:r>
      <w:r w:rsidR="001B2B86" w:rsidRPr="00743FCB">
        <w:rPr>
          <w:rFonts w:asciiTheme="majorBidi" w:hAnsiTheme="majorBidi" w:cstheme="majorBidi"/>
        </w:rPr>
        <w:t>;I</w:t>
      </w:r>
      <w:proofErr w:type="gramEnd"/>
      <w:r w:rsidR="001B2B86" w:rsidRPr="00743FCB">
        <w:rPr>
          <w:rFonts w:asciiTheme="majorBidi" w:hAnsiTheme="majorBidi" w:cstheme="majorBidi"/>
          <w:vertAlign w:val="superscript"/>
        </w:rPr>
        <w:t>2</w:t>
      </w:r>
      <w:r w:rsidR="001B2B86" w:rsidRPr="00743FCB">
        <w:rPr>
          <w:rFonts w:asciiTheme="majorBidi" w:hAnsiTheme="majorBidi" w:cstheme="majorBidi"/>
        </w:rPr>
        <w:t xml:space="preserve"> =0%) (figure </w:t>
      </w:r>
      <w:r w:rsidR="00D01DAD">
        <w:rPr>
          <w:rFonts w:asciiTheme="majorBidi" w:hAnsiTheme="majorBidi" w:cstheme="majorBidi"/>
        </w:rPr>
        <w:t>8</w:t>
      </w:r>
      <w:r w:rsidR="001B2B86" w:rsidRPr="00743FCB">
        <w:rPr>
          <w:rFonts w:asciiTheme="majorBidi" w:hAnsiTheme="majorBidi" w:cstheme="majorBidi"/>
        </w:rPr>
        <w:t xml:space="preserve">), and the main reasons for withdrawal from </w:t>
      </w:r>
      <w:proofErr w:type="spellStart"/>
      <w:r w:rsidR="001B2B86" w:rsidRPr="00743FCB">
        <w:rPr>
          <w:rFonts w:asciiTheme="majorBidi" w:hAnsiTheme="majorBidi" w:cstheme="majorBidi"/>
        </w:rPr>
        <w:t>ivabradine</w:t>
      </w:r>
      <w:proofErr w:type="spellEnd"/>
      <w:r w:rsidR="001B2B86" w:rsidRPr="00743FCB">
        <w:rPr>
          <w:rFonts w:asciiTheme="majorBidi" w:hAnsiTheme="majorBidi" w:cstheme="majorBidi"/>
        </w:rPr>
        <w:t xml:space="preserve"> were symptomatic and asymptomatic bradycardia</w:t>
      </w:r>
      <w:r w:rsidR="00D01DAD">
        <w:rPr>
          <w:rFonts w:asciiTheme="majorBidi" w:hAnsiTheme="majorBidi" w:cstheme="majorBidi"/>
        </w:rPr>
        <w:t xml:space="preserve"> and </w:t>
      </w:r>
      <w:proofErr w:type="spellStart"/>
      <w:r w:rsidR="00D01DAD">
        <w:rPr>
          <w:rFonts w:asciiTheme="majorBidi" w:hAnsiTheme="majorBidi" w:cstheme="majorBidi"/>
        </w:rPr>
        <w:t>phosphenes</w:t>
      </w:r>
      <w:proofErr w:type="spellEnd"/>
      <w:r w:rsidR="001B2B86" w:rsidRPr="00743FCB">
        <w:rPr>
          <w:rFonts w:asciiTheme="majorBidi" w:hAnsiTheme="majorBidi" w:cstheme="majorBidi"/>
        </w:rPr>
        <w:t xml:space="preserve"> which are the main adverse events of </w:t>
      </w:r>
      <w:proofErr w:type="spellStart"/>
      <w:r w:rsidR="001B2B86" w:rsidRPr="00743FCB">
        <w:rPr>
          <w:rFonts w:asciiTheme="majorBidi" w:hAnsiTheme="majorBidi" w:cstheme="majorBidi"/>
        </w:rPr>
        <w:t>ivabradine</w:t>
      </w:r>
      <w:proofErr w:type="spellEnd"/>
      <w:r w:rsidR="001B2B86" w:rsidRPr="00743FCB">
        <w:rPr>
          <w:rFonts w:asciiTheme="majorBidi" w:hAnsiTheme="majorBidi" w:cstheme="majorBidi"/>
        </w:rPr>
        <w:t xml:space="preserve"> .</w:t>
      </w:r>
    </w:p>
    <w:p w14:paraId="0C3BDB56" w14:textId="23DE3D99" w:rsidR="00D01DAD" w:rsidRDefault="000A1F81" w:rsidP="001B2B86">
      <w:pPr>
        <w:spacing w:line="360" w:lineRule="auto"/>
        <w:jc w:val="both"/>
        <w:rPr>
          <w:rFonts w:asciiTheme="majorBidi" w:hAnsiTheme="majorBidi" w:cstheme="majorBidi"/>
          <w:b/>
          <w:bCs/>
        </w:rPr>
      </w:pPr>
      <w:r w:rsidRPr="00743FCB">
        <w:rPr>
          <w:rFonts w:asciiTheme="majorBidi" w:hAnsiTheme="majorBidi" w:cstheme="majorBidi"/>
          <w:noProof/>
        </w:rPr>
        <w:lastRenderedPageBreak/>
        <mc:AlternateContent>
          <mc:Choice Requires="wps">
            <w:drawing>
              <wp:anchor distT="0" distB="0" distL="114300" distR="114300" simplePos="0" relativeHeight="251748352" behindDoc="0" locked="0" layoutInCell="1" allowOverlap="1" wp14:anchorId="1FEDE542" wp14:editId="56444036">
                <wp:simplePos x="0" y="0"/>
                <wp:positionH relativeFrom="column">
                  <wp:posOffset>1080135</wp:posOffset>
                </wp:positionH>
                <wp:positionV relativeFrom="paragraph">
                  <wp:posOffset>476</wp:posOffset>
                </wp:positionV>
                <wp:extent cx="3823335" cy="336550"/>
                <wp:effectExtent l="0" t="0" r="37465" b="19050"/>
                <wp:wrapSquare wrapText="bothSides"/>
                <wp:docPr id="13" name="Text Box 13"/>
                <wp:cNvGraphicFramePr/>
                <a:graphic xmlns:a="http://schemas.openxmlformats.org/drawingml/2006/main">
                  <a:graphicData uri="http://schemas.microsoft.com/office/word/2010/wordprocessingShape">
                    <wps:wsp>
                      <wps:cNvSpPr txBox="1"/>
                      <wps:spPr>
                        <a:xfrm>
                          <a:off x="0" y="0"/>
                          <a:ext cx="3823335" cy="336550"/>
                        </a:xfrm>
                        <a:prstGeom prst="rect">
                          <a:avLst/>
                        </a:prstGeom>
                        <a:ln/>
                      </wps:spPr>
                      <wps:style>
                        <a:lnRef idx="2">
                          <a:schemeClr val="dk1"/>
                        </a:lnRef>
                        <a:fillRef idx="1">
                          <a:schemeClr val="lt1"/>
                        </a:fillRef>
                        <a:effectRef idx="0">
                          <a:schemeClr val="dk1"/>
                        </a:effectRef>
                        <a:fontRef idx="minor">
                          <a:schemeClr val="dk1"/>
                        </a:fontRef>
                      </wps:style>
                      <wps:txbx>
                        <w:txbxContent>
                          <w:p w14:paraId="259E6437" w14:textId="77777777" w:rsidR="00177EB9" w:rsidRPr="00D57F38" w:rsidRDefault="00177EB9" w:rsidP="000A1F81">
                            <w:pPr>
                              <w:jc w:val="center"/>
                              <w:rPr>
                                <w:rFonts w:asciiTheme="majorBidi" w:hAnsiTheme="majorBidi" w:cstheme="majorBidi"/>
                                <w:b/>
                                <w:bCs/>
                                <w:sz w:val="21"/>
                                <w:szCs w:val="21"/>
                              </w:rPr>
                            </w:pPr>
                            <w:r w:rsidRPr="00D57F38">
                              <w:rPr>
                                <w:rFonts w:asciiTheme="majorBidi" w:hAnsiTheme="majorBidi" w:cstheme="majorBidi"/>
                                <w:b/>
                                <w:bCs/>
                                <w:sz w:val="21"/>
                                <w:szCs w:val="21"/>
                              </w:rPr>
                              <w:t xml:space="preserve">Figure 5: Summary of Relative Risk of All Adverse Events </w:t>
                            </w:r>
                          </w:p>
                          <w:p w14:paraId="48774D53" w14:textId="77777777" w:rsidR="00177EB9" w:rsidRPr="00D57F38" w:rsidRDefault="00177EB9" w:rsidP="000A1F81">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E542" id="Text Box 13" o:spid="_x0000_s1031" type="#_x0000_t202" style="position:absolute;left:0;text-align:left;margin-left:85.05pt;margin-top:.05pt;width:301.05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" fillcolor="white [3201]" strokecolor="black [3200]" strokeweight="1pt">
                <v:textbox>
                  <w:txbxContent>
                    <w:p w14:paraId="259E6437" w14:textId="77777777" w:rsidR="00177EB9" w:rsidRPr="00D57F38" w:rsidRDefault="00177EB9" w:rsidP="000A1F81">
                      <w:pPr>
                        <w:jc w:val="center"/>
                        <w:rPr>
                          <w:rFonts w:asciiTheme="majorBidi" w:hAnsiTheme="majorBidi" w:cstheme="majorBidi"/>
                          <w:b/>
                          <w:bCs/>
                          <w:sz w:val="21"/>
                          <w:szCs w:val="21"/>
                        </w:rPr>
                      </w:pPr>
                      <w:r w:rsidRPr="00D57F38">
                        <w:rPr>
                          <w:rFonts w:asciiTheme="majorBidi" w:hAnsiTheme="majorBidi" w:cstheme="majorBidi"/>
                          <w:b/>
                          <w:bCs/>
                          <w:sz w:val="21"/>
                          <w:szCs w:val="21"/>
                        </w:rPr>
                        <w:t xml:space="preserve">Figure 5: Summary of Relative Risk of All Adverse Events </w:t>
                      </w:r>
                    </w:p>
                    <w:p w14:paraId="48774D53" w14:textId="77777777" w:rsidR="00177EB9" w:rsidRPr="00D57F38" w:rsidRDefault="00177EB9" w:rsidP="000A1F81">
                      <w:pPr>
                        <w:jc w:val="center"/>
                        <w:rPr>
                          <w:rFonts w:asciiTheme="majorBidi" w:hAnsiTheme="majorBidi" w:cstheme="majorBidi"/>
                          <w:b/>
                          <w:bCs/>
                          <w:sz w:val="21"/>
                          <w:szCs w:val="21"/>
                        </w:rPr>
                      </w:pPr>
                    </w:p>
                  </w:txbxContent>
                </v:textbox>
                <w10:wrap type="square"/>
              </v:shape>
            </w:pict>
          </mc:Fallback>
        </mc:AlternateContent>
      </w:r>
    </w:p>
    <w:p w14:paraId="09BAD106" w14:textId="3EA26F40" w:rsidR="001B2B86" w:rsidRPr="00743FCB" w:rsidRDefault="006E74B2" w:rsidP="001B2B86">
      <w:pPr>
        <w:spacing w:line="360" w:lineRule="auto"/>
        <w:jc w:val="both"/>
        <w:rPr>
          <w:rFonts w:asciiTheme="majorBidi" w:hAnsiTheme="majorBidi" w:cstheme="majorBidi"/>
          <w:b/>
          <w:bCs/>
        </w:rPr>
      </w:pPr>
      <w:r>
        <w:rPr>
          <w:noProof/>
        </w:rPr>
        <w:drawing>
          <wp:anchor distT="0" distB="0" distL="114300" distR="114300" simplePos="0" relativeHeight="251750400" behindDoc="0" locked="0" layoutInCell="1" allowOverlap="1" wp14:anchorId="19AAEE1B" wp14:editId="54D952F9">
            <wp:simplePos x="0" y="0"/>
            <wp:positionH relativeFrom="margin">
              <wp:posOffset>165735</wp:posOffset>
            </wp:positionH>
            <wp:positionV relativeFrom="margin">
              <wp:posOffset>687705</wp:posOffset>
            </wp:positionV>
            <wp:extent cx="5709285" cy="2166620"/>
            <wp:effectExtent l="76200" t="76200" r="158115" b="1447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8 at 8.08.41 PM.png"/>
                    <pic:cNvPicPr/>
                  </pic:nvPicPr>
                  <pic:blipFill rotWithShape="1">
                    <a:blip r:embed="rId13">
                      <a:extLst>
                        <a:ext uri="{28A0092B-C50C-407E-A947-70E740481C1C}">
                          <a14:useLocalDpi xmlns:a14="http://schemas.microsoft.com/office/drawing/2010/main" val="0"/>
                        </a:ext>
                      </a:extLst>
                    </a:blip>
                    <a:srcRect l="9461" t="34761" r="11434" b="18997"/>
                    <a:stretch/>
                  </pic:blipFill>
                  <pic:spPr bwMode="auto">
                    <a:xfrm>
                      <a:off x="0" y="0"/>
                      <a:ext cx="5709285" cy="216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68069" w14:textId="7892BE64" w:rsidR="00022873" w:rsidRDefault="006E74B2" w:rsidP="00504CF8">
      <w:pPr>
        <w:spacing w:line="360" w:lineRule="auto"/>
        <w:jc w:val="both"/>
        <w:rPr>
          <w:rFonts w:asciiTheme="majorBidi" w:hAnsiTheme="majorBidi" w:cstheme="majorBidi"/>
          <w:b/>
          <w:bCs/>
        </w:rPr>
      </w:pPr>
      <w:r>
        <w:rPr>
          <w:noProof/>
        </w:rPr>
        <mc:AlternateContent>
          <mc:Choice Requires="wps">
            <w:drawing>
              <wp:anchor distT="0" distB="0" distL="114300" distR="114300" simplePos="0" relativeHeight="251728896" behindDoc="0" locked="0" layoutInCell="1" allowOverlap="1" wp14:anchorId="02A9C389" wp14:editId="633D90D4">
                <wp:simplePos x="0" y="0"/>
                <wp:positionH relativeFrom="column">
                  <wp:posOffset>1076960</wp:posOffset>
                </wp:positionH>
                <wp:positionV relativeFrom="paragraph">
                  <wp:posOffset>2564130</wp:posOffset>
                </wp:positionV>
                <wp:extent cx="4113530" cy="326390"/>
                <wp:effectExtent l="0" t="0" r="26670" b="29210"/>
                <wp:wrapSquare wrapText="bothSides"/>
                <wp:docPr id="17" name="Text Box 17"/>
                <wp:cNvGraphicFramePr/>
                <a:graphic xmlns:a="http://schemas.openxmlformats.org/drawingml/2006/main">
                  <a:graphicData uri="http://schemas.microsoft.com/office/word/2010/wordprocessingShape">
                    <wps:wsp>
                      <wps:cNvSpPr txBox="1"/>
                      <wps:spPr>
                        <a:xfrm>
                          <a:off x="0" y="0"/>
                          <a:ext cx="4113530" cy="326390"/>
                        </a:xfrm>
                        <a:prstGeom prst="rect">
                          <a:avLst/>
                        </a:prstGeom>
                        <a:ln/>
                      </wps:spPr>
                      <wps:style>
                        <a:lnRef idx="2">
                          <a:schemeClr val="dk1"/>
                        </a:lnRef>
                        <a:fillRef idx="1">
                          <a:schemeClr val="lt1"/>
                        </a:fillRef>
                        <a:effectRef idx="0">
                          <a:schemeClr val="dk1"/>
                        </a:effectRef>
                        <a:fontRef idx="minor">
                          <a:schemeClr val="dk1"/>
                        </a:fontRef>
                      </wps:style>
                      <wps:txbx>
                        <w:txbxContent>
                          <w:p w14:paraId="3861A841" w14:textId="77777777" w:rsidR="00177EB9" w:rsidRPr="00917A33" w:rsidRDefault="00177EB9" w:rsidP="00E0206B">
                            <w:pPr>
                              <w:jc w:val="center"/>
                              <w:rPr>
                                <w:rFonts w:asciiTheme="majorBidi" w:hAnsiTheme="majorBidi" w:cstheme="majorBidi"/>
                                <w:b/>
                                <w:bCs/>
                                <w:sz w:val="21"/>
                                <w:szCs w:val="21"/>
                              </w:rPr>
                            </w:pPr>
                            <w:r w:rsidRPr="00917A33">
                              <w:rPr>
                                <w:rFonts w:asciiTheme="majorBidi" w:hAnsiTheme="majorBidi" w:cstheme="majorBidi"/>
                                <w:b/>
                                <w:bCs/>
                                <w:sz w:val="21"/>
                                <w:szCs w:val="21"/>
                              </w:rPr>
                              <w:t xml:space="preserve">Figure 6: Summary of Relative Risk of bradycardia </w:t>
                            </w:r>
                          </w:p>
                          <w:p w14:paraId="1580A06E" w14:textId="77777777" w:rsidR="00177EB9" w:rsidRPr="00917A33" w:rsidRDefault="00177EB9" w:rsidP="00E0206B">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C389" id="Text Box 17" o:spid="_x0000_s1032" type="#_x0000_t202" style="position:absolute;left:0;text-align:left;margin-left:84.8pt;margin-top:201.9pt;width:323.9pt;height:2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" fillcolor="white [3201]" strokecolor="black [3200]" strokeweight="1pt">
                <v:textbox>
                  <w:txbxContent>
                    <w:p w14:paraId="3861A841" w14:textId="77777777" w:rsidR="00177EB9" w:rsidRPr="00917A33" w:rsidRDefault="00177EB9" w:rsidP="00E0206B">
                      <w:pPr>
                        <w:jc w:val="center"/>
                        <w:rPr>
                          <w:rFonts w:asciiTheme="majorBidi" w:hAnsiTheme="majorBidi" w:cstheme="majorBidi"/>
                          <w:b/>
                          <w:bCs/>
                          <w:sz w:val="21"/>
                          <w:szCs w:val="21"/>
                        </w:rPr>
                      </w:pPr>
                      <w:r w:rsidRPr="00917A33">
                        <w:rPr>
                          <w:rFonts w:asciiTheme="majorBidi" w:hAnsiTheme="majorBidi" w:cstheme="majorBidi"/>
                          <w:b/>
                          <w:bCs/>
                          <w:sz w:val="21"/>
                          <w:szCs w:val="21"/>
                        </w:rPr>
                        <w:t xml:space="preserve">Figure 6: Summary of Relative Risk of bradycardia </w:t>
                      </w:r>
                    </w:p>
                    <w:p w14:paraId="1580A06E" w14:textId="77777777" w:rsidR="00177EB9" w:rsidRPr="00917A33" w:rsidRDefault="00177EB9" w:rsidP="00E0206B">
                      <w:pPr>
                        <w:jc w:val="center"/>
                        <w:rPr>
                          <w:rFonts w:asciiTheme="majorBidi" w:hAnsiTheme="majorBidi" w:cstheme="majorBidi"/>
                          <w:b/>
                          <w:bCs/>
                          <w:sz w:val="21"/>
                          <w:szCs w:val="21"/>
                        </w:rPr>
                      </w:pPr>
                    </w:p>
                  </w:txbxContent>
                </v:textbox>
                <w10:wrap type="square"/>
              </v:shape>
            </w:pict>
          </mc:Fallback>
        </mc:AlternateContent>
      </w:r>
    </w:p>
    <w:p w14:paraId="4B790845" w14:textId="6875C2E2" w:rsidR="00022873" w:rsidRDefault="00022873" w:rsidP="00504CF8">
      <w:pPr>
        <w:spacing w:line="360" w:lineRule="auto"/>
        <w:jc w:val="both"/>
        <w:rPr>
          <w:rFonts w:asciiTheme="majorBidi" w:hAnsiTheme="majorBidi" w:cstheme="majorBidi"/>
          <w:b/>
          <w:bCs/>
        </w:rPr>
      </w:pPr>
    </w:p>
    <w:p w14:paraId="7D3F2DE2" w14:textId="7AE77832" w:rsidR="00022873" w:rsidRDefault="00260650" w:rsidP="00504CF8">
      <w:pPr>
        <w:spacing w:line="360" w:lineRule="auto"/>
        <w:jc w:val="both"/>
        <w:rPr>
          <w:rFonts w:asciiTheme="majorBidi" w:hAnsiTheme="majorBidi" w:cstheme="majorBidi"/>
          <w:b/>
          <w:bCs/>
        </w:rPr>
      </w:pPr>
      <w:r>
        <w:rPr>
          <w:noProof/>
        </w:rPr>
        <w:drawing>
          <wp:anchor distT="0" distB="0" distL="114300" distR="114300" simplePos="0" relativeHeight="251752448" behindDoc="0" locked="0" layoutInCell="1" allowOverlap="1" wp14:anchorId="26496EFD" wp14:editId="628664B4">
            <wp:simplePos x="0" y="0"/>
            <wp:positionH relativeFrom="margin">
              <wp:posOffset>165735</wp:posOffset>
            </wp:positionH>
            <wp:positionV relativeFrom="margin">
              <wp:posOffset>3888740</wp:posOffset>
            </wp:positionV>
            <wp:extent cx="5823585" cy="2288540"/>
            <wp:effectExtent l="76200" t="76200" r="145415" b="14986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8 at 8.11.45 PM.png"/>
                    <pic:cNvPicPr/>
                  </pic:nvPicPr>
                  <pic:blipFill rotWithShape="1">
                    <a:blip r:embed="rId14">
                      <a:extLst>
                        <a:ext uri="{28A0092B-C50C-407E-A947-70E740481C1C}">
                          <a14:useLocalDpi xmlns:a14="http://schemas.microsoft.com/office/drawing/2010/main" val="0"/>
                        </a:ext>
                      </a:extLst>
                    </a:blip>
                    <a:srcRect l="8526" t="23784" r="11630" b="30289"/>
                    <a:stretch/>
                  </pic:blipFill>
                  <pic:spPr bwMode="auto">
                    <a:xfrm>
                      <a:off x="0" y="0"/>
                      <a:ext cx="5823585" cy="228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029BD" w14:textId="4714900F" w:rsidR="00022873" w:rsidRDefault="00022873" w:rsidP="00504CF8">
      <w:pPr>
        <w:spacing w:line="360" w:lineRule="auto"/>
        <w:jc w:val="both"/>
        <w:rPr>
          <w:rFonts w:asciiTheme="majorBidi" w:hAnsiTheme="majorBidi" w:cstheme="majorBidi"/>
          <w:b/>
          <w:bCs/>
        </w:rPr>
      </w:pPr>
    </w:p>
    <w:p w14:paraId="7BDE3490" w14:textId="35CCE84F" w:rsidR="00022873" w:rsidRDefault="00260650" w:rsidP="00504CF8">
      <w:pPr>
        <w:spacing w:line="360" w:lineRule="auto"/>
        <w:jc w:val="both"/>
        <w:rPr>
          <w:rFonts w:asciiTheme="majorBidi" w:hAnsiTheme="majorBidi" w:cstheme="majorBidi"/>
          <w:b/>
          <w:bCs/>
        </w:rPr>
      </w:pPr>
      <w:r>
        <w:rPr>
          <w:noProof/>
        </w:rPr>
        <mc:AlternateContent>
          <mc:Choice Requires="wps">
            <w:drawing>
              <wp:anchor distT="0" distB="0" distL="114300" distR="114300" simplePos="0" relativeHeight="251754496" behindDoc="0" locked="0" layoutInCell="1" allowOverlap="1" wp14:anchorId="531D248E" wp14:editId="445B57F2">
                <wp:simplePos x="0" y="0"/>
                <wp:positionH relativeFrom="column">
                  <wp:posOffset>965200</wp:posOffset>
                </wp:positionH>
                <wp:positionV relativeFrom="paragraph">
                  <wp:posOffset>46355</wp:posOffset>
                </wp:positionV>
                <wp:extent cx="4505325" cy="373380"/>
                <wp:effectExtent l="0" t="0" r="15875" b="33020"/>
                <wp:wrapSquare wrapText="bothSides"/>
                <wp:docPr id="19" name="Text Box 19"/>
                <wp:cNvGraphicFramePr/>
                <a:graphic xmlns:a="http://schemas.openxmlformats.org/drawingml/2006/main">
                  <a:graphicData uri="http://schemas.microsoft.com/office/word/2010/wordprocessingShape">
                    <wps:wsp>
                      <wps:cNvSpPr txBox="1"/>
                      <wps:spPr>
                        <a:xfrm>
                          <a:off x="0" y="0"/>
                          <a:ext cx="4505325" cy="373380"/>
                        </a:xfrm>
                        <a:prstGeom prst="rect">
                          <a:avLst/>
                        </a:prstGeom>
                        <a:ln/>
                      </wps:spPr>
                      <wps:style>
                        <a:lnRef idx="2">
                          <a:schemeClr val="dk1"/>
                        </a:lnRef>
                        <a:fillRef idx="1">
                          <a:schemeClr val="lt1"/>
                        </a:fillRef>
                        <a:effectRef idx="0">
                          <a:schemeClr val="dk1"/>
                        </a:effectRef>
                        <a:fontRef idx="minor">
                          <a:schemeClr val="dk1"/>
                        </a:fontRef>
                      </wps:style>
                      <wps:txbx>
                        <w:txbxContent>
                          <w:p w14:paraId="2D1285D7" w14:textId="77777777" w:rsidR="00177EB9" w:rsidRPr="00917A33" w:rsidRDefault="00177EB9" w:rsidP="00260650">
                            <w:pPr>
                              <w:jc w:val="center"/>
                              <w:rPr>
                                <w:rFonts w:asciiTheme="majorBidi" w:hAnsiTheme="majorBidi" w:cstheme="majorBidi"/>
                                <w:b/>
                                <w:bCs/>
                                <w:sz w:val="21"/>
                                <w:szCs w:val="21"/>
                              </w:rPr>
                            </w:pPr>
                            <w:r w:rsidRPr="00917A33">
                              <w:rPr>
                                <w:rFonts w:asciiTheme="majorBidi" w:hAnsiTheme="majorBidi" w:cstheme="majorBidi"/>
                                <w:b/>
                                <w:bCs/>
                                <w:sz w:val="21"/>
                                <w:szCs w:val="21"/>
                              </w:rPr>
                              <w:t xml:space="preserve">Figure 7: Summary of Relative Risk of </w:t>
                            </w:r>
                            <w:proofErr w:type="spellStart"/>
                            <w:r w:rsidRPr="00917A33">
                              <w:rPr>
                                <w:rFonts w:asciiTheme="majorBidi" w:hAnsiTheme="majorBidi" w:cstheme="majorBidi"/>
                                <w:b/>
                                <w:bCs/>
                                <w:sz w:val="21"/>
                                <w:szCs w:val="21"/>
                              </w:rPr>
                              <w:t>phosphenes</w:t>
                            </w:r>
                            <w:proofErr w:type="spellEnd"/>
                            <w:r w:rsidRPr="00917A33">
                              <w:rPr>
                                <w:rFonts w:asciiTheme="majorBidi" w:hAnsiTheme="majorBidi" w:cstheme="majorBidi"/>
                                <w:b/>
                                <w:bCs/>
                                <w:sz w:val="21"/>
                                <w:szCs w:val="21"/>
                              </w:rPr>
                              <w:t xml:space="preserve"> and blurred vision </w:t>
                            </w:r>
                          </w:p>
                          <w:p w14:paraId="3AA5632C" w14:textId="77777777" w:rsidR="00177EB9" w:rsidRPr="00917A33" w:rsidRDefault="00177EB9" w:rsidP="00260650">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248E" id="Text Box 19" o:spid="_x0000_s1033" type="#_x0000_t202" style="position:absolute;left:0;text-align:left;margin-left:76pt;margin-top:3.65pt;width:354.75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" fillcolor="white [3201]" strokecolor="black [3200]" strokeweight="1pt">
                <v:textbox>
                  <w:txbxContent>
                    <w:p w14:paraId="2D1285D7" w14:textId="77777777" w:rsidR="00177EB9" w:rsidRPr="00917A33" w:rsidRDefault="00177EB9" w:rsidP="00260650">
                      <w:pPr>
                        <w:jc w:val="center"/>
                        <w:rPr>
                          <w:rFonts w:asciiTheme="majorBidi" w:hAnsiTheme="majorBidi" w:cstheme="majorBidi"/>
                          <w:b/>
                          <w:bCs/>
                          <w:sz w:val="21"/>
                          <w:szCs w:val="21"/>
                        </w:rPr>
                      </w:pPr>
                      <w:r w:rsidRPr="00917A33">
                        <w:rPr>
                          <w:rFonts w:asciiTheme="majorBidi" w:hAnsiTheme="majorBidi" w:cstheme="majorBidi"/>
                          <w:b/>
                          <w:bCs/>
                          <w:sz w:val="21"/>
                          <w:szCs w:val="21"/>
                        </w:rPr>
                        <w:t xml:space="preserve">Figure 7: Summary of Relative Risk of </w:t>
                      </w:r>
                      <w:proofErr w:type="spellStart"/>
                      <w:r w:rsidRPr="00917A33">
                        <w:rPr>
                          <w:rFonts w:asciiTheme="majorBidi" w:hAnsiTheme="majorBidi" w:cstheme="majorBidi"/>
                          <w:b/>
                          <w:bCs/>
                          <w:sz w:val="21"/>
                          <w:szCs w:val="21"/>
                        </w:rPr>
                        <w:t>phosphenes</w:t>
                      </w:r>
                      <w:proofErr w:type="spellEnd"/>
                      <w:r w:rsidRPr="00917A33">
                        <w:rPr>
                          <w:rFonts w:asciiTheme="majorBidi" w:hAnsiTheme="majorBidi" w:cstheme="majorBidi"/>
                          <w:b/>
                          <w:bCs/>
                          <w:sz w:val="21"/>
                          <w:szCs w:val="21"/>
                        </w:rPr>
                        <w:t xml:space="preserve"> and blurred vision </w:t>
                      </w:r>
                    </w:p>
                    <w:p w14:paraId="3AA5632C" w14:textId="77777777" w:rsidR="00177EB9" w:rsidRPr="00917A33" w:rsidRDefault="00177EB9" w:rsidP="00260650">
                      <w:pPr>
                        <w:jc w:val="center"/>
                        <w:rPr>
                          <w:rFonts w:asciiTheme="majorBidi" w:hAnsiTheme="majorBidi" w:cstheme="majorBidi"/>
                          <w:b/>
                          <w:bCs/>
                          <w:sz w:val="21"/>
                          <w:szCs w:val="21"/>
                        </w:rPr>
                      </w:pPr>
                    </w:p>
                  </w:txbxContent>
                </v:textbox>
                <w10:wrap type="square"/>
              </v:shape>
            </w:pict>
          </mc:Fallback>
        </mc:AlternateContent>
      </w:r>
    </w:p>
    <w:p w14:paraId="3C0EB6E4" w14:textId="13F4EA4B" w:rsidR="00D57F38" w:rsidRPr="00743FCB" w:rsidRDefault="00D57F38" w:rsidP="00504CF8">
      <w:pPr>
        <w:spacing w:line="360" w:lineRule="auto"/>
        <w:jc w:val="both"/>
        <w:rPr>
          <w:rFonts w:asciiTheme="majorBidi" w:hAnsiTheme="majorBidi" w:cstheme="majorBidi"/>
          <w:b/>
          <w:bCs/>
        </w:rPr>
      </w:pPr>
    </w:p>
    <w:p w14:paraId="1B8B169B" w14:textId="51D7F9C5" w:rsidR="00D57F38" w:rsidRPr="00743FCB" w:rsidRDefault="00D57F38" w:rsidP="00504CF8">
      <w:pPr>
        <w:spacing w:line="360" w:lineRule="auto"/>
        <w:jc w:val="both"/>
        <w:rPr>
          <w:rFonts w:asciiTheme="majorBidi" w:hAnsiTheme="majorBidi" w:cstheme="majorBidi"/>
          <w:b/>
          <w:bCs/>
        </w:rPr>
      </w:pPr>
    </w:p>
    <w:p w14:paraId="41EF009D" w14:textId="4DBB32D5" w:rsidR="00D57F38" w:rsidRPr="00743FCB" w:rsidRDefault="00D57F38" w:rsidP="00504CF8">
      <w:pPr>
        <w:spacing w:line="360" w:lineRule="auto"/>
        <w:jc w:val="both"/>
        <w:rPr>
          <w:rFonts w:asciiTheme="majorBidi" w:hAnsiTheme="majorBidi" w:cstheme="majorBidi"/>
          <w:b/>
          <w:bCs/>
        </w:rPr>
      </w:pPr>
    </w:p>
    <w:p w14:paraId="08F76BBE" w14:textId="1304084A" w:rsidR="00D57F38" w:rsidRPr="00743FCB" w:rsidRDefault="00D57F38" w:rsidP="00504CF8">
      <w:pPr>
        <w:spacing w:line="360" w:lineRule="auto"/>
        <w:jc w:val="both"/>
        <w:rPr>
          <w:rFonts w:asciiTheme="majorBidi" w:hAnsiTheme="majorBidi" w:cstheme="majorBidi"/>
          <w:b/>
          <w:bCs/>
        </w:rPr>
      </w:pPr>
    </w:p>
    <w:p w14:paraId="16ED104C" w14:textId="3E50B096" w:rsidR="00D57F38" w:rsidRPr="00743FCB" w:rsidRDefault="00D57F38" w:rsidP="00504CF8">
      <w:pPr>
        <w:spacing w:line="360" w:lineRule="auto"/>
        <w:jc w:val="both"/>
        <w:rPr>
          <w:rFonts w:asciiTheme="majorBidi" w:hAnsiTheme="majorBidi" w:cstheme="majorBidi"/>
          <w:b/>
          <w:bCs/>
        </w:rPr>
      </w:pPr>
    </w:p>
    <w:p w14:paraId="1F96F6E6" w14:textId="1251B44A" w:rsidR="00D57F38" w:rsidRPr="00743FCB" w:rsidRDefault="00260650" w:rsidP="00504CF8">
      <w:pPr>
        <w:spacing w:line="360" w:lineRule="auto"/>
        <w:jc w:val="both"/>
        <w:rPr>
          <w:rFonts w:asciiTheme="majorBidi" w:hAnsiTheme="majorBidi" w:cstheme="majorBidi"/>
          <w:b/>
          <w:bCs/>
        </w:rPr>
      </w:pPr>
      <w:r>
        <w:rPr>
          <w:noProof/>
        </w:rPr>
        <w:lastRenderedPageBreak/>
        <mc:AlternateContent>
          <mc:Choice Requires="wps">
            <w:drawing>
              <wp:anchor distT="0" distB="0" distL="114300" distR="114300" simplePos="0" relativeHeight="251726848" behindDoc="0" locked="0" layoutInCell="1" allowOverlap="1" wp14:anchorId="5DCC71E9" wp14:editId="0BCB30B3">
                <wp:simplePos x="0" y="0"/>
                <wp:positionH relativeFrom="column">
                  <wp:posOffset>1537335</wp:posOffset>
                </wp:positionH>
                <wp:positionV relativeFrom="paragraph">
                  <wp:posOffset>2286000</wp:posOffset>
                </wp:positionV>
                <wp:extent cx="3883025" cy="342900"/>
                <wp:effectExtent l="0" t="0" r="28575" b="38100"/>
                <wp:wrapSquare wrapText="bothSides"/>
                <wp:docPr id="21" name="Text Box 21"/>
                <wp:cNvGraphicFramePr/>
                <a:graphic xmlns:a="http://schemas.openxmlformats.org/drawingml/2006/main">
                  <a:graphicData uri="http://schemas.microsoft.com/office/word/2010/wordprocessingShape">
                    <wps:wsp>
                      <wps:cNvSpPr txBox="1"/>
                      <wps:spPr>
                        <a:xfrm>
                          <a:off x="0" y="0"/>
                          <a:ext cx="388302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68F1C30A" w14:textId="769102F7" w:rsidR="00177EB9" w:rsidRPr="00917A33" w:rsidRDefault="00177EB9" w:rsidP="00D01DAD">
                            <w:pPr>
                              <w:jc w:val="center"/>
                              <w:rPr>
                                <w:rFonts w:asciiTheme="majorBidi" w:hAnsiTheme="majorBidi" w:cstheme="majorBidi"/>
                                <w:sz w:val="21"/>
                                <w:szCs w:val="21"/>
                              </w:rPr>
                            </w:pPr>
                            <w:r w:rsidRPr="00917A33">
                              <w:rPr>
                                <w:rFonts w:asciiTheme="majorBidi" w:hAnsiTheme="majorBidi" w:cstheme="majorBidi"/>
                                <w:b/>
                                <w:bCs/>
                                <w:sz w:val="21"/>
                                <w:szCs w:val="21"/>
                              </w:rPr>
                              <w:t xml:space="preserve">Figure 8: Summary of Relative Risk of withdrawal </w:t>
                            </w:r>
                          </w:p>
                          <w:p w14:paraId="1DD45783" w14:textId="77777777" w:rsidR="00177EB9" w:rsidRPr="00917A33" w:rsidRDefault="00177EB9" w:rsidP="00D01DAD">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71E9" id="Text Box 21" o:spid="_x0000_s1034" type="#_x0000_t202" style="position:absolute;left:0;text-align:left;margin-left:121.05pt;margin-top:180pt;width:305.7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" fillcolor="white [3201]" strokecolor="black [3200]" strokeweight="1pt">
                <v:textbox>
                  <w:txbxContent>
                    <w:p w14:paraId="68F1C30A" w14:textId="769102F7" w:rsidR="00177EB9" w:rsidRPr="00917A33" w:rsidRDefault="00177EB9" w:rsidP="00D01DAD">
                      <w:pPr>
                        <w:jc w:val="center"/>
                        <w:rPr>
                          <w:rFonts w:asciiTheme="majorBidi" w:hAnsiTheme="majorBidi" w:cstheme="majorBidi"/>
                          <w:sz w:val="21"/>
                          <w:szCs w:val="21"/>
                        </w:rPr>
                      </w:pPr>
                      <w:r w:rsidRPr="00917A33">
                        <w:rPr>
                          <w:rFonts w:asciiTheme="majorBidi" w:hAnsiTheme="majorBidi" w:cstheme="majorBidi"/>
                          <w:b/>
                          <w:bCs/>
                          <w:sz w:val="21"/>
                          <w:szCs w:val="21"/>
                        </w:rPr>
                        <w:t xml:space="preserve">Figure 8: Summary of Relative Risk of withdrawal </w:t>
                      </w:r>
                    </w:p>
                    <w:p w14:paraId="1DD45783" w14:textId="77777777" w:rsidR="00177EB9" w:rsidRPr="00917A33" w:rsidRDefault="00177EB9" w:rsidP="00D01DAD">
                      <w:pPr>
                        <w:jc w:val="center"/>
                        <w:rPr>
                          <w:rFonts w:asciiTheme="majorBidi" w:hAnsiTheme="majorBidi" w:cstheme="majorBidi"/>
                          <w:b/>
                          <w:bCs/>
                          <w:sz w:val="21"/>
                          <w:szCs w:val="21"/>
                        </w:rPr>
                      </w:pPr>
                    </w:p>
                  </w:txbxContent>
                </v:textbox>
                <w10:wrap type="square"/>
              </v:shape>
            </w:pict>
          </mc:Fallback>
        </mc:AlternateContent>
      </w:r>
      <w:r>
        <w:rPr>
          <w:noProof/>
        </w:rPr>
        <w:drawing>
          <wp:anchor distT="0" distB="0" distL="114300" distR="114300" simplePos="0" relativeHeight="251756544" behindDoc="0" locked="0" layoutInCell="1" allowOverlap="1" wp14:anchorId="25A1B33D" wp14:editId="59517289">
            <wp:simplePos x="0" y="0"/>
            <wp:positionH relativeFrom="margin">
              <wp:posOffset>400050</wp:posOffset>
            </wp:positionH>
            <wp:positionV relativeFrom="margin">
              <wp:posOffset>-114300</wp:posOffset>
            </wp:positionV>
            <wp:extent cx="5709285" cy="2174240"/>
            <wp:effectExtent l="76200" t="76200" r="158115" b="1625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18 at 8.17.36 PM.png"/>
                    <pic:cNvPicPr/>
                  </pic:nvPicPr>
                  <pic:blipFill rotWithShape="1">
                    <a:blip r:embed="rId15">
                      <a:extLst>
                        <a:ext uri="{28A0092B-C50C-407E-A947-70E740481C1C}">
                          <a14:useLocalDpi xmlns:a14="http://schemas.microsoft.com/office/drawing/2010/main" val="0"/>
                        </a:ext>
                      </a:extLst>
                    </a:blip>
                    <a:srcRect l="12995" t="32104" r="13513" b="22162"/>
                    <a:stretch/>
                  </pic:blipFill>
                  <pic:spPr bwMode="auto">
                    <a:xfrm>
                      <a:off x="0" y="0"/>
                      <a:ext cx="5709285" cy="217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A8D5F" w14:textId="0F462DA4" w:rsidR="00D57F38" w:rsidRPr="00743FCB" w:rsidRDefault="00D57F38" w:rsidP="00504CF8">
      <w:pPr>
        <w:spacing w:line="360" w:lineRule="auto"/>
        <w:jc w:val="both"/>
        <w:rPr>
          <w:rFonts w:asciiTheme="majorBidi" w:hAnsiTheme="majorBidi" w:cstheme="majorBidi"/>
          <w:b/>
          <w:bCs/>
        </w:rPr>
      </w:pPr>
    </w:p>
    <w:p w14:paraId="475E8214" w14:textId="78776E2A" w:rsidR="00D57F38" w:rsidRPr="00743FCB" w:rsidRDefault="00D57F38" w:rsidP="00504CF8">
      <w:pPr>
        <w:spacing w:line="360" w:lineRule="auto"/>
        <w:jc w:val="both"/>
        <w:rPr>
          <w:rFonts w:asciiTheme="majorBidi" w:hAnsiTheme="majorBidi" w:cstheme="majorBidi"/>
          <w:b/>
          <w:bCs/>
        </w:rPr>
      </w:pPr>
    </w:p>
    <w:p w14:paraId="291A9F73" w14:textId="4CCC0D4D" w:rsidR="00504CF8" w:rsidRPr="00743FCB" w:rsidRDefault="00466E30" w:rsidP="00504CF8">
      <w:pPr>
        <w:spacing w:line="360" w:lineRule="auto"/>
        <w:jc w:val="both"/>
        <w:rPr>
          <w:rFonts w:asciiTheme="majorBidi" w:hAnsiTheme="majorBidi" w:cstheme="majorBidi"/>
          <w:b/>
          <w:bCs/>
        </w:rPr>
      </w:pPr>
      <w:r w:rsidRPr="00743FCB">
        <w:rPr>
          <w:rFonts w:asciiTheme="majorBidi" w:hAnsiTheme="majorBidi" w:cstheme="majorBidi"/>
          <w:b/>
          <w:bCs/>
        </w:rPr>
        <w:t>Discussion</w:t>
      </w:r>
      <w:r w:rsidR="00504CF8" w:rsidRPr="00743FCB">
        <w:rPr>
          <w:rFonts w:asciiTheme="majorBidi" w:hAnsiTheme="majorBidi" w:cstheme="majorBidi"/>
          <w:b/>
          <w:bCs/>
        </w:rPr>
        <w:t>:</w:t>
      </w:r>
    </w:p>
    <w:p w14:paraId="1D29054C" w14:textId="17A29BB5" w:rsidR="00CA0E5B" w:rsidRPr="00743FCB" w:rsidRDefault="00CA0E5B" w:rsidP="003B35F7">
      <w:pPr>
        <w:spacing w:line="360" w:lineRule="auto"/>
        <w:jc w:val="both"/>
        <w:rPr>
          <w:rFonts w:asciiTheme="majorBidi" w:hAnsiTheme="majorBidi" w:cstheme="majorBidi"/>
        </w:rPr>
      </w:pPr>
      <w:r w:rsidRPr="00743FCB">
        <w:rPr>
          <w:rFonts w:asciiTheme="majorBidi" w:hAnsiTheme="majorBidi" w:cstheme="majorBidi"/>
        </w:rPr>
        <w:t>In our study we included RCTs met our inclusion criteria, These RCTs included heart failure patients with reduced</w:t>
      </w:r>
      <w:r w:rsidR="00CD57A4">
        <w:rPr>
          <w:rFonts w:asciiTheme="majorBidi" w:hAnsiTheme="majorBidi" w:cstheme="majorBidi"/>
        </w:rPr>
        <w:t xml:space="preserve"> and preserved</w:t>
      </w:r>
      <w:r w:rsidR="00562D5C">
        <w:rPr>
          <w:rFonts w:asciiTheme="majorBidi" w:hAnsiTheme="majorBidi" w:cstheme="majorBidi"/>
        </w:rPr>
        <w:t xml:space="preserve"> ejection fraction </w:t>
      </w:r>
      <w:r w:rsidRPr="00743FCB">
        <w:rPr>
          <w:rFonts w:asciiTheme="majorBidi" w:hAnsiTheme="majorBidi" w:cstheme="majorBidi"/>
        </w:rPr>
        <w:t>and coronary artery disease with reduced ejection fraction. Overall, 17</w:t>
      </w:r>
      <w:r w:rsidR="00CD57A4">
        <w:rPr>
          <w:rFonts w:asciiTheme="majorBidi" w:hAnsiTheme="majorBidi" w:cstheme="majorBidi"/>
        </w:rPr>
        <w:t>886</w:t>
      </w:r>
      <w:r w:rsidRPr="00743FCB">
        <w:rPr>
          <w:rFonts w:asciiTheme="majorBidi" w:hAnsiTheme="majorBidi" w:cstheme="majorBidi"/>
        </w:rPr>
        <w:t xml:space="preserve"> patients were randomly assigned to receive either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or </w:t>
      </w:r>
      <w:r w:rsidR="003B35F7">
        <w:rPr>
          <w:rFonts w:asciiTheme="majorBidi" w:hAnsiTheme="majorBidi" w:cstheme="majorBidi"/>
        </w:rPr>
        <w:t>control</w:t>
      </w:r>
      <w:r w:rsidR="003B35F7" w:rsidRPr="00743FCB">
        <w:rPr>
          <w:rFonts w:asciiTheme="majorBidi" w:hAnsiTheme="majorBidi" w:cstheme="majorBidi"/>
        </w:rPr>
        <w:t xml:space="preserve"> </w:t>
      </w:r>
      <w:r w:rsidRPr="00743FCB">
        <w:rPr>
          <w:rFonts w:asciiTheme="majorBidi" w:hAnsiTheme="majorBidi" w:cstheme="majorBidi"/>
        </w:rPr>
        <w:t xml:space="preserve">with treatment duration ranged from </w:t>
      </w:r>
      <w:r w:rsidR="00CD57A4">
        <w:rPr>
          <w:rFonts w:asciiTheme="majorBidi" w:hAnsiTheme="majorBidi" w:cstheme="majorBidi"/>
        </w:rPr>
        <w:t>7 days</w:t>
      </w:r>
      <w:r w:rsidRPr="00743FCB">
        <w:rPr>
          <w:rFonts w:asciiTheme="majorBidi" w:hAnsiTheme="majorBidi" w:cstheme="majorBidi"/>
        </w:rPr>
        <w:t xml:space="preserve"> to 32 months. </w:t>
      </w:r>
      <w:r>
        <w:rPr>
          <w:rFonts w:asciiTheme="majorBidi" w:hAnsiTheme="majorBidi" w:cstheme="majorBidi"/>
        </w:rPr>
        <w:t xml:space="preserve">Ivabradine </w:t>
      </w:r>
      <w:r w:rsidRPr="00743FCB">
        <w:rPr>
          <w:rFonts w:asciiTheme="majorBidi" w:hAnsiTheme="majorBidi" w:cstheme="majorBidi"/>
        </w:rPr>
        <w:t>increase</w:t>
      </w:r>
      <w:r>
        <w:rPr>
          <w:rFonts w:asciiTheme="majorBidi" w:hAnsiTheme="majorBidi" w:cstheme="majorBidi"/>
        </w:rPr>
        <w:t xml:space="preserve">d </w:t>
      </w:r>
      <w:r w:rsidR="00CD57A4">
        <w:rPr>
          <w:rFonts w:asciiTheme="majorBidi" w:hAnsiTheme="majorBidi" w:cstheme="majorBidi"/>
        </w:rPr>
        <w:t>EF by 3</w:t>
      </w:r>
      <w:r w:rsidRPr="00743FCB">
        <w:rPr>
          <w:rFonts w:asciiTheme="majorBidi" w:hAnsiTheme="majorBidi" w:cstheme="majorBidi"/>
        </w:rPr>
        <w:t>% compar</w:t>
      </w:r>
      <w:r>
        <w:rPr>
          <w:rFonts w:asciiTheme="majorBidi" w:hAnsiTheme="majorBidi" w:cstheme="majorBidi"/>
        </w:rPr>
        <w:t xml:space="preserve">ed with </w:t>
      </w:r>
      <w:r w:rsidR="003B35F7">
        <w:rPr>
          <w:rFonts w:asciiTheme="majorBidi" w:hAnsiTheme="majorBidi" w:cstheme="majorBidi"/>
        </w:rPr>
        <w:t>control</w:t>
      </w:r>
      <w:r w:rsidR="008F1593">
        <w:rPr>
          <w:rFonts w:asciiTheme="majorBidi" w:hAnsiTheme="majorBidi" w:cstheme="majorBidi"/>
        </w:rPr>
        <w:t>.</w:t>
      </w:r>
      <w:r w:rsidR="008F1593" w:rsidRPr="008F1593">
        <w:rPr>
          <w:rFonts w:asciiTheme="majorBidi" w:hAnsiTheme="majorBidi" w:cstheme="majorBidi"/>
        </w:rPr>
        <w:t xml:space="preserve"> </w:t>
      </w:r>
      <w:r w:rsidR="008F1593" w:rsidRPr="00743FCB">
        <w:rPr>
          <w:rFonts w:asciiTheme="majorBidi" w:hAnsiTheme="majorBidi" w:cstheme="majorBidi"/>
        </w:rPr>
        <w:t xml:space="preserve">However, </w:t>
      </w:r>
      <w:proofErr w:type="spellStart"/>
      <w:r w:rsidR="008F1593" w:rsidRPr="00743FCB">
        <w:rPr>
          <w:rFonts w:asciiTheme="majorBidi" w:hAnsiTheme="majorBidi" w:cstheme="majorBidi"/>
        </w:rPr>
        <w:t>ivabradine</w:t>
      </w:r>
      <w:proofErr w:type="spellEnd"/>
      <w:r w:rsidR="008F1593" w:rsidRPr="00743FCB">
        <w:rPr>
          <w:rFonts w:asciiTheme="majorBidi" w:hAnsiTheme="majorBidi" w:cstheme="majorBidi"/>
        </w:rPr>
        <w:t xml:space="preserve"> did not lower all-cause mortality </w:t>
      </w:r>
      <w:r w:rsidR="008F1593">
        <w:rPr>
          <w:rFonts w:asciiTheme="majorBidi" w:hAnsiTheme="majorBidi" w:cstheme="majorBidi"/>
        </w:rPr>
        <w:t>or hospital readmission, and</w:t>
      </w:r>
      <w:r w:rsidR="00CD57A4">
        <w:rPr>
          <w:rFonts w:asciiTheme="majorBidi" w:hAnsiTheme="majorBidi" w:cstheme="majorBidi"/>
        </w:rPr>
        <w:t xml:space="preserve"> there was no significant difference reduction</w:t>
      </w:r>
      <w:r>
        <w:rPr>
          <w:rFonts w:asciiTheme="majorBidi" w:hAnsiTheme="majorBidi" w:cstheme="majorBidi"/>
        </w:rPr>
        <w:t xml:space="preserve"> </w:t>
      </w:r>
      <w:r w:rsidRPr="00743FCB">
        <w:rPr>
          <w:rFonts w:asciiTheme="majorBidi" w:hAnsiTheme="majorBidi" w:cstheme="majorBidi"/>
        </w:rPr>
        <w:t xml:space="preserve">in </w:t>
      </w:r>
      <w:r w:rsidR="00562D5C">
        <w:rPr>
          <w:rFonts w:asciiTheme="majorBidi" w:hAnsiTheme="majorBidi" w:cstheme="majorBidi"/>
        </w:rPr>
        <w:t xml:space="preserve">the </w:t>
      </w:r>
      <w:r w:rsidRPr="00743FCB">
        <w:rPr>
          <w:rFonts w:asciiTheme="majorBidi" w:hAnsiTheme="majorBidi" w:cstheme="majorBidi"/>
        </w:rPr>
        <w:t>mean</w:t>
      </w:r>
      <w:r w:rsidR="00CD57A4">
        <w:rPr>
          <w:rFonts w:asciiTheme="majorBidi" w:hAnsiTheme="majorBidi" w:cstheme="majorBidi"/>
        </w:rPr>
        <w:t xml:space="preserve"> heart rate</w:t>
      </w:r>
      <w:r w:rsidRPr="00743FCB">
        <w:rPr>
          <w:rFonts w:asciiTheme="majorBidi" w:hAnsiTheme="majorBidi" w:cstheme="majorBidi"/>
        </w:rPr>
        <w:t xml:space="preserve"> from baseline </w:t>
      </w:r>
      <w:r w:rsidR="00CD57A4">
        <w:rPr>
          <w:rFonts w:asciiTheme="majorBidi" w:hAnsiTheme="majorBidi" w:cstheme="majorBidi"/>
        </w:rPr>
        <w:t>to the follow up</w:t>
      </w:r>
      <w:r w:rsidRPr="00743FCB">
        <w:rPr>
          <w:rFonts w:asciiTheme="majorBidi" w:hAnsiTheme="majorBidi" w:cstheme="majorBidi"/>
        </w:rPr>
        <w:t xml:space="preserve"> compared with </w:t>
      </w:r>
      <w:r w:rsidR="003B35F7">
        <w:rPr>
          <w:rFonts w:asciiTheme="majorBidi" w:hAnsiTheme="majorBidi" w:cstheme="majorBidi"/>
        </w:rPr>
        <w:t>control</w:t>
      </w:r>
      <w:r w:rsidR="00FC2383">
        <w:rPr>
          <w:rFonts w:asciiTheme="majorBidi" w:hAnsiTheme="majorBidi" w:cstheme="majorBidi"/>
        </w:rPr>
        <w:t xml:space="preserve">. Ivabradine did not increase the </w:t>
      </w:r>
      <w:r w:rsidRPr="00743FCB">
        <w:rPr>
          <w:rFonts w:asciiTheme="majorBidi" w:hAnsiTheme="majorBidi" w:cstheme="majorBidi"/>
        </w:rPr>
        <w:t xml:space="preserve">incidence of all adverse events </w:t>
      </w:r>
      <w:r w:rsidR="00FC2383">
        <w:rPr>
          <w:rFonts w:asciiTheme="majorBidi" w:hAnsiTheme="majorBidi" w:cstheme="majorBidi"/>
        </w:rPr>
        <w:t>or</w:t>
      </w:r>
      <w:r w:rsidRPr="00743FCB">
        <w:rPr>
          <w:rFonts w:asciiTheme="majorBidi" w:hAnsiTheme="majorBidi" w:cstheme="majorBidi"/>
        </w:rPr>
        <w:t xml:space="preserve"> ischemic events. </w:t>
      </w:r>
      <w:r w:rsidR="000A4C56">
        <w:rPr>
          <w:rFonts w:asciiTheme="majorBidi" w:hAnsiTheme="majorBidi" w:cstheme="majorBidi"/>
        </w:rPr>
        <w:t xml:space="preserve">But the incidence of </w:t>
      </w:r>
      <w:proofErr w:type="spellStart"/>
      <w:r w:rsidR="000A4C56">
        <w:rPr>
          <w:rFonts w:asciiTheme="majorBidi" w:hAnsiTheme="majorBidi" w:cstheme="majorBidi"/>
        </w:rPr>
        <w:t>phosphenes</w:t>
      </w:r>
      <w:proofErr w:type="spellEnd"/>
      <w:r w:rsidR="000A4C56">
        <w:rPr>
          <w:rFonts w:asciiTheme="majorBidi" w:hAnsiTheme="majorBidi" w:cstheme="majorBidi"/>
        </w:rPr>
        <w:t xml:space="preserve">, blurred vision and bradycardia were higher with </w:t>
      </w:r>
      <w:proofErr w:type="spellStart"/>
      <w:r w:rsidR="000A4C56">
        <w:rPr>
          <w:rFonts w:asciiTheme="majorBidi" w:hAnsiTheme="majorBidi" w:cstheme="majorBidi"/>
        </w:rPr>
        <w:t>ivabradine</w:t>
      </w:r>
      <w:proofErr w:type="spellEnd"/>
      <w:r w:rsidR="000A4C56">
        <w:rPr>
          <w:rFonts w:asciiTheme="majorBidi" w:hAnsiTheme="majorBidi" w:cstheme="majorBidi"/>
        </w:rPr>
        <w:t xml:space="preserve"> by 4 and 5 times as compared with </w:t>
      </w:r>
      <w:r w:rsidR="003B35F7">
        <w:rPr>
          <w:rFonts w:asciiTheme="majorBidi" w:hAnsiTheme="majorBidi" w:cstheme="majorBidi"/>
        </w:rPr>
        <w:t>control</w:t>
      </w:r>
      <w:r>
        <w:rPr>
          <w:rFonts w:asciiTheme="majorBidi" w:hAnsiTheme="majorBidi" w:cstheme="majorBidi"/>
        </w:rPr>
        <w:t xml:space="preserve">. Finally, </w:t>
      </w:r>
      <w:r w:rsidRPr="00743FCB">
        <w:rPr>
          <w:rFonts w:asciiTheme="majorBidi" w:hAnsiTheme="majorBidi" w:cstheme="majorBidi"/>
        </w:rPr>
        <w:t xml:space="preserve">the number of </w:t>
      </w:r>
      <w:r w:rsidR="000A4C56">
        <w:rPr>
          <w:rFonts w:asciiTheme="majorBidi" w:hAnsiTheme="majorBidi" w:cstheme="majorBidi"/>
        </w:rPr>
        <w:t xml:space="preserve">withdrawal </w:t>
      </w:r>
      <w:r w:rsidRPr="00743FCB">
        <w:rPr>
          <w:rFonts w:asciiTheme="majorBidi" w:hAnsiTheme="majorBidi" w:cstheme="majorBidi"/>
        </w:rPr>
        <w:t xml:space="preserve">patients from </w:t>
      </w:r>
      <w:r w:rsidR="000A4C56">
        <w:rPr>
          <w:rFonts w:asciiTheme="majorBidi" w:hAnsiTheme="majorBidi" w:cstheme="majorBidi"/>
        </w:rPr>
        <w:t xml:space="preserve">all the included </w:t>
      </w:r>
      <w:r w:rsidRPr="00743FCB">
        <w:rPr>
          <w:rFonts w:asciiTheme="majorBidi" w:hAnsiTheme="majorBidi" w:cstheme="majorBidi"/>
        </w:rPr>
        <w:t xml:space="preserve">trials </w:t>
      </w:r>
      <w:r w:rsidR="000A4C56">
        <w:rPr>
          <w:rFonts w:asciiTheme="majorBidi" w:hAnsiTheme="majorBidi" w:cstheme="majorBidi"/>
        </w:rPr>
        <w:t xml:space="preserve">were higher </w:t>
      </w:r>
      <w:r w:rsidRPr="00743FCB">
        <w:rPr>
          <w:rFonts w:asciiTheme="majorBidi" w:hAnsiTheme="majorBidi" w:cstheme="majorBidi"/>
        </w:rPr>
        <w:t xml:space="preserve">in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w:t>
      </w:r>
      <w:r w:rsidR="000A4C56">
        <w:rPr>
          <w:rFonts w:asciiTheme="majorBidi" w:hAnsiTheme="majorBidi" w:cstheme="majorBidi"/>
        </w:rPr>
        <w:t xml:space="preserve">as </w:t>
      </w:r>
      <w:r w:rsidRPr="00743FCB">
        <w:rPr>
          <w:rFonts w:asciiTheme="majorBidi" w:hAnsiTheme="majorBidi" w:cstheme="majorBidi"/>
        </w:rPr>
        <w:t xml:space="preserve">compared with </w:t>
      </w:r>
      <w:r w:rsidR="003B35F7">
        <w:rPr>
          <w:rFonts w:asciiTheme="majorBidi" w:hAnsiTheme="majorBidi" w:cstheme="majorBidi"/>
        </w:rPr>
        <w:t>control</w:t>
      </w:r>
      <w:r w:rsidR="003D71ED">
        <w:rPr>
          <w:rFonts w:asciiTheme="majorBidi" w:hAnsiTheme="majorBidi" w:cstheme="majorBidi"/>
        </w:rPr>
        <w:t xml:space="preserve">. </w:t>
      </w:r>
      <w:proofErr w:type="spellStart"/>
      <w:r w:rsidR="003D71ED">
        <w:rPr>
          <w:rFonts w:asciiTheme="majorBidi" w:hAnsiTheme="majorBidi" w:cstheme="majorBidi"/>
        </w:rPr>
        <w:t>P</w:t>
      </w:r>
      <w:r w:rsidR="00030DCD">
        <w:rPr>
          <w:rFonts w:asciiTheme="majorBidi" w:hAnsiTheme="majorBidi" w:cstheme="majorBidi"/>
        </w:rPr>
        <w:t>hosphenes</w:t>
      </w:r>
      <w:proofErr w:type="spellEnd"/>
      <w:r w:rsidR="00030DCD">
        <w:rPr>
          <w:rFonts w:asciiTheme="majorBidi" w:hAnsiTheme="majorBidi" w:cstheme="majorBidi"/>
        </w:rPr>
        <w:t>, blurred vision and bradycardia were the main reasons for withdrawal</w:t>
      </w:r>
      <w:r w:rsidRPr="00743FCB">
        <w:rPr>
          <w:rFonts w:asciiTheme="majorBidi" w:hAnsiTheme="majorBidi" w:cstheme="majorBidi"/>
        </w:rPr>
        <w:t>.</w:t>
      </w:r>
    </w:p>
    <w:p w14:paraId="252B8DF1" w14:textId="420B99B6" w:rsidR="00DB6A8B" w:rsidRPr="00C15638" w:rsidRDefault="006A09F6" w:rsidP="00DF3EB6">
      <w:pPr>
        <w:spacing w:line="360" w:lineRule="auto"/>
        <w:jc w:val="both"/>
        <w:rPr>
          <w:rFonts w:asciiTheme="majorBidi" w:hAnsiTheme="majorBidi" w:cstheme="majorBidi"/>
        </w:rPr>
      </w:pPr>
      <w:r>
        <w:rPr>
          <w:rFonts w:asciiTheme="majorBidi" w:hAnsiTheme="majorBidi" w:cstheme="majorBidi"/>
        </w:rPr>
        <w:t xml:space="preserve">          </w:t>
      </w:r>
      <w:r w:rsidR="00DB6A8B" w:rsidRPr="00743FCB">
        <w:rPr>
          <w:rFonts w:asciiTheme="majorBidi" w:hAnsiTheme="majorBidi" w:cstheme="majorBidi"/>
        </w:rPr>
        <w:t xml:space="preserve">In </w:t>
      </w:r>
      <w:r w:rsidR="00796611">
        <w:rPr>
          <w:rFonts w:asciiTheme="majorBidi" w:hAnsiTheme="majorBidi" w:cstheme="majorBidi"/>
        </w:rPr>
        <w:t xml:space="preserve">a </w:t>
      </w:r>
      <w:r w:rsidR="00DB6A8B" w:rsidRPr="00743FCB">
        <w:rPr>
          <w:rFonts w:asciiTheme="majorBidi" w:hAnsiTheme="majorBidi" w:cstheme="majorBidi"/>
        </w:rPr>
        <w:t>BEAUTIFUL</w:t>
      </w:r>
      <w:r w:rsidR="00423D20">
        <w:rPr>
          <w:rFonts w:asciiTheme="majorBidi" w:hAnsiTheme="majorBidi" w:cstheme="majorBidi"/>
        </w:rPr>
        <w:t xml:space="preserve"> study </w:t>
      </w:r>
      <w:r w:rsidRPr="00743FCB">
        <w:rPr>
          <w:rFonts w:asciiTheme="majorBidi" w:hAnsiTheme="majorBidi" w:cstheme="majorBidi"/>
          <w:vertAlign w:val="superscript"/>
        </w:rPr>
        <w:fldChar w:fldCharType="begin" w:fldLock="1"/>
      </w:r>
      <w:r w:rsidRPr="00743FCB">
        <w:rPr>
          <w:rFonts w:asciiTheme="majorBidi" w:hAnsiTheme="majorBidi" w:cstheme="majorBidi"/>
          <w:vertAlign w:val="superscript"/>
        </w:rPr>
        <w:instrText>ADDIN CSL_CITATION { "citationItems" : [ { "id" : "ITEM-1", "itemData" : { "DOI" : "10.1016/S0140-6736(08)61170-8", "author" : [ { "dropping-particle" : "", "family" : "Fox", "given" : "Kim", "non-dropping-particle" : "", "parse-names" : false, "suffix" : "" }, { "dropping-particle" : "", "family" : "Ford", "given" : "Ian", "non-dropping-particle" : "", "parse-names" : false, "suffix" : "" }, { "dropping-particle" : "", "family" : "Steg", "given" : "P Gabriel", "non-dropping-particle" : "", "parse-names" : false, "suffix" : "" }, { "dropping-particle" : "", "family" : "Tendera", "given" : "Michal", "non-dropping-particle" : "", "parse-names" : false, "suffix" : "" }, { "dropping-particle" : "", "family" : "Ferrari", "given" : "Roberto", "non-dropping-particle" : "", "parse-names" : false, "suffix" : "" }, { "dropping-particle" : "", "family" : "Investigators", "given" : "Beautiful", "non-dropping-particle" : "", "parse-names" : false, "suffix" : "" }, { "dropping-particle" : "", "family" : "Bernard", "given" : "Bichat-claude", "non-dropping-particle" : "", "parse-names" : false, "suffix" : "" } ], "id" : "ITEM-1", "issued" : { "date-parts" : [ [ "2016" ] ] }, "page" : "807-816", "title" : "Ivabradine for patients with stable coronary artery disease and left-ventricular systolic dysfunction ( BEAUTIFUL ): a randomised , double-blind , placebo-controlled trial", "type" : "article-journal", "volume" : "372" }, "uris" : [ "http://www.mendeley.com/documents/?uuid=93c518c5-f82f-4f39-bd5a-62cdc73daaf0" ] } ], "mendeley" : { "formattedCitation" : "(8)", "plainTextFormattedCitation" : "(8)", "previouslyFormattedCitation" : "(8)" }, "properties" : { "noteIndex" : 0 }, "schema" : "https://github.com/citation-style-language/schema/raw/master/csl-citation.json" }</w:instrText>
      </w:r>
      <w:r w:rsidRPr="00743FCB">
        <w:rPr>
          <w:rFonts w:asciiTheme="majorBidi" w:hAnsiTheme="majorBidi" w:cstheme="majorBidi"/>
          <w:vertAlign w:val="superscript"/>
        </w:rPr>
        <w:fldChar w:fldCharType="separate"/>
      </w:r>
      <w:r w:rsidRPr="00743FCB">
        <w:rPr>
          <w:rFonts w:asciiTheme="majorBidi" w:hAnsiTheme="majorBidi" w:cstheme="majorBidi"/>
          <w:noProof/>
          <w:vertAlign w:val="superscript"/>
        </w:rPr>
        <w:t>(7)</w:t>
      </w:r>
      <w:r w:rsidRPr="00743FCB">
        <w:rPr>
          <w:rFonts w:asciiTheme="majorBidi" w:hAnsiTheme="majorBidi" w:cstheme="majorBidi"/>
          <w:vertAlign w:val="superscript"/>
        </w:rPr>
        <w:fldChar w:fldCharType="end"/>
      </w:r>
      <w:r w:rsidR="00DB6A8B" w:rsidRPr="00743FCB">
        <w:rPr>
          <w:rFonts w:asciiTheme="majorBidi" w:hAnsiTheme="majorBidi" w:cstheme="majorBidi"/>
        </w:rPr>
        <w:t xml:space="preserve"> 10917 eligible subjects had coronary artery disease and a left ventricular EF of less than 40%</w:t>
      </w:r>
      <w:r w:rsidR="00423D20">
        <w:rPr>
          <w:rFonts w:asciiTheme="majorBidi" w:hAnsiTheme="majorBidi" w:cstheme="majorBidi"/>
        </w:rPr>
        <w:t xml:space="preserve"> randomly assigned to either </w:t>
      </w:r>
      <w:proofErr w:type="spellStart"/>
      <w:r w:rsidR="00423D20">
        <w:rPr>
          <w:rFonts w:asciiTheme="majorBidi" w:hAnsiTheme="majorBidi" w:cstheme="majorBidi"/>
        </w:rPr>
        <w:t>ivabradine</w:t>
      </w:r>
      <w:proofErr w:type="spellEnd"/>
      <w:r w:rsidR="00423D20">
        <w:rPr>
          <w:rFonts w:asciiTheme="majorBidi" w:hAnsiTheme="majorBidi" w:cstheme="majorBidi"/>
        </w:rPr>
        <w:t xml:space="preserve"> or placebo</w:t>
      </w:r>
      <w:r w:rsidR="00DB6A8B" w:rsidRPr="00743FCB">
        <w:rPr>
          <w:rFonts w:asciiTheme="majorBidi" w:hAnsiTheme="majorBidi" w:cstheme="majorBidi"/>
        </w:rPr>
        <w:t xml:space="preserve">. Ivabradine had no significant effect on </w:t>
      </w:r>
      <w:r w:rsidR="00423D20" w:rsidRPr="00743FCB">
        <w:rPr>
          <w:rFonts w:asciiTheme="majorBidi" w:hAnsiTheme="majorBidi" w:cstheme="majorBidi"/>
        </w:rPr>
        <w:t>cardiovascular death, any hospital admission for new onset or worsening heart failure</w:t>
      </w:r>
      <w:r w:rsidR="00DB6A8B" w:rsidRPr="00743FCB">
        <w:rPr>
          <w:rFonts w:asciiTheme="majorBidi" w:hAnsiTheme="majorBidi" w:cstheme="majorBidi"/>
        </w:rPr>
        <w:t xml:space="preserve">. However, </w:t>
      </w:r>
      <w:proofErr w:type="spellStart"/>
      <w:r w:rsidR="00DB6A8B" w:rsidRPr="00743FCB">
        <w:rPr>
          <w:rFonts w:asciiTheme="majorBidi" w:hAnsiTheme="majorBidi" w:cstheme="majorBidi"/>
        </w:rPr>
        <w:t>ivabradine</w:t>
      </w:r>
      <w:proofErr w:type="spellEnd"/>
      <w:r w:rsidR="00DB6A8B" w:rsidRPr="00743FCB">
        <w:rPr>
          <w:rFonts w:asciiTheme="majorBidi" w:hAnsiTheme="majorBidi" w:cstheme="majorBidi"/>
        </w:rPr>
        <w:t xml:space="preserve"> was associated with a reduction </w:t>
      </w:r>
      <w:r w:rsidR="00F83419">
        <w:rPr>
          <w:rFonts w:asciiTheme="majorBidi" w:hAnsiTheme="majorBidi" w:cstheme="majorBidi"/>
        </w:rPr>
        <w:t xml:space="preserve">in the </w:t>
      </w:r>
      <w:r w:rsidR="00DB6A8B" w:rsidRPr="00743FCB">
        <w:rPr>
          <w:rFonts w:asciiTheme="majorBidi" w:hAnsiTheme="majorBidi" w:cstheme="majorBidi"/>
        </w:rPr>
        <w:t>admission to hospital for myocardial infarction and coronary revascularization. Furthermore,</w:t>
      </w:r>
      <w:r w:rsidR="00423D20" w:rsidRPr="00423D20">
        <w:rPr>
          <w:rFonts w:asciiTheme="majorBidi" w:hAnsiTheme="majorBidi" w:cstheme="majorBidi"/>
        </w:rPr>
        <w:t xml:space="preserve"> </w:t>
      </w:r>
      <w:r w:rsidR="00423D20" w:rsidRPr="00743FCB">
        <w:rPr>
          <w:rFonts w:asciiTheme="majorBidi" w:hAnsiTheme="majorBidi" w:cstheme="majorBidi"/>
        </w:rPr>
        <w:t>in subjects with</w:t>
      </w:r>
      <w:r w:rsidR="00423D20">
        <w:rPr>
          <w:rFonts w:asciiTheme="majorBidi" w:hAnsiTheme="majorBidi" w:cstheme="majorBidi"/>
        </w:rPr>
        <w:t xml:space="preserve"> </w:t>
      </w:r>
      <w:r w:rsidR="00423D20" w:rsidRPr="00743FCB">
        <w:rPr>
          <w:rFonts w:asciiTheme="majorBidi" w:hAnsiTheme="majorBidi" w:cstheme="majorBidi"/>
        </w:rPr>
        <w:t>baseline heart</w:t>
      </w:r>
      <w:r w:rsidR="00423D20">
        <w:rPr>
          <w:rFonts w:asciiTheme="majorBidi" w:hAnsiTheme="majorBidi" w:cstheme="majorBidi"/>
        </w:rPr>
        <w:t xml:space="preserve"> </w:t>
      </w:r>
      <w:r w:rsidR="00423D20" w:rsidRPr="00743FCB">
        <w:rPr>
          <w:rFonts w:asciiTheme="majorBidi" w:hAnsiTheme="majorBidi" w:cstheme="majorBidi"/>
        </w:rPr>
        <w:t xml:space="preserve">≥70 beats/min </w:t>
      </w:r>
      <w:proofErr w:type="spellStart"/>
      <w:r w:rsidR="00423D20">
        <w:rPr>
          <w:rFonts w:asciiTheme="majorBidi" w:hAnsiTheme="majorBidi" w:cstheme="majorBidi"/>
        </w:rPr>
        <w:t>ivabradine</w:t>
      </w:r>
      <w:proofErr w:type="spellEnd"/>
      <w:r w:rsidR="00423D20">
        <w:rPr>
          <w:rFonts w:asciiTheme="majorBidi" w:hAnsiTheme="majorBidi" w:cstheme="majorBidi"/>
        </w:rPr>
        <w:t xml:space="preserve"> had a significant reduction in </w:t>
      </w:r>
      <w:r w:rsidR="00DB6A8B" w:rsidRPr="00743FCB">
        <w:rPr>
          <w:rFonts w:asciiTheme="majorBidi" w:hAnsiTheme="majorBidi" w:cstheme="majorBidi"/>
        </w:rPr>
        <w:t xml:space="preserve">the risk of hospitalization for </w:t>
      </w:r>
      <w:r w:rsidR="00796611">
        <w:rPr>
          <w:rFonts w:asciiTheme="majorBidi" w:hAnsiTheme="majorBidi" w:cstheme="majorBidi"/>
        </w:rPr>
        <w:t xml:space="preserve">the </w:t>
      </w:r>
      <w:r w:rsidR="00DB6A8B" w:rsidRPr="00743FCB">
        <w:rPr>
          <w:rFonts w:asciiTheme="majorBidi" w:hAnsiTheme="majorBidi" w:cstheme="majorBidi"/>
        </w:rPr>
        <w:t>myocardial infraction</w:t>
      </w:r>
      <w:r w:rsidR="00423D20">
        <w:rPr>
          <w:rFonts w:asciiTheme="majorBidi" w:hAnsiTheme="majorBidi" w:cstheme="majorBidi"/>
        </w:rPr>
        <w:t xml:space="preserve"> by 36%</w:t>
      </w:r>
      <w:r w:rsidR="00DB6A8B" w:rsidRPr="00743FCB">
        <w:rPr>
          <w:rFonts w:asciiTheme="majorBidi" w:hAnsiTheme="majorBidi" w:cstheme="majorBidi"/>
        </w:rPr>
        <w:t>, the risk of coronary revascularization</w:t>
      </w:r>
      <w:r w:rsidR="00423D20">
        <w:rPr>
          <w:rFonts w:asciiTheme="majorBidi" w:hAnsiTheme="majorBidi" w:cstheme="majorBidi"/>
        </w:rPr>
        <w:t xml:space="preserve"> by 30%</w:t>
      </w:r>
      <w:r w:rsidR="00DB6A8B" w:rsidRPr="00743FCB">
        <w:rPr>
          <w:rFonts w:asciiTheme="majorBidi" w:hAnsiTheme="majorBidi" w:cstheme="majorBidi"/>
        </w:rPr>
        <w:t xml:space="preserve"> and coronary events</w:t>
      </w:r>
      <w:r w:rsidR="00423D20">
        <w:rPr>
          <w:rFonts w:asciiTheme="majorBidi" w:hAnsiTheme="majorBidi" w:cstheme="majorBidi"/>
        </w:rPr>
        <w:t xml:space="preserve"> by 22%. In </w:t>
      </w:r>
      <w:r w:rsidR="00796611">
        <w:rPr>
          <w:rFonts w:asciiTheme="majorBidi" w:hAnsiTheme="majorBidi" w:cstheme="majorBidi"/>
        </w:rPr>
        <w:t xml:space="preserve">the </w:t>
      </w:r>
      <w:r w:rsidR="00DB6A8B" w:rsidRPr="00743FCB">
        <w:rPr>
          <w:rFonts w:asciiTheme="majorBidi" w:hAnsiTheme="majorBidi" w:cstheme="majorBidi"/>
        </w:rPr>
        <w:t xml:space="preserve">SHIFT </w:t>
      </w:r>
      <w:r w:rsidR="00423D20">
        <w:rPr>
          <w:rFonts w:asciiTheme="majorBidi" w:hAnsiTheme="majorBidi" w:cstheme="majorBidi"/>
        </w:rPr>
        <w:t xml:space="preserve">trial </w:t>
      </w:r>
      <w:r w:rsidR="00DB6A8B" w:rsidRPr="00743FCB">
        <w:rPr>
          <w:rFonts w:asciiTheme="majorBidi" w:hAnsiTheme="majorBidi" w:cstheme="majorBidi"/>
          <w:vertAlign w:val="superscript"/>
        </w:rPr>
        <w:fldChar w:fldCharType="begin" w:fldLock="1"/>
      </w:r>
      <w:r w:rsidR="00DB6A8B" w:rsidRPr="00743FCB">
        <w:rPr>
          <w:rFonts w:asciiTheme="majorBidi" w:hAnsiTheme="majorBidi" w:cstheme="majorBidi"/>
          <w:vertAlign w:val="superscript"/>
        </w:rPr>
        <w:instrText>ADDIN CSL_CITATION { "citationItems" : [ { "id" : "ITEM-1", "itemData" : { "DOI" : "10.1016/S0140-6736(10)61198-1", "ISBN" : "0140-6736", "ISSN" : "01406736", "PMID" : "20801500", "abstract" : "Background Chronic heart failure is associated with high mortality and morbidity. Raised resting heart rate is a risk factor for adverse outcomes. We aimed to assess the effect of heart-rate reduction by the selective sinus-node inhibitor ivabradine on outcomes in heart failure. Methods Patients were eligible for participation in this randomised, double-blind, placebo-controlled, parallel-group study if they had symptomatic heart failure and a left-ventricular ejection fraction of 35 or lower, were in sinus rhythm with heart rate 70 beats per min or higher, had been admitted to hospital for heart failure within the previous year, and were on stable background treatment including a ?? blocker if tolerated. Patients were randomly assigned by computer-generated allocation schedule to ivabradine titrated to a maximum of 7??5 mg twice daily or matching placebo. Patients and investigators were masked to treatment allocation. The primary endpoint was the composite of cardiovascular death or hospital admission for worsening heart failure. Analysis was by intention to treat. This trial is registered, number ISRCTN70429960. Findings 6558 patients were randomly assigned to treatment groups (3268 ivabradine, 3290 placebo). Data were available for analysis for 3241 patients in the ivabradine group and 3264 patients allocated placebo. Median follow-up was 22??9 (IQR 18-28) months. 793 (24) patients in the ivabradine group and 937 (29) of those taking placebo had a primary endpoint event (HR 0??82, 95 CI 0??75-0??90, p&lt;0??0001). The effects were driven mainly by hospital admissions for worsening heart failure (672 [21] placebo vs 514 [16] ivabradine; HR 0??74, 0??66-0??83; p&lt;0??0001) and deaths due to heart failure (151 [5] vs 113 [3]; HR 0??74, 0??58-0??94, p=0??014). Fewer serious adverse events occurred in the ivabradine group (3388 events) than in the placebo group (3847; p=0??025). 150 (5) of ivabradine patients had symptomatic bradycardia compared with 32 (1) of the placebo group (p&lt;0??0001). Visual side-effects (phosphenes) were reported by 89 (3) of patients on ivabradine and 17 (1) on placebo (p&lt;0??0001). Interpretation Our results support the importance of heart-rate reduction with ivabradine for improvement of clinical outcomes in heart failure and confirm the important role of heart rate in the pathophysiology of this disorder. Funding Servier, France. ?? 2010 Elsevier Ltd.", "author" : [ { "dropping-particle" : "", "family" : "Swedberg", "given" : "Karl", "non-dropping-particle" : "", "parse-names" : false, "suffix" : "" }, { "dropping-particle" : "", "family" : "Komajda", "given" : "Michel", "non-dropping-particle" : "", "parse-names" : false, "suffix" : "" }, { "dropping-particle" : "", "family" : "B??hm", "given" : "Michael", "non-dropping-particle" : "", "parse-names" : false, "suffix" : "" }, { "dropping-particle" : "", "family" : "Borer", "given" : "Jeffrey S.", "non-dropping-particle" : "", "parse-names" : false, "suffix" : "" }, { "dropping-particle" : "", "family" : "Ford", "given" : "Ian", "non-dropping-particle" : "", "parse-names" : false, "suffix" : "" }, { "dropping-particle" : "", "family" : "Dubost-Brama", "given" : "Ariane", "non-dropping-particle" : "", "parse-names" : false, "suffix" : "" }, { "dropping-particle" : "", "family" : "Lerebours", "given" : "Guy", "non-dropping-particle" : "", "parse-names" : false, "suffix" : "" }, { "dropping-particle" : "", "family" : "Tavazzi", "given" : "Luigi", "non-dropping-particle" : "", "parse-names" : false, "suffix" : "" } ], "container-title" : "The Lancet", "id" : "ITEM-1", "issue" : "9744", "issued" : { "date-parts" : [ [ "2010" ] ] }, "page" : "875-885", "title" : "Ivabradine and outcomes in chronic heart failure (SHIFT): A randomised placebo-controlled study", "type" : "article-journal", "volume" : "376" }, "uris" : [ "http://www.mendeley.com/documents/?uuid=da714446-bafb-4247-b197-f5177704f2e3" ] } ], "mendeley" : { "formattedCitation" : "(7)", "plainTextFormattedCitation" : "(7)", "previouslyFormattedCitation" : "(7)" }, "properties" : { "noteIndex" : 0 }, "schema" : "https://github.com/citation-style-language/schema/raw/master/csl-citation.json" }</w:instrText>
      </w:r>
      <w:r w:rsidR="00DB6A8B" w:rsidRPr="00743FCB">
        <w:rPr>
          <w:rFonts w:asciiTheme="majorBidi" w:hAnsiTheme="majorBidi" w:cstheme="majorBidi"/>
          <w:vertAlign w:val="superscript"/>
        </w:rPr>
        <w:fldChar w:fldCharType="separate"/>
      </w:r>
      <w:r w:rsidR="00DB6A8B" w:rsidRPr="00743FCB">
        <w:rPr>
          <w:rFonts w:asciiTheme="majorBidi" w:hAnsiTheme="majorBidi" w:cstheme="majorBidi"/>
          <w:noProof/>
          <w:vertAlign w:val="superscript"/>
        </w:rPr>
        <w:t>(</w:t>
      </w:r>
      <w:r w:rsidR="0040056B" w:rsidRPr="00743FCB">
        <w:rPr>
          <w:rFonts w:asciiTheme="majorBidi" w:hAnsiTheme="majorBidi" w:cstheme="majorBidi"/>
          <w:noProof/>
          <w:vertAlign w:val="superscript"/>
        </w:rPr>
        <w:t>6</w:t>
      </w:r>
      <w:r w:rsidR="00DB6A8B" w:rsidRPr="00743FCB">
        <w:rPr>
          <w:rFonts w:asciiTheme="majorBidi" w:hAnsiTheme="majorBidi" w:cstheme="majorBidi"/>
          <w:noProof/>
          <w:vertAlign w:val="superscript"/>
        </w:rPr>
        <w:t>)</w:t>
      </w:r>
      <w:r w:rsidR="00DB6A8B" w:rsidRPr="00743FCB">
        <w:rPr>
          <w:rFonts w:asciiTheme="majorBidi" w:hAnsiTheme="majorBidi" w:cstheme="majorBidi"/>
          <w:vertAlign w:val="superscript"/>
        </w:rPr>
        <w:fldChar w:fldCharType="end"/>
      </w:r>
      <w:r w:rsidR="00423D20">
        <w:rPr>
          <w:rFonts w:asciiTheme="majorBidi" w:hAnsiTheme="majorBidi" w:cstheme="majorBidi"/>
        </w:rPr>
        <w:t>.</w:t>
      </w:r>
      <w:r w:rsidR="00DB6A8B" w:rsidRPr="00743FCB">
        <w:rPr>
          <w:rFonts w:asciiTheme="majorBidi" w:hAnsiTheme="majorBidi" w:cstheme="majorBidi"/>
        </w:rPr>
        <w:t xml:space="preserve"> </w:t>
      </w:r>
      <w:r w:rsidR="00DB6A8B" w:rsidRPr="00917A33">
        <w:rPr>
          <w:rFonts w:asciiTheme="majorBidi" w:hAnsiTheme="majorBidi" w:cstheme="majorBidi"/>
        </w:rPr>
        <w:t>6558 participants</w:t>
      </w:r>
      <w:r w:rsidR="00DB6A8B" w:rsidRPr="00743FCB">
        <w:rPr>
          <w:rFonts w:asciiTheme="majorBidi" w:hAnsiTheme="majorBidi" w:cstheme="majorBidi"/>
        </w:rPr>
        <w:t xml:space="preserve"> were randomly assigned to </w:t>
      </w:r>
      <w:r w:rsidR="00095DC2">
        <w:rPr>
          <w:rFonts w:asciiTheme="majorBidi" w:hAnsiTheme="majorBidi" w:cstheme="majorBidi"/>
        </w:rPr>
        <w:t xml:space="preserve">either </w:t>
      </w:r>
      <w:proofErr w:type="spellStart"/>
      <w:r w:rsidR="00095DC2">
        <w:rPr>
          <w:rFonts w:asciiTheme="majorBidi" w:hAnsiTheme="majorBidi" w:cstheme="majorBidi"/>
        </w:rPr>
        <w:t>ivabradine</w:t>
      </w:r>
      <w:proofErr w:type="spellEnd"/>
      <w:r w:rsidR="00095DC2">
        <w:rPr>
          <w:rFonts w:asciiTheme="majorBidi" w:hAnsiTheme="majorBidi" w:cstheme="majorBidi"/>
        </w:rPr>
        <w:t xml:space="preserve"> or </w:t>
      </w:r>
      <w:r w:rsidR="00095DC2">
        <w:rPr>
          <w:rFonts w:asciiTheme="majorBidi" w:hAnsiTheme="majorBidi" w:cstheme="majorBidi"/>
        </w:rPr>
        <w:lastRenderedPageBreak/>
        <w:t>placebo</w:t>
      </w:r>
      <w:r w:rsidR="00423D20">
        <w:rPr>
          <w:rFonts w:asciiTheme="majorBidi" w:hAnsiTheme="majorBidi" w:cstheme="majorBidi"/>
        </w:rPr>
        <w:t>.</w:t>
      </w:r>
      <w:r w:rsidR="00095DC2">
        <w:rPr>
          <w:rFonts w:asciiTheme="majorBidi" w:hAnsiTheme="majorBidi" w:cstheme="majorBidi"/>
        </w:rPr>
        <w:t xml:space="preserve"> </w:t>
      </w:r>
      <w:r w:rsidR="00DB6A8B" w:rsidRPr="00743FCB">
        <w:rPr>
          <w:rFonts w:asciiTheme="majorBidi" w:hAnsiTheme="majorBidi" w:cstheme="majorBidi"/>
        </w:rPr>
        <w:t xml:space="preserve">There was an 18% reduction in cardiovascular death or hospital admission for worsening heart failure in subjects who received </w:t>
      </w:r>
      <w:proofErr w:type="spellStart"/>
      <w:r w:rsidR="00DB6A8B" w:rsidRPr="00743FCB">
        <w:rPr>
          <w:rFonts w:asciiTheme="majorBidi" w:hAnsiTheme="majorBidi" w:cstheme="majorBidi"/>
        </w:rPr>
        <w:t>ivabradine</w:t>
      </w:r>
      <w:proofErr w:type="spellEnd"/>
      <w:r w:rsidR="00DB6A8B" w:rsidRPr="00743FCB">
        <w:rPr>
          <w:rFonts w:asciiTheme="majorBidi" w:hAnsiTheme="majorBidi" w:cstheme="majorBidi"/>
        </w:rPr>
        <w:t xml:space="preserve">, compared to placebo. Death from HF and most cardiovascular endpoints were significantly reduced in patients treated with </w:t>
      </w:r>
      <w:proofErr w:type="spellStart"/>
      <w:r w:rsidR="00DB6A8B" w:rsidRPr="00743FCB">
        <w:rPr>
          <w:rFonts w:asciiTheme="majorBidi" w:hAnsiTheme="majorBidi" w:cstheme="majorBidi"/>
        </w:rPr>
        <w:t>ivabradine</w:t>
      </w:r>
      <w:proofErr w:type="spellEnd"/>
      <w:r w:rsidR="00DB6A8B" w:rsidRPr="00743FCB">
        <w:rPr>
          <w:rFonts w:asciiTheme="majorBidi" w:hAnsiTheme="majorBidi" w:cstheme="majorBidi"/>
        </w:rPr>
        <w:t xml:space="preserve">. This study shows the importance of </w:t>
      </w:r>
      <w:proofErr w:type="spellStart"/>
      <w:r w:rsidR="00DB6A8B" w:rsidRPr="00743FCB">
        <w:rPr>
          <w:rFonts w:asciiTheme="majorBidi" w:hAnsiTheme="majorBidi" w:cstheme="majorBidi"/>
        </w:rPr>
        <w:t>ivabradine</w:t>
      </w:r>
      <w:proofErr w:type="spellEnd"/>
      <w:r w:rsidR="00DB6A8B" w:rsidRPr="00743FCB">
        <w:rPr>
          <w:rFonts w:asciiTheme="majorBidi" w:hAnsiTheme="majorBidi" w:cstheme="majorBidi"/>
        </w:rPr>
        <w:t xml:space="preserve"> in reducing the heart rate which will improve the clinical outcomes of HF.</w:t>
      </w:r>
      <w:r w:rsidR="00423D20">
        <w:rPr>
          <w:rFonts w:asciiTheme="majorBidi" w:hAnsiTheme="majorBidi" w:cstheme="majorBidi"/>
        </w:rPr>
        <w:t xml:space="preserve"> </w:t>
      </w:r>
      <w:r w:rsidR="00DB6A8B" w:rsidRPr="00743FCB">
        <w:rPr>
          <w:rFonts w:asciiTheme="majorBidi" w:hAnsiTheme="majorBidi" w:cstheme="majorBidi"/>
        </w:rPr>
        <w:t xml:space="preserve">In 2009, a randomized, double-blind trial </w:t>
      </w:r>
      <w:r w:rsidR="00BF547A" w:rsidRPr="00423D20">
        <w:rPr>
          <w:rFonts w:asciiTheme="majorBidi" w:hAnsiTheme="majorBidi" w:cstheme="majorBidi"/>
          <w:vertAlign w:val="superscript"/>
        </w:rPr>
        <w:t>(</w:t>
      </w:r>
      <w:r w:rsidR="00BF547A">
        <w:rPr>
          <w:rFonts w:asciiTheme="majorBidi" w:hAnsiTheme="majorBidi" w:cstheme="majorBidi"/>
          <w:vertAlign w:val="superscript"/>
        </w:rPr>
        <w:t>8</w:t>
      </w:r>
      <w:r w:rsidR="00BF547A" w:rsidRPr="00743FCB">
        <w:rPr>
          <w:rFonts w:asciiTheme="majorBidi" w:hAnsiTheme="majorBidi" w:cstheme="majorBidi"/>
          <w:vertAlign w:val="superscript"/>
        </w:rPr>
        <w:t>)</w:t>
      </w:r>
      <w:r w:rsidR="00BF547A" w:rsidRPr="00743FCB">
        <w:rPr>
          <w:rFonts w:asciiTheme="majorBidi" w:hAnsiTheme="majorBidi" w:cstheme="majorBidi"/>
        </w:rPr>
        <w:t xml:space="preserve"> </w:t>
      </w:r>
      <w:r w:rsidR="00DB6A8B" w:rsidRPr="00743FCB">
        <w:rPr>
          <w:rFonts w:asciiTheme="majorBidi" w:hAnsiTheme="majorBidi" w:cstheme="majorBidi"/>
        </w:rPr>
        <w:t xml:space="preserve">was conducted to assess the tolerability and the effect of </w:t>
      </w:r>
      <w:proofErr w:type="spellStart"/>
      <w:r w:rsidR="00DB6A8B" w:rsidRPr="00743FCB">
        <w:rPr>
          <w:rFonts w:asciiTheme="majorBidi" w:hAnsiTheme="majorBidi" w:cstheme="majorBidi"/>
        </w:rPr>
        <w:t>ivabradine</w:t>
      </w:r>
      <w:proofErr w:type="spellEnd"/>
      <w:r w:rsidR="00DB6A8B" w:rsidRPr="00743FCB">
        <w:rPr>
          <w:rFonts w:asciiTheme="majorBidi" w:hAnsiTheme="majorBidi" w:cstheme="majorBidi"/>
        </w:rPr>
        <w:t xml:space="preserve"> versus metoprolol after 30 days in patients with ST-segment elevation myocardial infarction (STEMI) and </w:t>
      </w:r>
      <w:proofErr w:type="spellStart"/>
      <w:r w:rsidR="00DB6A8B" w:rsidRPr="00743FCB">
        <w:rPr>
          <w:rFonts w:asciiTheme="majorBidi" w:hAnsiTheme="majorBidi" w:cstheme="majorBidi"/>
        </w:rPr>
        <w:t>reperfused</w:t>
      </w:r>
      <w:proofErr w:type="spellEnd"/>
      <w:r w:rsidR="00DB6A8B" w:rsidRPr="00743FCB">
        <w:rPr>
          <w:rFonts w:asciiTheme="majorBidi" w:hAnsiTheme="majorBidi" w:cstheme="majorBidi"/>
        </w:rPr>
        <w:t xml:space="preserve"> by percutaneous coronary intervention (PCI) with LV ejection fraction (EF) &lt; 50%. A total of 155 patients we randomly allocated to </w:t>
      </w:r>
      <w:r w:rsidR="00423D20">
        <w:rPr>
          <w:rFonts w:asciiTheme="majorBidi" w:hAnsiTheme="majorBidi" w:cstheme="majorBidi"/>
        </w:rPr>
        <w:t xml:space="preserve">receive either </w:t>
      </w:r>
      <w:r w:rsidR="00DB6A8B" w:rsidRPr="00743FCB">
        <w:rPr>
          <w:rFonts w:asciiTheme="majorBidi" w:hAnsiTheme="majorBidi" w:cstheme="majorBidi"/>
        </w:rPr>
        <w:t>metoprolol</w:t>
      </w:r>
      <w:r w:rsidR="00BF204B">
        <w:rPr>
          <w:rFonts w:asciiTheme="majorBidi" w:hAnsiTheme="majorBidi" w:cstheme="majorBidi"/>
        </w:rPr>
        <w:t xml:space="preserve"> or </w:t>
      </w:r>
      <w:proofErr w:type="spellStart"/>
      <w:r w:rsidR="00BF204B" w:rsidRPr="00743FCB">
        <w:rPr>
          <w:rFonts w:asciiTheme="majorBidi" w:hAnsiTheme="majorBidi" w:cstheme="majorBidi"/>
        </w:rPr>
        <w:t>ivabradine</w:t>
      </w:r>
      <w:proofErr w:type="spellEnd"/>
      <w:r w:rsidR="00DB6A8B" w:rsidRPr="00743FCB">
        <w:rPr>
          <w:rFonts w:asciiTheme="majorBidi" w:hAnsiTheme="majorBidi" w:cstheme="majorBidi"/>
        </w:rPr>
        <w:t xml:space="preserve"> for 12 months after PCI. Ivabr</w:t>
      </w:r>
      <w:r w:rsidR="00594FE8">
        <w:rPr>
          <w:rFonts w:asciiTheme="majorBidi" w:hAnsiTheme="majorBidi" w:cstheme="majorBidi"/>
        </w:rPr>
        <w:t xml:space="preserve">adine as compared to metoprolol, </w:t>
      </w:r>
      <w:r w:rsidR="00DB6A8B" w:rsidRPr="00743FCB">
        <w:rPr>
          <w:rFonts w:asciiTheme="majorBidi" w:hAnsiTheme="majorBidi" w:cstheme="majorBidi"/>
        </w:rPr>
        <w:t xml:space="preserve">showed a significant reduction after 60 days follow up in readmission for heart failure, </w:t>
      </w:r>
      <w:r w:rsidR="00BF204B">
        <w:rPr>
          <w:rFonts w:asciiTheme="majorBidi" w:hAnsiTheme="majorBidi" w:cstheme="majorBidi"/>
        </w:rPr>
        <w:t>t</w:t>
      </w:r>
      <w:r w:rsidR="00DB6A8B" w:rsidRPr="00743FCB">
        <w:rPr>
          <w:rFonts w:asciiTheme="majorBidi" w:hAnsiTheme="majorBidi" w:cstheme="majorBidi"/>
        </w:rPr>
        <w:t>he end-systolic volume (ESV) and end-diastolic volume (EDV), (P=.047, P&lt;.0001 and P&lt;.0001, respectively).</w:t>
      </w:r>
      <w:r w:rsidR="008F555B" w:rsidRPr="00743FCB">
        <w:rPr>
          <w:rFonts w:asciiTheme="majorBidi" w:hAnsiTheme="majorBidi" w:cstheme="majorBidi"/>
        </w:rPr>
        <w:t xml:space="preserve"> </w:t>
      </w:r>
      <w:r w:rsidR="00DB6A8B" w:rsidRPr="00743FCB">
        <w:rPr>
          <w:rFonts w:asciiTheme="majorBidi" w:hAnsiTheme="majorBidi" w:cstheme="majorBidi"/>
        </w:rPr>
        <w:t>In addition, a significant increase in EF,</w:t>
      </w:r>
      <w:r w:rsidR="00521BEF">
        <w:rPr>
          <w:rFonts w:asciiTheme="majorBidi" w:hAnsiTheme="majorBidi" w:cstheme="majorBidi"/>
        </w:rPr>
        <w:t xml:space="preserve"> </w:t>
      </w:r>
      <w:r w:rsidR="00DB6A8B" w:rsidRPr="00743FCB">
        <w:rPr>
          <w:rFonts w:asciiTheme="majorBidi" w:hAnsiTheme="majorBidi" w:cstheme="majorBidi"/>
        </w:rPr>
        <w:t>P&lt;.0001. However, there was no significant difference in heart rate(HR) reduction between both groups as both showed significant HR reduction between baseline and after 60 days (91± 6 vs. 66±7 and 92±7 vs. 65± 6 beats/min, respectively, P&lt;.0001).</w:t>
      </w:r>
      <w:r w:rsidR="00C15638">
        <w:rPr>
          <w:rFonts w:asciiTheme="majorBidi" w:hAnsiTheme="majorBidi" w:cstheme="majorBidi"/>
        </w:rPr>
        <w:t>In 2013,</w:t>
      </w:r>
      <w:r w:rsidR="00594FE8">
        <w:rPr>
          <w:rFonts w:asciiTheme="majorBidi" w:hAnsiTheme="majorBidi" w:cstheme="majorBidi"/>
        </w:rPr>
        <w:t xml:space="preserve"> </w:t>
      </w:r>
      <w:r w:rsidR="00C15638" w:rsidRPr="00743FCB">
        <w:rPr>
          <w:rFonts w:asciiTheme="majorBidi" w:hAnsiTheme="majorBidi" w:cstheme="majorBidi"/>
        </w:rPr>
        <w:t>a randomized, double-blind trial</w:t>
      </w:r>
      <w:r w:rsidR="00C15638">
        <w:rPr>
          <w:rFonts w:asciiTheme="majorBidi" w:hAnsiTheme="majorBidi" w:cstheme="majorBidi"/>
          <w:vertAlign w:val="superscript"/>
        </w:rPr>
        <w:t>(9)</w:t>
      </w:r>
      <w:r w:rsidR="00C15638">
        <w:rPr>
          <w:rFonts w:asciiTheme="majorBidi" w:hAnsiTheme="majorBidi" w:cstheme="majorBidi"/>
        </w:rPr>
        <w:t xml:space="preserve">,was done to assess the effect of </w:t>
      </w:r>
      <w:proofErr w:type="spellStart"/>
      <w:r w:rsidR="00C15638">
        <w:rPr>
          <w:rFonts w:asciiTheme="majorBidi" w:hAnsiTheme="majorBidi" w:cstheme="majorBidi"/>
        </w:rPr>
        <w:t>ivabradine</w:t>
      </w:r>
      <w:proofErr w:type="spellEnd"/>
      <w:r w:rsidR="00C15638">
        <w:rPr>
          <w:rFonts w:asciiTheme="majorBidi" w:hAnsiTheme="majorBidi" w:cstheme="majorBidi"/>
        </w:rPr>
        <w:t xml:space="preserve"> on exercise capacity and </w:t>
      </w:r>
      <w:r w:rsidR="00C15638" w:rsidRPr="00C15638">
        <w:rPr>
          <w:rFonts w:asciiTheme="majorBidi" w:hAnsiTheme="majorBidi" w:cstheme="majorBidi"/>
        </w:rPr>
        <w:t>left ventricular</w:t>
      </w:r>
      <w:r w:rsidR="00C15638">
        <w:rPr>
          <w:rFonts w:asciiTheme="majorBidi" w:hAnsiTheme="majorBidi" w:cstheme="majorBidi"/>
        </w:rPr>
        <w:t xml:space="preserve"> </w:t>
      </w:r>
      <w:r w:rsidR="00C15638" w:rsidRPr="00C15638">
        <w:rPr>
          <w:rFonts w:asciiTheme="majorBidi" w:hAnsiTheme="majorBidi" w:cstheme="majorBidi"/>
        </w:rPr>
        <w:t>filling in patients with</w:t>
      </w:r>
      <w:r w:rsidR="00C15638">
        <w:rPr>
          <w:rFonts w:asciiTheme="majorBidi" w:hAnsiTheme="majorBidi" w:cstheme="majorBidi"/>
        </w:rPr>
        <w:t xml:space="preserve"> HF with </w:t>
      </w:r>
      <w:proofErr w:type="spellStart"/>
      <w:r w:rsidR="00C15638">
        <w:rPr>
          <w:rFonts w:asciiTheme="majorBidi" w:hAnsiTheme="majorBidi" w:cstheme="majorBidi"/>
        </w:rPr>
        <w:t>HFpEF</w:t>
      </w:r>
      <w:proofErr w:type="spellEnd"/>
      <w:r w:rsidR="00C15638">
        <w:rPr>
          <w:rFonts w:asciiTheme="majorBidi" w:hAnsiTheme="majorBidi" w:cstheme="majorBidi"/>
        </w:rPr>
        <w:t xml:space="preserve">, 61 patients randomly assigned to either </w:t>
      </w:r>
      <w:proofErr w:type="spellStart"/>
      <w:r w:rsidR="00C15638">
        <w:rPr>
          <w:rFonts w:asciiTheme="majorBidi" w:hAnsiTheme="majorBidi" w:cstheme="majorBidi"/>
        </w:rPr>
        <w:t>ivabradine</w:t>
      </w:r>
      <w:proofErr w:type="spellEnd"/>
      <w:r w:rsidR="00C15638">
        <w:rPr>
          <w:rFonts w:asciiTheme="majorBidi" w:hAnsiTheme="majorBidi" w:cstheme="majorBidi"/>
        </w:rPr>
        <w:t xml:space="preserve"> or placebo for 7 days,</w:t>
      </w:r>
      <w:r w:rsidR="00791861">
        <w:rPr>
          <w:rFonts w:asciiTheme="majorBidi" w:hAnsiTheme="majorBidi" w:cstheme="majorBidi"/>
        </w:rPr>
        <w:t xml:space="preserve"> </w:t>
      </w:r>
      <w:r w:rsidR="00993FF1">
        <w:rPr>
          <w:rFonts w:asciiTheme="majorBidi" w:hAnsiTheme="majorBidi" w:cstheme="majorBidi"/>
        </w:rPr>
        <w:t xml:space="preserve">and </w:t>
      </w:r>
      <w:r w:rsidR="00791861">
        <w:rPr>
          <w:rFonts w:asciiTheme="majorBidi" w:hAnsiTheme="majorBidi" w:cstheme="majorBidi"/>
        </w:rPr>
        <w:t xml:space="preserve">they found that the short time treatment with </w:t>
      </w:r>
      <w:proofErr w:type="spellStart"/>
      <w:r w:rsidR="00791861">
        <w:rPr>
          <w:rFonts w:asciiTheme="majorBidi" w:hAnsiTheme="majorBidi" w:cstheme="majorBidi"/>
        </w:rPr>
        <w:t>ivabr</w:t>
      </w:r>
      <w:r w:rsidR="00594FE8">
        <w:rPr>
          <w:rFonts w:asciiTheme="majorBidi" w:hAnsiTheme="majorBidi" w:cstheme="majorBidi"/>
        </w:rPr>
        <w:t>a</w:t>
      </w:r>
      <w:r w:rsidR="00791861">
        <w:rPr>
          <w:rFonts w:asciiTheme="majorBidi" w:hAnsiTheme="majorBidi" w:cstheme="majorBidi"/>
        </w:rPr>
        <w:t>dine</w:t>
      </w:r>
      <w:proofErr w:type="spellEnd"/>
      <w:r w:rsidR="00791861">
        <w:rPr>
          <w:rFonts w:asciiTheme="majorBidi" w:hAnsiTheme="majorBidi" w:cstheme="majorBidi"/>
        </w:rPr>
        <w:t xml:space="preserve"> </w:t>
      </w:r>
      <w:r w:rsidR="00B03D0E">
        <w:rPr>
          <w:rFonts w:asciiTheme="majorBidi" w:hAnsiTheme="majorBidi" w:cstheme="majorBidi"/>
        </w:rPr>
        <w:t xml:space="preserve">showed </w:t>
      </w:r>
      <w:r w:rsidR="00973DE5">
        <w:rPr>
          <w:rFonts w:asciiTheme="majorBidi" w:hAnsiTheme="majorBidi" w:cstheme="majorBidi"/>
        </w:rPr>
        <w:t>an improvement o</w:t>
      </w:r>
      <w:r w:rsidR="00DF3EB6">
        <w:rPr>
          <w:rFonts w:asciiTheme="majorBidi" w:hAnsiTheme="majorBidi" w:cstheme="majorBidi"/>
        </w:rPr>
        <w:t>n</w:t>
      </w:r>
      <w:r w:rsidR="00973DE5">
        <w:rPr>
          <w:rFonts w:asciiTheme="majorBidi" w:hAnsiTheme="majorBidi" w:cstheme="majorBidi"/>
        </w:rPr>
        <w:t xml:space="preserve"> exercise capacity </w:t>
      </w:r>
      <w:r w:rsidR="00384F4B">
        <w:rPr>
          <w:rFonts w:asciiTheme="majorBidi" w:hAnsiTheme="majorBidi" w:cstheme="majorBidi"/>
        </w:rPr>
        <w:t xml:space="preserve">and left ventricular filling pressure </w:t>
      </w:r>
      <w:r w:rsidR="00C15638" w:rsidRPr="00C15638">
        <w:rPr>
          <w:rFonts w:asciiTheme="majorBidi" w:hAnsiTheme="majorBidi" w:cstheme="majorBidi"/>
        </w:rPr>
        <w:t>.</w:t>
      </w:r>
      <w:r w:rsidR="00594FE8">
        <w:rPr>
          <w:rFonts w:asciiTheme="majorBidi" w:hAnsiTheme="majorBidi" w:cstheme="majorBidi"/>
        </w:rPr>
        <w:t xml:space="preserve"> </w:t>
      </w:r>
      <w:r w:rsidR="00100734">
        <w:rPr>
          <w:rFonts w:asciiTheme="majorBidi" w:hAnsiTheme="majorBidi" w:cstheme="majorBidi"/>
        </w:rPr>
        <w:t xml:space="preserve">In ETHIC-AHF </w:t>
      </w:r>
      <w:proofErr w:type="gramStart"/>
      <w:r w:rsidR="00100734">
        <w:rPr>
          <w:rFonts w:asciiTheme="majorBidi" w:hAnsiTheme="majorBidi" w:cstheme="majorBidi"/>
        </w:rPr>
        <w:t>trial</w:t>
      </w:r>
      <w:r w:rsidR="005D68AE">
        <w:rPr>
          <w:rFonts w:asciiTheme="majorBidi" w:hAnsiTheme="majorBidi" w:cstheme="majorBidi"/>
          <w:vertAlign w:val="superscript"/>
        </w:rPr>
        <w:t>(</w:t>
      </w:r>
      <w:proofErr w:type="gramEnd"/>
      <w:r w:rsidR="005D68AE">
        <w:rPr>
          <w:rFonts w:asciiTheme="majorBidi" w:hAnsiTheme="majorBidi" w:cstheme="majorBidi"/>
          <w:vertAlign w:val="superscript"/>
        </w:rPr>
        <w:t>10)</w:t>
      </w:r>
      <w:r w:rsidR="00100734">
        <w:rPr>
          <w:rFonts w:asciiTheme="majorBidi" w:hAnsiTheme="majorBidi" w:cstheme="majorBidi"/>
        </w:rPr>
        <w:t>,</w:t>
      </w:r>
      <w:r w:rsidR="0006036C">
        <w:rPr>
          <w:rFonts w:asciiTheme="majorBidi" w:hAnsiTheme="majorBidi" w:cstheme="majorBidi"/>
        </w:rPr>
        <w:t xml:space="preserve">71 </w:t>
      </w:r>
      <w:r w:rsidR="00AA2480">
        <w:rPr>
          <w:rFonts w:asciiTheme="majorBidi" w:hAnsiTheme="majorBidi" w:cstheme="majorBidi"/>
        </w:rPr>
        <w:t xml:space="preserve">hospitalized </w:t>
      </w:r>
      <w:r w:rsidR="0006036C">
        <w:rPr>
          <w:rFonts w:asciiTheme="majorBidi" w:hAnsiTheme="majorBidi" w:cstheme="majorBidi"/>
        </w:rPr>
        <w:t xml:space="preserve">patients </w:t>
      </w:r>
      <w:r w:rsidR="00AA2480">
        <w:rPr>
          <w:rFonts w:asciiTheme="majorBidi" w:hAnsiTheme="majorBidi" w:cstheme="majorBidi"/>
        </w:rPr>
        <w:t xml:space="preserve">with HF and </w:t>
      </w:r>
      <w:proofErr w:type="spellStart"/>
      <w:r w:rsidR="00AA2480">
        <w:rPr>
          <w:rFonts w:asciiTheme="majorBidi" w:hAnsiTheme="majorBidi" w:cstheme="majorBidi"/>
        </w:rPr>
        <w:t>HFrEF</w:t>
      </w:r>
      <w:proofErr w:type="spellEnd"/>
      <w:r w:rsidR="00AA2480">
        <w:rPr>
          <w:rFonts w:asciiTheme="majorBidi" w:hAnsiTheme="majorBidi" w:cstheme="majorBidi"/>
        </w:rPr>
        <w:t xml:space="preserve"> randomly assigned to either </w:t>
      </w:r>
      <w:proofErr w:type="spellStart"/>
      <w:r w:rsidR="00AA2480" w:rsidRPr="00AA2480">
        <w:rPr>
          <w:rFonts w:asciiTheme="majorBidi" w:hAnsiTheme="majorBidi" w:cstheme="majorBidi"/>
        </w:rPr>
        <w:t>ivabradine</w:t>
      </w:r>
      <w:proofErr w:type="spellEnd"/>
      <w:r w:rsidR="00AA2480" w:rsidRPr="00AA2480">
        <w:rPr>
          <w:rFonts w:asciiTheme="majorBidi" w:hAnsiTheme="majorBidi" w:cstheme="majorBidi"/>
        </w:rPr>
        <w:t xml:space="preserve"> and beta-blockers versus beta-blockers alone</w:t>
      </w:r>
      <w:r w:rsidR="002A0E27">
        <w:rPr>
          <w:rFonts w:asciiTheme="majorBidi" w:hAnsiTheme="majorBidi" w:cstheme="majorBidi"/>
        </w:rPr>
        <w:t xml:space="preserve"> </w:t>
      </w:r>
      <w:r w:rsidR="00DF3EB6">
        <w:rPr>
          <w:rFonts w:asciiTheme="majorBidi" w:hAnsiTheme="majorBidi" w:cstheme="majorBidi"/>
        </w:rPr>
        <w:t xml:space="preserve">and followed </w:t>
      </w:r>
      <w:r w:rsidR="002A0E27">
        <w:rPr>
          <w:rFonts w:asciiTheme="majorBidi" w:hAnsiTheme="majorBidi" w:cstheme="majorBidi"/>
        </w:rPr>
        <w:t xml:space="preserve">for 1 year, and they found that early co-administration of </w:t>
      </w:r>
      <w:proofErr w:type="spellStart"/>
      <w:r w:rsidR="002A0E27">
        <w:rPr>
          <w:rFonts w:asciiTheme="majorBidi" w:hAnsiTheme="majorBidi" w:cstheme="majorBidi"/>
        </w:rPr>
        <w:t>ivabradine</w:t>
      </w:r>
      <w:proofErr w:type="spellEnd"/>
      <w:r w:rsidR="002A0E27">
        <w:rPr>
          <w:rFonts w:asciiTheme="majorBidi" w:hAnsiTheme="majorBidi" w:cstheme="majorBidi"/>
        </w:rPr>
        <w:t xml:space="preserve"> and beta blocker produced significant improvement in both HR and left ventricular systolic function as compared with beta blocker alone. In </w:t>
      </w:r>
      <w:r w:rsidR="00F9578E">
        <w:rPr>
          <w:rFonts w:asciiTheme="majorBidi" w:hAnsiTheme="majorBidi" w:cstheme="majorBidi"/>
        </w:rPr>
        <w:t>EDIFY,</w:t>
      </w:r>
      <w:r w:rsidR="00F9578E">
        <w:rPr>
          <w:rFonts w:asciiTheme="majorBidi" w:hAnsiTheme="majorBidi" w:cstheme="majorBidi"/>
          <w:vertAlign w:val="superscript"/>
        </w:rPr>
        <w:t xml:space="preserve"> (</w:t>
      </w:r>
      <w:r w:rsidR="005D68AE">
        <w:rPr>
          <w:rFonts w:asciiTheme="majorBidi" w:hAnsiTheme="majorBidi" w:cstheme="majorBidi"/>
          <w:vertAlign w:val="superscript"/>
        </w:rPr>
        <w:t>11)</w:t>
      </w:r>
      <w:r w:rsidR="002A0E27">
        <w:rPr>
          <w:rFonts w:asciiTheme="majorBidi" w:hAnsiTheme="majorBidi" w:cstheme="majorBidi"/>
        </w:rPr>
        <w:t xml:space="preserve"> a recent randomized,</w:t>
      </w:r>
      <w:r w:rsidR="00A22368">
        <w:rPr>
          <w:rFonts w:asciiTheme="majorBidi" w:hAnsiTheme="majorBidi" w:cstheme="majorBidi"/>
        </w:rPr>
        <w:t xml:space="preserve"> </w:t>
      </w:r>
      <w:r w:rsidR="002A0E27">
        <w:rPr>
          <w:rFonts w:asciiTheme="majorBidi" w:hAnsiTheme="majorBidi" w:cstheme="majorBidi"/>
        </w:rPr>
        <w:t>double-blind,</w:t>
      </w:r>
      <w:r w:rsidR="00A22368">
        <w:rPr>
          <w:rFonts w:asciiTheme="majorBidi" w:hAnsiTheme="majorBidi" w:cstheme="majorBidi"/>
        </w:rPr>
        <w:t xml:space="preserve"> </w:t>
      </w:r>
      <w:r w:rsidR="002A0E27">
        <w:rPr>
          <w:rFonts w:asciiTheme="majorBidi" w:hAnsiTheme="majorBidi" w:cstheme="majorBidi"/>
        </w:rPr>
        <w:t>placebo control trial</w:t>
      </w:r>
      <w:r w:rsidR="00A22368">
        <w:rPr>
          <w:rFonts w:asciiTheme="majorBidi" w:hAnsiTheme="majorBidi" w:cstheme="majorBidi"/>
        </w:rPr>
        <w:t xml:space="preserve">, 179 patients </w:t>
      </w:r>
      <w:r w:rsidR="005D68AE">
        <w:rPr>
          <w:rFonts w:asciiTheme="majorBidi" w:hAnsiTheme="majorBidi" w:cstheme="majorBidi"/>
        </w:rPr>
        <w:t xml:space="preserve">randomly allocated to either </w:t>
      </w:r>
      <w:proofErr w:type="spellStart"/>
      <w:r w:rsidR="005D68AE">
        <w:rPr>
          <w:rFonts w:asciiTheme="majorBidi" w:hAnsiTheme="majorBidi" w:cstheme="majorBidi"/>
        </w:rPr>
        <w:t>ivabradine</w:t>
      </w:r>
      <w:proofErr w:type="spellEnd"/>
      <w:r w:rsidR="005D68AE">
        <w:rPr>
          <w:rFonts w:asciiTheme="majorBidi" w:hAnsiTheme="majorBidi" w:cstheme="majorBidi"/>
        </w:rPr>
        <w:t xml:space="preserve"> or placebo, </w:t>
      </w:r>
      <w:r w:rsidR="00A22368">
        <w:rPr>
          <w:rFonts w:asciiTheme="majorBidi" w:hAnsiTheme="majorBidi" w:cstheme="majorBidi"/>
        </w:rPr>
        <w:t>to assess</w:t>
      </w:r>
      <w:r w:rsidR="00594FE8">
        <w:rPr>
          <w:rFonts w:asciiTheme="majorBidi" w:hAnsiTheme="majorBidi" w:cstheme="majorBidi"/>
        </w:rPr>
        <w:t xml:space="preserve"> if HR reduction could improve</w:t>
      </w:r>
      <w:r w:rsidR="00A22368">
        <w:rPr>
          <w:rFonts w:asciiTheme="majorBidi" w:hAnsiTheme="majorBidi" w:cstheme="majorBidi"/>
        </w:rPr>
        <w:t xml:space="preserve"> the cardiac function among HF patients with </w:t>
      </w:r>
      <w:proofErr w:type="spellStart"/>
      <w:r w:rsidR="00A22368">
        <w:rPr>
          <w:rFonts w:asciiTheme="majorBidi" w:hAnsiTheme="majorBidi" w:cstheme="majorBidi"/>
        </w:rPr>
        <w:t>HFpEF</w:t>
      </w:r>
      <w:proofErr w:type="spellEnd"/>
      <w:r w:rsidR="00A22368">
        <w:rPr>
          <w:rFonts w:asciiTheme="majorBidi" w:hAnsiTheme="majorBidi" w:cstheme="majorBidi"/>
        </w:rPr>
        <w:t>.</w:t>
      </w:r>
      <w:r w:rsidR="005D68AE">
        <w:rPr>
          <w:rFonts w:asciiTheme="majorBidi" w:hAnsiTheme="majorBidi" w:cstheme="majorBidi"/>
        </w:rPr>
        <w:t xml:space="preserve"> After following the patient</w:t>
      </w:r>
      <w:r w:rsidR="000248AA">
        <w:rPr>
          <w:rFonts w:asciiTheme="majorBidi" w:hAnsiTheme="majorBidi" w:cstheme="majorBidi"/>
        </w:rPr>
        <w:t>s</w:t>
      </w:r>
      <w:r w:rsidR="005D68AE">
        <w:rPr>
          <w:rFonts w:asciiTheme="majorBidi" w:hAnsiTheme="majorBidi" w:cstheme="majorBidi"/>
        </w:rPr>
        <w:t xml:space="preserve"> for 8 months they found that among </w:t>
      </w:r>
      <w:proofErr w:type="spellStart"/>
      <w:r w:rsidR="005D68AE">
        <w:rPr>
          <w:rFonts w:asciiTheme="majorBidi" w:hAnsiTheme="majorBidi" w:cstheme="majorBidi"/>
        </w:rPr>
        <w:t>HFpEF</w:t>
      </w:r>
      <w:proofErr w:type="spellEnd"/>
      <w:r w:rsidR="005D68AE">
        <w:rPr>
          <w:rFonts w:asciiTheme="majorBidi" w:hAnsiTheme="majorBidi" w:cstheme="majorBidi"/>
        </w:rPr>
        <w:t xml:space="preserve"> patients</w:t>
      </w:r>
      <w:r w:rsidR="000248AA">
        <w:rPr>
          <w:rFonts w:asciiTheme="majorBidi" w:hAnsiTheme="majorBidi" w:cstheme="majorBidi"/>
        </w:rPr>
        <w:t>,</w:t>
      </w:r>
      <w:r w:rsidR="005D68AE">
        <w:rPr>
          <w:rFonts w:asciiTheme="majorBidi" w:hAnsiTheme="majorBidi" w:cstheme="majorBidi"/>
        </w:rPr>
        <w:t xml:space="preserve"> HR reduction in </w:t>
      </w:r>
      <w:r w:rsidR="00594FE8">
        <w:rPr>
          <w:rFonts w:asciiTheme="majorBidi" w:hAnsiTheme="majorBidi" w:cstheme="majorBidi"/>
        </w:rPr>
        <w:t xml:space="preserve">the </w:t>
      </w:r>
      <w:proofErr w:type="spellStart"/>
      <w:r w:rsidR="005D68AE">
        <w:rPr>
          <w:rFonts w:asciiTheme="majorBidi" w:hAnsiTheme="majorBidi" w:cstheme="majorBidi"/>
        </w:rPr>
        <w:t>ivabradine</w:t>
      </w:r>
      <w:proofErr w:type="spellEnd"/>
      <w:r w:rsidR="005D68AE">
        <w:rPr>
          <w:rFonts w:asciiTheme="majorBidi" w:hAnsiTheme="majorBidi" w:cstheme="majorBidi"/>
        </w:rPr>
        <w:t xml:space="preserve"> group did not improve cardiac outcomes. </w:t>
      </w:r>
    </w:p>
    <w:p w14:paraId="12F1123C" w14:textId="77777777" w:rsidR="00DB6A8B" w:rsidRPr="00743FCB" w:rsidRDefault="00DB6A8B" w:rsidP="00DB6A8B">
      <w:pPr>
        <w:spacing w:line="360" w:lineRule="auto"/>
        <w:jc w:val="both"/>
        <w:rPr>
          <w:rFonts w:asciiTheme="majorBidi" w:hAnsiTheme="majorBidi" w:cstheme="majorBidi"/>
        </w:rPr>
      </w:pPr>
    </w:p>
    <w:p w14:paraId="5453DE41" w14:textId="67A97FD1" w:rsidR="00DB6A8B" w:rsidRDefault="00DB6A8B" w:rsidP="00934C47">
      <w:pPr>
        <w:spacing w:line="360" w:lineRule="auto"/>
        <w:jc w:val="both"/>
        <w:rPr>
          <w:rFonts w:asciiTheme="majorBidi" w:hAnsiTheme="majorBidi" w:cstheme="majorBidi"/>
          <w:vertAlign w:val="superscript"/>
        </w:rPr>
      </w:pPr>
      <w:r w:rsidRPr="00917A33">
        <w:rPr>
          <w:rFonts w:asciiTheme="majorBidi" w:hAnsiTheme="majorBidi" w:cstheme="majorBidi"/>
        </w:rPr>
        <w:t>In the recent</w:t>
      </w:r>
      <w:r w:rsidRPr="00743FCB">
        <w:rPr>
          <w:rFonts w:asciiTheme="majorBidi" w:hAnsiTheme="majorBidi" w:cstheme="majorBidi"/>
        </w:rPr>
        <w:t xml:space="preserve"> years, there has been an increased number of studies assessing the efficacy and safety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in patients with HF with or without low EF.</w:t>
      </w:r>
      <w:r w:rsidR="006A09F6" w:rsidRPr="006A09F6">
        <w:rPr>
          <w:rFonts w:asciiTheme="majorBidi" w:hAnsiTheme="majorBidi" w:cstheme="majorBidi"/>
        </w:rPr>
        <w:t xml:space="preserve"> </w:t>
      </w:r>
      <w:r w:rsidRPr="00743FCB">
        <w:rPr>
          <w:rFonts w:asciiTheme="majorBidi" w:hAnsiTheme="majorBidi" w:cstheme="majorBidi"/>
        </w:rPr>
        <w:t xml:space="preserve">In many international, especially European guidelines,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is recommended as part of the management of HF.</w:t>
      </w:r>
      <w:r w:rsidR="00DE5F4C" w:rsidRPr="00DE5F4C">
        <w:rPr>
          <w:rFonts w:asciiTheme="majorBidi" w:hAnsiTheme="majorBidi" w:cstheme="majorBidi"/>
          <w:vertAlign w:val="superscript"/>
        </w:rPr>
        <w:t xml:space="preserve"> </w:t>
      </w:r>
      <w:r w:rsidR="00DE5F4C">
        <w:rPr>
          <w:rFonts w:asciiTheme="majorBidi" w:hAnsiTheme="majorBidi" w:cstheme="majorBidi"/>
          <w:vertAlign w:val="superscript"/>
        </w:rPr>
        <w:t>(2)</w:t>
      </w:r>
      <w:r w:rsidR="00DE5F4C" w:rsidRPr="006A09F6">
        <w:rPr>
          <w:rFonts w:asciiTheme="majorBidi" w:hAnsiTheme="majorBidi" w:cstheme="majorBidi"/>
          <w:vertAlign w:val="superscript"/>
        </w:rPr>
        <w:t xml:space="preserve">  </w:t>
      </w:r>
      <w:r w:rsidRPr="00743FCB">
        <w:rPr>
          <w:rFonts w:asciiTheme="majorBidi" w:hAnsiTheme="majorBidi" w:cstheme="majorBidi"/>
        </w:rPr>
        <w:t xml:space="preserve"> </w:t>
      </w:r>
      <w:r w:rsidR="00BF204B">
        <w:rPr>
          <w:rFonts w:asciiTheme="majorBidi" w:hAnsiTheme="majorBidi" w:cstheme="majorBidi"/>
        </w:rPr>
        <w:t>I</w:t>
      </w:r>
      <w:r w:rsidR="00BF204B" w:rsidRPr="00743FCB">
        <w:rPr>
          <w:rFonts w:asciiTheme="majorBidi" w:hAnsiTheme="majorBidi" w:cstheme="majorBidi"/>
        </w:rPr>
        <w:t xml:space="preserve">n the most </w:t>
      </w:r>
      <w:r w:rsidR="00BF204B" w:rsidRPr="00743FCB">
        <w:rPr>
          <w:rFonts w:asciiTheme="majorBidi" w:hAnsiTheme="majorBidi" w:cstheme="majorBidi"/>
        </w:rPr>
        <w:lastRenderedPageBreak/>
        <w:t>current Report of the American College of Cardiology Foundation/American Heart Association Ta</w:t>
      </w:r>
      <w:r w:rsidR="00BF204B">
        <w:rPr>
          <w:rFonts w:asciiTheme="majorBidi" w:hAnsiTheme="majorBidi" w:cstheme="majorBidi"/>
        </w:rPr>
        <w:t xml:space="preserve">sk Force on Practice Guidelines, the role of </w:t>
      </w:r>
      <w:proofErr w:type="spellStart"/>
      <w:r w:rsidR="00BF204B">
        <w:rPr>
          <w:rFonts w:asciiTheme="majorBidi" w:hAnsiTheme="majorBidi" w:cstheme="majorBidi"/>
        </w:rPr>
        <w:t>ivabr</w:t>
      </w:r>
      <w:r w:rsidR="000976E9">
        <w:rPr>
          <w:rFonts w:asciiTheme="majorBidi" w:hAnsiTheme="majorBidi" w:cstheme="majorBidi"/>
        </w:rPr>
        <w:t>a</w:t>
      </w:r>
      <w:r w:rsidR="00BF204B">
        <w:rPr>
          <w:rFonts w:asciiTheme="majorBidi" w:hAnsiTheme="majorBidi" w:cstheme="majorBidi"/>
        </w:rPr>
        <w:t>dine</w:t>
      </w:r>
      <w:proofErr w:type="spellEnd"/>
      <w:r w:rsidRPr="00743FCB">
        <w:rPr>
          <w:rFonts w:asciiTheme="majorBidi" w:hAnsiTheme="majorBidi" w:cstheme="majorBidi"/>
        </w:rPr>
        <w:t xml:space="preserve"> for HF management</w:t>
      </w:r>
      <w:r w:rsidR="00BF204B">
        <w:rPr>
          <w:rFonts w:asciiTheme="majorBidi" w:hAnsiTheme="majorBidi" w:cstheme="majorBidi"/>
        </w:rPr>
        <w:t xml:space="preserve"> and how it is fit</w:t>
      </w:r>
      <w:r w:rsidRPr="00743FCB">
        <w:rPr>
          <w:rFonts w:asciiTheme="majorBidi" w:hAnsiTheme="majorBidi" w:cstheme="majorBidi"/>
        </w:rPr>
        <w:t xml:space="preserve"> </w:t>
      </w:r>
      <w:r w:rsidR="00BF204B">
        <w:rPr>
          <w:rFonts w:asciiTheme="majorBidi" w:hAnsiTheme="majorBidi" w:cstheme="majorBidi"/>
        </w:rPr>
        <w:t xml:space="preserve">is still unclear, it is only fit on HF on maximum therapy. </w:t>
      </w:r>
      <w:r w:rsidR="000976E9">
        <w:rPr>
          <w:rFonts w:asciiTheme="majorBidi" w:hAnsiTheme="majorBidi" w:cstheme="majorBidi"/>
        </w:rPr>
        <w:t>The g</w:t>
      </w:r>
      <w:r w:rsidR="00BF204B">
        <w:rPr>
          <w:rFonts w:asciiTheme="majorBidi" w:hAnsiTheme="majorBidi" w:cstheme="majorBidi"/>
        </w:rPr>
        <w:t xml:space="preserve">uideline says </w:t>
      </w:r>
      <w:proofErr w:type="spellStart"/>
      <w:r w:rsidR="00BF204B">
        <w:rPr>
          <w:rFonts w:asciiTheme="majorBidi" w:hAnsiTheme="majorBidi" w:cstheme="majorBidi"/>
        </w:rPr>
        <w:t>ivabradine</w:t>
      </w:r>
      <w:proofErr w:type="spellEnd"/>
      <w:r w:rsidR="00BF204B">
        <w:rPr>
          <w:rFonts w:asciiTheme="majorBidi" w:hAnsiTheme="majorBidi" w:cstheme="majorBidi"/>
        </w:rPr>
        <w:t xml:space="preserve"> has an effect on reducing HF </w:t>
      </w:r>
      <w:r w:rsidR="007E5545">
        <w:rPr>
          <w:rFonts w:asciiTheme="majorBidi" w:hAnsiTheme="majorBidi" w:cstheme="majorBidi"/>
        </w:rPr>
        <w:t>hospitalization which mainly based on SHIFT trial. However</w:t>
      </w:r>
      <w:r w:rsidR="00BF204B">
        <w:rPr>
          <w:rFonts w:asciiTheme="majorBidi" w:hAnsiTheme="majorBidi" w:cstheme="majorBidi"/>
        </w:rPr>
        <w:t xml:space="preserve">, in our </w:t>
      </w:r>
      <w:r w:rsidR="003B35F7">
        <w:rPr>
          <w:rFonts w:asciiTheme="majorBidi" w:hAnsiTheme="majorBidi" w:cstheme="majorBidi"/>
        </w:rPr>
        <w:t>study, we</w:t>
      </w:r>
      <w:r w:rsidR="00BF204B">
        <w:rPr>
          <w:rFonts w:asciiTheme="majorBidi" w:hAnsiTheme="majorBidi" w:cstheme="majorBidi"/>
        </w:rPr>
        <w:t xml:space="preserve"> did not find it</w:t>
      </w:r>
      <w:r w:rsidR="007E5545">
        <w:rPr>
          <w:rFonts w:asciiTheme="majorBidi" w:hAnsiTheme="majorBidi" w:cstheme="majorBidi"/>
        </w:rPr>
        <w:t xml:space="preserve"> significant with </w:t>
      </w:r>
      <w:proofErr w:type="spellStart"/>
      <w:r w:rsidR="007E5545">
        <w:rPr>
          <w:rFonts w:asciiTheme="majorBidi" w:hAnsiTheme="majorBidi" w:cstheme="majorBidi"/>
        </w:rPr>
        <w:t>ivabr</w:t>
      </w:r>
      <w:r w:rsidR="000976E9">
        <w:rPr>
          <w:rFonts w:asciiTheme="majorBidi" w:hAnsiTheme="majorBidi" w:cstheme="majorBidi"/>
        </w:rPr>
        <w:t>a</w:t>
      </w:r>
      <w:r w:rsidR="007E5545">
        <w:rPr>
          <w:rFonts w:asciiTheme="majorBidi" w:hAnsiTheme="majorBidi" w:cstheme="majorBidi"/>
        </w:rPr>
        <w:t>dine</w:t>
      </w:r>
      <w:proofErr w:type="spellEnd"/>
      <w:r w:rsidR="00BF204B">
        <w:rPr>
          <w:rFonts w:asciiTheme="majorBidi" w:hAnsiTheme="majorBidi" w:cstheme="majorBidi"/>
        </w:rPr>
        <w:t xml:space="preserve">. </w:t>
      </w:r>
      <w:r w:rsidRPr="00743FCB">
        <w:rPr>
          <w:rFonts w:asciiTheme="majorBidi" w:hAnsiTheme="majorBidi" w:cstheme="majorBidi"/>
        </w:rPr>
        <w:t xml:space="preserve">Furthermore, the use of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has not been widely adopted yet but many clinicians. This could be due to the high cost of </w:t>
      </w:r>
      <w:proofErr w:type="spellStart"/>
      <w:r w:rsidRPr="00743FCB">
        <w:rPr>
          <w:rFonts w:asciiTheme="majorBidi" w:hAnsiTheme="majorBidi" w:cstheme="majorBidi"/>
        </w:rPr>
        <w:t>ivabradine</w:t>
      </w:r>
      <w:proofErr w:type="spellEnd"/>
      <w:r w:rsidRPr="00743FCB">
        <w:rPr>
          <w:rFonts w:asciiTheme="majorBidi" w:hAnsiTheme="majorBidi" w:cstheme="majorBidi"/>
        </w:rPr>
        <w:t>, with the limited, and somewhat conflicting evidence on its efficacy and safety.</w:t>
      </w:r>
      <w:r w:rsidR="00DE5F4C" w:rsidRPr="00DE5F4C">
        <w:rPr>
          <w:rFonts w:asciiTheme="majorBidi" w:hAnsiTheme="majorBidi" w:cstheme="majorBidi"/>
          <w:vertAlign w:val="superscript"/>
        </w:rPr>
        <w:t xml:space="preserve"> </w:t>
      </w:r>
      <w:r w:rsidR="00934C47">
        <w:rPr>
          <w:rFonts w:asciiTheme="majorBidi" w:hAnsiTheme="majorBidi" w:cstheme="majorBidi"/>
          <w:vertAlign w:val="superscript"/>
        </w:rPr>
        <w:t>(13-</w:t>
      </w:r>
      <w:r w:rsidR="00303B13">
        <w:rPr>
          <w:rFonts w:asciiTheme="majorBidi" w:hAnsiTheme="majorBidi" w:cstheme="majorBidi"/>
          <w:vertAlign w:val="superscript"/>
        </w:rPr>
        <w:t>16</w:t>
      </w:r>
      <w:r w:rsidR="00DE5F4C">
        <w:rPr>
          <w:rFonts w:asciiTheme="majorBidi" w:hAnsiTheme="majorBidi" w:cstheme="majorBidi"/>
          <w:vertAlign w:val="superscript"/>
        </w:rPr>
        <w:t>)</w:t>
      </w:r>
      <w:r w:rsidR="00DE5F4C" w:rsidRPr="006A09F6">
        <w:rPr>
          <w:rFonts w:asciiTheme="majorBidi" w:hAnsiTheme="majorBidi" w:cstheme="majorBidi"/>
          <w:vertAlign w:val="superscript"/>
        </w:rPr>
        <w:t xml:space="preserve">  </w:t>
      </w:r>
    </w:p>
    <w:p w14:paraId="3B85979D" w14:textId="77777777" w:rsidR="00682929" w:rsidRPr="00682929" w:rsidRDefault="00682929" w:rsidP="00682929">
      <w:pPr>
        <w:spacing w:line="360" w:lineRule="auto"/>
        <w:jc w:val="both"/>
        <w:rPr>
          <w:rFonts w:asciiTheme="majorBidi" w:hAnsiTheme="majorBidi" w:cstheme="majorBidi"/>
          <w:vertAlign w:val="superscript"/>
        </w:rPr>
      </w:pPr>
    </w:p>
    <w:p w14:paraId="308234B0" w14:textId="007990F4" w:rsidR="00DB6A8B" w:rsidRPr="00743FCB" w:rsidRDefault="00DB6A8B" w:rsidP="000976E9">
      <w:pPr>
        <w:spacing w:line="360" w:lineRule="auto"/>
        <w:jc w:val="both"/>
        <w:rPr>
          <w:rFonts w:asciiTheme="majorBidi" w:hAnsiTheme="majorBidi" w:cstheme="majorBidi"/>
        </w:rPr>
      </w:pPr>
      <w:r w:rsidRPr="00743FCB">
        <w:rPr>
          <w:rFonts w:asciiTheme="majorBidi" w:hAnsiTheme="majorBidi" w:cstheme="majorBidi"/>
        </w:rPr>
        <w:t xml:space="preserve">In our meta-analysis some of the limitations at </w:t>
      </w:r>
      <w:r w:rsidR="000976E9">
        <w:rPr>
          <w:rFonts w:asciiTheme="majorBidi" w:hAnsiTheme="majorBidi" w:cstheme="majorBidi"/>
        </w:rPr>
        <w:t xml:space="preserve">the </w:t>
      </w:r>
      <w:r w:rsidRPr="00743FCB">
        <w:rPr>
          <w:rFonts w:asciiTheme="majorBidi" w:hAnsiTheme="majorBidi" w:cstheme="majorBidi"/>
        </w:rPr>
        <w:t xml:space="preserve">systematic review level and the other associated </w:t>
      </w:r>
      <w:r w:rsidR="000976E9">
        <w:rPr>
          <w:rFonts w:asciiTheme="majorBidi" w:hAnsiTheme="majorBidi" w:cstheme="majorBidi"/>
        </w:rPr>
        <w:t>with</w:t>
      </w:r>
      <w:r w:rsidRPr="00743FCB">
        <w:rPr>
          <w:rFonts w:asciiTheme="majorBidi" w:hAnsiTheme="majorBidi" w:cstheme="majorBidi"/>
        </w:rPr>
        <w:t xml:space="preserve"> the included trials. Outcomes may be reported differently by each study, at different time points, and some outcomes were not </w:t>
      </w:r>
      <w:r w:rsidR="00BD4E7D" w:rsidRPr="00743FCB">
        <w:rPr>
          <w:rFonts w:asciiTheme="majorBidi" w:hAnsiTheme="majorBidi" w:cstheme="majorBidi"/>
        </w:rPr>
        <w:t>reported</w:t>
      </w:r>
      <w:r w:rsidRPr="00743FCB">
        <w:rPr>
          <w:rFonts w:asciiTheme="majorBidi" w:hAnsiTheme="majorBidi" w:cstheme="majorBidi"/>
        </w:rPr>
        <w:t xml:space="preserve">. Due </w:t>
      </w:r>
      <w:r w:rsidR="000976E9">
        <w:rPr>
          <w:rFonts w:asciiTheme="majorBidi" w:hAnsiTheme="majorBidi" w:cstheme="majorBidi"/>
        </w:rPr>
        <w:t xml:space="preserve">to the </w:t>
      </w:r>
      <w:r w:rsidRPr="00743FCB">
        <w:rPr>
          <w:rFonts w:asciiTheme="majorBidi" w:hAnsiTheme="majorBidi" w:cstheme="majorBidi"/>
        </w:rPr>
        <w:t xml:space="preserve">small number of randomized controlled trials on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in HF</w:t>
      </w:r>
      <w:r w:rsidR="000976E9">
        <w:rPr>
          <w:rFonts w:asciiTheme="majorBidi" w:hAnsiTheme="majorBidi" w:cstheme="majorBidi"/>
        </w:rPr>
        <w:t>,</w:t>
      </w:r>
      <w:r w:rsidRPr="00743FCB">
        <w:rPr>
          <w:rFonts w:asciiTheme="majorBidi" w:hAnsiTheme="majorBidi" w:cstheme="majorBidi"/>
        </w:rPr>
        <w:t xml:space="preserve"> we had li</w:t>
      </w:r>
      <w:r w:rsidR="000976E9">
        <w:rPr>
          <w:rFonts w:asciiTheme="majorBidi" w:hAnsiTheme="majorBidi" w:cstheme="majorBidi"/>
        </w:rPr>
        <w:t xml:space="preserve">mited data to perform subgroup </w:t>
      </w:r>
      <w:r w:rsidRPr="00743FCB">
        <w:rPr>
          <w:rFonts w:asciiTheme="majorBidi" w:hAnsiTheme="majorBidi" w:cstheme="majorBidi"/>
        </w:rPr>
        <w:t>or sensitivity analyses on different types of HF.</w:t>
      </w:r>
    </w:p>
    <w:p w14:paraId="4AD30BBE" w14:textId="77777777" w:rsidR="00DB6A8B" w:rsidRPr="00743FCB" w:rsidRDefault="00DB6A8B" w:rsidP="00DB6A8B">
      <w:pPr>
        <w:spacing w:line="360" w:lineRule="auto"/>
        <w:jc w:val="both"/>
        <w:rPr>
          <w:rFonts w:asciiTheme="majorBidi" w:hAnsiTheme="majorBidi" w:cstheme="majorBidi"/>
          <w:b/>
          <w:bCs/>
        </w:rPr>
      </w:pPr>
    </w:p>
    <w:p w14:paraId="1D766725" w14:textId="1EA447F8" w:rsidR="00DB6A8B" w:rsidRDefault="00DB6A8B" w:rsidP="003B35F7">
      <w:pPr>
        <w:spacing w:line="360" w:lineRule="auto"/>
        <w:jc w:val="both"/>
        <w:rPr>
          <w:rFonts w:asciiTheme="majorBidi" w:hAnsiTheme="majorBidi" w:cstheme="majorBidi"/>
        </w:rPr>
      </w:pPr>
      <w:r w:rsidRPr="00743FCB">
        <w:rPr>
          <w:rFonts w:asciiTheme="majorBidi" w:hAnsiTheme="majorBidi" w:cstheme="majorBidi"/>
        </w:rPr>
        <w:t>This systematic revie</w:t>
      </w:r>
      <w:r w:rsidR="000976E9">
        <w:rPr>
          <w:rFonts w:asciiTheme="majorBidi" w:hAnsiTheme="majorBidi" w:cstheme="majorBidi"/>
        </w:rPr>
        <w:t>w and meta-analysis investigate</w:t>
      </w:r>
      <w:r w:rsidRPr="00743FCB">
        <w:rPr>
          <w:rFonts w:asciiTheme="majorBidi" w:hAnsiTheme="majorBidi" w:cstheme="majorBidi"/>
        </w:rPr>
        <w:t xml:space="preserve"> that a</w:t>
      </w:r>
      <w:r w:rsidR="00BD4E7D" w:rsidRPr="00743FCB">
        <w:rPr>
          <w:rFonts w:asciiTheme="majorBidi" w:hAnsiTheme="majorBidi" w:cstheme="majorBidi"/>
        </w:rPr>
        <w:t xml:space="preserve">dministration of </w:t>
      </w:r>
      <w:proofErr w:type="spellStart"/>
      <w:r w:rsidR="00BD4E7D" w:rsidRPr="00743FCB">
        <w:rPr>
          <w:rFonts w:asciiTheme="majorBidi" w:hAnsiTheme="majorBidi" w:cstheme="majorBidi"/>
        </w:rPr>
        <w:t>i</w:t>
      </w:r>
      <w:r w:rsidRPr="00743FCB">
        <w:rPr>
          <w:rFonts w:asciiTheme="majorBidi" w:hAnsiTheme="majorBidi" w:cstheme="majorBidi"/>
        </w:rPr>
        <w:t>vabradine</w:t>
      </w:r>
      <w:proofErr w:type="spellEnd"/>
      <w:r w:rsidRPr="00743FCB">
        <w:rPr>
          <w:rFonts w:asciiTheme="majorBidi" w:hAnsiTheme="majorBidi" w:cstheme="majorBidi"/>
        </w:rPr>
        <w:t xml:space="preserve"> to adults with heart failure with </w:t>
      </w:r>
      <w:r w:rsidR="00B42005">
        <w:rPr>
          <w:rFonts w:asciiTheme="majorBidi" w:hAnsiTheme="majorBidi" w:cstheme="majorBidi"/>
        </w:rPr>
        <w:t>or without</w:t>
      </w:r>
      <w:r w:rsidRPr="00743FCB">
        <w:rPr>
          <w:rFonts w:asciiTheme="majorBidi" w:hAnsiTheme="majorBidi" w:cstheme="majorBidi"/>
        </w:rPr>
        <w:t xml:space="preserve"> </w:t>
      </w:r>
      <w:r w:rsidR="00AA40A8">
        <w:rPr>
          <w:rFonts w:asciiTheme="majorBidi" w:hAnsiTheme="majorBidi" w:cstheme="majorBidi"/>
        </w:rPr>
        <w:t xml:space="preserve">low </w:t>
      </w:r>
      <w:r w:rsidRPr="00743FCB">
        <w:rPr>
          <w:rFonts w:asciiTheme="majorBidi" w:hAnsiTheme="majorBidi" w:cstheme="majorBidi"/>
        </w:rPr>
        <w:t xml:space="preserve">ejection fraction significantly improved </w:t>
      </w:r>
      <w:r w:rsidR="00C0506D">
        <w:rPr>
          <w:rFonts w:asciiTheme="majorBidi" w:hAnsiTheme="majorBidi" w:cstheme="majorBidi"/>
        </w:rPr>
        <w:t xml:space="preserve">the ejection fraction. </w:t>
      </w:r>
      <w:r w:rsidRPr="00743FCB">
        <w:rPr>
          <w:rFonts w:asciiTheme="majorBidi" w:hAnsiTheme="majorBidi" w:cstheme="majorBidi"/>
        </w:rPr>
        <w:t>However, there was no significant impact</w:t>
      </w:r>
      <w:r w:rsidR="000A0A78">
        <w:rPr>
          <w:rFonts w:asciiTheme="majorBidi" w:hAnsiTheme="majorBidi" w:cstheme="majorBidi"/>
        </w:rPr>
        <w:t xml:space="preserve"> </w:t>
      </w:r>
      <w:r w:rsidR="000A0A78" w:rsidRPr="00743FCB">
        <w:rPr>
          <w:rFonts w:asciiTheme="majorBidi" w:hAnsiTheme="majorBidi" w:cstheme="majorBidi"/>
        </w:rPr>
        <w:t xml:space="preserve">with </w:t>
      </w:r>
      <w:proofErr w:type="spellStart"/>
      <w:r w:rsidR="000A0A78" w:rsidRPr="00743FCB">
        <w:rPr>
          <w:rFonts w:asciiTheme="majorBidi" w:hAnsiTheme="majorBidi" w:cstheme="majorBidi"/>
        </w:rPr>
        <w:t>ivabradine</w:t>
      </w:r>
      <w:proofErr w:type="spellEnd"/>
      <w:r w:rsidRPr="00743FCB">
        <w:rPr>
          <w:rFonts w:asciiTheme="majorBidi" w:hAnsiTheme="majorBidi" w:cstheme="majorBidi"/>
        </w:rPr>
        <w:t xml:space="preserve"> in mortality</w:t>
      </w:r>
      <w:r w:rsidR="00C0506D">
        <w:rPr>
          <w:rFonts w:asciiTheme="majorBidi" w:hAnsiTheme="majorBidi" w:cstheme="majorBidi"/>
        </w:rPr>
        <w:t>, cardiovascular mortality</w:t>
      </w:r>
      <w:r w:rsidR="00AD147C">
        <w:rPr>
          <w:rFonts w:asciiTheme="majorBidi" w:hAnsiTheme="majorBidi" w:cstheme="majorBidi"/>
        </w:rPr>
        <w:t>,</w:t>
      </w:r>
      <w:r w:rsidRPr="00743FCB">
        <w:rPr>
          <w:rFonts w:asciiTheme="majorBidi" w:hAnsiTheme="majorBidi" w:cstheme="majorBidi"/>
        </w:rPr>
        <w:t xml:space="preserve"> re-admission rates</w:t>
      </w:r>
      <w:r w:rsidR="000A0A78">
        <w:rPr>
          <w:rFonts w:asciiTheme="majorBidi" w:hAnsiTheme="majorBidi" w:cstheme="majorBidi"/>
        </w:rPr>
        <w:t xml:space="preserve"> and the</w:t>
      </w:r>
      <w:r w:rsidR="000A0A78" w:rsidRPr="00743FCB">
        <w:rPr>
          <w:rFonts w:asciiTheme="majorBidi" w:hAnsiTheme="majorBidi" w:cstheme="majorBidi"/>
        </w:rPr>
        <w:t xml:space="preserve"> mean difference in change of</w:t>
      </w:r>
      <w:r w:rsidR="000A0A78">
        <w:rPr>
          <w:rFonts w:asciiTheme="majorBidi" w:hAnsiTheme="majorBidi" w:cstheme="majorBidi"/>
        </w:rPr>
        <w:t xml:space="preserve"> heart rate</w:t>
      </w:r>
      <w:r w:rsidRPr="00743FCB">
        <w:rPr>
          <w:rFonts w:asciiTheme="majorBidi" w:hAnsiTheme="majorBidi" w:cstheme="majorBidi"/>
        </w:rPr>
        <w:t xml:space="preserve">. </w:t>
      </w:r>
      <w:r w:rsidR="000A0A78">
        <w:rPr>
          <w:rFonts w:asciiTheme="majorBidi" w:hAnsiTheme="majorBidi" w:cstheme="majorBidi"/>
        </w:rPr>
        <w:t>I</w:t>
      </w:r>
      <w:r w:rsidR="000A0A78" w:rsidRPr="00743FCB">
        <w:rPr>
          <w:rFonts w:asciiTheme="majorBidi" w:hAnsiTheme="majorBidi" w:cstheme="majorBidi"/>
        </w:rPr>
        <w:t>vabradine did not always</w:t>
      </w:r>
      <w:r w:rsidR="000A0A78">
        <w:rPr>
          <w:rFonts w:asciiTheme="majorBidi" w:hAnsiTheme="majorBidi" w:cstheme="majorBidi"/>
        </w:rPr>
        <w:t xml:space="preserve"> increase the incidence of all adverse event</w:t>
      </w:r>
      <w:r w:rsidR="000A0A78" w:rsidRPr="00743FCB">
        <w:rPr>
          <w:rFonts w:asciiTheme="majorBidi" w:hAnsiTheme="majorBidi" w:cstheme="majorBidi"/>
        </w:rPr>
        <w:t xml:space="preserve"> </w:t>
      </w:r>
      <w:r w:rsidR="000A0A78">
        <w:rPr>
          <w:rFonts w:asciiTheme="majorBidi" w:hAnsiTheme="majorBidi" w:cstheme="majorBidi"/>
        </w:rPr>
        <w:t xml:space="preserve">or ischemic events. But the incidence of bradycardia, </w:t>
      </w:r>
      <w:proofErr w:type="spellStart"/>
      <w:r w:rsidR="000A0A78">
        <w:rPr>
          <w:rFonts w:asciiTheme="majorBidi" w:hAnsiTheme="majorBidi" w:cstheme="majorBidi"/>
        </w:rPr>
        <w:t>phosphenes</w:t>
      </w:r>
      <w:proofErr w:type="spellEnd"/>
      <w:r w:rsidR="000A0A78">
        <w:rPr>
          <w:rFonts w:asciiTheme="majorBidi" w:hAnsiTheme="majorBidi" w:cstheme="majorBidi"/>
        </w:rPr>
        <w:t xml:space="preserve"> and blurred vision as adverse events were higher with </w:t>
      </w:r>
      <w:proofErr w:type="spellStart"/>
      <w:r w:rsidR="000A0A78">
        <w:rPr>
          <w:rFonts w:asciiTheme="majorBidi" w:hAnsiTheme="majorBidi" w:cstheme="majorBidi"/>
        </w:rPr>
        <w:t>ivabradine</w:t>
      </w:r>
      <w:proofErr w:type="spellEnd"/>
      <w:r w:rsidR="000A0A78">
        <w:rPr>
          <w:rFonts w:asciiTheme="majorBidi" w:hAnsiTheme="majorBidi" w:cstheme="majorBidi"/>
        </w:rPr>
        <w:t xml:space="preserve"> as compared with </w:t>
      </w:r>
      <w:r w:rsidR="003B35F7">
        <w:rPr>
          <w:rFonts w:asciiTheme="majorBidi" w:hAnsiTheme="majorBidi" w:cstheme="majorBidi"/>
        </w:rPr>
        <w:t>control</w:t>
      </w:r>
      <w:r w:rsidR="003B35F7" w:rsidRPr="00743FCB">
        <w:rPr>
          <w:rFonts w:asciiTheme="majorBidi" w:hAnsiTheme="majorBidi" w:cstheme="majorBidi"/>
        </w:rPr>
        <w:t xml:space="preserve"> </w:t>
      </w:r>
      <w:r w:rsidR="00AA40A8">
        <w:rPr>
          <w:rFonts w:asciiTheme="majorBidi" w:hAnsiTheme="majorBidi" w:cstheme="majorBidi"/>
        </w:rPr>
        <w:t xml:space="preserve">and these were the main reasons for withdrawal which was higher with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group compared with </w:t>
      </w:r>
      <w:r w:rsidR="003B35F7">
        <w:rPr>
          <w:rFonts w:asciiTheme="majorBidi" w:hAnsiTheme="majorBidi" w:cstheme="majorBidi"/>
        </w:rPr>
        <w:t>control</w:t>
      </w:r>
      <w:r w:rsidR="00AA40A8">
        <w:rPr>
          <w:rFonts w:asciiTheme="majorBidi" w:hAnsiTheme="majorBidi" w:cstheme="majorBidi"/>
        </w:rPr>
        <w:t>.</w:t>
      </w:r>
      <w:r w:rsidRPr="00743FCB">
        <w:rPr>
          <w:rFonts w:asciiTheme="majorBidi" w:hAnsiTheme="majorBidi" w:cstheme="majorBidi"/>
        </w:rPr>
        <w:t xml:space="preserve"> </w:t>
      </w:r>
      <w:r w:rsidR="00AA40A8">
        <w:rPr>
          <w:rFonts w:asciiTheme="majorBidi" w:hAnsiTheme="majorBidi" w:cstheme="majorBidi"/>
        </w:rPr>
        <w:t>This</w:t>
      </w:r>
      <w:r w:rsidRPr="00743FCB">
        <w:rPr>
          <w:rFonts w:asciiTheme="majorBidi" w:hAnsiTheme="majorBidi" w:cstheme="majorBidi"/>
        </w:rPr>
        <w:t xml:space="preserve"> may indicate </w:t>
      </w:r>
      <w:r w:rsidR="002308A5">
        <w:rPr>
          <w:rFonts w:asciiTheme="majorBidi" w:hAnsiTheme="majorBidi" w:cstheme="majorBidi"/>
        </w:rPr>
        <w:t xml:space="preserve">a </w:t>
      </w:r>
      <w:r w:rsidRPr="00743FCB">
        <w:rPr>
          <w:rFonts w:asciiTheme="majorBidi" w:hAnsiTheme="majorBidi" w:cstheme="majorBidi"/>
        </w:rPr>
        <w:t>poorer tolerability prof</w:t>
      </w:r>
      <w:r w:rsidR="00BD4E7D" w:rsidRPr="00743FCB">
        <w:rPr>
          <w:rFonts w:asciiTheme="majorBidi" w:hAnsiTheme="majorBidi" w:cstheme="majorBidi"/>
        </w:rPr>
        <w:t xml:space="preserve">ile. Our finding suggests that </w:t>
      </w:r>
      <w:proofErr w:type="spellStart"/>
      <w:r w:rsidR="00BD4E7D" w:rsidRPr="00743FCB">
        <w:rPr>
          <w:rFonts w:asciiTheme="majorBidi" w:hAnsiTheme="majorBidi" w:cstheme="majorBidi"/>
        </w:rPr>
        <w:t>i</w:t>
      </w:r>
      <w:r w:rsidRPr="00743FCB">
        <w:rPr>
          <w:rFonts w:asciiTheme="majorBidi" w:hAnsiTheme="majorBidi" w:cstheme="majorBidi"/>
        </w:rPr>
        <w:t>vabradine</w:t>
      </w:r>
      <w:proofErr w:type="spellEnd"/>
      <w:r w:rsidRPr="00743FCB">
        <w:rPr>
          <w:rFonts w:asciiTheme="majorBidi" w:hAnsiTheme="majorBidi" w:cstheme="majorBidi"/>
        </w:rPr>
        <w:t xml:space="preserve"> may be efficacious and safe as a treatment in its usual doses in adults with heart failure with </w:t>
      </w:r>
      <w:r w:rsidR="000A0A78">
        <w:rPr>
          <w:rFonts w:asciiTheme="majorBidi" w:hAnsiTheme="majorBidi" w:cstheme="majorBidi"/>
        </w:rPr>
        <w:t>or without low</w:t>
      </w:r>
      <w:r w:rsidRPr="00743FCB">
        <w:rPr>
          <w:rFonts w:asciiTheme="majorBidi" w:hAnsiTheme="majorBidi" w:cstheme="majorBidi"/>
        </w:rPr>
        <w:t xml:space="preserve"> ejection fraction. Further studies are needed to confirm these results and during this time more studies might show up.</w:t>
      </w:r>
    </w:p>
    <w:p w14:paraId="3A0B395F" w14:textId="77777777" w:rsidR="004044A2" w:rsidRDefault="004044A2" w:rsidP="003B35F7">
      <w:pPr>
        <w:spacing w:line="360" w:lineRule="auto"/>
        <w:jc w:val="both"/>
        <w:rPr>
          <w:rFonts w:asciiTheme="majorBidi" w:hAnsiTheme="majorBidi" w:cstheme="majorBidi"/>
        </w:rPr>
      </w:pPr>
    </w:p>
    <w:p w14:paraId="02B1EF1E" w14:textId="16C5B707" w:rsidR="004044A2" w:rsidRPr="00743FCB" w:rsidRDefault="004044A2" w:rsidP="003B35F7">
      <w:pPr>
        <w:spacing w:line="360" w:lineRule="auto"/>
        <w:jc w:val="both"/>
        <w:rPr>
          <w:rFonts w:asciiTheme="majorBidi" w:hAnsiTheme="majorBidi" w:cstheme="majorBidi"/>
          <w:b/>
          <w:bCs/>
        </w:rPr>
      </w:pPr>
      <w:r>
        <w:rPr>
          <w:rFonts w:asciiTheme="majorBidi" w:hAnsiTheme="majorBidi" w:cstheme="majorBidi"/>
          <w:b/>
          <w:bCs/>
        </w:rPr>
        <w:t xml:space="preserve">Acknowledgments: </w:t>
      </w:r>
    </w:p>
    <w:p w14:paraId="53732625" w14:textId="7AC19CFE" w:rsidR="004044A2" w:rsidRPr="004C0759" w:rsidRDefault="004044A2" w:rsidP="004C0759">
      <w:pPr>
        <w:rPr>
          <w:rFonts w:ascii="Times New Roman" w:eastAsia="Times New Roman" w:hAnsi="Times New Roman" w:cs="Times New Roman"/>
        </w:rPr>
      </w:pPr>
      <w:r w:rsidRPr="004044A2">
        <w:rPr>
          <w:rFonts w:asciiTheme="majorBidi" w:hAnsiTheme="majorBidi" w:cstheme="majorBidi"/>
          <w:b/>
          <w:bCs/>
        </w:rPr>
        <w:t>Funding</w:t>
      </w:r>
      <w:r>
        <w:rPr>
          <w:rFonts w:asciiTheme="majorBidi" w:hAnsiTheme="majorBidi" w:cstheme="majorBidi"/>
          <w:b/>
          <w:bCs/>
        </w:rPr>
        <w:t xml:space="preserve"> </w:t>
      </w:r>
      <w:r w:rsidRPr="004044A2">
        <w:rPr>
          <w:rFonts w:ascii="Times New Roman" w:eastAsia="Times New Roman" w:hAnsi="Times New Roman" w:cs="Times New Roman"/>
          <w:b/>
          <w:bCs/>
          <w:color w:val="000000"/>
          <w:shd w:val="clear" w:color="auto" w:fill="FFFFFF"/>
        </w:rPr>
        <w:t>sources</w:t>
      </w:r>
      <w:r w:rsidRPr="004044A2">
        <w:rPr>
          <w:rFonts w:asciiTheme="majorBidi" w:hAnsiTheme="majorBidi" w:cstheme="majorBidi"/>
          <w:b/>
          <w:bCs/>
        </w:rPr>
        <w:t>:</w:t>
      </w:r>
    </w:p>
    <w:p w14:paraId="038B2F3D" w14:textId="77777777" w:rsidR="004044A2" w:rsidRPr="004044A2" w:rsidRDefault="004044A2" w:rsidP="004044A2">
      <w:pPr>
        <w:spacing w:line="360" w:lineRule="auto"/>
        <w:jc w:val="both"/>
        <w:rPr>
          <w:rFonts w:asciiTheme="majorBidi" w:hAnsiTheme="majorBidi" w:cstheme="majorBidi"/>
        </w:rPr>
      </w:pPr>
      <w:r w:rsidRPr="004044A2">
        <w:rPr>
          <w:rFonts w:asciiTheme="majorBidi" w:hAnsiTheme="majorBidi" w:cstheme="majorBidi"/>
        </w:rPr>
        <w:t>This research project was not funded.</w:t>
      </w:r>
    </w:p>
    <w:p w14:paraId="5FAB3896" w14:textId="77777777" w:rsidR="00682929" w:rsidRPr="00743FCB" w:rsidRDefault="00682929" w:rsidP="001B2B86">
      <w:pPr>
        <w:spacing w:line="360" w:lineRule="auto"/>
        <w:jc w:val="both"/>
        <w:rPr>
          <w:rFonts w:asciiTheme="majorBidi" w:hAnsiTheme="majorBidi" w:cstheme="majorBidi"/>
          <w:b/>
          <w:bCs/>
        </w:rPr>
      </w:pPr>
    </w:p>
    <w:p w14:paraId="43055849" w14:textId="77777777" w:rsidR="000F3A96" w:rsidRPr="00743FCB" w:rsidRDefault="000F3A96" w:rsidP="008F555B">
      <w:pPr>
        <w:widowControl w:val="0"/>
        <w:numPr>
          <w:ilvl w:val="0"/>
          <w:numId w:val="2"/>
        </w:numPr>
        <w:autoSpaceDE w:val="0"/>
        <w:autoSpaceDN w:val="0"/>
        <w:adjustRightInd w:val="0"/>
        <w:spacing w:line="360" w:lineRule="auto"/>
        <w:jc w:val="both"/>
        <w:rPr>
          <w:rFonts w:asciiTheme="majorBidi" w:hAnsiTheme="majorBidi" w:cstheme="majorBidi"/>
        </w:rPr>
      </w:pPr>
    </w:p>
    <w:p w14:paraId="241A01BB" w14:textId="77777777" w:rsidR="00EE7868" w:rsidRDefault="00EE7868" w:rsidP="001B2B86">
      <w:pPr>
        <w:spacing w:line="360" w:lineRule="auto"/>
        <w:jc w:val="both"/>
        <w:rPr>
          <w:rFonts w:asciiTheme="majorBidi" w:hAnsiTheme="majorBidi" w:cstheme="majorBidi"/>
        </w:rPr>
      </w:pPr>
    </w:p>
    <w:p w14:paraId="53FEE12D" w14:textId="77777777" w:rsidR="001B2B86" w:rsidRPr="002B7B2F" w:rsidRDefault="001B2B86" w:rsidP="001B2B86">
      <w:pPr>
        <w:spacing w:line="360" w:lineRule="auto"/>
        <w:jc w:val="both"/>
        <w:rPr>
          <w:rFonts w:asciiTheme="majorBidi" w:hAnsiTheme="majorBidi" w:cstheme="majorBidi"/>
          <w:b/>
          <w:bCs/>
        </w:rPr>
      </w:pPr>
      <w:r w:rsidRPr="002B7B2F">
        <w:rPr>
          <w:rFonts w:asciiTheme="majorBidi" w:hAnsiTheme="majorBidi" w:cstheme="majorBidi"/>
          <w:b/>
          <w:bCs/>
        </w:rPr>
        <w:t>References:</w:t>
      </w:r>
    </w:p>
    <w:p w14:paraId="74115110" w14:textId="77777777" w:rsidR="001B2B86" w:rsidRPr="00743FCB" w:rsidRDefault="001B2B86" w:rsidP="001B2B86">
      <w:pPr>
        <w:pStyle w:val="ListParagraph"/>
        <w:numPr>
          <w:ilvl w:val="0"/>
          <w:numId w:val="1"/>
        </w:numPr>
        <w:spacing w:line="360" w:lineRule="auto"/>
        <w:jc w:val="both"/>
        <w:rPr>
          <w:rFonts w:asciiTheme="majorBidi" w:eastAsia="Times New Roman" w:hAnsiTheme="majorBidi" w:cstheme="majorBidi"/>
          <w:noProof/>
        </w:rPr>
      </w:pPr>
      <w:r w:rsidRPr="00743FCB">
        <w:rPr>
          <w:rFonts w:asciiTheme="majorBidi" w:eastAsia="Times New Roman" w:hAnsiTheme="majorBidi" w:cstheme="majorBidi"/>
          <w:noProof/>
        </w:rPr>
        <w:t>Paper O. Ivabradine Improves Quality of Life in Subjects with Chronic Heart Failure Compared to Treatment with β-Blockers : Results of a Multicentric Observational APULIA Study. 2013;276–80.</w:t>
      </w:r>
    </w:p>
    <w:p w14:paraId="575FCB39" w14:textId="77777777"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 xml:space="preserve">Wijns W, Kolh P, Danchin N, Di Mario C, Falk V, Folliguet T, et al. ESC Guidelines for the diagnosis and treatment of acute and chronic heart failure 2012: The Task Force for the Diagnosis and Treatment of Acute and Chronic Heart Failure 2012 of the European Society of Cardiology. Developed in collaboration with the Heart. Eur Heart J [Internet]. 2010;31(14):2369–429. Available from: </w:t>
      </w:r>
      <w:hyperlink r:id="rId16" w:history="1">
        <w:r w:rsidRPr="00743FCB">
          <w:rPr>
            <w:rStyle w:val="Hyperlink"/>
            <w:rFonts w:asciiTheme="majorBidi" w:eastAsia="Times New Roman" w:hAnsiTheme="majorBidi" w:cstheme="majorBidi"/>
            <w:noProof/>
          </w:rPr>
          <w:t>http://www.ncbi.nlm.nih.gov/pubmed/22611136\nhttp://www.pubmedcentral.nih.gov/articlerender.fcgi?artid=3690472&amp;tool=pmcentrez&amp;rendertype=abstract\nhttp://www.ncbi.nlm.nih.gov/pubmed/16875962\nhttp://www.ncbi.nlm.nih.gov/pubmed/20802247\nhttp://www.ncbi.nl</w:t>
        </w:r>
      </w:hyperlink>
    </w:p>
    <w:p w14:paraId="11041FA7" w14:textId="25BC8D7B" w:rsidR="001B2B86" w:rsidRPr="00743FCB" w:rsidRDefault="001B2B86" w:rsidP="008F555B">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Ramani G V, Uber PA, Mehra MR. Chronic Heart Failure: Contemporary Diagnosis and Management. Mayo Clin Proc [Internet]. 2</w:t>
      </w:r>
      <w:r w:rsidR="008F555B" w:rsidRPr="00743FCB">
        <w:rPr>
          <w:rFonts w:asciiTheme="majorBidi" w:eastAsia="Times New Roman" w:hAnsiTheme="majorBidi" w:cstheme="majorBidi"/>
          <w:noProof/>
        </w:rPr>
        <w:t xml:space="preserve">010 Feb;85(2):180–95. Available </w:t>
      </w:r>
      <w:r w:rsidRPr="00743FCB">
        <w:rPr>
          <w:rFonts w:asciiTheme="majorBidi" w:eastAsia="Times New Roman" w:hAnsiTheme="majorBidi" w:cstheme="majorBidi"/>
          <w:noProof/>
        </w:rPr>
        <w:t xml:space="preserve">from: </w:t>
      </w:r>
      <w:hyperlink r:id="rId17" w:history="1">
        <w:r w:rsidRPr="00743FCB">
          <w:rPr>
            <w:rStyle w:val="Hyperlink"/>
            <w:rFonts w:asciiTheme="majorBidi" w:eastAsia="Times New Roman" w:hAnsiTheme="majorBidi" w:cstheme="majorBidi"/>
            <w:noProof/>
          </w:rPr>
          <w:t>http://www.sciencedirect.com/science/article/pii/S0025619611603935</w:t>
        </w:r>
      </w:hyperlink>
    </w:p>
    <w:p w14:paraId="663F0A41" w14:textId="77777777"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Gheorghiade M, Albert NM, Curtis AB, Thomas Heywood J, McBride ML, Inge PJ, et al. Medication dosing in outpatients with heart failure after implementation of a practice-based performance improvement intervention: Findings from IMPROVE HF. Congest Hear Fail. 2012;18(1):9–17.</w:t>
      </w:r>
    </w:p>
    <w:p w14:paraId="1B794F7C" w14:textId="77777777"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 xml:space="preserve">Deedwania P. Selective and specific inhibition of If with ivabradine for the treatment of coronary artery disease or heart failure. Drugs [Internet]. 2013;73(14):1569–86. Available from: </w:t>
      </w:r>
      <w:hyperlink r:id="rId18" w:history="1">
        <w:r w:rsidRPr="00743FCB">
          <w:rPr>
            <w:rStyle w:val="Hyperlink"/>
            <w:rFonts w:asciiTheme="majorBidi" w:eastAsia="Times New Roman" w:hAnsiTheme="majorBidi" w:cstheme="majorBidi"/>
            <w:noProof/>
          </w:rPr>
          <w:t>http://www.pubmedcentral.nih.gov/articlerender.fcgi?artid=3786091&amp;tool=pmcentrez&amp;rendertype=abstract</w:t>
        </w:r>
      </w:hyperlink>
    </w:p>
    <w:p w14:paraId="2DD6E8CF" w14:textId="77777777"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Swedberg K, Komajda M, B??hm M, Borer JS, Ford I, Dubost-Brama A, et al. Ivabradine and outcomes in chronic heart failure (SHIFT): A randomised placebo-controlled study. Lancet. 2010;376(9744):875–85.</w:t>
      </w:r>
    </w:p>
    <w:p w14:paraId="28AE167B" w14:textId="77777777" w:rsidR="001B2B86" w:rsidRPr="00DE5F4C" w:rsidRDefault="001B2B86" w:rsidP="001B2B86">
      <w:pPr>
        <w:pStyle w:val="ListParagraph"/>
        <w:widowControl w:val="0"/>
        <w:numPr>
          <w:ilvl w:val="0"/>
          <w:numId w:val="1"/>
        </w:numPr>
        <w:autoSpaceDE w:val="0"/>
        <w:autoSpaceDN w:val="0"/>
        <w:adjustRightInd w:val="0"/>
        <w:spacing w:line="360" w:lineRule="auto"/>
        <w:jc w:val="both"/>
        <w:rPr>
          <w:rFonts w:asciiTheme="majorBidi" w:hAnsiTheme="majorBidi" w:cstheme="majorBidi"/>
          <w:noProof/>
        </w:rPr>
      </w:pPr>
      <w:r w:rsidRPr="00743FCB">
        <w:rPr>
          <w:rFonts w:asciiTheme="majorBidi" w:eastAsia="Times New Roman" w:hAnsiTheme="majorBidi" w:cstheme="majorBidi"/>
          <w:noProof/>
        </w:rPr>
        <w:lastRenderedPageBreak/>
        <w:t xml:space="preserve">Fox K, Ford I, Steg PG, Tendera M, Ferrari R, Investigators B, et al. Ivabradine for patients with stable coronary artery disease and left-ventricular systolic dysfunction ( BEAUTIFUL ): a randomised , double-blind , placebo-controlled trial. 2016;372:807–16. </w:t>
      </w:r>
    </w:p>
    <w:p w14:paraId="01839519" w14:textId="4C6DC6FD" w:rsidR="00303B13" w:rsidRDefault="00DE5F4C" w:rsidP="00303B13">
      <w:pPr>
        <w:pStyle w:val="ListParagraph"/>
        <w:numPr>
          <w:ilvl w:val="0"/>
          <w:numId w:val="1"/>
        </w:numPr>
        <w:spacing w:line="360" w:lineRule="auto"/>
        <w:jc w:val="both"/>
        <w:rPr>
          <w:rFonts w:asciiTheme="majorBidi" w:eastAsia="Times New Roman" w:hAnsiTheme="majorBidi" w:cstheme="majorBidi"/>
          <w:noProof/>
        </w:rPr>
      </w:pPr>
      <w:r w:rsidRPr="00743FCB">
        <w:rPr>
          <w:rFonts w:asciiTheme="majorBidi" w:eastAsia="Times New Roman" w:hAnsiTheme="majorBidi" w:cstheme="majorBidi"/>
          <w:noProof/>
        </w:rPr>
        <w:t>Fasullo S, Cannizzaro S, Maringhini G, et al. Comparison of Ivabradine Versus Metoprolol in Early Phases of Reperfused Anterior Myocardial Infarction With Impaired Left Ventricular Function: Preliminary Findings. J Card Fail. 2009;15(10):856-863. doi:10.1016/j.cardfail.2009.05.013.</w:t>
      </w:r>
    </w:p>
    <w:p w14:paraId="4CE524AE" w14:textId="2BA04077" w:rsidR="00303B13" w:rsidRDefault="00303B13" w:rsidP="004861E7">
      <w:pPr>
        <w:pStyle w:val="ListParagraph"/>
        <w:numPr>
          <w:ilvl w:val="0"/>
          <w:numId w:val="1"/>
        </w:numPr>
        <w:spacing w:line="360" w:lineRule="auto"/>
        <w:jc w:val="both"/>
        <w:rPr>
          <w:rFonts w:asciiTheme="majorBidi" w:eastAsia="Times New Roman" w:hAnsiTheme="majorBidi" w:cstheme="majorBidi"/>
          <w:noProof/>
        </w:rPr>
      </w:pPr>
      <w:r w:rsidRPr="00303B13">
        <w:rPr>
          <w:rFonts w:asciiTheme="majorBidi" w:eastAsia="Times New Roman" w:hAnsiTheme="majorBidi" w:cstheme="majorBidi"/>
          <w:noProof/>
        </w:rPr>
        <w:t>Kosmala, W., Holland, D., Rojek, A., Wright, L., Przewlocka-Kosmala, M. and Marwick, T. (2013). Effect of If-Channel Inhibition on Hemodynamic Status and Exercise Tolerance in Heart Failure With Preserved Ejection Fraction. Journal of the American College of Cardiology, 62(15), pp.1330-1338.</w:t>
      </w:r>
    </w:p>
    <w:p w14:paraId="1467FDF2" w14:textId="63D4B16B" w:rsidR="00303B13" w:rsidRDefault="00722A9F" w:rsidP="00303B13">
      <w:pPr>
        <w:pStyle w:val="ListParagraph"/>
        <w:numPr>
          <w:ilvl w:val="0"/>
          <w:numId w:val="1"/>
        </w:numPr>
        <w:spacing w:line="360" w:lineRule="auto"/>
        <w:jc w:val="both"/>
        <w:rPr>
          <w:rFonts w:asciiTheme="majorBidi" w:eastAsia="Times New Roman" w:hAnsiTheme="majorBidi" w:cstheme="majorBidi"/>
          <w:noProof/>
        </w:rPr>
      </w:pPr>
      <w:r w:rsidRPr="00722A9F">
        <w:rPr>
          <w:rFonts w:asciiTheme="majorBidi" w:eastAsia="Times New Roman" w:hAnsiTheme="majorBidi" w:cstheme="majorBidi"/>
          <w:noProof/>
        </w:rPr>
        <w:t>Hidalgo, F. (2017). Early Therapy with Beta Blockers Plus Ivabradine Versus Beta Blockers Alone in Patients Hospitalised with Heart Failure and Reduced Ejection Fraction (ETHIC-AHF Study): Results at One-Year Follow-Up. International Journal of Clinical Cardiology, 4(1).</w:t>
      </w:r>
    </w:p>
    <w:p w14:paraId="49B28EAA" w14:textId="6A003145" w:rsidR="00D06FE8" w:rsidRDefault="008240B9" w:rsidP="00303B13">
      <w:pPr>
        <w:pStyle w:val="ListParagraph"/>
        <w:numPr>
          <w:ilvl w:val="0"/>
          <w:numId w:val="1"/>
        </w:numPr>
        <w:spacing w:line="360" w:lineRule="auto"/>
        <w:jc w:val="both"/>
        <w:rPr>
          <w:rFonts w:asciiTheme="majorBidi" w:eastAsia="Times New Roman" w:hAnsiTheme="majorBidi" w:cstheme="majorBidi"/>
          <w:noProof/>
        </w:rPr>
      </w:pPr>
      <w:r w:rsidRPr="008240B9">
        <w:rPr>
          <w:rFonts w:asciiTheme="majorBidi" w:eastAsia="Times New Roman" w:hAnsiTheme="majorBidi" w:cstheme="majorBidi"/>
          <w:noProof/>
        </w:rPr>
        <w:t>Komajda, M., Isnard, R., Cohen-Solal, A., Metra, M. and Pieske, B. (2017). Effect of ivabradine in patients with heart failure with preserved ejection fraction: the EDIFY randomized placebo-controlled trial. European Journal of Heart Failure, 19(11), pp.1495-1503.</w:t>
      </w:r>
    </w:p>
    <w:p w14:paraId="6E40019C" w14:textId="40065D55" w:rsidR="00303B13" w:rsidRPr="00303B13" w:rsidRDefault="00303B13" w:rsidP="00303B13">
      <w:pPr>
        <w:pStyle w:val="ListParagraph"/>
        <w:numPr>
          <w:ilvl w:val="0"/>
          <w:numId w:val="1"/>
        </w:numPr>
        <w:spacing w:line="360" w:lineRule="auto"/>
        <w:jc w:val="both"/>
        <w:rPr>
          <w:rFonts w:asciiTheme="majorBidi" w:eastAsia="Times New Roman" w:hAnsiTheme="majorBidi" w:cstheme="majorBidi"/>
          <w:noProof/>
        </w:rPr>
      </w:pPr>
      <w:r w:rsidRPr="00E965CC">
        <w:rPr>
          <w:rFonts w:asciiTheme="majorBidi" w:eastAsia="Times New Roman" w:hAnsiTheme="majorBidi" w:cstheme="majorBidi"/>
          <w:noProof/>
        </w:rPr>
        <w:t>Tardif J, Meara EO, Komajda M, et al. Effects of selective heart rate reduction with ivabradine on left ventricular remodelling and function : results from the SHIFT echocardiography substudy. 2011:1-9. doi:10.1093/eurheartj/ehr311.</w:t>
      </w:r>
    </w:p>
    <w:p w14:paraId="320E33BB" w14:textId="77777777" w:rsidR="003D6DBE" w:rsidRDefault="003D6DBE" w:rsidP="001B2B86">
      <w:pPr>
        <w:pStyle w:val="ListParagraph"/>
        <w:numPr>
          <w:ilvl w:val="0"/>
          <w:numId w:val="1"/>
        </w:numPr>
        <w:spacing w:line="360" w:lineRule="auto"/>
        <w:jc w:val="both"/>
        <w:rPr>
          <w:rFonts w:asciiTheme="majorBidi" w:hAnsiTheme="majorBidi" w:cstheme="majorBidi"/>
        </w:rPr>
      </w:pPr>
      <w:proofErr w:type="spellStart"/>
      <w:r w:rsidRPr="003D6DBE">
        <w:rPr>
          <w:rFonts w:asciiTheme="majorBidi" w:hAnsiTheme="majorBidi" w:cstheme="majorBidi"/>
        </w:rPr>
        <w:t>Ceconi</w:t>
      </w:r>
      <w:proofErr w:type="spellEnd"/>
      <w:r w:rsidRPr="003D6DBE">
        <w:rPr>
          <w:rFonts w:asciiTheme="majorBidi" w:hAnsiTheme="majorBidi" w:cstheme="majorBidi"/>
        </w:rPr>
        <w:t xml:space="preserve">, C., Freedman, S., Tardif, J., Hildebrandt, P. and </w:t>
      </w:r>
      <w:proofErr w:type="spellStart"/>
      <w:r w:rsidRPr="003D6DBE">
        <w:rPr>
          <w:rFonts w:asciiTheme="majorBidi" w:hAnsiTheme="majorBidi" w:cstheme="majorBidi"/>
        </w:rPr>
        <w:t>McDonagh</w:t>
      </w:r>
      <w:proofErr w:type="spellEnd"/>
      <w:r w:rsidRPr="003D6DBE">
        <w:rPr>
          <w:rFonts w:asciiTheme="majorBidi" w:hAnsiTheme="majorBidi" w:cstheme="majorBidi"/>
        </w:rPr>
        <w:t xml:space="preserve">, T. (2011). Effect of heart rate reduction by </w:t>
      </w:r>
      <w:proofErr w:type="spellStart"/>
      <w:r w:rsidRPr="003D6DBE">
        <w:rPr>
          <w:rFonts w:asciiTheme="majorBidi" w:hAnsiTheme="majorBidi" w:cstheme="majorBidi"/>
        </w:rPr>
        <w:t>ivabradine</w:t>
      </w:r>
      <w:proofErr w:type="spellEnd"/>
      <w:r w:rsidRPr="003D6DBE">
        <w:rPr>
          <w:rFonts w:asciiTheme="majorBidi" w:hAnsiTheme="majorBidi" w:cstheme="majorBidi"/>
        </w:rPr>
        <w:t xml:space="preserve"> on left ventricular remodeling in the echocardiographic </w:t>
      </w:r>
      <w:proofErr w:type="spellStart"/>
      <w:r w:rsidRPr="003D6DBE">
        <w:rPr>
          <w:rFonts w:asciiTheme="majorBidi" w:hAnsiTheme="majorBidi" w:cstheme="majorBidi"/>
        </w:rPr>
        <w:t>substudy</w:t>
      </w:r>
      <w:proofErr w:type="spellEnd"/>
      <w:r w:rsidRPr="003D6DBE">
        <w:rPr>
          <w:rFonts w:asciiTheme="majorBidi" w:hAnsiTheme="majorBidi" w:cstheme="majorBidi"/>
        </w:rPr>
        <w:t xml:space="preserve"> of BEAUTIFUL. International Journal of Cardiology, 146(3), pp.408-414.</w:t>
      </w:r>
    </w:p>
    <w:p w14:paraId="39A138E3" w14:textId="65E34EF2"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 xml:space="preserve">Tsutsui H, Momomura S, Yamashina A, Ogawa H, Shimokawa H, Kihara Y, et al. Heart Rate Control With If Inhibitor, Ivabradine, in Japanese Patients With Chronic Heart Failure – A Randomized, Double-Blind, Placebo-Controlled </w:t>
      </w:r>
      <w:r w:rsidRPr="00743FCB">
        <w:rPr>
          <w:rFonts w:asciiTheme="majorBidi" w:eastAsia="Times New Roman" w:hAnsiTheme="majorBidi" w:cstheme="majorBidi"/>
          <w:noProof/>
        </w:rPr>
        <w:lastRenderedPageBreak/>
        <w:t xml:space="preserve">Phase II Study –. Circ J [Internet]. 2016;80(March):1–8. Available from: </w:t>
      </w:r>
      <w:hyperlink r:id="rId19" w:history="1">
        <w:r w:rsidRPr="00743FCB">
          <w:rPr>
            <w:rStyle w:val="Hyperlink"/>
            <w:rFonts w:asciiTheme="majorBidi" w:eastAsia="Times New Roman" w:hAnsiTheme="majorBidi" w:cstheme="majorBidi"/>
            <w:noProof/>
          </w:rPr>
          <w:t>https://www.jstage.jst.go.jp/article/circj/advpub/0/advpub_CJ-15-1112/_article</w:t>
        </w:r>
      </w:hyperlink>
    </w:p>
    <w:p w14:paraId="059D4765" w14:textId="77777777"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 xml:space="preserve">Volterrani M, Cice G, Caminiti G, Vitale C, Isa SD, Perrone P, et al. Effect of Carvedilol , Ivabradine or their combination on exercise capacity in patients with Heart Failure ( the CARVIVA HF trial ). Int J Cardiol [Internet]. Elsevier Ireland Ltd; 2016;151(2):218–24. Available from: </w:t>
      </w:r>
      <w:hyperlink r:id="rId20" w:history="1">
        <w:r w:rsidRPr="00743FCB">
          <w:rPr>
            <w:rStyle w:val="Hyperlink"/>
            <w:rFonts w:asciiTheme="majorBidi" w:eastAsia="Times New Roman" w:hAnsiTheme="majorBidi" w:cstheme="majorBidi"/>
            <w:noProof/>
          </w:rPr>
          <w:t>http://dx.doi.org/10.1016/j.ijcard.2011.06.098</w:t>
        </w:r>
      </w:hyperlink>
    </w:p>
    <w:p w14:paraId="7DC88EE2" w14:textId="77777777" w:rsidR="001B2B86" w:rsidRPr="00743FCB" w:rsidRDefault="001B2B86" w:rsidP="001B2B86">
      <w:pPr>
        <w:pStyle w:val="ListParagraph"/>
        <w:numPr>
          <w:ilvl w:val="0"/>
          <w:numId w:val="1"/>
        </w:numPr>
        <w:spacing w:line="360" w:lineRule="auto"/>
        <w:jc w:val="both"/>
        <w:rPr>
          <w:rFonts w:asciiTheme="majorBidi" w:hAnsiTheme="majorBidi" w:cstheme="majorBidi"/>
        </w:rPr>
      </w:pPr>
      <w:r w:rsidRPr="00743FCB">
        <w:rPr>
          <w:rFonts w:asciiTheme="majorBidi" w:eastAsia="Times New Roman" w:hAnsiTheme="majorBidi" w:cstheme="majorBidi"/>
          <w:noProof/>
        </w:rPr>
        <w:t>Pal N, Sivaswamy N, Mahmod M, Yavari A, Rudd A, Singh S, et al. Effect of selective heart rate slowing in heart failure with preserved ejection fraction. Circulation. 2015;132(18):1719–25.</w:t>
      </w:r>
    </w:p>
    <w:p w14:paraId="1E697999" w14:textId="4F6AAAAA" w:rsidR="007E5545" w:rsidRDefault="007E5545" w:rsidP="001B2B86">
      <w:pPr>
        <w:pStyle w:val="ListParagraph"/>
        <w:numPr>
          <w:ilvl w:val="0"/>
          <w:numId w:val="1"/>
        </w:numPr>
        <w:spacing w:line="360" w:lineRule="auto"/>
        <w:jc w:val="both"/>
        <w:rPr>
          <w:rFonts w:asciiTheme="majorBidi" w:eastAsia="Times New Roman" w:hAnsiTheme="majorBidi" w:cstheme="majorBidi"/>
          <w:noProof/>
        </w:rPr>
      </w:pPr>
      <w:r w:rsidRPr="007E5545">
        <w:rPr>
          <w:rFonts w:asciiTheme="majorBidi" w:eastAsia="Times New Roman" w:hAnsiTheme="majorBidi" w:cstheme="majorBidi"/>
          <w:noProof/>
        </w:rPr>
        <w:t>Bozkurt B, Butler J, Al E. 2017 ACC / AHA / HFSA Focused Update of the 2013 ACCF / AHA Guideline for the Management of Heart Failure.; 2017. doi:10.1161/CIR.0000000000000509.</w:t>
      </w:r>
    </w:p>
    <w:p w14:paraId="2F6D55DC" w14:textId="77777777" w:rsidR="00E965CC" w:rsidRPr="00E965CC" w:rsidRDefault="00E965CC" w:rsidP="00E965CC">
      <w:pPr>
        <w:spacing w:line="360" w:lineRule="auto"/>
        <w:ind w:left="720"/>
        <w:jc w:val="both"/>
        <w:rPr>
          <w:rFonts w:asciiTheme="majorBidi" w:eastAsia="Times New Roman" w:hAnsiTheme="majorBidi" w:cstheme="majorBidi"/>
          <w:noProof/>
        </w:rPr>
      </w:pPr>
    </w:p>
    <w:p w14:paraId="121E5FDA" w14:textId="77777777" w:rsidR="001B2B86" w:rsidRPr="00743FCB" w:rsidRDefault="001B2B86" w:rsidP="001B2B86">
      <w:pPr>
        <w:spacing w:line="360" w:lineRule="auto"/>
        <w:jc w:val="both"/>
        <w:rPr>
          <w:rFonts w:asciiTheme="majorBidi" w:hAnsiTheme="majorBidi" w:cstheme="majorBidi"/>
        </w:rPr>
      </w:pPr>
    </w:p>
    <w:p w14:paraId="324FE977" w14:textId="77777777" w:rsidR="001B2B86" w:rsidRDefault="001B2B86" w:rsidP="001B2B86">
      <w:pPr>
        <w:widowControl w:val="0"/>
        <w:autoSpaceDE w:val="0"/>
        <w:autoSpaceDN w:val="0"/>
        <w:adjustRightInd w:val="0"/>
        <w:spacing w:line="360" w:lineRule="auto"/>
        <w:ind w:left="640" w:hanging="640"/>
        <w:jc w:val="both"/>
        <w:rPr>
          <w:rFonts w:asciiTheme="majorBidi" w:hAnsiTheme="majorBidi" w:cstheme="majorBidi"/>
        </w:rPr>
      </w:pPr>
    </w:p>
    <w:p w14:paraId="20531D78" w14:textId="77777777" w:rsidR="007E5545" w:rsidRPr="00743FCB" w:rsidRDefault="007E5545" w:rsidP="001B2B86">
      <w:pPr>
        <w:widowControl w:val="0"/>
        <w:autoSpaceDE w:val="0"/>
        <w:autoSpaceDN w:val="0"/>
        <w:adjustRightInd w:val="0"/>
        <w:spacing w:line="360" w:lineRule="auto"/>
        <w:ind w:left="640" w:hanging="640"/>
        <w:jc w:val="both"/>
        <w:rPr>
          <w:rFonts w:asciiTheme="majorBidi" w:hAnsiTheme="majorBidi" w:cstheme="majorBidi"/>
        </w:rPr>
      </w:pPr>
    </w:p>
    <w:p w14:paraId="3EBC47B5" w14:textId="77777777" w:rsidR="001B2B86" w:rsidRDefault="001B2B86" w:rsidP="001B2B86">
      <w:pPr>
        <w:spacing w:line="360" w:lineRule="auto"/>
        <w:jc w:val="both"/>
        <w:rPr>
          <w:rFonts w:asciiTheme="majorBidi" w:hAnsiTheme="majorBidi" w:cstheme="majorBidi"/>
        </w:rPr>
      </w:pPr>
    </w:p>
    <w:p w14:paraId="69F71E87" w14:textId="77777777" w:rsidR="00917A33" w:rsidRDefault="00917A33" w:rsidP="001B2B86">
      <w:pPr>
        <w:spacing w:line="360" w:lineRule="auto"/>
        <w:jc w:val="both"/>
        <w:rPr>
          <w:rFonts w:asciiTheme="majorBidi" w:hAnsiTheme="majorBidi" w:cstheme="majorBidi"/>
        </w:rPr>
      </w:pPr>
    </w:p>
    <w:p w14:paraId="485B08BE" w14:textId="77777777" w:rsidR="00917A33" w:rsidRDefault="00917A33" w:rsidP="001B2B86">
      <w:pPr>
        <w:spacing w:line="360" w:lineRule="auto"/>
        <w:jc w:val="both"/>
        <w:rPr>
          <w:rFonts w:asciiTheme="majorBidi" w:hAnsiTheme="majorBidi" w:cstheme="majorBidi"/>
        </w:rPr>
      </w:pPr>
    </w:p>
    <w:p w14:paraId="676B49D9" w14:textId="77777777" w:rsidR="00917A33" w:rsidRDefault="00917A33" w:rsidP="001B2B86">
      <w:pPr>
        <w:spacing w:line="360" w:lineRule="auto"/>
        <w:jc w:val="both"/>
        <w:rPr>
          <w:rFonts w:asciiTheme="majorBidi" w:hAnsiTheme="majorBidi" w:cstheme="majorBidi"/>
        </w:rPr>
      </w:pPr>
    </w:p>
    <w:p w14:paraId="19FCE818" w14:textId="77777777" w:rsidR="00917A33" w:rsidRDefault="00917A33" w:rsidP="001B2B86">
      <w:pPr>
        <w:spacing w:line="360" w:lineRule="auto"/>
        <w:jc w:val="both"/>
        <w:rPr>
          <w:rFonts w:asciiTheme="majorBidi" w:hAnsiTheme="majorBidi" w:cstheme="majorBidi"/>
        </w:rPr>
      </w:pPr>
    </w:p>
    <w:p w14:paraId="1660A787" w14:textId="77777777" w:rsidR="00917A33" w:rsidRDefault="00917A33" w:rsidP="001B2B86">
      <w:pPr>
        <w:spacing w:line="360" w:lineRule="auto"/>
        <w:jc w:val="both"/>
        <w:rPr>
          <w:rFonts w:asciiTheme="majorBidi" w:hAnsiTheme="majorBidi" w:cstheme="majorBidi"/>
        </w:rPr>
      </w:pPr>
    </w:p>
    <w:p w14:paraId="1507B279" w14:textId="77777777" w:rsidR="00917A33" w:rsidRDefault="00917A33" w:rsidP="001B2B86">
      <w:pPr>
        <w:spacing w:line="360" w:lineRule="auto"/>
        <w:jc w:val="both"/>
        <w:rPr>
          <w:rFonts w:asciiTheme="majorBidi" w:hAnsiTheme="majorBidi" w:cstheme="majorBidi"/>
        </w:rPr>
      </w:pPr>
    </w:p>
    <w:p w14:paraId="635689EC" w14:textId="77777777" w:rsidR="00917A33" w:rsidRDefault="00917A33" w:rsidP="001B2B86">
      <w:pPr>
        <w:spacing w:line="360" w:lineRule="auto"/>
        <w:jc w:val="both"/>
        <w:rPr>
          <w:rFonts w:asciiTheme="majorBidi" w:hAnsiTheme="majorBidi" w:cstheme="majorBidi"/>
        </w:rPr>
      </w:pPr>
    </w:p>
    <w:p w14:paraId="09F604E5" w14:textId="77777777" w:rsidR="00917A33" w:rsidRDefault="00917A33" w:rsidP="001B2B86">
      <w:pPr>
        <w:spacing w:line="360" w:lineRule="auto"/>
        <w:jc w:val="both"/>
        <w:rPr>
          <w:rFonts w:asciiTheme="majorBidi" w:hAnsiTheme="majorBidi" w:cstheme="majorBidi"/>
        </w:rPr>
      </w:pPr>
    </w:p>
    <w:p w14:paraId="46A6AC55" w14:textId="77777777" w:rsidR="00682929" w:rsidRDefault="00682929" w:rsidP="001B2B86">
      <w:pPr>
        <w:spacing w:line="360" w:lineRule="auto"/>
        <w:jc w:val="both"/>
        <w:rPr>
          <w:rFonts w:asciiTheme="majorBidi" w:hAnsiTheme="majorBidi" w:cstheme="majorBidi"/>
        </w:rPr>
      </w:pPr>
    </w:p>
    <w:p w14:paraId="032E0A8E" w14:textId="77777777" w:rsidR="00682929" w:rsidRDefault="00682929" w:rsidP="001B2B86">
      <w:pPr>
        <w:spacing w:line="360" w:lineRule="auto"/>
        <w:jc w:val="both"/>
        <w:rPr>
          <w:rFonts w:asciiTheme="majorBidi" w:hAnsiTheme="majorBidi" w:cstheme="majorBidi"/>
        </w:rPr>
      </w:pPr>
    </w:p>
    <w:p w14:paraId="3E2676B8" w14:textId="77777777" w:rsidR="00917A33" w:rsidRDefault="00917A33" w:rsidP="001B2B86">
      <w:pPr>
        <w:spacing w:line="360" w:lineRule="auto"/>
        <w:jc w:val="both"/>
        <w:rPr>
          <w:rFonts w:asciiTheme="majorBidi" w:hAnsiTheme="majorBidi" w:cstheme="majorBidi"/>
        </w:rPr>
      </w:pPr>
    </w:p>
    <w:p w14:paraId="70B0BA60" w14:textId="77777777" w:rsidR="004C0759" w:rsidRDefault="004C0759" w:rsidP="001B2B86">
      <w:pPr>
        <w:spacing w:line="360" w:lineRule="auto"/>
        <w:jc w:val="both"/>
        <w:rPr>
          <w:rFonts w:asciiTheme="majorBidi" w:hAnsiTheme="majorBidi" w:cstheme="majorBidi"/>
        </w:rPr>
      </w:pPr>
    </w:p>
    <w:p w14:paraId="64A54D27" w14:textId="77777777" w:rsidR="00917A33" w:rsidRPr="00743FCB" w:rsidRDefault="00917A33" w:rsidP="001B2B86">
      <w:pPr>
        <w:spacing w:line="36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9350"/>
      </w:tblGrid>
      <w:tr w:rsidR="004900C1" w:rsidRPr="00743FCB" w14:paraId="11F6ADB6" w14:textId="77777777" w:rsidTr="006A09F6">
        <w:trPr>
          <w:trHeight w:val="265"/>
        </w:trPr>
        <w:tc>
          <w:tcPr>
            <w:tcW w:w="0" w:type="auto"/>
            <w:tcBorders>
              <w:top w:val="single" w:sz="4" w:space="0" w:color="auto"/>
              <w:left w:val="single" w:sz="4" w:space="0" w:color="auto"/>
              <w:bottom w:val="single" w:sz="4" w:space="0" w:color="auto"/>
              <w:right w:val="single" w:sz="4" w:space="0" w:color="auto"/>
            </w:tcBorders>
            <w:hideMark/>
          </w:tcPr>
          <w:p w14:paraId="6BC8D094" w14:textId="77777777" w:rsidR="004900C1" w:rsidRPr="00743FCB" w:rsidRDefault="004900C1" w:rsidP="006A09F6">
            <w:pPr>
              <w:tabs>
                <w:tab w:val="left" w:pos="1382"/>
              </w:tabs>
              <w:spacing w:line="360" w:lineRule="auto"/>
              <w:rPr>
                <w:rFonts w:asciiTheme="majorBidi" w:hAnsiTheme="majorBidi" w:cstheme="majorBidi"/>
                <w:b/>
                <w:bCs/>
              </w:rPr>
            </w:pPr>
            <w:r w:rsidRPr="00743FCB">
              <w:rPr>
                <w:rFonts w:asciiTheme="majorBidi" w:hAnsiTheme="majorBidi" w:cstheme="majorBidi"/>
                <w:b/>
                <w:bCs/>
                <w:i/>
                <w:iCs/>
              </w:rPr>
              <w:lastRenderedPageBreak/>
              <w:t>Appendix Table 1</w:t>
            </w:r>
            <w:r w:rsidRPr="00743FCB">
              <w:rPr>
                <w:rFonts w:asciiTheme="majorBidi" w:hAnsiTheme="majorBidi" w:cstheme="majorBidi"/>
                <w:b/>
                <w:bCs/>
              </w:rPr>
              <w:t xml:space="preserve">. Search strategy </w:t>
            </w:r>
          </w:p>
        </w:tc>
      </w:tr>
      <w:tr w:rsidR="004900C1" w:rsidRPr="00743FCB" w14:paraId="352DCA10" w14:textId="77777777" w:rsidTr="006A09F6">
        <w:trPr>
          <w:trHeight w:val="417"/>
        </w:trPr>
        <w:tc>
          <w:tcPr>
            <w:tcW w:w="0" w:type="auto"/>
            <w:tcBorders>
              <w:top w:val="single" w:sz="4" w:space="0" w:color="auto"/>
              <w:left w:val="single" w:sz="4" w:space="0" w:color="auto"/>
              <w:bottom w:val="single" w:sz="4" w:space="0" w:color="auto"/>
              <w:right w:val="single" w:sz="4" w:space="0" w:color="auto"/>
            </w:tcBorders>
            <w:hideMark/>
          </w:tcPr>
          <w:p w14:paraId="3F72E0FB"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Randomized controlled trial.pt.</w:t>
            </w:r>
          </w:p>
        </w:tc>
      </w:tr>
      <w:tr w:rsidR="004900C1" w:rsidRPr="00743FCB" w14:paraId="74763F7F"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38AD893A"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Controlled clinical trial.pt.</w:t>
            </w:r>
          </w:p>
        </w:tc>
      </w:tr>
      <w:tr w:rsidR="004900C1" w:rsidRPr="00743FCB" w14:paraId="7552B9D5" w14:textId="77777777" w:rsidTr="006A09F6">
        <w:trPr>
          <w:trHeight w:val="457"/>
        </w:trPr>
        <w:tc>
          <w:tcPr>
            <w:tcW w:w="0" w:type="auto"/>
            <w:tcBorders>
              <w:top w:val="single" w:sz="4" w:space="0" w:color="auto"/>
              <w:left w:val="single" w:sz="4" w:space="0" w:color="auto"/>
              <w:bottom w:val="single" w:sz="4" w:space="0" w:color="auto"/>
              <w:right w:val="single" w:sz="4" w:space="0" w:color="auto"/>
            </w:tcBorders>
            <w:hideMark/>
          </w:tcPr>
          <w:p w14:paraId="776EEBA3"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randomized controlled trials/</w:t>
            </w:r>
          </w:p>
        </w:tc>
      </w:tr>
      <w:tr w:rsidR="004900C1" w:rsidRPr="00743FCB" w14:paraId="5B6356F2"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01B016B2"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Random Allocation/</w:t>
            </w:r>
          </w:p>
        </w:tc>
      </w:tr>
      <w:tr w:rsidR="004900C1" w:rsidRPr="00743FCB" w14:paraId="09CE6CA4"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0D0B692C"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Double-blind Method/</w:t>
            </w:r>
          </w:p>
        </w:tc>
      </w:tr>
      <w:tr w:rsidR="004900C1" w:rsidRPr="00743FCB" w14:paraId="2FF4DF1A"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4F2A9722"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Single-Blind Method/</w:t>
            </w:r>
          </w:p>
        </w:tc>
      </w:tr>
      <w:tr w:rsidR="004900C1" w:rsidRPr="00743FCB" w14:paraId="38D2B137" w14:textId="77777777" w:rsidTr="006A09F6">
        <w:trPr>
          <w:trHeight w:val="448"/>
        </w:trPr>
        <w:tc>
          <w:tcPr>
            <w:tcW w:w="0" w:type="auto"/>
            <w:tcBorders>
              <w:top w:val="single" w:sz="4" w:space="0" w:color="auto"/>
              <w:left w:val="single" w:sz="4" w:space="0" w:color="auto"/>
              <w:bottom w:val="single" w:sz="4" w:space="0" w:color="auto"/>
              <w:right w:val="single" w:sz="4" w:space="0" w:color="auto"/>
            </w:tcBorders>
            <w:hideMark/>
          </w:tcPr>
          <w:p w14:paraId="601FA390"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clinical trial.pt</w:t>
            </w:r>
          </w:p>
        </w:tc>
      </w:tr>
      <w:tr w:rsidR="004900C1" w:rsidRPr="00743FCB" w14:paraId="4C879BE4"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05E56606"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 xml:space="preserve">Clinical Trials.mp. or </w:t>
            </w:r>
            <w:proofErr w:type="spellStart"/>
            <w:r w:rsidRPr="00743FCB">
              <w:rPr>
                <w:rFonts w:asciiTheme="majorBidi" w:hAnsiTheme="majorBidi" w:cstheme="majorBidi"/>
              </w:rPr>
              <w:t>exp</w:t>
            </w:r>
            <w:proofErr w:type="spellEnd"/>
            <w:r w:rsidRPr="00743FCB">
              <w:rPr>
                <w:rFonts w:asciiTheme="majorBidi" w:hAnsiTheme="majorBidi" w:cstheme="majorBidi"/>
              </w:rPr>
              <w:t xml:space="preserve"> Clinical Trials/</w:t>
            </w:r>
          </w:p>
        </w:tc>
      </w:tr>
      <w:tr w:rsidR="004900C1" w:rsidRPr="00743FCB" w14:paraId="504746F2"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09745E03"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(clinic$ adj25 trial$).</w:t>
            </w:r>
            <w:proofErr w:type="spellStart"/>
            <w:r w:rsidRPr="00743FCB">
              <w:rPr>
                <w:rFonts w:asciiTheme="majorBidi" w:hAnsiTheme="majorBidi" w:cstheme="majorBidi"/>
              </w:rPr>
              <w:t>tw</w:t>
            </w:r>
            <w:proofErr w:type="spellEnd"/>
            <w:r w:rsidRPr="00743FCB">
              <w:rPr>
                <w:rFonts w:asciiTheme="majorBidi" w:hAnsiTheme="majorBidi" w:cstheme="majorBidi"/>
              </w:rPr>
              <w:t>.</w:t>
            </w:r>
          </w:p>
        </w:tc>
      </w:tr>
      <w:tr w:rsidR="004900C1" w:rsidRPr="00743FCB" w14:paraId="27E4B1EC"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5979920C"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w:t>
            </w:r>
            <w:proofErr w:type="spellStart"/>
            <w:r w:rsidRPr="00743FCB">
              <w:rPr>
                <w:rFonts w:asciiTheme="majorBidi" w:hAnsiTheme="majorBidi" w:cstheme="majorBidi"/>
              </w:rPr>
              <w:t>singl</w:t>
            </w:r>
            <w:proofErr w:type="spellEnd"/>
            <w:r w:rsidRPr="00743FCB">
              <w:rPr>
                <w:rFonts w:asciiTheme="majorBidi" w:hAnsiTheme="majorBidi" w:cstheme="majorBidi"/>
              </w:rPr>
              <w:t xml:space="preserve">$ or </w:t>
            </w:r>
            <w:proofErr w:type="spellStart"/>
            <w:r w:rsidRPr="00743FCB">
              <w:rPr>
                <w:rFonts w:asciiTheme="majorBidi" w:hAnsiTheme="majorBidi" w:cstheme="majorBidi"/>
              </w:rPr>
              <w:t>doubl</w:t>
            </w:r>
            <w:proofErr w:type="spellEnd"/>
            <w:r w:rsidRPr="00743FCB">
              <w:rPr>
                <w:rFonts w:asciiTheme="majorBidi" w:hAnsiTheme="majorBidi" w:cstheme="majorBidi"/>
              </w:rPr>
              <w:t xml:space="preserve">$ or </w:t>
            </w:r>
            <w:proofErr w:type="spellStart"/>
            <w:r w:rsidRPr="00743FCB">
              <w:rPr>
                <w:rFonts w:asciiTheme="majorBidi" w:hAnsiTheme="majorBidi" w:cstheme="majorBidi"/>
              </w:rPr>
              <w:t>trebl</w:t>
            </w:r>
            <w:proofErr w:type="spellEnd"/>
            <w:r w:rsidRPr="00743FCB">
              <w:rPr>
                <w:rFonts w:asciiTheme="majorBidi" w:hAnsiTheme="majorBidi" w:cstheme="majorBidi"/>
              </w:rPr>
              <w:t xml:space="preserve">$ or </w:t>
            </w:r>
            <w:proofErr w:type="spellStart"/>
            <w:r w:rsidRPr="00743FCB">
              <w:rPr>
                <w:rFonts w:asciiTheme="majorBidi" w:hAnsiTheme="majorBidi" w:cstheme="majorBidi"/>
              </w:rPr>
              <w:t>tripl</w:t>
            </w:r>
            <w:proofErr w:type="spellEnd"/>
            <w:r w:rsidRPr="00743FCB">
              <w:rPr>
                <w:rFonts w:asciiTheme="majorBidi" w:hAnsiTheme="majorBidi" w:cstheme="majorBidi"/>
              </w:rPr>
              <w:t xml:space="preserve">$) </w:t>
            </w:r>
            <w:proofErr w:type="spellStart"/>
            <w:r w:rsidRPr="00743FCB">
              <w:rPr>
                <w:rFonts w:asciiTheme="majorBidi" w:hAnsiTheme="majorBidi" w:cstheme="majorBidi"/>
              </w:rPr>
              <w:t>adj</w:t>
            </w:r>
            <w:proofErr w:type="spellEnd"/>
            <w:r w:rsidRPr="00743FCB">
              <w:rPr>
                <w:rFonts w:asciiTheme="majorBidi" w:hAnsiTheme="majorBidi" w:cstheme="majorBidi"/>
              </w:rPr>
              <w:t xml:space="preserve"> (mask$ or blind$)).</w:t>
            </w:r>
            <w:proofErr w:type="spellStart"/>
            <w:r w:rsidRPr="00743FCB">
              <w:rPr>
                <w:rFonts w:asciiTheme="majorBidi" w:hAnsiTheme="majorBidi" w:cstheme="majorBidi"/>
              </w:rPr>
              <w:t>tw</w:t>
            </w:r>
            <w:proofErr w:type="spellEnd"/>
            <w:r w:rsidRPr="00743FCB">
              <w:rPr>
                <w:rFonts w:asciiTheme="majorBidi" w:hAnsiTheme="majorBidi" w:cstheme="majorBidi"/>
              </w:rPr>
              <w:t>.</w:t>
            </w:r>
          </w:p>
        </w:tc>
      </w:tr>
      <w:tr w:rsidR="004900C1" w:rsidRPr="00743FCB" w14:paraId="5BD90F67"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0B8A833A"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Placebos/</w:t>
            </w:r>
          </w:p>
        </w:tc>
      </w:tr>
      <w:tr w:rsidR="004900C1" w:rsidRPr="00743FCB" w14:paraId="354006D3"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3130B943"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placebo$.tw.</w:t>
            </w:r>
          </w:p>
        </w:tc>
      </w:tr>
      <w:tr w:rsidR="004900C1" w:rsidRPr="00743FCB" w14:paraId="1DADF0C8"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74528B11"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random$.tw.</w:t>
            </w:r>
          </w:p>
        </w:tc>
      </w:tr>
      <w:tr w:rsidR="004900C1" w:rsidRPr="00743FCB" w14:paraId="189C41DA"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34FAE7D2"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trial$.tw.</w:t>
            </w:r>
          </w:p>
        </w:tc>
      </w:tr>
      <w:tr w:rsidR="004900C1" w:rsidRPr="00743FCB" w14:paraId="6594F7E5"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3D970483"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(randomized control trial or clinical control trial).sd.</w:t>
            </w:r>
          </w:p>
        </w:tc>
      </w:tr>
      <w:tr w:rsidR="004900C1" w:rsidRPr="00743FCB" w14:paraId="02AF7DE4"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1EF6F205"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w:t>
            </w:r>
            <w:proofErr w:type="spellStart"/>
            <w:r w:rsidRPr="00743FCB">
              <w:rPr>
                <w:rFonts w:asciiTheme="majorBidi" w:hAnsiTheme="majorBidi" w:cstheme="majorBidi"/>
              </w:rPr>
              <w:t>latin</w:t>
            </w:r>
            <w:proofErr w:type="spellEnd"/>
            <w:r w:rsidRPr="00743FCB">
              <w:rPr>
                <w:rFonts w:asciiTheme="majorBidi" w:hAnsiTheme="majorBidi" w:cstheme="majorBidi"/>
              </w:rPr>
              <w:t xml:space="preserve"> </w:t>
            </w:r>
            <w:proofErr w:type="spellStart"/>
            <w:r w:rsidRPr="00743FCB">
              <w:rPr>
                <w:rFonts w:asciiTheme="majorBidi" w:hAnsiTheme="majorBidi" w:cstheme="majorBidi"/>
              </w:rPr>
              <w:t>adj</w:t>
            </w:r>
            <w:proofErr w:type="spellEnd"/>
            <w:r w:rsidRPr="00743FCB">
              <w:rPr>
                <w:rFonts w:asciiTheme="majorBidi" w:hAnsiTheme="majorBidi" w:cstheme="majorBidi"/>
              </w:rPr>
              <w:t xml:space="preserve"> square).</w:t>
            </w:r>
            <w:proofErr w:type="spellStart"/>
            <w:r w:rsidRPr="00743FCB">
              <w:rPr>
                <w:rFonts w:asciiTheme="majorBidi" w:hAnsiTheme="majorBidi" w:cstheme="majorBidi"/>
              </w:rPr>
              <w:t>tw</w:t>
            </w:r>
            <w:proofErr w:type="spellEnd"/>
            <w:r w:rsidRPr="00743FCB">
              <w:rPr>
                <w:rFonts w:asciiTheme="majorBidi" w:hAnsiTheme="majorBidi" w:cstheme="majorBidi"/>
              </w:rPr>
              <w:t>.</w:t>
            </w:r>
          </w:p>
        </w:tc>
      </w:tr>
      <w:tr w:rsidR="004900C1" w:rsidRPr="00743FCB" w14:paraId="5D001A33"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217D3FAA"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Comparative Study.tw. or Comparative Study.pt.</w:t>
            </w:r>
          </w:p>
        </w:tc>
      </w:tr>
      <w:tr w:rsidR="004900C1" w:rsidRPr="00743FCB" w14:paraId="7DA913BC"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67FA0545"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proofErr w:type="spellStart"/>
            <w:r w:rsidRPr="00743FCB">
              <w:rPr>
                <w:rFonts w:asciiTheme="majorBidi" w:hAnsiTheme="majorBidi" w:cstheme="majorBidi"/>
              </w:rPr>
              <w:t>exp</w:t>
            </w:r>
            <w:proofErr w:type="spellEnd"/>
            <w:r w:rsidRPr="00743FCB">
              <w:rPr>
                <w:rFonts w:asciiTheme="majorBidi" w:hAnsiTheme="majorBidi" w:cstheme="majorBidi"/>
              </w:rPr>
              <w:t xml:space="preserve"> Evaluation studies/</w:t>
            </w:r>
          </w:p>
        </w:tc>
      </w:tr>
      <w:tr w:rsidR="004900C1" w:rsidRPr="00743FCB" w14:paraId="3F7DC602"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5A67142C"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Follow-Up Studies/</w:t>
            </w:r>
          </w:p>
        </w:tc>
      </w:tr>
      <w:tr w:rsidR="004900C1" w:rsidRPr="00743FCB" w14:paraId="519B6EED"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57221564"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Prospective Studies/</w:t>
            </w:r>
          </w:p>
        </w:tc>
      </w:tr>
      <w:tr w:rsidR="004900C1" w:rsidRPr="00743FCB" w14:paraId="0DB35CAA"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52FB4C85"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 xml:space="preserve">(control$ or </w:t>
            </w:r>
            <w:proofErr w:type="spellStart"/>
            <w:r w:rsidRPr="00743FCB">
              <w:rPr>
                <w:rFonts w:asciiTheme="majorBidi" w:hAnsiTheme="majorBidi" w:cstheme="majorBidi"/>
              </w:rPr>
              <w:t>prospectiv</w:t>
            </w:r>
            <w:proofErr w:type="spellEnd"/>
            <w:r w:rsidRPr="00743FCB">
              <w:rPr>
                <w:rFonts w:asciiTheme="majorBidi" w:hAnsiTheme="majorBidi" w:cstheme="majorBidi"/>
              </w:rPr>
              <w:t>$ or volunteer$).</w:t>
            </w:r>
            <w:proofErr w:type="spellStart"/>
            <w:r w:rsidRPr="00743FCB">
              <w:rPr>
                <w:rFonts w:asciiTheme="majorBidi" w:hAnsiTheme="majorBidi" w:cstheme="majorBidi"/>
              </w:rPr>
              <w:t>tw</w:t>
            </w:r>
            <w:proofErr w:type="spellEnd"/>
            <w:r w:rsidRPr="00743FCB">
              <w:rPr>
                <w:rFonts w:asciiTheme="majorBidi" w:hAnsiTheme="majorBidi" w:cstheme="majorBidi"/>
              </w:rPr>
              <w:t>.</w:t>
            </w:r>
          </w:p>
        </w:tc>
      </w:tr>
      <w:tr w:rsidR="004900C1" w:rsidRPr="00743FCB" w14:paraId="76F65B36"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34F6B123"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Cross-Over Studies/</w:t>
            </w:r>
          </w:p>
        </w:tc>
      </w:tr>
      <w:tr w:rsidR="004900C1" w:rsidRPr="00743FCB" w14:paraId="3F410A74"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64161C1A"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or/1-22</w:t>
            </w:r>
          </w:p>
        </w:tc>
      </w:tr>
      <w:tr w:rsidR="004900C1" w:rsidRPr="00743FCB" w14:paraId="186540B5"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3D3AEB64"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w:t>
            </w:r>
            <w:proofErr w:type="spellStart"/>
            <w:r w:rsidRPr="00743FCB">
              <w:rPr>
                <w:rFonts w:asciiTheme="majorBidi" w:hAnsiTheme="majorBidi" w:cstheme="majorBidi"/>
              </w:rPr>
              <w:t>ivabradine</w:t>
            </w:r>
            <w:proofErr w:type="spellEnd"/>
            <w:r w:rsidRPr="00743FCB">
              <w:rPr>
                <w:rFonts w:asciiTheme="majorBidi" w:hAnsiTheme="majorBidi" w:cstheme="majorBidi"/>
              </w:rPr>
              <w:t>).</w:t>
            </w:r>
            <w:proofErr w:type="spellStart"/>
            <w:r w:rsidRPr="00743FCB">
              <w:rPr>
                <w:rFonts w:asciiTheme="majorBidi" w:hAnsiTheme="majorBidi" w:cstheme="majorBidi"/>
              </w:rPr>
              <w:t>af</w:t>
            </w:r>
            <w:proofErr w:type="spellEnd"/>
            <w:r w:rsidRPr="00743FCB">
              <w:rPr>
                <w:rFonts w:asciiTheme="majorBidi" w:hAnsiTheme="majorBidi" w:cstheme="majorBidi"/>
              </w:rPr>
              <w:t>.</w:t>
            </w:r>
          </w:p>
        </w:tc>
      </w:tr>
      <w:tr w:rsidR="004900C1" w:rsidRPr="00743FCB" w14:paraId="0DFCBDCD" w14:textId="77777777" w:rsidTr="006A09F6">
        <w:trPr>
          <w:trHeight w:val="440"/>
        </w:trPr>
        <w:tc>
          <w:tcPr>
            <w:tcW w:w="0" w:type="auto"/>
            <w:tcBorders>
              <w:top w:val="single" w:sz="4" w:space="0" w:color="auto"/>
              <w:left w:val="single" w:sz="4" w:space="0" w:color="auto"/>
              <w:bottom w:val="single" w:sz="4" w:space="0" w:color="auto"/>
              <w:right w:val="single" w:sz="4" w:space="0" w:color="auto"/>
            </w:tcBorders>
            <w:hideMark/>
          </w:tcPr>
          <w:p w14:paraId="7F703060"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w:t>
            </w:r>
            <w:proofErr w:type="spellStart"/>
            <w:r w:rsidRPr="00743FCB">
              <w:rPr>
                <w:rFonts w:asciiTheme="majorBidi" w:hAnsiTheme="majorBidi" w:cstheme="majorBidi"/>
              </w:rPr>
              <w:t>Procoralan</w:t>
            </w:r>
            <w:proofErr w:type="spellEnd"/>
            <w:r w:rsidRPr="00743FCB">
              <w:rPr>
                <w:rFonts w:asciiTheme="majorBidi" w:hAnsiTheme="majorBidi" w:cstheme="majorBidi"/>
              </w:rPr>
              <w:t xml:space="preserve"> or </w:t>
            </w:r>
            <w:proofErr w:type="spellStart"/>
            <w:r w:rsidRPr="00743FCB">
              <w:rPr>
                <w:rFonts w:asciiTheme="majorBidi" w:hAnsiTheme="majorBidi" w:cstheme="majorBidi"/>
              </w:rPr>
              <w:t>Corlentor</w:t>
            </w:r>
            <w:proofErr w:type="spellEnd"/>
            <w:r w:rsidRPr="00743FCB">
              <w:rPr>
                <w:rFonts w:asciiTheme="majorBidi" w:hAnsiTheme="majorBidi" w:cstheme="majorBidi"/>
              </w:rPr>
              <w:t xml:space="preserve"> or </w:t>
            </w:r>
            <w:proofErr w:type="spellStart"/>
            <w:r w:rsidRPr="00743FCB">
              <w:rPr>
                <w:rFonts w:asciiTheme="majorBidi" w:hAnsiTheme="majorBidi" w:cstheme="majorBidi"/>
              </w:rPr>
              <w:t>Coraxan</w:t>
            </w:r>
            <w:proofErr w:type="spellEnd"/>
            <w:r w:rsidRPr="00743FCB">
              <w:rPr>
                <w:rFonts w:asciiTheme="majorBidi" w:hAnsiTheme="majorBidi" w:cstheme="majorBidi"/>
              </w:rPr>
              <w:t xml:space="preserve"> or </w:t>
            </w:r>
            <w:proofErr w:type="spellStart"/>
            <w:r w:rsidRPr="00743FCB">
              <w:rPr>
                <w:rFonts w:asciiTheme="majorBidi" w:hAnsiTheme="majorBidi" w:cstheme="majorBidi"/>
              </w:rPr>
              <w:t>Coralan</w:t>
            </w:r>
            <w:proofErr w:type="spellEnd"/>
            <w:r w:rsidRPr="00743FCB">
              <w:rPr>
                <w:rFonts w:asciiTheme="majorBidi" w:hAnsiTheme="majorBidi" w:cstheme="majorBidi"/>
              </w:rPr>
              <w:t xml:space="preserve"> or </w:t>
            </w:r>
            <w:proofErr w:type="spellStart"/>
            <w:proofErr w:type="gramStart"/>
            <w:r w:rsidRPr="00743FCB">
              <w:rPr>
                <w:rFonts w:asciiTheme="majorBidi" w:hAnsiTheme="majorBidi" w:cstheme="majorBidi"/>
              </w:rPr>
              <w:t>Procoralan</w:t>
            </w:r>
            <w:proofErr w:type="spellEnd"/>
            <w:r w:rsidRPr="00743FCB">
              <w:rPr>
                <w:rFonts w:asciiTheme="majorBidi" w:hAnsiTheme="majorBidi" w:cstheme="majorBidi"/>
              </w:rPr>
              <w:t xml:space="preserve">  or</w:t>
            </w:r>
            <w:proofErr w:type="gramEnd"/>
            <w:r w:rsidRPr="00743FCB">
              <w:rPr>
                <w:rFonts w:asciiTheme="majorBidi" w:hAnsiTheme="majorBidi" w:cstheme="majorBidi"/>
              </w:rPr>
              <w:t xml:space="preserve"> </w:t>
            </w:r>
            <w:proofErr w:type="spellStart"/>
            <w:r w:rsidRPr="00743FCB">
              <w:rPr>
                <w:rFonts w:asciiTheme="majorBidi" w:hAnsiTheme="majorBidi" w:cstheme="majorBidi"/>
              </w:rPr>
              <w:t>Coralan</w:t>
            </w:r>
            <w:proofErr w:type="spellEnd"/>
            <w:r w:rsidRPr="00743FCB">
              <w:rPr>
                <w:rFonts w:asciiTheme="majorBidi" w:hAnsiTheme="majorBidi" w:cstheme="majorBidi"/>
              </w:rPr>
              <w:t>).</w:t>
            </w:r>
            <w:proofErr w:type="spellStart"/>
            <w:r w:rsidRPr="00743FCB">
              <w:rPr>
                <w:rFonts w:asciiTheme="majorBidi" w:hAnsiTheme="majorBidi" w:cstheme="majorBidi"/>
              </w:rPr>
              <w:t>af</w:t>
            </w:r>
            <w:proofErr w:type="spellEnd"/>
            <w:r w:rsidRPr="00743FCB">
              <w:rPr>
                <w:rFonts w:asciiTheme="majorBidi" w:hAnsiTheme="majorBidi" w:cstheme="majorBidi"/>
              </w:rPr>
              <w:t>.</w:t>
            </w:r>
          </w:p>
        </w:tc>
      </w:tr>
      <w:tr w:rsidR="004900C1" w:rsidRPr="00743FCB" w14:paraId="02FD7281" w14:textId="77777777" w:rsidTr="006A09F6">
        <w:trPr>
          <w:trHeight w:val="449"/>
        </w:trPr>
        <w:tc>
          <w:tcPr>
            <w:tcW w:w="0" w:type="auto"/>
            <w:tcBorders>
              <w:top w:val="single" w:sz="4" w:space="0" w:color="auto"/>
              <w:left w:val="single" w:sz="4" w:space="0" w:color="auto"/>
              <w:bottom w:val="single" w:sz="4" w:space="0" w:color="auto"/>
              <w:right w:val="single" w:sz="4" w:space="0" w:color="auto"/>
            </w:tcBorders>
            <w:hideMark/>
          </w:tcPr>
          <w:p w14:paraId="340A1CBE"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S-16257 or S-15544 or S-16257-2 or S-16260.af.</w:t>
            </w:r>
          </w:p>
        </w:tc>
      </w:tr>
      <w:tr w:rsidR="004900C1" w:rsidRPr="00743FCB" w14:paraId="3A071170"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501E6B4C"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rPr>
            </w:pPr>
            <w:r w:rsidRPr="00743FCB">
              <w:rPr>
                <w:rFonts w:asciiTheme="majorBidi" w:hAnsiTheme="majorBidi" w:cstheme="majorBidi"/>
              </w:rPr>
              <w:t>Selective inhibitor of cardiac If channels.af.</w:t>
            </w:r>
          </w:p>
        </w:tc>
      </w:tr>
      <w:tr w:rsidR="004900C1" w:rsidRPr="00743FCB" w14:paraId="4F3B7489"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3C34C377"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or/24-27</w:t>
            </w:r>
          </w:p>
        </w:tc>
      </w:tr>
      <w:tr w:rsidR="004900C1" w:rsidRPr="00743FCB" w14:paraId="129D5098" w14:textId="77777777" w:rsidTr="006A09F6">
        <w:trPr>
          <w:trHeight w:val="397"/>
        </w:trPr>
        <w:tc>
          <w:tcPr>
            <w:tcW w:w="0" w:type="auto"/>
            <w:tcBorders>
              <w:top w:val="single" w:sz="4" w:space="0" w:color="auto"/>
              <w:left w:val="single" w:sz="4" w:space="0" w:color="auto"/>
              <w:bottom w:val="single" w:sz="4" w:space="0" w:color="auto"/>
              <w:right w:val="single" w:sz="4" w:space="0" w:color="auto"/>
            </w:tcBorders>
            <w:hideMark/>
          </w:tcPr>
          <w:p w14:paraId="36F29079"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t>Heart failure.af.</w:t>
            </w:r>
          </w:p>
        </w:tc>
      </w:tr>
      <w:tr w:rsidR="004900C1" w:rsidRPr="00743FCB" w14:paraId="2F19250D" w14:textId="77777777" w:rsidTr="006A09F6">
        <w:trPr>
          <w:trHeight w:val="812"/>
        </w:trPr>
        <w:tc>
          <w:tcPr>
            <w:tcW w:w="0" w:type="auto"/>
            <w:tcBorders>
              <w:top w:val="single" w:sz="4" w:space="0" w:color="auto"/>
              <w:left w:val="single" w:sz="4" w:space="0" w:color="auto"/>
              <w:bottom w:val="single" w:sz="4" w:space="0" w:color="auto"/>
              <w:right w:val="single" w:sz="4" w:space="0" w:color="auto"/>
            </w:tcBorders>
            <w:hideMark/>
          </w:tcPr>
          <w:p w14:paraId="38299A81"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rPr>
              <w:lastRenderedPageBreak/>
              <w:t>Low ejection fraction or Left ventricular ejection fraction (LVEF) or reduced ejection fraction (</w:t>
            </w:r>
            <w:proofErr w:type="spellStart"/>
            <w:r w:rsidRPr="00743FCB">
              <w:rPr>
                <w:rFonts w:asciiTheme="majorBidi" w:hAnsiTheme="majorBidi" w:cstheme="majorBidi"/>
              </w:rPr>
              <w:t>HFrEF</w:t>
            </w:r>
            <w:proofErr w:type="spellEnd"/>
            <w:r w:rsidRPr="00743FCB">
              <w:rPr>
                <w:rFonts w:asciiTheme="majorBidi" w:hAnsiTheme="majorBidi" w:cstheme="majorBidi"/>
              </w:rPr>
              <w:t>) or Preserved ejection fraction (</w:t>
            </w:r>
            <w:proofErr w:type="spellStart"/>
            <w:r w:rsidRPr="00743FCB">
              <w:rPr>
                <w:rFonts w:asciiTheme="majorBidi" w:hAnsiTheme="majorBidi" w:cstheme="majorBidi"/>
              </w:rPr>
              <w:t>HFpEF</w:t>
            </w:r>
            <w:proofErr w:type="spellEnd"/>
            <w:r w:rsidRPr="00743FCB">
              <w:rPr>
                <w:rFonts w:asciiTheme="majorBidi" w:hAnsiTheme="majorBidi" w:cstheme="majorBidi"/>
              </w:rPr>
              <w:t>) .</w:t>
            </w:r>
            <w:proofErr w:type="spellStart"/>
            <w:r w:rsidRPr="00743FCB">
              <w:rPr>
                <w:rFonts w:asciiTheme="majorBidi" w:hAnsiTheme="majorBidi" w:cstheme="majorBidi"/>
              </w:rPr>
              <w:t>af</w:t>
            </w:r>
            <w:proofErr w:type="spellEnd"/>
            <w:r w:rsidRPr="00743FCB">
              <w:rPr>
                <w:rFonts w:asciiTheme="majorBidi" w:hAnsiTheme="majorBidi" w:cstheme="majorBidi"/>
              </w:rPr>
              <w:t xml:space="preserve">. </w:t>
            </w:r>
          </w:p>
        </w:tc>
      </w:tr>
      <w:tr w:rsidR="004900C1" w:rsidRPr="00743FCB" w14:paraId="43F41BDC" w14:textId="77777777" w:rsidTr="006A09F6">
        <w:trPr>
          <w:trHeight w:val="414"/>
        </w:trPr>
        <w:tc>
          <w:tcPr>
            <w:tcW w:w="0" w:type="auto"/>
            <w:tcBorders>
              <w:top w:val="single" w:sz="4" w:space="0" w:color="auto"/>
              <w:left w:val="single" w:sz="4" w:space="0" w:color="auto"/>
              <w:bottom w:val="single" w:sz="4" w:space="0" w:color="auto"/>
              <w:right w:val="single" w:sz="4" w:space="0" w:color="auto"/>
            </w:tcBorders>
            <w:hideMark/>
          </w:tcPr>
          <w:p w14:paraId="72AF238F" w14:textId="77777777" w:rsidR="004900C1" w:rsidRPr="00743FCB" w:rsidRDefault="004900C1" w:rsidP="004900C1">
            <w:pPr>
              <w:pStyle w:val="ListParagraph"/>
              <w:numPr>
                <w:ilvl w:val="0"/>
                <w:numId w:val="3"/>
              </w:numPr>
              <w:tabs>
                <w:tab w:val="left" w:pos="1382"/>
                <w:tab w:val="right" w:pos="8640"/>
              </w:tabs>
              <w:spacing w:line="360" w:lineRule="auto"/>
              <w:rPr>
                <w:rFonts w:asciiTheme="majorBidi" w:hAnsiTheme="majorBidi" w:cstheme="majorBidi"/>
                <w:b/>
                <w:bCs/>
              </w:rPr>
            </w:pPr>
            <w:r w:rsidRPr="00743FCB">
              <w:rPr>
                <w:rFonts w:asciiTheme="majorBidi" w:hAnsiTheme="majorBidi" w:cstheme="majorBidi"/>
                <w:b/>
                <w:bCs/>
              </w:rPr>
              <w:t>29 or 30</w:t>
            </w:r>
          </w:p>
        </w:tc>
      </w:tr>
    </w:tbl>
    <w:p w14:paraId="092E60A8" w14:textId="77777777" w:rsidR="004900C1" w:rsidRPr="00743FCB" w:rsidRDefault="004900C1" w:rsidP="001B2B86">
      <w:pPr>
        <w:spacing w:line="360" w:lineRule="auto"/>
        <w:jc w:val="both"/>
        <w:rPr>
          <w:rFonts w:asciiTheme="majorBidi" w:hAnsiTheme="majorBidi" w:cstheme="majorBidi"/>
        </w:rPr>
      </w:pPr>
    </w:p>
    <w:p w14:paraId="5817BD8C" w14:textId="77777777" w:rsidR="001B2B86" w:rsidRPr="00743FCB" w:rsidRDefault="001B2B86" w:rsidP="001B2B86">
      <w:pPr>
        <w:widowControl w:val="0"/>
        <w:autoSpaceDE w:val="0"/>
        <w:autoSpaceDN w:val="0"/>
        <w:adjustRightInd w:val="0"/>
        <w:rPr>
          <w:rFonts w:asciiTheme="majorBidi" w:hAnsiTheme="majorBidi" w:cstheme="majorBidi"/>
        </w:rPr>
      </w:pPr>
    </w:p>
    <w:p w14:paraId="21CF990D" w14:textId="77777777" w:rsidR="00A2426C" w:rsidRPr="00743FCB" w:rsidRDefault="00A2426C" w:rsidP="00D109F7">
      <w:pPr>
        <w:widowControl w:val="0"/>
        <w:autoSpaceDE w:val="0"/>
        <w:autoSpaceDN w:val="0"/>
        <w:adjustRightInd w:val="0"/>
        <w:rPr>
          <w:rFonts w:asciiTheme="majorBidi" w:hAnsiTheme="majorBidi" w:cstheme="majorBidi"/>
        </w:rPr>
      </w:pPr>
    </w:p>
    <w:p w14:paraId="4D57899F" w14:textId="77777777" w:rsidR="004900C1" w:rsidRPr="00743FCB" w:rsidRDefault="005C5B3A" w:rsidP="00D109F7">
      <w:pPr>
        <w:widowControl w:val="0"/>
        <w:autoSpaceDE w:val="0"/>
        <w:autoSpaceDN w:val="0"/>
        <w:adjustRightInd w:val="0"/>
        <w:rPr>
          <w:rFonts w:asciiTheme="majorBidi" w:hAnsiTheme="majorBidi" w:cstheme="majorBidi"/>
        </w:rPr>
      </w:pPr>
      <w:r w:rsidRPr="00743FCB">
        <w:rPr>
          <w:rFonts w:asciiTheme="majorBidi" w:hAnsiTheme="majorBidi" w:cstheme="majorBidi"/>
        </w:rPr>
        <w:t xml:space="preserve"> </w:t>
      </w:r>
    </w:p>
    <w:tbl>
      <w:tblPr>
        <w:tblStyle w:val="GridTable1Light1"/>
        <w:tblW w:w="5000" w:type="pct"/>
        <w:tblLook w:val="04A0" w:firstRow="1" w:lastRow="0" w:firstColumn="1" w:lastColumn="0" w:noHBand="0" w:noVBand="1"/>
      </w:tblPr>
      <w:tblGrid>
        <w:gridCol w:w="1550"/>
        <w:gridCol w:w="3895"/>
        <w:gridCol w:w="3905"/>
      </w:tblGrid>
      <w:tr w:rsidR="004900C1" w:rsidRPr="00743FCB" w14:paraId="785DC2A0" w14:textId="77777777" w:rsidTr="006A09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999999" w:themeColor="text1" w:themeTint="66"/>
              <w:left w:val="single" w:sz="4" w:space="0" w:color="999999" w:themeColor="text1" w:themeTint="66"/>
              <w:right w:val="single" w:sz="4" w:space="0" w:color="999999" w:themeColor="text1" w:themeTint="66"/>
            </w:tcBorders>
            <w:hideMark/>
          </w:tcPr>
          <w:p w14:paraId="32476796" w14:textId="77777777" w:rsidR="004900C1" w:rsidRPr="00743FCB" w:rsidRDefault="004900C1" w:rsidP="006A09F6">
            <w:pPr>
              <w:tabs>
                <w:tab w:val="left" w:pos="360"/>
              </w:tabs>
              <w:spacing w:after="200" w:line="360" w:lineRule="auto"/>
              <w:rPr>
                <w:rFonts w:asciiTheme="majorBidi" w:hAnsiTheme="majorBidi" w:cstheme="majorBidi"/>
              </w:rPr>
            </w:pPr>
            <w:proofErr w:type="spellStart"/>
            <w:r w:rsidRPr="00743FCB">
              <w:rPr>
                <w:rFonts w:asciiTheme="majorBidi" w:hAnsiTheme="majorBidi" w:cstheme="majorBidi"/>
                <w:i/>
                <w:iCs/>
              </w:rPr>
              <w:t>Appendex</w:t>
            </w:r>
            <w:proofErr w:type="spellEnd"/>
            <w:r w:rsidRPr="00743FCB">
              <w:rPr>
                <w:rFonts w:asciiTheme="majorBidi" w:hAnsiTheme="majorBidi" w:cstheme="majorBidi"/>
                <w:i/>
                <w:iCs/>
              </w:rPr>
              <w:t xml:space="preserve"> Table 2</w:t>
            </w:r>
            <w:r w:rsidRPr="00743FCB">
              <w:rPr>
                <w:rFonts w:asciiTheme="majorBidi" w:hAnsiTheme="majorBidi" w:cstheme="majorBidi"/>
              </w:rPr>
              <w:t>. Criteria for inclusion/exclusion of studies in the review</w:t>
            </w:r>
          </w:p>
        </w:tc>
      </w:tr>
      <w:tr w:rsidR="004900C1" w:rsidRPr="00743FCB" w14:paraId="2A2A8E43"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82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0006BDC" w14:textId="77777777" w:rsidR="004900C1" w:rsidRPr="00743FCB" w:rsidRDefault="004900C1" w:rsidP="006A09F6">
            <w:pPr>
              <w:pStyle w:val="ListParagraph"/>
              <w:spacing w:line="360" w:lineRule="auto"/>
              <w:ind w:left="0"/>
              <w:rPr>
                <w:rFonts w:asciiTheme="majorBidi" w:hAnsiTheme="majorBidi" w:cstheme="majorBidi"/>
              </w:rPr>
            </w:pP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36BAF3" w14:textId="77777777" w:rsidR="004900C1" w:rsidRPr="00743FCB" w:rsidRDefault="004900C1" w:rsidP="006A09F6">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3FCB">
              <w:rPr>
                <w:rFonts w:asciiTheme="majorBidi" w:hAnsiTheme="majorBidi" w:cstheme="majorBidi"/>
                <w:b/>
              </w:rPr>
              <w:t xml:space="preserve">Description </w:t>
            </w:r>
          </w:p>
        </w:tc>
        <w:tc>
          <w:tcPr>
            <w:tcW w:w="208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AEE8ED" w14:textId="77777777" w:rsidR="004900C1" w:rsidRPr="00743FCB" w:rsidRDefault="004900C1" w:rsidP="006A09F6">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743FCB">
              <w:rPr>
                <w:rFonts w:asciiTheme="majorBidi" w:hAnsiTheme="majorBidi" w:cstheme="majorBidi"/>
                <w:b/>
              </w:rPr>
              <w:t>Comments</w:t>
            </w:r>
          </w:p>
        </w:tc>
      </w:tr>
      <w:tr w:rsidR="004900C1" w:rsidRPr="00743FCB" w14:paraId="3D5F7F08"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82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A062BA" w14:textId="77777777" w:rsidR="004900C1" w:rsidRPr="00743FCB" w:rsidRDefault="004900C1" w:rsidP="006A09F6">
            <w:pPr>
              <w:pStyle w:val="ListParagraph"/>
              <w:spacing w:line="360" w:lineRule="auto"/>
              <w:ind w:left="0"/>
              <w:rPr>
                <w:rFonts w:asciiTheme="majorBidi" w:hAnsiTheme="majorBidi" w:cstheme="majorBidi"/>
              </w:rPr>
            </w:pPr>
            <w:r w:rsidRPr="00743FCB">
              <w:rPr>
                <w:rFonts w:asciiTheme="majorBidi" w:hAnsiTheme="majorBidi" w:cstheme="majorBidi"/>
              </w:rPr>
              <w:t>Population</w:t>
            </w: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F850DC"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 xml:space="preserve">All Heart failure patients with or without low ejection fraction </w:t>
            </w:r>
          </w:p>
        </w:tc>
        <w:tc>
          <w:tcPr>
            <w:tcW w:w="208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D42F936"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No age restriction will be applied</w:t>
            </w:r>
          </w:p>
        </w:tc>
      </w:tr>
      <w:tr w:rsidR="004900C1" w:rsidRPr="00743FCB" w14:paraId="1FF04887"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82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993DD6" w14:textId="77777777" w:rsidR="004900C1" w:rsidRPr="00743FCB" w:rsidRDefault="004900C1" w:rsidP="006A09F6">
            <w:pPr>
              <w:pStyle w:val="ListParagraph"/>
              <w:spacing w:line="360" w:lineRule="auto"/>
              <w:ind w:left="0"/>
              <w:rPr>
                <w:rFonts w:asciiTheme="majorBidi" w:hAnsiTheme="majorBidi" w:cstheme="majorBidi"/>
              </w:rPr>
            </w:pPr>
            <w:r w:rsidRPr="00743FCB">
              <w:rPr>
                <w:rFonts w:asciiTheme="majorBidi" w:hAnsiTheme="majorBidi" w:cstheme="majorBidi"/>
              </w:rPr>
              <w:t>Intervention</w:t>
            </w: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E5EBBE"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 xml:space="preserve">Ivabradine </w:t>
            </w:r>
          </w:p>
        </w:tc>
        <w:tc>
          <w:tcPr>
            <w:tcW w:w="208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91D049"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 xml:space="preserve">We plan to include studies on </w:t>
            </w:r>
            <w:proofErr w:type="spellStart"/>
            <w:r w:rsidRPr="00743FCB">
              <w:rPr>
                <w:rFonts w:asciiTheme="majorBidi" w:hAnsiTheme="majorBidi" w:cstheme="majorBidi"/>
              </w:rPr>
              <w:t>ivabradine</w:t>
            </w:r>
            <w:proofErr w:type="spellEnd"/>
            <w:r w:rsidRPr="00743FCB">
              <w:rPr>
                <w:rFonts w:asciiTheme="majorBidi" w:hAnsiTheme="majorBidi" w:cstheme="majorBidi"/>
              </w:rPr>
              <w:t xml:space="preserve"> alone or in combination with other agents for heart failure management</w:t>
            </w:r>
          </w:p>
        </w:tc>
      </w:tr>
      <w:tr w:rsidR="004900C1" w:rsidRPr="00743FCB" w14:paraId="57E0DDFC"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82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1B2BDF" w14:textId="77777777" w:rsidR="004900C1" w:rsidRPr="00743FCB" w:rsidRDefault="004900C1" w:rsidP="006A09F6">
            <w:pPr>
              <w:pStyle w:val="ListParagraph"/>
              <w:spacing w:line="360" w:lineRule="auto"/>
              <w:ind w:left="0"/>
              <w:rPr>
                <w:rFonts w:asciiTheme="majorBidi" w:hAnsiTheme="majorBidi" w:cstheme="majorBidi"/>
              </w:rPr>
            </w:pPr>
            <w:r w:rsidRPr="00743FCB">
              <w:rPr>
                <w:rFonts w:asciiTheme="majorBidi" w:hAnsiTheme="majorBidi" w:cstheme="majorBidi"/>
              </w:rPr>
              <w:t>Comparator</w:t>
            </w: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6EF922" w14:textId="384BAE79" w:rsidR="004900C1" w:rsidRPr="00743FCB" w:rsidRDefault="003B35F7"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control</w:t>
            </w:r>
          </w:p>
        </w:tc>
        <w:tc>
          <w:tcPr>
            <w:tcW w:w="208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584F23" w14:textId="73F91C05"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 xml:space="preserve">Either </w:t>
            </w:r>
            <w:r w:rsidR="003B35F7">
              <w:rPr>
                <w:rFonts w:asciiTheme="majorBidi" w:hAnsiTheme="majorBidi" w:cstheme="majorBidi"/>
              </w:rPr>
              <w:t>control</w:t>
            </w:r>
            <w:r w:rsidR="003B35F7" w:rsidRPr="00743FCB">
              <w:rPr>
                <w:rFonts w:asciiTheme="majorBidi" w:hAnsiTheme="majorBidi" w:cstheme="majorBidi"/>
              </w:rPr>
              <w:t xml:space="preserve"> </w:t>
            </w:r>
            <w:r w:rsidRPr="00743FCB">
              <w:rPr>
                <w:rFonts w:asciiTheme="majorBidi" w:hAnsiTheme="majorBidi" w:cstheme="majorBidi"/>
              </w:rPr>
              <w:t>alone or in combination with other agents for heart failure management</w:t>
            </w:r>
          </w:p>
        </w:tc>
      </w:tr>
      <w:tr w:rsidR="004900C1" w:rsidRPr="00743FCB" w14:paraId="5D473204"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829" w:type="pct"/>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B0F884" w14:textId="77777777" w:rsidR="004900C1" w:rsidRPr="00743FCB" w:rsidRDefault="004900C1" w:rsidP="006A09F6">
            <w:pPr>
              <w:pStyle w:val="ListParagraph"/>
              <w:spacing w:line="360" w:lineRule="auto"/>
              <w:ind w:left="0"/>
              <w:rPr>
                <w:rFonts w:asciiTheme="majorBidi" w:hAnsiTheme="majorBidi" w:cstheme="majorBidi"/>
              </w:rPr>
            </w:pPr>
            <w:r w:rsidRPr="00743FCB">
              <w:rPr>
                <w:rFonts w:asciiTheme="majorBidi" w:hAnsiTheme="majorBidi" w:cstheme="majorBidi"/>
              </w:rPr>
              <w:t>Outcomes</w:t>
            </w: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3AD656"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Benefits:</w:t>
            </w:r>
          </w:p>
          <w:p w14:paraId="343DA125"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 xml:space="preserve">Primary outcomes: all- cause mortality, cardiovascular mortality, cardiac death, admission to hospital for new onset or worsening heart failure. </w:t>
            </w:r>
          </w:p>
          <w:p w14:paraId="3B5BE49B"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Secondary outcomes: resting HR from baseline till end of follow-up, change in NYHA functional class, LVEF, and concentrations of plasma B-type natriuretic peptide (BNP)</w:t>
            </w:r>
            <w:r w:rsidRPr="00743FCB" w:rsidDel="00471DFA">
              <w:rPr>
                <w:rFonts w:asciiTheme="majorBidi" w:hAnsiTheme="majorBidi" w:cstheme="majorBidi"/>
              </w:rPr>
              <w:t xml:space="preserve"> </w:t>
            </w:r>
          </w:p>
        </w:tc>
        <w:tc>
          <w:tcPr>
            <w:tcW w:w="2088" w:type="pct"/>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F5DD1D2"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4900C1" w:rsidRPr="00743FCB" w14:paraId="5633E5ED"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569D4C" w14:textId="77777777" w:rsidR="004900C1" w:rsidRPr="00743FCB" w:rsidRDefault="004900C1" w:rsidP="006A09F6">
            <w:pPr>
              <w:spacing w:line="360" w:lineRule="auto"/>
              <w:rPr>
                <w:rFonts w:asciiTheme="majorBidi" w:hAnsiTheme="majorBidi" w:cstheme="majorBidi"/>
              </w:rPr>
            </w:pP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DD17EC"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u w:val="single"/>
              </w:rPr>
            </w:pPr>
            <w:r w:rsidRPr="00743FCB">
              <w:rPr>
                <w:rFonts w:asciiTheme="majorBidi" w:hAnsiTheme="majorBidi" w:cstheme="majorBidi"/>
                <w:u w:val="single"/>
              </w:rPr>
              <w:t>Harms:</w:t>
            </w:r>
          </w:p>
          <w:p w14:paraId="24EB6BC3"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Any adverse drug reactions</w:t>
            </w:r>
          </w:p>
        </w:tc>
        <w:tc>
          <w:tcPr>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91E610" w14:textId="77777777" w:rsidR="004900C1" w:rsidRPr="00743FCB" w:rsidRDefault="004900C1" w:rsidP="006A09F6">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4900C1" w:rsidRPr="00743FCB" w14:paraId="6F9A48CB" w14:textId="77777777" w:rsidTr="006A09F6">
        <w:trPr>
          <w:trHeight w:val="20"/>
        </w:trPr>
        <w:tc>
          <w:tcPr>
            <w:cnfStyle w:val="001000000000" w:firstRow="0" w:lastRow="0" w:firstColumn="1" w:lastColumn="0" w:oddVBand="0" w:evenVBand="0" w:oddHBand="0" w:evenHBand="0" w:firstRowFirstColumn="0" w:firstRowLastColumn="0" w:lastRowFirstColumn="0" w:lastRowLastColumn="0"/>
            <w:tcW w:w="829"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08A784" w14:textId="77777777" w:rsidR="004900C1" w:rsidRPr="00743FCB" w:rsidRDefault="004900C1" w:rsidP="006A09F6">
            <w:pPr>
              <w:pStyle w:val="ListParagraph"/>
              <w:spacing w:line="360" w:lineRule="auto"/>
              <w:ind w:left="0"/>
              <w:rPr>
                <w:rFonts w:asciiTheme="majorBidi" w:hAnsiTheme="majorBidi" w:cstheme="majorBidi"/>
              </w:rPr>
            </w:pPr>
            <w:r w:rsidRPr="00743FCB">
              <w:rPr>
                <w:rFonts w:asciiTheme="majorBidi" w:hAnsiTheme="majorBidi" w:cstheme="majorBidi"/>
              </w:rPr>
              <w:lastRenderedPageBreak/>
              <w:t>Study Design</w:t>
            </w:r>
          </w:p>
        </w:tc>
        <w:tc>
          <w:tcPr>
            <w:tcW w:w="208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0F3472" w14:textId="77777777" w:rsidR="004900C1" w:rsidRPr="00743FCB" w:rsidRDefault="004900C1" w:rsidP="006A09F6">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 xml:space="preserve">Randomized Controlled Double-blind Trials </w:t>
            </w:r>
          </w:p>
        </w:tc>
        <w:tc>
          <w:tcPr>
            <w:tcW w:w="2088"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5BA372" w14:textId="36B4EB1F" w:rsidR="004900C1" w:rsidRPr="00743FCB" w:rsidRDefault="004900C1" w:rsidP="006A09F6">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43FCB">
              <w:rPr>
                <w:rFonts w:asciiTheme="majorBidi" w:hAnsiTheme="majorBidi" w:cstheme="majorBidi"/>
              </w:rPr>
              <w:t>non-inferiority studies</w:t>
            </w:r>
          </w:p>
        </w:tc>
      </w:tr>
    </w:tbl>
    <w:p w14:paraId="342F3E7F" w14:textId="39C81EEF" w:rsidR="00BA3E09" w:rsidRPr="00743FCB" w:rsidRDefault="00BA3E09" w:rsidP="00D109F7">
      <w:pPr>
        <w:widowControl w:val="0"/>
        <w:autoSpaceDE w:val="0"/>
        <w:autoSpaceDN w:val="0"/>
        <w:adjustRightInd w:val="0"/>
        <w:rPr>
          <w:rFonts w:asciiTheme="majorBidi" w:hAnsiTheme="majorBidi" w:cstheme="majorBidi"/>
        </w:rPr>
      </w:pPr>
    </w:p>
    <w:tbl>
      <w:tblPr>
        <w:tblStyle w:val="TableGrid"/>
        <w:tblpPr w:leftFromText="180" w:rightFromText="180" w:vertAnchor="text" w:horzAnchor="page" w:tblpX="1450" w:tblpY="800"/>
        <w:tblW w:w="9936" w:type="dxa"/>
        <w:tblLook w:val="04A0" w:firstRow="1" w:lastRow="0" w:firstColumn="1" w:lastColumn="0" w:noHBand="0" w:noVBand="1"/>
      </w:tblPr>
      <w:tblGrid>
        <w:gridCol w:w="9936"/>
      </w:tblGrid>
      <w:tr w:rsidR="004900C1" w:rsidRPr="00743FCB" w14:paraId="7E4234AD"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7B015C63"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proofErr w:type="spellStart"/>
            <w:r w:rsidRPr="00743FCB">
              <w:rPr>
                <w:rFonts w:asciiTheme="majorBidi" w:hAnsiTheme="majorBidi" w:cstheme="majorBidi"/>
                <w:b/>
                <w:bCs/>
                <w:i/>
                <w:iCs/>
              </w:rPr>
              <w:t>AppendixTable</w:t>
            </w:r>
            <w:proofErr w:type="spellEnd"/>
            <w:r w:rsidRPr="00743FCB">
              <w:rPr>
                <w:rFonts w:asciiTheme="majorBidi" w:hAnsiTheme="majorBidi" w:cstheme="majorBidi"/>
                <w:b/>
                <w:bCs/>
                <w:i/>
                <w:iCs/>
              </w:rPr>
              <w:t xml:space="preserve"> 3</w:t>
            </w:r>
            <w:r w:rsidRPr="00743FCB">
              <w:rPr>
                <w:rFonts w:asciiTheme="majorBidi" w:hAnsiTheme="majorBidi" w:cstheme="majorBidi"/>
                <w:b/>
                <w:bCs/>
              </w:rPr>
              <w:t>. Risk-of-Bias Items Assessed for Randomized, Controlled Trials</w:t>
            </w:r>
          </w:p>
        </w:tc>
      </w:tr>
      <w:tr w:rsidR="004900C1" w:rsidRPr="00743FCB" w14:paraId="0E49AB44"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4CEBD4A5"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1. What is the risk of selection bias (biased allocation to interventions) due to inadequate generation of a randomized sequence? [Low, Unclear, High]</w:t>
            </w:r>
          </w:p>
        </w:tc>
      </w:tr>
      <w:tr w:rsidR="004900C1" w:rsidRPr="00743FCB" w14:paraId="0866EC7B"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3B3C03B4"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2. What is the risk of selection bias (biased allocation of interventions) due to inadequate concealment of allocations before assignment? [Low, Unclear, High]</w:t>
            </w:r>
          </w:p>
        </w:tc>
      </w:tr>
      <w:tr w:rsidR="004900C1" w:rsidRPr="00743FCB" w14:paraId="3ED56CEB"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6F8AE739"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3. For each main outcome or class of outcomes, what is the risk of performance bias due to knowledge of the allocated interventions by participants and personnel during the study (lack of study participant and personnel blinding)? [Low, Unclear, High]</w:t>
            </w:r>
          </w:p>
        </w:tc>
      </w:tr>
      <w:tr w:rsidR="004900C1" w:rsidRPr="00743FCB" w14:paraId="185362CF"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1CC04CEA"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4. Was the care provider blinded to the intervention? [Low, Unclear, High]</w:t>
            </w:r>
          </w:p>
        </w:tc>
      </w:tr>
      <w:tr w:rsidR="004900C1" w:rsidRPr="00743FCB" w14:paraId="4091ACD8"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520262B5"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5. For each main outcome or class of outcomes, what is the risk of detection bias due to knowledge of the allocated interventions by outcome assessment (lack of outcome assessor blinding)? [Low, Unclear, High]</w:t>
            </w:r>
          </w:p>
        </w:tc>
      </w:tr>
      <w:tr w:rsidR="004900C1" w:rsidRPr="00743FCB" w14:paraId="43320C5F"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2FA0B44F"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6. For each main outcome or class of outcomes, what is the risk of attrition bias due to amount, nature, or handling of incomplete outcome data? [Low, Unclear, High]</w:t>
            </w:r>
          </w:p>
        </w:tc>
      </w:tr>
      <w:tr w:rsidR="004900C1" w:rsidRPr="00743FCB" w14:paraId="224B7925"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721171E6"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7. What is the risk of reporting bias due to selective outcome reporting? [Low, Unclear, High]</w:t>
            </w:r>
          </w:p>
        </w:tc>
      </w:tr>
      <w:tr w:rsidR="004900C1" w:rsidRPr="00743FCB" w14:paraId="163EE625"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44734C32"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8. Were all randomized participants analyzed in the group to which they were allocated? [Yes, No, Unsure]</w:t>
            </w:r>
          </w:p>
        </w:tc>
      </w:tr>
      <w:tr w:rsidR="004900C1" w:rsidRPr="00743FCB" w14:paraId="284358E3"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060FD3F7"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9. Were the groups similar at baseline regarding the most important prognostic indicators? [Yes, No, Unsure]</w:t>
            </w:r>
          </w:p>
        </w:tc>
      </w:tr>
      <w:tr w:rsidR="004900C1" w:rsidRPr="00743FCB" w14:paraId="6C4A473F" w14:textId="77777777" w:rsidTr="006A09F6">
        <w:trPr>
          <w:trHeight w:val="439"/>
        </w:trPr>
        <w:tc>
          <w:tcPr>
            <w:tcW w:w="9936" w:type="dxa"/>
            <w:tcBorders>
              <w:top w:val="single" w:sz="4" w:space="0" w:color="auto"/>
              <w:left w:val="single" w:sz="4" w:space="0" w:color="auto"/>
              <w:bottom w:val="single" w:sz="4" w:space="0" w:color="auto"/>
              <w:right w:val="single" w:sz="4" w:space="0" w:color="auto"/>
            </w:tcBorders>
            <w:hideMark/>
          </w:tcPr>
          <w:p w14:paraId="3AB5D21C"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10. Were co-interventions avoided or similar? [Yes, No, Unsure]</w:t>
            </w:r>
          </w:p>
        </w:tc>
      </w:tr>
      <w:tr w:rsidR="004900C1" w:rsidRPr="00743FCB" w14:paraId="1CBFCFD9"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789C3C3C"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11. Was the compliance acceptable in all groups? [Yes, No, Unsure]</w:t>
            </w:r>
          </w:p>
        </w:tc>
      </w:tr>
      <w:tr w:rsidR="004900C1" w:rsidRPr="00743FCB" w14:paraId="50034A37"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059569AA"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
                <w:bCs/>
              </w:rPr>
            </w:pPr>
            <w:r w:rsidRPr="00743FCB">
              <w:rPr>
                <w:rFonts w:asciiTheme="majorBidi" w:hAnsiTheme="majorBidi" w:cstheme="majorBidi"/>
                <w:color w:val="000000"/>
              </w:rPr>
              <w:t>12. Was the timing of the outcome assessment similar in all groups? [Yes, No, Unsure]</w:t>
            </w:r>
          </w:p>
        </w:tc>
      </w:tr>
      <w:tr w:rsidR="004900C1" w:rsidRPr="00743FCB" w14:paraId="0B7C27B0" w14:textId="77777777" w:rsidTr="006A09F6">
        <w:tc>
          <w:tcPr>
            <w:tcW w:w="9936" w:type="dxa"/>
            <w:tcBorders>
              <w:top w:val="single" w:sz="4" w:space="0" w:color="auto"/>
              <w:left w:val="single" w:sz="4" w:space="0" w:color="auto"/>
              <w:bottom w:val="single" w:sz="4" w:space="0" w:color="auto"/>
              <w:right w:val="single" w:sz="4" w:space="0" w:color="auto"/>
            </w:tcBorders>
            <w:hideMark/>
          </w:tcPr>
          <w:p w14:paraId="2943074F" w14:textId="77777777" w:rsidR="004900C1" w:rsidRPr="00743FCB" w:rsidRDefault="004900C1" w:rsidP="006A09F6">
            <w:pPr>
              <w:widowControl w:val="0"/>
              <w:autoSpaceDE w:val="0"/>
              <w:autoSpaceDN w:val="0"/>
              <w:adjustRightInd w:val="0"/>
              <w:spacing w:line="360" w:lineRule="auto"/>
              <w:rPr>
                <w:rFonts w:asciiTheme="majorBidi" w:hAnsiTheme="majorBidi" w:cstheme="majorBidi"/>
                <w:bCs/>
              </w:rPr>
            </w:pPr>
            <w:r w:rsidRPr="00743FCB">
              <w:rPr>
                <w:rFonts w:asciiTheme="majorBidi" w:hAnsiTheme="majorBidi" w:cstheme="majorBidi"/>
                <w:bCs/>
              </w:rPr>
              <w:t>13. Are there other risks of bias? [Yes, No]</w:t>
            </w:r>
          </w:p>
        </w:tc>
      </w:tr>
    </w:tbl>
    <w:p w14:paraId="1DFFD7AA" w14:textId="77777777" w:rsidR="004900C1" w:rsidRPr="00743FCB" w:rsidRDefault="004900C1" w:rsidP="00D109F7">
      <w:pPr>
        <w:widowControl w:val="0"/>
        <w:autoSpaceDE w:val="0"/>
        <w:autoSpaceDN w:val="0"/>
        <w:adjustRightInd w:val="0"/>
        <w:rPr>
          <w:rFonts w:asciiTheme="majorBidi" w:hAnsiTheme="majorBidi" w:cstheme="majorBidi"/>
        </w:rPr>
      </w:pPr>
    </w:p>
    <w:p w14:paraId="68CF76A1" w14:textId="77777777" w:rsidR="004900C1" w:rsidRPr="00743FCB" w:rsidRDefault="004900C1" w:rsidP="00D109F7">
      <w:pPr>
        <w:widowControl w:val="0"/>
        <w:autoSpaceDE w:val="0"/>
        <w:autoSpaceDN w:val="0"/>
        <w:adjustRightInd w:val="0"/>
        <w:rPr>
          <w:rFonts w:asciiTheme="majorBidi" w:hAnsiTheme="majorBidi" w:cstheme="majorBidi"/>
        </w:rPr>
      </w:pPr>
    </w:p>
    <w:p w14:paraId="7A06FDA3" w14:textId="77777777" w:rsidR="004900C1" w:rsidRPr="00743FCB" w:rsidRDefault="004900C1" w:rsidP="00D109F7">
      <w:pPr>
        <w:widowControl w:val="0"/>
        <w:autoSpaceDE w:val="0"/>
        <w:autoSpaceDN w:val="0"/>
        <w:adjustRightInd w:val="0"/>
        <w:rPr>
          <w:rFonts w:asciiTheme="majorBidi" w:hAnsiTheme="majorBidi" w:cstheme="majorBidi"/>
        </w:rPr>
      </w:pPr>
    </w:p>
    <w:p w14:paraId="137D5F83" w14:textId="77777777" w:rsidR="00D109F7" w:rsidRPr="00743FCB" w:rsidRDefault="00D109F7" w:rsidP="00D109F7">
      <w:pPr>
        <w:widowControl w:val="0"/>
        <w:autoSpaceDE w:val="0"/>
        <w:autoSpaceDN w:val="0"/>
        <w:adjustRightInd w:val="0"/>
        <w:rPr>
          <w:rFonts w:asciiTheme="majorBidi" w:hAnsiTheme="majorBidi" w:cstheme="majorBidi"/>
        </w:rPr>
      </w:pPr>
    </w:p>
    <w:p w14:paraId="4BC5E21B" w14:textId="77777777" w:rsidR="00D109F7" w:rsidRPr="00743FCB" w:rsidRDefault="00D109F7" w:rsidP="00D109F7">
      <w:pPr>
        <w:widowControl w:val="0"/>
        <w:autoSpaceDE w:val="0"/>
        <w:autoSpaceDN w:val="0"/>
        <w:adjustRightInd w:val="0"/>
        <w:rPr>
          <w:rFonts w:asciiTheme="majorBidi" w:hAnsiTheme="majorBidi" w:cstheme="majorBidi"/>
        </w:rPr>
      </w:pPr>
    </w:p>
    <w:p w14:paraId="01800486" w14:textId="77777777" w:rsidR="00D109F7" w:rsidRPr="00743FCB" w:rsidRDefault="00D109F7" w:rsidP="00D109F7">
      <w:pPr>
        <w:widowControl w:val="0"/>
        <w:autoSpaceDE w:val="0"/>
        <w:autoSpaceDN w:val="0"/>
        <w:adjustRightInd w:val="0"/>
        <w:rPr>
          <w:rFonts w:asciiTheme="majorBidi" w:hAnsiTheme="majorBidi" w:cstheme="majorBidi"/>
        </w:rPr>
      </w:pPr>
    </w:p>
    <w:tbl>
      <w:tblPr>
        <w:tblpPr w:leftFromText="180" w:rightFromText="180" w:vertAnchor="text" w:horzAnchor="page" w:tblpX="986" w:tblpY="535"/>
        <w:tblW w:w="10586" w:type="dxa"/>
        <w:tblCellMar>
          <w:left w:w="0" w:type="dxa"/>
          <w:right w:w="0" w:type="dxa"/>
        </w:tblCellMar>
        <w:tblLook w:val="04A0" w:firstRow="1" w:lastRow="0" w:firstColumn="1" w:lastColumn="0" w:noHBand="0" w:noVBand="1"/>
      </w:tblPr>
      <w:tblGrid>
        <w:gridCol w:w="1713"/>
        <w:gridCol w:w="1341"/>
        <w:gridCol w:w="1618"/>
        <w:gridCol w:w="1451"/>
        <w:gridCol w:w="1515"/>
        <w:gridCol w:w="1511"/>
        <w:gridCol w:w="1437"/>
      </w:tblGrid>
      <w:tr w:rsidR="007E5545" w:rsidRPr="00743FCB" w14:paraId="32449983" w14:textId="77777777" w:rsidTr="007E5545">
        <w:trPr>
          <w:trHeight w:val="822"/>
        </w:trPr>
        <w:tc>
          <w:tcPr>
            <w:tcW w:w="10586" w:type="dxa"/>
            <w:gridSpan w:val="7"/>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tcPr>
          <w:p w14:paraId="6C2B2314" w14:textId="77777777" w:rsidR="007E5545" w:rsidRPr="00743FCB" w:rsidRDefault="007E5545" w:rsidP="007E5545">
            <w:pPr>
              <w:rPr>
                <w:rFonts w:asciiTheme="majorBidi" w:hAnsiTheme="majorBidi" w:cstheme="majorBidi"/>
                <w:b/>
                <w:bCs/>
              </w:rPr>
            </w:pPr>
            <w:r w:rsidRPr="00743FCB">
              <w:rPr>
                <w:rFonts w:asciiTheme="majorBidi" w:hAnsiTheme="majorBidi" w:cstheme="majorBidi"/>
                <w:b/>
                <w:bCs/>
                <w:i/>
                <w:iCs/>
              </w:rPr>
              <w:lastRenderedPageBreak/>
              <w:t>Appendix Table 4</w:t>
            </w:r>
            <w:r w:rsidRPr="00743FCB">
              <w:rPr>
                <w:rFonts w:asciiTheme="majorBidi" w:hAnsiTheme="majorBidi" w:cstheme="majorBidi"/>
                <w:b/>
                <w:bCs/>
              </w:rPr>
              <w:t>: Mean heart rate at baseline and follow-up</w:t>
            </w:r>
          </w:p>
          <w:p w14:paraId="4DEDAE4D" w14:textId="77777777" w:rsidR="007E5545" w:rsidRPr="00743FCB" w:rsidRDefault="007E5545" w:rsidP="007E5545">
            <w:pPr>
              <w:jc w:val="center"/>
              <w:rPr>
                <w:rFonts w:asciiTheme="majorBidi" w:hAnsiTheme="majorBidi" w:cstheme="majorBidi"/>
                <w:b/>
                <w:bCs/>
              </w:rPr>
            </w:pPr>
          </w:p>
        </w:tc>
      </w:tr>
      <w:tr w:rsidR="007E5545" w:rsidRPr="00743FCB" w14:paraId="019A0EF2" w14:textId="77777777" w:rsidTr="007E5545">
        <w:trPr>
          <w:trHeight w:val="822"/>
        </w:trPr>
        <w:tc>
          <w:tcPr>
            <w:tcW w:w="1713" w:type="dxa"/>
            <w:tcBorders>
              <w:top w:val="single" w:sz="8" w:space="0" w:color="2E2B21"/>
              <w:left w:val="single" w:sz="8" w:space="0" w:color="2E2B21"/>
              <w:bottom w:val="single" w:sz="8" w:space="0" w:color="2E2B21"/>
              <w:right w:val="single" w:sz="8" w:space="0" w:color="2E2B21"/>
            </w:tcBorders>
            <w:shd w:val="clear" w:color="auto" w:fill="D0CECE" w:themeFill="background2" w:themeFillShade="E6"/>
            <w:tcMar>
              <w:top w:w="15" w:type="dxa"/>
              <w:left w:w="108" w:type="dxa"/>
              <w:bottom w:w="0" w:type="dxa"/>
              <w:right w:w="108" w:type="dxa"/>
            </w:tcMar>
            <w:vAlign w:val="center"/>
            <w:hideMark/>
          </w:tcPr>
          <w:p w14:paraId="0CC212C1"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Name of Study</w:t>
            </w:r>
          </w:p>
        </w:tc>
        <w:tc>
          <w:tcPr>
            <w:tcW w:w="2959" w:type="dxa"/>
            <w:gridSpan w:val="2"/>
            <w:tcBorders>
              <w:top w:val="single" w:sz="8" w:space="0" w:color="2E2B21"/>
              <w:left w:val="single" w:sz="8" w:space="0" w:color="2E2B21"/>
              <w:bottom w:val="single" w:sz="8" w:space="0" w:color="2E2B21"/>
              <w:right w:val="single" w:sz="8" w:space="0" w:color="2E2B21"/>
            </w:tcBorders>
            <w:shd w:val="clear" w:color="auto" w:fill="D0CECE" w:themeFill="background2" w:themeFillShade="E6"/>
            <w:tcMar>
              <w:top w:w="15" w:type="dxa"/>
              <w:left w:w="108" w:type="dxa"/>
              <w:bottom w:w="0" w:type="dxa"/>
              <w:right w:w="108" w:type="dxa"/>
            </w:tcMar>
            <w:vAlign w:val="center"/>
            <w:hideMark/>
          </w:tcPr>
          <w:p w14:paraId="0C5639A1"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Fox, 2008</w:t>
            </w:r>
          </w:p>
        </w:tc>
        <w:tc>
          <w:tcPr>
            <w:tcW w:w="2966" w:type="dxa"/>
            <w:gridSpan w:val="2"/>
            <w:tcBorders>
              <w:top w:val="single" w:sz="8" w:space="0" w:color="2E2B21"/>
              <w:left w:val="single" w:sz="8" w:space="0" w:color="2E2B21"/>
              <w:bottom w:val="single" w:sz="8" w:space="0" w:color="2E2B21"/>
              <w:right w:val="single" w:sz="8" w:space="0" w:color="2E2B21"/>
            </w:tcBorders>
            <w:shd w:val="clear" w:color="auto" w:fill="D0CECE" w:themeFill="background2" w:themeFillShade="E6"/>
            <w:tcMar>
              <w:top w:w="15" w:type="dxa"/>
              <w:left w:w="108" w:type="dxa"/>
              <w:bottom w:w="0" w:type="dxa"/>
              <w:right w:w="108" w:type="dxa"/>
            </w:tcMar>
            <w:vAlign w:val="center"/>
            <w:hideMark/>
          </w:tcPr>
          <w:p w14:paraId="62ED7BDA" w14:textId="77777777" w:rsidR="007E5545" w:rsidRPr="00743FCB" w:rsidRDefault="007E5545" w:rsidP="007E5545">
            <w:pPr>
              <w:jc w:val="center"/>
              <w:rPr>
                <w:rFonts w:asciiTheme="majorBidi" w:hAnsiTheme="majorBidi" w:cstheme="majorBidi"/>
              </w:rPr>
            </w:pPr>
            <w:proofErr w:type="spellStart"/>
            <w:r w:rsidRPr="00743FCB">
              <w:rPr>
                <w:rFonts w:asciiTheme="majorBidi" w:hAnsiTheme="majorBidi" w:cstheme="majorBidi"/>
                <w:b/>
                <w:bCs/>
              </w:rPr>
              <w:t>Fasullo</w:t>
            </w:r>
            <w:proofErr w:type="spellEnd"/>
            <w:r w:rsidRPr="00743FCB">
              <w:rPr>
                <w:rFonts w:asciiTheme="majorBidi" w:hAnsiTheme="majorBidi" w:cstheme="majorBidi"/>
                <w:b/>
                <w:bCs/>
              </w:rPr>
              <w:t>, 2009</w:t>
            </w:r>
          </w:p>
        </w:tc>
        <w:tc>
          <w:tcPr>
            <w:tcW w:w="0" w:type="auto"/>
            <w:gridSpan w:val="2"/>
            <w:tcBorders>
              <w:top w:val="single" w:sz="8" w:space="0" w:color="2E2B21"/>
              <w:left w:val="single" w:sz="8" w:space="0" w:color="2E2B21"/>
              <w:bottom w:val="single" w:sz="8" w:space="0" w:color="2E2B21"/>
              <w:right w:val="single" w:sz="8" w:space="0" w:color="2E2B21"/>
            </w:tcBorders>
            <w:shd w:val="clear" w:color="auto" w:fill="D0CECE" w:themeFill="background2" w:themeFillShade="E6"/>
            <w:tcMar>
              <w:top w:w="15" w:type="dxa"/>
              <w:left w:w="108" w:type="dxa"/>
              <w:bottom w:w="0" w:type="dxa"/>
              <w:right w:w="108" w:type="dxa"/>
            </w:tcMar>
            <w:vAlign w:val="center"/>
            <w:hideMark/>
          </w:tcPr>
          <w:p w14:paraId="4BB53409" w14:textId="77777777" w:rsidR="007E5545" w:rsidRPr="00743FCB" w:rsidRDefault="007E5545" w:rsidP="007E5545">
            <w:pPr>
              <w:jc w:val="center"/>
              <w:rPr>
                <w:rFonts w:asciiTheme="majorBidi" w:hAnsiTheme="majorBidi" w:cstheme="majorBidi"/>
              </w:rPr>
            </w:pPr>
            <w:proofErr w:type="spellStart"/>
            <w:r w:rsidRPr="00743FCB">
              <w:rPr>
                <w:rFonts w:asciiTheme="majorBidi" w:hAnsiTheme="majorBidi" w:cstheme="majorBidi"/>
                <w:b/>
                <w:bCs/>
              </w:rPr>
              <w:t>Swedberg</w:t>
            </w:r>
            <w:proofErr w:type="spellEnd"/>
            <w:r w:rsidRPr="00743FCB">
              <w:rPr>
                <w:rFonts w:asciiTheme="majorBidi" w:hAnsiTheme="majorBidi" w:cstheme="majorBidi"/>
                <w:b/>
                <w:bCs/>
              </w:rPr>
              <w:t>, 2010</w:t>
            </w:r>
          </w:p>
        </w:tc>
      </w:tr>
      <w:tr w:rsidR="007E5545" w:rsidRPr="00743FCB" w14:paraId="166FA363" w14:textId="77777777" w:rsidTr="007E5545">
        <w:trPr>
          <w:trHeight w:val="1254"/>
        </w:trPr>
        <w:tc>
          <w:tcPr>
            <w:tcW w:w="1713"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0E3C0CF2"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Group</w:t>
            </w:r>
          </w:p>
        </w:tc>
        <w:tc>
          <w:tcPr>
            <w:tcW w:w="134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0C947C7"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Baseline</w:t>
            </w:r>
          </w:p>
        </w:tc>
        <w:tc>
          <w:tcPr>
            <w:tcW w:w="1618"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4D3748C"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Follow-up</w:t>
            </w:r>
          </w:p>
          <w:p w14:paraId="2F2AF97D"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(24 months)</w:t>
            </w:r>
          </w:p>
        </w:tc>
        <w:tc>
          <w:tcPr>
            <w:tcW w:w="145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1EB1EB58"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Baseline</w:t>
            </w:r>
          </w:p>
        </w:tc>
        <w:tc>
          <w:tcPr>
            <w:tcW w:w="1515"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2A9E5045"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Follow-up (2 months)</w:t>
            </w:r>
          </w:p>
        </w:tc>
        <w:tc>
          <w:tcPr>
            <w:tcW w:w="151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167A393A"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Baseline</w:t>
            </w:r>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69F23335"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Follow-up</w:t>
            </w:r>
          </w:p>
          <w:p w14:paraId="0BA3653E"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(32 months)</w:t>
            </w:r>
          </w:p>
        </w:tc>
      </w:tr>
      <w:tr w:rsidR="007E5545" w:rsidRPr="00743FCB" w14:paraId="5CB0B0C3" w14:textId="77777777" w:rsidTr="007E5545">
        <w:trPr>
          <w:trHeight w:val="1456"/>
        </w:trPr>
        <w:tc>
          <w:tcPr>
            <w:tcW w:w="1713"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53DBD8B7"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b/>
                <w:bCs/>
              </w:rPr>
              <w:t>Ivabradine</w:t>
            </w:r>
          </w:p>
        </w:tc>
        <w:tc>
          <w:tcPr>
            <w:tcW w:w="134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415D6D2"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72 bpm</w:t>
            </w:r>
          </w:p>
        </w:tc>
        <w:tc>
          <w:tcPr>
            <w:tcW w:w="1618"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44DF172C"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64 bpm</w:t>
            </w:r>
          </w:p>
        </w:tc>
        <w:tc>
          <w:tcPr>
            <w:tcW w:w="145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D88C781"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91 bpm</w:t>
            </w:r>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435A7582"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66 bpm</w:t>
            </w:r>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005AC74F"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80 bpm</w:t>
            </w:r>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59CD553"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67 bpm</w:t>
            </w:r>
          </w:p>
        </w:tc>
      </w:tr>
      <w:tr w:rsidR="007E5545" w:rsidRPr="00743FCB" w14:paraId="138E254B" w14:textId="77777777" w:rsidTr="007E5545">
        <w:trPr>
          <w:trHeight w:val="970"/>
        </w:trPr>
        <w:tc>
          <w:tcPr>
            <w:tcW w:w="1713"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017A0861" w14:textId="00BEA8BA" w:rsidR="007E5545" w:rsidRPr="00743FCB" w:rsidRDefault="00682929" w:rsidP="007E5545">
            <w:pPr>
              <w:jc w:val="center"/>
              <w:rPr>
                <w:rFonts w:asciiTheme="majorBidi" w:hAnsiTheme="majorBidi" w:cstheme="majorBidi"/>
              </w:rPr>
            </w:pPr>
            <w:r>
              <w:rPr>
                <w:rFonts w:asciiTheme="majorBidi" w:hAnsiTheme="majorBidi" w:cstheme="majorBidi"/>
                <w:b/>
                <w:bCs/>
              </w:rPr>
              <w:t>Control</w:t>
            </w:r>
            <w:r w:rsidR="007E5545" w:rsidRPr="00743FCB">
              <w:rPr>
                <w:rFonts w:asciiTheme="majorBidi" w:hAnsiTheme="majorBidi" w:cstheme="majorBidi"/>
                <w:b/>
                <w:bCs/>
              </w:rPr>
              <w:t xml:space="preserve"> group</w:t>
            </w:r>
          </w:p>
        </w:tc>
        <w:tc>
          <w:tcPr>
            <w:tcW w:w="134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41A0150E"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72 bpm</w:t>
            </w:r>
          </w:p>
        </w:tc>
        <w:tc>
          <w:tcPr>
            <w:tcW w:w="1618"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5548D2F"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69 bpm</w:t>
            </w:r>
          </w:p>
        </w:tc>
        <w:tc>
          <w:tcPr>
            <w:tcW w:w="1451" w:type="dxa"/>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07B913E0"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92 bpm</w:t>
            </w:r>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623C3D02"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 xml:space="preserve">65 </w:t>
            </w:r>
            <w:proofErr w:type="spellStart"/>
            <w:r w:rsidRPr="00743FCB">
              <w:rPr>
                <w:rFonts w:asciiTheme="majorBidi" w:hAnsiTheme="majorBidi" w:cstheme="majorBidi"/>
              </w:rPr>
              <w:t>pbm</w:t>
            </w:r>
            <w:proofErr w:type="spellEnd"/>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3BFD5E41"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80 bpm</w:t>
            </w:r>
          </w:p>
        </w:tc>
        <w:tc>
          <w:tcPr>
            <w:tcW w:w="0" w:type="auto"/>
            <w:tcBorders>
              <w:top w:val="single" w:sz="8" w:space="0" w:color="2E2B21"/>
              <w:left w:val="single" w:sz="8" w:space="0" w:color="2E2B21"/>
              <w:bottom w:val="single" w:sz="8" w:space="0" w:color="2E2B21"/>
              <w:right w:val="single" w:sz="8" w:space="0" w:color="2E2B21"/>
            </w:tcBorders>
            <w:shd w:val="clear" w:color="auto" w:fill="auto"/>
            <w:tcMar>
              <w:top w:w="15" w:type="dxa"/>
              <w:left w:w="108" w:type="dxa"/>
              <w:bottom w:w="0" w:type="dxa"/>
              <w:right w:w="108" w:type="dxa"/>
            </w:tcMar>
            <w:vAlign w:val="center"/>
            <w:hideMark/>
          </w:tcPr>
          <w:p w14:paraId="0215A601" w14:textId="77777777" w:rsidR="007E5545" w:rsidRPr="00743FCB" w:rsidRDefault="007E5545" w:rsidP="007E5545">
            <w:pPr>
              <w:jc w:val="center"/>
              <w:rPr>
                <w:rFonts w:asciiTheme="majorBidi" w:hAnsiTheme="majorBidi" w:cstheme="majorBidi"/>
              </w:rPr>
            </w:pPr>
            <w:r w:rsidRPr="00743FCB">
              <w:rPr>
                <w:rFonts w:asciiTheme="majorBidi" w:hAnsiTheme="majorBidi" w:cstheme="majorBidi"/>
              </w:rPr>
              <w:t>75 bpm</w:t>
            </w:r>
          </w:p>
        </w:tc>
      </w:tr>
    </w:tbl>
    <w:p w14:paraId="273A2C92" w14:textId="7EB36B72" w:rsidR="0048085C" w:rsidRDefault="0048085C" w:rsidP="00D109F7">
      <w:pPr>
        <w:widowControl w:val="0"/>
        <w:autoSpaceDE w:val="0"/>
        <w:autoSpaceDN w:val="0"/>
        <w:adjustRightInd w:val="0"/>
        <w:rPr>
          <w:rFonts w:asciiTheme="majorBidi" w:hAnsiTheme="majorBidi" w:cstheme="majorBidi"/>
        </w:rPr>
      </w:pPr>
    </w:p>
    <w:p w14:paraId="3094733D" w14:textId="77777777" w:rsidR="0048085C" w:rsidRPr="0048085C" w:rsidRDefault="0048085C" w:rsidP="0048085C">
      <w:pPr>
        <w:rPr>
          <w:rFonts w:asciiTheme="majorBidi" w:hAnsiTheme="majorBidi" w:cstheme="majorBidi"/>
        </w:rPr>
      </w:pPr>
    </w:p>
    <w:p w14:paraId="3F646BFC" w14:textId="77777777" w:rsidR="0048085C" w:rsidRPr="0048085C" w:rsidRDefault="0048085C" w:rsidP="0048085C">
      <w:pPr>
        <w:rPr>
          <w:rFonts w:asciiTheme="majorBidi" w:hAnsiTheme="majorBidi" w:cstheme="majorBidi"/>
        </w:rPr>
      </w:pPr>
    </w:p>
    <w:p w14:paraId="3C0B8600" w14:textId="77777777" w:rsidR="0048085C" w:rsidRPr="0048085C" w:rsidRDefault="0048085C" w:rsidP="0048085C">
      <w:pPr>
        <w:rPr>
          <w:rFonts w:asciiTheme="majorBidi" w:hAnsiTheme="majorBidi" w:cstheme="majorBidi"/>
        </w:rPr>
      </w:pPr>
    </w:p>
    <w:p w14:paraId="796C84BD" w14:textId="77777777" w:rsidR="0048085C" w:rsidRDefault="0048085C" w:rsidP="0048085C">
      <w:pPr>
        <w:rPr>
          <w:rFonts w:asciiTheme="majorBidi" w:hAnsiTheme="majorBidi" w:cstheme="majorBidi"/>
        </w:rPr>
      </w:pPr>
    </w:p>
    <w:p w14:paraId="0A9FA215" w14:textId="77777777" w:rsidR="0048085C" w:rsidRDefault="0048085C" w:rsidP="0048085C">
      <w:pPr>
        <w:rPr>
          <w:rFonts w:asciiTheme="majorBidi" w:hAnsiTheme="majorBidi" w:cstheme="majorBidi"/>
        </w:rPr>
      </w:pPr>
    </w:p>
    <w:p w14:paraId="2919C3E4" w14:textId="77777777" w:rsidR="0048085C" w:rsidRDefault="0048085C" w:rsidP="0048085C">
      <w:pPr>
        <w:rPr>
          <w:rFonts w:asciiTheme="majorBidi" w:hAnsiTheme="majorBidi" w:cstheme="majorBidi"/>
        </w:rPr>
      </w:pPr>
    </w:p>
    <w:p w14:paraId="5C7CD303" w14:textId="77777777" w:rsidR="0048085C" w:rsidRDefault="0048085C" w:rsidP="0048085C">
      <w:pPr>
        <w:rPr>
          <w:rFonts w:asciiTheme="majorBidi" w:hAnsiTheme="majorBidi" w:cstheme="majorBidi"/>
        </w:rPr>
      </w:pPr>
    </w:p>
    <w:p w14:paraId="3BB7FFBB" w14:textId="77777777" w:rsidR="0048085C" w:rsidRDefault="0048085C" w:rsidP="0048085C">
      <w:pPr>
        <w:rPr>
          <w:rFonts w:asciiTheme="majorBidi" w:hAnsiTheme="majorBidi" w:cstheme="majorBidi"/>
        </w:rPr>
      </w:pPr>
    </w:p>
    <w:p w14:paraId="1CDA7ECE" w14:textId="77777777" w:rsidR="0048085C" w:rsidRDefault="0048085C" w:rsidP="0048085C">
      <w:pPr>
        <w:rPr>
          <w:rFonts w:asciiTheme="majorBidi" w:hAnsiTheme="majorBidi" w:cstheme="majorBidi"/>
        </w:rPr>
      </w:pPr>
    </w:p>
    <w:p w14:paraId="053F5E76" w14:textId="77777777" w:rsidR="0048085C" w:rsidRDefault="0048085C" w:rsidP="0048085C">
      <w:pPr>
        <w:rPr>
          <w:rFonts w:asciiTheme="majorBidi" w:hAnsiTheme="majorBidi" w:cstheme="majorBidi"/>
        </w:rPr>
      </w:pPr>
    </w:p>
    <w:p w14:paraId="6B177C21" w14:textId="77777777" w:rsidR="0048085C" w:rsidRDefault="0048085C" w:rsidP="0048085C">
      <w:pPr>
        <w:rPr>
          <w:rFonts w:asciiTheme="majorBidi" w:hAnsiTheme="majorBidi" w:cstheme="majorBidi"/>
        </w:rPr>
      </w:pPr>
    </w:p>
    <w:p w14:paraId="7F01DEB8" w14:textId="77777777" w:rsidR="0048085C" w:rsidRDefault="0048085C" w:rsidP="0048085C">
      <w:pPr>
        <w:rPr>
          <w:rFonts w:asciiTheme="majorBidi" w:hAnsiTheme="majorBidi" w:cstheme="majorBidi"/>
        </w:rPr>
      </w:pPr>
    </w:p>
    <w:p w14:paraId="05CA25DE" w14:textId="77777777" w:rsidR="0048085C" w:rsidRDefault="0048085C" w:rsidP="0048085C">
      <w:pPr>
        <w:rPr>
          <w:rFonts w:asciiTheme="majorBidi" w:hAnsiTheme="majorBidi" w:cstheme="majorBidi"/>
        </w:rPr>
      </w:pPr>
    </w:p>
    <w:p w14:paraId="371B7437" w14:textId="77777777" w:rsidR="0048085C" w:rsidRDefault="0048085C" w:rsidP="0048085C">
      <w:pPr>
        <w:rPr>
          <w:rFonts w:asciiTheme="majorBidi" w:hAnsiTheme="majorBidi" w:cstheme="majorBidi"/>
        </w:rPr>
      </w:pPr>
    </w:p>
    <w:p w14:paraId="33462F28" w14:textId="77777777" w:rsidR="0048085C" w:rsidRDefault="0048085C" w:rsidP="0048085C">
      <w:pPr>
        <w:rPr>
          <w:rFonts w:asciiTheme="majorBidi" w:hAnsiTheme="majorBidi" w:cstheme="majorBidi"/>
        </w:rPr>
      </w:pPr>
    </w:p>
    <w:p w14:paraId="268BEED2" w14:textId="77777777" w:rsidR="0048085C" w:rsidRDefault="0048085C" w:rsidP="0048085C">
      <w:pPr>
        <w:rPr>
          <w:rFonts w:asciiTheme="majorBidi" w:hAnsiTheme="majorBidi" w:cstheme="majorBidi"/>
        </w:rPr>
      </w:pPr>
    </w:p>
    <w:p w14:paraId="6155A73C" w14:textId="77777777" w:rsidR="0048085C" w:rsidRDefault="0048085C" w:rsidP="0048085C">
      <w:pPr>
        <w:rPr>
          <w:rFonts w:asciiTheme="majorBidi" w:hAnsiTheme="majorBidi" w:cstheme="majorBidi"/>
        </w:rPr>
      </w:pPr>
    </w:p>
    <w:p w14:paraId="2DFD8470" w14:textId="77777777" w:rsidR="0048085C" w:rsidRDefault="0048085C" w:rsidP="0048085C">
      <w:pPr>
        <w:rPr>
          <w:rFonts w:asciiTheme="majorBidi" w:hAnsiTheme="majorBidi" w:cstheme="majorBidi"/>
        </w:rPr>
      </w:pPr>
    </w:p>
    <w:p w14:paraId="71CE75C8" w14:textId="77777777" w:rsidR="0048085C" w:rsidRDefault="0048085C" w:rsidP="0048085C">
      <w:pPr>
        <w:rPr>
          <w:rFonts w:asciiTheme="majorBidi" w:hAnsiTheme="majorBidi" w:cstheme="majorBidi"/>
        </w:rPr>
      </w:pPr>
    </w:p>
    <w:p w14:paraId="1889633C" w14:textId="77777777" w:rsidR="0048085C" w:rsidRDefault="0048085C" w:rsidP="0048085C">
      <w:pPr>
        <w:rPr>
          <w:rFonts w:asciiTheme="majorBidi" w:hAnsiTheme="majorBidi" w:cstheme="majorBidi"/>
        </w:rPr>
      </w:pPr>
    </w:p>
    <w:p w14:paraId="69B0A5B9" w14:textId="77777777" w:rsidR="0048085C" w:rsidRDefault="0048085C" w:rsidP="0048085C">
      <w:pPr>
        <w:rPr>
          <w:rFonts w:asciiTheme="majorBidi" w:hAnsiTheme="majorBidi" w:cstheme="majorBidi"/>
        </w:rPr>
      </w:pPr>
    </w:p>
    <w:p w14:paraId="38D29B80" w14:textId="77777777" w:rsidR="0048085C" w:rsidRDefault="0048085C" w:rsidP="0048085C">
      <w:pPr>
        <w:rPr>
          <w:rFonts w:asciiTheme="majorBidi" w:hAnsiTheme="majorBidi" w:cstheme="majorBidi"/>
        </w:rPr>
      </w:pPr>
    </w:p>
    <w:p w14:paraId="02A4498E" w14:textId="77777777" w:rsidR="0048085C" w:rsidRDefault="0048085C" w:rsidP="0048085C">
      <w:pPr>
        <w:rPr>
          <w:rFonts w:asciiTheme="majorBidi" w:hAnsiTheme="majorBidi" w:cstheme="majorBidi"/>
        </w:rPr>
      </w:pPr>
    </w:p>
    <w:p w14:paraId="73A68E12" w14:textId="77777777" w:rsidR="0048085C" w:rsidRDefault="0048085C" w:rsidP="0048085C">
      <w:pPr>
        <w:rPr>
          <w:rFonts w:asciiTheme="majorBidi" w:hAnsiTheme="majorBidi" w:cstheme="majorBidi"/>
        </w:rPr>
      </w:pPr>
    </w:p>
    <w:p w14:paraId="2112F9AA" w14:textId="5DC0521D" w:rsidR="0048085C" w:rsidRDefault="00AE4655" w:rsidP="0048085C">
      <w:r w:rsidRPr="00743FCB">
        <w:rPr>
          <w:rFonts w:asciiTheme="majorBidi" w:hAnsiTheme="majorBidi" w:cstheme="majorBidi"/>
          <w:noProof/>
        </w:rPr>
        <w:lastRenderedPageBreak/>
        <mc:AlternateContent>
          <mc:Choice Requires="wps">
            <w:drawing>
              <wp:anchor distT="0" distB="0" distL="114300" distR="114300" simplePos="0" relativeHeight="251735040" behindDoc="0" locked="0" layoutInCell="1" allowOverlap="1" wp14:anchorId="66CDBD30" wp14:editId="31A7D78E">
                <wp:simplePos x="0" y="0"/>
                <wp:positionH relativeFrom="column">
                  <wp:posOffset>509270</wp:posOffset>
                </wp:positionH>
                <wp:positionV relativeFrom="paragraph">
                  <wp:posOffset>1832610</wp:posOffset>
                </wp:positionV>
                <wp:extent cx="4687570" cy="352425"/>
                <wp:effectExtent l="0" t="0" r="36830" b="28575"/>
                <wp:wrapSquare wrapText="bothSides"/>
                <wp:docPr id="28" name="Text Box 28"/>
                <wp:cNvGraphicFramePr/>
                <a:graphic xmlns:a="http://schemas.openxmlformats.org/drawingml/2006/main">
                  <a:graphicData uri="http://schemas.microsoft.com/office/word/2010/wordprocessingShape">
                    <wps:wsp>
                      <wps:cNvSpPr txBox="1"/>
                      <wps:spPr>
                        <a:xfrm>
                          <a:off x="0" y="0"/>
                          <a:ext cx="4687570"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65DB4A20" w14:textId="77777777" w:rsidR="00177EB9" w:rsidRPr="00D57F38" w:rsidRDefault="00177EB9" w:rsidP="0048085C">
                            <w:pPr>
                              <w:jc w:val="center"/>
                              <w:rPr>
                                <w:b/>
                                <w:bCs/>
                                <w:sz w:val="21"/>
                                <w:szCs w:val="21"/>
                              </w:rPr>
                            </w:pPr>
                            <w:r w:rsidRPr="00E9521C">
                              <w:rPr>
                                <w:b/>
                                <w:bCs/>
                                <w:i/>
                                <w:iCs/>
                                <w:sz w:val="21"/>
                                <w:szCs w:val="21"/>
                              </w:rPr>
                              <w:t xml:space="preserve">Appendix Figure </w:t>
                            </w:r>
                            <w:r>
                              <w:rPr>
                                <w:b/>
                                <w:bCs/>
                                <w:i/>
                                <w:iCs/>
                                <w:sz w:val="21"/>
                                <w:szCs w:val="21"/>
                              </w:rPr>
                              <w:t xml:space="preserve">1. </w:t>
                            </w:r>
                            <w:r w:rsidRPr="00D57F38">
                              <w:rPr>
                                <w:rFonts w:asciiTheme="majorBidi" w:hAnsiTheme="majorBidi" w:cstheme="majorBidi"/>
                                <w:b/>
                                <w:bCs/>
                                <w:sz w:val="21"/>
                                <w:szCs w:val="21"/>
                              </w:rPr>
                              <w:t>Summary of Relative Risk of</w:t>
                            </w:r>
                            <w:r>
                              <w:rPr>
                                <w:rFonts w:asciiTheme="majorBidi" w:hAnsiTheme="majorBidi" w:cstheme="majorBidi"/>
                                <w:b/>
                                <w:bCs/>
                                <w:sz w:val="21"/>
                                <w:szCs w:val="21"/>
                              </w:rPr>
                              <w:t xml:space="preserve"> Cardiovascular</w:t>
                            </w:r>
                            <w:r w:rsidRPr="00D57F38">
                              <w:rPr>
                                <w:rFonts w:asciiTheme="majorBidi" w:hAnsiTheme="majorBidi" w:cstheme="majorBidi"/>
                                <w:b/>
                                <w:bCs/>
                                <w:sz w:val="21"/>
                                <w:szCs w:val="21"/>
                              </w:rPr>
                              <w:t xml:space="preserve"> Mortality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BD30" id="Text Box 28" o:spid="_x0000_s1035" type="#_x0000_t202" style="position:absolute;margin-left:40.1pt;margin-top:144.3pt;width:369.1pt;height:2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" fillcolor="white [3201]" strokecolor="black [3200]" strokeweight="1pt">
                <v:textbox>
                  <w:txbxContent>
                    <w:p w14:paraId="65DB4A20" w14:textId="77777777" w:rsidR="00177EB9" w:rsidRPr="00D57F38" w:rsidRDefault="00177EB9" w:rsidP="0048085C">
                      <w:pPr>
                        <w:jc w:val="center"/>
                        <w:rPr>
                          <w:b/>
                          <w:bCs/>
                          <w:sz w:val="21"/>
                          <w:szCs w:val="21"/>
                        </w:rPr>
                      </w:pPr>
                      <w:r w:rsidRPr="00E9521C">
                        <w:rPr>
                          <w:b/>
                          <w:bCs/>
                          <w:i/>
                          <w:iCs/>
                          <w:sz w:val="21"/>
                          <w:szCs w:val="21"/>
                        </w:rPr>
                        <w:t xml:space="preserve">Appendix Figure </w:t>
                      </w:r>
                      <w:r>
                        <w:rPr>
                          <w:b/>
                          <w:bCs/>
                          <w:i/>
                          <w:iCs/>
                          <w:sz w:val="21"/>
                          <w:szCs w:val="21"/>
                        </w:rPr>
                        <w:t xml:space="preserve">1. </w:t>
                      </w:r>
                      <w:r w:rsidRPr="00D57F38">
                        <w:rPr>
                          <w:rFonts w:asciiTheme="majorBidi" w:hAnsiTheme="majorBidi" w:cstheme="majorBidi"/>
                          <w:b/>
                          <w:bCs/>
                          <w:sz w:val="21"/>
                          <w:szCs w:val="21"/>
                        </w:rPr>
                        <w:t>Summary of Relative Risk of</w:t>
                      </w:r>
                      <w:r>
                        <w:rPr>
                          <w:rFonts w:asciiTheme="majorBidi" w:hAnsiTheme="majorBidi" w:cstheme="majorBidi"/>
                          <w:b/>
                          <w:bCs/>
                          <w:sz w:val="21"/>
                          <w:szCs w:val="21"/>
                        </w:rPr>
                        <w:t xml:space="preserve"> Cardiovascular</w:t>
                      </w:r>
                      <w:r w:rsidRPr="00D57F38">
                        <w:rPr>
                          <w:rFonts w:asciiTheme="majorBidi" w:hAnsiTheme="majorBidi" w:cstheme="majorBidi"/>
                          <w:b/>
                          <w:bCs/>
                          <w:sz w:val="21"/>
                          <w:szCs w:val="21"/>
                        </w:rPr>
                        <w:t xml:space="preserve"> Mortality</w:t>
                      </w:r>
                    </w:p>
                  </w:txbxContent>
                </v:textbox>
                <w10:wrap type="square"/>
              </v:shape>
            </w:pict>
          </mc:Fallback>
        </mc:AlternateContent>
      </w:r>
      <w:r>
        <w:rPr>
          <w:noProof/>
        </w:rPr>
        <w:drawing>
          <wp:anchor distT="0" distB="0" distL="114300" distR="114300" simplePos="0" relativeHeight="251758592" behindDoc="0" locked="0" layoutInCell="1" allowOverlap="1" wp14:anchorId="3CCAFC41" wp14:editId="5E1F659E">
            <wp:simplePos x="0" y="0"/>
            <wp:positionH relativeFrom="margin">
              <wp:posOffset>49530</wp:posOffset>
            </wp:positionH>
            <wp:positionV relativeFrom="margin">
              <wp:posOffset>-335915</wp:posOffset>
            </wp:positionV>
            <wp:extent cx="5601970" cy="1938020"/>
            <wp:effectExtent l="76200" t="76200" r="163830" b="1447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8 at 8.25.27 PM.png"/>
                    <pic:cNvPicPr/>
                  </pic:nvPicPr>
                  <pic:blipFill rotWithShape="1">
                    <a:blip r:embed="rId21">
                      <a:extLst>
                        <a:ext uri="{28A0092B-C50C-407E-A947-70E740481C1C}">
                          <a14:useLocalDpi xmlns:a14="http://schemas.microsoft.com/office/drawing/2010/main" val="0"/>
                        </a:ext>
                      </a:extLst>
                    </a:blip>
                    <a:srcRect l="7589" t="33431" r="9667" b="20665"/>
                    <a:stretch/>
                  </pic:blipFill>
                  <pic:spPr bwMode="auto">
                    <a:xfrm>
                      <a:off x="0" y="0"/>
                      <a:ext cx="5601970" cy="193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0A5AD" w14:textId="4680FEEB" w:rsidR="0048085C" w:rsidRDefault="0048085C" w:rsidP="0048085C"/>
    <w:p w14:paraId="569A2735" w14:textId="554EE2C2" w:rsidR="0048085C" w:rsidRDefault="00716C94" w:rsidP="00716C94">
      <w:r>
        <w:rPr>
          <w:noProof/>
        </w:rPr>
        <w:drawing>
          <wp:anchor distT="0" distB="0" distL="114300" distR="114300" simplePos="0" relativeHeight="251760640" behindDoc="0" locked="0" layoutInCell="1" allowOverlap="1" wp14:anchorId="2B2E63F6" wp14:editId="59E585E7">
            <wp:simplePos x="0" y="0"/>
            <wp:positionH relativeFrom="margin">
              <wp:posOffset>0</wp:posOffset>
            </wp:positionH>
            <wp:positionV relativeFrom="margin">
              <wp:posOffset>2407285</wp:posOffset>
            </wp:positionV>
            <wp:extent cx="5766435" cy="2509520"/>
            <wp:effectExtent l="76200" t="76200" r="151765" b="1574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18 at 8.31.30 PM.png"/>
                    <pic:cNvPicPr/>
                  </pic:nvPicPr>
                  <pic:blipFill rotWithShape="1">
                    <a:blip r:embed="rId22">
                      <a:extLst>
                        <a:ext uri="{28A0092B-C50C-407E-A947-70E740481C1C}">
                          <a14:useLocalDpi xmlns:a14="http://schemas.microsoft.com/office/drawing/2010/main" val="0"/>
                        </a:ext>
                      </a:extLst>
                    </a:blip>
                    <a:srcRect l="6967" t="33764" r="9326" b="25474"/>
                    <a:stretch/>
                  </pic:blipFill>
                  <pic:spPr bwMode="auto">
                    <a:xfrm>
                      <a:off x="0" y="0"/>
                      <a:ext cx="5766435" cy="2509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F12CA" w14:textId="7C5182F2" w:rsidR="0048085C" w:rsidRDefault="00716C94" w:rsidP="0048085C">
      <w:r>
        <w:rPr>
          <w:noProof/>
        </w:rPr>
        <mc:AlternateContent>
          <mc:Choice Requires="wps">
            <w:drawing>
              <wp:anchor distT="0" distB="0" distL="114300" distR="114300" simplePos="0" relativeHeight="251736064" behindDoc="0" locked="0" layoutInCell="1" allowOverlap="1" wp14:anchorId="543E750B" wp14:editId="11D65E86">
                <wp:simplePos x="0" y="0"/>
                <wp:positionH relativeFrom="column">
                  <wp:posOffset>740410</wp:posOffset>
                </wp:positionH>
                <wp:positionV relativeFrom="paragraph">
                  <wp:posOffset>2843530</wp:posOffset>
                </wp:positionV>
                <wp:extent cx="4453255" cy="347980"/>
                <wp:effectExtent l="0" t="0" r="17145" b="33020"/>
                <wp:wrapSquare wrapText="bothSides"/>
                <wp:docPr id="29" name="Text Box 29"/>
                <wp:cNvGraphicFramePr/>
                <a:graphic xmlns:a="http://schemas.openxmlformats.org/drawingml/2006/main">
                  <a:graphicData uri="http://schemas.microsoft.com/office/word/2010/wordprocessingShape">
                    <wps:wsp>
                      <wps:cNvSpPr txBox="1"/>
                      <wps:spPr>
                        <a:xfrm>
                          <a:off x="0" y="0"/>
                          <a:ext cx="4453255" cy="347980"/>
                        </a:xfrm>
                        <a:prstGeom prst="rect">
                          <a:avLst/>
                        </a:prstGeom>
                        <a:ln/>
                      </wps:spPr>
                      <wps:style>
                        <a:lnRef idx="2">
                          <a:schemeClr val="dk1"/>
                        </a:lnRef>
                        <a:fillRef idx="1">
                          <a:schemeClr val="lt1"/>
                        </a:fillRef>
                        <a:effectRef idx="0">
                          <a:schemeClr val="dk1"/>
                        </a:effectRef>
                        <a:fontRef idx="minor">
                          <a:schemeClr val="dk1"/>
                        </a:fontRef>
                      </wps:style>
                      <wps:txbx>
                        <w:txbxContent>
                          <w:p w14:paraId="28B79A59" w14:textId="77777777" w:rsidR="00177EB9" w:rsidRPr="00450605" w:rsidRDefault="00177EB9" w:rsidP="0048085C">
                            <w:pPr>
                              <w:jc w:val="center"/>
                              <w:rPr>
                                <w:rFonts w:asciiTheme="majorBidi" w:hAnsiTheme="majorBidi" w:cstheme="majorBidi"/>
                                <w:b/>
                                <w:bCs/>
                                <w:sz w:val="21"/>
                                <w:szCs w:val="21"/>
                              </w:rPr>
                            </w:pPr>
                            <w:r w:rsidRPr="00450605">
                              <w:rPr>
                                <w:rFonts w:asciiTheme="majorBidi" w:hAnsiTheme="majorBidi" w:cstheme="majorBidi"/>
                                <w:b/>
                                <w:bCs/>
                                <w:i/>
                                <w:iCs/>
                                <w:sz w:val="21"/>
                                <w:szCs w:val="21"/>
                              </w:rPr>
                              <w:t xml:space="preserve">Appendix Figure 2. </w:t>
                            </w:r>
                            <w:r w:rsidRPr="00450605">
                              <w:rPr>
                                <w:rFonts w:asciiTheme="majorBidi" w:hAnsiTheme="majorBidi" w:cstheme="majorBidi"/>
                                <w:b/>
                                <w:bCs/>
                                <w:sz w:val="21"/>
                                <w:szCs w:val="21"/>
                              </w:rPr>
                              <w:t>Pre and Post Treatment Mean Difference of HR</w:t>
                            </w:r>
                          </w:p>
                          <w:p w14:paraId="26A91150" w14:textId="77777777" w:rsidR="00177EB9" w:rsidRPr="00450605" w:rsidRDefault="00177EB9" w:rsidP="0048085C">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E750B" id="Text Box 29" o:spid="_x0000_s1036" type="#_x0000_t202" style="position:absolute;margin-left:58.3pt;margin-top:223.9pt;width:350.65pt;height:2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" fillcolor="white [3201]" strokecolor="black [3200]" strokeweight="1pt">
                <v:textbox>
                  <w:txbxContent>
                    <w:p w14:paraId="28B79A59" w14:textId="77777777" w:rsidR="00177EB9" w:rsidRPr="00450605" w:rsidRDefault="00177EB9" w:rsidP="0048085C">
                      <w:pPr>
                        <w:jc w:val="center"/>
                        <w:rPr>
                          <w:rFonts w:asciiTheme="majorBidi" w:hAnsiTheme="majorBidi" w:cstheme="majorBidi"/>
                          <w:b/>
                          <w:bCs/>
                          <w:sz w:val="21"/>
                          <w:szCs w:val="21"/>
                        </w:rPr>
                      </w:pPr>
                      <w:r w:rsidRPr="00450605">
                        <w:rPr>
                          <w:rFonts w:asciiTheme="majorBidi" w:hAnsiTheme="majorBidi" w:cstheme="majorBidi"/>
                          <w:b/>
                          <w:bCs/>
                          <w:i/>
                          <w:iCs/>
                          <w:sz w:val="21"/>
                          <w:szCs w:val="21"/>
                        </w:rPr>
                        <w:t xml:space="preserve">Appendix Figure 2. </w:t>
                      </w:r>
                      <w:r w:rsidRPr="00450605">
                        <w:rPr>
                          <w:rFonts w:asciiTheme="majorBidi" w:hAnsiTheme="majorBidi" w:cstheme="majorBidi"/>
                          <w:b/>
                          <w:bCs/>
                          <w:sz w:val="21"/>
                          <w:szCs w:val="21"/>
                        </w:rPr>
                        <w:t>Pre and Post Treatment Mean Difference of HR</w:t>
                      </w:r>
                    </w:p>
                    <w:p w14:paraId="26A91150" w14:textId="77777777" w:rsidR="00177EB9" w:rsidRPr="00450605" w:rsidRDefault="00177EB9" w:rsidP="0048085C">
                      <w:pPr>
                        <w:jc w:val="center"/>
                        <w:rPr>
                          <w:rFonts w:asciiTheme="majorBidi" w:hAnsiTheme="majorBidi" w:cstheme="majorBidi"/>
                          <w:b/>
                          <w:bCs/>
                          <w:sz w:val="21"/>
                          <w:szCs w:val="21"/>
                        </w:rPr>
                      </w:pPr>
                    </w:p>
                  </w:txbxContent>
                </v:textbox>
                <w10:wrap type="square"/>
              </v:shape>
            </w:pict>
          </mc:Fallback>
        </mc:AlternateContent>
      </w:r>
    </w:p>
    <w:p w14:paraId="72E0B6DB" w14:textId="36EF00B5" w:rsidR="0048085C" w:rsidRDefault="00716C94" w:rsidP="0048085C">
      <w:r>
        <w:rPr>
          <w:noProof/>
        </w:rPr>
        <mc:AlternateContent>
          <mc:Choice Requires="wps">
            <w:drawing>
              <wp:anchor distT="0" distB="0" distL="114300" distR="114300" simplePos="0" relativeHeight="251764736" behindDoc="0" locked="0" layoutInCell="1" allowOverlap="1" wp14:anchorId="3002F623" wp14:editId="395D9841">
                <wp:simplePos x="0" y="0"/>
                <wp:positionH relativeFrom="column">
                  <wp:posOffset>963930</wp:posOffset>
                </wp:positionH>
                <wp:positionV relativeFrom="paragraph">
                  <wp:posOffset>2512060</wp:posOffset>
                </wp:positionV>
                <wp:extent cx="4344670" cy="326390"/>
                <wp:effectExtent l="0" t="0" r="24130" b="29210"/>
                <wp:wrapSquare wrapText="bothSides"/>
                <wp:docPr id="23" name="Text Box 23"/>
                <wp:cNvGraphicFramePr/>
                <a:graphic xmlns:a="http://schemas.openxmlformats.org/drawingml/2006/main">
                  <a:graphicData uri="http://schemas.microsoft.com/office/word/2010/wordprocessingShape">
                    <wps:wsp>
                      <wps:cNvSpPr txBox="1"/>
                      <wps:spPr>
                        <a:xfrm>
                          <a:off x="0" y="0"/>
                          <a:ext cx="4344670" cy="326390"/>
                        </a:xfrm>
                        <a:prstGeom prst="rect">
                          <a:avLst/>
                        </a:prstGeom>
                        <a:ln/>
                      </wps:spPr>
                      <wps:style>
                        <a:lnRef idx="2">
                          <a:schemeClr val="dk1"/>
                        </a:lnRef>
                        <a:fillRef idx="1">
                          <a:schemeClr val="lt1"/>
                        </a:fillRef>
                        <a:effectRef idx="0">
                          <a:schemeClr val="dk1"/>
                        </a:effectRef>
                        <a:fontRef idx="minor">
                          <a:schemeClr val="dk1"/>
                        </a:fontRef>
                      </wps:style>
                      <wps:txbx>
                        <w:txbxContent>
                          <w:p w14:paraId="2ECE3E54" w14:textId="77777777" w:rsidR="00177EB9" w:rsidRPr="0051227D" w:rsidRDefault="00177EB9" w:rsidP="00716C94">
                            <w:pPr>
                              <w:jc w:val="center"/>
                              <w:rPr>
                                <w:rFonts w:asciiTheme="majorBidi" w:hAnsiTheme="majorBidi" w:cstheme="majorBidi"/>
                                <w:b/>
                                <w:bCs/>
                                <w:sz w:val="21"/>
                                <w:szCs w:val="21"/>
                              </w:rPr>
                            </w:pPr>
                            <w:r w:rsidRPr="0051227D">
                              <w:rPr>
                                <w:rFonts w:asciiTheme="majorBidi" w:hAnsiTheme="majorBidi" w:cstheme="majorBidi"/>
                                <w:b/>
                                <w:bCs/>
                                <w:i/>
                                <w:iCs/>
                                <w:sz w:val="21"/>
                                <w:szCs w:val="21"/>
                              </w:rPr>
                              <w:t xml:space="preserve">Appendix Figure 3. </w:t>
                            </w:r>
                            <w:r w:rsidRPr="0051227D">
                              <w:rPr>
                                <w:rFonts w:asciiTheme="majorBidi" w:hAnsiTheme="majorBidi" w:cstheme="majorBidi"/>
                                <w:b/>
                                <w:bCs/>
                                <w:sz w:val="21"/>
                                <w:szCs w:val="21"/>
                              </w:rPr>
                              <w:t xml:space="preserve"> Summary of Relative Risk of ischemic events </w:t>
                            </w:r>
                          </w:p>
                          <w:p w14:paraId="3939F30F" w14:textId="77777777" w:rsidR="00177EB9" w:rsidRPr="0051227D" w:rsidRDefault="00177EB9" w:rsidP="00716C94">
                            <w:pPr>
                              <w:jc w:val="center"/>
                              <w:rPr>
                                <w:rFonts w:asciiTheme="majorBidi" w:hAnsiTheme="majorBidi" w:cstheme="majorBidi"/>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F623" id="Text Box 23" o:spid="_x0000_s1037" type="#_x0000_t202" style="position:absolute;margin-left:75.9pt;margin-top:197.8pt;width:342.1pt;height:2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" fillcolor="white [3201]" strokecolor="black [3200]" strokeweight="1pt">
                <v:textbox>
                  <w:txbxContent>
                    <w:p w14:paraId="2ECE3E54" w14:textId="77777777" w:rsidR="00177EB9" w:rsidRPr="0051227D" w:rsidRDefault="00177EB9" w:rsidP="00716C94">
                      <w:pPr>
                        <w:jc w:val="center"/>
                        <w:rPr>
                          <w:rFonts w:asciiTheme="majorBidi" w:hAnsiTheme="majorBidi" w:cstheme="majorBidi"/>
                          <w:b/>
                          <w:bCs/>
                          <w:sz w:val="21"/>
                          <w:szCs w:val="21"/>
                        </w:rPr>
                      </w:pPr>
                      <w:r w:rsidRPr="0051227D">
                        <w:rPr>
                          <w:rFonts w:asciiTheme="majorBidi" w:hAnsiTheme="majorBidi" w:cstheme="majorBidi"/>
                          <w:b/>
                          <w:bCs/>
                          <w:i/>
                          <w:iCs/>
                          <w:sz w:val="21"/>
                          <w:szCs w:val="21"/>
                        </w:rPr>
                        <w:t xml:space="preserve">Appendix Figure 3. </w:t>
                      </w:r>
                      <w:r w:rsidRPr="0051227D">
                        <w:rPr>
                          <w:rFonts w:asciiTheme="majorBidi" w:hAnsiTheme="majorBidi" w:cstheme="majorBidi"/>
                          <w:b/>
                          <w:bCs/>
                          <w:sz w:val="21"/>
                          <w:szCs w:val="21"/>
                        </w:rPr>
                        <w:t xml:space="preserve"> Summary of Relative Risk of ischemic events </w:t>
                      </w:r>
                    </w:p>
                    <w:p w14:paraId="3939F30F" w14:textId="77777777" w:rsidR="00177EB9" w:rsidRPr="0051227D" w:rsidRDefault="00177EB9" w:rsidP="00716C94">
                      <w:pPr>
                        <w:jc w:val="center"/>
                        <w:rPr>
                          <w:rFonts w:asciiTheme="majorBidi" w:hAnsiTheme="majorBidi" w:cstheme="majorBidi"/>
                          <w:b/>
                          <w:bCs/>
                          <w:sz w:val="21"/>
                          <w:szCs w:val="21"/>
                        </w:rPr>
                      </w:pPr>
                    </w:p>
                  </w:txbxContent>
                </v:textbox>
                <w10:wrap type="square"/>
              </v:shape>
            </w:pict>
          </mc:Fallback>
        </mc:AlternateContent>
      </w:r>
      <w:r>
        <w:rPr>
          <w:noProof/>
        </w:rPr>
        <w:drawing>
          <wp:anchor distT="0" distB="0" distL="114300" distR="114300" simplePos="0" relativeHeight="251762688" behindDoc="0" locked="0" layoutInCell="1" allowOverlap="1" wp14:anchorId="3D8CB8CA" wp14:editId="353468E8">
            <wp:simplePos x="0" y="0"/>
            <wp:positionH relativeFrom="margin">
              <wp:posOffset>50800</wp:posOffset>
            </wp:positionH>
            <wp:positionV relativeFrom="margin">
              <wp:posOffset>5603240</wp:posOffset>
            </wp:positionV>
            <wp:extent cx="5716270" cy="2059940"/>
            <wp:effectExtent l="76200" t="76200" r="151130" b="14986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18 at 8.33.58 PM.png"/>
                    <pic:cNvPicPr/>
                  </pic:nvPicPr>
                  <pic:blipFill rotWithShape="1">
                    <a:blip r:embed="rId23">
                      <a:extLst>
                        <a:ext uri="{28A0092B-C50C-407E-A947-70E740481C1C}">
                          <a14:useLocalDpi xmlns:a14="http://schemas.microsoft.com/office/drawing/2010/main" val="0"/>
                        </a:ext>
                      </a:extLst>
                    </a:blip>
                    <a:srcRect l="9149" t="36590" r="10801" b="17986"/>
                    <a:stretch/>
                  </pic:blipFill>
                  <pic:spPr bwMode="auto">
                    <a:xfrm>
                      <a:off x="0" y="0"/>
                      <a:ext cx="5716270" cy="205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3E9EB" w14:textId="36DF7DEF" w:rsidR="0048085C" w:rsidRDefault="0048085C" w:rsidP="0048085C">
      <w:pPr>
        <w:tabs>
          <w:tab w:val="left" w:pos="2848"/>
        </w:tabs>
      </w:pPr>
    </w:p>
    <w:p w14:paraId="0EFEA77B" w14:textId="2D2C76C3" w:rsidR="0048085C" w:rsidRDefault="0048085C" w:rsidP="0048085C">
      <w:pPr>
        <w:tabs>
          <w:tab w:val="left" w:pos="2848"/>
        </w:tabs>
      </w:pPr>
    </w:p>
    <w:p w14:paraId="5A6BD2DA" w14:textId="52B64FD6" w:rsidR="0048085C" w:rsidRDefault="0048085C" w:rsidP="0048085C">
      <w:pPr>
        <w:tabs>
          <w:tab w:val="left" w:pos="2848"/>
        </w:tabs>
      </w:pPr>
    </w:p>
    <w:p w14:paraId="7584E5BC" w14:textId="0ED7C973" w:rsidR="0048085C" w:rsidRDefault="0048085C" w:rsidP="0048085C">
      <w:pPr>
        <w:tabs>
          <w:tab w:val="left" w:pos="2848"/>
        </w:tabs>
      </w:pPr>
    </w:p>
    <w:p w14:paraId="066E56C2" w14:textId="7F2E505F" w:rsidR="0048085C" w:rsidRDefault="0048085C" w:rsidP="0048085C">
      <w:pPr>
        <w:tabs>
          <w:tab w:val="left" w:pos="2848"/>
        </w:tabs>
      </w:pPr>
    </w:p>
    <w:p w14:paraId="520314E3" w14:textId="75B533F2" w:rsidR="0048085C" w:rsidRPr="00450605" w:rsidRDefault="0048085C" w:rsidP="0048085C">
      <w:pPr>
        <w:tabs>
          <w:tab w:val="left" w:pos="2848"/>
        </w:tabs>
      </w:pPr>
    </w:p>
    <w:p w14:paraId="797A59FD" w14:textId="5853A521" w:rsidR="0048085C" w:rsidRPr="0048085C" w:rsidRDefault="0048085C" w:rsidP="0048085C">
      <w:pPr>
        <w:rPr>
          <w:rFonts w:asciiTheme="majorBidi" w:hAnsiTheme="majorBidi" w:cstheme="majorBidi"/>
        </w:rPr>
      </w:pPr>
    </w:p>
    <w:p w14:paraId="091BB405" w14:textId="77777777" w:rsidR="0048085C" w:rsidRPr="0048085C" w:rsidRDefault="0048085C" w:rsidP="0048085C">
      <w:pPr>
        <w:rPr>
          <w:rFonts w:asciiTheme="majorBidi" w:hAnsiTheme="majorBidi" w:cstheme="majorBidi"/>
        </w:rPr>
      </w:pPr>
    </w:p>
    <w:p w14:paraId="572C6D56" w14:textId="77777777" w:rsidR="0048085C" w:rsidRPr="0048085C" w:rsidRDefault="0048085C" w:rsidP="0048085C">
      <w:pPr>
        <w:rPr>
          <w:rFonts w:asciiTheme="majorBidi" w:hAnsiTheme="majorBidi" w:cstheme="majorBidi"/>
        </w:rPr>
      </w:pPr>
    </w:p>
    <w:p w14:paraId="583F44E0" w14:textId="77777777" w:rsidR="0048085C" w:rsidRPr="0048085C" w:rsidRDefault="0048085C" w:rsidP="0048085C">
      <w:pPr>
        <w:rPr>
          <w:rFonts w:asciiTheme="majorBidi" w:hAnsiTheme="majorBidi" w:cstheme="majorBidi"/>
        </w:rPr>
      </w:pPr>
    </w:p>
    <w:p w14:paraId="1BB11BC4" w14:textId="77777777" w:rsidR="0048085C" w:rsidRPr="0048085C" w:rsidRDefault="0048085C" w:rsidP="0048085C">
      <w:pPr>
        <w:rPr>
          <w:rFonts w:asciiTheme="majorBidi" w:hAnsiTheme="majorBidi" w:cstheme="majorBidi"/>
        </w:rPr>
      </w:pPr>
    </w:p>
    <w:p w14:paraId="5BF34390" w14:textId="77777777" w:rsidR="0048085C" w:rsidRPr="0048085C" w:rsidRDefault="0048085C" w:rsidP="0048085C">
      <w:pPr>
        <w:rPr>
          <w:rFonts w:asciiTheme="majorBidi" w:hAnsiTheme="majorBidi" w:cstheme="majorBidi"/>
        </w:rPr>
      </w:pPr>
    </w:p>
    <w:p w14:paraId="5C98613B" w14:textId="77777777" w:rsidR="0048085C" w:rsidRPr="0048085C" w:rsidRDefault="0048085C" w:rsidP="0048085C">
      <w:pPr>
        <w:rPr>
          <w:rFonts w:asciiTheme="majorBidi" w:hAnsiTheme="majorBidi" w:cstheme="majorBidi"/>
        </w:rPr>
      </w:pPr>
    </w:p>
    <w:p w14:paraId="40A19583" w14:textId="77777777" w:rsidR="0048085C" w:rsidRPr="0048085C" w:rsidRDefault="0048085C" w:rsidP="0048085C">
      <w:pPr>
        <w:rPr>
          <w:rFonts w:asciiTheme="majorBidi" w:hAnsiTheme="majorBidi" w:cstheme="majorBidi"/>
        </w:rPr>
      </w:pPr>
    </w:p>
    <w:p w14:paraId="79EBDD95" w14:textId="77777777" w:rsidR="0048085C" w:rsidRPr="0048085C" w:rsidRDefault="0048085C" w:rsidP="0048085C">
      <w:pPr>
        <w:rPr>
          <w:rFonts w:asciiTheme="majorBidi" w:hAnsiTheme="majorBidi" w:cstheme="majorBidi"/>
        </w:rPr>
      </w:pPr>
    </w:p>
    <w:p w14:paraId="73E62174" w14:textId="77777777" w:rsidR="0048085C" w:rsidRPr="0048085C" w:rsidRDefault="0048085C" w:rsidP="0048085C">
      <w:pPr>
        <w:rPr>
          <w:rFonts w:asciiTheme="majorBidi" w:hAnsiTheme="majorBidi" w:cstheme="majorBidi"/>
        </w:rPr>
      </w:pPr>
    </w:p>
    <w:p w14:paraId="78E850E3" w14:textId="61585078" w:rsidR="0048085C" w:rsidRPr="0048085C" w:rsidRDefault="0048085C" w:rsidP="0048085C">
      <w:pPr>
        <w:rPr>
          <w:rFonts w:asciiTheme="majorBidi" w:hAnsiTheme="majorBidi" w:cstheme="majorBidi"/>
        </w:rPr>
      </w:pPr>
    </w:p>
    <w:p w14:paraId="172FD71C" w14:textId="77777777" w:rsidR="0048085C" w:rsidRPr="0048085C" w:rsidRDefault="0048085C" w:rsidP="0048085C">
      <w:pPr>
        <w:rPr>
          <w:rFonts w:asciiTheme="majorBidi" w:hAnsiTheme="majorBidi" w:cstheme="majorBidi"/>
        </w:rPr>
      </w:pPr>
    </w:p>
    <w:p w14:paraId="63663CE5" w14:textId="77777777" w:rsidR="0048085C" w:rsidRPr="0048085C" w:rsidRDefault="0048085C" w:rsidP="0048085C">
      <w:pPr>
        <w:rPr>
          <w:rFonts w:asciiTheme="majorBidi" w:hAnsiTheme="majorBidi" w:cstheme="majorBidi"/>
        </w:rPr>
      </w:pPr>
    </w:p>
    <w:p w14:paraId="47E3FFE5" w14:textId="77777777" w:rsidR="0048085C" w:rsidRPr="0048085C" w:rsidRDefault="0048085C" w:rsidP="0048085C">
      <w:pPr>
        <w:rPr>
          <w:rFonts w:asciiTheme="majorBidi" w:hAnsiTheme="majorBidi" w:cstheme="majorBidi"/>
        </w:rPr>
      </w:pPr>
    </w:p>
    <w:p w14:paraId="7FF3106E" w14:textId="77777777" w:rsidR="0048085C" w:rsidRPr="0048085C" w:rsidRDefault="0048085C" w:rsidP="0048085C">
      <w:pPr>
        <w:rPr>
          <w:rFonts w:asciiTheme="majorBidi" w:hAnsiTheme="majorBidi" w:cstheme="majorBidi"/>
        </w:rPr>
      </w:pPr>
    </w:p>
    <w:p w14:paraId="2EAA8F7E" w14:textId="603D156D" w:rsidR="0048085C" w:rsidRPr="0048085C" w:rsidRDefault="0048085C" w:rsidP="0048085C">
      <w:pPr>
        <w:rPr>
          <w:rFonts w:asciiTheme="majorBidi" w:hAnsiTheme="majorBidi" w:cstheme="majorBidi"/>
        </w:rPr>
      </w:pPr>
    </w:p>
    <w:p w14:paraId="67026738" w14:textId="77777777" w:rsidR="0048085C" w:rsidRPr="0048085C" w:rsidRDefault="0048085C" w:rsidP="0048085C">
      <w:pPr>
        <w:rPr>
          <w:rFonts w:asciiTheme="majorBidi" w:hAnsiTheme="majorBidi" w:cstheme="majorBidi"/>
        </w:rPr>
      </w:pPr>
    </w:p>
    <w:p w14:paraId="1E48640F" w14:textId="77777777" w:rsidR="0048085C" w:rsidRPr="0048085C" w:rsidRDefault="0048085C" w:rsidP="0048085C">
      <w:pPr>
        <w:rPr>
          <w:rFonts w:asciiTheme="majorBidi" w:hAnsiTheme="majorBidi" w:cstheme="majorBidi"/>
        </w:rPr>
      </w:pPr>
    </w:p>
    <w:p w14:paraId="0081B23E" w14:textId="77777777" w:rsidR="0048085C" w:rsidRPr="0048085C" w:rsidRDefault="0048085C" w:rsidP="0048085C">
      <w:pPr>
        <w:rPr>
          <w:rFonts w:asciiTheme="majorBidi" w:hAnsiTheme="majorBidi" w:cstheme="majorBidi"/>
        </w:rPr>
      </w:pPr>
    </w:p>
    <w:p w14:paraId="442DE3D5" w14:textId="5A33639F" w:rsidR="00D109F7" w:rsidRPr="0048085C" w:rsidRDefault="00D109F7" w:rsidP="0048085C">
      <w:pPr>
        <w:rPr>
          <w:rFonts w:asciiTheme="majorBidi" w:hAnsiTheme="majorBidi" w:cstheme="majorBidi"/>
        </w:rPr>
      </w:pPr>
    </w:p>
    <w:sectPr w:rsidR="00D109F7" w:rsidRPr="0048085C" w:rsidSect="00311D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E34B6" w14:textId="77777777" w:rsidR="00C54B25" w:rsidRDefault="00C54B25" w:rsidP="00170365">
      <w:r>
        <w:separator/>
      </w:r>
    </w:p>
  </w:endnote>
  <w:endnote w:type="continuationSeparator" w:id="0">
    <w:p w14:paraId="4D1E15CA" w14:textId="77777777" w:rsidR="00C54B25" w:rsidRDefault="00C54B25" w:rsidP="0017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auto"/>
    <w:pitch w:val="variable"/>
    <w:sig w:usb0="00000003" w:usb1="00000000" w:usb2="00000000" w:usb3="00000000" w:csb0="00000003"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C10CC" w14:textId="77777777" w:rsidR="00C54B25" w:rsidRDefault="00C54B25" w:rsidP="00170365">
      <w:r>
        <w:separator/>
      </w:r>
    </w:p>
  </w:footnote>
  <w:footnote w:type="continuationSeparator" w:id="0">
    <w:p w14:paraId="4F9CC4C2" w14:textId="77777777" w:rsidR="00C54B25" w:rsidRDefault="00C54B25" w:rsidP="001703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015A"/>
    <w:multiLevelType w:val="hybridMultilevel"/>
    <w:tmpl w:val="F064E960"/>
    <w:lvl w:ilvl="0" w:tplc="B022A45C">
      <w:start w:val="1"/>
      <w:numFmt w:val="bullet"/>
      <w:lvlText w:val=" "/>
      <w:lvlJc w:val="left"/>
      <w:pPr>
        <w:tabs>
          <w:tab w:val="num" w:pos="720"/>
        </w:tabs>
        <w:ind w:left="720" w:hanging="360"/>
      </w:pPr>
      <w:rPr>
        <w:rFonts w:ascii="Tw Cen MT" w:hAnsi="Tw Cen MT" w:hint="default"/>
      </w:rPr>
    </w:lvl>
    <w:lvl w:ilvl="1" w:tplc="0C825AAE" w:tentative="1">
      <w:start w:val="1"/>
      <w:numFmt w:val="bullet"/>
      <w:lvlText w:val=" "/>
      <w:lvlJc w:val="left"/>
      <w:pPr>
        <w:tabs>
          <w:tab w:val="num" w:pos="1440"/>
        </w:tabs>
        <w:ind w:left="1440" w:hanging="360"/>
      </w:pPr>
      <w:rPr>
        <w:rFonts w:ascii="Tw Cen MT" w:hAnsi="Tw Cen MT" w:hint="default"/>
      </w:rPr>
    </w:lvl>
    <w:lvl w:ilvl="2" w:tplc="33A49EA0" w:tentative="1">
      <w:start w:val="1"/>
      <w:numFmt w:val="bullet"/>
      <w:lvlText w:val=" "/>
      <w:lvlJc w:val="left"/>
      <w:pPr>
        <w:tabs>
          <w:tab w:val="num" w:pos="2160"/>
        </w:tabs>
        <w:ind w:left="2160" w:hanging="360"/>
      </w:pPr>
      <w:rPr>
        <w:rFonts w:ascii="Tw Cen MT" w:hAnsi="Tw Cen MT" w:hint="default"/>
      </w:rPr>
    </w:lvl>
    <w:lvl w:ilvl="3" w:tplc="D4380EAE" w:tentative="1">
      <w:start w:val="1"/>
      <w:numFmt w:val="bullet"/>
      <w:lvlText w:val=" "/>
      <w:lvlJc w:val="left"/>
      <w:pPr>
        <w:tabs>
          <w:tab w:val="num" w:pos="2880"/>
        </w:tabs>
        <w:ind w:left="2880" w:hanging="360"/>
      </w:pPr>
      <w:rPr>
        <w:rFonts w:ascii="Tw Cen MT" w:hAnsi="Tw Cen MT" w:hint="default"/>
      </w:rPr>
    </w:lvl>
    <w:lvl w:ilvl="4" w:tplc="811481F2" w:tentative="1">
      <w:start w:val="1"/>
      <w:numFmt w:val="bullet"/>
      <w:lvlText w:val=" "/>
      <w:lvlJc w:val="left"/>
      <w:pPr>
        <w:tabs>
          <w:tab w:val="num" w:pos="3600"/>
        </w:tabs>
        <w:ind w:left="3600" w:hanging="360"/>
      </w:pPr>
      <w:rPr>
        <w:rFonts w:ascii="Tw Cen MT" w:hAnsi="Tw Cen MT" w:hint="default"/>
      </w:rPr>
    </w:lvl>
    <w:lvl w:ilvl="5" w:tplc="B512E974" w:tentative="1">
      <w:start w:val="1"/>
      <w:numFmt w:val="bullet"/>
      <w:lvlText w:val=" "/>
      <w:lvlJc w:val="left"/>
      <w:pPr>
        <w:tabs>
          <w:tab w:val="num" w:pos="4320"/>
        </w:tabs>
        <w:ind w:left="4320" w:hanging="360"/>
      </w:pPr>
      <w:rPr>
        <w:rFonts w:ascii="Tw Cen MT" w:hAnsi="Tw Cen MT" w:hint="default"/>
      </w:rPr>
    </w:lvl>
    <w:lvl w:ilvl="6" w:tplc="B3BEF0FC" w:tentative="1">
      <w:start w:val="1"/>
      <w:numFmt w:val="bullet"/>
      <w:lvlText w:val=" "/>
      <w:lvlJc w:val="left"/>
      <w:pPr>
        <w:tabs>
          <w:tab w:val="num" w:pos="5040"/>
        </w:tabs>
        <w:ind w:left="5040" w:hanging="360"/>
      </w:pPr>
      <w:rPr>
        <w:rFonts w:ascii="Tw Cen MT" w:hAnsi="Tw Cen MT" w:hint="default"/>
      </w:rPr>
    </w:lvl>
    <w:lvl w:ilvl="7" w:tplc="B12ED460" w:tentative="1">
      <w:start w:val="1"/>
      <w:numFmt w:val="bullet"/>
      <w:lvlText w:val=" "/>
      <w:lvlJc w:val="left"/>
      <w:pPr>
        <w:tabs>
          <w:tab w:val="num" w:pos="5760"/>
        </w:tabs>
        <w:ind w:left="5760" w:hanging="360"/>
      </w:pPr>
      <w:rPr>
        <w:rFonts w:ascii="Tw Cen MT" w:hAnsi="Tw Cen MT" w:hint="default"/>
      </w:rPr>
    </w:lvl>
    <w:lvl w:ilvl="8" w:tplc="21A86F42" w:tentative="1">
      <w:start w:val="1"/>
      <w:numFmt w:val="bullet"/>
      <w:lvlText w:val=" "/>
      <w:lvlJc w:val="left"/>
      <w:pPr>
        <w:tabs>
          <w:tab w:val="num" w:pos="6480"/>
        </w:tabs>
        <w:ind w:left="6480" w:hanging="360"/>
      </w:pPr>
      <w:rPr>
        <w:rFonts w:ascii="Tw Cen MT" w:hAnsi="Tw Cen MT" w:hint="default"/>
      </w:rPr>
    </w:lvl>
  </w:abstractNum>
  <w:abstractNum w:abstractNumId="1">
    <w:nsid w:val="21A573EF"/>
    <w:multiLevelType w:val="hybridMultilevel"/>
    <w:tmpl w:val="D84683B4"/>
    <w:lvl w:ilvl="0" w:tplc="2D7A2B92">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D2E39"/>
    <w:multiLevelType w:val="hybridMultilevel"/>
    <w:tmpl w:val="A65CC996"/>
    <w:lvl w:ilvl="0" w:tplc="0E80A55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29C6D13"/>
    <w:multiLevelType w:val="hybridMultilevel"/>
    <w:tmpl w:val="6B7AC510"/>
    <w:lvl w:ilvl="0" w:tplc="EAA66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A4602D"/>
    <w:multiLevelType w:val="hybridMultilevel"/>
    <w:tmpl w:val="843C65E6"/>
    <w:lvl w:ilvl="0" w:tplc="C456C64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E22027"/>
    <w:multiLevelType w:val="hybridMultilevel"/>
    <w:tmpl w:val="7BC22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9F7"/>
    <w:rsid w:val="00004698"/>
    <w:rsid w:val="00022873"/>
    <w:rsid w:val="000248AA"/>
    <w:rsid w:val="00026707"/>
    <w:rsid w:val="00030DCD"/>
    <w:rsid w:val="00034195"/>
    <w:rsid w:val="000565CF"/>
    <w:rsid w:val="0006036C"/>
    <w:rsid w:val="000834DB"/>
    <w:rsid w:val="00095DC2"/>
    <w:rsid w:val="000976E9"/>
    <w:rsid w:val="000A0A78"/>
    <w:rsid w:val="000A1F81"/>
    <w:rsid w:val="000A3D67"/>
    <w:rsid w:val="000A4C56"/>
    <w:rsid w:val="000C1353"/>
    <w:rsid w:val="000C55A7"/>
    <w:rsid w:val="000F3A96"/>
    <w:rsid w:val="00100734"/>
    <w:rsid w:val="001031C3"/>
    <w:rsid w:val="001440D1"/>
    <w:rsid w:val="00147DF9"/>
    <w:rsid w:val="00162879"/>
    <w:rsid w:val="00170365"/>
    <w:rsid w:val="001714FC"/>
    <w:rsid w:val="00177EB9"/>
    <w:rsid w:val="001A6732"/>
    <w:rsid w:val="001B2B86"/>
    <w:rsid w:val="001E0523"/>
    <w:rsid w:val="00202124"/>
    <w:rsid w:val="002137FC"/>
    <w:rsid w:val="00216693"/>
    <w:rsid w:val="00217C67"/>
    <w:rsid w:val="002308A5"/>
    <w:rsid w:val="0023479D"/>
    <w:rsid w:val="002450F0"/>
    <w:rsid w:val="00247A0F"/>
    <w:rsid w:val="00256F35"/>
    <w:rsid w:val="00260650"/>
    <w:rsid w:val="00264A5D"/>
    <w:rsid w:val="00265E7D"/>
    <w:rsid w:val="00266257"/>
    <w:rsid w:val="00295DBC"/>
    <w:rsid w:val="002A0E27"/>
    <w:rsid w:val="002A4B06"/>
    <w:rsid w:val="002B7B2F"/>
    <w:rsid w:val="00303B13"/>
    <w:rsid w:val="00311DB5"/>
    <w:rsid w:val="00325E3C"/>
    <w:rsid w:val="0037449F"/>
    <w:rsid w:val="00384F4B"/>
    <w:rsid w:val="003B35F7"/>
    <w:rsid w:val="003D61FD"/>
    <w:rsid w:val="003D6DBE"/>
    <w:rsid w:val="003D71ED"/>
    <w:rsid w:val="003E3290"/>
    <w:rsid w:val="003E4C8B"/>
    <w:rsid w:val="003F4481"/>
    <w:rsid w:val="0040056B"/>
    <w:rsid w:val="004044A2"/>
    <w:rsid w:val="00423D20"/>
    <w:rsid w:val="0042472C"/>
    <w:rsid w:val="00441329"/>
    <w:rsid w:val="00442182"/>
    <w:rsid w:val="00466E30"/>
    <w:rsid w:val="004751A2"/>
    <w:rsid w:val="0048085C"/>
    <w:rsid w:val="004861E7"/>
    <w:rsid w:val="00487BE1"/>
    <w:rsid w:val="004900C1"/>
    <w:rsid w:val="004C0759"/>
    <w:rsid w:val="004C1147"/>
    <w:rsid w:val="004D4C3E"/>
    <w:rsid w:val="004E3F36"/>
    <w:rsid w:val="00504CF8"/>
    <w:rsid w:val="005145C4"/>
    <w:rsid w:val="00520C52"/>
    <w:rsid w:val="00521297"/>
    <w:rsid w:val="00521BEF"/>
    <w:rsid w:val="005373E8"/>
    <w:rsid w:val="00541262"/>
    <w:rsid w:val="005503E8"/>
    <w:rsid w:val="00552FF5"/>
    <w:rsid w:val="00562D5C"/>
    <w:rsid w:val="00565F18"/>
    <w:rsid w:val="0058716C"/>
    <w:rsid w:val="005871BA"/>
    <w:rsid w:val="00594FE8"/>
    <w:rsid w:val="00597C5F"/>
    <w:rsid w:val="005A26B2"/>
    <w:rsid w:val="005A4645"/>
    <w:rsid w:val="005A565D"/>
    <w:rsid w:val="005B135C"/>
    <w:rsid w:val="005B1549"/>
    <w:rsid w:val="005C5B3A"/>
    <w:rsid w:val="005D68AE"/>
    <w:rsid w:val="005F4273"/>
    <w:rsid w:val="00612134"/>
    <w:rsid w:val="00654260"/>
    <w:rsid w:val="00677707"/>
    <w:rsid w:val="006806D4"/>
    <w:rsid w:val="00682929"/>
    <w:rsid w:val="00687305"/>
    <w:rsid w:val="006A09F6"/>
    <w:rsid w:val="006C6E50"/>
    <w:rsid w:val="006C770F"/>
    <w:rsid w:val="006D4002"/>
    <w:rsid w:val="006D745A"/>
    <w:rsid w:val="006E74B2"/>
    <w:rsid w:val="00710D92"/>
    <w:rsid w:val="00715230"/>
    <w:rsid w:val="00716C94"/>
    <w:rsid w:val="00722A9F"/>
    <w:rsid w:val="00743FCB"/>
    <w:rsid w:val="00746ADA"/>
    <w:rsid w:val="00791861"/>
    <w:rsid w:val="00792B85"/>
    <w:rsid w:val="00796611"/>
    <w:rsid w:val="007B5EE2"/>
    <w:rsid w:val="007B72FD"/>
    <w:rsid w:val="007E5545"/>
    <w:rsid w:val="00815C37"/>
    <w:rsid w:val="00815F40"/>
    <w:rsid w:val="008240B9"/>
    <w:rsid w:val="00825034"/>
    <w:rsid w:val="00831AD6"/>
    <w:rsid w:val="0085412D"/>
    <w:rsid w:val="00861877"/>
    <w:rsid w:val="00862EC1"/>
    <w:rsid w:val="0086351E"/>
    <w:rsid w:val="00891878"/>
    <w:rsid w:val="008B3EE6"/>
    <w:rsid w:val="008C368A"/>
    <w:rsid w:val="008D1869"/>
    <w:rsid w:val="008D1AF3"/>
    <w:rsid w:val="008E0EEF"/>
    <w:rsid w:val="008F1593"/>
    <w:rsid w:val="008F555B"/>
    <w:rsid w:val="00905A04"/>
    <w:rsid w:val="00917A33"/>
    <w:rsid w:val="00934C47"/>
    <w:rsid w:val="009444ED"/>
    <w:rsid w:val="00945FE6"/>
    <w:rsid w:val="00947807"/>
    <w:rsid w:val="00952A60"/>
    <w:rsid w:val="00973DE5"/>
    <w:rsid w:val="00993FF1"/>
    <w:rsid w:val="009A7007"/>
    <w:rsid w:val="009D0C4C"/>
    <w:rsid w:val="009D73E5"/>
    <w:rsid w:val="009E5870"/>
    <w:rsid w:val="00A1463A"/>
    <w:rsid w:val="00A22368"/>
    <w:rsid w:val="00A2426C"/>
    <w:rsid w:val="00A464F5"/>
    <w:rsid w:val="00A63856"/>
    <w:rsid w:val="00A8071F"/>
    <w:rsid w:val="00A85DB0"/>
    <w:rsid w:val="00A92671"/>
    <w:rsid w:val="00AA2480"/>
    <w:rsid w:val="00AA40A8"/>
    <w:rsid w:val="00AD147C"/>
    <w:rsid w:val="00AE4655"/>
    <w:rsid w:val="00B03D0E"/>
    <w:rsid w:val="00B04699"/>
    <w:rsid w:val="00B20FA6"/>
    <w:rsid w:val="00B42005"/>
    <w:rsid w:val="00B4530B"/>
    <w:rsid w:val="00B55C18"/>
    <w:rsid w:val="00B61306"/>
    <w:rsid w:val="00B84EFD"/>
    <w:rsid w:val="00BA1D03"/>
    <w:rsid w:val="00BA3E09"/>
    <w:rsid w:val="00BC061D"/>
    <w:rsid w:val="00BD4E7D"/>
    <w:rsid w:val="00BE1368"/>
    <w:rsid w:val="00BF204B"/>
    <w:rsid w:val="00BF547A"/>
    <w:rsid w:val="00BF5C90"/>
    <w:rsid w:val="00C0506D"/>
    <w:rsid w:val="00C15638"/>
    <w:rsid w:val="00C3762D"/>
    <w:rsid w:val="00C54B25"/>
    <w:rsid w:val="00C56EDF"/>
    <w:rsid w:val="00CA0E5B"/>
    <w:rsid w:val="00CD57A4"/>
    <w:rsid w:val="00CE0FAF"/>
    <w:rsid w:val="00CF67A0"/>
    <w:rsid w:val="00D01DAD"/>
    <w:rsid w:val="00D06FE8"/>
    <w:rsid w:val="00D07655"/>
    <w:rsid w:val="00D109F7"/>
    <w:rsid w:val="00D25E24"/>
    <w:rsid w:val="00D26FD7"/>
    <w:rsid w:val="00D33A83"/>
    <w:rsid w:val="00D34541"/>
    <w:rsid w:val="00D5492A"/>
    <w:rsid w:val="00D57F38"/>
    <w:rsid w:val="00D77A41"/>
    <w:rsid w:val="00DA2162"/>
    <w:rsid w:val="00DB58B9"/>
    <w:rsid w:val="00DB6874"/>
    <w:rsid w:val="00DB6A8B"/>
    <w:rsid w:val="00DB7F77"/>
    <w:rsid w:val="00DE5F4C"/>
    <w:rsid w:val="00DF3EB6"/>
    <w:rsid w:val="00E00570"/>
    <w:rsid w:val="00E0206B"/>
    <w:rsid w:val="00E03269"/>
    <w:rsid w:val="00E233BB"/>
    <w:rsid w:val="00E350C8"/>
    <w:rsid w:val="00E40520"/>
    <w:rsid w:val="00E76F91"/>
    <w:rsid w:val="00E965CC"/>
    <w:rsid w:val="00EC55A3"/>
    <w:rsid w:val="00EE7868"/>
    <w:rsid w:val="00F04513"/>
    <w:rsid w:val="00F3687D"/>
    <w:rsid w:val="00F5694E"/>
    <w:rsid w:val="00F60C85"/>
    <w:rsid w:val="00F613B3"/>
    <w:rsid w:val="00F710AA"/>
    <w:rsid w:val="00F77C8A"/>
    <w:rsid w:val="00F83419"/>
    <w:rsid w:val="00F9578E"/>
    <w:rsid w:val="00FA4E1C"/>
    <w:rsid w:val="00FC2383"/>
    <w:rsid w:val="00FC66EA"/>
    <w:rsid w:val="00FD21F1"/>
    <w:rsid w:val="00FE0FE6"/>
    <w:rsid w:val="00FE5B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E73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7305"/>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1B2B86"/>
    <w:pPr>
      <w:ind w:left="720"/>
      <w:contextualSpacing/>
    </w:pPr>
    <w:rPr>
      <w:rFonts w:eastAsiaTheme="minorEastAsia"/>
    </w:rPr>
  </w:style>
  <w:style w:type="character" w:styleId="Hyperlink">
    <w:name w:val="Hyperlink"/>
    <w:basedOn w:val="DefaultParagraphFont"/>
    <w:uiPriority w:val="99"/>
    <w:unhideWhenUsed/>
    <w:rsid w:val="001B2B86"/>
    <w:rPr>
      <w:color w:val="0563C1" w:themeColor="hyperlink"/>
      <w:u w:val="single"/>
    </w:rPr>
  </w:style>
  <w:style w:type="table" w:customStyle="1" w:styleId="GridTable1Light1">
    <w:name w:val="Grid Table 1 Light1"/>
    <w:basedOn w:val="TableNormal"/>
    <w:uiPriority w:val="46"/>
    <w:rsid w:val="00552FF5"/>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90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3">
    <w:name w:val="Grid Table 5 Dark Accent 3"/>
    <w:basedOn w:val="TableNormal"/>
    <w:uiPriority w:val="50"/>
    <w:rsid w:val="00466E3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170365"/>
    <w:pPr>
      <w:tabs>
        <w:tab w:val="center" w:pos="4680"/>
        <w:tab w:val="right" w:pos="9360"/>
      </w:tabs>
    </w:pPr>
  </w:style>
  <w:style w:type="character" w:customStyle="1" w:styleId="HeaderChar">
    <w:name w:val="Header Char"/>
    <w:basedOn w:val="DefaultParagraphFont"/>
    <w:link w:val="Header"/>
    <w:uiPriority w:val="99"/>
    <w:rsid w:val="00170365"/>
  </w:style>
  <w:style w:type="paragraph" w:styleId="Footer">
    <w:name w:val="footer"/>
    <w:basedOn w:val="Normal"/>
    <w:link w:val="FooterChar"/>
    <w:uiPriority w:val="99"/>
    <w:unhideWhenUsed/>
    <w:rsid w:val="00170365"/>
    <w:pPr>
      <w:tabs>
        <w:tab w:val="center" w:pos="4680"/>
        <w:tab w:val="right" w:pos="9360"/>
      </w:tabs>
    </w:pPr>
  </w:style>
  <w:style w:type="character" w:customStyle="1" w:styleId="FooterChar">
    <w:name w:val="Footer Char"/>
    <w:basedOn w:val="DefaultParagraphFont"/>
    <w:link w:val="Footer"/>
    <w:uiPriority w:val="99"/>
    <w:rsid w:val="00170365"/>
  </w:style>
  <w:style w:type="character" w:styleId="Strong">
    <w:name w:val="Strong"/>
    <w:basedOn w:val="DefaultParagraphFont"/>
    <w:uiPriority w:val="22"/>
    <w:qFormat/>
    <w:rsid w:val="004044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57504">
      <w:bodyDiv w:val="1"/>
      <w:marLeft w:val="0"/>
      <w:marRight w:val="0"/>
      <w:marTop w:val="0"/>
      <w:marBottom w:val="0"/>
      <w:divBdr>
        <w:top w:val="none" w:sz="0" w:space="0" w:color="auto"/>
        <w:left w:val="none" w:sz="0" w:space="0" w:color="auto"/>
        <w:bottom w:val="none" w:sz="0" w:space="0" w:color="auto"/>
        <w:right w:val="none" w:sz="0" w:space="0" w:color="auto"/>
      </w:divBdr>
    </w:div>
    <w:div w:id="740061152">
      <w:bodyDiv w:val="1"/>
      <w:marLeft w:val="0"/>
      <w:marRight w:val="0"/>
      <w:marTop w:val="0"/>
      <w:marBottom w:val="0"/>
      <w:divBdr>
        <w:top w:val="none" w:sz="0" w:space="0" w:color="auto"/>
        <w:left w:val="none" w:sz="0" w:space="0" w:color="auto"/>
        <w:bottom w:val="none" w:sz="0" w:space="0" w:color="auto"/>
        <w:right w:val="none" w:sz="0" w:space="0" w:color="auto"/>
      </w:divBdr>
    </w:div>
    <w:div w:id="1622031967">
      <w:bodyDiv w:val="1"/>
      <w:marLeft w:val="0"/>
      <w:marRight w:val="0"/>
      <w:marTop w:val="0"/>
      <w:marBottom w:val="0"/>
      <w:divBdr>
        <w:top w:val="none" w:sz="0" w:space="0" w:color="auto"/>
        <w:left w:val="none" w:sz="0" w:space="0" w:color="auto"/>
        <w:bottom w:val="none" w:sz="0" w:space="0" w:color="auto"/>
        <w:right w:val="none" w:sz="0" w:space="0" w:color="auto"/>
      </w:divBdr>
    </w:div>
    <w:div w:id="1707751353">
      <w:bodyDiv w:val="1"/>
      <w:marLeft w:val="0"/>
      <w:marRight w:val="0"/>
      <w:marTop w:val="0"/>
      <w:marBottom w:val="0"/>
      <w:divBdr>
        <w:top w:val="none" w:sz="0" w:space="0" w:color="auto"/>
        <w:left w:val="none" w:sz="0" w:space="0" w:color="auto"/>
        <w:bottom w:val="none" w:sz="0" w:space="0" w:color="auto"/>
        <w:right w:val="none" w:sz="0" w:space="0" w:color="auto"/>
      </w:divBdr>
    </w:div>
    <w:div w:id="1864977219">
      <w:bodyDiv w:val="1"/>
      <w:marLeft w:val="0"/>
      <w:marRight w:val="0"/>
      <w:marTop w:val="0"/>
      <w:marBottom w:val="0"/>
      <w:divBdr>
        <w:top w:val="none" w:sz="0" w:space="0" w:color="auto"/>
        <w:left w:val="none" w:sz="0" w:space="0" w:color="auto"/>
        <w:bottom w:val="none" w:sz="0" w:space="0" w:color="auto"/>
        <w:right w:val="none" w:sz="0" w:space="0" w:color="auto"/>
      </w:divBdr>
    </w:div>
    <w:div w:id="2023435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dx.doi.org/10.1016/j.ijcard.2011.06.098"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ncbi.nlm.nih.gov/pubmed/22611136\nhttp://www.pubmedcentral.nih.gov/articlerender.fcgi?artid=3690472&amp;tool=pmcentrez&amp;rendertype=abstract\nhttp://www.ncbi.nlm.nih.gov/pubmed/16875962\nhttp://www.ncbi.nlm.nih.gov/pubmed/20802247\nhttp://www.ncbi.nl" TargetMode="External"/><Relationship Id="rId17" Type="http://schemas.openxmlformats.org/officeDocument/2006/relationships/hyperlink" Target="http://www.sciencedirect.com/science/article/pii/S0025619611603935" TargetMode="External"/><Relationship Id="rId18" Type="http://schemas.openxmlformats.org/officeDocument/2006/relationships/hyperlink" Target="http://www.pubmedcentral.nih.gov/articlerender.fcgi?artid=3786091&amp;tool=pmcentrez&amp;rendertype=abstract" TargetMode="External"/><Relationship Id="rId19" Type="http://schemas.openxmlformats.org/officeDocument/2006/relationships/hyperlink" Target="https://www.jstage.jst.go.jp/article/circj/advpub/0/advpub_CJ-15-1112/_artic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D1E2D6-8B92-0041-9746-4E71FC8C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11397</Words>
  <Characters>64968</Characters>
  <Application>Microsoft Macintosh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هدير</dc:creator>
  <cp:keywords/>
  <dc:description/>
  <cp:lastModifiedBy>هدير</cp:lastModifiedBy>
  <cp:revision>2</cp:revision>
  <cp:lastPrinted>2018-07-17T12:15:00Z</cp:lastPrinted>
  <dcterms:created xsi:type="dcterms:W3CDTF">2019-07-19T08:27:00Z</dcterms:created>
  <dcterms:modified xsi:type="dcterms:W3CDTF">2019-07-19T08:27:00Z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02d84b42-da41-3bf7-9638-a4382e3f75a5</vt:lpwstr>
  </property>
  <property fmtid="{D5CDD505-2E9C-101B-9397-08002B2CF9AE}" pid="4" name="Mendeley Citation Style_1">
    <vt:lpwstr>http://www.zotero.org/styles/american-medical-association</vt:lpwstr>
  </property>
</Properties>
</file>