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8C10" w14:textId="77777777" w:rsidR="00331E1A" w:rsidRPr="00ED006D" w:rsidRDefault="00331E1A" w:rsidP="00331E1A">
      <w:pPr>
        <w:jc w:val="center"/>
        <w:rPr>
          <w:rFonts w:asciiTheme="majorBidi" w:hAnsiTheme="majorBidi" w:cstheme="majorBidi"/>
          <w:b/>
          <w:bCs/>
          <w:color w:val="000000"/>
          <w:sz w:val="24"/>
          <w:szCs w:val="24"/>
          <w:shd w:val="clear" w:color="auto" w:fill="FFFFFF"/>
        </w:rPr>
      </w:pPr>
      <w:r>
        <w:rPr>
          <w:rFonts w:asciiTheme="majorBidi" w:hAnsiTheme="majorBidi" w:cstheme="majorBidi"/>
          <w:b/>
          <w:bCs/>
          <w:color w:val="000000"/>
          <w:sz w:val="24"/>
          <w:szCs w:val="24"/>
          <w:shd w:val="clear" w:color="auto" w:fill="FFFFFF"/>
        </w:rPr>
        <w:t>Awareness of</w:t>
      </w:r>
      <w:r w:rsidRPr="00ED006D">
        <w:rPr>
          <w:rFonts w:asciiTheme="majorBidi" w:hAnsiTheme="majorBidi" w:cstheme="majorBidi"/>
          <w:b/>
          <w:bCs/>
          <w:color w:val="000000"/>
          <w:sz w:val="24"/>
          <w:szCs w:val="24"/>
          <w:shd w:val="clear" w:color="auto" w:fill="FFFFFF"/>
        </w:rPr>
        <w:t xml:space="preserve"> Operational Risk Management</w:t>
      </w:r>
      <w:r>
        <w:rPr>
          <w:rFonts w:asciiTheme="majorBidi" w:hAnsiTheme="majorBidi" w:cstheme="majorBidi"/>
          <w:b/>
          <w:bCs/>
          <w:color w:val="000000"/>
          <w:sz w:val="24"/>
          <w:szCs w:val="24"/>
          <w:shd w:val="clear" w:color="auto" w:fill="FFFFFF"/>
        </w:rPr>
        <w:t xml:space="preserve"> Procedures in Islamic Banks</w:t>
      </w:r>
    </w:p>
    <w:p w14:paraId="6B41796C" w14:textId="77777777" w:rsidR="00331E1A" w:rsidRPr="00A94B6E" w:rsidRDefault="00331E1A" w:rsidP="00331E1A">
      <w:pPr>
        <w:spacing w:after="0" w:line="480" w:lineRule="auto"/>
        <w:rPr>
          <w:rFonts w:ascii="Times New Roman" w:hAnsi="Times New Roman"/>
          <w:sz w:val="24"/>
          <w:szCs w:val="24"/>
        </w:rPr>
      </w:pPr>
    </w:p>
    <w:p w14:paraId="49DC0F88" w14:textId="77777777" w:rsidR="00331E1A" w:rsidRPr="004D1820" w:rsidRDefault="00331E1A" w:rsidP="00331E1A">
      <w:pPr>
        <w:spacing w:line="480" w:lineRule="auto"/>
        <w:jc w:val="center"/>
        <w:rPr>
          <w:rFonts w:ascii="Times New Roman" w:hAnsi="Times New Roman"/>
          <w:b/>
          <w:bCs/>
          <w:sz w:val="28"/>
          <w:szCs w:val="28"/>
        </w:rPr>
      </w:pPr>
      <w:r w:rsidRPr="004D1820">
        <w:rPr>
          <w:rFonts w:ascii="Times New Roman" w:hAnsi="Times New Roman"/>
          <w:b/>
          <w:bCs/>
          <w:sz w:val="28"/>
          <w:szCs w:val="28"/>
        </w:rPr>
        <w:t>Corresponding author</w:t>
      </w:r>
    </w:p>
    <w:p w14:paraId="1A4CB272" w14:textId="77777777" w:rsidR="00331E1A" w:rsidRPr="004D1820" w:rsidRDefault="00331E1A" w:rsidP="00331E1A">
      <w:pPr>
        <w:jc w:val="center"/>
        <w:rPr>
          <w:rFonts w:ascii="Times New Roman" w:hAnsi="Times New Roman"/>
          <w:b/>
          <w:bCs/>
          <w:sz w:val="28"/>
          <w:szCs w:val="32"/>
        </w:rPr>
      </w:pPr>
      <w:r w:rsidRPr="004D1820">
        <w:rPr>
          <w:rFonts w:ascii="Times New Roman" w:hAnsi="Times New Roman"/>
          <w:b/>
          <w:bCs/>
          <w:sz w:val="28"/>
          <w:szCs w:val="32"/>
        </w:rPr>
        <w:t>Khaldoun M. Al-</w:t>
      </w:r>
      <w:proofErr w:type="spellStart"/>
      <w:r w:rsidRPr="004D1820">
        <w:rPr>
          <w:rFonts w:ascii="Times New Roman" w:hAnsi="Times New Roman"/>
          <w:b/>
          <w:bCs/>
          <w:sz w:val="28"/>
          <w:szCs w:val="32"/>
        </w:rPr>
        <w:t>Qaisi</w:t>
      </w:r>
      <w:proofErr w:type="spellEnd"/>
      <w:r w:rsidRPr="004D1820">
        <w:rPr>
          <w:rFonts w:ascii="Times New Roman" w:hAnsi="Times New Roman"/>
          <w:b/>
          <w:bCs/>
          <w:sz w:val="28"/>
          <w:szCs w:val="32"/>
        </w:rPr>
        <w:t>, Ph.D.</w:t>
      </w:r>
    </w:p>
    <w:p w14:paraId="0B667152" w14:textId="77777777" w:rsidR="00331E1A" w:rsidRPr="004D1820" w:rsidRDefault="00331E1A" w:rsidP="00331E1A">
      <w:pPr>
        <w:jc w:val="center"/>
        <w:rPr>
          <w:rFonts w:ascii="Times New Roman" w:hAnsi="Times New Roman"/>
          <w:b/>
          <w:bCs/>
          <w:sz w:val="28"/>
          <w:szCs w:val="32"/>
        </w:rPr>
      </w:pPr>
    </w:p>
    <w:p w14:paraId="74160937" w14:textId="77777777" w:rsidR="00331E1A" w:rsidRPr="004D1820" w:rsidRDefault="00331E1A" w:rsidP="00331E1A">
      <w:pPr>
        <w:rPr>
          <w:rFonts w:ascii="Times New Roman" w:hAnsi="Times New Roman"/>
          <w:b/>
          <w:bCs/>
          <w:sz w:val="28"/>
          <w:szCs w:val="32"/>
        </w:rPr>
      </w:pPr>
      <w:r w:rsidRPr="004D1820">
        <w:rPr>
          <w:rFonts w:ascii="Times New Roman" w:hAnsi="Times New Roman"/>
          <w:b/>
          <w:bCs/>
          <w:sz w:val="28"/>
          <w:szCs w:val="32"/>
        </w:rPr>
        <w:t xml:space="preserve">Associate Professor of finance, Faculty of Business, Finance department,    </w:t>
      </w:r>
    </w:p>
    <w:p w14:paraId="0C6C6630" w14:textId="77777777" w:rsidR="00331E1A" w:rsidRPr="004D1820" w:rsidRDefault="00331E1A" w:rsidP="00331E1A">
      <w:pPr>
        <w:rPr>
          <w:rFonts w:ascii="Times New Roman" w:hAnsi="Times New Roman"/>
          <w:b/>
          <w:bCs/>
          <w:sz w:val="28"/>
          <w:szCs w:val="32"/>
        </w:rPr>
      </w:pPr>
      <w:r w:rsidRPr="004D1820">
        <w:rPr>
          <w:rFonts w:ascii="Times New Roman" w:hAnsi="Times New Roman"/>
          <w:b/>
          <w:bCs/>
          <w:sz w:val="28"/>
          <w:szCs w:val="32"/>
        </w:rPr>
        <w:t>Amman Arab University, Jordan</w:t>
      </w:r>
    </w:p>
    <w:p w14:paraId="359905CC" w14:textId="77777777" w:rsidR="00331E1A" w:rsidRPr="004D1820" w:rsidRDefault="00331E1A" w:rsidP="00331E1A">
      <w:pPr>
        <w:rPr>
          <w:rFonts w:ascii="Times New Roman" w:hAnsi="Times New Roman"/>
          <w:b/>
          <w:bCs/>
          <w:sz w:val="28"/>
          <w:szCs w:val="32"/>
        </w:rPr>
      </w:pPr>
      <w:r w:rsidRPr="004D1820">
        <w:rPr>
          <w:rFonts w:ascii="Times New Roman" w:hAnsi="Times New Roman"/>
          <w:b/>
          <w:bCs/>
          <w:sz w:val="28"/>
          <w:szCs w:val="32"/>
        </w:rPr>
        <w:t>Address: Amman P.O.BOX: 2234, code 11953</w:t>
      </w:r>
    </w:p>
    <w:p w14:paraId="4A802C17" w14:textId="77777777" w:rsidR="00331E1A" w:rsidRPr="004D1820" w:rsidRDefault="00331E1A" w:rsidP="00331E1A">
      <w:pPr>
        <w:rPr>
          <w:rFonts w:ascii="Times New Roman" w:hAnsi="Times New Roman"/>
          <w:b/>
          <w:bCs/>
          <w:sz w:val="28"/>
          <w:szCs w:val="32"/>
        </w:rPr>
      </w:pPr>
      <w:r w:rsidRPr="004D1820">
        <w:rPr>
          <w:rFonts w:ascii="Times New Roman" w:hAnsi="Times New Roman"/>
          <w:b/>
          <w:bCs/>
          <w:sz w:val="28"/>
          <w:szCs w:val="32"/>
        </w:rPr>
        <w:t>Phone: Mobile 00962-795513444</w:t>
      </w:r>
    </w:p>
    <w:p w14:paraId="3228450C" w14:textId="77777777" w:rsidR="00331E1A" w:rsidRDefault="00331E1A" w:rsidP="00331E1A">
      <w:pPr>
        <w:rPr>
          <w:rFonts w:ascii="Times New Roman" w:hAnsi="Times New Roman"/>
          <w:b/>
          <w:bCs/>
          <w:sz w:val="28"/>
          <w:szCs w:val="32"/>
        </w:rPr>
      </w:pPr>
      <w:r w:rsidRPr="004D1820">
        <w:rPr>
          <w:rFonts w:ascii="Times New Roman" w:hAnsi="Times New Roman"/>
          <w:b/>
          <w:bCs/>
          <w:sz w:val="28"/>
          <w:szCs w:val="32"/>
        </w:rPr>
        <w:t>E-Mail Address: khaldoun_21@yahoo.com</w:t>
      </w:r>
    </w:p>
    <w:p w14:paraId="3DA3B072" w14:textId="77777777" w:rsidR="00331E1A" w:rsidRDefault="00331E1A">
      <w:pPr>
        <w:rPr>
          <w:rFonts w:asciiTheme="majorBidi" w:hAnsiTheme="majorBidi" w:cstheme="majorBidi"/>
          <w:b/>
          <w:bCs/>
          <w:color w:val="000000"/>
          <w:sz w:val="24"/>
          <w:szCs w:val="24"/>
          <w:shd w:val="clear" w:color="auto" w:fill="FFFFFF"/>
        </w:rPr>
      </w:pPr>
    </w:p>
    <w:p w14:paraId="59CDD88E" w14:textId="77777777" w:rsidR="00331E1A" w:rsidRDefault="00331E1A">
      <w:pPr>
        <w:rPr>
          <w:rFonts w:asciiTheme="majorBidi" w:hAnsiTheme="majorBidi" w:cstheme="majorBidi"/>
          <w:b/>
          <w:bCs/>
          <w:color w:val="000000"/>
          <w:sz w:val="24"/>
          <w:szCs w:val="24"/>
          <w:shd w:val="clear" w:color="auto" w:fill="FFFFFF"/>
        </w:rPr>
      </w:pPr>
    </w:p>
    <w:p w14:paraId="48F9A56A" w14:textId="77777777" w:rsidR="00331E1A" w:rsidRDefault="00331E1A">
      <w:pPr>
        <w:rPr>
          <w:rFonts w:asciiTheme="majorBidi" w:hAnsiTheme="majorBidi" w:cstheme="majorBidi"/>
          <w:b/>
          <w:bCs/>
          <w:color w:val="000000"/>
          <w:sz w:val="24"/>
          <w:szCs w:val="24"/>
          <w:shd w:val="clear" w:color="auto" w:fill="FFFFFF"/>
        </w:rPr>
      </w:pPr>
    </w:p>
    <w:p w14:paraId="2C4BA794" w14:textId="77777777" w:rsidR="00331E1A" w:rsidRDefault="00331E1A">
      <w:pPr>
        <w:rPr>
          <w:rFonts w:asciiTheme="majorBidi" w:hAnsiTheme="majorBidi" w:cstheme="majorBidi"/>
          <w:b/>
          <w:bCs/>
          <w:color w:val="000000"/>
          <w:sz w:val="24"/>
          <w:szCs w:val="24"/>
          <w:shd w:val="clear" w:color="auto" w:fill="FFFFFF"/>
        </w:rPr>
      </w:pPr>
    </w:p>
    <w:p w14:paraId="6D68AAF6" w14:textId="77777777" w:rsidR="00331E1A" w:rsidRDefault="00331E1A">
      <w:pPr>
        <w:rPr>
          <w:rFonts w:asciiTheme="majorBidi" w:hAnsiTheme="majorBidi" w:cstheme="majorBidi"/>
          <w:b/>
          <w:bCs/>
          <w:color w:val="000000"/>
          <w:sz w:val="24"/>
          <w:szCs w:val="24"/>
          <w:shd w:val="clear" w:color="auto" w:fill="FFFFFF"/>
        </w:rPr>
      </w:pPr>
    </w:p>
    <w:p w14:paraId="6373832B" w14:textId="77777777" w:rsidR="00331E1A" w:rsidRDefault="00331E1A">
      <w:pPr>
        <w:rPr>
          <w:rFonts w:asciiTheme="majorBidi" w:hAnsiTheme="majorBidi" w:cstheme="majorBidi"/>
          <w:b/>
          <w:bCs/>
          <w:color w:val="000000"/>
          <w:sz w:val="24"/>
          <w:szCs w:val="24"/>
          <w:shd w:val="clear" w:color="auto" w:fill="FFFFFF"/>
        </w:rPr>
      </w:pPr>
    </w:p>
    <w:p w14:paraId="617C06B9" w14:textId="77777777" w:rsidR="00331E1A" w:rsidRDefault="00331E1A">
      <w:pPr>
        <w:rPr>
          <w:rFonts w:asciiTheme="majorBidi" w:hAnsiTheme="majorBidi" w:cstheme="majorBidi"/>
          <w:b/>
          <w:bCs/>
          <w:color w:val="000000"/>
          <w:sz w:val="24"/>
          <w:szCs w:val="24"/>
          <w:shd w:val="clear" w:color="auto" w:fill="FFFFFF"/>
        </w:rPr>
      </w:pPr>
    </w:p>
    <w:p w14:paraId="6E1ADBF1" w14:textId="77777777" w:rsidR="00331E1A" w:rsidRDefault="00331E1A">
      <w:pPr>
        <w:rPr>
          <w:rFonts w:asciiTheme="majorBidi" w:hAnsiTheme="majorBidi" w:cstheme="majorBidi"/>
          <w:b/>
          <w:bCs/>
          <w:color w:val="000000"/>
          <w:sz w:val="24"/>
          <w:szCs w:val="24"/>
          <w:shd w:val="clear" w:color="auto" w:fill="FFFFFF"/>
        </w:rPr>
      </w:pPr>
    </w:p>
    <w:p w14:paraId="1774AC9B" w14:textId="77777777" w:rsidR="00331E1A" w:rsidRDefault="00331E1A">
      <w:pPr>
        <w:rPr>
          <w:rFonts w:asciiTheme="majorBidi" w:hAnsiTheme="majorBidi" w:cstheme="majorBidi"/>
          <w:b/>
          <w:bCs/>
          <w:color w:val="000000"/>
          <w:sz w:val="24"/>
          <w:szCs w:val="24"/>
          <w:shd w:val="clear" w:color="auto" w:fill="FFFFFF"/>
        </w:rPr>
      </w:pPr>
    </w:p>
    <w:p w14:paraId="720E7A1E" w14:textId="77777777" w:rsidR="00331E1A" w:rsidRDefault="00331E1A">
      <w:pPr>
        <w:rPr>
          <w:rFonts w:asciiTheme="majorBidi" w:hAnsiTheme="majorBidi" w:cstheme="majorBidi"/>
          <w:b/>
          <w:bCs/>
          <w:color w:val="000000"/>
          <w:sz w:val="24"/>
          <w:szCs w:val="24"/>
          <w:shd w:val="clear" w:color="auto" w:fill="FFFFFF"/>
        </w:rPr>
      </w:pPr>
    </w:p>
    <w:p w14:paraId="306FB980" w14:textId="77777777" w:rsidR="00331E1A" w:rsidRDefault="00331E1A">
      <w:pPr>
        <w:rPr>
          <w:rFonts w:asciiTheme="majorBidi" w:hAnsiTheme="majorBidi" w:cstheme="majorBidi"/>
          <w:b/>
          <w:bCs/>
          <w:color w:val="000000"/>
          <w:sz w:val="24"/>
          <w:szCs w:val="24"/>
          <w:shd w:val="clear" w:color="auto" w:fill="FFFFFF"/>
        </w:rPr>
      </w:pPr>
    </w:p>
    <w:p w14:paraId="492C2CDB" w14:textId="77777777" w:rsidR="00331E1A" w:rsidRDefault="00331E1A">
      <w:pPr>
        <w:rPr>
          <w:rFonts w:asciiTheme="majorBidi" w:hAnsiTheme="majorBidi" w:cstheme="majorBidi"/>
          <w:b/>
          <w:bCs/>
          <w:color w:val="000000"/>
          <w:sz w:val="24"/>
          <w:szCs w:val="24"/>
          <w:shd w:val="clear" w:color="auto" w:fill="FFFFFF"/>
        </w:rPr>
      </w:pPr>
    </w:p>
    <w:p w14:paraId="3EC1A0BB" w14:textId="77777777" w:rsidR="00331E1A" w:rsidRDefault="00331E1A">
      <w:pPr>
        <w:rPr>
          <w:rFonts w:asciiTheme="majorBidi" w:hAnsiTheme="majorBidi" w:cstheme="majorBidi"/>
          <w:b/>
          <w:bCs/>
          <w:color w:val="000000"/>
          <w:sz w:val="24"/>
          <w:szCs w:val="24"/>
          <w:shd w:val="clear" w:color="auto" w:fill="FFFFFF"/>
        </w:rPr>
      </w:pPr>
    </w:p>
    <w:p w14:paraId="253FF13D" w14:textId="77777777" w:rsidR="00331E1A" w:rsidRDefault="00331E1A">
      <w:pPr>
        <w:rPr>
          <w:rFonts w:asciiTheme="majorBidi" w:hAnsiTheme="majorBidi" w:cstheme="majorBidi"/>
          <w:b/>
          <w:bCs/>
          <w:color w:val="000000"/>
          <w:sz w:val="24"/>
          <w:szCs w:val="24"/>
          <w:shd w:val="clear" w:color="auto" w:fill="FFFFFF"/>
        </w:rPr>
      </w:pPr>
    </w:p>
    <w:p w14:paraId="211679B1" w14:textId="77777777" w:rsidR="00331E1A" w:rsidRDefault="00331E1A">
      <w:pPr>
        <w:rPr>
          <w:rFonts w:asciiTheme="majorBidi" w:hAnsiTheme="majorBidi" w:cstheme="majorBidi"/>
          <w:b/>
          <w:bCs/>
          <w:color w:val="000000"/>
          <w:sz w:val="24"/>
          <w:szCs w:val="24"/>
          <w:shd w:val="clear" w:color="auto" w:fill="FFFFFF"/>
        </w:rPr>
      </w:pPr>
    </w:p>
    <w:p w14:paraId="76474E8B" w14:textId="77777777" w:rsidR="00331E1A" w:rsidRDefault="00331E1A">
      <w:pPr>
        <w:rPr>
          <w:rFonts w:asciiTheme="majorBidi" w:hAnsiTheme="majorBidi" w:cstheme="majorBidi"/>
          <w:b/>
          <w:bCs/>
          <w:color w:val="000000"/>
          <w:sz w:val="24"/>
          <w:szCs w:val="24"/>
          <w:shd w:val="clear" w:color="auto" w:fill="FFFFFF"/>
        </w:rPr>
      </w:pPr>
    </w:p>
    <w:p w14:paraId="6400F532" w14:textId="77777777" w:rsidR="008537ED" w:rsidRPr="00ED006D" w:rsidRDefault="008537ED">
      <w:pPr>
        <w:rPr>
          <w:rFonts w:asciiTheme="majorBidi" w:hAnsiTheme="majorBidi" w:cstheme="majorBidi"/>
          <w:b/>
          <w:bCs/>
          <w:color w:val="000000"/>
          <w:sz w:val="24"/>
          <w:szCs w:val="24"/>
          <w:shd w:val="clear" w:color="auto" w:fill="FFFFFF"/>
        </w:rPr>
      </w:pPr>
      <w:r w:rsidRPr="00ED006D">
        <w:rPr>
          <w:rFonts w:asciiTheme="majorBidi" w:hAnsiTheme="majorBidi" w:cstheme="majorBidi"/>
          <w:b/>
          <w:bCs/>
          <w:color w:val="000000"/>
          <w:sz w:val="24"/>
          <w:szCs w:val="24"/>
          <w:shd w:val="clear" w:color="auto" w:fill="FFFFFF"/>
        </w:rPr>
        <w:lastRenderedPageBreak/>
        <w:t xml:space="preserve">Abstract </w:t>
      </w:r>
    </w:p>
    <w:p w14:paraId="13CB7B19" w14:textId="7BDD3865" w:rsidR="008537ED" w:rsidRDefault="00366CE1" w:rsidP="00510EAC">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Non-financial risk management in Islamic banks </w:t>
      </w:r>
      <w:proofErr w:type="gramStart"/>
      <w:r>
        <w:rPr>
          <w:rFonts w:asciiTheme="majorBidi" w:hAnsiTheme="majorBidi" w:cstheme="majorBidi"/>
          <w:color w:val="000000"/>
          <w:sz w:val="24"/>
          <w:szCs w:val="24"/>
          <w:shd w:val="clear" w:color="auto" w:fill="FFFFFF"/>
        </w:rPr>
        <w:t>is considered</w:t>
      </w:r>
      <w:proofErr w:type="gramEnd"/>
      <w:r>
        <w:rPr>
          <w:rFonts w:asciiTheme="majorBidi" w:hAnsiTheme="majorBidi" w:cstheme="majorBidi"/>
          <w:color w:val="000000"/>
          <w:sz w:val="24"/>
          <w:szCs w:val="24"/>
          <w:shd w:val="clear" w:color="auto" w:fill="FFFFFF"/>
        </w:rPr>
        <w:t xml:space="preserve"> very important. The source of non-financial risk </w:t>
      </w:r>
      <w:proofErr w:type="gramStart"/>
      <w:r w:rsidR="00242F70">
        <w:rPr>
          <w:rFonts w:asciiTheme="majorBidi" w:hAnsiTheme="majorBidi" w:cstheme="majorBidi"/>
          <w:color w:val="000000"/>
          <w:sz w:val="24"/>
          <w:szCs w:val="24"/>
          <w:shd w:val="clear" w:color="auto" w:fill="FFFFFF"/>
        </w:rPr>
        <w:t>is varied</w:t>
      </w:r>
      <w:proofErr w:type="gramEnd"/>
      <w:r w:rsidR="00242F70">
        <w:rPr>
          <w:rFonts w:asciiTheme="majorBidi" w:hAnsiTheme="majorBidi" w:cstheme="majorBidi"/>
          <w:color w:val="000000"/>
          <w:sz w:val="24"/>
          <w:szCs w:val="24"/>
          <w:shd w:val="clear" w:color="auto" w:fill="FFFFFF"/>
        </w:rPr>
        <w:t xml:space="preserve"> in Islamic banks. The objective of this paper is to investigate the extent of awareness of Islamic banks staff about the non-financial risk </w:t>
      </w:r>
      <w:r w:rsidR="00510EAC">
        <w:rPr>
          <w:rFonts w:asciiTheme="majorBidi" w:hAnsiTheme="majorBidi" w:cstheme="majorBidi"/>
          <w:color w:val="000000"/>
          <w:sz w:val="24"/>
          <w:szCs w:val="24"/>
          <w:shd w:val="clear" w:color="auto" w:fill="FFFFFF"/>
        </w:rPr>
        <w:t xml:space="preserve">of different aspects. To accomplish this objective a questionnaire was design composed of two parts. The first part was concerned of demographic characteristics, while the second part was concerned with measuring the awareness of eight constraints of managing non-financial risk in Islamic banks. The results showed that the general awareness of non-financial risk in Islamic bank is moderate in all its aspects. It </w:t>
      </w:r>
      <w:proofErr w:type="gramStart"/>
      <w:r w:rsidR="00510EAC">
        <w:rPr>
          <w:rFonts w:asciiTheme="majorBidi" w:hAnsiTheme="majorBidi" w:cstheme="majorBidi"/>
          <w:color w:val="000000"/>
          <w:sz w:val="24"/>
          <w:szCs w:val="24"/>
          <w:shd w:val="clear" w:color="auto" w:fill="FFFFFF"/>
        </w:rPr>
        <w:t>was recommended</w:t>
      </w:r>
      <w:proofErr w:type="gramEnd"/>
      <w:r w:rsidR="00510EAC">
        <w:rPr>
          <w:rFonts w:asciiTheme="majorBidi" w:hAnsiTheme="majorBidi" w:cstheme="majorBidi"/>
          <w:color w:val="000000"/>
          <w:sz w:val="24"/>
          <w:szCs w:val="24"/>
          <w:shd w:val="clear" w:color="auto" w:fill="FFFFFF"/>
        </w:rPr>
        <w:t xml:space="preserve"> to improve the awareness through the training and the application of </w:t>
      </w:r>
      <w:r w:rsidR="00297512">
        <w:rPr>
          <w:rFonts w:asciiTheme="majorBidi" w:hAnsiTheme="majorBidi" w:cstheme="majorBidi"/>
          <w:color w:val="000000"/>
          <w:sz w:val="24"/>
          <w:szCs w:val="24"/>
          <w:shd w:val="clear" w:color="auto" w:fill="FFFFFF"/>
        </w:rPr>
        <w:t xml:space="preserve">risk management systems modified to meet the banks requirements. </w:t>
      </w:r>
    </w:p>
    <w:p w14:paraId="26781902" w14:textId="1DDF2C06" w:rsidR="00F44DB2" w:rsidRDefault="00F44DB2" w:rsidP="00F44DB2">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Keywords: Non-financial risk, Islamic bank, NFORM</w:t>
      </w:r>
      <w:r w:rsidR="00752F5C">
        <w:rPr>
          <w:rFonts w:asciiTheme="majorBidi" w:hAnsiTheme="majorBidi" w:cstheme="majorBidi"/>
          <w:color w:val="000000"/>
          <w:sz w:val="24"/>
          <w:szCs w:val="24"/>
          <w:shd w:val="clear" w:color="auto" w:fill="FFFFFF"/>
        </w:rPr>
        <w:t>.</w:t>
      </w:r>
    </w:p>
    <w:p w14:paraId="3CA19508" w14:textId="4DF328EA" w:rsidR="00752F5C" w:rsidRDefault="000029D5" w:rsidP="000029D5">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JEL</w:t>
      </w:r>
      <w:bookmarkStart w:id="0" w:name="_GoBack"/>
      <w:bookmarkEnd w:id="0"/>
      <w:r>
        <w:rPr>
          <w:rFonts w:asciiTheme="majorBidi" w:hAnsiTheme="majorBidi" w:cstheme="majorBidi"/>
          <w:color w:val="000000"/>
          <w:sz w:val="24"/>
          <w:szCs w:val="24"/>
          <w:shd w:val="clear" w:color="auto" w:fill="FFFFFF"/>
        </w:rPr>
        <w:t xml:space="preserve"> Codes: G20,G23, G32.</w:t>
      </w:r>
      <w:r w:rsidR="00752F5C">
        <w:rPr>
          <w:rFonts w:asciiTheme="majorBidi" w:hAnsiTheme="majorBidi" w:cstheme="majorBidi"/>
          <w:color w:val="000000"/>
          <w:sz w:val="24"/>
          <w:szCs w:val="24"/>
          <w:shd w:val="clear" w:color="auto" w:fill="FFFFFF"/>
        </w:rPr>
        <w:t xml:space="preserve"> </w:t>
      </w:r>
    </w:p>
    <w:p w14:paraId="70C97280" w14:textId="77777777" w:rsidR="00297512" w:rsidRDefault="00297512" w:rsidP="00510EAC">
      <w:pPr>
        <w:jc w:val="both"/>
        <w:rPr>
          <w:rFonts w:asciiTheme="majorBidi" w:hAnsiTheme="majorBidi" w:cstheme="majorBidi"/>
          <w:color w:val="000000"/>
          <w:sz w:val="24"/>
          <w:szCs w:val="24"/>
          <w:shd w:val="clear" w:color="auto" w:fill="FFFFFF"/>
        </w:rPr>
      </w:pPr>
    </w:p>
    <w:p w14:paraId="003E3232" w14:textId="77777777" w:rsidR="008537ED" w:rsidRPr="00031BFF" w:rsidRDefault="008537ED">
      <w:pPr>
        <w:rPr>
          <w:rFonts w:asciiTheme="majorBidi" w:hAnsiTheme="majorBidi" w:cstheme="majorBidi"/>
          <w:b/>
          <w:bCs/>
          <w:color w:val="000000"/>
          <w:sz w:val="28"/>
          <w:szCs w:val="28"/>
          <w:shd w:val="clear" w:color="auto" w:fill="FFFFFF"/>
        </w:rPr>
      </w:pPr>
      <w:r w:rsidRPr="00031BFF">
        <w:rPr>
          <w:rFonts w:asciiTheme="majorBidi" w:hAnsiTheme="majorBidi" w:cstheme="majorBidi"/>
          <w:b/>
          <w:bCs/>
          <w:color w:val="000000"/>
          <w:sz w:val="28"/>
          <w:szCs w:val="28"/>
          <w:shd w:val="clear" w:color="auto" w:fill="FFFFFF"/>
        </w:rPr>
        <w:t xml:space="preserve">Introduction </w:t>
      </w:r>
    </w:p>
    <w:p w14:paraId="15A12C13" w14:textId="77777777" w:rsidR="00B63E9F" w:rsidRDefault="00B14C58" w:rsidP="006F0EDB">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Operation risk management in banks became very crucial. The awareness of operational risk management has increased among banks’</w:t>
      </w:r>
      <w:r w:rsidR="008E6DB7">
        <w:rPr>
          <w:rFonts w:asciiTheme="majorBidi" w:hAnsiTheme="majorBidi" w:cstheme="majorBidi"/>
          <w:color w:val="000000"/>
          <w:sz w:val="24"/>
          <w:szCs w:val="24"/>
          <w:shd w:val="clear" w:color="auto" w:fill="FFFFFF"/>
        </w:rPr>
        <w:t xml:space="preserve"> boards (Basle Committee on Banking Supervision, 1998). </w:t>
      </w:r>
      <w:r w:rsidR="006F0EDB">
        <w:rPr>
          <w:rFonts w:asciiTheme="majorBidi" w:hAnsiTheme="majorBidi" w:cstheme="majorBidi"/>
          <w:color w:val="000000"/>
          <w:sz w:val="24"/>
          <w:szCs w:val="24"/>
          <w:shd w:val="clear" w:color="auto" w:fill="FFFFFF"/>
        </w:rPr>
        <w:t xml:space="preserve">Success banks used to build their own measures of operational risk and harmonize these measures with the international ones. </w:t>
      </w:r>
      <w:r w:rsidR="00251F92">
        <w:rPr>
          <w:rFonts w:asciiTheme="majorBidi" w:hAnsiTheme="majorBidi" w:cstheme="majorBidi"/>
          <w:color w:val="000000"/>
          <w:sz w:val="24"/>
          <w:szCs w:val="24"/>
          <w:shd w:val="clear" w:color="auto" w:fill="FFFFFF"/>
        </w:rPr>
        <w:t xml:space="preserve">In Islamic banks, the low financial risk resulted of applying the Islamic financial procedures raised the other side the care of the non-financial risk management in these banks. </w:t>
      </w:r>
    </w:p>
    <w:p w14:paraId="6D185FE9" w14:textId="0E4E235C" w:rsidR="008537ED" w:rsidRDefault="00765AF3" w:rsidP="006F0EDB">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non-financial risk in the Islamic banks could raise from the opening of new branches, misinform customers, technology wise, </w:t>
      </w:r>
      <w:proofErr w:type="spellStart"/>
      <w:r>
        <w:rPr>
          <w:rFonts w:asciiTheme="majorBidi" w:hAnsiTheme="majorBidi" w:cstheme="majorBidi"/>
          <w:color w:val="000000"/>
          <w:sz w:val="24"/>
          <w:szCs w:val="24"/>
          <w:shd w:val="clear" w:color="auto" w:fill="FFFFFF"/>
        </w:rPr>
        <w:t>shari’a</w:t>
      </w:r>
      <w:proofErr w:type="spellEnd"/>
      <w:r>
        <w:rPr>
          <w:rFonts w:asciiTheme="majorBidi" w:hAnsiTheme="majorBidi" w:cstheme="majorBidi"/>
          <w:color w:val="000000"/>
          <w:sz w:val="24"/>
          <w:szCs w:val="24"/>
          <w:shd w:val="clear" w:color="auto" w:fill="FFFFFF"/>
        </w:rPr>
        <w:t xml:space="preserve"> risk and withdrawals (Van </w:t>
      </w:r>
      <w:proofErr w:type="spellStart"/>
      <w:r>
        <w:rPr>
          <w:rFonts w:asciiTheme="majorBidi" w:hAnsiTheme="majorBidi" w:cstheme="majorBidi"/>
          <w:color w:val="000000"/>
          <w:sz w:val="24"/>
          <w:szCs w:val="24"/>
          <w:shd w:val="clear" w:color="auto" w:fill="FFFFFF"/>
        </w:rPr>
        <w:t>Greuning</w:t>
      </w:r>
      <w:proofErr w:type="spellEnd"/>
      <w:r>
        <w:rPr>
          <w:rFonts w:asciiTheme="majorBidi" w:hAnsiTheme="majorBidi" w:cstheme="majorBidi"/>
          <w:color w:val="000000"/>
          <w:sz w:val="24"/>
          <w:szCs w:val="24"/>
          <w:shd w:val="clear" w:color="auto" w:fill="FFFFFF"/>
        </w:rPr>
        <w:t xml:space="preserve"> and Iqbal, 2008). </w:t>
      </w:r>
      <w:r w:rsidR="00AF7D24">
        <w:rPr>
          <w:rFonts w:asciiTheme="majorBidi" w:hAnsiTheme="majorBidi" w:cstheme="majorBidi"/>
          <w:color w:val="000000"/>
          <w:sz w:val="24"/>
          <w:szCs w:val="24"/>
          <w:shd w:val="clear" w:color="auto" w:fill="FFFFFF"/>
        </w:rPr>
        <w:t xml:space="preserve">Abdel-Rahman (2015) </w:t>
      </w:r>
      <w:r w:rsidR="00C233A8">
        <w:rPr>
          <w:rFonts w:asciiTheme="majorBidi" w:hAnsiTheme="majorBidi" w:cstheme="majorBidi"/>
          <w:color w:val="000000"/>
          <w:sz w:val="24"/>
          <w:szCs w:val="24"/>
          <w:shd w:val="clear" w:color="auto" w:fill="FFFFFF"/>
        </w:rPr>
        <w:t xml:space="preserve">classified the sources of non-financial risk in Islamic banks differently. The sources of non-financial risk </w:t>
      </w:r>
      <w:proofErr w:type="gramStart"/>
      <w:r w:rsidR="00C233A8">
        <w:rPr>
          <w:rFonts w:asciiTheme="majorBidi" w:hAnsiTheme="majorBidi" w:cstheme="majorBidi"/>
          <w:color w:val="000000"/>
          <w:sz w:val="24"/>
          <w:szCs w:val="24"/>
          <w:shd w:val="clear" w:color="auto" w:fill="FFFFFF"/>
        </w:rPr>
        <w:t>has been classified</w:t>
      </w:r>
      <w:proofErr w:type="gramEnd"/>
      <w:r w:rsidR="00C233A8">
        <w:rPr>
          <w:rFonts w:asciiTheme="majorBidi" w:hAnsiTheme="majorBidi" w:cstheme="majorBidi"/>
          <w:color w:val="000000"/>
          <w:sz w:val="24"/>
          <w:szCs w:val="24"/>
          <w:shd w:val="clear" w:color="auto" w:fill="FFFFFF"/>
        </w:rPr>
        <w:t xml:space="preserve"> internally and externally. The internal risks include fraud, products, </w:t>
      </w:r>
      <w:r w:rsidR="00CF18DC">
        <w:rPr>
          <w:rFonts w:asciiTheme="majorBidi" w:hAnsiTheme="majorBidi" w:cstheme="majorBidi"/>
          <w:color w:val="000000"/>
          <w:sz w:val="24"/>
          <w:szCs w:val="24"/>
          <w:shd w:val="clear" w:color="auto" w:fill="FFFFFF"/>
        </w:rPr>
        <w:t xml:space="preserve">system failures, assets damages </w:t>
      </w:r>
      <w:r w:rsidR="00C233A8">
        <w:rPr>
          <w:rFonts w:asciiTheme="majorBidi" w:hAnsiTheme="majorBidi" w:cstheme="majorBidi"/>
          <w:color w:val="000000"/>
          <w:sz w:val="24"/>
          <w:szCs w:val="24"/>
          <w:shd w:val="clear" w:color="auto" w:fill="FFFFFF"/>
        </w:rPr>
        <w:t xml:space="preserve">and the practices related to business, while the external risks </w:t>
      </w:r>
      <w:proofErr w:type="gramStart"/>
      <w:r w:rsidR="00C233A8">
        <w:rPr>
          <w:rFonts w:asciiTheme="majorBidi" w:hAnsiTheme="majorBidi" w:cstheme="majorBidi"/>
          <w:color w:val="000000"/>
          <w:sz w:val="24"/>
          <w:szCs w:val="24"/>
          <w:shd w:val="clear" w:color="auto" w:fill="FFFFFF"/>
        </w:rPr>
        <w:t>are related</w:t>
      </w:r>
      <w:proofErr w:type="gramEnd"/>
      <w:r w:rsidR="00C233A8">
        <w:rPr>
          <w:rFonts w:asciiTheme="majorBidi" w:hAnsiTheme="majorBidi" w:cstheme="majorBidi"/>
          <w:color w:val="000000"/>
          <w:sz w:val="24"/>
          <w:szCs w:val="24"/>
          <w:shd w:val="clear" w:color="auto" w:fill="FFFFFF"/>
        </w:rPr>
        <w:t xml:space="preserve"> to customers </w:t>
      </w:r>
      <w:r w:rsidR="00CF18DC">
        <w:rPr>
          <w:rFonts w:asciiTheme="majorBidi" w:hAnsiTheme="majorBidi" w:cstheme="majorBidi"/>
          <w:color w:val="000000"/>
          <w:sz w:val="24"/>
          <w:szCs w:val="24"/>
          <w:shd w:val="clear" w:color="auto" w:fill="FFFFFF"/>
        </w:rPr>
        <w:t xml:space="preserve">and business disruption. </w:t>
      </w:r>
      <w:r w:rsidR="00B63E9F">
        <w:rPr>
          <w:rFonts w:asciiTheme="majorBidi" w:hAnsiTheme="majorBidi" w:cstheme="majorBidi"/>
          <w:color w:val="000000"/>
          <w:sz w:val="24"/>
          <w:szCs w:val="24"/>
          <w:shd w:val="clear" w:color="auto" w:fill="FFFFFF"/>
        </w:rPr>
        <w:t xml:space="preserve">Others (Archer and </w:t>
      </w:r>
      <w:proofErr w:type="spellStart"/>
      <w:r w:rsidR="00B63E9F">
        <w:rPr>
          <w:rFonts w:asciiTheme="majorBidi" w:hAnsiTheme="majorBidi" w:cstheme="majorBidi"/>
          <w:color w:val="000000"/>
          <w:sz w:val="24"/>
          <w:szCs w:val="24"/>
          <w:shd w:val="clear" w:color="auto" w:fill="FFFFFF"/>
        </w:rPr>
        <w:t>Haron</w:t>
      </w:r>
      <w:proofErr w:type="spellEnd"/>
      <w:r w:rsidR="00B63E9F">
        <w:rPr>
          <w:rFonts w:asciiTheme="majorBidi" w:hAnsiTheme="majorBidi" w:cstheme="majorBidi"/>
          <w:color w:val="000000"/>
          <w:sz w:val="24"/>
          <w:szCs w:val="24"/>
          <w:shd w:val="clear" w:color="auto" w:fill="FFFFFF"/>
        </w:rPr>
        <w:t xml:space="preserve">, 2007; Fiennes (2007); </w:t>
      </w:r>
      <w:proofErr w:type="spellStart"/>
      <w:r w:rsidR="00B63E9F">
        <w:rPr>
          <w:rFonts w:asciiTheme="majorBidi" w:hAnsiTheme="majorBidi" w:cstheme="majorBidi"/>
          <w:color w:val="000000"/>
          <w:sz w:val="24"/>
          <w:szCs w:val="24"/>
          <w:shd w:val="clear" w:color="auto" w:fill="FFFFFF"/>
        </w:rPr>
        <w:t>Sundarjan</w:t>
      </w:r>
      <w:proofErr w:type="spellEnd"/>
      <w:r w:rsidR="00B63E9F">
        <w:rPr>
          <w:rFonts w:asciiTheme="majorBidi" w:hAnsiTheme="majorBidi" w:cstheme="majorBidi"/>
          <w:color w:val="000000"/>
          <w:sz w:val="24"/>
          <w:szCs w:val="24"/>
          <w:shd w:val="clear" w:color="auto" w:fill="FFFFFF"/>
        </w:rPr>
        <w:t xml:space="preserve"> (2005) and </w:t>
      </w:r>
      <w:proofErr w:type="spellStart"/>
      <w:r w:rsidR="00B63E9F">
        <w:rPr>
          <w:rFonts w:asciiTheme="majorBidi" w:hAnsiTheme="majorBidi" w:cstheme="majorBidi"/>
          <w:color w:val="000000"/>
          <w:sz w:val="24"/>
          <w:szCs w:val="24"/>
          <w:shd w:val="clear" w:color="auto" w:fill="FFFFFF"/>
        </w:rPr>
        <w:t>Chapra</w:t>
      </w:r>
      <w:proofErr w:type="spellEnd"/>
      <w:r w:rsidR="00B63E9F">
        <w:rPr>
          <w:rFonts w:asciiTheme="majorBidi" w:hAnsiTheme="majorBidi" w:cstheme="majorBidi"/>
          <w:color w:val="000000"/>
          <w:sz w:val="24"/>
          <w:szCs w:val="24"/>
          <w:shd w:val="clear" w:color="auto" w:fill="FFFFFF"/>
        </w:rPr>
        <w:t xml:space="preserve"> and Khan (2000) used other classification of risk related to operational, legal, and fiduciary. </w:t>
      </w:r>
    </w:p>
    <w:p w14:paraId="00C33A70" w14:textId="455F8526" w:rsidR="00765AF3" w:rsidRDefault="00A26DC5" w:rsidP="006F0EDB">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comprehensive management procedure for risk should include the identification of risk, measuring it, monitoring </w:t>
      </w:r>
      <w:proofErr w:type="gramStart"/>
      <w:r>
        <w:rPr>
          <w:rFonts w:asciiTheme="majorBidi" w:hAnsiTheme="majorBidi" w:cstheme="majorBidi"/>
          <w:color w:val="000000"/>
          <w:sz w:val="24"/>
          <w:szCs w:val="24"/>
          <w:shd w:val="clear" w:color="auto" w:fill="FFFFFF"/>
        </w:rPr>
        <w:t>it, report, how to control and mitigation (</w:t>
      </w:r>
      <w:r w:rsidR="00E75A7E">
        <w:rPr>
          <w:rFonts w:asciiTheme="majorBidi" w:hAnsiTheme="majorBidi" w:cstheme="majorBidi"/>
          <w:color w:val="000000"/>
          <w:sz w:val="24"/>
          <w:szCs w:val="24"/>
          <w:shd w:val="clear" w:color="auto" w:fill="FFFFFF"/>
        </w:rPr>
        <w:t>Guide Principles of Risk Management for Institutions, 2005)</w:t>
      </w:r>
      <w:proofErr w:type="gramEnd"/>
      <w:r w:rsidR="00E75A7E">
        <w:rPr>
          <w:rFonts w:asciiTheme="majorBidi" w:hAnsiTheme="majorBidi" w:cstheme="majorBidi"/>
          <w:color w:val="000000"/>
          <w:sz w:val="24"/>
          <w:szCs w:val="24"/>
          <w:shd w:val="clear" w:color="auto" w:fill="FFFFFF"/>
        </w:rPr>
        <w:t xml:space="preserve">. </w:t>
      </w:r>
      <w:r w:rsidR="00A51D25">
        <w:rPr>
          <w:rFonts w:asciiTheme="majorBidi" w:hAnsiTheme="majorBidi" w:cstheme="majorBidi"/>
          <w:color w:val="000000"/>
          <w:sz w:val="24"/>
          <w:szCs w:val="24"/>
          <w:shd w:val="clear" w:color="auto" w:fill="FFFFFF"/>
        </w:rPr>
        <w:t xml:space="preserve">These control systems </w:t>
      </w:r>
      <w:proofErr w:type="gramStart"/>
      <w:r w:rsidR="00A51D25">
        <w:rPr>
          <w:rFonts w:asciiTheme="majorBidi" w:hAnsiTheme="majorBidi" w:cstheme="majorBidi"/>
          <w:color w:val="000000"/>
          <w:sz w:val="24"/>
          <w:szCs w:val="24"/>
          <w:shd w:val="clear" w:color="auto" w:fill="FFFFFF"/>
        </w:rPr>
        <w:t>are rela</w:t>
      </w:r>
      <w:r w:rsidR="000E619B">
        <w:rPr>
          <w:rFonts w:asciiTheme="majorBidi" w:hAnsiTheme="majorBidi" w:cstheme="majorBidi"/>
          <w:color w:val="000000"/>
          <w:sz w:val="24"/>
          <w:szCs w:val="24"/>
          <w:shd w:val="clear" w:color="auto" w:fill="FFFFFF"/>
        </w:rPr>
        <w:t>ted</w:t>
      </w:r>
      <w:proofErr w:type="gramEnd"/>
      <w:r w:rsidR="000E619B">
        <w:rPr>
          <w:rFonts w:asciiTheme="majorBidi" w:hAnsiTheme="majorBidi" w:cstheme="majorBidi"/>
          <w:color w:val="000000"/>
          <w:sz w:val="24"/>
          <w:szCs w:val="24"/>
          <w:shd w:val="clear" w:color="auto" w:fill="FFFFFF"/>
        </w:rPr>
        <w:t xml:space="preserve"> directly to human resources professionalism. Human resources </w:t>
      </w:r>
      <w:proofErr w:type="gramStart"/>
      <w:r w:rsidR="000E619B">
        <w:rPr>
          <w:rFonts w:asciiTheme="majorBidi" w:hAnsiTheme="majorBidi" w:cstheme="majorBidi"/>
          <w:color w:val="000000"/>
          <w:sz w:val="24"/>
          <w:szCs w:val="24"/>
          <w:shd w:val="clear" w:color="auto" w:fill="FFFFFF"/>
        </w:rPr>
        <w:t>are considered</w:t>
      </w:r>
      <w:proofErr w:type="gramEnd"/>
      <w:r w:rsidR="000E619B">
        <w:rPr>
          <w:rFonts w:asciiTheme="majorBidi" w:hAnsiTheme="majorBidi" w:cstheme="majorBidi"/>
          <w:color w:val="000000"/>
          <w:sz w:val="24"/>
          <w:szCs w:val="24"/>
          <w:shd w:val="clear" w:color="auto" w:fill="FFFFFF"/>
        </w:rPr>
        <w:t xml:space="preserve"> very important in managing and dealing with non-financial risk in Islamic banks (</w:t>
      </w:r>
      <w:proofErr w:type="spellStart"/>
      <w:r w:rsidR="000E619B">
        <w:rPr>
          <w:rFonts w:asciiTheme="majorBidi" w:hAnsiTheme="majorBidi" w:cstheme="majorBidi"/>
          <w:color w:val="000000"/>
          <w:sz w:val="24"/>
          <w:szCs w:val="24"/>
          <w:shd w:val="clear" w:color="auto" w:fill="FFFFFF"/>
        </w:rPr>
        <w:t>Mariutha</w:t>
      </w:r>
      <w:proofErr w:type="spellEnd"/>
      <w:r w:rsidR="000E619B">
        <w:rPr>
          <w:rFonts w:asciiTheme="majorBidi" w:hAnsiTheme="majorBidi" w:cstheme="majorBidi"/>
          <w:color w:val="000000"/>
          <w:sz w:val="24"/>
          <w:szCs w:val="24"/>
          <w:shd w:val="clear" w:color="auto" w:fill="FFFFFF"/>
        </w:rPr>
        <w:t xml:space="preserve"> et al. 2009). The training of the staff </w:t>
      </w:r>
      <w:proofErr w:type="gramStart"/>
      <w:r w:rsidR="000E619B">
        <w:rPr>
          <w:rFonts w:asciiTheme="majorBidi" w:hAnsiTheme="majorBidi" w:cstheme="majorBidi"/>
          <w:color w:val="000000"/>
          <w:sz w:val="24"/>
          <w:szCs w:val="24"/>
          <w:shd w:val="clear" w:color="auto" w:fill="FFFFFF"/>
        </w:rPr>
        <w:t>is considered</w:t>
      </w:r>
      <w:proofErr w:type="gramEnd"/>
      <w:r w:rsidR="000E619B">
        <w:rPr>
          <w:rFonts w:asciiTheme="majorBidi" w:hAnsiTheme="majorBidi" w:cstheme="majorBidi"/>
          <w:color w:val="000000"/>
          <w:sz w:val="24"/>
          <w:szCs w:val="24"/>
          <w:shd w:val="clear" w:color="auto" w:fill="FFFFFF"/>
        </w:rPr>
        <w:t xml:space="preserve"> one of the elements that contribute to managing and control the financial risk in Islamic banks. </w:t>
      </w:r>
    </w:p>
    <w:p w14:paraId="4FCEF08E" w14:textId="0C6F8DFC" w:rsidR="00F66505" w:rsidRDefault="00F66505" w:rsidP="006F0EDB">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Abdul-Rahman and </w:t>
      </w:r>
      <w:proofErr w:type="spellStart"/>
      <w:r>
        <w:rPr>
          <w:rFonts w:asciiTheme="majorBidi" w:hAnsiTheme="majorBidi" w:cstheme="majorBidi"/>
          <w:color w:val="000000"/>
          <w:sz w:val="24"/>
          <w:szCs w:val="24"/>
          <w:shd w:val="clear" w:color="auto" w:fill="FFFFFF"/>
        </w:rPr>
        <w:t>Yazid</w:t>
      </w:r>
      <w:proofErr w:type="spellEnd"/>
      <w:r>
        <w:rPr>
          <w:rFonts w:asciiTheme="majorBidi" w:hAnsiTheme="majorBidi" w:cstheme="majorBidi"/>
          <w:color w:val="000000"/>
          <w:sz w:val="24"/>
          <w:szCs w:val="24"/>
          <w:shd w:val="clear" w:color="auto" w:fill="FFFFFF"/>
        </w:rPr>
        <w:t xml:space="preserve"> (2015) find out that the training </w:t>
      </w:r>
      <w:proofErr w:type="gramStart"/>
      <w:r>
        <w:rPr>
          <w:rFonts w:asciiTheme="majorBidi" w:hAnsiTheme="majorBidi" w:cstheme="majorBidi"/>
          <w:color w:val="000000"/>
          <w:sz w:val="24"/>
          <w:szCs w:val="24"/>
          <w:shd w:val="clear" w:color="auto" w:fill="FFFFFF"/>
        </w:rPr>
        <w:t>is considered</w:t>
      </w:r>
      <w:proofErr w:type="gramEnd"/>
      <w:r>
        <w:rPr>
          <w:rFonts w:asciiTheme="majorBidi" w:hAnsiTheme="majorBidi" w:cstheme="majorBidi"/>
          <w:color w:val="000000"/>
          <w:sz w:val="24"/>
          <w:szCs w:val="24"/>
          <w:shd w:val="clear" w:color="auto" w:fill="FFFFFF"/>
        </w:rPr>
        <w:t xml:space="preserve"> very crucial to train the staff about the systems that can be used to control non-financial risk management. The training of the staff would increase the awareness and experience to manage. </w:t>
      </w:r>
      <w:r w:rsidR="00686103">
        <w:rPr>
          <w:rFonts w:asciiTheme="majorBidi" w:hAnsiTheme="majorBidi" w:cstheme="majorBidi"/>
          <w:color w:val="000000"/>
          <w:sz w:val="24"/>
          <w:szCs w:val="24"/>
          <w:shd w:val="clear" w:color="auto" w:fill="FFFFFF"/>
        </w:rPr>
        <w:t xml:space="preserve">The objective of this paper is to </w:t>
      </w:r>
      <w:r w:rsidR="00686103">
        <w:rPr>
          <w:rFonts w:asciiTheme="majorBidi" w:hAnsiTheme="majorBidi" w:cstheme="majorBidi"/>
          <w:color w:val="000000"/>
          <w:sz w:val="24"/>
          <w:szCs w:val="24"/>
          <w:shd w:val="clear" w:color="auto" w:fill="FFFFFF"/>
        </w:rPr>
        <w:lastRenderedPageBreak/>
        <w:t xml:space="preserve">study the awareness of the Islamic bank staff about the different causes as well as the training as tool to manage the risk. </w:t>
      </w:r>
    </w:p>
    <w:p w14:paraId="2F5993EA" w14:textId="77777777" w:rsidR="00331E1A" w:rsidRDefault="00331E1A" w:rsidP="006F0EDB">
      <w:pPr>
        <w:jc w:val="both"/>
        <w:rPr>
          <w:rFonts w:asciiTheme="majorBidi" w:hAnsiTheme="majorBidi" w:cstheme="majorBidi"/>
          <w:color w:val="000000"/>
          <w:sz w:val="24"/>
          <w:szCs w:val="24"/>
          <w:shd w:val="clear" w:color="auto" w:fill="FFFFFF"/>
        </w:rPr>
      </w:pPr>
    </w:p>
    <w:p w14:paraId="7593C866" w14:textId="77777777" w:rsidR="008537ED" w:rsidRPr="001A55F3" w:rsidRDefault="008537ED">
      <w:pPr>
        <w:rPr>
          <w:rFonts w:asciiTheme="majorBidi" w:hAnsiTheme="majorBidi" w:cstheme="majorBidi"/>
          <w:b/>
          <w:bCs/>
          <w:color w:val="000000"/>
          <w:sz w:val="28"/>
          <w:szCs w:val="28"/>
          <w:shd w:val="clear" w:color="auto" w:fill="FFFFFF"/>
        </w:rPr>
      </w:pPr>
      <w:r w:rsidRPr="001A55F3">
        <w:rPr>
          <w:rFonts w:asciiTheme="majorBidi" w:hAnsiTheme="majorBidi" w:cstheme="majorBidi"/>
          <w:b/>
          <w:bCs/>
          <w:color w:val="000000"/>
          <w:sz w:val="28"/>
          <w:szCs w:val="28"/>
          <w:shd w:val="clear" w:color="auto" w:fill="FFFFFF"/>
        </w:rPr>
        <w:t xml:space="preserve">Methodology </w:t>
      </w:r>
    </w:p>
    <w:p w14:paraId="0C3E7D77" w14:textId="50731F29" w:rsidR="00EA3878" w:rsidRDefault="002752C9"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objective of </w:t>
      </w:r>
      <w:r w:rsidR="00086BFB">
        <w:rPr>
          <w:rFonts w:asciiTheme="majorBidi" w:hAnsiTheme="majorBidi" w:cstheme="majorBidi"/>
          <w:color w:val="000000"/>
          <w:sz w:val="24"/>
          <w:szCs w:val="24"/>
          <w:shd w:val="clear" w:color="auto" w:fill="FFFFFF"/>
        </w:rPr>
        <w:t xml:space="preserve">this research is to examine employees’ awareness </w:t>
      </w:r>
      <w:r>
        <w:rPr>
          <w:rFonts w:asciiTheme="majorBidi" w:hAnsiTheme="majorBidi" w:cstheme="majorBidi"/>
          <w:color w:val="000000"/>
          <w:sz w:val="24"/>
          <w:szCs w:val="24"/>
          <w:shd w:val="clear" w:color="auto" w:fill="FFFFFF"/>
        </w:rPr>
        <w:t xml:space="preserve">for the implementation of </w:t>
      </w:r>
      <w:r w:rsidR="00086BFB">
        <w:rPr>
          <w:rFonts w:asciiTheme="majorBidi" w:hAnsiTheme="majorBidi" w:cstheme="majorBidi"/>
          <w:color w:val="000000"/>
          <w:sz w:val="24"/>
          <w:szCs w:val="24"/>
          <w:shd w:val="clear" w:color="auto" w:fill="FFFFFF"/>
        </w:rPr>
        <w:t xml:space="preserve">operational risk management </w:t>
      </w:r>
      <w:r>
        <w:rPr>
          <w:rFonts w:asciiTheme="majorBidi" w:hAnsiTheme="majorBidi" w:cstheme="majorBidi"/>
          <w:color w:val="000000"/>
          <w:sz w:val="24"/>
          <w:szCs w:val="24"/>
          <w:shd w:val="clear" w:color="auto" w:fill="FFFFFF"/>
        </w:rPr>
        <w:t xml:space="preserve">in </w:t>
      </w:r>
      <w:r w:rsidR="00086BFB">
        <w:rPr>
          <w:rFonts w:asciiTheme="majorBidi" w:hAnsiTheme="majorBidi" w:cstheme="majorBidi"/>
          <w:color w:val="000000"/>
          <w:sz w:val="24"/>
          <w:szCs w:val="24"/>
          <w:shd w:val="clear" w:color="auto" w:fill="FFFFFF"/>
        </w:rPr>
        <w:t xml:space="preserve">Islamic </w:t>
      </w:r>
      <w:r>
        <w:rPr>
          <w:rFonts w:asciiTheme="majorBidi" w:hAnsiTheme="majorBidi" w:cstheme="majorBidi"/>
          <w:color w:val="000000"/>
          <w:sz w:val="24"/>
          <w:szCs w:val="24"/>
          <w:shd w:val="clear" w:color="auto" w:fill="FFFFFF"/>
        </w:rPr>
        <w:t xml:space="preserve">banks. </w:t>
      </w:r>
      <w:r w:rsidR="00177B27">
        <w:rPr>
          <w:rFonts w:asciiTheme="majorBidi" w:hAnsiTheme="majorBidi" w:cstheme="majorBidi"/>
          <w:color w:val="000000"/>
          <w:sz w:val="24"/>
          <w:szCs w:val="24"/>
          <w:shd w:val="clear" w:color="auto" w:fill="FFFFFF"/>
        </w:rPr>
        <w:t xml:space="preserve">This research will investigate the readiness for non-financial </w:t>
      </w:r>
      <w:r w:rsidR="00086BFB">
        <w:rPr>
          <w:rFonts w:asciiTheme="majorBidi" w:hAnsiTheme="majorBidi" w:cstheme="majorBidi"/>
          <w:color w:val="000000"/>
          <w:sz w:val="24"/>
          <w:szCs w:val="24"/>
          <w:shd w:val="clear" w:color="auto" w:fill="FFFFFF"/>
        </w:rPr>
        <w:t xml:space="preserve">operational </w:t>
      </w:r>
      <w:r w:rsidR="00177B27">
        <w:rPr>
          <w:rFonts w:asciiTheme="majorBidi" w:hAnsiTheme="majorBidi" w:cstheme="majorBidi"/>
          <w:color w:val="000000"/>
          <w:sz w:val="24"/>
          <w:szCs w:val="24"/>
          <w:shd w:val="clear" w:color="auto" w:fill="FFFFFF"/>
        </w:rPr>
        <w:t>risk management</w:t>
      </w:r>
      <w:r w:rsidR="004C4913">
        <w:rPr>
          <w:rFonts w:asciiTheme="majorBidi" w:hAnsiTheme="majorBidi" w:cstheme="majorBidi"/>
          <w:color w:val="000000"/>
          <w:sz w:val="24"/>
          <w:szCs w:val="24"/>
          <w:shd w:val="clear" w:color="auto" w:fill="FFFFFF"/>
        </w:rPr>
        <w:t xml:space="preserve"> (NF</w:t>
      </w:r>
      <w:r w:rsidR="00086BFB">
        <w:rPr>
          <w:rFonts w:asciiTheme="majorBidi" w:hAnsiTheme="majorBidi" w:cstheme="majorBidi"/>
          <w:color w:val="000000"/>
          <w:sz w:val="24"/>
          <w:szCs w:val="24"/>
          <w:shd w:val="clear" w:color="auto" w:fill="FFFFFF"/>
        </w:rPr>
        <w:t>O</w:t>
      </w:r>
      <w:r w:rsidR="004C4913">
        <w:rPr>
          <w:rFonts w:asciiTheme="majorBidi" w:hAnsiTheme="majorBidi" w:cstheme="majorBidi"/>
          <w:color w:val="000000"/>
          <w:sz w:val="24"/>
          <w:szCs w:val="24"/>
          <w:shd w:val="clear" w:color="auto" w:fill="FFFFFF"/>
        </w:rPr>
        <w:t>RM)</w:t>
      </w:r>
      <w:r w:rsidR="00177B27">
        <w:rPr>
          <w:rFonts w:asciiTheme="majorBidi" w:hAnsiTheme="majorBidi" w:cstheme="majorBidi"/>
          <w:color w:val="000000"/>
          <w:sz w:val="24"/>
          <w:szCs w:val="24"/>
          <w:shd w:val="clear" w:color="auto" w:fill="FFFFFF"/>
        </w:rPr>
        <w:t xml:space="preserve">. </w:t>
      </w:r>
      <w:r w:rsidR="00B31857">
        <w:rPr>
          <w:rFonts w:asciiTheme="majorBidi" w:hAnsiTheme="majorBidi" w:cstheme="majorBidi"/>
          <w:color w:val="000000"/>
          <w:sz w:val="24"/>
          <w:szCs w:val="24"/>
          <w:shd w:val="clear" w:color="auto" w:fill="FFFFFF"/>
        </w:rPr>
        <w:t>Quantitative research followed as a method of data collection (</w:t>
      </w:r>
      <w:r w:rsidR="00D91593">
        <w:rPr>
          <w:rFonts w:asciiTheme="majorBidi" w:hAnsiTheme="majorBidi" w:cstheme="majorBidi"/>
          <w:color w:val="000000"/>
          <w:sz w:val="24"/>
          <w:szCs w:val="24"/>
          <w:shd w:val="clear" w:color="auto" w:fill="FFFFFF"/>
        </w:rPr>
        <w:t xml:space="preserve">Robson, 2002). </w:t>
      </w:r>
      <w:r w:rsidR="004C4913">
        <w:rPr>
          <w:rFonts w:asciiTheme="majorBidi" w:hAnsiTheme="majorBidi" w:cstheme="majorBidi"/>
          <w:color w:val="000000"/>
          <w:sz w:val="24"/>
          <w:szCs w:val="24"/>
          <w:shd w:val="clear" w:color="auto" w:fill="FFFFFF"/>
        </w:rPr>
        <w:t xml:space="preserve">Questionnaire </w:t>
      </w:r>
      <w:r w:rsidR="00D05066">
        <w:rPr>
          <w:rFonts w:asciiTheme="majorBidi" w:hAnsiTheme="majorBidi" w:cstheme="majorBidi"/>
          <w:color w:val="000000"/>
          <w:sz w:val="24"/>
          <w:szCs w:val="24"/>
          <w:shd w:val="clear" w:color="auto" w:fill="FFFFFF"/>
        </w:rPr>
        <w:t>used as a tool for data collection</w:t>
      </w:r>
      <w:r w:rsidR="004C4913">
        <w:rPr>
          <w:rFonts w:asciiTheme="majorBidi" w:hAnsiTheme="majorBidi" w:cstheme="majorBidi"/>
          <w:color w:val="000000"/>
          <w:sz w:val="24"/>
          <w:szCs w:val="24"/>
          <w:shd w:val="clear" w:color="auto" w:fill="FFFFFF"/>
        </w:rPr>
        <w:t xml:space="preserve">. Different personal characteristics used to measure the perspectives of banks’ staff of </w:t>
      </w:r>
      <w:r w:rsidR="00D05066">
        <w:rPr>
          <w:rFonts w:asciiTheme="majorBidi" w:hAnsiTheme="majorBidi" w:cstheme="majorBidi"/>
          <w:color w:val="000000"/>
          <w:sz w:val="24"/>
          <w:szCs w:val="24"/>
          <w:shd w:val="clear" w:color="auto" w:fill="FFFFFF"/>
        </w:rPr>
        <w:t>NFORM</w:t>
      </w:r>
      <w:r w:rsidR="004C4913">
        <w:rPr>
          <w:rFonts w:asciiTheme="majorBidi" w:hAnsiTheme="majorBidi" w:cstheme="majorBidi"/>
          <w:color w:val="000000"/>
          <w:sz w:val="24"/>
          <w:szCs w:val="24"/>
          <w:shd w:val="clear" w:color="auto" w:fill="FFFFFF"/>
        </w:rPr>
        <w:t xml:space="preserve">. </w:t>
      </w:r>
      <w:r w:rsidR="00935D61">
        <w:rPr>
          <w:rFonts w:asciiTheme="majorBidi" w:hAnsiTheme="majorBidi" w:cstheme="majorBidi"/>
          <w:color w:val="000000"/>
          <w:sz w:val="24"/>
          <w:szCs w:val="24"/>
          <w:shd w:val="clear" w:color="auto" w:fill="FFFFFF"/>
        </w:rPr>
        <w:t xml:space="preserve">Age, gender, education, experience in risk management, and work position were the major characteristics used to evaluate the employees’ perspectives of </w:t>
      </w:r>
      <w:r w:rsidR="00EA17BD">
        <w:rPr>
          <w:rFonts w:asciiTheme="majorBidi" w:hAnsiTheme="majorBidi" w:cstheme="majorBidi"/>
          <w:color w:val="000000"/>
          <w:sz w:val="24"/>
          <w:szCs w:val="24"/>
          <w:shd w:val="clear" w:color="auto" w:fill="FFFFFF"/>
        </w:rPr>
        <w:t>NFORM</w:t>
      </w:r>
      <w:r w:rsidR="00935D61">
        <w:rPr>
          <w:rFonts w:asciiTheme="majorBidi" w:hAnsiTheme="majorBidi" w:cstheme="majorBidi"/>
          <w:color w:val="000000"/>
          <w:sz w:val="24"/>
          <w:szCs w:val="24"/>
          <w:shd w:val="clear" w:color="auto" w:fill="FFFFFF"/>
        </w:rPr>
        <w:t xml:space="preserve"> in banks. </w:t>
      </w:r>
    </w:p>
    <w:p w14:paraId="5D707EBD" w14:textId="6B8411E1" w:rsidR="00E55B04" w:rsidRDefault="009E36DD"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second part of the questionnaire was design to answer many questions: What is the </w:t>
      </w:r>
      <w:r w:rsidR="00D05066">
        <w:rPr>
          <w:rFonts w:asciiTheme="majorBidi" w:hAnsiTheme="majorBidi" w:cstheme="majorBidi"/>
          <w:color w:val="000000"/>
          <w:sz w:val="24"/>
          <w:szCs w:val="24"/>
          <w:shd w:val="clear" w:color="auto" w:fill="FFFFFF"/>
        </w:rPr>
        <w:t>employees’ awareness of NFORM in Islamic banks?</w:t>
      </w:r>
      <w:r>
        <w:rPr>
          <w:rFonts w:asciiTheme="majorBidi" w:hAnsiTheme="majorBidi" w:cstheme="majorBidi"/>
          <w:color w:val="000000"/>
          <w:sz w:val="24"/>
          <w:szCs w:val="24"/>
          <w:shd w:val="clear" w:color="auto" w:fill="FFFFFF"/>
        </w:rPr>
        <w:t xml:space="preserve"> What is the level of understanding of non-financial risk management?</w:t>
      </w:r>
      <w:r w:rsidR="00E55B04">
        <w:rPr>
          <w:rFonts w:asciiTheme="majorBidi" w:hAnsiTheme="majorBidi" w:cstheme="majorBidi"/>
          <w:color w:val="000000"/>
          <w:sz w:val="24"/>
          <w:szCs w:val="24"/>
          <w:shd w:val="clear" w:color="auto" w:fill="FFFFFF"/>
        </w:rPr>
        <w:t xml:space="preserve"> To answer these </w:t>
      </w:r>
      <w:r w:rsidR="00D05066">
        <w:rPr>
          <w:rFonts w:asciiTheme="majorBidi" w:hAnsiTheme="majorBidi" w:cstheme="majorBidi"/>
          <w:color w:val="000000"/>
          <w:sz w:val="24"/>
          <w:szCs w:val="24"/>
          <w:shd w:val="clear" w:color="auto" w:fill="FFFFFF"/>
        </w:rPr>
        <w:t xml:space="preserve">two </w:t>
      </w:r>
      <w:r w:rsidR="00E55B04">
        <w:rPr>
          <w:rFonts w:asciiTheme="majorBidi" w:hAnsiTheme="majorBidi" w:cstheme="majorBidi"/>
          <w:color w:val="000000"/>
          <w:sz w:val="24"/>
          <w:szCs w:val="24"/>
          <w:shd w:val="clear" w:color="auto" w:fill="FFFFFF"/>
        </w:rPr>
        <w:t>questions eight major variables introduced as follow:</w:t>
      </w:r>
    </w:p>
    <w:p w14:paraId="594668B8" w14:textId="15C5390C" w:rsidR="00E55B04"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V1: The realization of source of risks in bank</w:t>
      </w:r>
    </w:p>
    <w:p w14:paraId="56B191A8" w14:textId="4C810742"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V2: The ability to classify the </w:t>
      </w:r>
      <w:r w:rsidR="00D05066">
        <w:rPr>
          <w:rFonts w:asciiTheme="majorBidi" w:hAnsiTheme="majorBidi" w:cstheme="majorBidi"/>
          <w:color w:val="000000"/>
          <w:sz w:val="24"/>
          <w:szCs w:val="24"/>
          <w:shd w:val="clear" w:color="auto" w:fill="FFFFFF"/>
        </w:rPr>
        <w:t xml:space="preserve">NFORM in </w:t>
      </w:r>
      <w:r>
        <w:rPr>
          <w:rFonts w:asciiTheme="majorBidi" w:hAnsiTheme="majorBidi" w:cstheme="majorBidi"/>
          <w:color w:val="000000"/>
          <w:sz w:val="24"/>
          <w:szCs w:val="24"/>
          <w:shd w:val="clear" w:color="auto" w:fill="FFFFFF"/>
        </w:rPr>
        <w:t>bank</w:t>
      </w:r>
      <w:r w:rsidR="00D05066">
        <w:rPr>
          <w:rFonts w:asciiTheme="majorBidi" w:hAnsiTheme="majorBidi" w:cstheme="majorBidi"/>
          <w:color w:val="000000"/>
          <w:sz w:val="24"/>
          <w:szCs w:val="24"/>
          <w:shd w:val="clear" w:color="auto" w:fill="FFFFFF"/>
        </w:rPr>
        <w:t>s</w:t>
      </w:r>
    </w:p>
    <w:p w14:paraId="77EC8611" w14:textId="2C8CB9A0"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V3: </w:t>
      </w:r>
      <w:r w:rsidR="00D05066">
        <w:rPr>
          <w:rFonts w:asciiTheme="majorBidi" w:hAnsiTheme="majorBidi" w:cstheme="majorBidi"/>
          <w:color w:val="000000"/>
          <w:sz w:val="24"/>
          <w:szCs w:val="24"/>
          <w:shd w:val="clear" w:color="auto" w:fill="FFFFFF"/>
        </w:rPr>
        <w:t xml:space="preserve">Realizing risk management model used in banks </w:t>
      </w:r>
      <w:r>
        <w:rPr>
          <w:rFonts w:asciiTheme="majorBidi" w:hAnsiTheme="majorBidi" w:cstheme="majorBidi"/>
          <w:color w:val="000000"/>
          <w:sz w:val="24"/>
          <w:szCs w:val="24"/>
          <w:shd w:val="clear" w:color="auto" w:fill="FFFFFF"/>
        </w:rPr>
        <w:t xml:space="preserve"> </w:t>
      </w:r>
    </w:p>
    <w:p w14:paraId="7CAB9555" w14:textId="5064D20A"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V4: Management of </w:t>
      </w:r>
      <w:r w:rsidR="00D05066">
        <w:rPr>
          <w:rFonts w:asciiTheme="majorBidi" w:hAnsiTheme="majorBidi" w:cstheme="majorBidi"/>
          <w:color w:val="000000"/>
          <w:sz w:val="24"/>
          <w:szCs w:val="24"/>
          <w:shd w:val="clear" w:color="auto" w:fill="FFFFFF"/>
        </w:rPr>
        <w:t>NFORM</w:t>
      </w:r>
    </w:p>
    <w:p w14:paraId="09CC93B6" w14:textId="4B11DDE6"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V5: Realizing operational control and mitigation plans of </w:t>
      </w:r>
      <w:r w:rsidR="00D05066">
        <w:rPr>
          <w:rFonts w:asciiTheme="majorBidi" w:hAnsiTheme="majorBidi" w:cstheme="majorBidi"/>
          <w:color w:val="000000"/>
          <w:sz w:val="24"/>
          <w:szCs w:val="24"/>
          <w:shd w:val="clear" w:color="auto" w:fill="FFFFFF"/>
        </w:rPr>
        <w:t>NFORM</w:t>
      </w:r>
    </w:p>
    <w:p w14:paraId="1B6BD1BC" w14:textId="06B9529C" w:rsidR="000F39B1" w:rsidRDefault="000F39B1" w:rsidP="00EA3878">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V6: Reviewing operational risk controls of banks</w:t>
      </w:r>
    </w:p>
    <w:p w14:paraId="1B116E18" w14:textId="057946C1"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V7: Impact of using standardized models to manage </w:t>
      </w:r>
      <w:r w:rsidR="00D05066">
        <w:rPr>
          <w:rFonts w:asciiTheme="majorBidi" w:hAnsiTheme="majorBidi" w:cstheme="majorBidi"/>
          <w:color w:val="000000"/>
          <w:sz w:val="24"/>
          <w:szCs w:val="24"/>
          <w:shd w:val="clear" w:color="auto" w:fill="FFFFFF"/>
        </w:rPr>
        <w:t>NFORM</w:t>
      </w:r>
    </w:p>
    <w:p w14:paraId="620DB554" w14:textId="378B36F7" w:rsidR="000F39B1" w:rsidRDefault="000F39B1" w:rsidP="00D05066">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V8: Training and awareness of staff for </w:t>
      </w:r>
      <w:r w:rsidR="00D05066">
        <w:rPr>
          <w:rFonts w:asciiTheme="majorBidi" w:hAnsiTheme="majorBidi" w:cstheme="majorBidi"/>
          <w:color w:val="000000"/>
          <w:sz w:val="24"/>
          <w:szCs w:val="24"/>
          <w:shd w:val="clear" w:color="auto" w:fill="FFFFFF"/>
        </w:rPr>
        <w:t>NFORM</w:t>
      </w:r>
    </w:p>
    <w:p w14:paraId="417BE485" w14:textId="7D372C9A" w:rsidR="008537ED" w:rsidRDefault="00483A49" w:rsidP="007D27B8">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Five scale answers used to measure the attitudes of employees of understanding the </w:t>
      </w:r>
      <w:r w:rsidR="00EA17BD">
        <w:rPr>
          <w:rFonts w:asciiTheme="majorBidi" w:hAnsiTheme="majorBidi" w:cstheme="majorBidi"/>
          <w:color w:val="000000"/>
          <w:sz w:val="24"/>
          <w:szCs w:val="24"/>
          <w:shd w:val="clear" w:color="auto" w:fill="FFFFFF"/>
        </w:rPr>
        <w:t>NFORM</w:t>
      </w:r>
      <w:r>
        <w:rPr>
          <w:rFonts w:asciiTheme="majorBidi" w:hAnsiTheme="majorBidi" w:cstheme="majorBidi"/>
          <w:color w:val="000000"/>
          <w:sz w:val="24"/>
          <w:szCs w:val="24"/>
          <w:shd w:val="clear" w:color="auto" w:fill="FFFFFF"/>
        </w:rPr>
        <w:t xml:space="preserve">. Strongly agree took the rank </w:t>
      </w:r>
      <w:r w:rsidR="00EA17BD">
        <w:rPr>
          <w:rFonts w:asciiTheme="majorBidi" w:hAnsiTheme="majorBidi" w:cstheme="majorBidi"/>
          <w:color w:val="000000"/>
          <w:sz w:val="24"/>
          <w:szCs w:val="24"/>
          <w:shd w:val="clear" w:color="auto" w:fill="FFFFFF"/>
        </w:rPr>
        <w:t>five</w:t>
      </w:r>
      <w:r>
        <w:rPr>
          <w:rFonts w:asciiTheme="majorBidi" w:hAnsiTheme="majorBidi" w:cstheme="majorBidi"/>
          <w:color w:val="000000"/>
          <w:sz w:val="24"/>
          <w:szCs w:val="24"/>
          <w:shd w:val="clear" w:color="auto" w:fill="FFFFFF"/>
        </w:rPr>
        <w:t xml:space="preserve">, while strongly disagree took rank </w:t>
      </w:r>
      <w:r w:rsidR="00EA17BD">
        <w:rPr>
          <w:rFonts w:asciiTheme="majorBidi" w:hAnsiTheme="majorBidi" w:cstheme="majorBidi"/>
          <w:color w:val="000000"/>
          <w:sz w:val="24"/>
          <w:szCs w:val="24"/>
          <w:shd w:val="clear" w:color="auto" w:fill="FFFFFF"/>
        </w:rPr>
        <w:t>one</w:t>
      </w:r>
      <w:r>
        <w:rPr>
          <w:rFonts w:asciiTheme="majorBidi" w:hAnsiTheme="majorBidi" w:cstheme="majorBidi"/>
          <w:color w:val="000000"/>
          <w:sz w:val="24"/>
          <w:szCs w:val="24"/>
          <w:shd w:val="clear" w:color="auto" w:fill="FFFFFF"/>
        </w:rPr>
        <w:t xml:space="preserve">. </w:t>
      </w:r>
      <w:r w:rsidR="00D97CC6">
        <w:rPr>
          <w:rFonts w:asciiTheme="majorBidi" w:hAnsiTheme="majorBidi" w:cstheme="majorBidi"/>
          <w:color w:val="000000"/>
          <w:sz w:val="24"/>
          <w:szCs w:val="24"/>
          <w:shd w:val="clear" w:color="auto" w:fill="FFFFFF"/>
        </w:rPr>
        <w:t xml:space="preserve">The second part of the questionnaire measured the </w:t>
      </w:r>
      <w:r w:rsidR="00EA17BD">
        <w:rPr>
          <w:rFonts w:asciiTheme="majorBidi" w:hAnsiTheme="majorBidi" w:cstheme="majorBidi"/>
          <w:color w:val="000000"/>
          <w:sz w:val="24"/>
          <w:szCs w:val="24"/>
          <w:shd w:val="clear" w:color="auto" w:fill="FFFFFF"/>
        </w:rPr>
        <w:t xml:space="preserve">awareness </w:t>
      </w:r>
      <w:r w:rsidR="00D97CC6">
        <w:rPr>
          <w:rFonts w:asciiTheme="majorBidi" w:hAnsiTheme="majorBidi" w:cstheme="majorBidi"/>
          <w:color w:val="000000"/>
          <w:sz w:val="24"/>
          <w:szCs w:val="24"/>
          <w:shd w:val="clear" w:color="auto" w:fill="FFFFFF"/>
        </w:rPr>
        <w:t xml:space="preserve">of </w:t>
      </w:r>
      <w:r w:rsidR="00EA17BD">
        <w:rPr>
          <w:rFonts w:asciiTheme="majorBidi" w:hAnsiTheme="majorBidi" w:cstheme="majorBidi"/>
          <w:color w:val="000000"/>
          <w:sz w:val="24"/>
          <w:szCs w:val="24"/>
          <w:shd w:val="clear" w:color="auto" w:fill="FFFFFF"/>
        </w:rPr>
        <w:t>employees’ for NFORM in banks.</w:t>
      </w:r>
      <w:r w:rsidR="007D27B8">
        <w:rPr>
          <w:rFonts w:asciiTheme="majorBidi" w:hAnsiTheme="majorBidi" w:cstheme="majorBidi"/>
          <w:color w:val="000000"/>
          <w:sz w:val="24"/>
          <w:szCs w:val="24"/>
          <w:shd w:val="clear" w:color="auto" w:fill="FFFFFF"/>
        </w:rPr>
        <w:t xml:space="preserve"> </w:t>
      </w:r>
      <w:r w:rsidR="009E36DD">
        <w:rPr>
          <w:rFonts w:asciiTheme="majorBidi" w:hAnsiTheme="majorBidi" w:cstheme="majorBidi"/>
          <w:color w:val="000000"/>
          <w:sz w:val="24"/>
          <w:szCs w:val="24"/>
          <w:shd w:val="clear" w:color="auto" w:fill="FFFFFF"/>
        </w:rPr>
        <w:t>Pilot sample taken to test the questionnaire. The results of the pilot sample used to modify and correct the language</w:t>
      </w:r>
      <w:r w:rsidR="007D27B8">
        <w:rPr>
          <w:rFonts w:asciiTheme="majorBidi" w:hAnsiTheme="majorBidi" w:cstheme="majorBidi"/>
          <w:color w:val="000000"/>
          <w:sz w:val="24"/>
          <w:szCs w:val="24"/>
          <w:shd w:val="clear" w:color="auto" w:fill="FFFFFF"/>
        </w:rPr>
        <w:t xml:space="preserve"> of the questionnaire and </w:t>
      </w:r>
      <w:r w:rsidR="009E36DD">
        <w:rPr>
          <w:rFonts w:asciiTheme="majorBidi" w:hAnsiTheme="majorBidi" w:cstheme="majorBidi"/>
          <w:color w:val="000000"/>
          <w:sz w:val="24"/>
          <w:szCs w:val="24"/>
          <w:shd w:val="clear" w:color="auto" w:fill="FFFFFF"/>
        </w:rPr>
        <w:t xml:space="preserve">to measure the reliability of the data collection tool. </w:t>
      </w:r>
    </w:p>
    <w:p w14:paraId="48FA98B5" w14:textId="05A919F7" w:rsidR="009E36DD" w:rsidRDefault="00D232BA" w:rsidP="009C5090">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collected data entered to SPSS (Ver. 22). Descriptive statistics used to measure the distribution of </w:t>
      </w:r>
      <w:r w:rsidR="007D27B8">
        <w:rPr>
          <w:rFonts w:asciiTheme="majorBidi" w:hAnsiTheme="majorBidi" w:cstheme="majorBidi"/>
          <w:color w:val="000000"/>
          <w:sz w:val="24"/>
          <w:szCs w:val="24"/>
          <w:shd w:val="clear" w:color="auto" w:fill="FFFFFF"/>
        </w:rPr>
        <w:t xml:space="preserve">demographic characteristics of </w:t>
      </w:r>
      <w:r w:rsidR="009C5090">
        <w:rPr>
          <w:rFonts w:asciiTheme="majorBidi" w:hAnsiTheme="majorBidi" w:cstheme="majorBidi"/>
          <w:color w:val="000000"/>
          <w:sz w:val="24"/>
          <w:szCs w:val="24"/>
          <w:shd w:val="clear" w:color="auto" w:fill="FFFFFF"/>
        </w:rPr>
        <w:t xml:space="preserve">respondents and </w:t>
      </w:r>
      <w:r>
        <w:rPr>
          <w:rFonts w:asciiTheme="majorBidi" w:hAnsiTheme="majorBidi" w:cstheme="majorBidi"/>
          <w:color w:val="000000"/>
          <w:sz w:val="24"/>
          <w:szCs w:val="24"/>
          <w:shd w:val="clear" w:color="auto" w:fill="FFFFFF"/>
        </w:rPr>
        <w:t xml:space="preserve">it used to measure the trends of employees for the implementation of </w:t>
      </w:r>
      <w:r w:rsidR="00EA17BD">
        <w:rPr>
          <w:rFonts w:asciiTheme="majorBidi" w:hAnsiTheme="majorBidi" w:cstheme="majorBidi"/>
          <w:color w:val="000000"/>
          <w:sz w:val="24"/>
          <w:szCs w:val="24"/>
          <w:shd w:val="clear" w:color="auto" w:fill="FFFFFF"/>
        </w:rPr>
        <w:t>NFORM</w:t>
      </w:r>
      <w:r>
        <w:rPr>
          <w:rFonts w:asciiTheme="majorBidi" w:hAnsiTheme="majorBidi" w:cstheme="majorBidi"/>
          <w:color w:val="000000"/>
          <w:sz w:val="24"/>
          <w:szCs w:val="24"/>
          <w:shd w:val="clear" w:color="auto" w:fill="FFFFFF"/>
        </w:rPr>
        <w:t xml:space="preserve"> parameters in banks. </w:t>
      </w:r>
    </w:p>
    <w:p w14:paraId="1A8C3334" w14:textId="77777777" w:rsidR="00331E1A" w:rsidRDefault="00331E1A" w:rsidP="009C5090">
      <w:pPr>
        <w:jc w:val="both"/>
        <w:rPr>
          <w:rFonts w:asciiTheme="majorBidi" w:hAnsiTheme="majorBidi" w:cstheme="majorBidi"/>
          <w:color w:val="000000"/>
          <w:sz w:val="24"/>
          <w:szCs w:val="24"/>
          <w:shd w:val="clear" w:color="auto" w:fill="FFFFFF"/>
        </w:rPr>
      </w:pPr>
    </w:p>
    <w:p w14:paraId="0F951867" w14:textId="77777777" w:rsidR="00331E1A" w:rsidRDefault="00331E1A" w:rsidP="009C5090">
      <w:pPr>
        <w:jc w:val="both"/>
        <w:rPr>
          <w:rFonts w:asciiTheme="majorBidi" w:hAnsiTheme="majorBidi" w:cstheme="majorBidi"/>
          <w:color w:val="000000"/>
          <w:sz w:val="24"/>
          <w:szCs w:val="24"/>
          <w:shd w:val="clear" w:color="auto" w:fill="FFFFFF"/>
        </w:rPr>
      </w:pPr>
    </w:p>
    <w:p w14:paraId="65D5D7F8" w14:textId="77777777" w:rsidR="00331E1A" w:rsidRDefault="00331E1A" w:rsidP="009C5090">
      <w:pPr>
        <w:jc w:val="both"/>
        <w:rPr>
          <w:rFonts w:asciiTheme="majorBidi" w:hAnsiTheme="majorBidi" w:cstheme="majorBidi"/>
          <w:color w:val="000000"/>
          <w:sz w:val="24"/>
          <w:szCs w:val="24"/>
          <w:shd w:val="clear" w:color="auto" w:fill="FFFFFF"/>
        </w:rPr>
      </w:pPr>
    </w:p>
    <w:p w14:paraId="57CB39E8" w14:textId="77777777" w:rsidR="00331E1A" w:rsidRDefault="00331E1A" w:rsidP="009C5090">
      <w:pPr>
        <w:jc w:val="both"/>
        <w:rPr>
          <w:rFonts w:asciiTheme="majorBidi" w:hAnsiTheme="majorBidi" w:cstheme="majorBidi"/>
          <w:color w:val="000000"/>
          <w:sz w:val="24"/>
          <w:szCs w:val="24"/>
          <w:shd w:val="clear" w:color="auto" w:fill="FFFFFF"/>
        </w:rPr>
      </w:pPr>
    </w:p>
    <w:p w14:paraId="2A7959F1" w14:textId="77777777" w:rsidR="00331E1A" w:rsidRDefault="00331E1A" w:rsidP="009C5090">
      <w:pPr>
        <w:jc w:val="both"/>
        <w:rPr>
          <w:rFonts w:asciiTheme="majorBidi" w:hAnsiTheme="majorBidi" w:cstheme="majorBidi"/>
          <w:color w:val="000000"/>
          <w:sz w:val="24"/>
          <w:szCs w:val="24"/>
          <w:shd w:val="clear" w:color="auto" w:fill="FFFFFF"/>
        </w:rPr>
      </w:pPr>
    </w:p>
    <w:p w14:paraId="50C14227" w14:textId="77777777" w:rsidR="008537ED" w:rsidRDefault="008537ED">
      <w:pPr>
        <w:rPr>
          <w:rFonts w:asciiTheme="majorBidi" w:hAnsiTheme="majorBidi" w:cstheme="majorBidi"/>
          <w:color w:val="000000"/>
          <w:sz w:val="24"/>
          <w:szCs w:val="24"/>
          <w:shd w:val="clear" w:color="auto" w:fill="FFFFFF"/>
        </w:rPr>
      </w:pPr>
    </w:p>
    <w:p w14:paraId="2113A950" w14:textId="77777777" w:rsidR="008537ED" w:rsidRPr="001A662E" w:rsidRDefault="008537ED">
      <w:pPr>
        <w:rPr>
          <w:rFonts w:asciiTheme="majorBidi" w:hAnsiTheme="majorBidi" w:cstheme="majorBidi"/>
          <w:b/>
          <w:bCs/>
          <w:color w:val="000000"/>
          <w:sz w:val="28"/>
          <w:szCs w:val="28"/>
          <w:shd w:val="clear" w:color="auto" w:fill="FFFFFF"/>
        </w:rPr>
      </w:pPr>
      <w:r w:rsidRPr="001A662E">
        <w:rPr>
          <w:rFonts w:asciiTheme="majorBidi" w:hAnsiTheme="majorBidi" w:cstheme="majorBidi"/>
          <w:b/>
          <w:bCs/>
          <w:color w:val="000000"/>
          <w:sz w:val="28"/>
          <w:szCs w:val="28"/>
          <w:shd w:val="clear" w:color="auto" w:fill="FFFFFF"/>
        </w:rPr>
        <w:t xml:space="preserve">Results and Discussion </w:t>
      </w:r>
    </w:p>
    <w:p w14:paraId="49583BF6" w14:textId="448E463A" w:rsidR="0068261B" w:rsidRPr="0070390C" w:rsidRDefault="00241527" w:rsidP="00AB65D2">
      <w:pPr>
        <w:keepLines/>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The demographic characteristics of the personnel responsible for NFORM </w:t>
      </w:r>
      <w:r w:rsidR="007E7BA5">
        <w:rPr>
          <w:rFonts w:asciiTheme="majorBidi" w:hAnsiTheme="majorBidi" w:cstheme="majorBidi"/>
          <w:sz w:val="24"/>
          <w:szCs w:val="24"/>
        </w:rPr>
        <w:t xml:space="preserve">reflects the bank readiness to deal and manage non-financial risk. </w:t>
      </w:r>
      <w:r w:rsidR="0068261B" w:rsidRPr="0070390C">
        <w:rPr>
          <w:rFonts w:asciiTheme="majorBidi" w:hAnsiTheme="majorBidi" w:cstheme="majorBidi"/>
          <w:sz w:val="24"/>
          <w:szCs w:val="24"/>
        </w:rPr>
        <w:t xml:space="preserve">This section aims to </w:t>
      </w:r>
      <w:r w:rsidR="0068261B">
        <w:rPr>
          <w:rFonts w:asciiTheme="majorBidi" w:hAnsiTheme="majorBidi" w:cstheme="majorBidi"/>
          <w:sz w:val="24"/>
          <w:szCs w:val="24"/>
        </w:rPr>
        <w:t>introduce details about</w:t>
      </w:r>
      <w:r w:rsidR="0068261B" w:rsidRPr="0070390C">
        <w:rPr>
          <w:rFonts w:asciiTheme="majorBidi" w:hAnsiTheme="majorBidi" w:cstheme="majorBidi"/>
          <w:sz w:val="24"/>
          <w:szCs w:val="24"/>
        </w:rPr>
        <w:t xml:space="preserve"> the selected sample </w:t>
      </w:r>
      <w:r w:rsidR="0068261B">
        <w:rPr>
          <w:rFonts w:asciiTheme="majorBidi" w:hAnsiTheme="majorBidi" w:cstheme="majorBidi"/>
          <w:sz w:val="24"/>
          <w:szCs w:val="24"/>
        </w:rPr>
        <w:t>concerning age, g</w:t>
      </w:r>
      <w:r w:rsidR="0068261B" w:rsidRPr="0070390C">
        <w:rPr>
          <w:rFonts w:asciiTheme="majorBidi" w:hAnsiTheme="majorBidi" w:cstheme="majorBidi"/>
          <w:sz w:val="24"/>
          <w:szCs w:val="24"/>
        </w:rPr>
        <w:t xml:space="preserve">ender, </w:t>
      </w:r>
      <w:r w:rsidR="0068261B">
        <w:rPr>
          <w:rFonts w:asciiTheme="majorBidi" w:hAnsiTheme="majorBidi" w:cstheme="majorBidi"/>
          <w:sz w:val="24"/>
          <w:szCs w:val="24"/>
        </w:rPr>
        <w:t>b</w:t>
      </w:r>
      <w:r w:rsidR="0068261B" w:rsidRPr="0070390C">
        <w:rPr>
          <w:rFonts w:asciiTheme="majorBidi" w:hAnsiTheme="majorBidi" w:cstheme="majorBidi"/>
          <w:sz w:val="24"/>
          <w:szCs w:val="24"/>
        </w:rPr>
        <w:t xml:space="preserve">anking </w:t>
      </w:r>
      <w:r w:rsidR="0068261B">
        <w:rPr>
          <w:rFonts w:asciiTheme="majorBidi" w:hAnsiTheme="majorBidi" w:cstheme="majorBidi"/>
          <w:sz w:val="24"/>
          <w:szCs w:val="24"/>
        </w:rPr>
        <w:t>e</w:t>
      </w:r>
      <w:r w:rsidR="0068261B" w:rsidRPr="0070390C">
        <w:rPr>
          <w:rFonts w:asciiTheme="majorBidi" w:hAnsiTheme="majorBidi" w:cstheme="majorBidi"/>
          <w:sz w:val="24"/>
          <w:szCs w:val="24"/>
        </w:rPr>
        <w:t xml:space="preserve">xperience, working Sector/Department, </w:t>
      </w:r>
      <w:r w:rsidR="0068261B">
        <w:rPr>
          <w:rFonts w:asciiTheme="majorBidi" w:hAnsiTheme="majorBidi" w:cstheme="majorBidi"/>
          <w:sz w:val="24"/>
          <w:szCs w:val="24"/>
        </w:rPr>
        <w:t>education.</w:t>
      </w:r>
      <w:r w:rsidR="0068261B" w:rsidRPr="0070390C">
        <w:rPr>
          <w:rFonts w:asciiTheme="majorBidi" w:hAnsiTheme="majorBidi" w:cstheme="majorBidi"/>
          <w:sz w:val="24"/>
          <w:szCs w:val="24"/>
        </w:rPr>
        <w:t xml:space="preserve"> </w:t>
      </w:r>
      <w:r w:rsidR="0068261B" w:rsidRPr="006E7063">
        <w:rPr>
          <w:rFonts w:ascii="Times New Roman" w:hAnsi="Times New Roman" w:cs="Times New Roman"/>
          <w:sz w:val="24"/>
          <w:szCs w:val="24"/>
        </w:rPr>
        <w:t xml:space="preserve">The age groups </w:t>
      </w:r>
      <w:r w:rsidR="00AB65D2">
        <w:rPr>
          <w:rFonts w:ascii="Times New Roman" w:hAnsi="Times New Roman" w:cs="Times New Roman"/>
          <w:sz w:val="24"/>
          <w:szCs w:val="24"/>
        </w:rPr>
        <w:t xml:space="preserve">used were </w:t>
      </w:r>
      <w:r w:rsidR="0068261B" w:rsidRPr="006E7063">
        <w:rPr>
          <w:rFonts w:ascii="Times New Roman" w:hAnsi="Times New Roman" w:cs="Times New Roman"/>
          <w:sz w:val="24"/>
          <w:szCs w:val="24"/>
        </w:rPr>
        <w:t xml:space="preserve">20-29 years, 30-39 years, 40-49 years, 50–59 years and </w:t>
      </w:r>
      <w:r w:rsidR="00AB65D2">
        <w:rPr>
          <w:rFonts w:ascii="Times New Roman" w:hAnsi="Times New Roman" w:cs="Times New Roman"/>
          <w:sz w:val="24"/>
          <w:szCs w:val="24"/>
        </w:rPr>
        <w:t>&gt;60</w:t>
      </w:r>
      <w:r w:rsidR="0068261B" w:rsidRPr="006E7063">
        <w:rPr>
          <w:rFonts w:ascii="Times New Roman" w:hAnsi="Times New Roman" w:cs="Times New Roman"/>
          <w:sz w:val="24"/>
          <w:szCs w:val="24"/>
        </w:rPr>
        <w:t xml:space="preserve">. </w:t>
      </w:r>
      <w:r w:rsidR="00AB65D2">
        <w:rPr>
          <w:rFonts w:ascii="Times New Roman" w:hAnsi="Times New Roman" w:cs="Times New Roman"/>
          <w:sz w:val="24"/>
          <w:szCs w:val="24"/>
        </w:rPr>
        <w:t xml:space="preserve">Figure </w:t>
      </w:r>
      <w:r w:rsidR="0068261B" w:rsidRPr="006E7063">
        <w:rPr>
          <w:rFonts w:ascii="Times New Roman" w:hAnsi="Times New Roman" w:cs="Times New Roman"/>
          <w:sz w:val="24"/>
          <w:szCs w:val="24"/>
        </w:rPr>
        <w:t>(1) represent</w:t>
      </w:r>
      <w:r w:rsidR="00AB65D2">
        <w:rPr>
          <w:rFonts w:ascii="Times New Roman" w:hAnsi="Times New Roman" w:cs="Times New Roman"/>
          <w:sz w:val="24"/>
          <w:szCs w:val="24"/>
        </w:rPr>
        <w:t>s</w:t>
      </w:r>
      <w:r w:rsidR="0068261B" w:rsidRPr="006E7063">
        <w:rPr>
          <w:rFonts w:ascii="Times New Roman" w:hAnsi="Times New Roman" w:cs="Times New Roman"/>
          <w:sz w:val="24"/>
          <w:szCs w:val="24"/>
        </w:rPr>
        <w:t xml:space="preserve"> the </w:t>
      </w:r>
      <w:r w:rsidR="00AB65D2">
        <w:rPr>
          <w:rFonts w:ascii="Times New Roman" w:hAnsi="Times New Roman" w:cs="Times New Roman"/>
          <w:sz w:val="24"/>
          <w:szCs w:val="24"/>
        </w:rPr>
        <w:t>percentage of age distribution</w:t>
      </w:r>
      <w:r w:rsidR="0068261B" w:rsidRPr="006E7063">
        <w:rPr>
          <w:rFonts w:ascii="Times New Roman" w:hAnsi="Times New Roman" w:cs="Times New Roman"/>
          <w:sz w:val="24"/>
          <w:szCs w:val="24"/>
        </w:rPr>
        <w:t>.</w:t>
      </w:r>
      <w:r w:rsidR="00AB65D2">
        <w:rPr>
          <w:rFonts w:ascii="Times New Roman" w:hAnsi="Times New Roman" w:cs="Times New Roman"/>
          <w:sz w:val="24"/>
          <w:szCs w:val="24"/>
        </w:rPr>
        <w:t xml:space="preserve"> The highest occurrence was for </w:t>
      </w:r>
      <w:r w:rsidR="0068261B" w:rsidRPr="0070390C">
        <w:rPr>
          <w:rFonts w:ascii="Times New Roman" w:hAnsi="Times New Roman" w:cs="Times New Roman"/>
          <w:sz w:val="24"/>
          <w:szCs w:val="24"/>
        </w:rPr>
        <w:t>the age group (40-49) years representing a percentage of 49.6</w:t>
      </w:r>
      <w:r w:rsidR="00AB65D2">
        <w:rPr>
          <w:rFonts w:ascii="Times New Roman" w:hAnsi="Times New Roman" w:cs="Times New Roman"/>
          <w:sz w:val="24"/>
          <w:szCs w:val="24"/>
        </w:rPr>
        <w:t>%</w:t>
      </w:r>
      <w:r w:rsidR="0068261B" w:rsidRPr="0070390C">
        <w:rPr>
          <w:rFonts w:ascii="Times New Roman" w:hAnsi="Times New Roman" w:cs="Times New Roman"/>
          <w:sz w:val="24"/>
          <w:szCs w:val="24"/>
        </w:rPr>
        <w:t>, the second group (30-39) representing a percentage of 35</w:t>
      </w:r>
      <w:r w:rsidR="00AB65D2">
        <w:rPr>
          <w:rFonts w:ascii="Times New Roman" w:hAnsi="Times New Roman" w:cs="Times New Roman"/>
          <w:sz w:val="24"/>
          <w:szCs w:val="24"/>
        </w:rPr>
        <w:t>.0%</w:t>
      </w:r>
      <w:r w:rsidR="0068261B" w:rsidRPr="0070390C">
        <w:rPr>
          <w:rFonts w:ascii="Times New Roman" w:hAnsi="Times New Roman" w:cs="Times New Roman"/>
          <w:sz w:val="24"/>
          <w:szCs w:val="24"/>
        </w:rPr>
        <w:t xml:space="preserve"> while the smallest group of participants was the (20-29) years with percentage of 15.3</w:t>
      </w:r>
      <w:r w:rsidR="00AB65D2">
        <w:rPr>
          <w:rFonts w:ascii="Times New Roman" w:hAnsi="Times New Roman" w:cs="Times New Roman"/>
          <w:sz w:val="24"/>
          <w:szCs w:val="24"/>
        </w:rPr>
        <w:t>%</w:t>
      </w:r>
      <w:r w:rsidR="0068261B" w:rsidRPr="0070390C">
        <w:rPr>
          <w:rFonts w:ascii="Times New Roman" w:hAnsi="Times New Roman" w:cs="Times New Roman"/>
          <w:sz w:val="24"/>
          <w:szCs w:val="24"/>
        </w:rPr>
        <w:t xml:space="preserve">. </w:t>
      </w:r>
    </w:p>
    <w:p w14:paraId="59012B13" w14:textId="77777777" w:rsidR="0068261B" w:rsidRPr="00791DD1" w:rsidRDefault="0068261B" w:rsidP="0068261B">
      <w:pPr>
        <w:pStyle w:val="ListParagraph"/>
        <w:keepLines/>
        <w:spacing w:line="360" w:lineRule="auto"/>
        <w:ind w:left="1440"/>
        <w:jc w:val="both"/>
        <w:rPr>
          <w:rFonts w:ascii="Times New Roman" w:hAnsi="Times New Roman" w:cs="Times New Roman"/>
          <w:sz w:val="16"/>
          <w:szCs w:val="16"/>
        </w:rPr>
      </w:pPr>
    </w:p>
    <w:p w14:paraId="58068855" w14:textId="5C99F38F" w:rsidR="0068261B" w:rsidRDefault="0068261B" w:rsidP="008E2955">
      <w:pPr>
        <w:keepLines/>
        <w:spacing w:line="360" w:lineRule="auto"/>
        <w:jc w:val="both"/>
        <w:rPr>
          <w:rFonts w:ascii="Times New Roman" w:hAnsi="Times New Roman" w:cs="Times New Roman"/>
          <w:sz w:val="24"/>
          <w:szCs w:val="24"/>
        </w:rPr>
      </w:pPr>
      <w:r w:rsidRPr="0070390C">
        <w:rPr>
          <w:rFonts w:ascii="Times New Roman" w:hAnsi="Times New Roman" w:cs="Times New Roman"/>
          <w:sz w:val="24"/>
          <w:szCs w:val="24"/>
        </w:rPr>
        <w:t>The second demographic characteristic of the sample is gender</w:t>
      </w:r>
      <w:r w:rsidR="00AB65D2">
        <w:rPr>
          <w:rFonts w:ascii="Times New Roman" w:hAnsi="Times New Roman" w:cs="Times New Roman"/>
          <w:sz w:val="24"/>
          <w:szCs w:val="24"/>
        </w:rPr>
        <w:t>. Figure (1)</w:t>
      </w:r>
      <w:r w:rsidRPr="0070390C">
        <w:rPr>
          <w:rFonts w:ascii="Times New Roman" w:hAnsi="Times New Roman" w:cs="Times New Roman"/>
          <w:sz w:val="24"/>
          <w:szCs w:val="24"/>
        </w:rPr>
        <w:t xml:space="preserve"> shows </w:t>
      </w:r>
      <w:r w:rsidR="00AB65D2">
        <w:rPr>
          <w:rFonts w:ascii="Times New Roman" w:hAnsi="Times New Roman" w:cs="Times New Roman"/>
          <w:sz w:val="24"/>
          <w:szCs w:val="24"/>
        </w:rPr>
        <w:t>that</w:t>
      </w:r>
      <w:r w:rsidRPr="0070390C">
        <w:rPr>
          <w:rFonts w:ascii="Times New Roman" w:hAnsi="Times New Roman" w:cs="Times New Roman"/>
          <w:sz w:val="24"/>
          <w:szCs w:val="24"/>
        </w:rPr>
        <w:t xml:space="preserve"> male</w:t>
      </w:r>
      <w:r w:rsidR="00AB65D2">
        <w:rPr>
          <w:rFonts w:ascii="Times New Roman" w:hAnsi="Times New Roman" w:cs="Times New Roman"/>
          <w:sz w:val="24"/>
          <w:szCs w:val="24"/>
        </w:rPr>
        <w:t>s</w:t>
      </w:r>
      <w:r w:rsidRPr="0070390C">
        <w:rPr>
          <w:rFonts w:ascii="Times New Roman" w:hAnsi="Times New Roman" w:cs="Times New Roman"/>
          <w:sz w:val="24"/>
          <w:szCs w:val="24"/>
        </w:rPr>
        <w:t xml:space="preserve"> represents percentage of 73.7 (98 participants) of the sample, while the female is 26.3 percent with (39 participants). </w:t>
      </w:r>
      <w:r w:rsidR="008E2955">
        <w:rPr>
          <w:rFonts w:ascii="Times New Roman" w:hAnsi="Times New Roman" w:cs="Times New Roman"/>
          <w:sz w:val="24"/>
          <w:szCs w:val="24"/>
        </w:rPr>
        <w:t>The educational level (Figure 1) was highest for b</w:t>
      </w:r>
      <w:r w:rsidRPr="0070390C">
        <w:rPr>
          <w:rFonts w:ascii="Times New Roman" w:hAnsi="Times New Roman" w:cs="Times New Roman"/>
          <w:sz w:val="24"/>
          <w:szCs w:val="24"/>
        </w:rPr>
        <w:t xml:space="preserve">achelor's and </w:t>
      </w:r>
      <w:r w:rsidR="008E2955">
        <w:rPr>
          <w:rFonts w:ascii="Times New Roman" w:hAnsi="Times New Roman" w:cs="Times New Roman"/>
          <w:sz w:val="24"/>
          <w:szCs w:val="24"/>
        </w:rPr>
        <w:t>m</w:t>
      </w:r>
      <w:r w:rsidRPr="0070390C">
        <w:rPr>
          <w:rFonts w:ascii="Times New Roman" w:hAnsi="Times New Roman" w:cs="Times New Roman"/>
          <w:sz w:val="24"/>
          <w:szCs w:val="24"/>
        </w:rPr>
        <w:t>aster holders represent the majority of the participants with 52.6</w:t>
      </w:r>
      <w:r w:rsidR="008E2955">
        <w:rPr>
          <w:rFonts w:ascii="Times New Roman" w:hAnsi="Times New Roman" w:cs="Times New Roman"/>
          <w:sz w:val="24"/>
          <w:szCs w:val="24"/>
        </w:rPr>
        <w:t>%</w:t>
      </w:r>
      <w:r w:rsidRPr="0070390C">
        <w:rPr>
          <w:rFonts w:ascii="Times New Roman" w:hAnsi="Times New Roman" w:cs="Times New Roman"/>
          <w:sz w:val="24"/>
          <w:szCs w:val="24"/>
        </w:rPr>
        <w:t xml:space="preserve"> and 37.2</w:t>
      </w:r>
      <w:r w:rsidR="008E2955">
        <w:rPr>
          <w:rFonts w:ascii="Times New Roman" w:hAnsi="Times New Roman" w:cs="Times New Roman"/>
          <w:sz w:val="24"/>
          <w:szCs w:val="24"/>
        </w:rPr>
        <w:t>%</w:t>
      </w:r>
      <w:r w:rsidRPr="0070390C">
        <w:rPr>
          <w:rFonts w:ascii="Times New Roman" w:hAnsi="Times New Roman" w:cs="Times New Roman"/>
          <w:sz w:val="24"/>
          <w:szCs w:val="24"/>
        </w:rPr>
        <w:t xml:space="preserve"> and 62 &amp; 56 participants respectively, while the PhD/Doctorate degree holders represent 7.3</w:t>
      </w:r>
      <w:r w:rsidR="008E2955">
        <w:rPr>
          <w:rFonts w:ascii="Times New Roman" w:hAnsi="Times New Roman" w:cs="Times New Roman"/>
          <w:sz w:val="24"/>
          <w:szCs w:val="24"/>
        </w:rPr>
        <w:t>%</w:t>
      </w:r>
      <w:r w:rsidRPr="0070390C">
        <w:rPr>
          <w:rFonts w:ascii="Times New Roman" w:hAnsi="Times New Roman" w:cs="Times New Roman"/>
          <w:sz w:val="24"/>
          <w:szCs w:val="24"/>
        </w:rPr>
        <w:t xml:space="preserve"> with ten participants, </w:t>
      </w:r>
      <w:r w:rsidR="008E2955">
        <w:rPr>
          <w:rFonts w:ascii="Times New Roman" w:hAnsi="Times New Roman" w:cs="Times New Roman"/>
          <w:sz w:val="24"/>
          <w:szCs w:val="24"/>
        </w:rPr>
        <w:t>h</w:t>
      </w:r>
      <w:r w:rsidRPr="0070390C">
        <w:rPr>
          <w:rFonts w:ascii="Times New Roman" w:hAnsi="Times New Roman" w:cs="Times New Roman"/>
          <w:sz w:val="24"/>
          <w:szCs w:val="24"/>
        </w:rPr>
        <w:t xml:space="preserve">igh </w:t>
      </w:r>
      <w:r w:rsidR="008E2955">
        <w:rPr>
          <w:rFonts w:ascii="Times New Roman" w:hAnsi="Times New Roman" w:cs="Times New Roman"/>
          <w:sz w:val="24"/>
          <w:szCs w:val="24"/>
        </w:rPr>
        <w:t>s</w:t>
      </w:r>
      <w:r w:rsidRPr="0070390C">
        <w:rPr>
          <w:rFonts w:ascii="Times New Roman" w:hAnsi="Times New Roman" w:cs="Times New Roman"/>
          <w:sz w:val="24"/>
          <w:szCs w:val="24"/>
        </w:rPr>
        <w:t xml:space="preserve">chool and </w:t>
      </w:r>
      <w:r w:rsidR="008E2955">
        <w:rPr>
          <w:rFonts w:ascii="Times New Roman" w:hAnsi="Times New Roman" w:cs="Times New Roman"/>
          <w:sz w:val="24"/>
          <w:szCs w:val="24"/>
        </w:rPr>
        <w:t>d</w:t>
      </w:r>
      <w:r w:rsidRPr="0070390C">
        <w:rPr>
          <w:rFonts w:ascii="Times New Roman" w:hAnsi="Times New Roman" w:cs="Times New Roman"/>
          <w:sz w:val="24"/>
          <w:szCs w:val="24"/>
        </w:rPr>
        <w:t>iploma holders represent the smallest group of the participants with less than five and four participants.</w:t>
      </w:r>
    </w:p>
    <w:p w14:paraId="4303DC9E" w14:textId="60A1FC63" w:rsidR="0068261B" w:rsidRPr="0070390C" w:rsidRDefault="000C155E" w:rsidP="000C155E">
      <w:pPr>
        <w:keepLine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Concerning experience, </w:t>
      </w:r>
      <w:r w:rsidR="0068261B" w:rsidRPr="0070390C">
        <w:rPr>
          <w:rFonts w:ascii="Times New Roman" w:hAnsi="Times New Roman" w:cs="Times New Roman"/>
          <w:sz w:val="24"/>
          <w:szCs w:val="24"/>
        </w:rPr>
        <w:t>the majority of the sample falls in three groups (5-10,11-15 years, and 16-20 years) with percentages of 14.6, 35.8 and 27.7 respectively, with (20), (49) and (38) participants respectively, while the rest of the groups represent percentages of 12.4 and 9.5.</w:t>
      </w:r>
    </w:p>
    <w:p w14:paraId="6A783CFD" w14:textId="77777777" w:rsidR="0068261B" w:rsidRPr="0070390C" w:rsidRDefault="0068261B" w:rsidP="0068261B">
      <w:pPr>
        <w:keepLines/>
        <w:spacing w:line="360" w:lineRule="auto"/>
        <w:jc w:val="both"/>
        <w:rPr>
          <w:rFonts w:asciiTheme="majorBidi" w:hAnsiTheme="majorBidi" w:cstheme="majorBidi"/>
          <w:sz w:val="24"/>
          <w:szCs w:val="24"/>
        </w:rPr>
      </w:pPr>
    </w:p>
    <w:p w14:paraId="6940B550" w14:textId="754F3827" w:rsidR="00446098" w:rsidRDefault="00446098" w:rsidP="0070390C">
      <w:pPr>
        <w:keepLines/>
        <w:spacing w:line="360" w:lineRule="auto"/>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819"/>
      </w:tblGrid>
      <w:tr w:rsidR="00D82734" w14:paraId="7744F3D7" w14:textId="77777777" w:rsidTr="006D5541">
        <w:tc>
          <w:tcPr>
            <w:tcW w:w="4531" w:type="dxa"/>
          </w:tcPr>
          <w:p w14:paraId="2893403B" w14:textId="65D595EA" w:rsidR="00D82734" w:rsidRDefault="00D82734" w:rsidP="0070390C">
            <w:pPr>
              <w:keepLines/>
              <w:spacing w:line="360" w:lineRule="auto"/>
              <w:jc w:val="both"/>
              <w:rPr>
                <w:rFonts w:asciiTheme="majorBidi" w:hAnsiTheme="majorBidi" w:cstheme="majorBidi"/>
              </w:rPr>
            </w:pPr>
            <w:r>
              <w:rPr>
                <w:rFonts w:asciiTheme="majorBidi" w:hAnsiTheme="majorBidi" w:cstheme="majorBidi"/>
                <w:noProof/>
              </w:rPr>
              <w:lastRenderedPageBreak/>
              <w:drawing>
                <wp:inline distT="0" distB="0" distL="0" distR="0" wp14:anchorId="4DE51F07" wp14:editId="1512CC6A">
                  <wp:extent cx="2849245" cy="2802577"/>
                  <wp:effectExtent l="0" t="0" r="825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819" w:type="dxa"/>
          </w:tcPr>
          <w:p w14:paraId="3413D0FB" w14:textId="545A1934" w:rsidR="00D82734" w:rsidRDefault="00596758" w:rsidP="0070390C">
            <w:pPr>
              <w:keepLines/>
              <w:spacing w:line="360" w:lineRule="auto"/>
              <w:jc w:val="both"/>
              <w:rPr>
                <w:rFonts w:asciiTheme="majorBidi" w:hAnsiTheme="majorBidi" w:cstheme="majorBidi"/>
              </w:rPr>
            </w:pPr>
            <w:r>
              <w:rPr>
                <w:rFonts w:asciiTheme="majorBidi" w:hAnsiTheme="majorBidi" w:cstheme="majorBidi"/>
                <w:noProof/>
              </w:rPr>
              <w:drawing>
                <wp:inline distT="0" distB="0" distL="0" distR="0" wp14:anchorId="1F85C6D8" wp14:editId="08254FAB">
                  <wp:extent cx="2909455" cy="2778760"/>
                  <wp:effectExtent l="0" t="0" r="5715"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D82734" w14:paraId="5DAA9A8D" w14:textId="77777777" w:rsidTr="006D5541">
        <w:tc>
          <w:tcPr>
            <w:tcW w:w="4531" w:type="dxa"/>
          </w:tcPr>
          <w:p w14:paraId="2B4B63F6" w14:textId="17CF0296" w:rsidR="00D82734" w:rsidRDefault="00D31307" w:rsidP="0070390C">
            <w:pPr>
              <w:keepLines/>
              <w:spacing w:line="360" w:lineRule="auto"/>
              <w:jc w:val="both"/>
              <w:rPr>
                <w:rFonts w:asciiTheme="majorBidi" w:hAnsiTheme="majorBidi" w:cstheme="majorBidi"/>
              </w:rPr>
            </w:pPr>
            <w:r>
              <w:rPr>
                <w:rFonts w:asciiTheme="majorBidi" w:hAnsiTheme="majorBidi" w:cstheme="majorBidi"/>
                <w:noProof/>
              </w:rPr>
              <w:drawing>
                <wp:inline distT="0" distB="0" distL="0" distR="0" wp14:anchorId="7BA2F8F9" wp14:editId="7250FCA5">
                  <wp:extent cx="2740025" cy="2410691"/>
                  <wp:effectExtent l="0" t="0" r="317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819" w:type="dxa"/>
          </w:tcPr>
          <w:p w14:paraId="06469ABB" w14:textId="6E332536" w:rsidR="00D82734" w:rsidRDefault="006D5541" w:rsidP="0070390C">
            <w:pPr>
              <w:keepLines/>
              <w:spacing w:line="360" w:lineRule="auto"/>
              <w:jc w:val="both"/>
              <w:rPr>
                <w:rFonts w:asciiTheme="majorBidi" w:hAnsiTheme="majorBidi" w:cstheme="majorBidi"/>
              </w:rPr>
            </w:pPr>
            <w:r>
              <w:rPr>
                <w:rFonts w:asciiTheme="majorBidi" w:hAnsiTheme="majorBidi" w:cstheme="majorBidi"/>
                <w:noProof/>
              </w:rPr>
              <w:drawing>
                <wp:inline distT="0" distB="0" distL="0" distR="0" wp14:anchorId="3B277377" wp14:editId="7B94A85C">
                  <wp:extent cx="2922905" cy="2481943"/>
                  <wp:effectExtent l="0" t="0" r="1079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39084A48" w14:textId="5E985CE3" w:rsidR="00D82734" w:rsidRDefault="006D5541" w:rsidP="0070390C">
      <w:pPr>
        <w:keepLines/>
        <w:spacing w:line="360" w:lineRule="auto"/>
        <w:jc w:val="both"/>
        <w:rPr>
          <w:rFonts w:asciiTheme="majorBidi" w:hAnsiTheme="majorBidi" w:cstheme="majorBidi"/>
          <w:sz w:val="24"/>
          <w:szCs w:val="24"/>
        </w:rPr>
      </w:pPr>
      <w:r>
        <w:rPr>
          <w:rFonts w:asciiTheme="majorBidi" w:hAnsiTheme="majorBidi" w:cstheme="majorBidi"/>
          <w:sz w:val="24"/>
          <w:szCs w:val="24"/>
        </w:rPr>
        <w:t>Figure 1: The percent</w:t>
      </w:r>
      <w:r w:rsidR="0068261B">
        <w:rPr>
          <w:rFonts w:asciiTheme="majorBidi" w:hAnsiTheme="majorBidi" w:cstheme="majorBidi"/>
          <w:sz w:val="24"/>
          <w:szCs w:val="24"/>
        </w:rPr>
        <w:t xml:space="preserve">age of demographic constraints </w:t>
      </w:r>
    </w:p>
    <w:p w14:paraId="4D9522E6" w14:textId="77777777" w:rsidR="0070390C" w:rsidRDefault="0070390C" w:rsidP="0070390C">
      <w:pPr>
        <w:keepLines/>
        <w:spacing w:line="360" w:lineRule="auto"/>
        <w:jc w:val="center"/>
        <w:rPr>
          <w:i/>
          <w:highlight w:val="yellow"/>
        </w:rPr>
      </w:pPr>
    </w:p>
    <w:p w14:paraId="257E36FA" w14:textId="118A7AF7" w:rsidR="0070390C" w:rsidRDefault="006D284B" w:rsidP="00332B33">
      <w:pPr>
        <w:pStyle w:val="SBSL3"/>
        <w:keepLines/>
        <w:numPr>
          <w:ilvl w:val="0"/>
          <w:numId w:val="0"/>
        </w:numPr>
      </w:pPr>
      <w:r>
        <w:rPr>
          <w:b/>
          <w:bCs/>
        </w:rPr>
        <w:t xml:space="preserve">Working Section/Department: </w:t>
      </w:r>
      <w:r w:rsidR="0070390C" w:rsidRPr="00336ED3">
        <w:t xml:space="preserve">The working sector/department within the bank, represent the last classification characteristic of the sample, </w:t>
      </w:r>
      <w:r w:rsidR="00332B33">
        <w:t xml:space="preserve">Table (1) </w:t>
      </w:r>
      <w:r w:rsidR="0070390C" w:rsidRPr="00336ED3">
        <w:t xml:space="preserve"> elaborate</w:t>
      </w:r>
      <w:r w:rsidR="00336ED3">
        <w:t>s</w:t>
      </w:r>
      <w:r w:rsidR="0070390C" w:rsidRPr="00336ED3">
        <w:t xml:space="preserve"> few facts about the sample, such as the Corporate Finance department was the major contributor (respondents) to the study with 40.9 and 56 participants. The second rank was the Operation department with 24 respondents with percentage of 17.5. </w:t>
      </w:r>
    </w:p>
    <w:p w14:paraId="0E496002" w14:textId="77777777" w:rsidR="00332B33" w:rsidRDefault="00332B33" w:rsidP="00332B33">
      <w:pPr>
        <w:pStyle w:val="Heading3"/>
      </w:pPr>
    </w:p>
    <w:p w14:paraId="2FF4F6AF" w14:textId="77777777" w:rsidR="00332B33" w:rsidRDefault="00332B33" w:rsidP="00332B33"/>
    <w:p w14:paraId="63A855C3" w14:textId="77777777" w:rsidR="00332B33" w:rsidRPr="00332B33" w:rsidRDefault="00332B33" w:rsidP="00332B33"/>
    <w:p w14:paraId="760FE956" w14:textId="7956B421" w:rsidR="0070390C" w:rsidRDefault="00B01DA1" w:rsidP="00332B33">
      <w:pPr>
        <w:keepLine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332B33">
        <w:rPr>
          <w:rFonts w:ascii="Times New Roman" w:hAnsi="Times New Roman" w:cs="Times New Roman"/>
          <w:sz w:val="24"/>
          <w:szCs w:val="24"/>
        </w:rPr>
        <w:t>1:</w:t>
      </w:r>
      <w:r>
        <w:rPr>
          <w:rFonts w:ascii="Times New Roman" w:hAnsi="Times New Roman" w:cs="Times New Roman"/>
          <w:sz w:val="24"/>
          <w:szCs w:val="24"/>
        </w:rPr>
        <w:t xml:space="preserve"> The distribution of sample according to their working section in Islamic banks</w:t>
      </w:r>
    </w:p>
    <w:tbl>
      <w:tblPr>
        <w:tblStyle w:val="TableGrid"/>
        <w:tblW w:w="0" w:type="auto"/>
        <w:tblLook w:val="04A0" w:firstRow="1" w:lastRow="0" w:firstColumn="1" w:lastColumn="0" w:noHBand="0" w:noVBand="1"/>
      </w:tblPr>
      <w:tblGrid>
        <w:gridCol w:w="3116"/>
        <w:gridCol w:w="3117"/>
        <w:gridCol w:w="3117"/>
      </w:tblGrid>
      <w:tr w:rsidR="00332B33" w:rsidRPr="00332B33" w14:paraId="458BC25D" w14:textId="77777777" w:rsidTr="00332B33">
        <w:tc>
          <w:tcPr>
            <w:tcW w:w="3116" w:type="dxa"/>
          </w:tcPr>
          <w:p w14:paraId="55AC2931" w14:textId="7C18EF41" w:rsidR="00332B33" w:rsidRPr="00332B33" w:rsidRDefault="00332B33" w:rsidP="00332B33">
            <w:pPr>
              <w:keepLines/>
              <w:spacing w:line="360" w:lineRule="auto"/>
              <w:jc w:val="center"/>
              <w:rPr>
                <w:rFonts w:ascii="Times New Roman" w:hAnsi="Times New Roman" w:cs="Times New Roman"/>
                <w:b/>
                <w:bCs/>
              </w:rPr>
            </w:pPr>
            <w:r w:rsidRPr="00332B33">
              <w:rPr>
                <w:rFonts w:ascii="Times New Roman" w:hAnsi="Times New Roman" w:cs="Times New Roman"/>
                <w:b/>
                <w:bCs/>
              </w:rPr>
              <w:t>Working Section</w:t>
            </w:r>
          </w:p>
        </w:tc>
        <w:tc>
          <w:tcPr>
            <w:tcW w:w="3117" w:type="dxa"/>
          </w:tcPr>
          <w:p w14:paraId="48B5227A" w14:textId="639F7949" w:rsidR="00332B33" w:rsidRPr="00332B33" w:rsidRDefault="00332B33" w:rsidP="00332B33">
            <w:pPr>
              <w:keepLines/>
              <w:spacing w:line="360" w:lineRule="auto"/>
              <w:jc w:val="center"/>
              <w:rPr>
                <w:rFonts w:ascii="Times New Roman" w:hAnsi="Times New Roman" w:cs="Times New Roman"/>
                <w:b/>
                <w:bCs/>
              </w:rPr>
            </w:pPr>
            <w:r w:rsidRPr="00332B33">
              <w:rPr>
                <w:rFonts w:ascii="Times New Roman" w:hAnsi="Times New Roman" w:cs="Times New Roman"/>
                <w:b/>
                <w:bCs/>
              </w:rPr>
              <w:t>Frequency</w:t>
            </w:r>
          </w:p>
        </w:tc>
        <w:tc>
          <w:tcPr>
            <w:tcW w:w="3117" w:type="dxa"/>
          </w:tcPr>
          <w:p w14:paraId="67F88ED0" w14:textId="77FCDC47" w:rsidR="00332B33" w:rsidRPr="00332B33" w:rsidRDefault="00332B33" w:rsidP="00332B33">
            <w:pPr>
              <w:keepLines/>
              <w:spacing w:line="360" w:lineRule="auto"/>
              <w:jc w:val="center"/>
              <w:rPr>
                <w:rFonts w:ascii="Times New Roman" w:hAnsi="Times New Roman" w:cs="Times New Roman"/>
                <w:b/>
                <w:bCs/>
              </w:rPr>
            </w:pPr>
            <w:r w:rsidRPr="00332B33">
              <w:rPr>
                <w:rFonts w:ascii="Times New Roman" w:hAnsi="Times New Roman" w:cs="Times New Roman"/>
                <w:b/>
                <w:bCs/>
              </w:rPr>
              <w:t>Percentage</w:t>
            </w:r>
          </w:p>
        </w:tc>
      </w:tr>
      <w:tr w:rsidR="00332B33" w:rsidRPr="00332B33" w14:paraId="51EA16AA" w14:textId="77777777" w:rsidTr="0053733E">
        <w:tc>
          <w:tcPr>
            <w:tcW w:w="3116" w:type="dxa"/>
            <w:shd w:val="clear" w:color="auto" w:fill="auto"/>
            <w:vAlign w:val="center"/>
          </w:tcPr>
          <w:p w14:paraId="1DAC4CD8" w14:textId="5F7DB714"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Administration</w:t>
            </w:r>
            <w:r>
              <w:rPr>
                <w:rFonts w:asciiTheme="majorBidi" w:eastAsia="Times New Roman" w:hAnsiTheme="majorBidi" w:cstheme="majorBidi"/>
                <w:color w:val="000000"/>
              </w:rPr>
              <w:t xml:space="preserve"> </w:t>
            </w:r>
            <w:r w:rsidRPr="00332B33">
              <w:rPr>
                <w:rFonts w:asciiTheme="majorBidi" w:eastAsia="Times New Roman" w:hAnsiTheme="majorBidi" w:cstheme="majorBidi"/>
                <w:color w:val="000000"/>
              </w:rPr>
              <w:t>support</w:t>
            </w:r>
          </w:p>
        </w:tc>
        <w:tc>
          <w:tcPr>
            <w:tcW w:w="3117" w:type="dxa"/>
            <w:shd w:val="clear" w:color="auto" w:fill="auto"/>
            <w:vAlign w:val="center"/>
          </w:tcPr>
          <w:p w14:paraId="760CB2E3" w14:textId="0CBD19A1"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9</w:t>
            </w:r>
          </w:p>
        </w:tc>
        <w:tc>
          <w:tcPr>
            <w:tcW w:w="3117" w:type="dxa"/>
            <w:shd w:val="clear" w:color="auto" w:fill="auto"/>
            <w:vAlign w:val="center"/>
          </w:tcPr>
          <w:p w14:paraId="6037A60C" w14:textId="4D8CE2AB"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6.6</w:t>
            </w:r>
          </w:p>
        </w:tc>
      </w:tr>
      <w:tr w:rsidR="00332B33" w:rsidRPr="00332B33" w14:paraId="72782F12" w14:textId="77777777" w:rsidTr="0053733E">
        <w:tc>
          <w:tcPr>
            <w:tcW w:w="3116" w:type="dxa"/>
            <w:shd w:val="clear" w:color="auto" w:fill="auto"/>
            <w:vAlign w:val="center"/>
          </w:tcPr>
          <w:p w14:paraId="1C745EB6" w14:textId="30E0A844"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Branches</w:t>
            </w:r>
          </w:p>
        </w:tc>
        <w:tc>
          <w:tcPr>
            <w:tcW w:w="3117" w:type="dxa"/>
            <w:shd w:val="clear" w:color="auto" w:fill="auto"/>
            <w:vAlign w:val="center"/>
          </w:tcPr>
          <w:p w14:paraId="3762359F" w14:textId="35A412FE"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4</w:t>
            </w:r>
          </w:p>
        </w:tc>
        <w:tc>
          <w:tcPr>
            <w:tcW w:w="3117" w:type="dxa"/>
            <w:shd w:val="clear" w:color="auto" w:fill="auto"/>
            <w:vAlign w:val="center"/>
          </w:tcPr>
          <w:p w14:paraId="4DAFF5DE" w14:textId="72796F64"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2.9</w:t>
            </w:r>
          </w:p>
        </w:tc>
      </w:tr>
      <w:tr w:rsidR="00332B33" w:rsidRPr="00332B33" w14:paraId="2A82EF09" w14:textId="77777777" w:rsidTr="0053733E">
        <w:tc>
          <w:tcPr>
            <w:tcW w:w="3116" w:type="dxa"/>
            <w:shd w:val="clear" w:color="auto" w:fill="auto"/>
            <w:vAlign w:val="center"/>
          </w:tcPr>
          <w:p w14:paraId="0B5BA46B" w14:textId="141FA4E5"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Corporate</w:t>
            </w:r>
            <w:r>
              <w:rPr>
                <w:rFonts w:asciiTheme="majorBidi" w:eastAsia="Times New Roman" w:hAnsiTheme="majorBidi" w:cstheme="majorBidi"/>
                <w:color w:val="000000"/>
              </w:rPr>
              <w:t xml:space="preserve"> </w:t>
            </w:r>
            <w:r w:rsidRPr="00332B33">
              <w:rPr>
                <w:rFonts w:asciiTheme="majorBidi" w:eastAsia="Times New Roman" w:hAnsiTheme="majorBidi" w:cstheme="majorBidi"/>
                <w:color w:val="000000"/>
              </w:rPr>
              <w:t>Finance</w:t>
            </w:r>
          </w:p>
        </w:tc>
        <w:tc>
          <w:tcPr>
            <w:tcW w:w="3117" w:type="dxa"/>
            <w:shd w:val="clear" w:color="auto" w:fill="auto"/>
            <w:vAlign w:val="center"/>
          </w:tcPr>
          <w:p w14:paraId="55BF4E19" w14:textId="1D3A1D16" w:rsidR="00332B33" w:rsidRPr="00332B33" w:rsidRDefault="00332B33" w:rsidP="00332B33">
            <w:pPr>
              <w:keepLines/>
              <w:spacing w:line="360" w:lineRule="auto"/>
              <w:jc w:val="both"/>
              <w:rPr>
                <w:rFonts w:ascii="Times New Roman" w:hAnsi="Times New Roman" w:cs="Times New Roman"/>
              </w:rPr>
            </w:pPr>
            <w:r>
              <w:rPr>
                <w:rFonts w:asciiTheme="majorBidi" w:eastAsia="Times New Roman" w:hAnsiTheme="majorBidi" w:cstheme="majorBidi"/>
                <w:color w:val="000000"/>
              </w:rPr>
              <w:t>61</w:t>
            </w:r>
          </w:p>
        </w:tc>
        <w:tc>
          <w:tcPr>
            <w:tcW w:w="3117" w:type="dxa"/>
            <w:shd w:val="clear" w:color="auto" w:fill="auto"/>
            <w:vAlign w:val="center"/>
          </w:tcPr>
          <w:p w14:paraId="2723FBE3" w14:textId="4EC09F05" w:rsidR="00332B33" w:rsidRPr="00332B33" w:rsidRDefault="00332B33" w:rsidP="00332B33">
            <w:pPr>
              <w:keepLines/>
              <w:spacing w:line="360" w:lineRule="auto"/>
              <w:jc w:val="both"/>
              <w:rPr>
                <w:rFonts w:ascii="Times New Roman" w:hAnsi="Times New Roman" w:cs="Times New Roman"/>
              </w:rPr>
            </w:pPr>
            <w:r>
              <w:rPr>
                <w:rFonts w:asciiTheme="majorBidi" w:eastAsia="Times New Roman" w:hAnsiTheme="majorBidi" w:cstheme="majorBidi"/>
                <w:color w:val="000000"/>
              </w:rPr>
              <w:t>44.5</w:t>
            </w:r>
          </w:p>
        </w:tc>
      </w:tr>
      <w:tr w:rsidR="00332B33" w:rsidRPr="00332B33" w14:paraId="4A729484" w14:textId="77777777" w:rsidTr="0053733E">
        <w:tc>
          <w:tcPr>
            <w:tcW w:w="3116" w:type="dxa"/>
            <w:shd w:val="clear" w:color="auto" w:fill="auto"/>
            <w:vAlign w:val="center"/>
          </w:tcPr>
          <w:p w14:paraId="4A52A43A" w14:textId="425EFBF1"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Credit</w:t>
            </w:r>
          </w:p>
        </w:tc>
        <w:tc>
          <w:tcPr>
            <w:tcW w:w="3117" w:type="dxa"/>
            <w:shd w:val="clear" w:color="auto" w:fill="auto"/>
            <w:vAlign w:val="center"/>
          </w:tcPr>
          <w:p w14:paraId="5F7316E4" w14:textId="50F4244B"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w:t>
            </w:r>
          </w:p>
        </w:tc>
        <w:tc>
          <w:tcPr>
            <w:tcW w:w="3117" w:type="dxa"/>
            <w:shd w:val="clear" w:color="auto" w:fill="auto"/>
            <w:vAlign w:val="center"/>
          </w:tcPr>
          <w:p w14:paraId="5D421027" w14:textId="41211F9F"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.7</w:t>
            </w:r>
          </w:p>
        </w:tc>
      </w:tr>
      <w:tr w:rsidR="00332B33" w:rsidRPr="00332B33" w14:paraId="0A934D94" w14:textId="77777777" w:rsidTr="0053733E">
        <w:tc>
          <w:tcPr>
            <w:tcW w:w="3116" w:type="dxa"/>
            <w:shd w:val="clear" w:color="auto" w:fill="auto"/>
            <w:vAlign w:val="center"/>
          </w:tcPr>
          <w:p w14:paraId="508F0C79" w14:textId="57B171E9"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Customer</w:t>
            </w:r>
            <w:r>
              <w:rPr>
                <w:rFonts w:asciiTheme="majorBidi" w:eastAsia="Times New Roman" w:hAnsiTheme="majorBidi" w:cstheme="majorBidi"/>
                <w:color w:val="000000"/>
              </w:rPr>
              <w:t xml:space="preserve"> </w:t>
            </w:r>
            <w:r w:rsidRPr="00332B33">
              <w:rPr>
                <w:rFonts w:asciiTheme="majorBidi" w:eastAsia="Times New Roman" w:hAnsiTheme="majorBidi" w:cstheme="majorBidi"/>
                <w:color w:val="000000"/>
              </w:rPr>
              <w:t>Services</w:t>
            </w:r>
          </w:p>
        </w:tc>
        <w:tc>
          <w:tcPr>
            <w:tcW w:w="3117" w:type="dxa"/>
            <w:shd w:val="clear" w:color="auto" w:fill="auto"/>
            <w:vAlign w:val="center"/>
          </w:tcPr>
          <w:p w14:paraId="1ADE56C0" w14:textId="210355E1"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w:t>
            </w:r>
          </w:p>
        </w:tc>
        <w:tc>
          <w:tcPr>
            <w:tcW w:w="3117" w:type="dxa"/>
            <w:shd w:val="clear" w:color="auto" w:fill="auto"/>
            <w:vAlign w:val="center"/>
          </w:tcPr>
          <w:p w14:paraId="5EB2C097" w14:textId="18025402"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.7</w:t>
            </w:r>
          </w:p>
        </w:tc>
      </w:tr>
      <w:tr w:rsidR="00332B33" w:rsidRPr="00332B33" w14:paraId="658F24A1" w14:textId="77777777" w:rsidTr="0053733E">
        <w:tc>
          <w:tcPr>
            <w:tcW w:w="3116" w:type="dxa"/>
            <w:shd w:val="clear" w:color="auto" w:fill="auto"/>
            <w:vAlign w:val="center"/>
          </w:tcPr>
          <w:p w14:paraId="64B8D901" w14:textId="3E755B05"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Deposits</w:t>
            </w:r>
          </w:p>
        </w:tc>
        <w:tc>
          <w:tcPr>
            <w:tcW w:w="3117" w:type="dxa"/>
            <w:shd w:val="clear" w:color="auto" w:fill="auto"/>
            <w:vAlign w:val="center"/>
          </w:tcPr>
          <w:p w14:paraId="2269E038" w14:textId="1E8B03B0"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5</w:t>
            </w:r>
          </w:p>
        </w:tc>
        <w:tc>
          <w:tcPr>
            <w:tcW w:w="3117" w:type="dxa"/>
            <w:shd w:val="clear" w:color="auto" w:fill="auto"/>
            <w:vAlign w:val="center"/>
          </w:tcPr>
          <w:p w14:paraId="52CB8A8D" w14:textId="561945C3"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3.6</w:t>
            </w:r>
          </w:p>
        </w:tc>
      </w:tr>
      <w:tr w:rsidR="00332B33" w:rsidRPr="00332B33" w14:paraId="0DD4B8F5" w14:textId="77777777" w:rsidTr="0053733E">
        <w:tc>
          <w:tcPr>
            <w:tcW w:w="3116" w:type="dxa"/>
            <w:shd w:val="clear" w:color="auto" w:fill="auto"/>
            <w:vAlign w:val="center"/>
          </w:tcPr>
          <w:p w14:paraId="66517107" w14:textId="76AFDD30"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Financial</w:t>
            </w:r>
            <w:r>
              <w:rPr>
                <w:rFonts w:asciiTheme="majorBidi" w:eastAsia="Times New Roman" w:hAnsiTheme="majorBidi" w:cstheme="majorBidi"/>
                <w:color w:val="000000"/>
              </w:rPr>
              <w:t xml:space="preserve"> </w:t>
            </w:r>
            <w:r w:rsidRPr="00332B33">
              <w:rPr>
                <w:rFonts w:asciiTheme="majorBidi" w:eastAsia="Times New Roman" w:hAnsiTheme="majorBidi" w:cstheme="majorBidi"/>
                <w:color w:val="000000"/>
              </w:rPr>
              <w:t>Audit</w:t>
            </w:r>
          </w:p>
        </w:tc>
        <w:tc>
          <w:tcPr>
            <w:tcW w:w="3117" w:type="dxa"/>
            <w:shd w:val="clear" w:color="auto" w:fill="auto"/>
            <w:vAlign w:val="center"/>
          </w:tcPr>
          <w:p w14:paraId="5D6A025E" w14:textId="75621631"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4</w:t>
            </w:r>
          </w:p>
        </w:tc>
        <w:tc>
          <w:tcPr>
            <w:tcW w:w="3117" w:type="dxa"/>
            <w:shd w:val="clear" w:color="auto" w:fill="auto"/>
            <w:vAlign w:val="center"/>
          </w:tcPr>
          <w:p w14:paraId="46E9AE68" w14:textId="4EFA39AE"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2.9</w:t>
            </w:r>
          </w:p>
        </w:tc>
      </w:tr>
      <w:tr w:rsidR="00332B33" w:rsidRPr="00332B33" w14:paraId="0E62BB05" w14:textId="77777777" w:rsidTr="0053733E">
        <w:tc>
          <w:tcPr>
            <w:tcW w:w="3116" w:type="dxa"/>
            <w:shd w:val="clear" w:color="auto" w:fill="auto"/>
            <w:vAlign w:val="center"/>
          </w:tcPr>
          <w:p w14:paraId="130B8BDC" w14:textId="7083A6FE"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HR</w:t>
            </w:r>
          </w:p>
        </w:tc>
        <w:tc>
          <w:tcPr>
            <w:tcW w:w="3117" w:type="dxa"/>
            <w:shd w:val="clear" w:color="auto" w:fill="auto"/>
            <w:vAlign w:val="center"/>
          </w:tcPr>
          <w:p w14:paraId="3D013ACF" w14:textId="05AA55DD"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17</w:t>
            </w:r>
          </w:p>
        </w:tc>
        <w:tc>
          <w:tcPr>
            <w:tcW w:w="3117" w:type="dxa"/>
            <w:shd w:val="clear" w:color="auto" w:fill="auto"/>
            <w:vAlign w:val="center"/>
          </w:tcPr>
          <w:p w14:paraId="7339E067" w14:textId="72ACAEDD"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12.4</w:t>
            </w:r>
          </w:p>
        </w:tc>
      </w:tr>
      <w:tr w:rsidR="00332B33" w:rsidRPr="00332B33" w14:paraId="38083356" w14:textId="77777777" w:rsidTr="0053733E">
        <w:tc>
          <w:tcPr>
            <w:tcW w:w="3116" w:type="dxa"/>
            <w:shd w:val="clear" w:color="auto" w:fill="auto"/>
            <w:vAlign w:val="center"/>
          </w:tcPr>
          <w:p w14:paraId="2D272DC7" w14:textId="7FE708B9"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Internal</w:t>
            </w:r>
            <w:r>
              <w:rPr>
                <w:rFonts w:asciiTheme="majorBidi" w:eastAsia="Times New Roman" w:hAnsiTheme="majorBidi" w:cstheme="majorBidi"/>
                <w:color w:val="000000"/>
              </w:rPr>
              <w:t xml:space="preserve"> </w:t>
            </w:r>
            <w:r w:rsidRPr="00332B33">
              <w:rPr>
                <w:rFonts w:asciiTheme="majorBidi" w:eastAsia="Times New Roman" w:hAnsiTheme="majorBidi" w:cstheme="majorBidi"/>
                <w:color w:val="000000"/>
              </w:rPr>
              <w:t>Audit</w:t>
            </w:r>
          </w:p>
        </w:tc>
        <w:tc>
          <w:tcPr>
            <w:tcW w:w="3117" w:type="dxa"/>
            <w:shd w:val="clear" w:color="auto" w:fill="auto"/>
            <w:vAlign w:val="center"/>
          </w:tcPr>
          <w:p w14:paraId="5313E3B7" w14:textId="27965CD1"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w:t>
            </w:r>
          </w:p>
        </w:tc>
        <w:tc>
          <w:tcPr>
            <w:tcW w:w="3117" w:type="dxa"/>
            <w:shd w:val="clear" w:color="auto" w:fill="auto"/>
            <w:vAlign w:val="center"/>
          </w:tcPr>
          <w:p w14:paraId="3D13B4B4" w14:textId="4E73869B"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.7</w:t>
            </w:r>
          </w:p>
        </w:tc>
      </w:tr>
      <w:tr w:rsidR="00332B33" w:rsidRPr="00332B33" w14:paraId="3B3F3423" w14:textId="77777777" w:rsidTr="0053733E">
        <w:tc>
          <w:tcPr>
            <w:tcW w:w="3116" w:type="dxa"/>
            <w:shd w:val="clear" w:color="auto" w:fill="auto"/>
            <w:vAlign w:val="center"/>
          </w:tcPr>
          <w:p w14:paraId="617663AD" w14:textId="40FFC97E"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IT</w:t>
            </w:r>
          </w:p>
        </w:tc>
        <w:tc>
          <w:tcPr>
            <w:tcW w:w="3117" w:type="dxa"/>
            <w:shd w:val="clear" w:color="auto" w:fill="auto"/>
            <w:vAlign w:val="center"/>
          </w:tcPr>
          <w:p w14:paraId="15DAD392" w14:textId="2FE1B0CE"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5</w:t>
            </w:r>
          </w:p>
        </w:tc>
        <w:tc>
          <w:tcPr>
            <w:tcW w:w="3117" w:type="dxa"/>
            <w:shd w:val="clear" w:color="auto" w:fill="auto"/>
            <w:vAlign w:val="center"/>
          </w:tcPr>
          <w:p w14:paraId="06F334DA" w14:textId="00489400"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3.6</w:t>
            </w:r>
          </w:p>
        </w:tc>
      </w:tr>
      <w:tr w:rsidR="00332B33" w:rsidRPr="00332B33" w14:paraId="3056DCAF" w14:textId="77777777" w:rsidTr="0053733E">
        <w:tc>
          <w:tcPr>
            <w:tcW w:w="3116" w:type="dxa"/>
            <w:shd w:val="clear" w:color="auto" w:fill="auto"/>
            <w:vAlign w:val="center"/>
          </w:tcPr>
          <w:p w14:paraId="3869D28A" w14:textId="7B626A36"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Operations</w:t>
            </w:r>
          </w:p>
        </w:tc>
        <w:tc>
          <w:tcPr>
            <w:tcW w:w="3117" w:type="dxa"/>
            <w:shd w:val="clear" w:color="auto" w:fill="auto"/>
            <w:vAlign w:val="center"/>
          </w:tcPr>
          <w:p w14:paraId="4EBEC2B0" w14:textId="09918BE3"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24</w:t>
            </w:r>
          </w:p>
        </w:tc>
        <w:tc>
          <w:tcPr>
            <w:tcW w:w="3117" w:type="dxa"/>
            <w:shd w:val="clear" w:color="auto" w:fill="auto"/>
            <w:vAlign w:val="center"/>
          </w:tcPr>
          <w:p w14:paraId="073FA984" w14:textId="2FB0457A"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17.5</w:t>
            </w:r>
          </w:p>
        </w:tc>
      </w:tr>
      <w:tr w:rsidR="00332B33" w:rsidRPr="00332B33" w14:paraId="52DB62AE" w14:textId="77777777" w:rsidTr="0053733E">
        <w:tc>
          <w:tcPr>
            <w:tcW w:w="3116" w:type="dxa"/>
            <w:shd w:val="clear" w:color="auto" w:fill="auto"/>
            <w:vAlign w:val="center"/>
          </w:tcPr>
          <w:p w14:paraId="54E3BA34" w14:textId="18663423"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Personal Finance</w:t>
            </w:r>
          </w:p>
        </w:tc>
        <w:tc>
          <w:tcPr>
            <w:tcW w:w="3117" w:type="dxa"/>
            <w:shd w:val="clear" w:color="auto" w:fill="auto"/>
            <w:vAlign w:val="center"/>
          </w:tcPr>
          <w:p w14:paraId="3F6B3143" w14:textId="041509C1" w:rsidR="00332B33" w:rsidRPr="00332B33" w:rsidRDefault="00332B33" w:rsidP="00332B33">
            <w:pPr>
              <w:keepLines/>
              <w:spacing w:line="360" w:lineRule="auto"/>
              <w:jc w:val="both"/>
              <w:rPr>
                <w:rFonts w:ascii="Times New Roman" w:hAnsi="Times New Roman" w:cs="Times New Roman"/>
              </w:rPr>
            </w:pPr>
            <w:r>
              <w:rPr>
                <w:rFonts w:asciiTheme="majorBidi" w:eastAsia="Times New Roman" w:hAnsiTheme="majorBidi" w:cstheme="majorBidi"/>
                <w:color w:val="000000"/>
              </w:rPr>
              <w:t>5</w:t>
            </w:r>
          </w:p>
        </w:tc>
        <w:tc>
          <w:tcPr>
            <w:tcW w:w="3117" w:type="dxa"/>
            <w:shd w:val="clear" w:color="auto" w:fill="auto"/>
            <w:vAlign w:val="center"/>
          </w:tcPr>
          <w:p w14:paraId="0E4D9F0D" w14:textId="1A97DFEF" w:rsidR="00332B33" w:rsidRPr="00332B33" w:rsidRDefault="00332B33" w:rsidP="00332B33">
            <w:pPr>
              <w:keepLines/>
              <w:spacing w:line="360" w:lineRule="auto"/>
              <w:jc w:val="both"/>
              <w:rPr>
                <w:rFonts w:ascii="Times New Roman" w:hAnsi="Times New Roman" w:cs="Times New Roman"/>
              </w:rPr>
            </w:pPr>
            <w:r>
              <w:rPr>
                <w:rFonts w:asciiTheme="majorBidi" w:eastAsia="Times New Roman" w:hAnsiTheme="majorBidi" w:cstheme="majorBidi"/>
                <w:color w:val="000000"/>
              </w:rPr>
              <w:t>3.6</w:t>
            </w:r>
          </w:p>
        </w:tc>
      </w:tr>
      <w:tr w:rsidR="00332B33" w:rsidRPr="00332B33" w14:paraId="72B7A18A" w14:textId="77777777" w:rsidTr="0053733E">
        <w:tc>
          <w:tcPr>
            <w:tcW w:w="3116" w:type="dxa"/>
            <w:shd w:val="clear" w:color="auto" w:fill="auto"/>
            <w:vAlign w:val="center"/>
          </w:tcPr>
          <w:p w14:paraId="2865A921" w14:textId="17BA1943"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Total</w:t>
            </w:r>
          </w:p>
        </w:tc>
        <w:tc>
          <w:tcPr>
            <w:tcW w:w="3117" w:type="dxa"/>
            <w:shd w:val="clear" w:color="auto" w:fill="auto"/>
            <w:vAlign w:val="center"/>
          </w:tcPr>
          <w:p w14:paraId="5F162716" w14:textId="5967CEC5"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137</w:t>
            </w:r>
          </w:p>
        </w:tc>
        <w:tc>
          <w:tcPr>
            <w:tcW w:w="3117" w:type="dxa"/>
            <w:shd w:val="clear" w:color="auto" w:fill="auto"/>
            <w:vAlign w:val="center"/>
          </w:tcPr>
          <w:p w14:paraId="6FE6577F" w14:textId="7E743494" w:rsidR="00332B33" w:rsidRPr="00332B33" w:rsidRDefault="00332B33" w:rsidP="00332B33">
            <w:pPr>
              <w:keepLines/>
              <w:spacing w:line="360" w:lineRule="auto"/>
              <w:jc w:val="both"/>
              <w:rPr>
                <w:rFonts w:ascii="Times New Roman" w:hAnsi="Times New Roman" w:cs="Times New Roman"/>
              </w:rPr>
            </w:pPr>
            <w:r w:rsidRPr="00332B33">
              <w:rPr>
                <w:rFonts w:asciiTheme="majorBidi" w:eastAsia="Times New Roman" w:hAnsiTheme="majorBidi" w:cstheme="majorBidi"/>
                <w:color w:val="000000"/>
              </w:rPr>
              <w:t>100.0</w:t>
            </w:r>
          </w:p>
        </w:tc>
      </w:tr>
    </w:tbl>
    <w:p w14:paraId="089BFD4C" w14:textId="77777777" w:rsidR="00332B33" w:rsidRDefault="00332B33" w:rsidP="00B01DA1">
      <w:pPr>
        <w:keepLines/>
        <w:spacing w:line="360" w:lineRule="auto"/>
        <w:jc w:val="both"/>
        <w:rPr>
          <w:rFonts w:ascii="Times New Roman" w:hAnsi="Times New Roman" w:cs="Times New Roman"/>
          <w:sz w:val="16"/>
          <w:szCs w:val="16"/>
        </w:rPr>
      </w:pPr>
    </w:p>
    <w:p w14:paraId="7764EFCE" w14:textId="77777777" w:rsidR="00332B33" w:rsidRDefault="00332B33" w:rsidP="00B01DA1">
      <w:pPr>
        <w:keepLines/>
        <w:spacing w:line="360" w:lineRule="auto"/>
        <w:jc w:val="both"/>
        <w:rPr>
          <w:rFonts w:ascii="Times New Roman" w:hAnsi="Times New Roman" w:cs="Times New Roman"/>
          <w:sz w:val="16"/>
          <w:szCs w:val="16"/>
        </w:rPr>
      </w:pPr>
    </w:p>
    <w:p w14:paraId="2133352D" w14:textId="77777777" w:rsidR="00B01DA1" w:rsidRPr="00B01DA1" w:rsidRDefault="00B01DA1" w:rsidP="00B01DA1">
      <w:pPr>
        <w:pStyle w:val="SBSL3"/>
        <w:keepLines/>
        <w:numPr>
          <w:ilvl w:val="0"/>
          <w:numId w:val="0"/>
        </w:numPr>
        <w:tabs>
          <w:tab w:val="left" w:pos="6497"/>
        </w:tabs>
        <w:rPr>
          <w:b/>
          <w:bCs/>
          <w:sz w:val="28"/>
          <w:szCs w:val="28"/>
        </w:rPr>
      </w:pPr>
      <w:r w:rsidRPr="00B01DA1">
        <w:rPr>
          <w:b/>
          <w:bCs/>
          <w:sz w:val="28"/>
          <w:szCs w:val="28"/>
        </w:rPr>
        <w:t xml:space="preserve">The trend of realizing NFR in Islamic bank of Study Variables </w:t>
      </w:r>
      <w:r w:rsidRPr="00B01DA1">
        <w:rPr>
          <w:b/>
          <w:bCs/>
          <w:sz w:val="28"/>
          <w:szCs w:val="28"/>
        </w:rPr>
        <w:tab/>
      </w:r>
    </w:p>
    <w:p w14:paraId="6C195634" w14:textId="1E63A452" w:rsidR="0070390C" w:rsidRPr="00B01DA1" w:rsidRDefault="00B01DA1" w:rsidP="00B01DA1">
      <w:pPr>
        <w:pStyle w:val="SBSL2"/>
        <w:keepLines/>
        <w:numPr>
          <w:ilvl w:val="0"/>
          <w:numId w:val="0"/>
        </w:numPr>
      </w:pPr>
      <w:r w:rsidRPr="00B01DA1">
        <w:t xml:space="preserve">Evaluation of overall understanding of NFR in Islamic Banks </w:t>
      </w:r>
    </w:p>
    <w:p w14:paraId="681937BB" w14:textId="2607776D" w:rsidR="00B01DA1" w:rsidRPr="00B01DA1" w:rsidRDefault="00B01DA1" w:rsidP="00B01DA1">
      <w:pPr>
        <w:keepLines/>
        <w:spacing w:line="360" w:lineRule="auto"/>
        <w:jc w:val="both"/>
        <w:rPr>
          <w:rFonts w:ascii="Times New Roman" w:hAnsi="Times New Roman" w:cs="Times New Roman"/>
          <w:sz w:val="24"/>
          <w:szCs w:val="24"/>
        </w:rPr>
      </w:pPr>
      <w:r w:rsidRPr="00B01DA1">
        <w:rPr>
          <w:rFonts w:ascii="Times New Roman" w:hAnsi="Times New Roman" w:cs="Times New Roman"/>
          <w:sz w:val="24"/>
          <w:szCs w:val="24"/>
        </w:rPr>
        <w:t xml:space="preserve">As it </w:t>
      </w:r>
      <w:r>
        <w:rPr>
          <w:rFonts w:ascii="Times New Roman" w:hAnsi="Times New Roman" w:cs="Times New Roman"/>
          <w:sz w:val="24"/>
          <w:szCs w:val="24"/>
        </w:rPr>
        <w:t xml:space="preserve">is </w:t>
      </w:r>
      <w:r w:rsidRPr="00B01DA1">
        <w:rPr>
          <w:rFonts w:ascii="Times New Roman" w:hAnsi="Times New Roman" w:cs="Times New Roman"/>
          <w:sz w:val="24"/>
          <w:szCs w:val="24"/>
        </w:rPr>
        <w:t xml:space="preserve">clear from </w:t>
      </w:r>
      <w:r>
        <w:rPr>
          <w:rFonts w:ascii="Times New Roman" w:hAnsi="Times New Roman" w:cs="Times New Roman"/>
          <w:sz w:val="24"/>
          <w:szCs w:val="24"/>
        </w:rPr>
        <w:t>T</w:t>
      </w:r>
      <w:r w:rsidRPr="00B01DA1">
        <w:rPr>
          <w:rFonts w:ascii="Times New Roman" w:hAnsi="Times New Roman" w:cs="Times New Roman"/>
          <w:sz w:val="24"/>
          <w:szCs w:val="24"/>
        </w:rPr>
        <w:t>able</w:t>
      </w:r>
      <w:r>
        <w:rPr>
          <w:rFonts w:ascii="Times New Roman" w:hAnsi="Times New Roman" w:cs="Times New Roman"/>
          <w:sz w:val="24"/>
          <w:szCs w:val="24"/>
        </w:rPr>
        <w:t xml:space="preserve"> (7)</w:t>
      </w:r>
      <w:r w:rsidRPr="00B01DA1">
        <w:rPr>
          <w:rFonts w:ascii="Times New Roman" w:hAnsi="Times New Roman" w:cs="Times New Roman"/>
          <w:sz w:val="24"/>
          <w:szCs w:val="24"/>
        </w:rPr>
        <w:t xml:space="preserve">, the overall mean is 3.8564, which indicates that the Islamic banks in Jordan are ready </w:t>
      </w:r>
      <w:r>
        <w:rPr>
          <w:rFonts w:ascii="Times New Roman" w:hAnsi="Times New Roman" w:cs="Times New Roman"/>
          <w:sz w:val="24"/>
          <w:szCs w:val="24"/>
        </w:rPr>
        <w:t xml:space="preserve">to implement any international standards of </w:t>
      </w:r>
      <w:r w:rsidR="00EA17BD">
        <w:rPr>
          <w:rFonts w:ascii="Times New Roman" w:hAnsi="Times New Roman" w:cs="Times New Roman"/>
          <w:sz w:val="24"/>
          <w:szCs w:val="24"/>
        </w:rPr>
        <w:t>NFORM</w:t>
      </w:r>
      <w:r w:rsidRPr="00B01DA1">
        <w:rPr>
          <w:rFonts w:ascii="Times New Roman" w:hAnsi="Times New Roman" w:cs="Times New Roman"/>
          <w:sz w:val="24"/>
          <w:szCs w:val="24"/>
        </w:rPr>
        <w:t xml:space="preserve">. However, further analysis is required to validate this result, which will be in the coming sections. </w:t>
      </w:r>
    </w:p>
    <w:p w14:paraId="230D0B1E" w14:textId="609E4CB0" w:rsidR="0070390C" w:rsidRDefault="00B01DA1" w:rsidP="00332B33">
      <w:pPr>
        <w:keepLines/>
        <w:spacing w:line="360" w:lineRule="auto"/>
        <w:jc w:val="both"/>
        <w:rPr>
          <w:rFonts w:ascii="Times New Roman" w:hAnsi="Times New Roman" w:cs="Times New Roman"/>
          <w:sz w:val="24"/>
          <w:szCs w:val="24"/>
        </w:rPr>
      </w:pPr>
      <w:r w:rsidRPr="00B01DA1">
        <w:rPr>
          <w:rFonts w:ascii="Times New Roman" w:hAnsi="Times New Roman" w:cs="Times New Roman"/>
          <w:sz w:val="24"/>
          <w:szCs w:val="24"/>
        </w:rPr>
        <w:t xml:space="preserve">Table </w:t>
      </w:r>
      <w:r w:rsidR="00332B33">
        <w:rPr>
          <w:rFonts w:ascii="Times New Roman" w:hAnsi="Times New Roman" w:cs="Times New Roman"/>
          <w:sz w:val="24"/>
          <w:szCs w:val="24"/>
        </w:rPr>
        <w:t xml:space="preserve">2: </w:t>
      </w:r>
      <w:r w:rsidRPr="00B01DA1">
        <w:rPr>
          <w:rFonts w:ascii="Times New Roman" w:hAnsi="Times New Roman" w:cs="Times New Roman"/>
          <w:sz w:val="24"/>
          <w:szCs w:val="24"/>
        </w:rPr>
        <w:t xml:space="preserve"> Mean and </w:t>
      </w:r>
      <w:proofErr w:type="spellStart"/>
      <w:proofErr w:type="gramStart"/>
      <w:r w:rsidRPr="00B01DA1">
        <w:rPr>
          <w:rFonts w:ascii="Times New Roman" w:hAnsi="Times New Roman" w:cs="Times New Roman"/>
          <w:sz w:val="24"/>
          <w:szCs w:val="24"/>
        </w:rPr>
        <w:t>std</w:t>
      </w:r>
      <w:proofErr w:type="spellEnd"/>
      <w:proofErr w:type="gramEnd"/>
      <w:r w:rsidRPr="00B01DA1">
        <w:rPr>
          <w:rFonts w:ascii="Times New Roman" w:hAnsi="Times New Roman" w:cs="Times New Roman"/>
          <w:sz w:val="24"/>
          <w:szCs w:val="24"/>
        </w:rPr>
        <w:t xml:space="preserve"> dev. of the evaluation of understanding of </w:t>
      </w:r>
      <w:r w:rsidR="00332B33">
        <w:rPr>
          <w:rFonts w:ascii="Times New Roman" w:hAnsi="Times New Roman" w:cs="Times New Roman"/>
          <w:sz w:val="24"/>
          <w:szCs w:val="24"/>
        </w:rPr>
        <w:t xml:space="preserve">NFROM </w:t>
      </w:r>
      <w:r w:rsidRPr="00B01DA1">
        <w:rPr>
          <w:rFonts w:ascii="Times New Roman" w:hAnsi="Times New Roman" w:cs="Times New Roman"/>
          <w:sz w:val="24"/>
          <w:szCs w:val="24"/>
        </w:rPr>
        <w:t>in Islamic Banks in Jordan</w:t>
      </w:r>
    </w:p>
    <w:p w14:paraId="0C7C322B" w14:textId="77777777" w:rsidR="00331E1A" w:rsidRDefault="00331E1A" w:rsidP="00332B33">
      <w:pPr>
        <w:keepLines/>
        <w:spacing w:line="360" w:lineRule="auto"/>
        <w:jc w:val="both"/>
        <w:rPr>
          <w:rFonts w:ascii="Times New Roman" w:hAnsi="Times New Roman" w:cs="Times New Roman"/>
          <w:sz w:val="24"/>
          <w:szCs w:val="24"/>
        </w:rPr>
      </w:pPr>
    </w:p>
    <w:p w14:paraId="139D5744" w14:textId="77777777" w:rsidR="00331E1A" w:rsidRDefault="00331E1A" w:rsidP="00332B33">
      <w:pPr>
        <w:keepLines/>
        <w:spacing w:line="360" w:lineRule="auto"/>
        <w:jc w:val="both"/>
        <w:rPr>
          <w:rFonts w:ascii="Times New Roman" w:hAnsi="Times New Roman" w:cs="Times New Roman"/>
          <w:sz w:val="24"/>
          <w:szCs w:val="24"/>
        </w:rPr>
      </w:pPr>
    </w:p>
    <w:p w14:paraId="162995A9" w14:textId="77777777" w:rsidR="00331E1A" w:rsidRDefault="00331E1A" w:rsidP="00332B33">
      <w:pPr>
        <w:keepLines/>
        <w:spacing w:line="360" w:lineRule="auto"/>
        <w:jc w:val="both"/>
        <w:rPr>
          <w:rFonts w:ascii="Times New Roman" w:hAnsi="Times New Roman" w:cs="Times New Roman"/>
          <w:sz w:val="24"/>
          <w:szCs w:val="24"/>
        </w:rPr>
      </w:pPr>
    </w:p>
    <w:p w14:paraId="545F3296" w14:textId="77777777" w:rsidR="00331E1A" w:rsidRPr="00B01DA1" w:rsidRDefault="00331E1A" w:rsidP="00332B33">
      <w:pPr>
        <w:keepLines/>
        <w:spacing w:line="360" w:lineRule="auto"/>
        <w:jc w:val="both"/>
        <w:rPr>
          <w:rFonts w:ascii="Times New Roman" w:hAnsi="Times New Roman" w:cs="Times New Roman"/>
          <w:sz w:val="24"/>
          <w:szCs w:val="24"/>
        </w:rPr>
      </w:pPr>
    </w:p>
    <w:p w14:paraId="04A1119C" w14:textId="77777777" w:rsidR="0070390C" w:rsidRPr="00791DD1" w:rsidRDefault="0070390C" w:rsidP="0070390C">
      <w:pPr>
        <w:pStyle w:val="p1"/>
        <w:keepLines/>
      </w:pPr>
    </w:p>
    <w:tbl>
      <w:tblPr>
        <w:tblW w:w="5628"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74"/>
        <w:gridCol w:w="734"/>
        <w:gridCol w:w="935"/>
        <w:gridCol w:w="1285"/>
      </w:tblGrid>
      <w:tr w:rsidR="0070390C" w:rsidRPr="00791DD1" w14:paraId="0FD261D4" w14:textId="77777777" w:rsidTr="0070390C">
        <w:trPr>
          <w:trHeight w:val="203"/>
          <w:jc w:val="center"/>
        </w:trPr>
        <w:tc>
          <w:tcPr>
            <w:tcW w:w="5628" w:type="dxa"/>
            <w:gridSpan w:val="4"/>
            <w:tcBorders>
              <w:top w:val="nil"/>
              <w:left w:val="nil"/>
              <w:bottom w:val="single" w:sz="18" w:space="0" w:color="000000"/>
              <w:right w:val="nil"/>
            </w:tcBorders>
            <w:shd w:val="clear" w:color="auto" w:fill="FFFFFF"/>
            <w:tcMar>
              <w:top w:w="0" w:type="dxa"/>
              <w:left w:w="75" w:type="dxa"/>
              <w:bottom w:w="0" w:type="dxa"/>
              <w:right w:w="75" w:type="dxa"/>
            </w:tcMar>
            <w:vAlign w:val="center"/>
            <w:hideMark/>
          </w:tcPr>
          <w:p w14:paraId="322D52E8" w14:textId="6FA3B0F5" w:rsidR="0070390C" w:rsidRPr="00791DD1" w:rsidRDefault="0070390C" w:rsidP="0070390C">
            <w:pPr>
              <w:pStyle w:val="p2"/>
              <w:keepLines/>
              <w:rPr>
                <w:rFonts w:ascii="Times New Roman" w:hAnsi="Times New Roman" w:cs="Times New Roman"/>
                <w:sz w:val="20"/>
                <w:szCs w:val="20"/>
              </w:rPr>
            </w:pPr>
          </w:p>
        </w:tc>
      </w:tr>
      <w:tr w:rsidR="0070390C" w:rsidRPr="00791DD1" w14:paraId="6A212990" w14:textId="77777777" w:rsidTr="0070390C">
        <w:trPr>
          <w:trHeight w:val="381"/>
          <w:jc w:val="center"/>
        </w:trPr>
        <w:tc>
          <w:tcPr>
            <w:tcW w:w="2674" w:type="dxa"/>
            <w:tcBorders>
              <w:top w:val="single" w:sz="18" w:space="0" w:color="000000"/>
              <w:left w:val="single" w:sz="18" w:space="0" w:color="000000"/>
              <w:bottom w:val="single" w:sz="12" w:space="0" w:color="000000"/>
              <w:right w:val="single" w:sz="12" w:space="0" w:color="000000"/>
            </w:tcBorders>
            <w:shd w:val="clear" w:color="auto" w:fill="DEEAF6" w:themeFill="accent1" w:themeFillTint="33"/>
            <w:tcMar>
              <w:top w:w="0" w:type="dxa"/>
              <w:left w:w="75" w:type="dxa"/>
              <w:bottom w:w="0" w:type="dxa"/>
              <w:right w:w="75" w:type="dxa"/>
            </w:tcMar>
            <w:vAlign w:val="center"/>
            <w:hideMark/>
          </w:tcPr>
          <w:p w14:paraId="14FFC9CD" w14:textId="77777777" w:rsidR="0070390C" w:rsidRPr="00791DD1" w:rsidRDefault="0070390C" w:rsidP="0070390C">
            <w:pPr>
              <w:pStyle w:val="p3"/>
              <w:keepLines/>
              <w:rPr>
                <w:sz w:val="20"/>
                <w:szCs w:val="20"/>
              </w:rPr>
            </w:pPr>
          </w:p>
        </w:tc>
        <w:tc>
          <w:tcPr>
            <w:tcW w:w="734" w:type="dxa"/>
            <w:tcBorders>
              <w:top w:val="single" w:sz="18" w:space="0" w:color="000000"/>
              <w:left w:val="single" w:sz="12"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3ED7166"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935" w:type="dxa"/>
            <w:tcBorders>
              <w:top w:val="single" w:sz="18" w:space="0" w:color="000000"/>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7242B2D"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Mean</w:t>
            </w:r>
          </w:p>
        </w:tc>
        <w:tc>
          <w:tcPr>
            <w:tcW w:w="1285" w:type="dxa"/>
            <w:tcBorders>
              <w:top w:val="single" w:sz="18" w:space="0" w:color="000000"/>
              <w:left w:val="single" w:sz="6" w:space="0" w:color="000000"/>
              <w:bottom w:val="single" w:sz="12" w:space="0" w:color="000000"/>
              <w:right w:val="single" w:sz="18" w:space="0" w:color="000000"/>
            </w:tcBorders>
            <w:shd w:val="clear" w:color="auto" w:fill="DEEAF6" w:themeFill="accent1" w:themeFillTint="33"/>
            <w:tcMar>
              <w:top w:w="0" w:type="dxa"/>
              <w:left w:w="75" w:type="dxa"/>
              <w:bottom w:w="0" w:type="dxa"/>
              <w:right w:w="75" w:type="dxa"/>
            </w:tcMar>
            <w:vAlign w:val="center"/>
            <w:hideMark/>
          </w:tcPr>
          <w:p w14:paraId="01991E04"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Std. Deviation</w:t>
            </w:r>
          </w:p>
        </w:tc>
      </w:tr>
      <w:tr w:rsidR="0070390C" w:rsidRPr="00791DD1" w14:paraId="29F0270F" w14:textId="77777777" w:rsidTr="0070390C">
        <w:trPr>
          <w:trHeight w:val="203"/>
          <w:jc w:val="center"/>
        </w:trPr>
        <w:tc>
          <w:tcPr>
            <w:tcW w:w="2674" w:type="dxa"/>
            <w:tcBorders>
              <w:top w:val="single" w:sz="12" w:space="0" w:color="000000"/>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1544564D" w14:textId="77777777" w:rsidR="0070390C" w:rsidRPr="00791DD1" w:rsidRDefault="0070390C" w:rsidP="0070390C">
            <w:pPr>
              <w:pStyle w:val="p4"/>
              <w:keepLines/>
              <w:rPr>
                <w:rFonts w:ascii="Times New Roman" w:hAnsi="Times New Roman" w:cs="Times New Roman"/>
                <w:sz w:val="20"/>
                <w:szCs w:val="20"/>
              </w:rPr>
            </w:pPr>
            <w:proofErr w:type="spellStart"/>
            <w:r w:rsidRPr="00791DD1">
              <w:rPr>
                <w:rFonts w:ascii="Times New Roman" w:hAnsi="Times New Roman" w:cs="Times New Roman"/>
                <w:sz w:val="20"/>
                <w:szCs w:val="20"/>
              </w:rPr>
              <w:t>T_All</w:t>
            </w:r>
            <w:proofErr w:type="spellEnd"/>
          </w:p>
        </w:tc>
        <w:tc>
          <w:tcPr>
            <w:tcW w:w="734" w:type="dxa"/>
            <w:tcBorders>
              <w:top w:val="single" w:sz="12" w:space="0" w:color="000000"/>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9AF96DE"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35"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03BCD1D"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3.8564</w:t>
            </w:r>
          </w:p>
        </w:tc>
        <w:tc>
          <w:tcPr>
            <w:tcW w:w="1285" w:type="dxa"/>
            <w:tcBorders>
              <w:top w:val="single" w:sz="12" w:space="0" w:color="000000"/>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7138C526"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.22357</w:t>
            </w:r>
          </w:p>
        </w:tc>
      </w:tr>
      <w:tr w:rsidR="0070390C" w:rsidRPr="00791DD1" w14:paraId="1C2A87BD" w14:textId="77777777" w:rsidTr="0070390C">
        <w:trPr>
          <w:trHeight w:val="190"/>
          <w:jc w:val="center"/>
        </w:trPr>
        <w:tc>
          <w:tcPr>
            <w:tcW w:w="2674" w:type="dxa"/>
            <w:tcBorders>
              <w:top w:val="single" w:sz="6" w:space="0" w:color="CBCBCB"/>
              <w:left w:val="single" w:sz="18" w:space="0" w:color="000000"/>
              <w:bottom w:val="single" w:sz="18" w:space="0" w:color="000000"/>
              <w:right w:val="single" w:sz="12" w:space="0" w:color="000000"/>
            </w:tcBorders>
            <w:shd w:val="clear" w:color="auto" w:fill="FFFFFF"/>
            <w:tcMar>
              <w:top w:w="0" w:type="dxa"/>
              <w:left w:w="75" w:type="dxa"/>
              <w:bottom w:w="0" w:type="dxa"/>
              <w:right w:w="75" w:type="dxa"/>
            </w:tcMar>
            <w:vAlign w:val="center"/>
            <w:hideMark/>
          </w:tcPr>
          <w:p w14:paraId="7D1745C9"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Valid N (</w:t>
            </w:r>
            <w:proofErr w:type="spellStart"/>
            <w:r w:rsidRPr="00791DD1">
              <w:rPr>
                <w:rFonts w:ascii="Times New Roman" w:hAnsi="Times New Roman" w:cs="Times New Roman"/>
                <w:sz w:val="20"/>
                <w:szCs w:val="20"/>
              </w:rPr>
              <w:t>listwise</w:t>
            </w:r>
            <w:proofErr w:type="spellEnd"/>
            <w:r w:rsidRPr="00791DD1">
              <w:rPr>
                <w:rFonts w:ascii="Times New Roman" w:hAnsi="Times New Roman" w:cs="Times New Roman"/>
                <w:sz w:val="20"/>
                <w:szCs w:val="20"/>
              </w:rPr>
              <w:t>)</w:t>
            </w:r>
          </w:p>
        </w:tc>
        <w:tc>
          <w:tcPr>
            <w:tcW w:w="734" w:type="dxa"/>
            <w:tcBorders>
              <w:top w:val="single" w:sz="6" w:space="0" w:color="CBCBCB"/>
              <w:left w:val="single" w:sz="12" w:space="0" w:color="000000"/>
              <w:bottom w:val="single" w:sz="18" w:space="0" w:color="000000"/>
              <w:right w:val="single" w:sz="6" w:space="0" w:color="000000"/>
            </w:tcBorders>
            <w:shd w:val="clear" w:color="auto" w:fill="FFFFFF"/>
            <w:tcMar>
              <w:top w:w="0" w:type="dxa"/>
              <w:left w:w="75" w:type="dxa"/>
              <w:bottom w:w="0" w:type="dxa"/>
              <w:right w:w="75" w:type="dxa"/>
            </w:tcMar>
            <w:vAlign w:val="center"/>
            <w:hideMark/>
          </w:tcPr>
          <w:p w14:paraId="00DD19F9"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35" w:type="dxa"/>
            <w:tcBorders>
              <w:top w:val="single" w:sz="6" w:space="0" w:color="CBCBCB"/>
              <w:left w:val="single" w:sz="6" w:space="0" w:color="000000"/>
              <w:bottom w:val="single" w:sz="18" w:space="0" w:color="000000"/>
              <w:right w:val="single" w:sz="6" w:space="0" w:color="000000"/>
            </w:tcBorders>
            <w:shd w:val="clear" w:color="auto" w:fill="FFFFFF"/>
            <w:tcMar>
              <w:top w:w="0" w:type="dxa"/>
              <w:left w:w="75" w:type="dxa"/>
              <w:bottom w:w="0" w:type="dxa"/>
              <w:right w:w="75" w:type="dxa"/>
            </w:tcMar>
            <w:vAlign w:val="center"/>
            <w:hideMark/>
          </w:tcPr>
          <w:p w14:paraId="3D3A12F0" w14:textId="77777777" w:rsidR="0070390C" w:rsidRPr="00791DD1" w:rsidRDefault="0070390C" w:rsidP="0070390C">
            <w:pPr>
              <w:pStyle w:val="p3"/>
              <w:keepLines/>
              <w:rPr>
                <w:sz w:val="20"/>
                <w:szCs w:val="20"/>
              </w:rPr>
            </w:pPr>
          </w:p>
        </w:tc>
        <w:tc>
          <w:tcPr>
            <w:tcW w:w="1285" w:type="dxa"/>
            <w:tcBorders>
              <w:top w:val="single" w:sz="6" w:space="0" w:color="CBCBCB"/>
              <w:left w:val="single" w:sz="6" w:space="0" w:color="000000"/>
              <w:bottom w:val="single" w:sz="18" w:space="0" w:color="000000"/>
              <w:right w:val="single" w:sz="18" w:space="0" w:color="000000"/>
            </w:tcBorders>
            <w:shd w:val="clear" w:color="auto" w:fill="FFFFFF"/>
            <w:tcMar>
              <w:top w:w="0" w:type="dxa"/>
              <w:left w:w="75" w:type="dxa"/>
              <w:bottom w:w="0" w:type="dxa"/>
              <w:right w:w="75" w:type="dxa"/>
            </w:tcMar>
            <w:vAlign w:val="center"/>
            <w:hideMark/>
          </w:tcPr>
          <w:p w14:paraId="77F564D7" w14:textId="77777777" w:rsidR="0070390C" w:rsidRPr="00791DD1" w:rsidRDefault="0070390C" w:rsidP="0070390C">
            <w:pPr>
              <w:pStyle w:val="p3"/>
              <w:keepLines/>
              <w:rPr>
                <w:sz w:val="20"/>
                <w:szCs w:val="20"/>
              </w:rPr>
            </w:pPr>
          </w:p>
        </w:tc>
      </w:tr>
    </w:tbl>
    <w:p w14:paraId="4929F317" w14:textId="77777777" w:rsidR="0070390C" w:rsidRPr="00791DD1" w:rsidRDefault="0070390C" w:rsidP="0070390C">
      <w:pPr>
        <w:pStyle w:val="ListParagraph"/>
        <w:keepLines/>
        <w:spacing w:line="360" w:lineRule="auto"/>
        <w:ind w:left="1440"/>
        <w:jc w:val="both"/>
        <w:rPr>
          <w:rFonts w:ascii="Times New Roman" w:hAnsi="Times New Roman" w:cs="Times New Roman"/>
          <w:sz w:val="16"/>
          <w:szCs w:val="16"/>
        </w:rPr>
      </w:pPr>
    </w:p>
    <w:p w14:paraId="33F0EA28" w14:textId="77777777" w:rsidR="00332B33" w:rsidRDefault="00332B33" w:rsidP="00B01DA1">
      <w:pPr>
        <w:pStyle w:val="SBSL3"/>
        <w:keepLines/>
        <w:numPr>
          <w:ilvl w:val="0"/>
          <w:numId w:val="0"/>
        </w:numPr>
        <w:rPr>
          <w:b/>
          <w:bCs/>
          <w:sz w:val="28"/>
          <w:szCs w:val="28"/>
        </w:rPr>
      </w:pPr>
    </w:p>
    <w:p w14:paraId="695F9B96" w14:textId="6B2B08CE" w:rsidR="0070390C" w:rsidRPr="00DE6FA5" w:rsidRDefault="00DE6FA5" w:rsidP="00332B33">
      <w:pPr>
        <w:pStyle w:val="SBSL3"/>
        <w:keepLines/>
        <w:numPr>
          <w:ilvl w:val="0"/>
          <w:numId w:val="0"/>
        </w:numPr>
        <w:rPr>
          <w:b/>
          <w:bCs/>
          <w:sz w:val="28"/>
          <w:szCs w:val="28"/>
        </w:rPr>
      </w:pPr>
      <w:r w:rsidRPr="00DE6FA5">
        <w:rPr>
          <w:b/>
          <w:bCs/>
          <w:sz w:val="28"/>
          <w:szCs w:val="28"/>
        </w:rPr>
        <w:t xml:space="preserve">Evaluation of trends </w:t>
      </w:r>
      <w:r w:rsidR="00332B33">
        <w:rPr>
          <w:b/>
          <w:bCs/>
          <w:sz w:val="28"/>
          <w:szCs w:val="28"/>
        </w:rPr>
        <w:t xml:space="preserve">of study constraints </w:t>
      </w:r>
    </w:p>
    <w:p w14:paraId="13E0A85B" w14:textId="77777777" w:rsidR="0070390C" w:rsidRPr="00791DD1" w:rsidRDefault="0070390C" w:rsidP="0070390C">
      <w:pPr>
        <w:pStyle w:val="ListParagraph"/>
        <w:keepLines/>
        <w:spacing w:line="360" w:lineRule="auto"/>
        <w:ind w:left="1440"/>
        <w:jc w:val="both"/>
        <w:rPr>
          <w:rFonts w:ascii="Times New Roman" w:hAnsi="Times New Roman" w:cs="Times New Roman"/>
          <w:sz w:val="16"/>
          <w:szCs w:val="16"/>
        </w:rPr>
      </w:pPr>
    </w:p>
    <w:p w14:paraId="2CA75CE3" w14:textId="4EA17049" w:rsidR="0070390C" w:rsidRDefault="0070390C" w:rsidP="00DE6FA5">
      <w:pPr>
        <w:keepLines/>
        <w:spacing w:line="360" w:lineRule="auto"/>
        <w:jc w:val="both"/>
        <w:rPr>
          <w:rFonts w:ascii="Times New Roman" w:hAnsi="Times New Roman" w:cs="Times New Roman"/>
          <w:sz w:val="24"/>
          <w:szCs w:val="24"/>
        </w:rPr>
      </w:pPr>
      <w:r w:rsidRPr="00DE6FA5">
        <w:rPr>
          <w:rFonts w:ascii="Times New Roman" w:hAnsi="Times New Roman" w:cs="Times New Roman"/>
          <w:sz w:val="24"/>
          <w:szCs w:val="24"/>
        </w:rPr>
        <w:t>As part of the analysis, calculating the means for the dependent variables to fi</w:t>
      </w:r>
      <w:r w:rsidR="00DE6FA5">
        <w:rPr>
          <w:rFonts w:ascii="Times New Roman" w:hAnsi="Times New Roman" w:cs="Times New Roman"/>
          <w:sz w:val="24"/>
          <w:szCs w:val="24"/>
        </w:rPr>
        <w:t>nd out</w:t>
      </w:r>
      <w:r w:rsidR="00332B33">
        <w:rPr>
          <w:rFonts w:ascii="Times New Roman" w:hAnsi="Times New Roman" w:cs="Times New Roman"/>
          <w:sz w:val="24"/>
          <w:szCs w:val="24"/>
        </w:rPr>
        <w:t>,</w:t>
      </w:r>
      <w:r w:rsidR="00DE6FA5">
        <w:rPr>
          <w:rFonts w:ascii="Times New Roman" w:hAnsi="Times New Roman" w:cs="Times New Roman"/>
          <w:sz w:val="24"/>
          <w:szCs w:val="24"/>
        </w:rPr>
        <w:t xml:space="preserve"> which is the most variable </w:t>
      </w:r>
      <w:r w:rsidRPr="00DE6FA5">
        <w:rPr>
          <w:rFonts w:ascii="Times New Roman" w:hAnsi="Times New Roman" w:cs="Times New Roman"/>
          <w:sz w:val="24"/>
          <w:szCs w:val="24"/>
        </w:rPr>
        <w:t xml:space="preserve">has the highest </w:t>
      </w:r>
      <w:r w:rsidR="00DE6FA5">
        <w:rPr>
          <w:rFonts w:ascii="Times New Roman" w:hAnsi="Times New Roman" w:cs="Times New Roman"/>
          <w:sz w:val="24"/>
          <w:szCs w:val="24"/>
        </w:rPr>
        <w:t>trend</w:t>
      </w:r>
      <w:r w:rsidRPr="00DE6FA5">
        <w:rPr>
          <w:rFonts w:ascii="Times New Roman" w:hAnsi="Times New Roman" w:cs="Times New Roman"/>
          <w:sz w:val="24"/>
          <w:szCs w:val="24"/>
        </w:rPr>
        <w:t xml:space="preserve">, which is for </w:t>
      </w:r>
      <w:r w:rsidR="00DE6FA5">
        <w:rPr>
          <w:rFonts w:ascii="Times New Roman" w:hAnsi="Times New Roman" w:cs="Times New Roman"/>
          <w:sz w:val="24"/>
          <w:szCs w:val="24"/>
        </w:rPr>
        <w:t xml:space="preserve">variable </w:t>
      </w:r>
      <w:r w:rsidRPr="00DE6FA5">
        <w:rPr>
          <w:rFonts w:ascii="Times New Roman" w:hAnsi="Times New Roman" w:cs="Times New Roman"/>
          <w:sz w:val="24"/>
          <w:szCs w:val="24"/>
        </w:rPr>
        <w:t xml:space="preserve">number eight with (3.9069) and SD of (0.26604), table 8 shows the means for each theme of the study. </w:t>
      </w:r>
    </w:p>
    <w:p w14:paraId="7BBB854C" w14:textId="63F5A899" w:rsidR="00DE6FA5" w:rsidRPr="00DE6FA5" w:rsidRDefault="00DE6FA5" w:rsidP="00DE6FA5">
      <w:pPr>
        <w:keepLines/>
        <w:spacing w:line="360" w:lineRule="auto"/>
        <w:jc w:val="both"/>
        <w:rPr>
          <w:rFonts w:ascii="Times New Roman" w:hAnsi="Times New Roman" w:cs="Times New Roman"/>
          <w:sz w:val="24"/>
          <w:szCs w:val="24"/>
        </w:rPr>
      </w:pPr>
      <w:r>
        <w:rPr>
          <w:rFonts w:ascii="Times New Roman" w:hAnsi="Times New Roman" w:cs="Times New Roman"/>
          <w:sz w:val="24"/>
          <w:szCs w:val="24"/>
        </w:rPr>
        <w:t>Table 8: The sample trends for the study variables using means and standard deviation</w:t>
      </w:r>
    </w:p>
    <w:p w14:paraId="414585D6" w14:textId="6251D650" w:rsidR="0070390C" w:rsidRPr="004802EC" w:rsidRDefault="0070390C" w:rsidP="0070390C">
      <w:pPr>
        <w:pStyle w:val="Caption"/>
        <w:keepLines/>
        <w:jc w:val="center"/>
        <w:rPr>
          <w:i w:val="0"/>
          <w:sz w:val="22"/>
          <w:szCs w:val="22"/>
        </w:rPr>
      </w:pPr>
    </w:p>
    <w:tbl>
      <w:tblPr>
        <w:tblW w:w="5513"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619"/>
        <w:gridCol w:w="719"/>
        <w:gridCol w:w="917"/>
        <w:gridCol w:w="1258"/>
      </w:tblGrid>
      <w:tr w:rsidR="0070390C" w:rsidRPr="00791DD1" w14:paraId="459CE714" w14:textId="77777777" w:rsidTr="00DE6FA5">
        <w:trPr>
          <w:trHeight w:val="441"/>
          <w:tblHeader/>
          <w:jc w:val="center"/>
        </w:trPr>
        <w:tc>
          <w:tcPr>
            <w:tcW w:w="2619" w:type="dxa"/>
            <w:tcBorders>
              <w:top w:val="single" w:sz="18" w:space="0" w:color="000000"/>
              <w:left w:val="single" w:sz="18" w:space="0" w:color="000000"/>
              <w:bottom w:val="single" w:sz="12" w:space="0" w:color="000000"/>
              <w:right w:val="single" w:sz="12" w:space="0" w:color="000000"/>
            </w:tcBorders>
            <w:shd w:val="clear" w:color="auto" w:fill="DEEAF6" w:themeFill="accent1" w:themeFillTint="33"/>
            <w:tcMar>
              <w:top w:w="0" w:type="dxa"/>
              <w:left w:w="75" w:type="dxa"/>
              <w:bottom w:w="0" w:type="dxa"/>
              <w:right w:w="75" w:type="dxa"/>
            </w:tcMar>
            <w:vAlign w:val="center"/>
            <w:hideMark/>
          </w:tcPr>
          <w:p w14:paraId="3836E4A6" w14:textId="77777777" w:rsidR="0070390C" w:rsidRPr="00791DD1" w:rsidRDefault="0070390C" w:rsidP="0070390C">
            <w:pPr>
              <w:pStyle w:val="p3"/>
              <w:keepLines/>
              <w:rPr>
                <w:sz w:val="20"/>
                <w:szCs w:val="20"/>
              </w:rPr>
            </w:pPr>
          </w:p>
        </w:tc>
        <w:tc>
          <w:tcPr>
            <w:tcW w:w="719" w:type="dxa"/>
            <w:tcBorders>
              <w:top w:val="single" w:sz="18" w:space="0" w:color="000000"/>
              <w:left w:val="single" w:sz="12"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2CEE8CF2"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917" w:type="dxa"/>
            <w:tcBorders>
              <w:top w:val="single" w:sz="18" w:space="0" w:color="000000"/>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56A1F52E"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Mean</w:t>
            </w:r>
          </w:p>
        </w:tc>
        <w:tc>
          <w:tcPr>
            <w:tcW w:w="1258" w:type="dxa"/>
            <w:tcBorders>
              <w:top w:val="single" w:sz="18" w:space="0" w:color="000000"/>
              <w:left w:val="single" w:sz="6" w:space="0" w:color="000000"/>
              <w:bottom w:val="single" w:sz="12" w:space="0" w:color="000000"/>
              <w:right w:val="single" w:sz="18" w:space="0" w:color="000000"/>
            </w:tcBorders>
            <w:shd w:val="clear" w:color="auto" w:fill="DEEAF6" w:themeFill="accent1" w:themeFillTint="33"/>
            <w:tcMar>
              <w:top w:w="0" w:type="dxa"/>
              <w:left w:w="75" w:type="dxa"/>
              <w:bottom w:w="0" w:type="dxa"/>
              <w:right w:w="75" w:type="dxa"/>
            </w:tcMar>
            <w:vAlign w:val="center"/>
            <w:hideMark/>
          </w:tcPr>
          <w:p w14:paraId="1E47DAAD"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Std. Deviation</w:t>
            </w:r>
          </w:p>
        </w:tc>
      </w:tr>
      <w:tr w:rsidR="0070390C" w:rsidRPr="00791DD1" w14:paraId="581004ED" w14:textId="77777777" w:rsidTr="00DE6FA5">
        <w:trPr>
          <w:trHeight w:val="234"/>
          <w:jc w:val="center"/>
        </w:trPr>
        <w:tc>
          <w:tcPr>
            <w:tcW w:w="2619" w:type="dxa"/>
            <w:tcBorders>
              <w:top w:val="single" w:sz="12" w:space="0" w:color="000000"/>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F59C801" w14:textId="6D15329C"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V1</w:t>
            </w:r>
          </w:p>
        </w:tc>
        <w:tc>
          <w:tcPr>
            <w:tcW w:w="719" w:type="dxa"/>
            <w:tcBorders>
              <w:top w:val="single" w:sz="12" w:space="0" w:color="000000"/>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25A8AC2"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689F764"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3.5706</w:t>
            </w:r>
          </w:p>
        </w:tc>
        <w:tc>
          <w:tcPr>
            <w:tcW w:w="1258" w:type="dxa"/>
            <w:tcBorders>
              <w:top w:val="single" w:sz="12" w:space="0" w:color="000000"/>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75E472AB"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.47215</w:t>
            </w:r>
          </w:p>
        </w:tc>
      </w:tr>
      <w:tr w:rsidR="0070390C" w:rsidRPr="00791DD1" w14:paraId="499F51E1" w14:textId="77777777" w:rsidTr="00DE6FA5">
        <w:trPr>
          <w:trHeight w:val="220"/>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7999ED35" w14:textId="3E7BD219"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V2</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12E06C9"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DC722A9"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3.8777</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5B899ED6"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.36395</w:t>
            </w:r>
          </w:p>
        </w:tc>
      </w:tr>
      <w:tr w:rsidR="0070390C" w:rsidRPr="00791DD1" w14:paraId="71AE1C08" w14:textId="77777777" w:rsidTr="00DE6FA5">
        <w:trPr>
          <w:trHeight w:val="234"/>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015124A" w14:textId="10CD4BC7"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V3</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36B436D"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5067C54"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3.8234</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64DC4774"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.34816</w:t>
            </w:r>
          </w:p>
        </w:tc>
      </w:tr>
      <w:tr w:rsidR="0070390C" w:rsidRPr="00791DD1" w14:paraId="5DBE8049" w14:textId="77777777" w:rsidTr="00DE6FA5">
        <w:trPr>
          <w:trHeight w:val="234"/>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3F765884" w14:textId="18D33F94"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V4</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A2E924D"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7AF5F5A"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3.8684</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0DE9CF33"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.22858</w:t>
            </w:r>
          </w:p>
        </w:tc>
      </w:tr>
      <w:tr w:rsidR="0070390C" w:rsidRPr="00791DD1" w14:paraId="3BF2D517" w14:textId="77777777" w:rsidTr="00DE6FA5">
        <w:trPr>
          <w:trHeight w:val="220"/>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704C6987" w14:textId="0331D279"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V5</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E79474B"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DB0EDC6"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3.8858</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179EA37E"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.27217</w:t>
            </w:r>
          </w:p>
        </w:tc>
      </w:tr>
      <w:tr w:rsidR="0070390C" w:rsidRPr="00791DD1" w14:paraId="0C0B4D1C" w14:textId="77777777" w:rsidTr="00DE6FA5">
        <w:trPr>
          <w:trHeight w:val="234"/>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6DE5B5A9" w14:textId="2E4D4B8A"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V6</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076FA39"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F6A30DB"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3.8942</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77E0F45B"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.28929</w:t>
            </w:r>
          </w:p>
        </w:tc>
      </w:tr>
      <w:tr w:rsidR="0070390C" w:rsidRPr="00791DD1" w14:paraId="54755C1A" w14:textId="77777777" w:rsidTr="00DE6FA5">
        <w:trPr>
          <w:trHeight w:val="220"/>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899DD00" w14:textId="42E941F7"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V7</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C01AD3"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D1D19E"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3.9015</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59636061"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.28977</w:t>
            </w:r>
          </w:p>
        </w:tc>
      </w:tr>
      <w:tr w:rsidR="0070390C" w:rsidRPr="00791DD1" w14:paraId="4C310945" w14:textId="77777777" w:rsidTr="00DE6FA5">
        <w:trPr>
          <w:trHeight w:val="234"/>
          <w:jc w:val="center"/>
        </w:trPr>
        <w:tc>
          <w:tcPr>
            <w:tcW w:w="2619" w:type="dxa"/>
            <w:tcBorders>
              <w:top w:val="single" w:sz="6" w:space="0" w:color="CBCBCB"/>
              <w:left w:val="single" w:sz="18" w:space="0" w:color="000000"/>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355B3CBE" w14:textId="6C04C0AC" w:rsidR="0070390C" w:rsidRPr="00791DD1" w:rsidRDefault="00DE6FA5" w:rsidP="00DE6FA5">
            <w:pPr>
              <w:pStyle w:val="p4"/>
              <w:keepLines/>
              <w:ind w:left="0"/>
              <w:rPr>
                <w:rFonts w:ascii="Times New Roman" w:hAnsi="Times New Roman" w:cs="Times New Roman"/>
                <w:sz w:val="20"/>
                <w:szCs w:val="20"/>
              </w:rPr>
            </w:pPr>
            <w:r>
              <w:rPr>
                <w:rFonts w:ascii="Times New Roman" w:hAnsi="Times New Roman" w:cs="Times New Roman"/>
                <w:sz w:val="20"/>
                <w:szCs w:val="20"/>
              </w:rPr>
              <w:t>V8</w:t>
            </w:r>
          </w:p>
        </w:tc>
        <w:tc>
          <w:tcPr>
            <w:tcW w:w="71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8362310"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FEBCEB8"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3.9069</w:t>
            </w:r>
          </w:p>
        </w:tc>
        <w:tc>
          <w:tcPr>
            <w:tcW w:w="1258" w:type="dxa"/>
            <w:tcBorders>
              <w:top w:val="single" w:sz="6" w:space="0" w:color="CBCBCB"/>
              <w:left w:val="single" w:sz="6" w:space="0" w:color="000000"/>
              <w:bottom w:val="single" w:sz="6" w:space="0" w:color="CBCBCB"/>
              <w:right w:val="single" w:sz="18" w:space="0" w:color="000000"/>
            </w:tcBorders>
            <w:shd w:val="clear" w:color="auto" w:fill="FFFFFF"/>
            <w:tcMar>
              <w:top w:w="0" w:type="dxa"/>
              <w:left w:w="75" w:type="dxa"/>
              <w:bottom w:w="0" w:type="dxa"/>
              <w:right w:w="75" w:type="dxa"/>
            </w:tcMar>
            <w:vAlign w:val="center"/>
            <w:hideMark/>
          </w:tcPr>
          <w:p w14:paraId="34661B46"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.26604</w:t>
            </w:r>
          </w:p>
        </w:tc>
      </w:tr>
      <w:tr w:rsidR="0070390C" w:rsidRPr="00791DD1" w14:paraId="1445EA18" w14:textId="77777777" w:rsidTr="00DE6FA5">
        <w:trPr>
          <w:trHeight w:val="234"/>
          <w:jc w:val="center"/>
        </w:trPr>
        <w:tc>
          <w:tcPr>
            <w:tcW w:w="2619" w:type="dxa"/>
            <w:tcBorders>
              <w:top w:val="single" w:sz="6" w:space="0" w:color="CBCBCB"/>
              <w:left w:val="single" w:sz="18" w:space="0" w:color="000000"/>
              <w:bottom w:val="single" w:sz="18" w:space="0" w:color="000000"/>
              <w:right w:val="single" w:sz="12" w:space="0" w:color="000000"/>
            </w:tcBorders>
            <w:shd w:val="clear" w:color="auto" w:fill="FFFFFF"/>
            <w:tcMar>
              <w:top w:w="0" w:type="dxa"/>
              <w:left w:w="75" w:type="dxa"/>
              <w:bottom w:w="0" w:type="dxa"/>
              <w:right w:w="75" w:type="dxa"/>
            </w:tcMar>
            <w:vAlign w:val="center"/>
            <w:hideMark/>
          </w:tcPr>
          <w:p w14:paraId="103D88CA"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Valid N (</w:t>
            </w:r>
            <w:proofErr w:type="spellStart"/>
            <w:r w:rsidRPr="00791DD1">
              <w:rPr>
                <w:rFonts w:ascii="Times New Roman" w:hAnsi="Times New Roman" w:cs="Times New Roman"/>
                <w:sz w:val="20"/>
                <w:szCs w:val="20"/>
              </w:rPr>
              <w:t>listwise</w:t>
            </w:r>
            <w:proofErr w:type="spellEnd"/>
            <w:r w:rsidRPr="00791DD1">
              <w:rPr>
                <w:rFonts w:ascii="Times New Roman" w:hAnsi="Times New Roman" w:cs="Times New Roman"/>
                <w:sz w:val="20"/>
                <w:szCs w:val="20"/>
              </w:rPr>
              <w:t>)</w:t>
            </w:r>
          </w:p>
        </w:tc>
        <w:tc>
          <w:tcPr>
            <w:tcW w:w="719" w:type="dxa"/>
            <w:tcBorders>
              <w:top w:val="single" w:sz="6" w:space="0" w:color="CBCBCB"/>
              <w:left w:val="single" w:sz="12" w:space="0" w:color="000000"/>
              <w:bottom w:val="single" w:sz="18" w:space="0" w:color="000000"/>
              <w:right w:val="single" w:sz="6" w:space="0" w:color="000000"/>
            </w:tcBorders>
            <w:shd w:val="clear" w:color="auto" w:fill="FFFFFF"/>
            <w:tcMar>
              <w:top w:w="0" w:type="dxa"/>
              <w:left w:w="75" w:type="dxa"/>
              <w:bottom w:w="0" w:type="dxa"/>
              <w:right w:w="75" w:type="dxa"/>
            </w:tcMar>
            <w:vAlign w:val="center"/>
            <w:hideMark/>
          </w:tcPr>
          <w:p w14:paraId="23B5765D" w14:textId="77777777" w:rsidR="0070390C" w:rsidRPr="00791DD1" w:rsidRDefault="0070390C" w:rsidP="0070390C">
            <w:pPr>
              <w:pStyle w:val="p5"/>
              <w:keepLines/>
              <w:rPr>
                <w:rFonts w:ascii="Times New Roman" w:hAnsi="Times New Roman" w:cs="Times New Roman"/>
                <w:sz w:val="20"/>
                <w:szCs w:val="20"/>
              </w:rPr>
            </w:pPr>
            <w:r w:rsidRPr="00791DD1">
              <w:rPr>
                <w:rFonts w:ascii="Times New Roman" w:hAnsi="Times New Roman" w:cs="Times New Roman"/>
                <w:sz w:val="20"/>
                <w:szCs w:val="20"/>
              </w:rPr>
              <w:t>137</w:t>
            </w:r>
          </w:p>
        </w:tc>
        <w:tc>
          <w:tcPr>
            <w:tcW w:w="917" w:type="dxa"/>
            <w:tcBorders>
              <w:top w:val="single" w:sz="6" w:space="0" w:color="CBCBCB"/>
              <w:left w:val="single" w:sz="6" w:space="0" w:color="000000"/>
              <w:bottom w:val="single" w:sz="18" w:space="0" w:color="000000"/>
              <w:right w:val="single" w:sz="6" w:space="0" w:color="000000"/>
            </w:tcBorders>
            <w:shd w:val="clear" w:color="auto" w:fill="FFFFFF"/>
            <w:tcMar>
              <w:top w:w="0" w:type="dxa"/>
              <w:left w:w="75" w:type="dxa"/>
              <w:bottom w:w="0" w:type="dxa"/>
              <w:right w:w="75" w:type="dxa"/>
            </w:tcMar>
            <w:vAlign w:val="center"/>
            <w:hideMark/>
          </w:tcPr>
          <w:p w14:paraId="038AA47B" w14:textId="77777777" w:rsidR="0070390C" w:rsidRPr="00791DD1" w:rsidRDefault="0070390C" w:rsidP="0070390C">
            <w:pPr>
              <w:pStyle w:val="p3"/>
              <w:keepLines/>
              <w:rPr>
                <w:sz w:val="20"/>
                <w:szCs w:val="20"/>
              </w:rPr>
            </w:pPr>
          </w:p>
        </w:tc>
        <w:tc>
          <w:tcPr>
            <w:tcW w:w="1258" w:type="dxa"/>
            <w:tcBorders>
              <w:top w:val="single" w:sz="6" w:space="0" w:color="CBCBCB"/>
              <w:left w:val="single" w:sz="6" w:space="0" w:color="000000"/>
              <w:bottom w:val="single" w:sz="18" w:space="0" w:color="000000"/>
              <w:right w:val="single" w:sz="18" w:space="0" w:color="000000"/>
            </w:tcBorders>
            <w:shd w:val="clear" w:color="auto" w:fill="FFFFFF"/>
            <w:tcMar>
              <w:top w:w="0" w:type="dxa"/>
              <w:left w:w="75" w:type="dxa"/>
              <w:bottom w:w="0" w:type="dxa"/>
              <w:right w:w="75" w:type="dxa"/>
            </w:tcMar>
            <w:vAlign w:val="center"/>
            <w:hideMark/>
          </w:tcPr>
          <w:p w14:paraId="78D4BC3A" w14:textId="77777777" w:rsidR="0070390C" w:rsidRPr="00791DD1" w:rsidRDefault="0070390C" w:rsidP="0070390C">
            <w:pPr>
              <w:pStyle w:val="p3"/>
              <w:keepLines/>
              <w:rPr>
                <w:sz w:val="20"/>
                <w:szCs w:val="20"/>
              </w:rPr>
            </w:pPr>
          </w:p>
        </w:tc>
      </w:tr>
    </w:tbl>
    <w:p w14:paraId="7B9812B1" w14:textId="77777777" w:rsidR="0070390C" w:rsidRPr="00653823" w:rsidRDefault="0070390C" w:rsidP="0070390C">
      <w:pPr>
        <w:pStyle w:val="Body"/>
        <w:keepLines/>
        <w:spacing w:line="360" w:lineRule="auto"/>
        <w:ind w:left="1440"/>
        <w:jc w:val="both"/>
        <w:rPr>
          <w:rFonts w:ascii="Times New Roman" w:hAnsi="Times New Roman" w:cs="Times New Roman"/>
          <w:sz w:val="20"/>
          <w:szCs w:val="20"/>
        </w:rPr>
      </w:pPr>
    </w:p>
    <w:p w14:paraId="141213F4" w14:textId="6CF10FD4" w:rsidR="0070390C" w:rsidRPr="00791DD1" w:rsidRDefault="0070390C" w:rsidP="00DE6FA5">
      <w:pPr>
        <w:pStyle w:val="Body"/>
        <w:keepLines/>
        <w:spacing w:line="360" w:lineRule="auto"/>
        <w:jc w:val="both"/>
        <w:rPr>
          <w:rFonts w:ascii="Times New Roman" w:hAnsi="Times New Roman" w:cs="Times New Roman"/>
        </w:rPr>
      </w:pPr>
      <w:r w:rsidRPr="00791DD1">
        <w:rPr>
          <w:rFonts w:ascii="Times New Roman" w:hAnsi="Times New Roman" w:cs="Times New Roman"/>
        </w:rPr>
        <w:t xml:space="preserve">All </w:t>
      </w:r>
      <w:r w:rsidR="00DE6FA5">
        <w:rPr>
          <w:rFonts w:ascii="Times New Roman" w:hAnsi="Times New Roman" w:cs="Times New Roman"/>
        </w:rPr>
        <w:t>variables’</w:t>
      </w:r>
      <w:r w:rsidRPr="00791DD1">
        <w:rPr>
          <w:rFonts w:ascii="Times New Roman" w:hAnsi="Times New Roman" w:cs="Times New Roman"/>
        </w:rPr>
        <w:t xml:space="preserve"> mean are greater than </w:t>
      </w:r>
      <w:r w:rsidR="00DE6FA5" w:rsidRPr="00DE6FA5">
        <w:rPr>
          <w:rFonts w:ascii="Times New Roman" w:hAnsi="Times New Roman" w:cs="Times New Roman"/>
        </w:rPr>
        <w:t>3.5</w:t>
      </w:r>
      <w:r w:rsidRPr="00DE6FA5">
        <w:rPr>
          <w:rFonts w:ascii="Times New Roman" w:hAnsi="Times New Roman" w:cs="Times New Roman"/>
        </w:rPr>
        <w:t>,</w:t>
      </w:r>
      <w:r w:rsidRPr="00791DD1">
        <w:rPr>
          <w:rFonts w:ascii="Times New Roman" w:hAnsi="Times New Roman" w:cs="Times New Roman"/>
        </w:rPr>
        <w:t xml:space="preserve"> which indicates that the Islamic banks in Jordan are ready for implementation</w:t>
      </w:r>
      <w:r w:rsidR="00DE6FA5">
        <w:rPr>
          <w:rFonts w:ascii="Times New Roman" w:hAnsi="Times New Roman" w:cs="Times New Roman"/>
        </w:rPr>
        <w:t xml:space="preserve"> of international standards of </w:t>
      </w:r>
      <w:r w:rsidR="00EA17BD">
        <w:rPr>
          <w:rFonts w:ascii="Times New Roman" w:hAnsi="Times New Roman" w:cs="Times New Roman"/>
        </w:rPr>
        <w:t>NFORM</w:t>
      </w:r>
      <w:r w:rsidR="00DE6FA5">
        <w:rPr>
          <w:rFonts w:ascii="Times New Roman" w:hAnsi="Times New Roman" w:cs="Times New Roman"/>
        </w:rPr>
        <w:t>,</w:t>
      </w:r>
      <w:r w:rsidRPr="00791DD1">
        <w:rPr>
          <w:rFonts w:ascii="Times New Roman" w:hAnsi="Times New Roman" w:cs="Times New Roman"/>
        </w:rPr>
        <w:t xml:space="preserve"> which is in line with the overall findings</w:t>
      </w:r>
      <w:r w:rsidR="00DE6FA5">
        <w:rPr>
          <w:rFonts w:ascii="Times New Roman" w:hAnsi="Times New Roman" w:cs="Times New Roman"/>
        </w:rPr>
        <w:t>.</w:t>
      </w:r>
      <w:r w:rsidRPr="00791DD1">
        <w:rPr>
          <w:rFonts w:ascii="Times New Roman" w:hAnsi="Times New Roman" w:cs="Times New Roman"/>
        </w:rPr>
        <w:t xml:space="preserve"> </w:t>
      </w:r>
    </w:p>
    <w:p w14:paraId="37E2D57F" w14:textId="77777777" w:rsidR="0070390C" w:rsidRPr="00DE6FA5" w:rsidRDefault="0070390C" w:rsidP="00DE6FA5">
      <w:pPr>
        <w:keepLines/>
        <w:spacing w:line="360" w:lineRule="auto"/>
        <w:jc w:val="both"/>
        <w:rPr>
          <w:rFonts w:ascii="Times New Roman" w:hAnsi="Times New Roman" w:cs="Times New Roman"/>
          <w:sz w:val="16"/>
          <w:szCs w:val="16"/>
        </w:rPr>
      </w:pPr>
    </w:p>
    <w:p w14:paraId="795B5B6F" w14:textId="77777777" w:rsidR="0070390C" w:rsidRPr="00DE6FA5" w:rsidRDefault="0070390C" w:rsidP="00DE6FA5">
      <w:pPr>
        <w:pStyle w:val="SBSL4"/>
        <w:keepLines/>
        <w:numPr>
          <w:ilvl w:val="0"/>
          <w:numId w:val="0"/>
        </w:numPr>
        <w:rPr>
          <w:b/>
          <w:bCs/>
        </w:rPr>
      </w:pPr>
      <w:r w:rsidRPr="00DE6FA5">
        <w:rPr>
          <w:b/>
          <w:bCs/>
        </w:rPr>
        <w:t xml:space="preserve">Correlation analysis </w:t>
      </w:r>
    </w:p>
    <w:p w14:paraId="40CF9C2C" w14:textId="77777777" w:rsidR="0070390C" w:rsidRPr="00791DD1" w:rsidRDefault="0070390C" w:rsidP="0070390C">
      <w:pPr>
        <w:pStyle w:val="SBSL4"/>
        <w:keepLines/>
        <w:numPr>
          <w:ilvl w:val="0"/>
          <w:numId w:val="0"/>
        </w:numPr>
        <w:ind w:left="1800"/>
        <w:rPr>
          <w:sz w:val="16"/>
          <w:szCs w:val="16"/>
        </w:rPr>
      </w:pPr>
    </w:p>
    <w:p w14:paraId="77A71EB8" w14:textId="77777777" w:rsidR="0070390C" w:rsidRPr="00DE6FA5" w:rsidRDefault="0070390C" w:rsidP="00DE6FA5">
      <w:pPr>
        <w:keepLines/>
        <w:spacing w:line="360" w:lineRule="auto"/>
        <w:jc w:val="both"/>
        <w:rPr>
          <w:rFonts w:ascii="Times New Roman" w:hAnsi="Times New Roman" w:cs="Times New Roman"/>
        </w:rPr>
      </w:pPr>
      <w:r w:rsidRPr="00DE6FA5">
        <w:rPr>
          <w:rFonts w:ascii="Times New Roman" w:hAnsi="Times New Roman" w:cs="Times New Roman"/>
        </w:rPr>
        <w:t>The researcher performed a correlation test between the themes, with including the overall (</w:t>
      </w:r>
      <w:proofErr w:type="spellStart"/>
      <w:r w:rsidRPr="00DE6FA5">
        <w:rPr>
          <w:rFonts w:ascii="Times New Roman" w:hAnsi="Times New Roman" w:cs="Times New Roman"/>
        </w:rPr>
        <w:t>T_All</w:t>
      </w:r>
      <w:proofErr w:type="spellEnd"/>
      <w:r w:rsidRPr="00DE6FA5">
        <w:rPr>
          <w:rFonts w:ascii="Times New Roman" w:hAnsi="Times New Roman" w:cs="Times New Roman"/>
        </w:rPr>
        <w:t xml:space="preserve">) table 4-10. The following table 4-10 summarize the output of the correlation test. </w:t>
      </w:r>
    </w:p>
    <w:p w14:paraId="615277C5" w14:textId="77777777" w:rsidR="0070390C" w:rsidRDefault="0070390C" w:rsidP="00DE6FA5">
      <w:pPr>
        <w:keepLines/>
        <w:spacing w:line="360" w:lineRule="auto"/>
        <w:jc w:val="both"/>
        <w:rPr>
          <w:rFonts w:ascii="Times New Roman" w:hAnsi="Times New Roman" w:cs="Times New Roman"/>
        </w:rPr>
      </w:pPr>
      <w:r w:rsidRPr="00DE6FA5">
        <w:rPr>
          <w:rFonts w:ascii="Times New Roman" w:hAnsi="Times New Roman" w:cs="Times New Roman"/>
        </w:rPr>
        <w:t xml:space="preserve">Based on the results of the study, </w:t>
      </w:r>
      <w:proofErr w:type="spellStart"/>
      <w:r w:rsidRPr="00DE6FA5">
        <w:rPr>
          <w:rFonts w:ascii="Times New Roman" w:hAnsi="Times New Roman" w:cs="Times New Roman"/>
        </w:rPr>
        <w:t>T_all</w:t>
      </w:r>
      <w:proofErr w:type="spellEnd"/>
      <w:r w:rsidRPr="00DE6FA5">
        <w:rPr>
          <w:rFonts w:ascii="Times New Roman" w:hAnsi="Times New Roman" w:cs="Times New Roman"/>
        </w:rPr>
        <w:t xml:space="preserve"> (overall) is strongly related to T1, T2, T3, T4, T5, T6, T7 &amp; T8 with r</w:t>
      </w:r>
      <w:r w:rsidRPr="00DE6FA5">
        <w:rPr>
          <w:rFonts w:ascii="Times New Roman" w:hAnsi="Times New Roman" w:cs="Times New Roman"/>
          <w:i/>
          <w:iCs/>
        </w:rPr>
        <w:t xml:space="preserve">1 </w:t>
      </w:r>
      <w:r w:rsidRPr="00DE6FA5">
        <w:rPr>
          <w:rFonts w:ascii="Times New Roman" w:hAnsi="Times New Roman" w:cs="Times New Roman"/>
        </w:rPr>
        <w:t xml:space="preserve">= </w:t>
      </w:r>
      <w:r w:rsidRPr="00DE6FA5">
        <w:rPr>
          <w:rFonts w:ascii="Times New Roman" w:hAnsi="Times New Roman" w:cs="Times New Roman"/>
          <w:sz w:val="20"/>
          <w:szCs w:val="20"/>
        </w:rPr>
        <w:t>.</w:t>
      </w:r>
      <w:r w:rsidRPr="00DE6FA5">
        <w:rPr>
          <w:rFonts w:ascii="Times New Roman" w:hAnsi="Times New Roman" w:cs="Times New Roman"/>
        </w:rPr>
        <w:t xml:space="preserve">256, </w:t>
      </w:r>
      <w:r w:rsidRPr="00DE6FA5">
        <w:rPr>
          <w:rFonts w:ascii="Times New Roman" w:hAnsi="Times New Roman" w:cs="Times New Roman"/>
          <w:i/>
          <w:iCs/>
        </w:rPr>
        <w:t>r2</w:t>
      </w:r>
      <w:r w:rsidRPr="00DE6FA5">
        <w:rPr>
          <w:rFonts w:ascii="Times New Roman" w:hAnsi="Times New Roman" w:cs="Times New Roman"/>
        </w:rPr>
        <w:t xml:space="preserve"> = 710, </w:t>
      </w:r>
      <w:r w:rsidRPr="00DE6FA5">
        <w:rPr>
          <w:rFonts w:ascii="Times New Roman" w:hAnsi="Times New Roman" w:cs="Times New Roman"/>
          <w:i/>
          <w:iCs/>
        </w:rPr>
        <w:t>r3</w:t>
      </w:r>
      <w:r w:rsidRPr="00DE6FA5">
        <w:rPr>
          <w:rFonts w:ascii="Times New Roman" w:hAnsi="Times New Roman" w:cs="Times New Roman"/>
        </w:rPr>
        <w:t xml:space="preserve"> = .789, </w:t>
      </w:r>
      <w:r w:rsidRPr="00DE6FA5">
        <w:rPr>
          <w:rFonts w:ascii="Times New Roman" w:hAnsi="Times New Roman" w:cs="Times New Roman"/>
          <w:i/>
          <w:iCs/>
        </w:rPr>
        <w:t>r4</w:t>
      </w:r>
      <w:r w:rsidRPr="00DE6FA5">
        <w:rPr>
          <w:rFonts w:ascii="Times New Roman" w:hAnsi="Times New Roman" w:cs="Times New Roman"/>
        </w:rPr>
        <w:t xml:space="preserve"> = .550, </w:t>
      </w:r>
      <w:r w:rsidRPr="00DE6FA5">
        <w:rPr>
          <w:rFonts w:ascii="Times New Roman" w:hAnsi="Times New Roman" w:cs="Times New Roman"/>
          <w:i/>
          <w:iCs/>
        </w:rPr>
        <w:t>r5</w:t>
      </w:r>
      <w:r w:rsidRPr="00DE6FA5">
        <w:rPr>
          <w:rFonts w:ascii="Times New Roman" w:hAnsi="Times New Roman" w:cs="Times New Roman"/>
        </w:rPr>
        <w:t xml:space="preserve"> = .721, </w:t>
      </w:r>
      <w:r w:rsidRPr="00DE6FA5">
        <w:rPr>
          <w:rFonts w:ascii="Times New Roman" w:hAnsi="Times New Roman" w:cs="Times New Roman"/>
          <w:i/>
          <w:iCs/>
        </w:rPr>
        <w:t xml:space="preserve">r6 </w:t>
      </w:r>
      <w:r w:rsidRPr="00DE6FA5">
        <w:rPr>
          <w:rFonts w:ascii="Times New Roman" w:hAnsi="Times New Roman" w:cs="Times New Roman"/>
        </w:rPr>
        <w:t xml:space="preserve">= .324, </w:t>
      </w:r>
      <w:r w:rsidRPr="00DE6FA5">
        <w:rPr>
          <w:rFonts w:ascii="Times New Roman" w:hAnsi="Times New Roman" w:cs="Times New Roman"/>
          <w:i/>
          <w:iCs/>
        </w:rPr>
        <w:t>r7</w:t>
      </w:r>
      <w:r w:rsidRPr="00DE6FA5">
        <w:rPr>
          <w:rFonts w:ascii="Times New Roman" w:hAnsi="Times New Roman" w:cs="Times New Roman"/>
        </w:rPr>
        <w:t xml:space="preserve"> = .245, and </w:t>
      </w:r>
      <w:r w:rsidRPr="00DE6FA5">
        <w:rPr>
          <w:rFonts w:ascii="Times New Roman" w:hAnsi="Times New Roman" w:cs="Times New Roman"/>
          <w:i/>
          <w:iCs/>
        </w:rPr>
        <w:t>r8</w:t>
      </w:r>
      <w:r w:rsidRPr="00DE6FA5">
        <w:rPr>
          <w:rFonts w:ascii="Times New Roman" w:hAnsi="Times New Roman" w:cs="Times New Roman"/>
        </w:rPr>
        <w:t xml:space="preserve"> = .621, </w:t>
      </w:r>
      <w:r w:rsidRPr="00DE6FA5">
        <w:rPr>
          <w:rFonts w:ascii="Times New Roman" w:hAnsi="Times New Roman" w:cs="Times New Roman"/>
          <w:i/>
          <w:iCs/>
        </w:rPr>
        <w:t>p</w:t>
      </w:r>
      <w:r w:rsidRPr="00DE6FA5">
        <w:rPr>
          <w:rFonts w:ascii="Times New Roman" w:hAnsi="Times New Roman" w:cs="Times New Roman"/>
        </w:rPr>
        <w:t xml:space="preserve"> &lt; .01</w:t>
      </w:r>
    </w:p>
    <w:p w14:paraId="5B650573" w14:textId="4D8EF959" w:rsidR="00332B33" w:rsidRPr="00DE6FA5" w:rsidRDefault="00332B33" w:rsidP="00DE6FA5">
      <w:pPr>
        <w:keepLines/>
        <w:spacing w:line="360" w:lineRule="auto"/>
        <w:jc w:val="both"/>
        <w:rPr>
          <w:rFonts w:ascii="Times New Roman" w:hAnsi="Times New Roman" w:cs="Times New Roman"/>
        </w:rPr>
      </w:pPr>
      <w:r>
        <w:rPr>
          <w:rFonts w:ascii="Times New Roman" w:hAnsi="Times New Roman" w:cs="Times New Roman"/>
        </w:rPr>
        <w:lastRenderedPageBreak/>
        <w:t xml:space="preserve">Table 3: Correlations of different study constraints </w:t>
      </w:r>
    </w:p>
    <w:tbl>
      <w:tblPr>
        <w:tblW w:w="9207"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44"/>
        <w:gridCol w:w="2126"/>
        <w:gridCol w:w="709"/>
        <w:gridCol w:w="721"/>
        <w:gridCol w:w="696"/>
        <w:gridCol w:w="709"/>
        <w:gridCol w:w="709"/>
        <w:gridCol w:w="709"/>
        <w:gridCol w:w="708"/>
        <w:gridCol w:w="709"/>
        <w:gridCol w:w="567"/>
      </w:tblGrid>
      <w:tr w:rsidR="0070390C" w:rsidRPr="00791DD1" w14:paraId="20C748A1" w14:textId="77777777" w:rsidTr="0070390C">
        <w:trPr>
          <w:tblHeader/>
        </w:trPr>
        <w:tc>
          <w:tcPr>
            <w:tcW w:w="9207" w:type="dxa"/>
            <w:gridSpan w:val="11"/>
            <w:tcBorders>
              <w:top w:val="nil"/>
              <w:left w:val="nil"/>
              <w:bottom w:val="single" w:sz="18" w:space="0" w:color="auto"/>
              <w:right w:val="nil"/>
            </w:tcBorders>
            <w:shd w:val="clear" w:color="auto" w:fill="FFFFFF"/>
            <w:tcMar>
              <w:top w:w="0" w:type="dxa"/>
              <w:left w:w="75" w:type="dxa"/>
              <w:bottom w:w="0" w:type="dxa"/>
              <w:right w:w="75" w:type="dxa"/>
            </w:tcMar>
            <w:vAlign w:val="center"/>
            <w:hideMark/>
          </w:tcPr>
          <w:p w14:paraId="24BA792C" w14:textId="77777777" w:rsidR="0070390C" w:rsidRPr="00791DD1" w:rsidRDefault="0070390C" w:rsidP="0070390C">
            <w:pPr>
              <w:pStyle w:val="p2"/>
              <w:keepLines/>
              <w:rPr>
                <w:rFonts w:ascii="Times New Roman" w:hAnsi="Times New Roman" w:cs="Times New Roman"/>
                <w:sz w:val="20"/>
                <w:szCs w:val="20"/>
              </w:rPr>
            </w:pPr>
            <w:r w:rsidRPr="00791DD1">
              <w:rPr>
                <w:rFonts w:ascii="Times New Roman" w:hAnsi="Times New Roman" w:cs="Times New Roman"/>
                <w:sz w:val="20"/>
                <w:szCs w:val="20"/>
              </w:rPr>
              <w:t>Correlations</w:t>
            </w:r>
          </w:p>
        </w:tc>
      </w:tr>
      <w:tr w:rsidR="0070390C" w:rsidRPr="00791DD1" w14:paraId="726B65FC" w14:textId="77777777" w:rsidTr="0070390C">
        <w:trPr>
          <w:tblHeader/>
        </w:trPr>
        <w:tc>
          <w:tcPr>
            <w:tcW w:w="2970" w:type="dxa"/>
            <w:gridSpan w:val="2"/>
            <w:tcBorders>
              <w:top w:val="single" w:sz="18" w:space="0" w:color="auto"/>
              <w:left w:val="single" w:sz="12"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183A1272" w14:textId="77777777" w:rsidR="0070390C" w:rsidRPr="00791DD1" w:rsidRDefault="0070390C" w:rsidP="0070390C">
            <w:pPr>
              <w:pStyle w:val="p2"/>
              <w:keepLines/>
              <w:rPr>
                <w:rFonts w:ascii="Times New Roman" w:hAnsi="Times New Roman" w:cs="Times New Roman"/>
                <w:sz w:val="20"/>
                <w:szCs w:val="20"/>
              </w:rPr>
            </w:pPr>
          </w:p>
        </w:tc>
        <w:tc>
          <w:tcPr>
            <w:tcW w:w="709"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06E25D9C" w14:textId="0A14C051"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1</w:t>
            </w:r>
          </w:p>
        </w:tc>
        <w:tc>
          <w:tcPr>
            <w:tcW w:w="721"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52DD402" w14:textId="1F34CB65"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2</w:t>
            </w:r>
          </w:p>
        </w:tc>
        <w:tc>
          <w:tcPr>
            <w:tcW w:w="696"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A2B1C41" w14:textId="0634F990"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3</w:t>
            </w:r>
          </w:p>
        </w:tc>
        <w:tc>
          <w:tcPr>
            <w:tcW w:w="709"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22E7C70D" w14:textId="4FFFBE45"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4</w:t>
            </w:r>
          </w:p>
        </w:tc>
        <w:tc>
          <w:tcPr>
            <w:tcW w:w="709"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0CC049B" w14:textId="44E2530C"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5</w:t>
            </w:r>
          </w:p>
        </w:tc>
        <w:tc>
          <w:tcPr>
            <w:tcW w:w="709"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1DD981B5" w14:textId="3760BF8D"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6</w:t>
            </w:r>
          </w:p>
        </w:tc>
        <w:tc>
          <w:tcPr>
            <w:tcW w:w="708" w:type="dxa"/>
            <w:tcBorders>
              <w:top w:val="single" w:sz="18" w:space="0" w:color="auto"/>
              <w:left w:val="single" w:sz="6" w:space="0" w:color="000000"/>
              <w:bottom w:val="single" w:sz="12" w:space="0" w:color="000000"/>
              <w:right w:val="single" w:sz="6" w:space="0" w:color="000000"/>
            </w:tcBorders>
            <w:shd w:val="clear" w:color="auto" w:fill="DEEAF6" w:themeFill="accent1" w:themeFillTint="33"/>
            <w:tcMar>
              <w:top w:w="0" w:type="dxa"/>
              <w:left w:w="75" w:type="dxa"/>
              <w:bottom w:w="0" w:type="dxa"/>
              <w:right w:w="75" w:type="dxa"/>
            </w:tcMar>
            <w:vAlign w:val="center"/>
            <w:hideMark/>
          </w:tcPr>
          <w:p w14:paraId="3C51B699" w14:textId="6A93FE21"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7</w:t>
            </w:r>
          </w:p>
        </w:tc>
        <w:tc>
          <w:tcPr>
            <w:tcW w:w="709" w:type="dxa"/>
            <w:tcBorders>
              <w:top w:val="single" w:sz="18" w:space="0" w:color="auto"/>
              <w:left w:val="single" w:sz="6" w:space="0" w:color="000000"/>
              <w:bottom w:val="single" w:sz="12" w:space="0" w:color="000000"/>
              <w:right w:val="single" w:sz="12" w:space="0" w:color="000000"/>
            </w:tcBorders>
            <w:shd w:val="clear" w:color="auto" w:fill="DEEAF6" w:themeFill="accent1" w:themeFillTint="33"/>
            <w:tcMar>
              <w:top w:w="0" w:type="dxa"/>
              <w:left w:w="75" w:type="dxa"/>
              <w:bottom w:w="0" w:type="dxa"/>
              <w:right w:w="75" w:type="dxa"/>
            </w:tcMar>
            <w:vAlign w:val="center"/>
            <w:hideMark/>
          </w:tcPr>
          <w:p w14:paraId="25D6EE1D" w14:textId="0A8300E7"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8</w:t>
            </w:r>
          </w:p>
        </w:tc>
        <w:tc>
          <w:tcPr>
            <w:tcW w:w="567" w:type="dxa"/>
            <w:tcBorders>
              <w:top w:val="single" w:sz="18" w:space="0" w:color="auto"/>
              <w:left w:val="single" w:sz="6" w:space="0" w:color="000000"/>
              <w:bottom w:val="single" w:sz="12" w:space="0" w:color="000000"/>
              <w:right w:val="single" w:sz="12" w:space="0" w:color="000000"/>
            </w:tcBorders>
            <w:shd w:val="clear" w:color="auto" w:fill="DEEAF6" w:themeFill="accent1" w:themeFillTint="33"/>
            <w:vAlign w:val="center"/>
          </w:tcPr>
          <w:p w14:paraId="4179A2E8" w14:textId="5D9C690E" w:rsidR="0070390C" w:rsidRPr="00791DD1" w:rsidRDefault="00DE6FA5" w:rsidP="0070390C">
            <w:pPr>
              <w:pStyle w:val="p2"/>
              <w:keepLines/>
              <w:rPr>
                <w:rFonts w:ascii="Times New Roman" w:hAnsi="Times New Roman" w:cs="Times New Roman"/>
                <w:sz w:val="20"/>
                <w:szCs w:val="20"/>
              </w:rPr>
            </w:pPr>
            <w:r>
              <w:rPr>
                <w:rFonts w:ascii="Times New Roman" w:hAnsi="Times New Roman" w:cs="Times New Roman"/>
                <w:sz w:val="20"/>
                <w:szCs w:val="20"/>
              </w:rPr>
              <w:t>V</w:t>
            </w:r>
          </w:p>
        </w:tc>
      </w:tr>
      <w:tr w:rsidR="0070390C" w:rsidRPr="00791DD1" w14:paraId="0C179680" w14:textId="77777777" w:rsidTr="0070390C">
        <w:trPr>
          <w:trHeight w:val="229"/>
        </w:trPr>
        <w:tc>
          <w:tcPr>
            <w:tcW w:w="844" w:type="dxa"/>
            <w:vMerge w:val="restart"/>
            <w:tcBorders>
              <w:top w:val="single" w:sz="12" w:space="0" w:color="000000"/>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1D346E3C" w14:textId="7947E079"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1</w:t>
            </w:r>
          </w:p>
        </w:tc>
        <w:tc>
          <w:tcPr>
            <w:tcW w:w="2126" w:type="dxa"/>
            <w:tcBorders>
              <w:top w:val="single" w:sz="12" w:space="0" w:color="000000"/>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7F75A6AB"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12" w:space="0" w:color="000000"/>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F87FB2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21"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EBA41D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-.124</w:t>
            </w:r>
          </w:p>
        </w:tc>
        <w:tc>
          <w:tcPr>
            <w:tcW w:w="696"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A7D6E1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.258</w:t>
            </w:r>
            <w:r w:rsidRPr="00791DD1">
              <w:rPr>
                <w:rFonts w:ascii="Times New Roman" w:hAnsi="Times New Roman" w:cs="Times New Roman"/>
                <w:sz w:val="20"/>
                <w:szCs w:val="20"/>
                <w:vertAlign w:val="superscript"/>
              </w:rPr>
              <w:t>**</w:t>
            </w:r>
          </w:p>
        </w:tc>
        <w:tc>
          <w:tcPr>
            <w:tcW w:w="709"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8F521D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.126</w:t>
            </w:r>
          </w:p>
        </w:tc>
        <w:tc>
          <w:tcPr>
            <w:tcW w:w="709"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F1F81B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.025</w:t>
            </w:r>
          </w:p>
        </w:tc>
        <w:tc>
          <w:tcPr>
            <w:tcW w:w="709"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6BFBF5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.036</w:t>
            </w:r>
          </w:p>
        </w:tc>
        <w:tc>
          <w:tcPr>
            <w:tcW w:w="708"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51D3F0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.320</w:t>
            </w:r>
            <w:r w:rsidRPr="00791DD1">
              <w:rPr>
                <w:rFonts w:ascii="Times New Roman" w:hAnsi="Times New Roman" w:cs="Times New Roman"/>
                <w:sz w:val="20"/>
                <w:szCs w:val="20"/>
                <w:vertAlign w:val="superscript"/>
              </w:rPr>
              <w:t>**</w:t>
            </w:r>
          </w:p>
        </w:tc>
        <w:tc>
          <w:tcPr>
            <w:tcW w:w="709" w:type="dxa"/>
            <w:tcBorders>
              <w:top w:val="single" w:sz="12" w:space="0" w:color="000000"/>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E08E80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.104</w:t>
            </w:r>
          </w:p>
        </w:tc>
        <w:tc>
          <w:tcPr>
            <w:tcW w:w="567" w:type="dxa"/>
            <w:tcBorders>
              <w:top w:val="single" w:sz="12" w:space="0" w:color="000000"/>
              <w:left w:val="single" w:sz="6" w:space="0" w:color="000000"/>
              <w:bottom w:val="single" w:sz="6" w:space="0" w:color="CBCBCB"/>
              <w:right w:val="single" w:sz="6" w:space="0" w:color="000000"/>
            </w:tcBorders>
            <w:shd w:val="clear" w:color="auto" w:fill="FFFFFF"/>
            <w:vAlign w:val="center"/>
          </w:tcPr>
          <w:p w14:paraId="76BB577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.256</w:t>
            </w:r>
            <w:r w:rsidRPr="00791DD1">
              <w:rPr>
                <w:rFonts w:ascii="Times New Roman" w:hAnsi="Times New Roman" w:cs="Times New Roman"/>
                <w:sz w:val="20"/>
                <w:szCs w:val="20"/>
                <w:vertAlign w:val="superscript"/>
              </w:rPr>
              <w:t>**</w:t>
            </w:r>
          </w:p>
        </w:tc>
      </w:tr>
      <w:tr w:rsidR="0070390C" w:rsidRPr="00791DD1" w14:paraId="194F6397" w14:textId="77777777" w:rsidTr="0070390C">
        <w:tc>
          <w:tcPr>
            <w:tcW w:w="844" w:type="dxa"/>
            <w:vMerge/>
            <w:tcBorders>
              <w:top w:val="single" w:sz="12" w:space="0" w:color="000000"/>
              <w:left w:val="single" w:sz="12" w:space="0" w:color="000000"/>
              <w:bottom w:val="single" w:sz="6" w:space="0" w:color="CBCBCB"/>
              <w:right w:val="single" w:sz="6" w:space="0" w:color="CBCBCB"/>
            </w:tcBorders>
            <w:shd w:val="clear" w:color="auto" w:fill="DEEAF6" w:themeFill="accent1" w:themeFillTint="33"/>
            <w:vAlign w:val="center"/>
            <w:hideMark/>
          </w:tcPr>
          <w:p w14:paraId="7FF5625F"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3CBC75C"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BABB6D1" w14:textId="77777777" w:rsidR="0070390C" w:rsidRPr="00791DD1" w:rsidRDefault="0070390C" w:rsidP="0070390C">
            <w:pPr>
              <w:pStyle w:val="p3"/>
              <w:keepLines/>
              <w:jc w:val="center"/>
              <w:rPr>
                <w:sz w:val="20"/>
                <w:szCs w:val="20"/>
              </w:rPr>
            </w:pP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59131B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.148</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E2CFF6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F4E64D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.143</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D803B5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.776</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B71564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.679</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6074A7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0C18AC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.227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BF6E22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.003</w:t>
            </w:r>
          </w:p>
        </w:tc>
      </w:tr>
      <w:tr w:rsidR="0070390C" w:rsidRPr="00791DD1" w14:paraId="1A6B3B9D" w14:textId="77777777" w:rsidTr="0070390C">
        <w:tc>
          <w:tcPr>
            <w:tcW w:w="844" w:type="dxa"/>
            <w:vMerge/>
            <w:tcBorders>
              <w:top w:val="single" w:sz="12" w:space="0" w:color="000000"/>
              <w:left w:val="single" w:sz="12" w:space="0" w:color="000000"/>
              <w:bottom w:val="single" w:sz="6" w:space="0" w:color="CBCBCB"/>
              <w:right w:val="single" w:sz="6" w:space="0" w:color="CBCBCB"/>
            </w:tcBorders>
            <w:shd w:val="clear" w:color="auto" w:fill="DEEAF6" w:themeFill="accent1" w:themeFillTint="33"/>
            <w:vAlign w:val="center"/>
            <w:hideMark/>
          </w:tcPr>
          <w:p w14:paraId="15AC54C6"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F3CFD42"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CC91D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00395D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497029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04B0CE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A3B070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588B2B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83BF76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F8F391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148DAE7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292AA4EF"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1EDABFD8" w14:textId="7B1854D9"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2</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48FE71B9"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45D9F2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-.124</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6AF3F9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C271B9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.748</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35AF97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.547</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42193F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.671</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735372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.225</w:t>
            </w:r>
            <w:r w:rsidRPr="00791DD1">
              <w:rPr>
                <w:rFonts w:ascii="Times New Roman" w:hAnsi="Times New Roman" w:cs="Times New Roman"/>
                <w:sz w:val="20"/>
                <w:szCs w:val="20"/>
                <w:vertAlign w:val="superscript"/>
              </w:rPr>
              <w:t>**</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F90B7C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.016</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DE6BEA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.522</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482E096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.710</w:t>
            </w:r>
            <w:r w:rsidRPr="00791DD1">
              <w:rPr>
                <w:rFonts w:ascii="Times New Roman" w:hAnsi="Times New Roman" w:cs="Times New Roman"/>
                <w:sz w:val="20"/>
                <w:szCs w:val="20"/>
                <w:vertAlign w:val="superscript"/>
              </w:rPr>
              <w:t>**</w:t>
            </w:r>
          </w:p>
        </w:tc>
      </w:tr>
      <w:tr w:rsidR="0070390C" w:rsidRPr="00791DD1" w14:paraId="7C4D180C"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64061E5E"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59C7E92B"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548FB7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.148</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BE43D87" w14:textId="77777777" w:rsidR="0070390C" w:rsidRPr="00791DD1" w:rsidRDefault="0070390C" w:rsidP="0070390C">
            <w:pPr>
              <w:pStyle w:val="p3"/>
              <w:keepLines/>
              <w:jc w:val="center"/>
              <w:rPr>
                <w:sz w:val="20"/>
                <w:szCs w:val="20"/>
              </w:rPr>
            </w:pP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E19457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A8A2BB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1BBC44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B65A57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.008</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58ABA7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.856</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6209CC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C2B82F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1C122B14"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34A07308"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A69B853"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4D1076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2156CD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AFDEC1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A581D9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173992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AC70D4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1568CF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06B47A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4EA7F29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15F6E427"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000B55CB" w14:textId="05E07FAC"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3</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4DE6F0B6"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FAD572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.258</w:t>
            </w:r>
            <w:r w:rsidRPr="00791DD1">
              <w:rPr>
                <w:rFonts w:ascii="Times New Roman" w:hAnsi="Times New Roman" w:cs="Times New Roman"/>
                <w:sz w:val="20"/>
                <w:szCs w:val="20"/>
                <w:vertAlign w:val="superscript"/>
              </w:rPr>
              <w:t>**</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7F53CE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.748</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62E133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0A38EF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.453</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DAFF10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.602</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BF1AF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.232</w:t>
            </w:r>
            <w:r w:rsidRPr="00791DD1">
              <w:rPr>
                <w:rFonts w:ascii="Times New Roman" w:hAnsi="Times New Roman" w:cs="Times New Roman"/>
                <w:sz w:val="20"/>
                <w:szCs w:val="20"/>
                <w:vertAlign w:val="superscript"/>
              </w:rPr>
              <w:t>**</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B7B86F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CF5CC3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.571</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1CA8E21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.780</w:t>
            </w:r>
            <w:r w:rsidRPr="00791DD1">
              <w:rPr>
                <w:rFonts w:ascii="Times New Roman" w:hAnsi="Times New Roman" w:cs="Times New Roman"/>
                <w:sz w:val="20"/>
                <w:szCs w:val="20"/>
                <w:vertAlign w:val="superscript"/>
              </w:rPr>
              <w:t>**</w:t>
            </w:r>
          </w:p>
        </w:tc>
      </w:tr>
      <w:tr w:rsidR="0070390C" w:rsidRPr="00791DD1" w14:paraId="652CE980"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3B9B6471"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53690656"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F24EF6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.002</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7020EC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4FE9F06" w14:textId="77777777" w:rsidR="0070390C" w:rsidRPr="00791DD1" w:rsidRDefault="0070390C" w:rsidP="0070390C">
            <w:pPr>
              <w:pStyle w:val="p3"/>
              <w:keepLines/>
              <w:jc w:val="center"/>
              <w:rPr>
                <w:sz w:val="20"/>
                <w:szCs w:val="20"/>
              </w:rPr>
            </w:pP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72766C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D9E793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39E2C0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.006</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0B964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.545</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5901EA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54F564E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252ED372"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0706CFCF"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B5EF8CA"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57B26E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08FB39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3E8D17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5B88B8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3CCECF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7AAB6E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B37EEE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BD5AB5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2F1A760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7A7FB3D4"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10727B48" w14:textId="487EEE2E"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4</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12F03BD8"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5349A4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.126</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E0F29D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.547</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C643E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.453</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F28B4F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7B22CD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.548</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96FCD4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.050</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124444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.115</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75C96A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.397</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360BB73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.550</w:t>
            </w:r>
            <w:r w:rsidRPr="00791DD1">
              <w:rPr>
                <w:rFonts w:ascii="Times New Roman" w:hAnsi="Times New Roman" w:cs="Times New Roman"/>
                <w:sz w:val="20"/>
                <w:szCs w:val="20"/>
                <w:vertAlign w:val="superscript"/>
              </w:rPr>
              <w:t>**</w:t>
            </w:r>
          </w:p>
        </w:tc>
      </w:tr>
      <w:tr w:rsidR="0070390C" w:rsidRPr="00791DD1" w14:paraId="1F07A7AF"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1022D4D7"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34BE34C"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5B8E0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.143</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063D3C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0C0F04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4CDE1D3" w14:textId="77777777" w:rsidR="0070390C" w:rsidRPr="00791DD1" w:rsidRDefault="0070390C" w:rsidP="0070390C">
            <w:pPr>
              <w:pStyle w:val="p3"/>
              <w:keepLines/>
              <w:jc w:val="center"/>
              <w:rPr>
                <w:sz w:val="20"/>
                <w:szCs w:val="20"/>
              </w:rPr>
            </w:pP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95D514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C04649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.562</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F94C7F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.182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9C8C61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36636AD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2E100F80"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03B8A0AC"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5CF88D85"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65A198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991632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9966BB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AB0534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977C34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28B57A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6AD975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C9425D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4A7CBA9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596E3D75"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392F5BA5" w14:textId="123A1E66"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5</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68DBA0FB"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CBBA76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.025</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13168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.671</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55424A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.602</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80E7B1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.548</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E96426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57E6A3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.337</w:t>
            </w:r>
            <w:r w:rsidRPr="00791DD1">
              <w:rPr>
                <w:rFonts w:ascii="Times New Roman" w:hAnsi="Times New Roman" w:cs="Times New Roman"/>
                <w:sz w:val="20"/>
                <w:szCs w:val="20"/>
                <w:vertAlign w:val="superscript"/>
              </w:rPr>
              <w:t>**</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DBDC96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.080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4E42CD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.522</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1099055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.721</w:t>
            </w:r>
            <w:r w:rsidRPr="00791DD1">
              <w:rPr>
                <w:rFonts w:ascii="Times New Roman" w:hAnsi="Times New Roman" w:cs="Times New Roman"/>
                <w:sz w:val="20"/>
                <w:szCs w:val="20"/>
                <w:vertAlign w:val="superscript"/>
              </w:rPr>
              <w:t>**</w:t>
            </w:r>
          </w:p>
        </w:tc>
      </w:tr>
      <w:tr w:rsidR="0070390C" w:rsidRPr="00791DD1" w14:paraId="336BF970"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75389874"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173D8A03"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EE44FE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.776</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7DA67A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0C81D0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80DA24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E18563D" w14:textId="77777777" w:rsidR="0070390C" w:rsidRPr="00791DD1" w:rsidRDefault="0070390C" w:rsidP="0070390C">
            <w:pPr>
              <w:pStyle w:val="p3"/>
              <w:keepLines/>
              <w:jc w:val="center"/>
              <w:rPr>
                <w:sz w:val="20"/>
                <w:szCs w:val="20"/>
              </w:rPr>
            </w:pP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6B13C2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85D5D6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.353</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0D57CA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291C080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08E6A631"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504D06D1"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360B648E"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E1D734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ADB4C0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A0039B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5B278C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AD0EBC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BF0DCB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25072F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357F5D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107F90E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405A558E"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13826917" w14:textId="36BD3E98"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6</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D064F2E"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618578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.036</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EE38CC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.225</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A9C458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.232</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823E4F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414D0C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.337</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D99F00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599396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.043</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23C9CA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.054</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2A52AA4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.324</w:t>
            </w:r>
            <w:r w:rsidRPr="00791DD1">
              <w:rPr>
                <w:rFonts w:ascii="Times New Roman" w:hAnsi="Times New Roman" w:cs="Times New Roman"/>
                <w:sz w:val="20"/>
                <w:szCs w:val="20"/>
                <w:vertAlign w:val="superscript"/>
              </w:rPr>
              <w:t>**</w:t>
            </w:r>
          </w:p>
        </w:tc>
      </w:tr>
      <w:tr w:rsidR="0070390C" w:rsidRPr="00791DD1" w14:paraId="4AE14AEF"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64910F89"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C0DEAA4"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CEF505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.679</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3E9433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.008</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C45E4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.006</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660FCB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.562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1CAEFA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590CAC" w14:textId="77777777" w:rsidR="0070390C" w:rsidRPr="00791DD1" w:rsidRDefault="0070390C" w:rsidP="0070390C">
            <w:pPr>
              <w:pStyle w:val="p3"/>
              <w:keepLines/>
              <w:jc w:val="center"/>
              <w:rPr>
                <w:sz w:val="20"/>
                <w:szCs w:val="20"/>
              </w:rPr>
            </w:pP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047FA0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.620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44EB1D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.529</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7A091E6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1B852A32"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40049F19"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C58479E"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C0417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79BDCC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172804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0AF515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0D18AD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C8587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DF57DC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DE6305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2DAB60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144D7D83"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5EB06DDF" w14:textId="3402FEF8"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7</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3173ED36"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7600B5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.320</w:t>
            </w:r>
            <w:r w:rsidRPr="00791DD1">
              <w:rPr>
                <w:rFonts w:ascii="Times New Roman" w:hAnsi="Times New Roman" w:cs="Times New Roman"/>
                <w:sz w:val="20"/>
                <w:szCs w:val="20"/>
                <w:vertAlign w:val="superscript"/>
              </w:rPr>
              <w:t>**</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AA07AA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.016</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98D1A6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53B9A5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.115</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A9C03A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.080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E44B23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.043</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C751F8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4473F1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.202</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4C4BD59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.245</w:t>
            </w:r>
            <w:r w:rsidRPr="00791DD1">
              <w:rPr>
                <w:rFonts w:ascii="Times New Roman" w:hAnsi="Times New Roman" w:cs="Times New Roman"/>
                <w:sz w:val="20"/>
                <w:szCs w:val="20"/>
                <w:vertAlign w:val="superscript"/>
              </w:rPr>
              <w:t>**</w:t>
            </w:r>
          </w:p>
        </w:tc>
      </w:tr>
      <w:tr w:rsidR="0070390C" w:rsidRPr="00791DD1" w14:paraId="22585879"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7BD4CFE5"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2E388512"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955C73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AC7CA3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.856</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DA48B6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.545</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C849A8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.182</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29EC8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.353</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164316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.620</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BC79934" w14:textId="77777777" w:rsidR="0070390C" w:rsidRPr="00791DD1" w:rsidRDefault="0070390C" w:rsidP="0070390C">
            <w:pPr>
              <w:pStyle w:val="p3"/>
              <w:keepLines/>
              <w:jc w:val="center"/>
              <w:rPr>
                <w:sz w:val="20"/>
                <w:szCs w:val="20"/>
              </w:rPr>
            </w:pP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34D2B7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.018</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528A652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.004</w:t>
            </w:r>
          </w:p>
        </w:tc>
      </w:tr>
      <w:tr w:rsidR="0070390C" w:rsidRPr="00791DD1" w14:paraId="40C57592"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3246EDBA"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661AD541"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E7412E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605FE2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EF4475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C624D7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241CAA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1086A5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AE5821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1BCE3C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67B3C5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56DEE0A1" w14:textId="77777777" w:rsidTr="0070390C">
        <w:tc>
          <w:tcPr>
            <w:tcW w:w="844" w:type="dxa"/>
            <w:vMerge w:val="restart"/>
            <w:tcBorders>
              <w:top w:val="single" w:sz="6" w:space="0" w:color="CBCBCB"/>
              <w:left w:val="single" w:sz="12" w:space="0" w:color="000000"/>
              <w:bottom w:val="single" w:sz="6" w:space="0" w:color="CBCBCB"/>
              <w:right w:val="single" w:sz="6" w:space="0" w:color="CBCBCB"/>
            </w:tcBorders>
            <w:shd w:val="clear" w:color="auto" w:fill="DEEAF6" w:themeFill="accent1" w:themeFillTint="33"/>
            <w:tcMar>
              <w:top w:w="0" w:type="dxa"/>
              <w:left w:w="75" w:type="dxa"/>
              <w:bottom w:w="0" w:type="dxa"/>
              <w:right w:w="75" w:type="dxa"/>
            </w:tcMar>
            <w:vAlign w:val="center"/>
            <w:hideMark/>
          </w:tcPr>
          <w:p w14:paraId="723C37D4" w14:textId="72F2D26E" w:rsidR="0070390C" w:rsidRPr="00791DD1" w:rsidRDefault="00DE6FA5" w:rsidP="0070390C">
            <w:pPr>
              <w:pStyle w:val="p4"/>
              <w:keepLines/>
              <w:jc w:val="center"/>
              <w:rPr>
                <w:rFonts w:ascii="Times New Roman" w:hAnsi="Times New Roman" w:cs="Times New Roman"/>
                <w:sz w:val="20"/>
                <w:szCs w:val="20"/>
              </w:rPr>
            </w:pPr>
            <w:r>
              <w:rPr>
                <w:rFonts w:ascii="Times New Roman" w:hAnsi="Times New Roman" w:cs="Times New Roman"/>
                <w:sz w:val="20"/>
                <w:szCs w:val="20"/>
              </w:rPr>
              <w:t>V</w:t>
            </w:r>
            <w:r w:rsidR="0070390C" w:rsidRPr="00791DD1">
              <w:rPr>
                <w:rFonts w:ascii="Times New Roman" w:hAnsi="Times New Roman" w:cs="Times New Roman"/>
                <w:sz w:val="20"/>
                <w:szCs w:val="20"/>
              </w:rPr>
              <w:t>8</w:t>
            </w: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0B36BF66"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E59577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.104</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47C440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.522</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E4B4A7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.571</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974835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.397</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5E028E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.522</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38D0C0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.054</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512CBD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.202</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D2307F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3F486A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.621</w:t>
            </w:r>
            <w:r w:rsidRPr="00791DD1">
              <w:rPr>
                <w:rFonts w:ascii="Times New Roman" w:hAnsi="Times New Roman" w:cs="Times New Roman"/>
                <w:sz w:val="20"/>
                <w:szCs w:val="20"/>
                <w:vertAlign w:val="superscript"/>
              </w:rPr>
              <w:t>**</w:t>
            </w:r>
          </w:p>
        </w:tc>
      </w:tr>
      <w:tr w:rsidR="0070390C" w:rsidRPr="00791DD1" w14:paraId="581F8661"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3F5C5528"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543BC31C"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3B8F26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.227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937014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E37CCD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0DB93C3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6484FC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F29E69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.529</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580833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.018</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E36330A" w14:textId="77777777" w:rsidR="0070390C" w:rsidRPr="00791DD1" w:rsidRDefault="0070390C" w:rsidP="0070390C">
            <w:pPr>
              <w:pStyle w:val="p3"/>
              <w:keepLines/>
              <w:jc w:val="center"/>
              <w:rPr>
                <w:sz w:val="20"/>
                <w:szCs w:val="20"/>
              </w:rPr>
            </w:pP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2050D59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r>
      <w:tr w:rsidR="0070390C" w:rsidRPr="00791DD1" w14:paraId="17787B59" w14:textId="77777777" w:rsidTr="0070390C">
        <w:tc>
          <w:tcPr>
            <w:tcW w:w="844" w:type="dxa"/>
            <w:vMerge/>
            <w:tcBorders>
              <w:top w:val="single" w:sz="6" w:space="0" w:color="CBCBCB"/>
              <w:left w:val="single" w:sz="12" w:space="0" w:color="000000"/>
              <w:bottom w:val="single" w:sz="6" w:space="0" w:color="CBCBCB"/>
              <w:right w:val="single" w:sz="6" w:space="0" w:color="CBCBCB"/>
            </w:tcBorders>
            <w:shd w:val="clear" w:color="auto" w:fill="DEEAF6" w:themeFill="accent1" w:themeFillTint="33"/>
            <w:vAlign w:val="center"/>
            <w:hideMark/>
          </w:tcPr>
          <w:p w14:paraId="4C7326BB"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78A1B88F"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F3243FA"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666BBB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E3D2D7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C06B03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7A2CA01"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B2C5FC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0643AB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02CCF3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215C02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463713B7" w14:textId="77777777" w:rsidTr="0070390C">
        <w:tc>
          <w:tcPr>
            <w:tcW w:w="844" w:type="dxa"/>
            <w:vMerge w:val="restart"/>
            <w:tcBorders>
              <w:top w:val="single" w:sz="6" w:space="0" w:color="CBCBCB"/>
              <w:left w:val="single" w:sz="12" w:space="0" w:color="000000"/>
              <w:bottom w:val="single" w:sz="12" w:space="0" w:color="000000"/>
              <w:right w:val="single" w:sz="6" w:space="0" w:color="CBCBCB"/>
            </w:tcBorders>
            <w:shd w:val="clear" w:color="auto" w:fill="DEEAF6" w:themeFill="accent1" w:themeFillTint="33"/>
            <w:tcMar>
              <w:top w:w="0" w:type="dxa"/>
              <w:left w:w="75" w:type="dxa"/>
              <w:bottom w:w="0" w:type="dxa"/>
              <w:right w:w="75" w:type="dxa"/>
            </w:tcMar>
            <w:vAlign w:val="center"/>
            <w:hideMark/>
          </w:tcPr>
          <w:p w14:paraId="0420B225" w14:textId="06E821C5" w:rsidR="0070390C" w:rsidRPr="00791DD1" w:rsidRDefault="00DE6FA5" w:rsidP="0070390C">
            <w:pPr>
              <w:pStyle w:val="p4"/>
              <w:keepLines/>
              <w:jc w:val="center"/>
              <w:rPr>
                <w:rFonts w:ascii="Times New Roman" w:hAnsi="Times New Roman" w:cs="Times New Roman"/>
                <w:sz w:val="20"/>
                <w:szCs w:val="20"/>
              </w:rPr>
            </w:pPr>
            <w:proofErr w:type="spellStart"/>
            <w:r>
              <w:rPr>
                <w:rFonts w:ascii="Times New Roman" w:hAnsi="Times New Roman" w:cs="Times New Roman"/>
                <w:sz w:val="20"/>
                <w:szCs w:val="20"/>
              </w:rPr>
              <w:t>V</w:t>
            </w:r>
            <w:r w:rsidR="0070390C" w:rsidRPr="00791DD1">
              <w:rPr>
                <w:rFonts w:ascii="Times New Roman" w:hAnsi="Times New Roman" w:cs="Times New Roman"/>
                <w:sz w:val="20"/>
                <w:szCs w:val="20"/>
              </w:rPr>
              <w:t>_All</w:t>
            </w:r>
            <w:proofErr w:type="spellEnd"/>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755EF162"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Pearson Correlation</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65F226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.256</w:t>
            </w:r>
            <w:r w:rsidRPr="00791DD1">
              <w:rPr>
                <w:rFonts w:ascii="Times New Roman" w:hAnsi="Times New Roman" w:cs="Times New Roman"/>
                <w:sz w:val="20"/>
                <w:szCs w:val="20"/>
                <w:vertAlign w:val="superscript"/>
              </w:rPr>
              <w:t>**</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AB8AA1C"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.710</w:t>
            </w:r>
            <w:r w:rsidRPr="00791DD1">
              <w:rPr>
                <w:rFonts w:ascii="Times New Roman" w:hAnsi="Times New Roman" w:cs="Times New Roman"/>
                <w:sz w:val="20"/>
                <w:szCs w:val="20"/>
                <w:vertAlign w:val="superscript"/>
              </w:rPr>
              <w:t>**</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962A6F9"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.780</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8AC7E2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.550</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2C70033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.721</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0376004"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.324</w:t>
            </w:r>
            <w:r w:rsidRPr="00791DD1">
              <w:rPr>
                <w:rFonts w:ascii="Times New Roman" w:hAnsi="Times New Roman" w:cs="Times New Roman"/>
                <w:sz w:val="20"/>
                <w:szCs w:val="20"/>
                <w:vertAlign w:val="superscript"/>
              </w:rPr>
              <w:t>**</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76B64E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.245</w:t>
            </w:r>
            <w:r w:rsidRPr="00791DD1">
              <w:rPr>
                <w:rFonts w:ascii="Times New Roman" w:hAnsi="Times New Roman" w:cs="Times New Roman"/>
                <w:sz w:val="20"/>
                <w:szCs w:val="20"/>
                <w:vertAlign w:val="superscript"/>
              </w:rPr>
              <w:t>**</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E0AB78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.621</w:t>
            </w:r>
            <w:r w:rsidRPr="00791DD1">
              <w:rPr>
                <w:rFonts w:ascii="Times New Roman" w:hAnsi="Times New Roman" w:cs="Times New Roman"/>
                <w:sz w:val="20"/>
                <w:szCs w:val="20"/>
                <w:vertAlign w:val="superscript"/>
              </w:rPr>
              <w:t>**</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7C2F861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w:t>
            </w:r>
          </w:p>
        </w:tc>
      </w:tr>
      <w:tr w:rsidR="0070390C" w:rsidRPr="00791DD1" w14:paraId="70314018" w14:textId="77777777" w:rsidTr="0070390C">
        <w:tc>
          <w:tcPr>
            <w:tcW w:w="844" w:type="dxa"/>
            <w:vMerge/>
            <w:tcBorders>
              <w:top w:val="single" w:sz="6" w:space="0" w:color="CBCBCB"/>
              <w:left w:val="single" w:sz="12" w:space="0" w:color="000000"/>
              <w:bottom w:val="single" w:sz="12" w:space="0" w:color="000000"/>
              <w:right w:val="single" w:sz="6" w:space="0" w:color="CBCBCB"/>
            </w:tcBorders>
            <w:shd w:val="clear" w:color="auto" w:fill="DEEAF6" w:themeFill="accent1" w:themeFillTint="33"/>
            <w:vAlign w:val="center"/>
            <w:hideMark/>
          </w:tcPr>
          <w:p w14:paraId="49FC2FB8"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6" w:space="0" w:color="CBCBCB"/>
              <w:right w:val="single" w:sz="12" w:space="0" w:color="000000"/>
            </w:tcBorders>
            <w:shd w:val="clear" w:color="auto" w:fill="FFFFFF"/>
            <w:tcMar>
              <w:top w:w="0" w:type="dxa"/>
              <w:left w:w="75" w:type="dxa"/>
              <w:bottom w:w="0" w:type="dxa"/>
              <w:right w:w="75" w:type="dxa"/>
            </w:tcMar>
            <w:vAlign w:val="center"/>
            <w:hideMark/>
          </w:tcPr>
          <w:p w14:paraId="6ABF7052"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Sig. (2-tailed)</w:t>
            </w:r>
          </w:p>
        </w:tc>
        <w:tc>
          <w:tcPr>
            <w:tcW w:w="709" w:type="dxa"/>
            <w:tcBorders>
              <w:top w:val="single" w:sz="6" w:space="0" w:color="CBCBCB"/>
              <w:left w:val="single" w:sz="12"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4D44E8C2"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.003</w:t>
            </w:r>
          </w:p>
        </w:tc>
        <w:tc>
          <w:tcPr>
            <w:tcW w:w="721"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7A234B0"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696"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54CC387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99E7EED"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10781A3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6A91D0AB"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708"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76FF2E8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.004</w:t>
            </w:r>
          </w:p>
        </w:tc>
        <w:tc>
          <w:tcPr>
            <w:tcW w:w="709" w:type="dxa"/>
            <w:tcBorders>
              <w:top w:val="single" w:sz="6" w:space="0" w:color="CBCBCB"/>
              <w:left w:val="single" w:sz="6" w:space="0" w:color="000000"/>
              <w:bottom w:val="single" w:sz="6" w:space="0" w:color="CBCBCB"/>
              <w:right w:val="single" w:sz="6" w:space="0" w:color="000000"/>
            </w:tcBorders>
            <w:shd w:val="clear" w:color="auto" w:fill="FFFFFF"/>
            <w:tcMar>
              <w:top w:w="0" w:type="dxa"/>
              <w:left w:w="75" w:type="dxa"/>
              <w:bottom w:w="0" w:type="dxa"/>
              <w:right w:w="75" w:type="dxa"/>
            </w:tcMar>
            <w:vAlign w:val="center"/>
            <w:hideMark/>
          </w:tcPr>
          <w:p w14:paraId="36A8B4E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.000</w:t>
            </w:r>
          </w:p>
        </w:tc>
        <w:tc>
          <w:tcPr>
            <w:tcW w:w="567" w:type="dxa"/>
            <w:tcBorders>
              <w:top w:val="single" w:sz="6" w:space="0" w:color="CBCBCB"/>
              <w:left w:val="single" w:sz="6" w:space="0" w:color="000000"/>
              <w:bottom w:val="single" w:sz="6" w:space="0" w:color="CBCBCB"/>
              <w:right w:val="single" w:sz="6" w:space="0" w:color="000000"/>
            </w:tcBorders>
            <w:shd w:val="clear" w:color="auto" w:fill="FFFFFF"/>
            <w:vAlign w:val="center"/>
          </w:tcPr>
          <w:p w14:paraId="0131D7D2" w14:textId="77777777" w:rsidR="0070390C" w:rsidRPr="00791DD1" w:rsidRDefault="0070390C" w:rsidP="0070390C">
            <w:pPr>
              <w:pStyle w:val="p3"/>
              <w:keepLines/>
              <w:jc w:val="center"/>
              <w:rPr>
                <w:sz w:val="20"/>
                <w:szCs w:val="20"/>
              </w:rPr>
            </w:pPr>
          </w:p>
        </w:tc>
      </w:tr>
      <w:tr w:rsidR="0070390C" w:rsidRPr="00791DD1" w14:paraId="033295BD" w14:textId="77777777" w:rsidTr="0070390C">
        <w:tc>
          <w:tcPr>
            <w:tcW w:w="844" w:type="dxa"/>
            <w:vMerge/>
            <w:tcBorders>
              <w:top w:val="single" w:sz="6" w:space="0" w:color="CBCBCB"/>
              <w:left w:val="single" w:sz="12" w:space="0" w:color="000000"/>
              <w:bottom w:val="single" w:sz="12" w:space="0" w:color="000000"/>
              <w:right w:val="single" w:sz="6" w:space="0" w:color="CBCBCB"/>
            </w:tcBorders>
            <w:shd w:val="clear" w:color="auto" w:fill="DEEAF6" w:themeFill="accent1" w:themeFillTint="33"/>
            <w:vAlign w:val="center"/>
            <w:hideMark/>
          </w:tcPr>
          <w:p w14:paraId="2C74CA63" w14:textId="77777777" w:rsidR="0070390C" w:rsidRPr="00791DD1" w:rsidRDefault="0070390C" w:rsidP="0070390C">
            <w:pPr>
              <w:keepLines/>
              <w:jc w:val="center"/>
              <w:rPr>
                <w:sz w:val="20"/>
                <w:szCs w:val="20"/>
              </w:rPr>
            </w:pPr>
          </w:p>
        </w:tc>
        <w:tc>
          <w:tcPr>
            <w:tcW w:w="2126" w:type="dxa"/>
            <w:tcBorders>
              <w:top w:val="single" w:sz="6" w:space="0" w:color="CBCBCB"/>
              <w:left w:val="single" w:sz="6" w:space="0" w:color="CBCBCB"/>
              <w:bottom w:val="single" w:sz="12" w:space="0" w:color="000000"/>
              <w:right w:val="single" w:sz="12" w:space="0" w:color="000000"/>
            </w:tcBorders>
            <w:shd w:val="clear" w:color="auto" w:fill="FFFFFF"/>
            <w:tcMar>
              <w:top w:w="0" w:type="dxa"/>
              <w:left w:w="75" w:type="dxa"/>
              <w:bottom w:w="0" w:type="dxa"/>
              <w:right w:w="75" w:type="dxa"/>
            </w:tcMar>
            <w:vAlign w:val="center"/>
            <w:hideMark/>
          </w:tcPr>
          <w:p w14:paraId="17850C1D" w14:textId="77777777" w:rsidR="0070390C" w:rsidRPr="00791DD1" w:rsidRDefault="0070390C" w:rsidP="0070390C">
            <w:pPr>
              <w:pStyle w:val="p4"/>
              <w:keepLines/>
              <w:rPr>
                <w:rFonts w:ascii="Times New Roman" w:hAnsi="Times New Roman" w:cs="Times New Roman"/>
                <w:sz w:val="20"/>
                <w:szCs w:val="20"/>
              </w:rPr>
            </w:pPr>
            <w:r w:rsidRPr="00791DD1">
              <w:rPr>
                <w:rFonts w:ascii="Times New Roman" w:hAnsi="Times New Roman" w:cs="Times New Roman"/>
                <w:sz w:val="20"/>
                <w:szCs w:val="20"/>
              </w:rPr>
              <w:t>N</w:t>
            </w:r>
          </w:p>
        </w:tc>
        <w:tc>
          <w:tcPr>
            <w:tcW w:w="709" w:type="dxa"/>
            <w:tcBorders>
              <w:top w:val="single" w:sz="6" w:space="0" w:color="CBCBCB"/>
              <w:left w:val="single" w:sz="12"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662E675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21"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1D3F2DEE"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696"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1BD1B537"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5721C9D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4648DBD3"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7426199F"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8"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74B1DF25"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709" w:type="dxa"/>
            <w:tcBorders>
              <w:top w:val="single" w:sz="6" w:space="0" w:color="CBCBCB"/>
              <w:left w:val="single" w:sz="6" w:space="0" w:color="000000"/>
              <w:bottom w:val="single" w:sz="12" w:space="0" w:color="000000"/>
              <w:right w:val="single" w:sz="6" w:space="0" w:color="000000"/>
            </w:tcBorders>
            <w:shd w:val="clear" w:color="auto" w:fill="FFFFFF"/>
            <w:tcMar>
              <w:top w:w="0" w:type="dxa"/>
              <w:left w:w="75" w:type="dxa"/>
              <w:bottom w:w="0" w:type="dxa"/>
              <w:right w:w="75" w:type="dxa"/>
            </w:tcMar>
            <w:vAlign w:val="center"/>
            <w:hideMark/>
          </w:tcPr>
          <w:p w14:paraId="66CA8E58"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c>
          <w:tcPr>
            <w:tcW w:w="567" w:type="dxa"/>
            <w:tcBorders>
              <w:top w:val="single" w:sz="6" w:space="0" w:color="CBCBCB"/>
              <w:left w:val="single" w:sz="6" w:space="0" w:color="000000"/>
              <w:bottom w:val="single" w:sz="12" w:space="0" w:color="000000"/>
              <w:right w:val="single" w:sz="6" w:space="0" w:color="000000"/>
            </w:tcBorders>
            <w:shd w:val="clear" w:color="auto" w:fill="FFFFFF"/>
            <w:vAlign w:val="center"/>
          </w:tcPr>
          <w:p w14:paraId="03C3A236" w14:textId="77777777" w:rsidR="0070390C" w:rsidRPr="00791DD1" w:rsidRDefault="0070390C" w:rsidP="0070390C">
            <w:pPr>
              <w:pStyle w:val="p5"/>
              <w:keepLines/>
              <w:jc w:val="center"/>
              <w:rPr>
                <w:rFonts w:ascii="Times New Roman" w:hAnsi="Times New Roman" w:cs="Times New Roman"/>
                <w:sz w:val="20"/>
                <w:szCs w:val="20"/>
              </w:rPr>
            </w:pPr>
            <w:r w:rsidRPr="00791DD1">
              <w:rPr>
                <w:rFonts w:ascii="Times New Roman" w:hAnsi="Times New Roman" w:cs="Times New Roman"/>
                <w:sz w:val="20"/>
                <w:szCs w:val="20"/>
              </w:rPr>
              <w:t>137</w:t>
            </w:r>
          </w:p>
        </w:tc>
      </w:tr>
      <w:tr w:rsidR="0070390C" w:rsidRPr="00791DD1" w14:paraId="13001923" w14:textId="77777777" w:rsidTr="0070390C">
        <w:tc>
          <w:tcPr>
            <w:tcW w:w="9207" w:type="dxa"/>
            <w:gridSpan w:val="11"/>
            <w:tcBorders>
              <w:top w:val="single" w:sz="6" w:space="0" w:color="CBCBCB"/>
              <w:left w:val="single" w:sz="6" w:space="0" w:color="000000"/>
              <w:bottom w:val="single" w:sz="6" w:space="0" w:color="CBCBCB"/>
            </w:tcBorders>
            <w:shd w:val="clear" w:color="auto" w:fill="FFFFFF"/>
            <w:tcMar>
              <w:top w:w="0" w:type="dxa"/>
              <w:left w:w="75" w:type="dxa"/>
              <w:bottom w:w="0" w:type="dxa"/>
              <w:right w:w="75" w:type="dxa"/>
            </w:tcMar>
            <w:vAlign w:val="center"/>
            <w:hideMark/>
          </w:tcPr>
          <w:p w14:paraId="46A715E7" w14:textId="77777777" w:rsidR="0070390C" w:rsidRPr="00791DD1" w:rsidRDefault="0070390C" w:rsidP="0070390C">
            <w:pPr>
              <w:keepLines/>
              <w:rPr>
                <w:rFonts w:eastAsia="Times New Roman"/>
                <w:sz w:val="20"/>
                <w:szCs w:val="20"/>
              </w:rPr>
            </w:pPr>
            <w:r w:rsidRPr="00791DD1">
              <w:rPr>
                <w:sz w:val="20"/>
                <w:szCs w:val="20"/>
              </w:rPr>
              <w:t>**. Correlation is significant at the 0.01 level (2-tailed).</w:t>
            </w:r>
          </w:p>
        </w:tc>
      </w:tr>
      <w:tr w:rsidR="0070390C" w:rsidRPr="00791DD1" w14:paraId="40BFC0F2" w14:textId="77777777" w:rsidTr="0070390C">
        <w:tc>
          <w:tcPr>
            <w:tcW w:w="9207" w:type="dxa"/>
            <w:gridSpan w:val="11"/>
            <w:tcBorders>
              <w:top w:val="single" w:sz="6" w:space="0" w:color="CBCBCB"/>
              <w:left w:val="single" w:sz="6" w:space="0" w:color="CBCBCB"/>
              <w:bottom w:val="single" w:sz="6" w:space="0" w:color="CBCBCB"/>
            </w:tcBorders>
            <w:shd w:val="clear" w:color="auto" w:fill="FFFFFF"/>
            <w:tcMar>
              <w:top w:w="0" w:type="dxa"/>
              <w:left w:w="75" w:type="dxa"/>
              <w:bottom w:w="0" w:type="dxa"/>
              <w:right w:w="75" w:type="dxa"/>
            </w:tcMar>
            <w:vAlign w:val="center"/>
            <w:hideMark/>
          </w:tcPr>
          <w:p w14:paraId="05D11282" w14:textId="77777777" w:rsidR="0070390C" w:rsidRPr="00791DD1" w:rsidRDefault="0070390C" w:rsidP="0070390C">
            <w:pPr>
              <w:keepLines/>
              <w:rPr>
                <w:rFonts w:eastAsia="Times New Roman"/>
                <w:sz w:val="20"/>
                <w:szCs w:val="20"/>
              </w:rPr>
            </w:pPr>
            <w:r w:rsidRPr="00791DD1">
              <w:rPr>
                <w:sz w:val="20"/>
                <w:szCs w:val="20"/>
              </w:rPr>
              <w:t>*. Correlation is significant at the 0.05 level (2-tailed).</w:t>
            </w:r>
          </w:p>
        </w:tc>
      </w:tr>
    </w:tbl>
    <w:p w14:paraId="1759D4D7" w14:textId="77777777" w:rsidR="0070390C" w:rsidRPr="00791DD1" w:rsidRDefault="0070390C" w:rsidP="0070390C">
      <w:pPr>
        <w:pStyle w:val="p6"/>
        <w:keepLines/>
      </w:pPr>
    </w:p>
    <w:p w14:paraId="6C46F62C" w14:textId="79572BA2" w:rsidR="0070390C" w:rsidRPr="00791DD1" w:rsidRDefault="0070390C" w:rsidP="0070390C">
      <w:pPr>
        <w:rPr>
          <w:sz w:val="16"/>
          <w:szCs w:val="16"/>
        </w:rPr>
      </w:pPr>
    </w:p>
    <w:p w14:paraId="0100ACBE" w14:textId="11EFAD99" w:rsidR="00332B33" w:rsidRPr="00332B33" w:rsidRDefault="00332B33" w:rsidP="00EF54E0">
      <w:pPr>
        <w:pStyle w:val="SBSL3"/>
        <w:numPr>
          <w:ilvl w:val="0"/>
          <w:numId w:val="0"/>
        </w:numPr>
        <w:rPr>
          <w:b/>
          <w:bCs/>
          <w:sz w:val="28"/>
          <w:szCs w:val="28"/>
        </w:rPr>
      </w:pPr>
      <w:r w:rsidRPr="00332B33">
        <w:rPr>
          <w:b/>
          <w:bCs/>
          <w:sz w:val="28"/>
          <w:szCs w:val="28"/>
        </w:rPr>
        <w:t xml:space="preserve">Awareness of NFORM in each constraint </w:t>
      </w:r>
    </w:p>
    <w:p w14:paraId="7D28AFC6" w14:textId="7BF4CC86" w:rsidR="00BF7704" w:rsidRPr="00EF54E0" w:rsidRDefault="00EF54E0" w:rsidP="00BF7704">
      <w:pPr>
        <w:keepLines/>
        <w:spacing w:line="360" w:lineRule="auto"/>
        <w:jc w:val="both"/>
        <w:rPr>
          <w:rFonts w:asciiTheme="majorBidi" w:hAnsiTheme="majorBidi" w:cstheme="majorBidi"/>
          <w:sz w:val="24"/>
          <w:szCs w:val="24"/>
        </w:rPr>
      </w:pPr>
      <w:r w:rsidRPr="00EF54E0">
        <w:rPr>
          <w:rFonts w:asciiTheme="majorBidi" w:hAnsiTheme="majorBidi" w:cstheme="majorBidi"/>
        </w:rPr>
        <w:t xml:space="preserve">Understanding NFR </w:t>
      </w:r>
      <w:proofErr w:type="gramStart"/>
      <w:r w:rsidRPr="00EF54E0">
        <w:rPr>
          <w:rFonts w:asciiTheme="majorBidi" w:hAnsiTheme="majorBidi" w:cstheme="majorBidi"/>
        </w:rPr>
        <w:t xml:space="preserve">Sources </w:t>
      </w:r>
      <w:r w:rsidR="00BF7704">
        <w:rPr>
          <w:rFonts w:asciiTheme="majorBidi" w:hAnsiTheme="majorBidi" w:cstheme="majorBidi"/>
        </w:rPr>
        <w:t>:</w:t>
      </w:r>
      <w:proofErr w:type="gramEnd"/>
      <w:r w:rsidR="00BF7704" w:rsidRPr="00BF7704">
        <w:rPr>
          <w:rFonts w:asciiTheme="majorBidi" w:hAnsiTheme="majorBidi" w:cstheme="majorBidi"/>
          <w:sz w:val="24"/>
          <w:szCs w:val="24"/>
        </w:rPr>
        <w:t xml:space="preserve"> </w:t>
      </w:r>
      <w:r w:rsidR="00BF7704" w:rsidRPr="00EF54E0">
        <w:rPr>
          <w:rFonts w:asciiTheme="majorBidi" w:hAnsiTheme="majorBidi" w:cstheme="majorBidi"/>
          <w:sz w:val="24"/>
          <w:szCs w:val="24"/>
        </w:rPr>
        <w:t xml:space="preserve">Figure </w:t>
      </w:r>
      <w:r w:rsidR="00BF7704">
        <w:rPr>
          <w:rFonts w:asciiTheme="majorBidi" w:hAnsiTheme="majorBidi" w:cstheme="majorBidi"/>
          <w:sz w:val="24"/>
          <w:szCs w:val="24"/>
        </w:rPr>
        <w:t>2</w:t>
      </w:r>
      <w:r w:rsidR="00BF7704" w:rsidRPr="00EF54E0">
        <w:rPr>
          <w:rFonts w:asciiTheme="majorBidi" w:hAnsiTheme="majorBidi" w:cstheme="majorBidi"/>
          <w:sz w:val="24"/>
          <w:szCs w:val="24"/>
        </w:rPr>
        <w:t xml:space="preserve"> shows the </w:t>
      </w:r>
      <w:r w:rsidR="00BF7704">
        <w:rPr>
          <w:rFonts w:asciiTheme="majorBidi" w:hAnsiTheme="majorBidi" w:cstheme="majorBidi"/>
          <w:sz w:val="24"/>
          <w:szCs w:val="24"/>
        </w:rPr>
        <w:t xml:space="preserve">awareness of NFROM sources in bank. The </w:t>
      </w:r>
      <w:r w:rsidR="003F37E5">
        <w:rPr>
          <w:rFonts w:asciiTheme="majorBidi" w:hAnsiTheme="majorBidi" w:cstheme="majorBidi"/>
          <w:sz w:val="24"/>
          <w:szCs w:val="24"/>
        </w:rPr>
        <w:t>items</w:t>
      </w:r>
      <w:r w:rsidR="00BF7704">
        <w:rPr>
          <w:rFonts w:asciiTheme="majorBidi" w:hAnsiTheme="majorBidi" w:cstheme="majorBidi"/>
          <w:sz w:val="24"/>
          <w:szCs w:val="24"/>
        </w:rPr>
        <w:t xml:space="preserve"> </w:t>
      </w:r>
      <w:r w:rsidR="00BF7704" w:rsidRPr="00EF54E0">
        <w:rPr>
          <w:rFonts w:asciiTheme="majorBidi" w:hAnsiTheme="majorBidi" w:cstheme="majorBidi"/>
          <w:sz w:val="24"/>
          <w:szCs w:val="24"/>
        </w:rPr>
        <w:t xml:space="preserve">have scored 3.53, 3.49 and 3.61for questions one to three respectively. </w:t>
      </w:r>
      <w:r w:rsidR="00BF7704">
        <w:rPr>
          <w:rFonts w:asciiTheme="majorBidi" w:hAnsiTheme="majorBidi" w:cstheme="majorBidi"/>
          <w:sz w:val="24"/>
          <w:szCs w:val="24"/>
        </w:rPr>
        <w:t xml:space="preserve">This indicates that </w:t>
      </w:r>
      <w:r w:rsidR="00BF7704" w:rsidRPr="00EF54E0">
        <w:rPr>
          <w:rFonts w:asciiTheme="majorBidi" w:hAnsiTheme="majorBidi" w:cstheme="majorBidi"/>
          <w:sz w:val="24"/>
          <w:szCs w:val="24"/>
        </w:rPr>
        <w:t xml:space="preserve">the banks are in mid-range of the scale (between three and four), which means that the banks need more efforts in defining the sub-categories for their </w:t>
      </w:r>
      <w:r w:rsidR="00BF7704">
        <w:rPr>
          <w:rFonts w:asciiTheme="majorBidi" w:hAnsiTheme="majorBidi" w:cstheme="majorBidi"/>
          <w:sz w:val="24"/>
          <w:szCs w:val="24"/>
        </w:rPr>
        <w:t>NFR</w:t>
      </w:r>
      <w:r w:rsidR="00952669">
        <w:rPr>
          <w:rFonts w:asciiTheme="majorBidi" w:hAnsiTheme="majorBidi" w:cstheme="majorBidi"/>
          <w:sz w:val="24"/>
          <w:szCs w:val="24"/>
        </w:rPr>
        <w:t>OM</w:t>
      </w:r>
      <w:r w:rsidR="00BF7704" w:rsidRPr="00EF54E0">
        <w:rPr>
          <w:rFonts w:asciiTheme="majorBidi" w:hAnsiTheme="majorBidi" w:cstheme="majorBidi"/>
          <w:sz w:val="24"/>
          <w:szCs w:val="24"/>
        </w:rPr>
        <w:t xml:space="preserve"> to have better understanding of </w:t>
      </w:r>
      <w:r w:rsidR="00BF7704">
        <w:rPr>
          <w:rFonts w:asciiTheme="majorBidi" w:hAnsiTheme="majorBidi" w:cstheme="majorBidi"/>
          <w:sz w:val="24"/>
          <w:szCs w:val="24"/>
        </w:rPr>
        <w:t>NFR</w:t>
      </w:r>
      <w:r w:rsidR="00952669">
        <w:rPr>
          <w:rFonts w:asciiTheme="majorBidi" w:hAnsiTheme="majorBidi" w:cstheme="majorBidi"/>
          <w:sz w:val="24"/>
          <w:szCs w:val="24"/>
        </w:rPr>
        <w:t>OM</w:t>
      </w:r>
      <w:r w:rsidR="00BF7704" w:rsidRPr="00EF54E0">
        <w:rPr>
          <w:rFonts w:asciiTheme="majorBidi" w:hAnsiTheme="majorBidi" w:cstheme="majorBidi"/>
          <w:sz w:val="24"/>
          <w:szCs w:val="24"/>
        </w:rPr>
        <w:t xml:space="preserve"> sources, and the same for the integration between risks.</w:t>
      </w:r>
    </w:p>
    <w:p w14:paraId="555ABC4E" w14:textId="77777777" w:rsidR="00EF54E0" w:rsidRPr="00EF54E0" w:rsidRDefault="00EF54E0" w:rsidP="00EF54E0">
      <w:pPr>
        <w:keepLines/>
        <w:rPr>
          <w:rFonts w:asciiTheme="majorBidi" w:hAnsiTheme="majorBidi" w:cstheme="majorBidi"/>
          <w:sz w:val="24"/>
          <w:szCs w:val="24"/>
        </w:rPr>
      </w:pPr>
      <w:r w:rsidRPr="00EF54E0">
        <w:rPr>
          <w:rFonts w:asciiTheme="majorBidi" w:hAnsiTheme="majorBidi" w:cstheme="majorBidi"/>
          <w:noProof/>
          <w:sz w:val="24"/>
          <w:szCs w:val="24"/>
        </w:rPr>
        <w:lastRenderedPageBreak/>
        <w:drawing>
          <wp:inline distT="0" distB="0" distL="0" distR="0" wp14:anchorId="673A9BDB" wp14:editId="4E7A1136">
            <wp:extent cx="5508034" cy="2056545"/>
            <wp:effectExtent l="0" t="0" r="16510" b="12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F54E0">
        <w:rPr>
          <w:rFonts w:asciiTheme="majorBidi" w:hAnsiTheme="majorBidi" w:cstheme="majorBidi"/>
          <w:sz w:val="24"/>
          <w:szCs w:val="24"/>
        </w:rPr>
        <w:t xml:space="preserve"> </w:t>
      </w:r>
    </w:p>
    <w:p w14:paraId="60C1DD22" w14:textId="3626D8DD" w:rsidR="00EF54E0" w:rsidRPr="008C0857" w:rsidRDefault="00BF7704" w:rsidP="00952669">
      <w:pPr>
        <w:pStyle w:val="Caption"/>
        <w:keepLines/>
        <w:rPr>
          <w:rFonts w:asciiTheme="majorBidi" w:hAnsiTheme="majorBidi" w:cstheme="majorBidi"/>
          <w:b/>
          <w:bCs/>
          <w:i w:val="0"/>
          <w:iCs w:val="0"/>
          <w:color w:val="auto"/>
          <w:sz w:val="24"/>
          <w:szCs w:val="24"/>
        </w:rPr>
      </w:pPr>
      <w:r w:rsidRPr="008C0857">
        <w:rPr>
          <w:rFonts w:asciiTheme="majorBidi" w:hAnsiTheme="majorBidi" w:cstheme="majorBidi"/>
          <w:b/>
          <w:bCs/>
          <w:i w:val="0"/>
          <w:iCs w:val="0"/>
          <w:color w:val="auto"/>
          <w:sz w:val="24"/>
          <w:szCs w:val="24"/>
        </w:rPr>
        <w:t>Figure 2: Awareness of NFROM sources</w:t>
      </w:r>
    </w:p>
    <w:p w14:paraId="2C09EF50" w14:textId="77777777" w:rsidR="003E4FF5" w:rsidRDefault="003E4FF5" w:rsidP="00EF54E0">
      <w:pPr>
        <w:keepLines/>
        <w:rPr>
          <w:rFonts w:asciiTheme="majorBidi" w:hAnsiTheme="majorBidi" w:cstheme="majorBidi"/>
          <w:b/>
          <w:bCs/>
          <w:sz w:val="26"/>
          <w:szCs w:val="26"/>
        </w:rPr>
      </w:pPr>
    </w:p>
    <w:p w14:paraId="7E0396D0" w14:textId="0716B5F8" w:rsidR="00EF54E0" w:rsidRPr="00952669" w:rsidRDefault="00EF54E0" w:rsidP="00EF54E0">
      <w:pPr>
        <w:keepLines/>
        <w:rPr>
          <w:rFonts w:asciiTheme="majorBidi" w:hAnsiTheme="majorBidi" w:cstheme="majorBidi"/>
          <w:b/>
          <w:bCs/>
          <w:sz w:val="26"/>
          <w:szCs w:val="26"/>
        </w:rPr>
      </w:pPr>
      <w:r w:rsidRPr="00952669">
        <w:rPr>
          <w:rFonts w:asciiTheme="majorBidi" w:hAnsiTheme="majorBidi" w:cstheme="majorBidi"/>
          <w:b/>
          <w:bCs/>
          <w:sz w:val="26"/>
          <w:szCs w:val="26"/>
        </w:rPr>
        <w:t>Identification of NFR</w:t>
      </w:r>
      <w:r w:rsidR="00276C40">
        <w:rPr>
          <w:rFonts w:asciiTheme="majorBidi" w:hAnsiTheme="majorBidi" w:cstheme="majorBidi"/>
          <w:b/>
          <w:bCs/>
          <w:sz w:val="26"/>
          <w:szCs w:val="26"/>
        </w:rPr>
        <w:t>OM</w:t>
      </w:r>
      <w:r w:rsidRPr="00952669">
        <w:rPr>
          <w:rFonts w:asciiTheme="majorBidi" w:hAnsiTheme="majorBidi" w:cstheme="majorBidi"/>
          <w:b/>
          <w:bCs/>
          <w:sz w:val="26"/>
          <w:szCs w:val="26"/>
        </w:rPr>
        <w:t xml:space="preserve"> </w:t>
      </w:r>
    </w:p>
    <w:p w14:paraId="6952CA83" w14:textId="576EF59D" w:rsidR="00276C40" w:rsidRPr="00EF54E0" w:rsidRDefault="00276C40" w:rsidP="003E4FF5">
      <w:pPr>
        <w:keepLines/>
        <w:spacing w:line="360" w:lineRule="auto"/>
        <w:jc w:val="both"/>
        <w:rPr>
          <w:rFonts w:asciiTheme="majorBidi" w:hAnsiTheme="majorBidi" w:cstheme="majorBidi"/>
          <w:sz w:val="24"/>
          <w:szCs w:val="24"/>
        </w:rPr>
      </w:pPr>
      <w:r w:rsidRPr="00EF54E0">
        <w:rPr>
          <w:rFonts w:asciiTheme="majorBidi" w:hAnsiTheme="majorBidi" w:cstheme="majorBidi"/>
          <w:sz w:val="24"/>
          <w:szCs w:val="24"/>
        </w:rPr>
        <w:t xml:space="preserve">Figure </w:t>
      </w:r>
      <w:r>
        <w:rPr>
          <w:rFonts w:asciiTheme="majorBidi" w:hAnsiTheme="majorBidi" w:cstheme="majorBidi"/>
          <w:sz w:val="24"/>
          <w:szCs w:val="24"/>
        </w:rPr>
        <w:t>2</w:t>
      </w:r>
      <w:r w:rsidRPr="00EF54E0">
        <w:rPr>
          <w:rFonts w:asciiTheme="majorBidi" w:hAnsiTheme="majorBidi" w:cstheme="majorBidi"/>
          <w:sz w:val="24"/>
          <w:szCs w:val="24"/>
        </w:rPr>
        <w:t xml:space="preserve"> shows the results of </w:t>
      </w:r>
      <w:r>
        <w:rPr>
          <w:rFonts w:asciiTheme="majorBidi" w:hAnsiTheme="majorBidi" w:cstheme="majorBidi"/>
          <w:sz w:val="24"/>
          <w:szCs w:val="24"/>
        </w:rPr>
        <w:t>the awareness of identification of NFROM in Islamic banks.</w:t>
      </w:r>
      <w:r w:rsidRPr="00EF54E0">
        <w:rPr>
          <w:rFonts w:asciiTheme="majorBidi" w:hAnsiTheme="majorBidi" w:cstheme="majorBidi"/>
          <w:sz w:val="24"/>
          <w:szCs w:val="24"/>
        </w:rPr>
        <w:t xml:space="preserve"> </w:t>
      </w:r>
      <w:r w:rsidR="003E4FF5">
        <w:rPr>
          <w:rFonts w:asciiTheme="majorBidi" w:hAnsiTheme="majorBidi" w:cstheme="majorBidi"/>
          <w:sz w:val="24"/>
          <w:szCs w:val="24"/>
        </w:rPr>
        <w:t>Impact matrix, risk registers h</w:t>
      </w:r>
      <w:r w:rsidRPr="00EF54E0">
        <w:rPr>
          <w:rFonts w:asciiTheme="majorBidi" w:hAnsiTheme="majorBidi" w:cstheme="majorBidi"/>
          <w:sz w:val="24"/>
          <w:szCs w:val="24"/>
        </w:rPr>
        <w:t xml:space="preserve">ave scored 3.78, 3.93, 3.91 and 3.85 for questions four to seven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which means that the banks need to review their current practices for </w:t>
      </w:r>
      <w:r>
        <w:rPr>
          <w:rFonts w:asciiTheme="majorBidi" w:hAnsiTheme="majorBidi" w:cstheme="majorBidi"/>
          <w:sz w:val="24"/>
          <w:szCs w:val="24"/>
        </w:rPr>
        <w:t>NFR</w:t>
      </w:r>
      <w:r w:rsidRPr="00EF54E0">
        <w:rPr>
          <w:rFonts w:asciiTheme="majorBidi" w:hAnsiTheme="majorBidi" w:cstheme="majorBidi"/>
          <w:sz w:val="24"/>
          <w:szCs w:val="24"/>
        </w:rPr>
        <w:t xml:space="preserve"> assessments and its related tools (for example the PIM).</w:t>
      </w:r>
    </w:p>
    <w:p w14:paraId="5D22D6A4" w14:textId="77777777" w:rsidR="00EF54E0" w:rsidRPr="00EF54E0" w:rsidRDefault="00EF54E0" w:rsidP="00EF54E0">
      <w:pPr>
        <w:keepLines/>
        <w:rPr>
          <w:rFonts w:asciiTheme="majorBidi" w:hAnsiTheme="majorBidi" w:cstheme="majorBidi"/>
          <w:sz w:val="24"/>
          <w:szCs w:val="24"/>
        </w:rPr>
      </w:pPr>
      <w:r w:rsidRPr="00EF54E0">
        <w:rPr>
          <w:rFonts w:asciiTheme="majorBidi" w:hAnsiTheme="majorBidi" w:cstheme="majorBidi"/>
          <w:noProof/>
          <w:sz w:val="24"/>
          <w:szCs w:val="24"/>
        </w:rPr>
        <w:drawing>
          <wp:inline distT="0" distB="0" distL="0" distR="0" wp14:anchorId="3BF3354F" wp14:editId="37DEF4E6">
            <wp:extent cx="5584234" cy="2523930"/>
            <wp:effectExtent l="0" t="0" r="3810" b="165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913D41" w14:textId="538D479E" w:rsidR="00EF54E0" w:rsidRPr="00E92D3B" w:rsidRDefault="00E92D3B" w:rsidP="00E92D3B">
      <w:pPr>
        <w:pStyle w:val="Caption"/>
        <w:keepLines/>
        <w:rPr>
          <w:rFonts w:asciiTheme="majorBidi" w:eastAsia="Arial Unicode MS" w:hAnsiTheme="majorBidi" w:cstheme="majorBidi"/>
          <w:i w:val="0"/>
          <w:iCs w:val="0"/>
          <w:color w:val="000000"/>
          <w:sz w:val="24"/>
          <w:szCs w:val="24"/>
          <w:u w:color="000000"/>
          <w:bdr w:val="nil"/>
        </w:rPr>
      </w:pPr>
      <w:r w:rsidRPr="00E92D3B">
        <w:rPr>
          <w:rFonts w:asciiTheme="majorBidi" w:hAnsiTheme="majorBidi" w:cstheme="majorBidi"/>
          <w:i w:val="0"/>
          <w:iCs w:val="0"/>
          <w:sz w:val="24"/>
          <w:szCs w:val="24"/>
        </w:rPr>
        <w:t>Figure 3: Awareness of identification of NFROM in Islamic banks</w:t>
      </w:r>
    </w:p>
    <w:p w14:paraId="0AE79AC4" w14:textId="77777777" w:rsidR="00EF54E0" w:rsidRDefault="00EF54E0" w:rsidP="00EF54E0">
      <w:pPr>
        <w:rPr>
          <w:rFonts w:asciiTheme="majorBidi" w:hAnsiTheme="majorBidi" w:cstheme="majorBidi"/>
          <w:sz w:val="24"/>
          <w:szCs w:val="24"/>
        </w:rPr>
      </w:pPr>
    </w:p>
    <w:p w14:paraId="63247530" w14:textId="77777777" w:rsidR="00331E1A" w:rsidRDefault="00331E1A" w:rsidP="00EF54E0">
      <w:pPr>
        <w:rPr>
          <w:rFonts w:asciiTheme="majorBidi" w:hAnsiTheme="majorBidi" w:cstheme="majorBidi"/>
          <w:sz w:val="24"/>
          <w:szCs w:val="24"/>
        </w:rPr>
      </w:pPr>
    </w:p>
    <w:p w14:paraId="08B0A455" w14:textId="77777777" w:rsidR="00331E1A" w:rsidRPr="00EF54E0" w:rsidRDefault="00331E1A" w:rsidP="00EF54E0">
      <w:pPr>
        <w:rPr>
          <w:rFonts w:asciiTheme="majorBidi" w:hAnsiTheme="majorBidi" w:cstheme="majorBidi"/>
          <w:sz w:val="24"/>
          <w:szCs w:val="24"/>
        </w:rPr>
      </w:pPr>
    </w:p>
    <w:p w14:paraId="2FB90807" w14:textId="03673C82" w:rsidR="00EF54E0" w:rsidRPr="00346B12" w:rsidRDefault="00EF54E0" w:rsidP="00EF54E0">
      <w:pPr>
        <w:keepLines/>
        <w:spacing w:line="276" w:lineRule="auto"/>
        <w:rPr>
          <w:rFonts w:asciiTheme="majorBidi" w:hAnsiTheme="majorBidi" w:cstheme="majorBidi"/>
          <w:b/>
          <w:bCs/>
        </w:rPr>
      </w:pPr>
      <w:r w:rsidRPr="00346B12">
        <w:rPr>
          <w:rFonts w:asciiTheme="majorBidi" w:hAnsiTheme="majorBidi" w:cstheme="majorBidi"/>
          <w:b/>
          <w:bCs/>
        </w:rPr>
        <w:lastRenderedPageBreak/>
        <w:t>Current risk management system(s), models and framework(s) implemented</w:t>
      </w:r>
    </w:p>
    <w:p w14:paraId="623D91A0" w14:textId="20F00231" w:rsidR="00346B12" w:rsidRPr="00EF54E0" w:rsidRDefault="00346B12" w:rsidP="003F37E5">
      <w:pPr>
        <w:keepLines/>
        <w:spacing w:line="360" w:lineRule="auto"/>
        <w:jc w:val="both"/>
        <w:rPr>
          <w:rFonts w:asciiTheme="majorBidi" w:hAnsiTheme="majorBidi" w:cstheme="majorBidi"/>
          <w:sz w:val="24"/>
          <w:szCs w:val="24"/>
        </w:rPr>
      </w:pPr>
      <w:bookmarkStart w:id="1" w:name="OLE_LINK2"/>
      <w:r w:rsidRPr="00EF54E0">
        <w:rPr>
          <w:rFonts w:asciiTheme="majorBidi" w:hAnsiTheme="majorBidi" w:cstheme="majorBidi"/>
          <w:sz w:val="24"/>
          <w:szCs w:val="24"/>
        </w:rPr>
        <w:t xml:space="preserve">Figure </w:t>
      </w:r>
      <w:r>
        <w:rPr>
          <w:rFonts w:asciiTheme="majorBidi" w:hAnsiTheme="majorBidi" w:cstheme="majorBidi"/>
          <w:sz w:val="24"/>
          <w:szCs w:val="24"/>
        </w:rPr>
        <w:t>4</w:t>
      </w:r>
      <w:r w:rsidRPr="00EF54E0">
        <w:rPr>
          <w:rFonts w:asciiTheme="majorBidi" w:hAnsiTheme="majorBidi" w:cstheme="majorBidi"/>
          <w:sz w:val="24"/>
          <w:szCs w:val="24"/>
        </w:rPr>
        <w:t xml:space="preserve"> shows the results of </w:t>
      </w:r>
      <w:r>
        <w:rPr>
          <w:rFonts w:asciiTheme="majorBidi" w:hAnsiTheme="majorBidi" w:cstheme="majorBidi"/>
          <w:sz w:val="24"/>
          <w:szCs w:val="24"/>
        </w:rPr>
        <w:t>awareness of current risk management system and models and frameworks implemented</w:t>
      </w:r>
      <w:r w:rsidRPr="00EF54E0">
        <w:rPr>
          <w:rFonts w:asciiTheme="majorBidi" w:hAnsiTheme="majorBidi" w:cstheme="majorBidi"/>
          <w:sz w:val="24"/>
          <w:szCs w:val="24"/>
        </w:rPr>
        <w:t xml:space="preserve">. </w:t>
      </w:r>
      <w:r w:rsidR="003F37E5">
        <w:rPr>
          <w:rFonts w:asciiTheme="majorBidi" w:hAnsiTheme="majorBidi" w:cstheme="majorBidi"/>
          <w:sz w:val="24"/>
          <w:szCs w:val="24"/>
        </w:rPr>
        <w:t>The</w:t>
      </w:r>
      <w:r w:rsidRPr="00EF54E0">
        <w:rPr>
          <w:rFonts w:asciiTheme="majorBidi" w:hAnsiTheme="majorBidi" w:cstheme="majorBidi"/>
          <w:sz w:val="24"/>
          <w:szCs w:val="24"/>
        </w:rPr>
        <w:t xml:space="preserve"> components have scored 3.91, 3.77, 3.71, 3.43 and 3.82 for questions eight to twelve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which means that the banks have an ERM in place, but the scores showed a lack of utilization and integration with banks processes. It </w:t>
      </w:r>
      <w:proofErr w:type="gramStart"/>
      <w:r w:rsidRPr="00EF54E0">
        <w:rPr>
          <w:rFonts w:asciiTheme="majorBidi" w:hAnsiTheme="majorBidi" w:cstheme="majorBidi"/>
          <w:sz w:val="24"/>
          <w:szCs w:val="24"/>
        </w:rPr>
        <w:t>is recommended</w:t>
      </w:r>
      <w:proofErr w:type="gramEnd"/>
      <w:r w:rsidRPr="00EF54E0">
        <w:rPr>
          <w:rFonts w:asciiTheme="majorBidi" w:hAnsiTheme="majorBidi" w:cstheme="majorBidi"/>
          <w:sz w:val="24"/>
          <w:szCs w:val="24"/>
        </w:rPr>
        <w:t xml:space="preserve"> to review the ERM modules and enhance it to be aligned with standard requirements. </w:t>
      </w:r>
      <w:bookmarkEnd w:id="1"/>
    </w:p>
    <w:p w14:paraId="05B5AE3E" w14:textId="77777777" w:rsidR="00EF54E0" w:rsidRPr="00EF54E0" w:rsidRDefault="00EF54E0" w:rsidP="00EF54E0">
      <w:pPr>
        <w:keepLines/>
        <w:rPr>
          <w:rFonts w:asciiTheme="majorBidi" w:eastAsia="Arial Unicode MS" w:hAnsiTheme="majorBidi" w:cstheme="majorBidi"/>
          <w:color w:val="000000"/>
          <w:sz w:val="24"/>
          <w:szCs w:val="24"/>
          <w:u w:color="000000"/>
          <w:bdr w:val="nil"/>
        </w:rPr>
      </w:pPr>
      <w:r w:rsidRPr="00EF54E0">
        <w:rPr>
          <w:rFonts w:asciiTheme="majorBidi" w:hAnsiTheme="majorBidi" w:cstheme="majorBidi"/>
          <w:noProof/>
          <w:sz w:val="24"/>
          <w:szCs w:val="24"/>
        </w:rPr>
        <w:drawing>
          <wp:inline distT="0" distB="0" distL="0" distR="0" wp14:anchorId="49630064" wp14:editId="1F4F11B6">
            <wp:extent cx="5584190" cy="2375065"/>
            <wp:effectExtent l="0" t="0" r="16510"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596D16" w14:textId="77777777" w:rsidR="00346B12" w:rsidRPr="00346B12" w:rsidRDefault="00EF54E0" w:rsidP="00346B12">
      <w:pPr>
        <w:keepLines/>
        <w:spacing w:line="276" w:lineRule="auto"/>
        <w:rPr>
          <w:rFonts w:asciiTheme="majorBidi" w:hAnsiTheme="majorBidi" w:cstheme="majorBidi"/>
          <w:b/>
          <w:bCs/>
        </w:rPr>
      </w:pPr>
      <w:r w:rsidRPr="00346B12">
        <w:rPr>
          <w:rFonts w:asciiTheme="majorBidi" w:hAnsiTheme="majorBidi" w:cstheme="majorBidi"/>
          <w:b/>
          <w:bCs/>
          <w:i/>
          <w:iCs/>
          <w:sz w:val="24"/>
          <w:szCs w:val="24"/>
        </w:rPr>
        <w:t xml:space="preserve">Figure </w:t>
      </w:r>
      <w:r w:rsidRPr="00346B12">
        <w:rPr>
          <w:rFonts w:asciiTheme="majorBidi" w:hAnsiTheme="majorBidi" w:cstheme="majorBidi"/>
          <w:b/>
          <w:bCs/>
          <w:i/>
          <w:iCs/>
          <w:sz w:val="24"/>
          <w:szCs w:val="24"/>
        </w:rPr>
        <w:fldChar w:fldCharType="begin"/>
      </w:r>
      <w:r w:rsidRPr="00346B12">
        <w:rPr>
          <w:rFonts w:asciiTheme="majorBidi" w:hAnsiTheme="majorBidi" w:cstheme="majorBidi"/>
          <w:b/>
          <w:bCs/>
          <w:i/>
          <w:iCs/>
          <w:sz w:val="24"/>
          <w:szCs w:val="24"/>
        </w:rPr>
        <w:instrText xml:space="preserve"> STYLEREF 1 \s </w:instrText>
      </w:r>
      <w:r w:rsidRPr="00346B12">
        <w:rPr>
          <w:rFonts w:asciiTheme="majorBidi" w:hAnsiTheme="majorBidi" w:cstheme="majorBidi"/>
          <w:b/>
          <w:bCs/>
          <w:i/>
          <w:iCs/>
          <w:sz w:val="24"/>
          <w:szCs w:val="24"/>
        </w:rPr>
        <w:fldChar w:fldCharType="separate"/>
      </w:r>
      <w:r w:rsidRPr="00346B12">
        <w:rPr>
          <w:rFonts w:asciiTheme="majorBidi" w:hAnsiTheme="majorBidi" w:cstheme="majorBidi"/>
          <w:b/>
          <w:bCs/>
          <w:i/>
          <w:iCs/>
          <w:noProof/>
          <w:sz w:val="24"/>
          <w:szCs w:val="24"/>
          <w:cs/>
        </w:rPr>
        <w:t>‎</w:t>
      </w:r>
      <w:r w:rsidR="00346B12" w:rsidRPr="00346B12">
        <w:rPr>
          <w:rFonts w:asciiTheme="majorBidi" w:hAnsiTheme="majorBidi" w:cstheme="majorBidi" w:hint="cs"/>
          <w:b/>
          <w:bCs/>
          <w:i/>
          <w:iCs/>
          <w:noProof/>
          <w:sz w:val="24"/>
          <w:szCs w:val="24"/>
          <w:rtl/>
          <w:cs/>
        </w:rPr>
        <w:t>4</w:t>
      </w:r>
      <w:r w:rsidRPr="00346B12">
        <w:rPr>
          <w:rFonts w:asciiTheme="majorBidi" w:hAnsiTheme="majorBidi" w:cstheme="majorBidi"/>
          <w:b/>
          <w:bCs/>
          <w:i/>
          <w:iCs/>
          <w:noProof/>
          <w:sz w:val="24"/>
          <w:szCs w:val="24"/>
        </w:rPr>
        <w:fldChar w:fldCharType="end"/>
      </w:r>
      <w:r w:rsidRPr="00346B12">
        <w:rPr>
          <w:rFonts w:asciiTheme="majorBidi" w:hAnsiTheme="majorBidi" w:cstheme="majorBidi"/>
          <w:b/>
          <w:bCs/>
          <w:i/>
          <w:iCs/>
          <w:sz w:val="24"/>
          <w:szCs w:val="24"/>
        </w:rPr>
        <w:t xml:space="preserve"> </w:t>
      </w:r>
      <w:r w:rsidR="00346B12" w:rsidRPr="00346B12">
        <w:rPr>
          <w:rFonts w:asciiTheme="majorBidi" w:hAnsiTheme="majorBidi" w:cstheme="majorBidi"/>
          <w:b/>
          <w:bCs/>
        </w:rPr>
        <w:t>Current risk management system(s), models and framework(s) implemented</w:t>
      </w:r>
    </w:p>
    <w:p w14:paraId="0CD2EA7F" w14:textId="7114BBD0" w:rsidR="00EF54E0" w:rsidRPr="00346B12" w:rsidRDefault="00346B12" w:rsidP="00EF54E0">
      <w:pPr>
        <w:keepLines/>
        <w:spacing w:line="276" w:lineRule="auto"/>
        <w:rPr>
          <w:rFonts w:asciiTheme="majorBidi" w:hAnsiTheme="majorBidi" w:cstheme="majorBidi"/>
          <w:b/>
          <w:bCs/>
          <w:sz w:val="26"/>
          <w:szCs w:val="26"/>
        </w:rPr>
      </w:pPr>
      <w:r>
        <w:rPr>
          <w:rFonts w:asciiTheme="majorBidi" w:hAnsiTheme="majorBidi" w:cstheme="majorBidi"/>
          <w:b/>
          <w:bCs/>
          <w:sz w:val="26"/>
          <w:szCs w:val="26"/>
        </w:rPr>
        <w:t xml:space="preserve">Awareness of </w:t>
      </w:r>
      <w:r w:rsidR="00EF54E0" w:rsidRPr="00346B12">
        <w:rPr>
          <w:rFonts w:asciiTheme="majorBidi" w:hAnsiTheme="majorBidi" w:cstheme="majorBidi"/>
          <w:b/>
          <w:bCs/>
          <w:sz w:val="26"/>
          <w:szCs w:val="26"/>
        </w:rPr>
        <w:t>Managing NFR</w:t>
      </w:r>
    </w:p>
    <w:p w14:paraId="209534ED" w14:textId="6F1990A8" w:rsidR="00346B12" w:rsidRPr="00EF54E0" w:rsidRDefault="00346B12" w:rsidP="003F37E5">
      <w:pPr>
        <w:keepLines/>
        <w:spacing w:line="400" w:lineRule="atLeast"/>
        <w:jc w:val="both"/>
        <w:rPr>
          <w:rFonts w:asciiTheme="majorBidi" w:hAnsiTheme="majorBidi" w:cstheme="majorBidi"/>
          <w:sz w:val="24"/>
          <w:szCs w:val="24"/>
        </w:rPr>
      </w:pPr>
      <w:r w:rsidRPr="00EF54E0">
        <w:rPr>
          <w:rFonts w:asciiTheme="majorBidi" w:hAnsiTheme="majorBidi" w:cstheme="majorBidi"/>
          <w:sz w:val="24"/>
          <w:szCs w:val="24"/>
        </w:rPr>
        <w:t>Figure</w:t>
      </w:r>
      <w:r w:rsidR="0053733E">
        <w:rPr>
          <w:rFonts w:asciiTheme="majorBidi" w:hAnsiTheme="majorBidi" w:cstheme="majorBidi"/>
          <w:sz w:val="24"/>
          <w:szCs w:val="24"/>
        </w:rPr>
        <w:t xml:space="preserve"> 5</w:t>
      </w:r>
      <w:r w:rsidRPr="00EF54E0">
        <w:rPr>
          <w:rFonts w:asciiTheme="majorBidi" w:hAnsiTheme="majorBidi" w:cstheme="majorBidi"/>
          <w:sz w:val="24"/>
          <w:szCs w:val="24"/>
        </w:rPr>
        <w:t xml:space="preserve"> shows the results of </w:t>
      </w:r>
      <w:r w:rsidR="0053733E">
        <w:rPr>
          <w:rFonts w:asciiTheme="majorBidi" w:hAnsiTheme="majorBidi" w:cstheme="majorBidi"/>
          <w:sz w:val="24"/>
          <w:szCs w:val="24"/>
        </w:rPr>
        <w:t>awareness of managing NFR in Islamic banks</w:t>
      </w:r>
      <w:r w:rsidRPr="00EF54E0">
        <w:rPr>
          <w:rFonts w:asciiTheme="majorBidi" w:hAnsiTheme="majorBidi" w:cstheme="majorBidi"/>
          <w:sz w:val="24"/>
          <w:szCs w:val="24"/>
        </w:rPr>
        <w:t xml:space="preserve">. </w:t>
      </w:r>
      <w:r w:rsidR="003F37E5">
        <w:rPr>
          <w:rFonts w:asciiTheme="majorBidi" w:hAnsiTheme="majorBidi" w:cstheme="majorBidi"/>
          <w:sz w:val="24"/>
          <w:szCs w:val="24"/>
        </w:rPr>
        <w:t>The</w:t>
      </w:r>
      <w:r w:rsidRPr="00EF54E0">
        <w:rPr>
          <w:rFonts w:asciiTheme="majorBidi" w:hAnsiTheme="majorBidi" w:cstheme="majorBidi"/>
          <w:sz w:val="24"/>
          <w:szCs w:val="24"/>
        </w:rPr>
        <w:t xml:space="preserve"> components have scored 3.91, 3.78, 3.81, 3.79</w:t>
      </w:r>
      <w:proofErr w:type="gramStart"/>
      <w:r w:rsidRPr="00EF54E0">
        <w:rPr>
          <w:rFonts w:asciiTheme="majorBidi" w:hAnsiTheme="majorBidi" w:cstheme="majorBidi"/>
          <w:sz w:val="24"/>
          <w:szCs w:val="24"/>
        </w:rPr>
        <w:t>,  3.80</w:t>
      </w:r>
      <w:proofErr w:type="gramEnd"/>
      <w:r w:rsidRPr="00EF54E0">
        <w:rPr>
          <w:rFonts w:asciiTheme="majorBidi" w:hAnsiTheme="majorBidi" w:cstheme="majorBidi"/>
          <w:sz w:val="24"/>
          <w:szCs w:val="24"/>
        </w:rPr>
        <w:t xml:space="preserve">, 3.85 and 3.93 for questions 13 to 19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which means that the banks need to review their risk amendment processes and add few controls / components to be aligned with standards requirements.</w:t>
      </w:r>
    </w:p>
    <w:p w14:paraId="127ACE40" w14:textId="77777777" w:rsidR="00EF54E0" w:rsidRPr="00EF54E0" w:rsidRDefault="00EF54E0" w:rsidP="00EF54E0">
      <w:pPr>
        <w:pStyle w:val="ListParagraph"/>
        <w:keepLines/>
        <w:spacing w:line="276" w:lineRule="auto"/>
        <w:ind w:left="2520"/>
        <w:rPr>
          <w:rFonts w:asciiTheme="majorBidi" w:hAnsiTheme="majorBidi" w:cstheme="majorBidi"/>
        </w:rPr>
      </w:pPr>
    </w:p>
    <w:p w14:paraId="0C472500" w14:textId="77777777" w:rsidR="00EF54E0" w:rsidRPr="00EF54E0" w:rsidRDefault="00EF54E0" w:rsidP="00EF54E0">
      <w:pPr>
        <w:keepLines/>
        <w:spacing w:line="400" w:lineRule="atLeast"/>
        <w:ind w:left="142"/>
        <w:jc w:val="center"/>
        <w:rPr>
          <w:rFonts w:asciiTheme="majorBidi" w:hAnsiTheme="majorBidi" w:cstheme="majorBidi"/>
          <w:sz w:val="24"/>
          <w:szCs w:val="24"/>
        </w:rPr>
      </w:pPr>
      <w:r w:rsidRPr="00EF54E0">
        <w:rPr>
          <w:rFonts w:asciiTheme="majorBidi" w:hAnsiTheme="majorBidi" w:cstheme="majorBidi"/>
          <w:noProof/>
          <w:sz w:val="24"/>
          <w:szCs w:val="24"/>
        </w:rPr>
        <w:lastRenderedPageBreak/>
        <w:drawing>
          <wp:inline distT="0" distB="0" distL="0" distR="0" wp14:anchorId="49D79681" wp14:editId="6EB59DB7">
            <wp:extent cx="5036185" cy="2701290"/>
            <wp:effectExtent l="0" t="0" r="1841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4A24AF" w14:textId="288B7C42" w:rsidR="00EF54E0" w:rsidRPr="0053733E" w:rsidRDefault="00EF54E0" w:rsidP="0053733E">
      <w:pPr>
        <w:pStyle w:val="Caption"/>
        <w:keepLines/>
        <w:rPr>
          <w:rFonts w:asciiTheme="majorBidi" w:hAnsiTheme="majorBidi" w:cstheme="majorBidi"/>
          <w:i w:val="0"/>
          <w:iCs w:val="0"/>
          <w:color w:val="auto"/>
          <w:sz w:val="24"/>
          <w:szCs w:val="24"/>
        </w:rPr>
      </w:pPr>
      <w:r w:rsidRPr="0053733E">
        <w:rPr>
          <w:rFonts w:asciiTheme="majorBidi" w:hAnsiTheme="majorBidi" w:cstheme="majorBidi"/>
          <w:i w:val="0"/>
          <w:iCs w:val="0"/>
          <w:color w:val="auto"/>
          <w:sz w:val="24"/>
          <w:szCs w:val="24"/>
        </w:rPr>
        <w:t xml:space="preserve">Figure </w:t>
      </w:r>
      <w:proofErr w:type="gramStart"/>
      <w:r w:rsidR="0053733E">
        <w:rPr>
          <w:rFonts w:asciiTheme="majorBidi" w:hAnsiTheme="majorBidi" w:cstheme="majorBidi"/>
          <w:i w:val="0"/>
          <w:iCs w:val="0"/>
          <w:color w:val="auto"/>
          <w:sz w:val="24"/>
          <w:szCs w:val="24"/>
        </w:rPr>
        <w:t>5</w:t>
      </w:r>
      <w:proofErr w:type="gramEnd"/>
      <w:r w:rsidRPr="0053733E">
        <w:rPr>
          <w:rFonts w:asciiTheme="majorBidi" w:hAnsiTheme="majorBidi" w:cstheme="majorBidi"/>
          <w:i w:val="0"/>
          <w:iCs w:val="0"/>
          <w:color w:val="auto"/>
          <w:sz w:val="24"/>
          <w:szCs w:val="24"/>
        </w:rPr>
        <w:t xml:space="preserve"> </w:t>
      </w:r>
      <w:r w:rsidR="0053733E">
        <w:rPr>
          <w:rFonts w:asciiTheme="majorBidi" w:hAnsiTheme="majorBidi" w:cstheme="majorBidi"/>
          <w:i w:val="0"/>
          <w:iCs w:val="0"/>
          <w:color w:val="auto"/>
          <w:sz w:val="24"/>
          <w:szCs w:val="24"/>
        </w:rPr>
        <w:t xml:space="preserve">Awareness of managing NFR in Islamic Banks </w:t>
      </w:r>
    </w:p>
    <w:p w14:paraId="22A0D096" w14:textId="73D0E9D3" w:rsidR="00EF54E0" w:rsidRPr="00EF54E0" w:rsidRDefault="00EF54E0" w:rsidP="00EF54E0">
      <w:pPr>
        <w:rPr>
          <w:rFonts w:asciiTheme="majorBidi" w:hAnsiTheme="majorBidi" w:cstheme="majorBidi"/>
          <w:sz w:val="24"/>
          <w:szCs w:val="24"/>
        </w:rPr>
      </w:pPr>
    </w:p>
    <w:p w14:paraId="0E6EBEDF" w14:textId="6D19388F" w:rsidR="00EF54E0" w:rsidRPr="0053733E" w:rsidRDefault="0053733E" w:rsidP="0053733E">
      <w:pPr>
        <w:keepLines/>
        <w:spacing w:line="276" w:lineRule="auto"/>
        <w:rPr>
          <w:rFonts w:asciiTheme="majorBidi" w:hAnsiTheme="majorBidi" w:cstheme="majorBidi"/>
          <w:b/>
          <w:bCs/>
          <w:sz w:val="26"/>
          <w:szCs w:val="26"/>
        </w:rPr>
      </w:pPr>
      <w:r>
        <w:rPr>
          <w:rFonts w:asciiTheme="majorBidi" w:hAnsiTheme="majorBidi" w:cstheme="majorBidi"/>
          <w:b/>
          <w:bCs/>
          <w:sz w:val="26"/>
          <w:szCs w:val="26"/>
        </w:rPr>
        <w:t>Awareness of t</w:t>
      </w:r>
      <w:r w:rsidR="00EF54E0" w:rsidRPr="0053733E">
        <w:rPr>
          <w:rFonts w:asciiTheme="majorBidi" w:hAnsiTheme="majorBidi" w:cstheme="majorBidi"/>
          <w:b/>
          <w:bCs/>
          <w:sz w:val="26"/>
          <w:szCs w:val="26"/>
        </w:rPr>
        <w:t>he available operational controls and mitigation plans (risk response)</w:t>
      </w:r>
    </w:p>
    <w:p w14:paraId="1D7ED027" w14:textId="468571C4" w:rsidR="0053733E" w:rsidRPr="00EF54E0" w:rsidRDefault="0053733E" w:rsidP="003F37E5">
      <w:pPr>
        <w:keepLines/>
        <w:spacing w:line="400" w:lineRule="atLeast"/>
        <w:jc w:val="both"/>
        <w:rPr>
          <w:rFonts w:asciiTheme="majorBidi" w:hAnsiTheme="majorBidi" w:cstheme="majorBidi"/>
          <w:sz w:val="24"/>
          <w:szCs w:val="24"/>
        </w:rPr>
      </w:pPr>
      <w:r w:rsidRPr="00EF54E0">
        <w:rPr>
          <w:rFonts w:asciiTheme="majorBidi" w:hAnsiTheme="majorBidi" w:cstheme="majorBidi"/>
          <w:sz w:val="24"/>
          <w:szCs w:val="24"/>
        </w:rPr>
        <w:t xml:space="preserve">Figure </w:t>
      </w:r>
      <w:r>
        <w:rPr>
          <w:rFonts w:asciiTheme="majorBidi" w:hAnsiTheme="majorBidi" w:cstheme="majorBidi"/>
          <w:sz w:val="24"/>
          <w:szCs w:val="24"/>
        </w:rPr>
        <w:t>6</w:t>
      </w:r>
      <w:r w:rsidRPr="00EF54E0">
        <w:rPr>
          <w:rFonts w:asciiTheme="majorBidi" w:hAnsiTheme="majorBidi" w:cstheme="majorBidi"/>
          <w:sz w:val="24"/>
          <w:szCs w:val="24"/>
        </w:rPr>
        <w:t xml:space="preserve"> shows the results of </w:t>
      </w:r>
      <w:r>
        <w:rPr>
          <w:rFonts w:asciiTheme="majorBidi" w:hAnsiTheme="majorBidi" w:cstheme="majorBidi"/>
          <w:sz w:val="24"/>
          <w:szCs w:val="24"/>
        </w:rPr>
        <w:t xml:space="preserve">awareness of the available operational controls and mitigation plans in Islamic banks. </w:t>
      </w:r>
      <w:r w:rsidR="003F37E5">
        <w:rPr>
          <w:rFonts w:asciiTheme="majorBidi" w:hAnsiTheme="majorBidi" w:cstheme="majorBidi"/>
          <w:sz w:val="24"/>
          <w:szCs w:val="24"/>
        </w:rPr>
        <w:t>The</w:t>
      </w:r>
      <w:r w:rsidRPr="00EF54E0">
        <w:rPr>
          <w:rFonts w:asciiTheme="majorBidi" w:hAnsiTheme="majorBidi" w:cstheme="majorBidi"/>
          <w:sz w:val="24"/>
          <w:szCs w:val="24"/>
        </w:rPr>
        <w:t xml:space="preserve"> components have scored 3.87, 3.94, 3.82, 3.91 and 3.84 for questions 20 to 24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which means that the banks need to they need to review and enhance risk treatment process and to develop prioritization matrices.</w:t>
      </w:r>
    </w:p>
    <w:p w14:paraId="499D2337" w14:textId="77777777" w:rsidR="00EF54E0" w:rsidRPr="00EF54E0" w:rsidRDefault="00EF54E0" w:rsidP="00EF54E0">
      <w:pPr>
        <w:keepLines/>
        <w:spacing w:line="400" w:lineRule="atLeast"/>
        <w:ind w:left="1440"/>
        <w:rPr>
          <w:rFonts w:asciiTheme="majorBidi" w:hAnsiTheme="majorBidi" w:cstheme="majorBidi"/>
          <w:sz w:val="24"/>
          <w:szCs w:val="24"/>
        </w:rPr>
      </w:pPr>
    </w:p>
    <w:p w14:paraId="2C5CC348" w14:textId="77777777" w:rsidR="00EF54E0" w:rsidRPr="00EF54E0" w:rsidRDefault="00EF54E0" w:rsidP="00EF54E0">
      <w:pPr>
        <w:keepLines/>
        <w:jc w:val="center"/>
        <w:rPr>
          <w:rFonts w:asciiTheme="majorBidi" w:hAnsiTheme="majorBidi" w:cstheme="majorBidi"/>
          <w:sz w:val="24"/>
          <w:szCs w:val="24"/>
        </w:rPr>
      </w:pPr>
      <w:r w:rsidRPr="00EF54E0">
        <w:rPr>
          <w:rFonts w:asciiTheme="majorBidi" w:hAnsiTheme="majorBidi" w:cstheme="majorBidi"/>
          <w:noProof/>
          <w:sz w:val="24"/>
          <w:szCs w:val="24"/>
        </w:rPr>
        <w:drawing>
          <wp:inline distT="0" distB="0" distL="0" distR="0" wp14:anchorId="487060ED" wp14:editId="7D64E3AC">
            <wp:extent cx="5224780" cy="2410691"/>
            <wp:effectExtent l="0" t="0" r="13970"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BC73E0" w14:textId="3E3EE5E2" w:rsidR="00EF54E0" w:rsidRPr="0053733E" w:rsidRDefault="00EF54E0" w:rsidP="0053733E">
      <w:pPr>
        <w:pStyle w:val="Caption"/>
        <w:keepLines/>
        <w:rPr>
          <w:rFonts w:asciiTheme="majorBidi" w:hAnsiTheme="majorBidi" w:cstheme="majorBidi"/>
          <w:i w:val="0"/>
          <w:iCs w:val="0"/>
          <w:sz w:val="24"/>
          <w:szCs w:val="24"/>
        </w:rPr>
      </w:pPr>
      <w:r w:rsidRPr="0053733E">
        <w:rPr>
          <w:rFonts w:asciiTheme="majorBidi" w:hAnsiTheme="majorBidi" w:cstheme="majorBidi"/>
          <w:i w:val="0"/>
          <w:iCs w:val="0"/>
          <w:color w:val="auto"/>
          <w:sz w:val="24"/>
          <w:szCs w:val="24"/>
        </w:rPr>
        <w:t xml:space="preserve">Figure </w:t>
      </w:r>
      <w:proofErr w:type="gramStart"/>
      <w:r w:rsidR="0053733E" w:rsidRPr="0053733E">
        <w:rPr>
          <w:rFonts w:asciiTheme="majorBidi" w:hAnsiTheme="majorBidi" w:cstheme="majorBidi"/>
          <w:i w:val="0"/>
          <w:iCs w:val="0"/>
          <w:color w:val="auto"/>
          <w:sz w:val="24"/>
          <w:szCs w:val="24"/>
        </w:rPr>
        <w:t>6</w:t>
      </w:r>
      <w:proofErr w:type="gramEnd"/>
      <w:r w:rsidR="0053733E" w:rsidRPr="0053733E">
        <w:rPr>
          <w:rFonts w:asciiTheme="majorBidi" w:hAnsiTheme="majorBidi" w:cstheme="majorBidi"/>
          <w:i w:val="0"/>
          <w:iCs w:val="0"/>
          <w:color w:val="auto"/>
          <w:sz w:val="24"/>
          <w:szCs w:val="24"/>
        </w:rPr>
        <w:t xml:space="preserve"> The available operational controls and mitigation plans (risk response</w:t>
      </w:r>
    </w:p>
    <w:p w14:paraId="08BF168E" w14:textId="77777777" w:rsidR="00EF54E0" w:rsidRPr="00EF54E0" w:rsidRDefault="00EF54E0" w:rsidP="00EF54E0">
      <w:pPr>
        <w:keepLines/>
        <w:spacing w:line="400" w:lineRule="atLeast"/>
        <w:ind w:left="2880"/>
        <w:rPr>
          <w:rFonts w:asciiTheme="majorBidi" w:hAnsiTheme="majorBidi" w:cstheme="majorBidi"/>
          <w:sz w:val="24"/>
          <w:szCs w:val="24"/>
        </w:rPr>
      </w:pPr>
    </w:p>
    <w:p w14:paraId="2CD8932C" w14:textId="077F6E7A" w:rsidR="00EF54E0" w:rsidRPr="0053733E" w:rsidRDefault="0053733E" w:rsidP="00EF54E0">
      <w:pPr>
        <w:keepLines/>
        <w:spacing w:line="276" w:lineRule="auto"/>
        <w:rPr>
          <w:rFonts w:asciiTheme="majorBidi" w:hAnsiTheme="majorBidi" w:cstheme="majorBidi"/>
          <w:b/>
          <w:bCs/>
          <w:sz w:val="26"/>
          <w:szCs w:val="26"/>
        </w:rPr>
      </w:pPr>
      <w:r w:rsidRPr="0053733E">
        <w:rPr>
          <w:rFonts w:asciiTheme="majorBidi" w:hAnsiTheme="majorBidi" w:cstheme="majorBidi"/>
          <w:b/>
          <w:bCs/>
          <w:sz w:val="26"/>
          <w:szCs w:val="26"/>
        </w:rPr>
        <w:t xml:space="preserve">Awareness of </w:t>
      </w:r>
      <w:r w:rsidR="00EF54E0" w:rsidRPr="0053733E">
        <w:rPr>
          <w:rFonts w:asciiTheme="majorBidi" w:hAnsiTheme="majorBidi" w:cstheme="majorBidi"/>
          <w:b/>
          <w:bCs/>
          <w:sz w:val="26"/>
          <w:szCs w:val="26"/>
        </w:rPr>
        <w:t>reviewing NFR management controls and procedures.</w:t>
      </w:r>
    </w:p>
    <w:p w14:paraId="4749D3CB" w14:textId="7CFF0E17" w:rsidR="0053733E" w:rsidRPr="00EF54E0" w:rsidRDefault="0053733E" w:rsidP="003F37E5">
      <w:pPr>
        <w:keepLines/>
        <w:spacing w:line="400" w:lineRule="atLeast"/>
        <w:jc w:val="both"/>
        <w:rPr>
          <w:rFonts w:asciiTheme="majorBidi" w:hAnsiTheme="majorBidi" w:cstheme="majorBidi"/>
          <w:sz w:val="24"/>
          <w:szCs w:val="24"/>
        </w:rPr>
      </w:pPr>
      <w:r w:rsidRPr="00EF54E0">
        <w:rPr>
          <w:rFonts w:asciiTheme="majorBidi" w:hAnsiTheme="majorBidi" w:cstheme="majorBidi"/>
          <w:sz w:val="24"/>
          <w:szCs w:val="24"/>
        </w:rPr>
        <w:t xml:space="preserve">Figure </w:t>
      </w:r>
      <w:r w:rsidR="000D79EC">
        <w:rPr>
          <w:rFonts w:asciiTheme="majorBidi" w:hAnsiTheme="majorBidi" w:cstheme="majorBidi"/>
          <w:sz w:val="24"/>
          <w:szCs w:val="24"/>
        </w:rPr>
        <w:t>7</w:t>
      </w:r>
      <w:r w:rsidRPr="00EF54E0">
        <w:rPr>
          <w:rFonts w:asciiTheme="majorBidi" w:hAnsiTheme="majorBidi" w:cstheme="majorBidi"/>
          <w:sz w:val="24"/>
          <w:szCs w:val="24"/>
        </w:rPr>
        <w:t xml:space="preserve"> shows the results of </w:t>
      </w:r>
      <w:r w:rsidR="000D79EC">
        <w:rPr>
          <w:rFonts w:asciiTheme="majorBidi" w:hAnsiTheme="majorBidi" w:cstheme="majorBidi"/>
          <w:sz w:val="24"/>
          <w:szCs w:val="24"/>
        </w:rPr>
        <w:t>awareness of reviewing NFR management controls and procedures</w:t>
      </w:r>
      <w:r w:rsidRPr="00EF54E0">
        <w:rPr>
          <w:rFonts w:asciiTheme="majorBidi" w:hAnsiTheme="majorBidi" w:cstheme="majorBidi"/>
          <w:sz w:val="24"/>
          <w:szCs w:val="24"/>
        </w:rPr>
        <w:t xml:space="preserve">. </w:t>
      </w:r>
      <w:r w:rsidR="003F37E5">
        <w:rPr>
          <w:rFonts w:asciiTheme="majorBidi" w:hAnsiTheme="majorBidi" w:cstheme="majorBidi"/>
          <w:sz w:val="24"/>
          <w:szCs w:val="24"/>
        </w:rPr>
        <w:t>The</w:t>
      </w:r>
      <w:r w:rsidRPr="00EF54E0">
        <w:rPr>
          <w:rFonts w:asciiTheme="majorBidi" w:hAnsiTheme="majorBidi" w:cstheme="majorBidi"/>
          <w:sz w:val="24"/>
          <w:szCs w:val="24"/>
        </w:rPr>
        <w:t xml:space="preserve"> components have scored 3.94, 3.83 and 3.91 for questions 25 to 27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which means that needs to enhance the methods of risk performance monitoring and risk plans in addition to utilize the learnt lessons more effectively.</w:t>
      </w:r>
    </w:p>
    <w:p w14:paraId="0B92C3D9" w14:textId="77777777" w:rsidR="00EF54E0" w:rsidRPr="00EF54E0" w:rsidRDefault="00EF54E0" w:rsidP="00EF54E0">
      <w:pPr>
        <w:rPr>
          <w:rFonts w:asciiTheme="majorBidi" w:hAnsiTheme="majorBidi" w:cstheme="majorBidi"/>
          <w:sz w:val="24"/>
          <w:szCs w:val="24"/>
        </w:rPr>
      </w:pPr>
    </w:p>
    <w:p w14:paraId="18700C8A" w14:textId="77777777" w:rsidR="00EF54E0" w:rsidRPr="00EF54E0" w:rsidRDefault="00EF54E0" w:rsidP="00EF54E0">
      <w:pPr>
        <w:keepLines/>
        <w:jc w:val="center"/>
        <w:rPr>
          <w:rFonts w:asciiTheme="majorBidi" w:hAnsiTheme="majorBidi" w:cstheme="majorBidi"/>
          <w:sz w:val="24"/>
          <w:szCs w:val="24"/>
        </w:rPr>
      </w:pPr>
      <w:r w:rsidRPr="00EF54E0">
        <w:rPr>
          <w:rFonts w:asciiTheme="majorBidi" w:hAnsiTheme="majorBidi" w:cstheme="majorBidi"/>
          <w:noProof/>
          <w:sz w:val="24"/>
          <w:szCs w:val="24"/>
        </w:rPr>
        <w:drawing>
          <wp:inline distT="0" distB="0" distL="0" distR="0" wp14:anchorId="2369524E" wp14:editId="7BA6F920">
            <wp:extent cx="4744085" cy="2330412"/>
            <wp:effectExtent l="0" t="0" r="5715" b="698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9DC029" w14:textId="0C95E964" w:rsidR="00EF54E0" w:rsidRPr="0053733E" w:rsidRDefault="00EF54E0" w:rsidP="0053733E">
      <w:pPr>
        <w:pStyle w:val="Caption"/>
        <w:keepLines/>
        <w:rPr>
          <w:rFonts w:asciiTheme="majorBidi" w:hAnsiTheme="majorBidi" w:cstheme="majorBidi"/>
          <w:b/>
          <w:bCs/>
          <w:i w:val="0"/>
          <w:iCs w:val="0"/>
          <w:color w:val="auto"/>
          <w:sz w:val="24"/>
          <w:szCs w:val="24"/>
        </w:rPr>
      </w:pPr>
      <w:r w:rsidRPr="0053733E">
        <w:rPr>
          <w:rFonts w:asciiTheme="majorBidi" w:hAnsiTheme="majorBidi" w:cstheme="majorBidi"/>
          <w:b/>
          <w:bCs/>
          <w:i w:val="0"/>
          <w:iCs w:val="0"/>
          <w:color w:val="auto"/>
          <w:sz w:val="24"/>
          <w:szCs w:val="24"/>
        </w:rPr>
        <w:t>Figure</w:t>
      </w:r>
      <w:r w:rsidR="0053733E" w:rsidRPr="0053733E">
        <w:rPr>
          <w:rFonts w:asciiTheme="majorBidi" w:hAnsiTheme="majorBidi" w:cstheme="majorBidi"/>
          <w:b/>
          <w:bCs/>
          <w:i w:val="0"/>
          <w:iCs w:val="0"/>
          <w:color w:val="auto"/>
          <w:sz w:val="24"/>
          <w:szCs w:val="24"/>
        </w:rPr>
        <w:t xml:space="preserve"> </w:t>
      </w:r>
      <w:proofErr w:type="gramStart"/>
      <w:r w:rsidR="0053733E" w:rsidRPr="0053733E">
        <w:rPr>
          <w:rFonts w:asciiTheme="majorBidi" w:hAnsiTheme="majorBidi" w:cstheme="majorBidi"/>
          <w:b/>
          <w:bCs/>
          <w:i w:val="0"/>
          <w:iCs w:val="0"/>
          <w:color w:val="auto"/>
          <w:sz w:val="24"/>
          <w:szCs w:val="24"/>
        </w:rPr>
        <w:t>7</w:t>
      </w:r>
      <w:proofErr w:type="gramEnd"/>
      <w:r w:rsidR="0053733E" w:rsidRPr="0053733E">
        <w:rPr>
          <w:rFonts w:asciiTheme="majorBidi" w:hAnsiTheme="majorBidi" w:cstheme="majorBidi"/>
          <w:b/>
          <w:bCs/>
          <w:i w:val="0"/>
          <w:iCs w:val="0"/>
          <w:color w:val="auto"/>
          <w:sz w:val="24"/>
          <w:szCs w:val="24"/>
        </w:rPr>
        <w:t xml:space="preserve"> reviewing NFORs management controls and procedures</w:t>
      </w:r>
      <w:r w:rsidRPr="0053733E">
        <w:rPr>
          <w:rFonts w:asciiTheme="majorBidi" w:hAnsiTheme="majorBidi" w:cstheme="majorBidi"/>
          <w:b/>
          <w:bCs/>
          <w:i w:val="0"/>
          <w:iCs w:val="0"/>
          <w:color w:val="auto"/>
          <w:sz w:val="24"/>
          <w:szCs w:val="24"/>
        </w:rPr>
        <w:t xml:space="preserve"> </w:t>
      </w:r>
    </w:p>
    <w:p w14:paraId="3468A8A4" w14:textId="77777777" w:rsidR="00EF54E0" w:rsidRPr="00EF54E0" w:rsidRDefault="00EF54E0" w:rsidP="00EF54E0">
      <w:pPr>
        <w:rPr>
          <w:rFonts w:asciiTheme="majorBidi" w:hAnsiTheme="majorBidi" w:cstheme="majorBidi"/>
          <w:sz w:val="24"/>
          <w:szCs w:val="24"/>
        </w:rPr>
      </w:pPr>
      <w:r w:rsidRPr="00EF54E0">
        <w:rPr>
          <w:rFonts w:asciiTheme="majorBidi" w:hAnsiTheme="majorBidi" w:cstheme="majorBidi"/>
          <w:sz w:val="24"/>
          <w:szCs w:val="24"/>
        </w:rPr>
        <w:br w:type="page"/>
      </w:r>
    </w:p>
    <w:p w14:paraId="4842799A" w14:textId="278F331C" w:rsidR="00EF54E0" w:rsidRPr="000D79EC" w:rsidRDefault="000D79EC" w:rsidP="000D79EC">
      <w:pPr>
        <w:keepLines/>
        <w:spacing w:line="276" w:lineRule="auto"/>
        <w:rPr>
          <w:rFonts w:asciiTheme="majorBidi" w:hAnsiTheme="majorBidi" w:cstheme="majorBidi"/>
          <w:b/>
          <w:bCs/>
          <w:sz w:val="26"/>
          <w:szCs w:val="26"/>
        </w:rPr>
      </w:pPr>
      <w:r w:rsidRPr="000D79EC">
        <w:rPr>
          <w:rFonts w:asciiTheme="majorBidi" w:hAnsiTheme="majorBidi" w:cstheme="majorBidi"/>
          <w:b/>
          <w:bCs/>
          <w:sz w:val="26"/>
          <w:szCs w:val="26"/>
        </w:rPr>
        <w:lastRenderedPageBreak/>
        <w:t xml:space="preserve">Awareness of the </w:t>
      </w:r>
      <w:r w:rsidR="00EF54E0" w:rsidRPr="000D79EC">
        <w:rPr>
          <w:rFonts w:asciiTheme="majorBidi" w:hAnsiTheme="majorBidi" w:cstheme="majorBidi"/>
          <w:b/>
          <w:bCs/>
          <w:sz w:val="26"/>
          <w:szCs w:val="26"/>
        </w:rPr>
        <w:t>impact of using standardized model on managing NFR.</w:t>
      </w:r>
    </w:p>
    <w:p w14:paraId="4C2C4F6C" w14:textId="0BC89C36" w:rsidR="00FF71C2" w:rsidRPr="00EF54E0" w:rsidRDefault="00FF71C2" w:rsidP="00FF71C2">
      <w:pPr>
        <w:keepLines/>
        <w:spacing w:line="400" w:lineRule="atLeast"/>
        <w:jc w:val="both"/>
        <w:rPr>
          <w:rFonts w:asciiTheme="majorBidi" w:hAnsiTheme="majorBidi" w:cstheme="majorBidi"/>
          <w:sz w:val="24"/>
          <w:szCs w:val="24"/>
        </w:rPr>
      </w:pPr>
      <w:r w:rsidRPr="00EF54E0">
        <w:rPr>
          <w:rFonts w:asciiTheme="majorBidi" w:hAnsiTheme="majorBidi" w:cstheme="majorBidi"/>
          <w:sz w:val="24"/>
          <w:szCs w:val="24"/>
        </w:rPr>
        <w:t xml:space="preserve">Figure </w:t>
      </w:r>
      <w:r>
        <w:rPr>
          <w:rFonts w:asciiTheme="majorBidi" w:hAnsiTheme="majorBidi" w:cstheme="majorBidi"/>
          <w:sz w:val="24"/>
          <w:szCs w:val="24"/>
        </w:rPr>
        <w:t>8</w:t>
      </w:r>
      <w:r w:rsidRPr="00EF54E0">
        <w:rPr>
          <w:rFonts w:asciiTheme="majorBidi" w:hAnsiTheme="majorBidi" w:cstheme="majorBidi"/>
          <w:sz w:val="24"/>
          <w:szCs w:val="24"/>
        </w:rPr>
        <w:t xml:space="preserve"> shows the results of </w:t>
      </w:r>
      <w:r>
        <w:rPr>
          <w:rFonts w:asciiTheme="majorBidi" w:hAnsiTheme="majorBidi" w:cstheme="majorBidi"/>
          <w:sz w:val="24"/>
          <w:szCs w:val="24"/>
        </w:rPr>
        <w:t>a</w:t>
      </w:r>
      <w:r w:rsidRPr="00FF71C2">
        <w:rPr>
          <w:rFonts w:asciiTheme="majorBidi" w:hAnsiTheme="majorBidi" w:cstheme="majorBidi"/>
          <w:sz w:val="26"/>
          <w:szCs w:val="26"/>
        </w:rPr>
        <w:t>wareness of the impact of using standardized model on managing NFR</w:t>
      </w:r>
      <w:r>
        <w:rPr>
          <w:rFonts w:asciiTheme="majorBidi" w:hAnsiTheme="majorBidi" w:cstheme="majorBidi"/>
          <w:sz w:val="24"/>
          <w:szCs w:val="24"/>
        </w:rPr>
        <w:t>. The</w:t>
      </w:r>
      <w:r w:rsidRPr="00EF54E0">
        <w:rPr>
          <w:rFonts w:asciiTheme="majorBidi" w:hAnsiTheme="majorBidi" w:cstheme="majorBidi"/>
          <w:sz w:val="24"/>
          <w:szCs w:val="24"/>
        </w:rPr>
        <w:t xml:space="preserve"> components have scored 3.96 and 3.96 for questions 28 to 29 respectively. By subjecting the scores to </w:t>
      </w:r>
      <w:r>
        <w:rPr>
          <w:rFonts w:asciiTheme="majorBidi" w:hAnsiTheme="majorBidi" w:cstheme="majorBidi"/>
          <w:sz w:val="24"/>
          <w:szCs w:val="24"/>
        </w:rPr>
        <w:t>NFR</w:t>
      </w:r>
      <w:r w:rsidRPr="00EF54E0">
        <w:rPr>
          <w:rFonts w:asciiTheme="majorBidi" w:hAnsiTheme="majorBidi" w:cstheme="majorBidi"/>
          <w:sz w:val="24"/>
          <w:szCs w:val="24"/>
        </w:rPr>
        <w:t xml:space="preserve"> Readiness Scale, the banks are in mid-range of the scale (between three and four) but near grade four, which means that the banks need little to enhance the integration between the implemented standards.</w:t>
      </w:r>
    </w:p>
    <w:p w14:paraId="393FF13F" w14:textId="77777777" w:rsidR="00EF54E0" w:rsidRPr="00EF54E0" w:rsidRDefault="00EF54E0" w:rsidP="00EF54E0">
      <w:pPr>
        <w:keepLines/>
        <w:ind w:left="720"/>
        <w:rPr>
          <w:rFonts w:asciiTheme="majorBidi" w:eastAsia="Arial Unicode MS" w:hAnsiTheme="majorBidi" w:cstheme="majorBidi"/>
          <w:color w:val="000000"/>
          <w:sz w:val="24"/>
          <w:szCs w:val="24"/>
          <w:u w:color="000000"/>
          <w:bdr w:val="nil"/>
        </w:rPr>
      </w:pPr>
    </w:p>
    <w:p w14:paraId="6516D1BB" w14:textId="77777777" w:rsidR="00EF54E0" w:rsidRPr="00EF54E0" w:rsidRDefault="00EF54E0" w:rsidP="00EF54E0">
      <w:pPr>
        <w:keepLines/>
        <w:rPr>
          <w:rFonts w:asciiTheme="majorBidi" w:eastAsia="Arial Unicode MS" w:hAnsiTheme="majorBidi" w:cstheme="majorBidi"/>
          <w:color w:val="000000"/>
          <w:sz w:val="24"/>
          <w:szCs w:val="24"/>
          <w:u w:color="000000"/>
          <w:bdr w:val="nil"/>
        </w:rPr>
      </w:pPr>
    </w:p>
    <w:p w14:paraId="3778D697" w14:textId="77777777" w:rsidR="00EF54E0" w:rsidRPr="00EF54E0" w:rsidRDefault="00EF54E0" w:rsidP="00EF54E0">
      <w:pPr>
        <w:keepLines/>
        <w:rPr>
          <w:rFonts w:asciiTheme="majorBidi" w:eastAsia="Arial Unicode MS" w:hAnsiTheme="majorBidi" w:cstheme="majorBidi"/>
          <w:color w:val="000000"/>
          <w:sz w:val="24"/>
          <w:szCs w:val="24"/>
          <w:u w:color="000000"/>
          <w:bdr w:val="nil"/>
        </w:rPr>
      </w:pPr>
      <w:r w:rsidRPr="00EF54E0">
        <w:rPr>
          <w:rFonts w:asciiTheme="majorBidi" w:hAnsiTheme="majorBidi" w:cstheme="majorBidi"/>
          <w:noProof/>
          <w:sz w:val="24"/>
          <w:szCs w:val="24"/>
        </w:rPr>
        <w:drawing>
          <wp:inline distT="0" distB="0" distL="0" distR="0" wp14:anchorId="536D62C3" wp14:editId="546EB8C5">
            <wp:extent cx="5508034" cy="2214981"/>
            <wp:effectExtent l="0" t="0" r="3810" b="203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CD28A9" w14:textId="2EC3C858" w:rsidR="00EF54E0" w:rsidRPr="00FF71C2" w:rsidRDefault="00EF54E0" w:rsidP="00FF71C2">
      <w:pPr>
        <w:pStyle w:val="Caption"/>
        <w:keepLines/>
        <w:rPr>
          <w:rFonts w:asciiTheme="majorBidi" w:hAnsiTheme="majorBidi" w:cstheme="majorBidi"/>
          <w:b/>
          <w:bCs/>
          <w:i w:val="0"/>
          <w:iCs w:val="0"/>
          <w:color w:val="auto"/>
          <w:sz w:val="24"/>
          <w:szCs w:val="24"/>
        </w:rPr>
      </w:pPr>
      <w:r w:rsidRPr="00FF71C2">
        <w:rPr>
          <w:rFonts w:asciiTheme="majorBidi" w:hAnsiTheme="majorBidi" w:cstheme="majorBidi"/>
          <w:b/>
          <w:bCs/>
          <w:i w:val="0"/>
          <w:iCs w:val="0"/>
          <w:color w:val="auto"/>
          <w:sz w:val="24"/>
          <w:szCs w:val="24"/>
        </w:rPr>
        <w:t xml:space="preserve">Figure </w:t>
      </w:r>
      <w:proofErr w:type="gramStart"/>
      <w:r w:rsidR="00FF71C2" w:rsidRPr="00FF71C2">
        <w:rPr>
          <w:rFonts w:asciiTheme="majorBidi" w:hAnsiTheme="majorBidi" w:cstheme="majorBidi"/>
          <w:b/>
          <w:bCs/>
          <w:i w:val="0"/>
          <w:iCs w:val="0"/>
          <w:color w:val="auto"/>
          <w:sz w:val="24"/>
          <w:szCs w:val="24"/>
        </w:rPr>
        <w:t>8</w:t>
      </w:r>
      <w:proofErr w:type="gramEnd"/>
      <w:r w:rsidR="00FF71C2" w:rsidRPr="00FF71C2">
        <w:rPr>
          <w:rFonts w:asciiTheme="majorBidi" w:hAnsiTheme="majorBidi" w:cstheme="majorBidi"/>
          <w:b/>
          <w:bCs/>
          <w:i w:val="0"/>
          <w:iCs w:val="0"/>
          <w:color w:val="auto"/>
          <w:sz w:val="24"/>
          <w:szCs w:val="24"/>
        </w:rPr>
        <w:t xml:space="preserve"> </w:t>
      </w:r>
      <w:r w:rsidR="00FF71C2" w:rsidRPr="00FF71C2">
        <w:rPr>
          <w:rFonts w:asciiTheme="majorBidi" w:hAnsiTheme="majorBidi" w:cstheme="majorBidi"/>
          <w:b/>
          <w:bCs/>
          <w:i w:val="0"/>
          <w:iCs w:val="0"/>
          <w:color w:val="auto"/>
          <w:sz w:val="26"/>
          <w:szCs w:val="26"/>
        </w:rPr>
        <w:t>Awareness of the impact of using standardized model on managing NFR</w:t>
      </w:r>
      <w:r w:rsidRPr="00FF71C2">
        <w:rPr>
          <w:rFonts w:asciiTheme="majorBidi" w:hAnsiTheme="majorBidi" w:cstheme="majorBidi"/>
          <w:b/>
          <w:bCs/>
          <w:i w:val="0"/>
          <w:iCs w:val="0"/>
          <w:color w:val="auto"/>
          <w:sz w:val="24"/>
          <w:szCs w:val="24"/>
        </w:rPr>
        <w:t xml:space="preserve"> </w:t>
      </w:r>
    </w:p>
    <w:p w14:paraId="0AC2F609" w14:textId="77777777" w:rsidR="00EF54E0" w:rsidRPr="00EF54E0" w:rsidRDefault="00EF54E0" w:rsidP="00EF54E0">
      <w:pPr>
        <w:rPr>
          <w:rFonts w:asciiTheme="majorBidi" w:hAnsiTheme="majorBidi" w:cstheme="majorBidi"/>
          <w:sz w:val="24"/>
          <w:szCs w:val="24"/>
        </w:rPr>
      </w:pPr>
      <w:r w:rsidRPr="00EF54E0">
        <w:rPr>
          <w:rFonts w:asciiTheme="majorBidi" w:hAnsiTheme="majorBidi" w:cstheme="majorBidi"/>
          <w:sz w:val="24"/>
          <w:szCs w:val="24"/>
        </w:rPr>
        <w:br w:type="page"/>
      </w:r>
    </w:p>
    <w:p w14:paraId="74655BAF" w14:textId="17EFB47F" w:rsidR="00EF54E0" w:rsidRPr="00FF71C2" w:rsidRDefault="00FF71C2" w:rsidP="00FF71C2">
      <w:pPr>
        <w:keepLines/>
        <w:spacing w:line="276" w:lineRule="auto"/>
        <w:rPr>
          <w:rFonts w:asciiTheme="majorBidi" w:hAnsiTheme="majorBidi" w:cstheme="majorBidi"/>
          <w:b/>
          <w:bCs/>
          <w:sz w:val="26"/>
          <w:szCs w:val="26"/>
        </w:rPr>
      </w:pPr>
      <w:r w:rsidRPr="00FF71C2">
        <w:rPr>
          <w:rFonts w:asciiTheme="majorBidi" w:hAnsiTheme="majorBidi" w:cstheme="majorBidi"/>
          <w:b/>
          <w:bCs/>
          <w:sz w:val="26"/>
          <w:szCs w:val="26"/>
        </w:rPr>
        <w:lastRenderedPageBreak/>
        <w:t>Awareness of t</w:t>
      </w:r>
      <w:r w:rsidR="00EF54E0" w:rsidRPr="00FF71C2">
        <w:rPr>
          <w:rFonts w:asciiTheme="majorBidi" w:hAnsiTheme="majorBidi" w:cstheme="majorBidi"/>
          <w:b/>
          <w:bCs/>
          <w:sz w:val="26"/>
          <w:szCs w:val="26"/>
        </w:rPr>
        <w:t>raining and awareness of staff about NFR management system.</w:t>
      </w:r>
    </w:p>
    <w:p w14:paraId="31F48284" w14:textId="7A1D10B4" w:rsidR="00FF71C2" w:rsidRPr="00FF71C2" w:rsidRDefault="00FF71C2" w:rsidP="00FF71C2">
      <w:pPr>
        <w:keepLines/>
        <w:spacing w:line="400" w:lineRule="atLeast"/>
        <w:jc w:val="both"/>
        <w:rPr>
          <w:rFonts w:asciiTheme="majorBidi" w:hAnsiTheme="majorBidi" w:cstheme="majorBidi"/>
          <w:sz w:val="24"/>
          <w:szCs w:val="24"/>
        </w:rPr>
      </w:pPr>
      <w:r w:rsidRPr="00FF71C2">
        <w:rPr>
          <w:rFonts w:asciiTheme="majorBidi" w:hAnsiTheme="majorBidi" w:cstheme="majorBidi"/>
          <w:sz w:val="24"/>
          <w:szCs w:val="24"/>
        </w:rPr>
        <w:t xml:space="preserve">Figure 9 shows the results of awareness of training and awareness of staff about NFR management system. </w:t>
      </w:r>
      <w:r>
        <w:rPr>
          <w:rFonts w:asciiTheme="majorBidi" w:hAnsiTheme="majorBidi" w:cstheme="majorBidi"/>
          <w:sz w:val="24"/>
          <w:szCs w:val="24"/>
        </w:rPr>
        <w:t xml:space="preserve">The </w:t>
      </w:r>
      <w:r w:rsidRPr="00FF71C2">
        <w:rPr>
          <w:rFonts w:asciiTheme="majorBidi" w:hAnsiTheme="majorBidi" w:cstheme="majorBidi"/>
          <w:sz w:val="24"/>
          <w:szCs w:val="24"/>
        </w:rPr>
        <w:t>components have scored 3.87, 3.82, 3.78 and 3.94 for questions 30 to 33 respectively. By subjecting the scores to NFR Readiness Scale, the banks are in mid-range of the scale (between three and four), which means that the banks need to provide more special training on risk management, increase the effectiveness of the internal and external communication about the risks.</w:t>
      </w:r>
    </w:p>
    <w:p w14:paraId="786CBC39" w14:textId="77777777" w:rsidR="00FF71C2" w:rsidRPr="00EF54E0" w:rsidRDefault="00FF71C2" w:rsidP="00FF71C2">
      <w:pPr>
        <w:keepLines/>
        <w:spacing w:line="276" w:lineRule="auto"/>
        <w:rPr>
          <w:rFonts w:asciiTheme="majorBidi" w:hAnsiTheme="majorBidi" w:cstheme="majorBidi"/>
        </w:rPr>
      </w:pPr>
    </w:p>
    <w:p w14:paraId="30127085" w14:textId="77777777" w:rsidR="00EF54E0" w:rsidRPr="00EF54E0" w:rsidRDefault="00EF54E0" w:rsidP="00EF54E0">
      <w:pPr>
        <w:keepLines/>
        <w:jc w:val="center"/>
        <w:rPr>
          <w:rFonts w:asciiTheme="majorBidi" w:hAnsiTheme="majorBidi" w:cstheme="majorBidi"/>
          <w:sz w:val="24"/>
          <w:szCs w:val="24"/>
        </w:rPr>
      </w:pPr>
      <w:r w:rsidRPr="00EF54E0">
        <w:rPr>
          <w:rFonts w:asciiTheme="majorBidi" w:hAnsiTheme="majorBidi" w:cstheme="majorBidi"/>
          <w:noProof/>
          <w:sz w:val="24"/>
          <w:szCs w:val="24"/>
        </w:rPr>
        <w:drawing>
          <wp:inline distT="0" distB="0" distL="0" distR="0" wp14:anchorId="19B0515E" wp14:editId="13F7073E">
            <wp:extent cx="5584234" cy="2573724"/>
            <wp:effectExtent l="0" t="0" r="3810" b="171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737E39" w14:textId="039A66EF" w:rsidR="00EF54E0" w:rsidRPr="003F37E5" w:rsidRDefault="00EF54E0" w:rsidP="00FF71C2">
      <w:pPr>
        <w:pStyle w:val="Caption"/>
        <w:keepLines/>
        <w:rPr>
          <w:rFonts w:asciiTheme="majorBidi" w:hAnsiTheme="majorBidi" w:cstheme="majorBidi"/>
          <w:b/>
          <w:bCs/>
          <w:i w:val="0"/>
          <w:iCs w:val="0"/>
          <w:color w:val="auto"/>
          <w:sz w:val="24"/>
          <w:szCs w:val="24"/>
        </w:rPr>
      </w:pPr>
      <w:r w:rsidRPr="003F37E5">
        <w:rPr>
          <w:rFonts w:asciiTheme="majorBidi" w:hAnsiTheme="majorBidi" w:cstheme="majorBidi"/>
          <w:b/>
          <w:bCs/>
          <w:i w:val="0"/>
          <w:iCs w:val="0"/>
          <w:color w:val="auto"/>
          <w:sz w:val="24"/>
          <w:szCs w:val="24"/>
        </w:rPr>
        <w:t xml:space="preserve">Figure </w:t>
      </w:r>
      <w:proofErr w:type="gramStart"/>
      <w:r w:rsidR="00FF71C2" w:rsidRPr="003F37E5">
        <w:rPr>
          <w:rFonts w:asciiTheme="majorBidi" w:hAnsiTheme="majorBidi" w:cstheme="majorBidi"/>
          <w:b/>
          <w:bCs/>
          <w:i w:val="0"/>
          <w:iCs w:val="0"/>
          <w:color w:val="auto"/>
          <w:sz w:val="24"/>
          <w:szCs w:val="24"/>
        </w:rPr>
        <w:t>9</w:t>
      </w:r>
      <w:proofErr w:type="gramEnd"/>
      <w:r w:rsidR="00FF71C2" w:rsidRPr="003F37E5">
        <w:rPr>
          <w:rFonts w:asciiTheme="majorBidi" w:hAnsiTheme="majorBidi" w:cstheme="majorBidi"/>
          <w:b/>
          <w:bCs/>
          <w:i w:val="0"/>
          <w:iCs w:val="0"/>
          <w:color w:val="auto"/>
          <w:sz w:val="24"/>
          <w:szCs w:val="24"/>
        </w:rPr>
        <w:t xml:space="preserve"> Awareness of training and awareness of staff about NFR management system </w:t>
      </w:r>
      <w:r w:rsidRPr="003F37E5">
        <w:rPr>
          <w:rFonts w:asciiTheme="majorBidi" w:hAnsiTheme="majorBidi" w:cstheme="majorBidi"/>
          <w:b/>
          <w:bCs/>
          <w:i w:val="0"/>
          <w:iCs w:val="0"/>
          <w:color w:val="auto"/>
          <w:sz w:val="24"/>
          <w:szCs w:val="24"/>
        </w:rPr>
        <w:t xml:space="preserve"> </w:t>
      </w:r>
    </w:p>
    <w:p w14:paraId="3FBE3DBA" w14:textId="77777777" w:rsidR="00EF54E0" w:rsidRPr="00EF54E0" w:rsidRDefault="00EF54E0" w:rsidP="00EF54E0">
      <w:pPr>
        <w:keepLines/>
        <w:jc w:val="center"/>
        <w:rPr>
          <w:rFonts w:asciiTheme="majorBidi" w:hAnsiTheme="majorBidi" w:cstheme="majorBidi"/>
          <w:sz w:val="24"/>
          <w:szCs w:val="24"/>
        </w:rPr>
      </w:pPr>
    </w:p>
    <w:p w14:paraId="086B34CF" w14:textId="77777777" w:rsidR="00EF54E0" w:rsidRPr="00EF54E0" w:rsidRDefault="00EF54E0" w:rsidP="00EF54E0">
      <w:pPr>
        <w:keepLines/>
        <w:spacing w:line="400" w:lineRule="atLeast"/>
        <w:ind w:left="1440"/>
        <w:rPr>
          <w:rFonts w:asciiTheme="majorBidi" w:hAnsiTheme="majorBidi" w:cstheme="majorBidi"/>
          <w:sz w:val="24"/>
          <w:szCs w:val="24"/>
        </w:rPr>
      </w:pPr>
    </w:p>
    <w:p w14:paraId="13D5A43F" w14:textId="77777777" w:rsidR="00EF54E0" w:rsidRPr="00EF54E0" w:rsidRDefault="00EF54E0" w:rsidP="00EF54E0">
      <w:pPr>
        <w:keepLines/>
        <w:spacing w:line="400" w:lineRule="atLeast"/>
        <w:ind w:left="1440"/>
        <w:rPr>
          <w:rFonts w:asciiTheme="majorBidi" w:hAnsiTheme="majorBidi" w:cstheme="majorBidi"/>
          <w:sz w:val="24"/>
          <w:szCs w:val="24"/>
        </w:rPr>
      </w:pPr>
    </w:p>
    <w:p w14:paraId="6B57CBE6" w14:textId="77777777" w:rsidR="0070390C" w:rsidRPr="00EF54E0" w:rsidRDefault="0070390C" w:rsidP="002F4544">
      <w:pPr>
        <w:keepLines/>
        <w:spacing w:line="360" w:lineRule="auto"/>
        <w:jc w:val="both"/>
        <w:rPr>
          <w:rFonts w:asciiTheme="majorBidi" w:hAnsiTheme="majorBidi" w:cstheme="majorBidi"/>
          <w:sz w:val="24"/>
          <w:szCs w:val="24"/>
        </w:rPr>
      </w:pPr>
    </w:p>
    <w:p w14:paraId="22362886" w14:textId="77777777" w:rsidR="008537ED" w:rsidRPr="00EF54E0" w:rsidRDefault="008537ED">
      <w:pPr>
        <w:rPr>
          <w:rFonts w:asciiTheme="majorBidi" w:hAnsiTheme="majorBidi" w:cstheme="majorBidi"/>
          <w:color w:val="000000"/>
          <w:sz w:val="24"/>
          <w:szCs w:val="24"/>
          <w:shd w:val="clear" w:color="auto" w:fill="FFFFFF"/>
        </w:rPr>
      </w:pPr>
    </w:p>
    <w:p w14:paraId="12BD5ACC" w14:textId="77777777" w:rsidR="008537ED" w:rsidRPr="00EF54E0" w:rsidRDefault="008537ED">
      <w:pPr>
        <w:rPr>
          <w:rFonts w:asciiTheme="majorBidi" w:hAnsiTheme="majorBidi" w:cstheme="majorBidi"/>
          <w:color w:val="000000"/>
          <w:sz w:val="24"/>
          <w:szCs w:val="24"/>
          <w:shd w:val="clear" w:color="auto" w:fill="FFFFFF"/>
        </w:rPr>
      </w:pPr>
    </w:p>
    <w:p w14:paraId="2636941F" w14:textId="77777777" w:rsidR="00EF54E0" w:rsidRDefault="00EF54E0">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br w:type="page"/>
      </w:r>
    </w:p>
    <w:p w14:paraId="05510DD8" w14:textId="6C2D7035" w:rsidR="008537ED" w:rsidRPr="00EF54E0" w:rsidRDefault="008537ED">
      <w:pPr>
        <w:rPr>
          <w:rFonts w:asciiTheme="majorBidi" w:hAnsiTheme="majorBidi" w:cstheme="majorBidi"/>
          <w:b/>
          <w:bCs/>
          <w:color w:val="000000"/>
          <w:sz w:val="28"/>
          <w:szCs w:val="28"/>
          <w:shd w:val="clear" w:color="auto" w:fill="FFFFFF"/>
        </w:rPr>
      </w:pPr>
      <w:r w:rsidRPr="00EF54E0">
        <w:rPr>
          <w:rFonts w:asciiTheme="majorBidi" w:hAnsiTheme="majorBidi" w:cstheme="majorBidi"/>
          <w:b/>
          <w:bCs/>
          <w:color w:val="000000"/>
          <w:sz w:val="28"/>
          <w:szCs w:val="28"/>
          <w:shd w:val="clear" w:color="auto" w:fill="FFFFFF"/>
        </w:rPr>
        <w:lastRenderedPageBreak/>
        <w:t xml:space="preserve">Conclusions </w:t>
      </w:r>
    </w:p>
    <w:p w14:paraId="118CC0C2" w14:textId="4D344A49" w:rsidR="008537ED" w:rsidRDefault="00EF54E0" w:rsidP="00CA5A90">
      <w:pPr>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The objective of this research is to investigate the realization of non-financial risk in Islamic banks in Jordan. The quantitative </w:t>
      </w:r>
      <w:proofErr w:type="gramStart"/>
      <w:r>
        <w:rPr>
          <w:rFonts w:asciiTheme="majorBidi" w:hAnsiTheme="majorBidi" w:cstheme="majorBidi"/>
          <w:color w:val="000000"/>
          <w:sz w:val="24"/>
          <w:szCs w:val="24"/>
          <w:shd w:val="clear" w:color="auto" w:fill="FFFFFF"/>
        </w:rPr>
        <w:t>research using</w:t>
      </w:r>
      <w:proofErr w:type="gramEnd"/>
      <w:r>
        <w:rPr>
          <w:rFonts w:asciiTheme="majorBidi" w:hAnsiTheme="majorBidi" w:cstheme="majorBidi"/>
          <w:color w:val="000000"/>
          <w:sz w:val="24"/>
          <w:szCs w:val="24"/>
          <w:shd w:val="clear" w:color="auto" w:fill="FFFFFF"/>
        </w:rPr>
        <w:t xml:space="preserve"> questionnaire was used as a tool to collect data. The results showed that the banks realized the extent of non-financial risk. The results showed that the grade for the evaluation increased over </w:t>
      </w:r>
      <w:r w:rsidR="00CA5A90">
        <w:rPr>
          <w:rFonts w:asciiTheme="majorBidi" w:hAnsiTheme="majorBidi" w:cstheme="majorBidi"/>
          <w:color w:val="000000"/>
          <w:sz w:val="24"/>
          <w:szCs w:val="24"/>
          <w:shd w:val="clear" w:color="auto" w:fill="FFFFFF"/>
        </w:rPr>
        <w:t xml:space="preserve">three </w:t>
      </w:r>
      <w:r>
        <w:rPr>
          <w:rFonts w:asciiTheme="majorBidi" w:hAnsiTheme="majorBidi" w:cstheme="majorBidi"/>
          <w:color w:val="000000"/>
          <w:sz w:val="24"/>
          <w:szCs w:val="24"/>
          <w:shd w:val="clear" w:color="auto" w:fill="FFFFFF"/>
        </w:rPr>
        <w:t xml:space="preserve">indicating the positive attitudes of Islamic banks employees to </w:t>
      </w:r>
      <w:proofErr w:type="gramStart"/>
      <w:r>
        <w:rPr>
          <w:rFonts w:asciiTheme="majorBidi" w:hAnsiTheme="majorBidi" w:cstheme="majorBidi"/>
          <w:color w:val="000000"/>
          <w:sz w:val="24"/>
          <w:szCs w:val="24"/>
          <w:shd w:val="clear" w:color="auto" w:fill="FFFFFF"/>
        </w:rPr>
        <w:t>understand,</w:t>
      </w:r>
      <w:proofErr w:type="gramEnd"/>
      <w:r>
        <w:rPr>
          <w:rFonts w:asciiTheme="majorBidi" w:hAnsiTheme="majorBidi" w:cstheme="majorBidi"/>
          <w:color w:val="000000"/>
          <w:sz w:val="24"/>
          <w:szCs w:val="24"/>
          <w:shd w:val="clear" w:color="auto" w:fill="FFFFFF"/>
        </w:rPr>
        <w:t xml:space="preserve"> deal and manage NFR. </w:t>
      </w:r>
      <w:proofErr w:type="gramStart"/>
      <w:r>
        <w:rPr>
          <w:rFonts w:asciiTheme="majorBidi" w:hAnsiTheme="majorBidi" w:cstheme="majorBidi"/>
          <w:color w:val="000000"/>
          <w:sz w:val="24"/>
          <w:szCs w:val="24"/>
          <w:shd w:val="clear" w:color="auto" w:fill="FFFFFF"/>
        </w:rPr>
        <w:t xml:space="preserve">The positive attitudes </w:t>
      </w:r>
      <w:r w:rsidR="00C24999">
        <w:rPr>
          <w:rFonts w:asciiTheme="majorBidi" w:hAnsiTheme="majorBidi" w:cstheme="majorBidi"/>
          <w:color w:val="000000"/>
          <w:sz w:val="24"/>
          <w:szCs w:val="24"/>
          <w:shd w:val="clear" w:color="auto" w:fill="FFFFFF"/>
        </w:rPr>
        <w:t xml:space="preserve">were </w:t>
      </w:r>
      <w:r>
        <w:rPr>
          <w:rFonts w:asciiTheme="majorBidi" w:hAnsiTheme="majorBidi" w:cstheme="majorBidi"/>
          <w:color w:val="000000"/>
          <w:sz w:val="24"/>
          <w:szCs w:val="24"/>
          <w:shd w:val="clear" w:color="auto" w:fill="FFFFFF"/>
        </w:rPr>
        <w:t>for the realization of source of risk in the bank, the ability to classify the NFR in the bank, the management systems of risks, the overall management of NFR, the realization of operational control and mitigation plans of NFR, the reviewing of operational control plans of the bank, the impact of using standardized international models to manage NFR and the training and awareness of staff for NFR.</w:t>
      </w:r>
      <w:proofErr w:type="gramEnd"/>
    </w:p>
    <w:p w14:paraId="708D9D08" w14:textId="77777777" w:rsidR="00EF54E0" w:rsidRPr="00EF54E0" w:rsidRDefault="00EF54E0" w:rsidP="00EF54E0">
      <w:pPr>
        <w:jc w:val="both"/>
        <w:rPr>
          <w:rFonts w:asciiTheme="majorBidi" w:hAnsiTheme="majorBidi" w:cstheme="majorBidi"/>
          <w:color w:val="000000"/>
          <w:sz w:val="24"/>
          <w:szCs w:val="24"/>
          <w:shd w:val="clear" w:color="auto" w:fill="FFFFFF"/>
        </w:rPr>
      </w:pPr>
    </w:p>
    <w:p w14:paraId="5FCB892C" w14:textId="77777777" w:rsidR="008537ED" w:rsidRPr="00EF54E0" w:rsidRDefault="008537ED">
      <w:pPr>
        <w:rPr>
          <w:rFonts w:asciiTheme="majorBidi" w:hAnsiTheme="majorBidi" w:cstheme="majorBidi"/>
          <w:color w:val="000000"/>
          <w:sz w:val="24"/>
          <w:szCs w:val="24"/>
          <w:shd w:val="clear" w:color="auto" w:fill="FFFFFF"/>
        </w:rPr>
      </w:pPr>
    </w:p>
    <w:p w14:paraId="1E5A4DC1" w14:textId="77777777" w:rsidR="008537ED" w:rsidRPr="00EF54E0" w:rsidRDefault="008537ED">
      <w:pPr>
        <w:rPr>
          <w:rFonts w:asciiTheme="majorBidi" w:hAnsiTheme="majorBidi" w:cstheme="majorBidi"/>
          <w:color w:val="000000"/>
          <w:sz w:val="24"/>
          <w:szCs w:val="24"/>
          <w:shd w:val="clear" w:color="auto" w:fill="FFFFFF"/>
        </w:rPr>
      </w:pPr>
    </w:p>
    <w:p w14:paraId="7F1E6A1D" w14:textId="77777777" w:rsidR="00C24999" w:rsidRDefault="00C24999">
      <w:pPr>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br w:type="page"/>
      </w:r>
    </w:p>
    <w:p w14:paraId="0965A6C1" w14:textId="7E543266" w:rsidR="008537ED" w:rsidRPr="003E028F" w:rsidRDefault="008537ED">
      <w:pPr>
        <w:rPr>
          <w:rFonts w:asciiTheme="majorBidi" w:hAnsiTheme="majorBidi" w:cstheme="majorBidi"/>
          <w:b/>
          <w:bCs/>
          <w:color w:val="000000"/>
          <w:sz w:val="30"/>
          <w:szCs w:val="30"/>
          <w:shd w:val="clear" w:color="auto" w:fill="FFFFFF"/>
        </w:rPr>
      </w:pPr>
      <w:r w:rsidRPr="003E028F">
        <w:rPr>
          <w:rFonts w:asciiTheme="majorBidi" w:hAnsiTheme="majorBidi" w:cstheme="majorBidi"/>
          <w:b/>
          <w:bCs/>
          <w:color w:val="000000"/>
          <w:sz w:val="30"/>
          <w:szCs w:val="30"/>
          <w:shd w:val="clear" w:color="auto" w:fill="FFFFFF"/>
        </w:rPr>
        <w:lastRenderedPageBreak/>
        <w:t>References</w:t>
      </w:r>
    </w:p>
    <w:p w14:paraId="38F4CF18" w14:textId="77777777" w:rsidR="003E028F" w:rsidRPr="003E028F" w:rsidRDefault="003E028F" w:rsidP="003E028F">
      <w:pPr>
        <w:ind w:left="567" w:hanging="567"/>
        <w:jc w:val="both"/>
        <w:rPr>
          <w:rFonts w:asciiTheme="majorBidi" w:hAnsiTheme="majorBidi" w:cstheme="majorBidi"/>
          <w:sz w:val="24"/>
          <w:szCs w:val="24"/>
        </w:rPr>
      </w:pPr>
      <w:r w:rsidRPr="003E028F">
        <w:rPr>
          <w:rFonts w:asciiTheme="majorBidi" w:hAnsiTheme="majorBidi" w:cstheme="majorBidi"/>
          <w:sz w:val="24"/>
          <w:szCs w:val="24"/>
        </w:rPr>
        <w:t xml:space="preserve">Abdul-Rahman A.; </w:t>
      </w:r>
      <w:proofErr w:type="spellStart"/>
      <w:r w:rsidRPr="003E028F">
        <w:rPr>
          <w:rFonts w:asciiTheme="majorBidi" w:hAnsiTheme="majorBidi" w:cstheme="majorBidi"/>
          <w:sz w:val="24"/>
          <w:szCs w:val="24"/>
        </w:rPr>
        <w:t>Yazid</w:t>
      </w:r>
      <w:proofErr w:type="spellEnd"/>
      <w:r w:rsidRPr="003E028F">
        <w:rPr>
          <w:rFonts w:asciiTheme="majorBidi" w:hAnsiTheme="majorBidi" w:cstheme="majorBidi"/>
          <w:sz w:val="24"/>
          <w:szCs w:val="24"/>
        </w:rPr>
        <w:t xml:space="preserve">, Z. (2015). Developing a framework of Islamic Bank Operational Risk Management: People Risk. </w:t>
      </w:r>
      <w:proofErr w:type="spellStart"/>
      <w:r w:rsidRPr="003E028F">
        <w:rPr>
          <w:rFonts w:asciiTheme="majorBidi" w:hAnsiTheme="majorBidi" w:cstheme="majorBidi"/>
          <w:sz w:val="24"/>
          <w:szCs w:val="24"/>
        </w:rPr>
        <w:t>Jurnal</w:t>
      </w:r>
      <w:proofErr w:type="spellEnd"/>
      <w:r w:rsidRPr="003E028F">
        <w:rPr>
          <w:rFonts w:asciiTheme="majorBidi" w:hAnsiTheme="majorBidi" w:cstheme="majorBidi"/>
          <w:sz w:val="24"/>
          <w:szCs w:val="24"/>
        </w:rPr>
        <w:t xml:space="preserve"> </w:t>
      </w:r>
      <w:proofErr w:type="spellStart"/>
      <w:r w:rsidRPr="003E028F">
        <w:rPr>
          <w:rFonts w:asciiTheme="majorBidi" w:hAnsiTheme="majorBidi" w:cstheme="majorBidi"/>
          <w:sz w:val="24"/>
          <w:szCs w:val="24"/>
        </w:rPr>
        <w:t>Pengurusan</w:t>
      </w:r>
      <w:proofErr w:type="spellEnd"/>
      <w:r w:rsidRPr="003E028F">
        <w:rPr>
          <w:rFonts w:asciiTheme="majorBidi" w:hAnsiTheme="majorBidi" w:cstheme="majorBidi"/>
          <w:sz w:val="24"/>
          <w:szCs w:val="24"/>
        </w:rPr>
        <w:t>, 44: 129-139.</w:t>
      </w:r>
    </w:p>
    <w:p w14:paraId="22B99167" w14:textId="77777777" w:rsidR="003E028F" w:rsidRPr="003E028F" w:rsidRDefault="003E028F" w:rsidP="003E028F">
      <w:pPr>
        <w:ind w:left="567" w:hanging="567"/>
        <w:jc w:val="both"/>
        <w:rPr>
          <w:rFonts w:asciiTheme="majorBidi" w:hAnsiTheme="majorBidi" w:cstheme="majorBidi"/>
          <w:sz w:val="24"/>
          <w:szCs w:val="24"/>
        </w:rPr>
      </w:pPr>
      <w:r w:rsidRPr="003E028F">
        <w:rPr>
          <w:rFonts w:asciiTheme="majorBidi" w:hAnsiTheme="majorBidi" w:cstheme="majorBidi"/>
          <w:sz w:val="24"/>
          <w:szCs w:val="24"/>
        </w:rPr>
        <w:t xml:space="preserve">Archer, S. &amp; </w:t>
      </w:r>
      <w:proofErr w:type="spellStart"/>
      <w:r w:rsidRPr="003E028F">
        <w:rPr>
          <w:rFonts w:asciiTheme="majorBidi" w:hAnsiTheme="majorBidi" w:cstheme="majorBidi"/>
          <w:sz w:val="24"/>
          <w:szCs w:val="24"/>
        </w:rPr>
        <w:t>Haron</w:t>
      </w:r>
      <w:proofErr w:type="spellEnd"/>
      <w:r w:rsidRPr="003E028F">
        <w:rPr>
          <w:rFonts w:asciiTheme="majorBidi" w:hAnsiTheme="majorBidi" w:cstheme="majorBidi"/>
          <w:sz w:val="24"/>
          <w:szCs w:val="24"/>
        </w:rPr>
        <w:t xml:space="preserve">, A. 2007. Operational risk exposures of Islamic Banks. In Islamic Finance: The Regulatory Challenge, edited by A. Simon &amp; A.A. Karim. </w:t>
      </w:r>
      <w:proofErr w:type="spellStart"/>
      <w:r w:rsidRPr="003E028F">
        <w:rPr>
          <w:rFonts w:asciiTheme="majorBidi" w:hAnsiTheme="majorBidi" w:cstheme="majorBidi"/>
          <w:sz w:val="24"/>
          <w:szCs w:val="24"/>
        </w:rPr>
        <w:t>Chichester</w:t>
      </w:r>
      <w:proofErr w:type="spellEnd"/>
      <w:r w:rsidRPr="003E028F">
        <w:rPr>
          <w:rFonts w:asciiTheme="majorBidi" w:hAnsiTheme="majorBidi" w:cstheme="majorBidi"/>
          <w:sz w:val="24"/>
          <w:szCs w:val="24"/>
        </w:rPr>
        <w:t xml:space="preserve">: John Wiley &amp; Sons (Asia) </w:t>
      </w:r>
      <w:proofErr w:type="spellStart"/>
      <w:r w:rsidRPr="003E028F">
        <w:rPr>
          <w:rFonts w:asciiTheme="majorBidi" w:hAnsiTheme="majorBidi" w:cstheme="majorBidi"/>
          <w:sz w:val="24"/>
          <w:szCs w:val="24"/>
        </w:rPr>
        <w:t>Pte</w:t>
      </w:r>
      <w:proofErr w:type="spellEnd"/>
      <w:r w:rsidRPr="003E028F">
        <w:rPr>
          <w:rFonts w:asciiTheme="majorBidi" w:hAnsiTheme="majorBidi" w:cstheme="majorBidi"/>
          <w:sz w:val="24"/>
          <w:szCs w:val="24"/>
        </w:rPr>
        <w:t xml:space="preserve"> Ltd.</w:t>
      </w:r>
    </w:p>
    <w:p w14:paraId="440BF369" w14:textId="77777777" w:rsidR="003E028F" w:rsidRPr="003E028F" w:rsidRDefault="003E028F" w:rsidP="003E028F">
      <w:pPr>
        <w:ind w:left="567" w:hanging="567"/>
        <w:jc w:val="both"/>
        <w:rPr>
          <w:rFonts w:asciiTheme="majorBidi" w:hAnsiTheme="majorBidi" w:cstheme="majorBidi"/>
          <w:color w:val="000000"/>
          <w:sz w:val="24"/>
          <w:szCs w:val="24"/>
          <w:shd w:val="clear" w:color="auto" w:fill="FFFFFF"/>
        </w:rPr>
      </w:pPr>
      <w:r w:rsidRPr="003E028F">
        <w:rPr>
          <w:rFonts w:asciiTheme="majorBidi" w:hAnsiTheme="majorBidi" w:cstheme="majorBidi"/>
          <w:color w:val="000000"/>
          <w:sz w:val="24"/>
          <w:szCs w:val="24"/>
          <w:shd w:val="clear" w:color="auto" w:fill="FFFFFF"/>
        </w:rPr>
        <w:t xml:space="preserve">Basle Committee on Banking Supervision, 1998. Operational Risk Management. </w:t>
      </w:r>
    </w:p>
    <w:p w14:paraId="1985D891" w14:textId="77777777" w:rsidR="003E028F" w:rsidRPr="003E028F" w:rsidRDefault="003E028F" w:rsidP="003E028F">
      <w:pPr>
        <w:ind w:left="567" w:hanging="567"/>
        <w:jc w:val="both"/>
        <w:rPr>
          <w:rFonts w:asciiTheme="majorBidi" w:hAnsiTheme="majorBidi" w:cstheme="majorBidi"/>
          <w:sz w:val="24"/>
          <w:szCs w:val="24"/>
        </w:rPr>
      </w:pPr>
      <w:proofErr w:type="spellStart"/>
      <w:r w:rsidRPr="003E028F">
        <w:rPr>
          <w:rFonts w:asciiTheme="majorBidi" w:hAnsiTheme="majorBidi" w:cstheme="majorBidi"/>
          <w:sz w:val="24"/>
          <w:szCs w:val="24"/>
        </w:rPr>
        <w:t>Chapra</w:t>
      </w:r>
      <w:proofErr w:type="spellEnd"/>
      <w:r w:rsidRPr="003E028F">
        <w:rPr>
          <w:rFonts w:asciiTheme="majorBidi" w:hAnsiTheme="majorBidi" w:cstheme="majorBidi"/>
          <w:sz w:val="24"/>
          <w:szCs w:val="24"/>
        </w:rPr>
        <w:t>, U. &amp; Khan, T. 2000. Regulation and supervision of Islamic Banks. Occasional Paper 3, Islamic Research Training Institute. Jeddah: Islamic Development Bank, Jeddah.</w:t>
      </w:r>
    </w:p>
    <w:p w14:paraId="3ED1E8D9" w14:textId="77777777" w:rsidR="003E028F" w:rsidRPr="003E028F" w:rsidRDefault="003E028F" w:rsidP="003E028F">
      <w:pPr>
        <w:ind w:left="567" w:hanging="567"/>
        <w:jc w:val="both"/>
        <w:rPr>
          <w:rFonts w:asciiTheme="majorBidi" w:hAnsiTheme="majorBidi" w:cstheme="majorBidi"/>
          <w:sz w:val="24"/>
          <w:szCs w:val="24"/>
        </w:rPr>
      </w:pPr>
      <w:r w:rsidRPr="003E028F">
        <w:rPr>
          <w:rFonts w:asciiTheme="majorBidi" w:hAnsiTheme="majorBidi" w:cstheme="majorBidi"/>
          <w:sz w:val="24"/>
          <w:szCs w:val="24"/>
        </w:rPr>
        <w:t xml:space="preserve">Fiennes, T. 2007. Supervisory implications of Islamic Banking: A supervisor’s perspective. In Islamic Finance: The Regulatory Challenge, edited by S. Archer &amp; R.A.A. Karim. </w:t>
      </w:r>
      <w:proofErr w:type="spellStart"/>
      <w:r w:rsidRPr="003E028F">
        <w:rPr>
          <w:rFonts w:asciiTheme="majorBidi" w:hAnsiTheme="majorBidi" w:cstheme="majorBidi"/>
          <w:sz w:val="24"/>
          <w:szCs w:val="24"/>
        </w:rPr>
        <w:t>Chichester</w:t>
      </w:r>
      <w:proofErr w:type="spellEnd"/>
      <w:r w:rsidRPr="003E028F">
        <w:rPr>
          <w:rFonts w:asciiTheme="majorBidi" w:hAnsiTheme="majorBidi" w:cstheme="majorBidi"/>
          <w:sz w:val="24"/>
          <w:szCs w:val="24"/>
        </w:rPr>
        <w:t xml:space="preserve">: John Wiley &amp; Sons (Asia) </w:t>
      </w:r>
      <w:proofErr w:type="spellStart"/>
      <w:r w:rsidRPr="003E028F">
        <w:rPr>
          <w:rFonts w:asciiTheme="majorBidi" w:hAnsiTheme="majorBidi" w:cstheme="majorBidi"/>
          <w:sz w:val="24"/>
          <w:szCs w:val="24"/>
        </w:rPr>
        <w:t>Pte</w:t>
      </w:r>
      <w:proofErr w:type="spellEnd"/>
      <w:r w:rsidRPr="003E028F">
        <w:rPr>
          <w:rFonts w:asciiTheme="majorBidi" w:hAnsiTheme="majorBidi" w:cstheme="majorBidi"/>
          <w:sz w:val="24"/>
          <w:szCs w:val="24"/>
        </w:rPr>
        <w:t xml:space="preserve"> Ltd.</w:t>
      </w:r>
    </w:p>
    <w:p w14:paraId="15DEB330" w14:textId="77777777" w:rsidR="003E028F" w:rsidRPr="003E028F" w:rsidRDefault="003E028F" w:rsidP="003E028F">
      <w:pPr>
        <w:ind w:left="567" w:hanging="567"/>
        <w:jc w:val="both"/>
        <w:rPr>
          <w:rFonts w:asciiTheme="majorBidi" w:hAnsiTheme="majorBidi" w:cstheme="majorBidi"/>
          <w:sz w:val="24"/>
          <w:szCs w:val="24"/>
        </w:rPr>
      </w:pPr>
      <w:r w:rsidRPr="003E028F">
        <w:rPr>
          <w:rFonts w:asciiTheme="majorBidi" w:hAnsiTheme="majorBidi" w:cstheme="majorBidi"/>
          <w:sz w:val="24"/>
          <w:szCs w:val="24"/>
        </w:rPr>
        <w:t xml:space="preserve">Guiding Principles of Risk Management for Institutions (other than Insurance Institutions) Offering </w:t>
      </w:r>
      <w:proofErr w:type="gramStart"/>
      <w:r w:rsidRPr="003E028F">
        <w:rPr>
          <w:rFonts w:asciiTheme="majorBidi" w:hAnsiTheme="majorBidi" w:cstheme="majorBidi"/>
          <w:sz w:val="24"/>
          <w:szCs w:val="24"/>
        </w:rPr>
        <w:t>Only</w:t>
      </w:r>
      <w:proofErr w:type="gramEnd"/>
      <w:r w:rsidRPr="003E028F">
        <w:rPr>
          <w:rFonts w:asciiTheme="majorBidi" w:hAnsiTheme="majorBidi" w:cstheme="majorBidi"/>
          <w:sz w:val="24"/>
          <w:szCs w:val="24"/>
        </w:rPr>
        <w:t xml:space="preserve"> issued by Islamic Finance Services 2005, No. 7. 3. IFSB, ibid, 7.2 (121)</w:t>
      </w:r>
    </w:p>
    <w:p w14:paraId="1B8CF090" w14:textId="77777777" w:rsidR="003E028F" w:rsidRPr="003E028F" w:rsidRDefault="003E028F" w:rsidP="003E028F">
      <w:pPr>
        <w:ind w:left="567" w:hanging="567"/>
        <w:jc w:val="both"/>
        <w:rPr>
          <w:rFonts w:asciiTheme="majorBidi" w:hAnsiTheme="majorBidi" w:cstheme="majorBidi"/>
          <w:sz w:val="24"/>
          <w:szCs w:val="24"/>
        </w:rPr>
      </w:pPr>
      <w:proofErr w:type="spellStart"/>
      <w:r w:rsidRPr="003E028F">
        <w:rPr>
          <w:rFonts w:asciiTheme="majorBidi" w:hAnsiTheme="majorBidi" w:cstheme="majorBidi"/>
          <w:sz w:val="24"/>
          <w:szCs w:val="24"/>
        </w:rPr>
        <w:t>Marimuthu</w:t>
      </w:r>
      <w:proofErr w:type="spellEnd"/>
      <w:r w:rsidRPr="003E028F">
        <w:rPr>
          <w:rFonts w:asciiTheme="majorBidi" w:hAnsiTheme="majorBidi" w:cstheme="majorBidi"/>
          <w:sz w:val="24"/>
          <w:szCs w:val="24"/>
        </w:rPr>
        <w:t xml:space="preserve">, M., </w:t>
      </w:r>
      <w:proofErr w:type="spellStart"/>
      <w:r w:rsidRPr="003E028F">
        <w:rPr>
          <w:rFonts w:asciiTheme="majorBidi" w:hAnsiTheme="majorBidi" w:cstheme="majorBidi"/>
          <w:sz w:val="24"/>
          <w:szCs w:val="24"/>
        </w:rPr>
        <w:t>Arokiasamy</w:t>
      </w:r>
      <w:proofErr w:type="spellEnd"/>
      <w:r w:rsidRPr="003E028F">
        <w:rPr>
          <w:rFonts w:asciiTheme="majorBidi" w:hAnsiTheme="majorBidi" w:cstheme="majorBidi"/>
          <w:sz w:val="24"/>
          <w:szCs w:val="24"/>
        </w:rPr>
        <w:t>, L. &amp; Ismail, M. 2009. Human capital development and its impact on firm performance: Evidence from developmental economics. The Journal of International Social Research 2(8): 265-272.</w:t>
      </w:r>
    </w:p>
    <w:p w14:paraId="08F579AA" w14:textId="77777777" w:rsidR="003E028F" w:rsidRPr="00EF54E0" w:rsidRDefault="003E028F" w:rsidP="003E028F">
      <w:pPr>
        <w:pStyle w:val="GridTable21"/>
        <w:keepLines/>
        <w:ind w:left="567" w:hanging="567"/>
        <w:rPr>
          <w:rFonts w:asciiTheme="majorBidi" w:hAnsiTheme="majorBidi" w:cstheme="majorBidi"/>
        </w:rPr>
      </w:pPr>
      <w:r w:rsidRPr="00EF54E0">
        <w:rPr>
          <w:rFonts w:asciiTheme="majorBidi" w:hAnsiTheme="majorBidi" w:cstheme="majorBidi"/>
        </w:rPr>
        <w:t xml:space="preserve">Robson, C. (2002). </w:t>
      </w:r>
      <w:r w:rsidRPr="00EF54E0">
        <w:rPr>
          <w:rFonts w:asciiTheme="majorBidi" w:hAnsiTheme="majorBidi" w:cstheme="majorBidi"/>
          <w:i/>
          <w:iCs/>
        </w:rPr>
        <w:t>Real world research: a resource for social scientists and practitioner-researchers</w:t>
      </w:r>
      <w:r w:rsidRPr="00EF54E0">
        <w:rPr>
          <w:rFonts w:asciiTheme="majorBidi" w:hAnsiTheme="majorBidi" w:cstheme="majorBidi"/>
        </w:rPr>
        <w:t xml:space="preserve"> (2nd </w:t>
      </w:r>
      <w:proofErr w:type="spellStart"/>
      <w:proofErr w:type="gramStart"/>
      <w:r w:rsidRPr="00EF54E0">
        <w:rPr>
          <w:rFonts w:asciiTheme="majorBidi" w:hAnsiTheme="majorBidi" w:cstheme="majorBidi"/>
        </w:rPr>
        <w:t>ed</w:t>
      </w:r>
      <w:proofErr w:type="spellEnd"/>
      <w:proofErr w:type="gramEnd"/>
      <w:r w:rsidRPr="00EF54E0">
        <w:rPr>
          <w:rFonts w:asciiTheme="majorBidi" w:hAnsiTheme="majorBidi" w:cstheme="majorBidi"/>
        </w:rPr>
        <w:t>). Oxford, UK </w:t>
      </w:r>
      <w:proofErr w:type="gramStart"/>
      <w:r w:rsidRPr="00EF54E0">
        <w:rPr>
          <w:rFonts w:asciiTheme="majorBidi" w:hAnsiTheme="majorBidi" w:cstheme="majorBidi"/>
        </w:rPr>
        <w:t>;</w:t>
      </w:r>
      <w:proofErr w:type="gramEnd"/>
      <w:r w:rsidRPr="00EF54E0">
        <w:rPr>
          <w:rFonts w:asciiTheme="majorBidi" w:hAnsiTheme="majorBidi" w:cstheme="majorBidi"/>
        </w:rPr>
        <w:t xml:space="preserve"> Madden, Mass: Blackwell Publishers.</w:t>
      </w:r>
    </w:p>
    <w:p w14:paraId="4C492ED2" w14:textId="77777777" w:rsidR="003E028F" w:rsidRPr="003E028F" w:rsidRDefault="003E028F" w:rsidP="003E028F">
      <w:pPr>
        <w:ind w:left="567" w:hanging="567"/>
        <w:jc w:val="both"/>
        <w:rPr>
          <w:rFonts w:asciiTheme="majorBidi" w:hAnsiTheme="majorBidi" w:cstheme="majorBidi"/>
          <w:sz w:val="24"/>
          <w:szCs w:val="24"/>
        </w:rPr>
      </w:pPr>
      <w:proofErr w:type="spellStart"/>
      <w:r w:rsidRPr="003E028F">
        <w:rPr>
          <w:rFonts w:asciiTheme="majorBidi" w:hAnsiTheme="majorBidi" w:cstheme="majorBidi"/>
          <w:sz w:val="24"/>
          <w:szCs w:val="24"/>
        </w:rPr>
        <w:t>Sundarajan</w:t>
      </w:r>
      <w:proofErr w:type="spellEnd"/>
      <w:r w:rsidRPr="003E028F">
        <w:rPr>
          <w:rFonts w:asciiTheme="majorBidi" w:hAnsiTheme="majorBidi" w:cstheme="majorBidi"/>
          <w:sz w:val="24"/>
          <w:szCs w:val="24"/>
        </w:rPr>
        <w:t xml:space="preserve">, V. 2005. Risk measurement and disclosure in Islamic Finance and the implications of profit sharing investment accounts. Paper presented at the </w:t>
      </w:r>
      <w:proofErr w:type="gramStart"/>
      <w:r w:rsidRPr="003E028F">
        <w:rPr>
          <w:rFonts w:asciiTheme="majorBidi" w:hAnsiTheme="majorBidi" w:cstheme="majorBidi"/>
          <w:sz w:val="24"/>
          <w:szCs w:val="24"/>
        </w:rPr>
        <w:t>6th</w:t>
      </w:r>
      <w:proofErr w:type="gramEnd"/>
      <w:r w:rsidRPr="003E028F">
        <w:rPr>
          <w:rFonts w:asciiTheme="majorBidi" w:hAnsiTheme="majorBidi" w:cstheme="majorBidi"/>
          <w:sz w:val="24"/>
          <w:szCs w:val="24"/>
        </w:rPr>
        <w:t xml:space="preserve"> International Conference at Islamic Economics, Banking and Finance, organized by Islamic Research and Training Institute Islamic Development Bank, Bank Indonesia, and University of Indonesia.</w:t>
      </w:r>
    </w:p>
    <w:p w14:paraId="2E9613BE" w14:textId="77777777" w:rsidR="003E028F" w:rsidRPr="003E028F" w:rsidRDefault="003E028F" w:rsidP="003E028F">
      <w:pPr>
        <w:ind w:left="567" w:hanging="567"/>
        <w:jc w:val="both"/>
        <w:rPr>
          <w:rFonts w:asciiTheme="majorBidi" w:hAnsiTheme="majorBidi" w:cstheme="majorBidi"/>
          <w:sz w:val="24"/>
          <w:szCs w:val="24"/>
        </w:rPr>
      </w:pPr>
      <w:r w:rsidRPr="003E028F">
        <w:rPr>
          <w:rFonts w:asciiTheme="majorBidi" w:hAnsiTheme="majorBidi" w:cstheme="majorBidi"/>
          <w:sz w:val="24"/>
          <w:szCs w:val="24"/>
        </w:rPr>
        <w:t xml:space="preserve">Van </w:t>
      </w:r>
      <w:proofErr w:type="spellStart"/>
      <w:r w:rsidRPr="003E028F">
        <w:rPr>
          <w:rFonts w:asciiTheme="majorBidi" w:hAnsiTheme="majorBidi" w:cstheme="majorBidi"/>
          <w:sz w:val="24"/>
          <w:szCs w:val="24"/>
        </w:rPr>
        <w:t>Greuning</w:t>
      </w:r>
      <w:proofErr w:type="spellEnd"/>
      <w:r w:rsidRPr="003E028F">
        <w:rPr>
          <w:rFonts w:asciiTheme="majorBidi" w:hAnsiTheme="majorBidi" w:cstheme="majorBidi"/>
          <w:sz w:val="24"/>
          <w:szCs w:val="24"/>
        </w:rPr>
        <w:t>, H. and Iqbal, Z. (2008) Risk Analysis for Islamic Banks. Washington: The International Bank for Reconstruction and Development/</w:t>
      </w:r>
      <w:proofErr w:type="gramStart"/>
      <w:r w:rsidRPr="003E028F">
        <w:rPr>
          <w:rFonts w:asciiTheme="majorBidi" w:hAnsiTheme="majorBidi" w:cstheme="majorBidi"/>
          <w:sz w:val="24"/>
          <w:szCs w:val="24"/>
        </w:rPr>
        <w:t>The</w:t>
      </w:r>
      <w:proofErr w:type="gramEnd"/>
      <w:r w:rsidRPr="003E028F">
        <w:rPr>
          <w:rFonts w:asciiTheme="majorBidi" w:hAnsiTheme="majorBidi" w:cstheme="majorBidi"/>
          <w:sz w:val="24"/>
          <w:szCs w:val="24"/>
        </w:rPr>
        <w:t xml:space="preserve"> World Bank.</w:t>
      </w:r>
    </w:p>
    <w:p w14:paraId="6DFF7683" w14:textId="77777777" w:rsidR="000E619B" w:rsidRDefault="000E619B"/>
    <w:p w14:paraId="168D828A" w14:textId="77777777" w:rsidR="005C2D1A" w:rsidRPr="00EF54E0" w:rsidRDefault="005C2D1A">
      <w:pPr>
        <w:rPr>
          <w:rFonts w:asciiTheme="majorBidi" w:hAnsiTheme="majorBidi" w:cstheme="majorBidi"/>
          <w:color w:val="000000"/>
          <w:sz w:val="24"/>
          <w:szCs w:val="24"/>
          <w:shd w:val="clear" w:color="auto" w:fill="FFFFFF"/>
        </w:rPr>
      </w:pPr>
    </w:p>
    <w:p w14:paraId="2C2B64E0" w14:textId="77777777" w:rsidR="008537ED" w:rsidRPr="00EF54E0" w:rsidRDefault="008537ED">
      <w:pPr>
        <w:rPr>
          <w:rFonts w:asciiTheme="majorBidi" w:hAnsiTheme="majorBidi" w:cstheme="majorBidi"/>
          <w:color w:val="000000"/>
          <w:sz w:val="24"/>
          <w:szCs w:val="24"/>
          <w:shd w:val="clear" w:color="auto" w:fill="FFFFFF"/>
        </w:rPr>
      </w:pPr>
    </w:p>
    <w:p w14:paraId="17C9A3CB" w14:textId="77777777" w:rsidR="008537ED" w:rsidRPr="00EF54E0" w:rsidRDefault="008537ED">
      <w:pPr>
        <w:rPr>
          <w:rFonts w:asciiTheme="majorBidi" w:hAnsiTheme="majorBidi" w:cstheme="majorBidi"/>
          <w:sz w:val="24"/>
          <w:szCs w:val="24"/>
        </w:rPr>
      </w:pPr>
    </w:p>
    <w:sectPr w:rsidR="008537ED" w:rsidRPr="00EF54E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F35F" w14:textId="77777777" w:rsidR="007D5263" w:rsidRDefault="007D5263" w:rsidP="00336ED3">
      <w:pPr>
        <w:spacing w:after="0" w:line="240" w:lineRule="auto"/>
      </w:pPr>
      <w:r>
        <w:separator/>
      </w:r>
    </w:p>
  </w:endnote>
  <w:endnote w:type="continuationSeparator" w:id="0">
    <w:p w14:paraId="63CBEEE7" w14:textId="77777777" w:rsidR="007D5263" w:rsidRDefault="007D5263" w:rsidP="0033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84564"/>
      <w:docPartObj>
        <w:docPartGallery w:val="Page Numbers (Bottom of Page)"/>
        <w:docPartUnique/>
      </w:docPartObj>
    </w:sdtPr>
    <w:sdtEndPr>
      <w:rPr>
        <w:noProof/>
      </w:rPr>
    </w:sdtEndPr>
    <w:sdtContent>
      <w:p w14:paraId="148C0603" w14:textId="5F144E89" w:rsidR="00752F5C" w:rsidRDefault="00752F5C">
        <w:pPr>
          <w:pStyle w:val="Footer"/>
          <w:jc w:val="center"/>
        </w:pPr>
        <w:r>
          <w:fldChar w:fldCharType="begin"/>
        </w:r>
        <w:r>
          <w:instrText xml:space="preserve"> PAGE   \* MERGEFORMAT </w:instrText>
        </w:r>
        <w:r>
          <w:fldChar w:fldCharType="separate"/>
        </w:r>
        <w:r w:rsidR="000029D5">
          <w:rPr>
            <w:noProof/>
          </w:rPr>
          <w:t>16</w:t>
        </w:r>
        <w:r>
          <w:rPr>
            <w:noProof/>
          </w:rPr>
          <w:fldChar w:fldCharType="end"/>
        </w:r>
      </w:p>
    </w:sdtContent>
  </w:sdt>
  <w:p w14:paraId="2AE72590" w14:textId="77777777" w:rsidR="00752F5C" w:rsidRDefault="0075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775E5" w14:textId="77777777" w:rsidR="007D5263" w:rsidRDefault="007D5263" w:rsidP="00336ED3">
      <w:pPr>
        <w:spacing w:after="0" w:line="240" w:lineRule="auto"/>
      </w:pPr>
      <w:r>
        <w:separator/>
      </w:r>
    </w:p>
  </w:footnote>
  <w:footnote w:type="continuationSeparator" w:id="0">
    <w:p w14:paraId="3B9B9A8F" w14:textId="77777777" w:rsidR="007D5263" w:rsidRDefault="007D5263" w:rsidP="00336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D31D" w14:textId="77777777" w:rsidR="00752F5C" w:rsidRPr="00D85C68" w:rsidRDefault="00752F5C" w:rsidP="0070390C">
    <w:pPr>
      <w:pStyle w:val="Header"/>
      <w:ind w:left="1440" w:hanging="1440"/>
      <w:rPr>
        <w:rFonts w:ascii="Times New Roman" w:hAnsi="Times New Roman" w:cs="Times New Roman"/>
      </w:rPr>
    </w:pPr>
    <w:r w:rsidRPr="00D85C68">
      <w:rPr>
        <w:rFonts w:ascii="Times New Roman" w:hAnsi="Times New Roman" w:cs="Times New Roman"/>
      </w:rPr>
      <w:tab/>
    </w:r>
    <w:r w:rsidRPr="00D85C68">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3054"/>
    <w:multiLevelType w:val="hybridMultilevel"/>
    <w:tmpl w:val="E7D2EB0E"/>
    <w:lvl w:ilvl="0" w:tplc="0C82282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33005"/>
    <w:multiLevelType w:val="multilevel"/>
    <w:tmpl w:val="AE7682C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pStyle w:val="SBSL4"/>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DC7694"/>
    <w:multiLevelType w:val="multilevel"/>
    <w:tmpl w:val="4E2A337A"/>
    <w:lvl w:ilvl="0">
      <w:start w:val="4"/>
      <w:numFmt w:val="decimal"/>
      <w:lvlText w:val="%1"/>
      <w:lvlJc w:val="left"/>
      <w:pPr>
        <w:ind w:left="360" w:hanging="360"/>
      </w:pPr>
      <w:rPr>
        <w:rFonts w:hint="default"/>
      </w:rPr>
    </w:lvl>
    <w:lvl w:ilvl="1">
      <w:start w:val="1"/>
      <w:numFmt w:val="decimal"/>
      <w:pStyle w:val="SBSL2"/>
      <w:lvlText w:val="%1.%2"/>
      <w:lvlJc w:val="left"/>
      <w:pPr>
        <w:ind w:left="720" w:hanging="360"/>
      </w:pPr>
      <w:rPr>
        <w:rFonts w:ascii="Times New Roman" w:hAnsi="Times New Roman" w:cs="Times New Roman" w:hint="default"/>
        <w:b w:val="0"/>
        <w:bCs w:val="0"/>
        <w:sz w:val="24"/>
        <w:szCs w:val="24"/>
      </w:rPr>
    </w:lvl>
    <w:lvl w:ilvl="2">
      <w:start w:val="1"/>
      <w:numFmt w:val="decimal"/>
      <w:pStyle w:val="SBSL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312928"/>
    <w:multiLevelType w:val="multilevel"/>
    <w:tmpl w:val="43AEE8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29737B"/>
    <w:multiLevelType w:val="hybridMultilevel"/>
    <w:tmpl w:val="96B66E38"/>
    <w:lvl w:ilvl="0" w:tplc="C6261EE2">
      <w:start w:val="4"/>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56D8"/>
    <w:multiLevelType w:val="hybridMultilevel"/>
    <w:tmpl w:val="4AF65872"/>
    <w:lvl w:ilvl="0" w:tplc="A7E23996">
      <w:start w:val="1"/>
      <w:numFmt w:val="none"/>
      <w:pStyle w:val="SBS-Format"/>
      <w:lvlText w:val="4.0"/>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A6454"/>
    <w:multiLevelType w:val="hybridMultilevel"/>
    <w:tmpl w:val="21BC9CB2"/>
    <w:lvl w:ilvl="0" w:tplc="5C3CD63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52CEB"/>
    <w:multiLevelType w:val="hybridMultilevel"/>
    <w:tmpl w:val="B1745EA4"/>
    <w:lvl w:ilvl="0" w:tplc="972C05B8">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136D48"/>
    <w:multiLevelType w:val="hybridMultilevel"/>
    <w:tmpl w:val="5DA2A1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4"/>
  </w:num>
  <w:num w:numId="6">
    <w:abstractNumId w:val="0"/>
  </w:num>
  <w:num w:numId="7">
    <w:abstractNumId w:val="3"/>
  </w:num>
  <w:num w:numId="8">
    <w:abstractNumId w:val="6"/>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ED"/>
    <w:rsid w:val="000029D5"/>
    <w:rsid w:val="00031BFF"/>
    <w:rsid w:val="00031E95"/>
    <w:rsid w:val="0008641A"/>
    <w:rsid w:val="00086BFB"/>
    <w:rsid w:val="000C155E"/>
    <w:rsid w:val="000C3FD9"/>
    <w:rsid w:val="000D79EC"/>
    <w:rsid w:val="000E619B"/>
    <w:rsid w:val="000F39B1"/>
    <w:rsid w:val="001279AF"/>
    <w:rsid w:val="00177B27"/>
    <w:rsid w:val="00192192"/>
    <w:rsid w:val="001A55F3"/>
    <w:rsid w:val="001A662E"/>
    <w:rsid w:val="001D20E8"/>
    <w:rsid w:val="0022361A"/>
    <w:rsid w:val="00226ECA"/>
    <w:rsid w:val="00241527"/>
    <w:rsid w:val="00242F70"/>
    <w:rsid w:val="00251F92"/>
    <w:rsid w:val="002752C9"/>
    <w:rsid w:val="00276C40"/>
    <w:rsid w:val="00297512"/>
    <w:rsid w:val="002A1516"/>
    <w:rsid w:val="002E797C"/>
    <w:rsid w:val="002F4544"/>
    <w:rsid w:val="00331E1A"/>
    <w:rsid w:val="00332B33"/>
    <w:rsid w:val="00336ED3"/>
    <w:rsid w:val="00346B12"/>
    <w:rsid w:val="00351C11"/>
    <w:rsid w:val="00366CE1"/>
    <w:rsid w:val="003E028F"/>
    <w:rsid w:val="003E4FF5"/>
    <w:rsid w:val="003F37E5"/>
    <w:rsid w:val="00420824"/>
    <w:rsid w:val="00436219"/>
    <w:rsid w:val="00446098"/>
    <w:rsid w:val="00483A49"/>
    <w:rsid w:val="00495BD6"/>
    <w:rsid w:val="004C4913"/>
    <w:rsid w:val="004F6912"/>
    <w:rsid w:val="00510EAC"/>
    <w:rsid w:val="00535068"/>
    <w:rsid w:val="0053733E"/>
    <w:rsid w:val="00596758"/>
    <w:rsid w:val="005C2D1A"/>
    <w:rsid w:val="005E59C5"/>
    <w:rsid w:val="006203EB"/>
    <w:rsid w:val="00621FF7"/>
    <w:rsid w:val="0068261B"/>
    <w:rsid w:val="00686103"/>
    <w:rsid w:val="006A309D"/>
    <w:rsid w:val="006B0436"/>
    <w:rsid w:val="006D284B"/>
    <w:rsid w:val="006D5541"/>
    <w:rsid w:val="006E7063"/>
    <w:rsid w:val="006F0EDB"/>
    <w:rsid w:val="0070390C"/>
    <w:rsid w:val="00752F5C"/>
    <w:rsid w:val="00765AF3"/>
    <w:rsid w:val="007A6BB5"/>
    <w:rsid w:val="007D27B8"/>
    <w:rsid w:val="007D5263"/>
    <w:rsid w:val="007E7BA5"/>
    <w:rsid w:val="0082517C"/>
    <w:rsid w:val="008510AC"/>
    <w:rsid w:val="008537ED"/>
    <w:rsid w:val="008615E3"/>
    <w:rsid w:val="00863976"/>
    <w:rsid w:val="008C0857"/>
    <w:rsid w:val="008E2955"/>
    <w:rsid w:val="008E59BF"/>
    <w:rsid w:val="008E6DB7"/>
    <w:rsid w:val="008F63C2"/>
    <w:rsid w:val="00935D61"/>
    <w:rsid w:val="00952669"/>
    <w:rsid w:val="009B7CB2"/>
    <w:rsid w:val="009C5090"/>
    <w:rsid w:val="009E30F2"/>
    <w:rsid w:val="009E36DD"/>
    <w:rsid w:val="00A26DC5"/>
    <w:rsid w:val="00A51D25"/>
    <w:rsid w:val="00AA51F2"/>
    <w:rsid w:val="00AA69CF"/>
    <w:rsid w:val="00AB3825"/>
    <w:rsid w:val="00AB65D2"/>
    <w:rsid w:val="00AF7D24"/>
    <w:rsid w:val="00B01DA1"/>
    <w:rsid w:val="00B14C58"/>
    <w:rsid w:val="00B31857"/>
    <w:rsid w:val="00B63E9F"/>
    <w:rsid w:val="00BA2FAA"/>
    <w:rsid w:val="00BF7704"/>
    <w:rsid w:val="00C233A8"/>
    <w:rsid w:val="00C24999"/>
    <w:rsid w:val="00C50AB1"/>
    <w:rsid w:val="00C84025"/>
    <w:rsid w:val="00C9111D"/>
    <w:rsid w:val="00CA5A90"/>
    <w:rsid w:val="00CE3B67"/>
    <w:rsid w:val="00CF18DC"/>
    <w:rsid w:val="00D05066"/>
    <w:rsid w:val="00D232BA"/>
    <w:rsid w:val="00D31307"/>
    <w:rsid w:val="00D33C1F"/>
    <w:rsid w:val="00D82734"/>
    <w:rsid w:val="00D91593"/>
    <w:rsid w:val="00D97CC6"/>
    <w:rsid w:val="00DA478A"/>
    <w:rsid w:val="00DC5F19"/>
    <w:rsid w:val="00DE6FA5"/>
    <w:rsid w:val="00E55B04"/>
    <w:rsid w:val="00E75A7E"/>
    <w:rsid w:val="00E92D3B"/>
    <w:rsid w:val="00EA17BD"/>
    <w:rsid w:val="00EA3878"/>
    <w:rsid w:val="00EC43B3"/>
    <w:rsid w:val="00ED006D"/>
    <w:rsid w:val="00ED076B"/>
    <w:rsid w:val="00EF54E0"/>
    <w:rsid w:val="00F35FB0"/>
    <w:rsid w:val="00F44DB2"/>
    <w:rsid w:val="00F608CF"/>
    <w:rsid w:val="00F66154"/>
    <w:rsid w:val="00F66505"/>
    <w:rsid w:val="00F717CC"/>
    <w:rsid w:val="00FF71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889"/>
  <w15:chartTrackingRefBased/>
  <w15:docId w15:val="{C6DBCB73-63E8-499E-8AD1-7AAA4B99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0390C"/>
    <w:pPr>
      <w:keepNext/>
      <w:keepLines/>
      <w:numPr>
        <w:numId w:val="5"/>
      </w:numPr>
      <w:spacing w:before="240" w:after="0" w:line="360" w:lineRule="auto"/>
      <w:outlineLvl w:val="0"/>
    </w:pPr>
    <w:rPr>
      <w:rFonts w:ascii="Times New Roman" w:eastAsiaTheme="majorEastAsia" w:hAnsi="Times New Roman" w:cstheme="majorBidi"/>
      <w:b/>
      <w:bCs/>
      <w:color w:val="000000" w:themeColor="text1"/>
      <w:sz w:val="24"/>
      <w:szCs w:val="32"/>
    </w:rPr>
  </w:style>
  <w:style w:type="paragraph" w:styleId="Heading2">
    <w:name w:val="heading 2"/>
    <w:basedOn w:val="Normal"/>
    <w:next w:val="Normal"/>
    <w:link w:val="Heading2Char"/>
    <w:uiPriority w:val="9"/>
    <w:semiHidden/>
    <w:unhideWhenUsed/>
    <w:qFormat/>
    <w:rsid w:val="0070390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390C"/>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0C"/>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semiHidden/>
    <w:rsid w:val="007039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0390C"/>
    <w:rPr>
      <w:rFonts w:asciiTheme="majorHAnsi" w:eastAsiaTheme="majorEastAsia" w:hAnsiTheme="majorHAnsi" w:cstheme="majorBidi"/>
      <w:color w:val="1F4D78" w:themeColor="accent1" w:themeShade="7F"/>
      <w:sz w:val="24"/>
      <w:szCs w:val="24"/>
    </w:rPr>
  </w:style>
  <w:style w:type="paragraph" w:customStyle="1" w:styleId="GridTable21">
    <w:name w:val="Grid Table 21"/>
    <w:basedOn w:val="Normal"/>
    <w:next w:val="Normal"/>
    <w:uiPriority w:val="37"/>
    <w:unhideWhenUsed/>
    <w:rsid w:val="00436219"/>
    <w:pPr>
      <w:spacing w:after="0" w:line="480" w:lineRule="auto"/>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90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0390C"/>
    <w:rPr>
      <w:sz w:val="24"/>
      <w:szCs w:val="24"/>
    </w:rPr>
  </w:style>
  <w:style w:type="character" w:customStyle="1" w:styleId="apple-converted-space">
    <w:name w:val="apple-converted-space"/>
    <w:basedOn w:val="DefaultParagraphFont"/>
    <w:rsid w:val="0070390C"/>
  </w:style>
  <w:style w:type="character" w:styleId="CommentReference">
    <w:name w:val="annotation reference"/>
    <w:basedOn w:val="DefaultParagraphFont"/>
    <w:uiPriority w:val="99"/>
    <w:semiHidden/>
    <w:unhideWhenUsed/>
    <w:rsid w:val="0070390C"/>
    <w:rPr>
      <w:sz w:val="18"/>
      <w:szCs w:val="18"/>
    </w:rPr>
  </w:style>
  <w:style w:type="paragraph" w:styleId="CommentText">
    <w:name w:val="annotation text"/>
    <w:basedOn w:val="Normal"/>
    <w:link w:val="CommentTextChar"/>
    <w:uiPriority w:val="99"/>
    <w:semiHidden/>
    <w:unhideWhenUsed/>
    <w:rsid w:val="0070390C"/>
    <w:pPr>
      <w:spacing w:after="0" w:line="240" w:lineRule="auto"/>
    </w:pPr>
    <w:rPr>
      <w:sz w:val="24"/>
      <w:szCs w:val="24"/>
    </w:rPr>
  </w:style>
  <w:style w:type="character" w:customStyle="1" w:styleId="CommentTextChar">
    <w:name w:val="Comment Text Char"/>
    <w:basedOn w:val="DefaultParagraphFont"/>
    <w:link w:val="CommentText"/>
    <w:uiPriority w:val="99"/>
    <w:semiHidden/>
    <w:rsid w:val="0070390C"/>
    <w:rPr>
      <w:sz w:val="24"/>
      <w:szCs w:val="24"/>
    </w:rPr>
  </w:style>
  <w:style w:type="paragraph" w:styleId="CommentSubject">
    <w:name w:val="annotation subject"/>
    <w:basedOn w:val="CommentText"/>
    <w:next w:val="CommentText"/>
    <w:link w:val="CommentSubjectChar"/>
    <w:uiPriority w:val="99"/>
    <w:semiHidden/>
    <w:unhideWhenUsed/>
    <w:rsid w:val="0070390C"/>
    <w:rPr>
      <w:b/>
      <w:bCs/>
      <w:sz w:val="20"/>
      <w:szCs w:val="20"/>
    </w:rPr>
  </w:style>
  <w:style w:type="character" w:customStyle="1" w:styleId="CommentSubjectChar">
    <w:name w:val="Comment Subject Char"/>
    <w:basedOn w:val="CommentTextChar"/>
    <w:link w:val="CommentSubject"/>
    <w:uiPriority w:val="99"/>
    <w:semiHidden/>
    <w:rsid w:val="0070390C"/>
    <w:rPr>
      <w:b/>
      <w:bCs/>
      <w:sz w:val="20"/>
      <w:szCs w:val="20"/>
    </w:rPr>
  </w:style>
  <w:style w:type="paragraph" w:styleId="BalloonText">
    <w:name w:val="Balloon Text"/>
    <w:basedOn w:val="Normal"/>
    <w:link w:val="BalloonTextChar"/>
    <w:uiPriority w:val="99"/>
    <w:semiHidden/>
    <w:unhideWhenUsed/>
    <w:rsid w:val="007039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90C"/>
    <w:rPr>
      <w:rFonts w:ascii="Times New Roman" w:hAnsi="Times New Roman" w:cs="Times New Roman"/>
      <w:sz w:val="18"/>
      <w:szCs w:val="18"/>
    </w:rPr>
  </w:style>
  <w:style w:type="paragraph" w:styleId="ListParagraph">
    <w:name w:val="List Paragraph"/>
    <w:basedOn w:val="Normal"/>
    <w:uiPriority w:val="34"/>
    <w:qFormat/>
    <w:rsid w:val="0070390C"/>
    <w:pPr>
      <w:spacing w:after="0" w:line="240" w:lineRule="auto"/>
      <w:ind w:left="720"/>
      <w:contextualSpacing/>
    </w:pPr>
    <w:rPr>
      <w:sz w:val="24"/>
      <w:szCs w:val="24"/>
    </w:rPr>
  </w:style>
  <w:style w:type="paragraph" w:styleId="Title">
    <w:name w:val="Title"/>
    <w:basedOn w:val="Normal"/>
    <w:next w:val="Normal"/>
    <w:link w:val="TitleChar"/>
    <w:uiPriority w:val="10"/>
    <w:qFormat/>
    <w:rsid w:val="007039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90C"/>
    <w:rPr>
      <w:rFonts w:asciiTheme="majorHAnsi" w:eastAsiaTheme="majorEastAsia" w:hAnsiTheme="majorHAnsi" w:cstheme="majorBidi"/>
      <w:spacing w:val="-10"/>
      <w:kern w:val="28"/>
      <w:sz w:val="56"/>
      <w:szCs w:val="56"/>
    </w:rPr>
  </w:style>
  <w:style w:type="paragraph" w:customStyle="1" w:styleId="Body">
    <w:name w:val="Body"/>
    <w:rsid w:val="0070390C"/>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rPr>
  </w:style>
  <w:style w:type="character" w:styleId="Emphasis">
    <w:name w:val="Emphasis"/>
    <w:basedOn w:val="DefaultParagraphFont"/>
    <w:uiPriority w:val="20"/>
    <w:qFormat/>
    <w:rsid w:val="0070390C"/>
    <w:rPr>
      <w:i/>
      <w:iCs/>
    </w:rPr>
  </w:style>
  <w:style w:type="paragraph" w:customStyle="1" w:styleId="p1">
    <w:name w:val="p1"/>
    <w:basedOn w:val="Normal"/>
    <w:rsid w:val="0070390C"/>
    <w:pPr>
      <w:spacing w:after="0" w:line="240" w:lineRule="auto"/>
    </w:pPr>
    <w:rPr>
      <w:rFonts w:ascii="Helvetica" w:hAnsi="Helvetica" w:cs="Times New Roman"/>
      <w:sz w:val="18"/>
      <w:szCs w:val="18"/>
    </w:rPr>
  </w:style>
  <w:style w:type="paragraph" w:customStyle="1" w:styleId="p2">
    <w:name w:val="p2"/>
    <w:basedOn w:val="Normal"/>
    <w:rsid w:val="0070390C"/>
    <w:pPr>
      <w:spacing w:after="0" w:line="240" w:lineRule="atLeast"/>
      <w:ind w:left="45"/>
      <w:jc w:val="center"/>
    </w:pPr>
    <w:rPr>
      <w:rFonts w:ascii="Arial" w:hAnsi="Arial" w:cs="Arial"/>
      <w:sz w:val="18"/>
      <w:szCs w:val="18"/>
    </w:rPr>
  </w:style>
  <w:style w:type="paragraph" w:customStyle="1" w:styleId="p3">
    <w:name w:val="p3"/>
    <w:basedOn w:val="Normal"/>
    <w:rsid w:val="0070390C"/>
    <w:pPr>
      <w:spacing w:after="0" w:line="240" w:lineRule="auto"/>
    </w:pPr>
    <w:rPr>
      <w:rFonts w:ascii="Times New Roman" w:hAnsi="Times New Roman" w:cs="Times New Roman"/>
      <w:sz w:val="18"/>
      <w:szCs w:val="18"/>
    </w:rPr>
  </w:style>
  <w:style w:type="paragraph" w:customStyle="1" w:styleId="p4">
    <w:name w:val="p4"/>
    <w:basedOn w:val="Normal"/>
    <w:rsid w:val="0070390C"/>
    <w:pPr>
      <w:spacing w:after="0" w:line="240" w:lineRule="atLeast"/>
      <w:ind w:left="45"/>
    </w:pPr>
    <w:rPr>
      <w:rFonts w:ascii="Arial" w:hAnsi="Arial" w:cs="Arial"/>
      <w:sz w:val="18"/>
      <w:szCs w:val="18"/>
    </w:rPr>
  </w:style>
  <w:style w:type="paragraph" w:customStyle="1" w:styleId="p5">
    <w:name w:val="p5"/>
    <w:basedOn w:val="Normal"/>
    <w:rsid w:val="0070390C"/>
    <w:pPr>
      <w:spacing w:after="0" w:line="240" w:lineRule="atLeast"/>
      <w:ind w:left="45"/>
      <w:jc w:val="right"/>
    </w:pPr>
    <w:rPr>
      <w:rFonts w:ascii="Arial" w:hAnsi="Arial" w:cs="Arial"/>
      <w:sz w:val="18"/>
      <w:szCs w:val="18"/>
    </w:rPr>
  </w:style>
  <w:style w:type="paragraph" w:customStyle="1" w:styleId="p6">
    <w:name w:val="p6"/>
    <w:basedOn w:val="Normal"/>
    <w:rsid w:val="0070390C"/>
    <w:pPr>
      <w:spacing w:after="0" w:line="300" w:lineRule="atLeast"/>
    </w:pPr>
    <w:rPr>
      <w:rFonts w:ascii="Times New Roman" w:hAnsi="Times New Roman" w:cs="Times New Roman"/>
      <w:sz w:val="18"/>
      <w:szCs w:val="18"/>
    </w:rPr>
  </w:style>
  <w:style w:type="paragraph" w:styleId="Footer">
    <w:name w:val="footer"/>
    <w:basedOn w:val="Normal"/>
    <w:link w:val="FooterChar"/>
    <w:uiPriority w:val="99"/>
    <w:unhideWhenUsed/>
    <w:rsid w:val="0070390C"/>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70390C"/>
    <w:rPr>
      <w:rFonts w:ascii="Times New Roman" w:hAnsi="Times New Roman" w:cs="Times New Roman"/>
      <w:sz w:val="24"/>
      <w:szCs w:val="24"/>
    </w:rPr>
  </w:style>
  <w:style w:type="paragraph" w:customStyle="1" w:styleId="p7">
    <w:name w:val="p7"/>
    <w:basedOn w:val="Normal"/>
    <w:rsid w:val="0070390C"/>
    <w:pPr>
      <w:spacing w:after="0" w:line="300" w:lineRule="atLeast"/>
    </w:pPr>
    <w:rPr>
      <w:rFonts w:ascii="Times New Roman" w:hAnsi="Times New Roman" w:cs="Times New Roman"/>
      <w:sz w:val="18"/>
      <w:szCs w:val="18"/>
    </w:rPr>
  </w:style>
  <w:style w:type="paragraph" w:customStyle="1" w:styleId="SBS-Format">
    <w:name w:val="SBS -Format"/>
    <w:basedOn w:val="Heading1"/>
    <w:autoRedefine/>
    <w:qFormat/>
    <w:rsid w:val="0070390C"/>
    <w:pPr>
      <w:numPr>
        <w:numId w:val="4"/>
      </w:numPr>
    </w:pPr>
    <w:rPr>
      <w:b w:val="0"/>
    </w:rPr>
  </w:style>
  <w:style w:type="paragraph" w:customStyle="1" w:styleId="SBSL2">
    <w:name w:val="SBS L2"/>
    <w:basedOn w:val="ListParagraph"/>
    <w:next w:val="Heading2"/>
    <w:qFormat/>
    <w:rsid w:val="0070390C"/>
    <w:pPr>
      <w:numPr>
        <w:ilvl w:val="1"/>
        <w:numId w:val="1"/>
      </w:numPr>
      <w:spacing w:line="360" w:lineRule="auto"/>
      <w:jc w:val="both"/>
    </w:pPr>
    <w:rPr>
      <w:rFonts w:ascii="Times New Roman" w:hAnsi="Times New Roman" w:cs="Times New Roman"/>
      <w:b/>
      <w:bCs/>
    </w:rPr>
  </w:style>
  <w:style w:type="paragraph" w:customStyle="1" w:styleId="SBSL3">
    <w:name w:val="SBS L3"/>
    <w:basedOn w:val="ListParagraph"/>
    <w:next w:val="Heading3"/>
    <w:qFormat/>
    <w:rsid w:val="0070390C"/>
    <w:pPr>
      <w:numPr>
        <w:ilvl w:val="2"/>
        <w:numId w:val="1"/>
      </w:numPr>
      <w:spacing w:line="360" w:lineRule="auto"/>
      <w:jc w:val="both"/>
    </w:pPr>
    <w:rPr>
      <w:rFonts w:ascii="Times New Roman" w:hAnsi="Times New Roman" w:cs="Times New Roman"/>
    </w:rPr>
  </w:style>
  <w:style w:type="paragraph" w:customStyle="1" w:styleId="SBSL4">
    <w:name w:val="SBS L4"/>
    <w:basedOn w:val="ListParagraph"/>
    <w:qFormat/>
    <w:rsid w:val="0070390C"/>
    <w:pPr>
      <w:numPr>
        <w:ilvl w:val="3"/>
        <w:numId w:val="2"/>
      </w:numPr>
      <w:spacing w:line="360" w:lineRule="auto"/>
      <w:jc w:val="both"/>
    </w:pPr>
    <w:rPr>
      <w:rFonts w:ascii="Times New Roman" w:hAnsi="Times New Roman" w:cs="Times New Roman"/>
    </w:rPr>
  </w:style>
  <w:style w:type="paragraph" w:styleId="Caption">
    <w:name w:val="caption"/>
    <w:basedOn w:val="Normal"/>
    <w:next w:val="Normal"/>
    <w:uiPriority w:val="35"/>
    <w:unhideWhenUsed/>
    <w:qFormat/>
    <w:rsid w:val="0070390C"/>
    <w:pPr>
      <w:spacing w:after="200" w:line="240" w:lineRule="auto"/>
    </w:pPr>
    <w:rPr>
      <w:rFonts w:ascii="Times New Roman" w:hAnsi="Times New Roman" w:cs="Times New Roman"/>
      <w:i/>
      <w:iCs/>
      <w:color w:val="44546A" w:themeColor="text2"/>
      <w:sz w:val="18"/>
      <w:szCs w:val="18"/>
    </w:rPr>
  </w:style>
  <w:style w:type="table" w:styleId="TableGrid">
    <w:name w:val="Table Grid"/>
    <w:basedOn w:val="TableNormal"/>
    <w:uiPriority w:val="39"/>
    <w:rsid w:val="007039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0390C"/>
    <w:pPr>
      <w:spacing w:after="0" w:line="480" w:lineRule="auto"/>
      <w:ind w:left="720" w:hanging="720"/>
    </w:pPr>
    <w:rPr>
      <w:rFonts w:ascii="Times New Roman" w:hAnsi="Times New Roman" w:cs="Times New Roman"/>
      <w:sz w:val="24"/>
      <w:szCs w:val="24"/>
    </w:rPr>
  </w:style>
  <w:style w:type="character" w:styleId="Strong">
    <w:name w:val="Strong"/>
    <w:basedOn w:val="DefaultParagraphFont"/>
    <w:uiPriority w:val="22"/>
    <w:qFormat/>
    <w:rsid w:val="0070390C"/>
    <w:rPr>
      <w:b/>
      <w:bCs/>
    </w:rPr>
  </w:style>
  <w:style w:type="character" w:styleId="Hyperlink">
    <w:name w:val="Hyperlink"/>
    <w:basedOn w:val="DefaultParagraphFont"/>
    <w:uiPriority w:val="99"/>
    <w:unhideWhenUsed/>
    <w:rsid w:val="00331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hamzaalqadri\Desktop\Updated%20analysis\%20DBA%20Survey%20%20Updated%20values%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Sheet1!$A$2:$A$4</c:f>
              <c:strCache>
                <c:ptCount val="3"/>
                <c:pt idx="0">
                  <c:v>20-29</c:v>
                </c:pt>
                <c:pt idx="1">
                  <c:v>30-39</c:v>
                </c:pt>
                <c:pt idx="2">
                  <c:v>40-49</c:v>
                </c:pt>
              </c:strCache>
            </c:strRef>
          </c:cat>
          <c:val>
            <c:numRef>
              <c:f>Sheet1!$B$2:$B$4</c:f>
              <c:numCache>
                <c:formatCode>General</c:formatCode>
                <c:ptCount val="3"/>
                <c:pt idx="0">
                  <c:v>15.3</c:v>
                </c:pt>
                <c:pt idx="1">
                  <c:v>35</c:v>
                </c:pt>
                <c:pt idx="2">
                  <c:v>49.6</c:v>
                </c:pt>
              </c:numCache>
            </c:numRef>
          </c:val>
        </c:ser>
        <c:dLbls>
          <c:showLegendKey val="0"/>
          <c:showVal val="0"/>
          <c:showCatName val="0"/>
          <c:showSerName val="0"/>
          <c:showPercent val="0"/>
          <c:showBubbleSize val="0"/>
        </c:dLbls>
        <c:gapWidth val="219"/>
        <c:overlap val="-27"/>
        <c:axId val="475986544"/>
        <c:axId val="475987720"/>
      </c:barChart>
      <c:catAx>
        <c:axId val="47598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87720"/>
        <c:crosses val="autoZero"/>
        <c:auto val="1"/>
        <c:lblAlgn val="ctr"/>
        <c:lblOffset val="100"/>
        <c:noMultiLvlLbl val="0"/>
      </c:catAx>
      <c:valAx>
        <c:axId val="47598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86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Sheet2!$G$30</c:f>
              <c:strCache>
                <c:ptCount val="1"/>
                <c:pt idx="0">
                  <c:v>Frequency of reviewing  the non-financial operational risk (NFOR) management controls and procedures.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Sheet2!$D$25:$D$27</c:f>
              <c:strCache>
                <c:ptCount val="3"/>
                <c:pt idx="0">
                  <c:v>Risk Performance Monitoring (Q25)</c:v>
                </c:pt>
                <c:pt idx="1">
                  <c:v>Risk Plans Review (Q26)</c:v>
                </c:pt>
                <c:pt idx="2">
                  <c:v>Learnt Lessons (Q27)</c:v>
                </c:pt>
              </c:strCache>
            </c:strRef>
          </c:cat>
          <c:val>
            <c:numRef>
              <c:f>Sheet2!$C$25:$C$27</c:f>
              <c:numCache>
                <c:formatCode>0.00</c:formatCode>
                <c:ptCount val="3"/>
                <c:pt idx="0">
                  <c:v>3.9411764705882351</c:v>
                </c:pt>
                <c:pt idx="1">
                  <c:v>3.832116788321168</c:v>
                </c:pt>
                <c:pt idx="2">
                  <c:v>3.9117647058823519</c:v>
                </c:pt>
              </c:numCache>
            </c:numRef>
          </c:val>
        </c:ser>
        <c:dLbls>
          <c:showLegendKey val="0"/>
          <c:showVal val="0"/>
          <c:showCatName val="0"/>
          <c:showSerName val="0"/>
          <c:showPercent val="0"/>
          <c:showBubbleSize val="0"/>
        </c:dLbls>
        <c:gapWidth val="182"/>
        <c:axId val="475991432"/>
        <c:axId val="475990648"/>
      </c:barChart>
      <c:catAx>
        <c:axId val="475991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75990648"/>
        <c:crosses val="autoZero"/>
        <c:auto val="1"/>
        <c:lblAlgn val="ctr"/>
        <c:lblOffset val="100"/>
        <c:noMultiLvlLbl val="0"/>
      </c:catAx>
      <c:valAx>
        <c:axId val="47599064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7599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Sheet2!$G$31</c:f>
              <c:strCache>
                <c:ptCount val="1"/>
                <c:pt idx="0">
                  <c:v>The impact of using standardized model on managing non-financial operational risks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Sheet2!$D$28:$D$29</c:f>
              <c:strCache>
                <c:ptCount val="2"/>
                <c:pt idx="0">
                  <c:v>Standard Complaiance (Q28)</c:v>
                </c:pt>
                <c:pt idx="1">
                  <c:v>Management Systems Flexibility (Q29)</c:v>
                </c:pt>
              </c:strCache>
            </c:strRef>
          </c:cat>
          <c:val>
            <c:numRef>
              <c:f>Sheet2!$C$28:$C$29</c:f>
              <c:numCache>
                <c:formatCode>0.00</c:formatCode>
                <c:ptCount val="2"/>
                <c:pt idx="0">
                  <c:v>3.9635036496350362</c:v>
                </c:pt>
                <c:pt idx="1">
                  <c:v>3.9635036496350362</c:v>
                </c:pt>
              </c:numCache>
            </c:numRef>
          </c:val>
        </c:ser>
        <c:dLbls>
          <c:showLegendKey val="0"/>
          <c:showVal val="0"/>
          <c:showCatName val="0"/>
          <c:showSerName val="0"/>
          <c:showPercent val="0"/>
          <c:showBubbleSize val="0"/>
        </c:dLbls>
        <c:gapWidth val="182"/>
        <c:axId val="475992216"/>
        <c:axId val="278768264"/>
      </c:barChart>
      <c:catAx>
        <c:axId val="475992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8768264"/>
        <c:crosses val="autoZero"/>
        <c:auto val="1"/>
        <c:lblAlgn val="ctr"/>
        <c:lblOffset val="100"/>
        <c:noMultiLvlLbl val="0"/>
      </c:catAx>
      <c:valAx>
        <c:axId val="2787682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475992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Sheet2!$G$32</c:f>
              <c:strCache>
                <c:ptCount val="1"/>
                <c:pt idx="0">
                  <c:v>Training and awareness of staff about the non-financial operational risk (NFOR)  management system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Sheet2!$D$30:$D$33</c:f>
              <c:strCache>
                <c:ptCount val="4"/>
                <c:pt idx="0">
                  <c:v>Reporting the Changes (Q30)</c:v>
                </c:pt>
                <c:pt idx="1">
                  <c:v>Risk Management Awareness (Q31)</c:v>
                </c:pt>
                <c:pt idx="2">
                  <c:v>Special Training Programs (Q32)</c:v>
                </c:pt>
                <c:pt idx="3">
                  <c:v>External Communication (Q33)</c:v>
                </c:pt>
              </c:strCache>
            </c:strRef>
          </c:cat>
          <c:val>
            <c:numRef>
              <c:f>Sheet2!$C$30:$C$33</c:f>
              <c:numCache>
                <c:formatCode>0.00</c:formatCode>
                <c:ptCount val="4"/>
                <c:pt idx="0">
                  <c:v>3.867647058823529</c:v>
                </c:pt>
                <c:pt idx="1">
                  <c:v>3.8161764705882302</c:v>
                </c:pt>
                <c:pt idx="2">
                  <c:v>3.7777777777777781</c:v>
                </c:pt>
                <c:pt idx="3">
                  <c:v>3.9411764705882351</c:v>
                </c:pt>
              </c:numCache>
            </c:numRef>
          </c:val>
        </c:ser>
        <c:dLbls>
          <c:showLegendKey val="0"/>
          <c:showVal val="0"/>
          <c:showCatName val="0"/>
          <c:showSerName val="0"/>
          <c:showPercent val="0"/>
          <c:showBubbleSize val="0"/>
        </c:dLbls>
        <c:gapWidth val="182"/>
        <c:axId val="278766304"/>
        <c:axId val="278766696"/>
      </c:barChart>
      <c:catAx>
        <c:axId val="27876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8766696"/>
        <c:crosses val="autoZero"/>
        <c:auto val="1"/>
        <c:lblAlgn val="ctr"/>
        <c:lblOffset val="100"/>
        <c:noMultiLvlLbl val="0"/>
      </c:catAx>
      <c:valAx>
        <c:axId val="278766696"/>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876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layout>
        <c:manualLayout>
          <c:xMode val="edge"/>
          <c:yMode val="edge"/>
          <c:x val="0.39281764632073252"/>
          <c:y val="2.380954094632137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11373578302711E-2"/>
          <c:y val="0.14321428571428574"/>
          <c:w val="0.85648940247891414"/>
          <c:h val="0.78457036620422449"/>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Sheet1!$A$2:$A$3</c:f>
              <c:strCache>
                <c:ptCount val="2"/>
                <c:pt idx="0">
                  <c:v>Male</c:v>
                </c:pt>
                <c:pt idx="1">
                  <c:v>Female</c:v>
                </c:pt>
              </c:strCache>
            </c:strRef>
          </c:cat>
          <c:val>
            <c:numRef>
              <c:f>Sheet1!$B$2:$B$3</c:f>
              <c:numCache>
                <c:formatCode>General</c:formatCode>
                <c:ptCount val="2"/>
                <c:pt idx="0">
                  <c:v>73.7</c:v>
                </c:pt>
                <c:pt idx="1">
                  <c:v>26.3</c:v>
                </c:pt>
              </c:numCache>
            </c:numRef>
          </c:val>
        </c:ser>
        <c:dLbls>
          <c:showLegendKey val="0"/>
          <c:showVal val="0"/>
          <c:showCatName val="0"/>
          <c:showSerName val="0"/>
          <c:showPercent val="0"/>
          <c:showBubbleSize val="0"/>
        </c:dLbls>
        <c:gapWidth val="219"/>
        <c:overlap val="-27"/>
        <c:axId val="475987328"/>
        <c:axId val="475988112"/>
      </c:barChart>
      <c:catAx>
        <c:axId val="47598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88112"/>
        <c:crosses val="autoZero"/>
        <c:auto val="1"/>
        <c:lblAlgn val="ctr"/>
        <c:lblOffset val="100"/>
        <c:noMultiLvlLbl val="0"/>
      </c:catAx>
      <c:valAx>
        <c:axId val="47598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98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High school</c:v>
                </c:pt>
                <c:pt idx="1">
                  <c:v>Diploma</c:v>
                </c:pt>
                <c:pt idx="2">
                  <c:v>Bachelor</c:v>
                </c:pt>
                <c:pt idx="3">
                  <c:v>Master</c:v>
                </c:pt>
                <c:pt idx="4">
                  <c:v>PhD</c:v>
                </c:pt>
              </c:strCache>
            </c:strRef>
          </c:cat>
          <c:val>
            <c:numRef>
              <c:f>Sheet1!$B$2:$B$6</c:f>
              <c:numCache>
                <c:formatCode>General</c:formatCode>
                <c:ptCount val="5"/>
                <c:pt idx="0">
                  <c:v>0.7</c:v>
                </c:pt>
                <c:pt idx="1">
                  <c:v>2.2000000000000002</c:v>
                </c:pt>
                <c:pt idx="2">
                  <c:v>52.6</c:v>
                </c:pt>
                <c:pt idx="3">
                  <c:v>37.200000000000003</c:v>
                </c:pt>
                <c:pt idx="4">
                  <c:v>7.3</c:v>
                </c:pt>
              </c:numCache>
            </c:numRef>
          </c:val>
        </c:ser>
        <c:dLbls>
          <c:showLegendKey val="0"/>
          <c:showVal val="0"/>
          <c:showCatName val="0"/>
          <c:showSerName val="0"/>
          <c:showPercent val="0"/>
          <c:showBubbleSize val="0"/>
        </c:dLbls>
        <c:gapWidth val="219"/>
        <c:overlap val="-27"/>
        <c:axId val="206318256"/>
        <c:axId val="206315512"/>
      </c:barChart>
      <c:catAx>
        <c:axId val="2063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15512"/>
        <c:crosses val="autoZero"/>
        <c:auto val="1"/>
        <c:lblAlgn val="ctr"/>
        <c:lblOffset val="100"/>
        <c:noMultiLvlLbl val="0"/>
      </c:catAx>
      <c:valAx>
        <c:axId val="206315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Experience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Less than 5 years</c:v>
                </c:pt>
                <c:pt idx="1">
                  <c:v>5-10 years</c:v>
                </c:pt>
                <c:pt idx="2">
                  <c:v>11-15 years</c:v>
                </c:pt>
                <c:pt idx="3">
                  <c:v>16-20 years</c:v>
                </c:pt>
                <c:pt idx="4">
                  <c:v>&gt;20</c:v>
                </c:pt>
              </c:strCache>
            </c:strRef>
          </c:cat>
          <c:val>
            <c:numRef>
              <c:f>Sheet1!$B$2:$B$6</c:f>
              <c:numCache>
                <c:formatCode>General</c:formatCode>
                <c:ptCount val="5"/>
                <c:pt idx="0">
                  <c:v>12.4</c:v>
                </c:pt>
                <c:pt idx="1">
                  <c:v>14.6</c:v>
                </c:pt>
                <c:pt idx="2">
                  <c:v>35.799999999999997</c:v>
                </c:pt>
                <c:pt idx="3">
                  <c:v>27.7</c:v>
                </c:pt>
                <c:pt idx="4">
                  <c:v>9.5</c:v>
                </c:pt>
              </c:numCache>
            </c:numRef>
          </c:val>
        </c:ser>
        <c:dLbls>
          <c:showLegendKey val="0"/>
          <c:showVal val="0"/>
          <c:showCatName val="0"/>
          <c:showSerName val="0"/>
          <c:showPercent val="0"/>
          <c:showBubbleSize val="0"/>
        </c:dLbls>
        <c:gapWidth val="219"/>
        <c:overlap val="-27"/>
        <c:axId val="206318648"/>
        <c:axId val="206317472"/>
      </c:barChart>
      <c:catAx>
        <c:axId val="20631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17472"/>
        <c:crosses val="autoZero"/>
        <c:auto val="1"/>
        <c:lblAlgn val="ctr"/>
        <c:lblOffset val="100"/>
        <c:noMultiLvlLbl val="0"/>
      </c:catAx>
      <c:valAx>
        <c:axId val="20631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318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Sheet2!$G$25</c:f>
              <c:strCache>
                <c:ptCount val="1"/>
                <c:pt idx="0">
                  <c:v>Understanding the risk source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Sheet2!$D$1:$D$3</c:f>
              <c:strCache>
                <c:ptCount val="3"/>
                <c:pt idx="0">
                  <c:v>Risk Categorize (Q1)</c:v>
                </c:pt>
                <c:pt idx="1">
                  <c:v>Sub Categorize Risk (Q2)</c:v>
                </c:pt>
                <c:pt idx="2">
                  <c:v>Risk Integration (Q3)</c:v>
                </c:pt>
              </c:strCache>
            </c:strRef>
          </c:cat>
          <c:val>
            <c:numRef>
              <c:f>Sheet2!$C$1:$C$3</c:f>
              <c:numCache>
                <c:formatCode>0.00</c:formatCode>
                <c:ptCount val="3"/>
                <c:pt idx="0">
                  <c:v>3.532846715328462</c:v>
                </c:pt>
                <c:pt idx="1">
                  <c:v>3.4890510948905109</c:v>
                </c:pt>
                <c:pt idx="2">
                  <c:v>3.6148148148148151</c:v>
                </c:pt>
              </c:numCache>
            </c:numRef>
          </c:val>
        </c:ser>
        <c:dLbls>
          <c:showLegendKey val="0"/>
          <c:showVal val="0"/>
          <c:showCatName val="0"/>
          <c:showSerName val="0"/>
          <c:showPercent val="0"/>
          <c:showBubbleSize val="0"/>
        </c:dLbls>
        <c:gapWidth val="182"/>
        <c:axId val="206315904"/>
        <c:axId val="206317864"/>
      </c:barChart>
      <c:catAx>
        <c:axId val="206315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6317864"/>
        <c:crosses val="autoZero"/>
        <c:auto val="1"/>
        <c:lblAlgn val="ctr"/>
        <c:lblOffset val="100"/>
        <c:noMultiLvlLbl val="0"/>
      </c:catAx>
      <c:valAx>
        <c:axId val="20631786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631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Sheet2!$G$26</c:f>
              <c:strCache>
                <c:ptCount val="1"/>
                <c:pt idx="0">
                  <c:v>Identification of the non financial operational risks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Sheet2!$D$4:$D$7</c:f>
              <c:strCache>
                <c:ptCount val="4"/>
                <c:pt idx="0">
                  <c:v>Risk Assessment (Q4)</c:v>
                </c:pt>
                <c:pt idx="1">
                  <c:v>Risk Register (Q5)</c:v>
                </c:pt>
                <c:pt idx="2">
                  <c:v>Impact Matrix (Q6)</c:v>
                </c:pt>
                <c:pt idx="3">
                  <c:v>Risk Probability &amp; Impact Matrix (Q7)</c:v>
                </c:pt>
              </c:strCache>
            </c:strRef>
          </c:cat>
          <c:val>
            <c:numRef>
              <c:f>Sheet2!$C$4:$C$7</c:f>
              <c:numCache>
                <c:formatCode>0.00</c:formatCode>
                <c:ptCount val="4"/>
                <c:pt idx="0">
                  <c:v>3.7810218978102199</c:v>
                </c:pt>
                <c:pt idx="1">
                  <c:v>3.9270072992700729</c:v>
                </c:pt>
                <c:pt idx="2">
                  <c:v>3.9124087591240828</c:v>
                </c:pt>
                <c:pt idx="3">
                  <c:v>3.8540145985401462</c:v>
                </c:pt>
              </c:numCache>
            </c:numRef>
          </c:val>
        </c:ser>
        <c:dLbls>
          <c:showLegendKey val="0"/>
          <c:showVal val="0"/>
          <c:showCatName val="0"/>
          <c:showSerName val="0"/>
          <c:showPercent val="0"/>
          <c:showBubbleSize val="0"/>
        </c:dLbls>
        <c:gapWidth val="182"/>
        <c:axId val="206316688"/>
        <c:axId val="277809448"/>
      </c:barChart>
      <c:catAx>
        <c:axId val="20631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9448"/>
        <c:crosses val="autoZero"/>
        <c:auto val="1"/>
        <c:lblAlgn val="ctr"/>
        <c:lblOffset val="100"/>
        <c:noMultiLvlLbl val="0"/>
      </c:catAx>
      <c:valAx>
        <c:axId val="27780944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0631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Sheet2!$G$27</c:f>
              <c:strCache>
                <c:ptCount val="1"/>
                <c:pt idx="0">
                  <c:v>Current risk management system(s), models and framework(s) implemented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Sheet2!$D$8:$D$12</c:f>
              <c:strCache>
                <c:ptCount val="5"/>
                <c:pt idx="0">
                  <c:v>Erm Availability (Q8)</c:v>
                </c:pt>
                <c:pt idx="1">
                  <c:v>Mapped To Strategy (Q9)</c:v>
                </c:pt>
                <c:pt idx="2">
                  <c:v>Addressing The Relation Between Risks (Q10)</c:v>
                </c:pt>
                <c:pt idx="3">
                  <c:v>Process Structure Through Erm (Q11)</c:v>
                </c:pt>
                <c:pt idx="4">
                  <c:v>Erm Communication (Q12)</c:v>
                </c:pt>
              </c:strCache>
            </c:strRef>
          </c:cat>
          <c:val>
            <c:numRef>
              <c:f>Sheet2!$C$8:$C$12</c:f>
              <c:numCache>
                <c:formatCode>0.00</c:formatCode>
                <c:ptCount val="5"/>
                <c:pt idx="0">
                  <c:v>3.9124087591240828</c:v>
                </c:pt>
                <c:pt idx="1">
                  <c:v>3.766423357664233</c:v>
                </c:pt>
                <c:pt idx="2">
                  <c:v>3.7080291970802919</c:v>
                </c:pt>
                <c:pt idx="3">
                  <c:v>3.4338235294117641</c:v>
                </c:pt>
                <c:pt idx="4">
                  <c:v>3.824817518248175</c:v>
                </c:pt>
              </c:numCache>
            </c:numRef>
          </c:val>
        </c:ser>
        <c:dLbls>
          <c:showLegendKey val="0"/>
          <c:showVal val="0"/>
          <c:showCatName val="0"/>
          <c:showSerName val="0"/>
          <c:showPercent val="0"/>
          <c:showBubbleSize val="0"/>
        </c:dLbls>
        <c:gapWidth val="182"/>
        <c:axId val="277806704"/>
        <c:axId val="277808664"/>
      </c:barChart>
      <c:catAx>
        <c:axId val="277806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8664"/>
        <c:crosses val="autoZero"/>
        <c:auto val="1"/>
        <c:lblAlgn val="ctr"/>
        <c:lblOffset val="100"/>
        <c:noMultiLvlLbl val="0"/>
      </c:catAx>
      <c:valAx>
        <c:axId val="277808664"/>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6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Sheet2!$G$28</c:f>
              <c:strCache>
                <c:ptCount val="1"/>
                <c:pt idx="0">
                  <c:v>P4 Managing NFORs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Sheet2!$D$13:$D$19</c:f>
              <c:strCache>
                <c:ptCount val="7"/>
                <c:pt idx="0">
                  <c:v>Risk Appetite Availabelity (Q13)</c:v>
                </c:pt>
                <c:pt idx="1">
                  <c:v>Risk Assessment Process(S) (Q14)</c:v>
                </c:pt>
                <c:pt idx="2">
                  <c:v>Risk Review/Assessment Frequency (Q15)</c:v>
                </c:pt>
                <c:pt idx="3">
                  <c:v>Systematic Assessment / Management (Q16)</c:v>
                </c:pt>
                <c:pt idx="4">
                  <c:v>Quantifying The Risks (Q17)</c:v>
                </c:pt>
                <c:pt idx="5">
                  <c:v>Risk Prioritizing (Q18)</c:v>
                </c:pt>
                <c:pt idx="6">
                  <c:v>Decision Support (Q19)</c:v>
                </c:pt>
              </c:strCache>
            </c:strRef>
          </c:cat>
          <c:val>
            <c:numRef>
              <c:f>Sheet2!$C$13:$C$19</c:f>
              <c:numCache>
                <c:formatCode>0.00</c:formatCode>
                <c:ptCount val="7"/>
                <c:pt idx="0">
                  <c:v>3.9124087591240868</c:v>
                </c:pt>
                <c:pt idx="1">
                  <c:v>3.7777777777777781</c:v>
                </c:pt>
                <c:pt idx="2">
                  <c:v>3.8102189781021898</c:v>
                </c:pt>
                <c:pt idx="3">
                  <c:v>3.7883211678832112</c:v>
                </c:pt>
                <c:pt idx="4">
                  <c:v>3.8029197080291972</c:v>
                </c:pt>
                <c:pt idx="5">
                  <c:v>3.8540145985401462</c:v>
                </c:pt>
                <c:pt idx="6">
                  <c:v>3.9264705882352939</c:v>
                </c:pt>
              </c:numCache>
            </c:numRef>
          </c:val>
        </c:ser>
        <c:dLbls>
          <c:showLegendKey val="0"/>
          <c:showVal val="0"/>
          <c:showCatName val="0"/>
          <c:showSerName val="0"/>
          <c:showPercent val="0"/>
          <c:showBubbleSize val="0"/>
        </c:dLbls>
        <c:gapWidth val="182"/>
        <c:axId val="277810232"/>
        <c:axId val="277809840"/>
      </c:barChart>
      <c:catAx>
        <c:axId val="27781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9840"/>
        <c:crosses val="autoZero"/>
        <c:auto val="1"/>
        <c:lblAlgn val="ctr"/>
        <c:lblOffset val="100"/>
        <c:noMultiLvlLbl val="0"/>
      </c:catAx>
      <c:valAx>
        <c:axId val="277809840"/>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10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charset="0"/>
          <a:ea typeface="Times New Roman" charset="0"/>
          <a:cs typeface="Times New Roman"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Sheet2!$G$29</c:f>
              <c:strCache>
                <c:ptCount val="1"/>
                <c:pt idx="0">
                  <c:v>The available operational controls and mitigation plans (risk response )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charset="0"/>
                    <a:ea typeface="Times New Roman" charset="0"/>
                    <a:cs typeface="Times New Roman"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Sheet2!$D$20:$D$24</c:f>
              <c:strCache>
                <c:ptCount val="5"/>
                <c:pt idx="0">
                  <c:v>Risk Treatment (Q20) </c:v>
                </c:pt>
                <c:pt idx="1">
                  <c:v>Integration With Other Systems (Q21)</c:v>
                </c:pt>
                <c:pt idx="2">
                  <c:v>Risk Treatment -Prioritizing (Q22)</c:v>
                </c:pt>
                <c:pt idx="3">
                  <c:v>Risk Controls (Q23)</c:v>
                </c:pt>
                <c:pt idx="4">
                  <c:v>Risk Treatment Resources (Q24)</c:v>
                </c:pt>
              </c:strCache>
            </c:strRef>
          </c:cat>
          <c:val>
            <c:numRef>
              <c:f>Sheet2!$C$20:$C$24</c:f>
              <c:numCache>
                <c:formatCode>0.00</c:formatCode>
                <c:ptCount val="5"/>
                <c:pt idx="0">
                  <c:v>3.7810218978102199</c:v>
                </c:pt>
                <c:pt idx="1">
                  <c:v>3.941605839416058</c:v>
                </c:pt>
                <c:pt idx="2">
                  <c:v>3.8175182481751819</c:v>
                </c:pt>
                <c:pt idx="3">
                  <c:v>3.9117647058823519</c:v>
                </c:pt>
                <c:pt idx="4">
                  <c:v>3.8382352941176472</c:v>
                </c:pt>
              </c:numCache>
            </c:numRef>
          </c:val>
        </c:ser>
        <c:dLbls>
          <c:showLegendKey val="0"/>
          <c:showVal val="0"/>
          <c:showCatName val="0"/>
          <c:showSerName val="0"/>
          <c:showPercent val="0"/>
          <c:showBubbleSize val="0"/>
        </c:dLbls>
        <c:gapWidth val="182"/>
        <c:axId val="277808272"/>
        <c:axId val="277807488"/>
      </c:barChart>
      <c:catAx>
        <c:axId val="277808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7488"/>
        <c:crosses val="autoZero"/>
        <c:auto val="1"/>
        <c:lblAlgn val="ctr"/>
        <c:lblOffset val="100"/>
        <c:noMultiLvlLbl val="0"/>
      </c:catAx>
      <c:valAx>
        <c:axId val="277807488"/>
        <c:scaling>
          <c:orientation val="minMax"/>
          <c:max val="5"/>
          <c:min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7780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Mkhalaf</dc:creator>
  <cp:keywords/>
  <dc:description/>
  <cp:lastModifiedBy>khaldoun alqaisi</cp:lastModifiedBy>
  <cp:revision>5</cp:revision>
  <dcterms:created xsi:type="dcterms:W3CDTF">2018-03-24T05:19:00Z</dcterms:created>
  <dcterms:modified xsi:type="dcterms:W3CDTF">2018-04-03T07:15:00Z</dcterms:modified>
</cp:coreProperties>
</file>