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AD" w:rsidRPr="00201AAD" w:rsidRDefault="00201AAD" w:rsidP="00201AAD">
      <w:pPr>
        <w:jc w:val="center"/>
        <w:rPr>
          <w:rFonts w:ascii="Times New Roman" w:hAnsi="Times New Roman" w:cs="Times New Roman"/>
          <w:b/>
          <w:color w:val="000000" w:themeColor="text1"/>
          <w:sz w:val="32"/>
          <w:szCs w:val="32"/>
        </w:rPr>
      </w:pPr>
      <w:bookmarkStart w:id="0" w:name="_GoBack"/>
      <w:bookmarkEnd w:id="0"/>
      <w:r w:rsidRPr="00201AAD">
        <w:rPr>
          <w:rFonts w:ascii="Times New Roman" w:hAnsi="Times New Roman" w:cs="Times New Roman" w:hint="eastAsia"/>
          <w:b/>
          <w:color w:val="000000" w:themeColor="text1"/>
          <w:sz w:val="32"/>
          <w:szCs w:val="32"/>
        </w:rPr>
        <w:t xml:space="preserve">Investment Performance of Intangible Assets: a Further Consideration of Product Safety and High Compensation </w:t>
      </w:r>
    </w:p>
    <w:p w:rsidR="00201AAD" w:rsidRPr="00201AAD" w:rsidRDefault="00201AAD" w:rsidP="00201AAD">
      <w:pPr>
        <w:jc w:val="center"/>
        <w:rPr>
          <w:rFonts w:ascii="Times New Roman" w:hAnsi="Times New Roman" w:cs="Times New Roman"/>
          <w:b/>
          <w:color w:val="000000" w:themeColor="text1"/>
          <w:szCs w:val="24"/>
        </w:rPr>
      </w:pPr>
    </w:p>
    <w:p w:rsidR="00201AAD" w:rsidRPr="00201AAD" w:rsidRDefault="00201AAD" w:rsidP="00201AAD">
      <w:pPr>
        <w:jc w:val="center"/>
        <w:rPr>
          <w:rFonts w:ascii="Times New Roman" w:hAnsi="Times New Roman" w:cs="Times New Roman"/>
          <w:b/>
          <w:color w:val="000000" w:themeColor="text1"/>
          <w:szCs w:val="24"/>
        </w:rPr>
      </w:pPr>
    </w:p>
    <w:p w:rsidR="00201AAD" w:rsidRPr="00B83D4A" w:rsidRDefault="00201AAD" w:rsidP="00B83D4A">
      <w:pPr>
        <w:jc w:val="center"/>
        <w:rPr>
          <w:rFonts w:ascii="Times New Roman" w:hAnsi="Times New Roman" w:cs="Times New Roman"/>
          <w:b/>
          <w:color w:val="000000" w:themeColor="text1"/>
          <w:szCs w:val="24"/>
        </w:rPr>
      </w:pPr>
      <w:r w:rsidRPr="00201AAD">
        <w:rPr>
          <w:rFonts w:ascii="Times New Roman" w:hAnsi="Times New Roman" w:cs="Times New Roman" w:hint="eastAsia"/>
          <w:b/>
          <w:color w:val="000000" w:themeColor="text1"/>
          <w:szCs w:val="24"/>
        </w:rPr>
        <w:t>Feng</w:t>
      </w:r>
      <w:r w:rsidR="00B83D4A">
        <w:rPr>
          <w:rFonts w:ascii="Times New Roman" w:hAnsi="Times New Roman" w:cs="Times New Roman" w:hint="eastAsia"/>
          <w:b/>
          <w:color w:val="000000" w:themeColor="text1"/>
          <w:szCs w:val="24"/>
        </w:rPr>
        <w:t>-</w:t>
      </w:r>
      <w:proofErr w:type="spellStart"/>
      <w:r w:rsidRPr="00201AAD">
        <w:rPr>
          <w:rFonts w:ascii="Times New Roman" w:hAnsi="Times New Roman" w:cs="Times New Roman" w:hint="eastAsia"/>
          <w:b/>
          <w:color w:val="000000" w:themeColor="text1"/>
          <w:szCs w:val="24"/>
        </w:rPr>
        <w:t>Jui</w:t>
      </w:r>
      <w:proofErr w:type="spellEnd"/>
      <w:r w:rsidRPr="00201AAD">
        <w:rPr>
          <w:rFonts w:ascii="Times New Roman" w:hAnsi="Times New Roman" w:cs="Times New Roman" w:hint="eastAsia"/>
          <w:b/>
          <w:color w:val="000000" w:themeColor="text1"/>
          <w:szCs w:val="24"/>
        </w:rPr>
        <w:t xml:space="preserve"> Hsu</w:t>
      </w:r>
      <w:r w:rsidRPr="00201AAD">
        <w:rPr>
          <w:rFonts w:ascii="Times New Roman" w:hAnsi="Times New Roman" w:cs="Times New Roman" w:hint="eastAsia"/>
          <w:b/>
          <w:color w:val="000000" w:themeColor="text1"/>
          <w:szCs w:val="24"/>
          <w:vertAlign w:val="superscript"/>
        </w:rPr>
        <w:t>1</w:t>
      </w:r>
      <w:r w:rsidRPr="00201AAD">
        <w:rPr>
          <w:rFonts w:ascii="Times New Roman" w:hAnsi="Times New Roman" w:cs="Times New Roman" w:hint="eastAsia"/>
          <w:b/>
          <w:color w:val="000000" w:themeColor="text1"/>
          <w:szCs w:val="24"/>
        </w:rPr>
        <w:t xml:space="preserve">, </w:t>
      </w:r>
      <w:r w:rsidR="004D6795">
        <w:rPr>
          <w:rFonts w:ascii="Times New Roman" w:hAnsi="Times New Roman" w:cs="Times New Roman" w:hint="eastAsia"/>
          <w:b/>
          <w:color w:val="000000" w:themeColor="text1"/>
          <w:szCs w:val="24"/>
        </w:rPr>
        <w:t>Yu-Cheng Chen</w:t>
      </w:r>
      <w:r w:rsidRPr="00201AAD">
        <w:rPr>
          <w:rFonts w:ascii="Times New Roman" w:hAnsi="Times New Roman" w:cs="Times New Roman" w:hint="eastAsia"/>
          <w:b/>
          <w:color w:val="000000" w:themeColor="text1"/>
          <w:szCs w:val="24"/>
          <w:vertAlign w:val="superscript"/>
        </w:rPr>
        <w:t>2,*</w:t>
      </w:r>
      <w:r w:rsidR="004D6795">
        <w:rPr>
          <w:rFonts w:ascii="Times New Roman" w:hAnsi="Times New Roman" w:cs="Times New Roman" w:hint="eastAsia"/>
          <w:b/>
          <w:color w:val="000000" w:themeColor="text1"/>
          <w:szCs w:val="24"/>
        </w:rPr>
        <w:t xml:space="preserve">, </w:t>
      </w:r>
      <w:proofErr w:type="spellStart"/>
      <w:r w:rsidR="00B83D4A" w:rsidRPr="00B83D4A">
        <w:rPr>
          <w:rFonts w:ascii="Times New Roman" w:hAnsi="Times New Roman" w:cs="Times New Roman" w:hint="eastAsia"/>
          <w:b/>
          <w:color w:val="000000" w:themeColor="text1"/>
          <w:szCs w:val="24"/>
        </w:rPr>
        <w:t>Tsung</w:t>
      </w:r>
      <w:proofErr w:type="spellEnd"/>
      <w:r w:rsidR="00B83D4A" w:rsidRPr="00B83D4A">
        <w:rPr>
          <w:rFonts w:ascii="Times New Roman" w:hAnsi="Times New Roman" w:cs="Times New Roman" w:hint="eastAsia"/>
          <w:b/>
          <w:color w:val="000000" w:themeColor="text1"/>
          <w:szCs w:val="24"/>
        </w:rPr>
        <w:t>-Yi Liu</w:t>
      </w:r>
      <w:r w:rsidR="00B83D4A">
        <w:rPr>
          <w:rFonts w:ascii="Times New Roman" w:hAnsi="Times New Roman" w:cs="Times New Roman" w:hint="eastAsia"/>
          <w:b/>
          <w:color w:val="000000" w:themeColor="text1"/>
          <w:szCs w:val="24"/>
          <w:vertAlign w:val="superscript"/>
        </w:rPr>
        <w:t>3</w:t>
      </w:r>
    </w:p>
    <w:p w:rsidR="00201AAD" w:rsidRPr="004D6795" w:rsidRDefault="00201AAD" w:rsidP="00201AAD">
      <w:pPr>
        <w:jc w:val="center"/>
        <w:rPr>
          <w:rFonts w:ascii="Times New Roman" w:hAnsi="Times New Roman" w:cs="Times New Roman"/>
          <w:b/>
          <w:color w:val="000000" w:themeColor="text1"/>
          <w:szCs w:val="24"/>
        </w:rPr>
      </w:pPr>
    </w:p>
    <w:p w:rsidR="004D6795" w:rsidRPr="004D6795" w:rsidRDefault="00B83D4A" w:rsidP="004D6795">
      <w:pPr>
        <w:jc w:val="center"/>
        <w:rPr>
          <w:rFonts w:ascii="Times New Roman" w:hAnsi="Times New Roman" w:cs="Times New Roman"/>
          <w:b/>
          <w:color w:val="000000" w:themeColor="text1"/>
          <w:szCs w:val="24"/>
        </w:rPr>
      </w:pPr>
      <w:r w:rsidRPr="004D6795">
        <w:rPr>
          <w:rFonts w:ascii="Times New Roman" w:hAnsi="Times New Roman" w:cs="Times New Roman" w:hint="eastAsia"/>
          <w:b/>
          <w:color w:val="000000" w:themeColor="text1"/>
          <w:szCs w:val="24"/>
          <w:vertAlign w:val="superscript"/>
        </w:rPr>
        <w:t>1</w:t>
      </w:r>
      <w:r w:rsidR="004D6795" w:rsidRPr="004D6795">
        <w:rPr>
          <w:rFonts w:ascii="Times New Roman" w:eastAsia="新細明體" w:hAnsi="Times New Roman" w:cs="Times New Roman"/>
          <w:b/>
          <w:color w:val="000000"/>
          <w:kern w:val="0"/>
          <w:sz w:val="28"/>
          <w:szCs w:val="28"/>
        </w:rPr>
        <w:t xml:space="preserve"> </w:t>
      </w:r>
      <w:r w:rsidR="004D6795" w:rsidRPr="004D6795">
        <w:rPr>
          <w:rFonts w:ascii="Times New Roman" w:hAnsi="Times New Roman" w:cs="Times New Roman"/>
          <w:b/>
          <w:color w:val="000000" w:themeColor="text1"/>
          <w:szCs w:val="24"/>
        </w:rPr>
        <w:t>National Taichung University of Science and Technology, Taiwan, Assistant Professor</w:t>
      </w:r>
    </w:p>
    <w:p w:rsidR="00201AAD" w:rsidRPr="00201AAD" w:rsidRDefault="00B83D4A" w:rsidP="00201AAD">
      <w:pPr>
        <w:jc w:val="center"/>
        <w:rPr>
          <w:rFonts w:ascii="Times New Roman" w:hAnsi="Times New Roman" w:cs="Times New Roman"/>
          <w:b/>
          <w:color w:val="000000" w:themeColor="text1"/>
          <w:szCs w:val="24"/>
        </w:rPr>
      </w:pPr>
      <w:r w:rsidRPr="00B83D4A">
        <w:rPr>
          <w:rFonts w:ascii="Times New Roman" w:hAnsi="Times New Roman" w:cs="Times New Roman" w:hint="eastAsia"/>
          <w:b/>
          <w:color w:val="000000" w:themeColor="text1"/>
          <w:szCs w:val="24"/>
          <w:vertAlign w:val="superscript"/>
        </w:rPr>
        <w:t>2,*</w:t>
      </w:r>
      <w:r w:rsidR="00201AAD" w:rsidRPr="00201AAD">
        <w:rPr>
          <w:rFonts w:ascii="Times New Roman" w:hAnsi="Times New Roman" w:cs="Times New Roman"/>
          <w:b/>
          <w:color w:val="000000" w:themeColor="text1"/>
          <w:szCs w:val="24"/>
        </w:rPr>
        <w:t xml:space="preserve">National Chung </w:t>
      </w:r>
      <w:proofErr w:type="spellStart"/>
      <w:r w:rsidR="00201AAD" w:rsidRPr="00201AAD">
        <w:rPr>
          <w:rFonts w:ascii="Times New Roman" w:hAnsi="Times New Roman" w:cs="Times New Roman"/>
          <w:b/>
          <w:color w:val="000000" w:themeColor="text1"/>
          <w:szCs w:val="24"/>
        </w:rPr>
        <w:t>Hsing</w:t>
      </w:r>
      <w:proofErr w:type="spellEnd"/>
      <w:r w:rsidR="00201AAD" w:rsidRPr="00201AAD">
        <w:rPr>
          <w:rFonts w:ascii="Times New Roman" w:hAnsi="Times New Roman" w:cs="Times New Roman"/>
          <w:b/>
          <w:color w:val="000000" w:themeColor="text1"/>
          <w:szCs w:val="24"/>
        </w:rPr>
        <w:t xml:space="preserve"> University, Taiwan, Professor</w:t>
      </w:r>
    </w:p>
    <w:p w:rsidR="00201AAD" w:rsidRPr="00201AAD" w:rsidRDefault="00B83D4A" w:rsidP="00201AAD">
      <w:pPr>
        <w:jc w:val="center"/>
        <w:rPr>
          <w:rFonts w:ascii="Times New Roman" w:hAnsi="Times New Roman" w:cs="Times New Roman"/>
          <w:b/>
          <w:color w:val="000000" w:themeColor="text1"/>
          <w:szCs w:val="24"/>
        </w:rPr>
      </w:pPr>
      <w:r>
        <w:rPr>
          <w:rFonts w:ascii="Times New Roman" w:hAnsi="Times New Roman" w:cs="Times New Roman" w:hint="eastAsia"/>
          <w:b/>
          <w:color w:val="000000" w:themeColor="text1"/>
          <w:szCs w:val="24"/>
          <w:vertAlign w:val="superscript"/>
        </w:rPr>
        <w:t>3</w:t>
      </w:r>
      <w:r w:rsidR="00201AAD" w:rsidRPr="00201AAD">
        <w:rPr>
          <w:rFonts w:ascii="Times New Roman" w:hAnsi="Times New Roman" w:cs="Times New Roman"/>
          <w:b/>
          <w:color w:val="000000" w:themeColor="text1"/>
          <w:szCs w:val="24"/>
        </w:rPr>
        <w:t xml:space="preserve">National Chung </w:t>
      </w:r>
      <w:proofErr w:type="spellStart"/>
      <w:r w:rsidR="00201AAD" w:rsidRPr="00201AAD">
        <w:rPr>
          <w:rFonts w:ascii="Times New Roman" w:hAnsi="Times New Roman" w:cs="Times New Roman"/>
          <w:b/>
          <w:color w:val="000000" w:themeColor="text1"/>
          <w:szCs w:val="24"/>
        </w:rPr>
        <w:t>Hsing</w:t>
      </w:r>
      <w:proofErr w:type="spellEnd"/>
      <w:r w:rsidR="00201AAD" w:rsidRPr="00201AAD">
        <w:rPr>
          <w:rFonts w:ascii="Times New Roman" w:hAnsi="Times New Roman" w:cs="Times New Roman"/>
          <w:b/>
          <w:color w:val="000000" w:themeColor="text1"/>
          <w:szCs w:val="24"/>
        </w:rPr>
        <w:t xml:space="preserve"> University, Taiwan, </w:t>
      </w:r>
      <w:r>
        <w:rPr>
          <w:rFonts w:ascii="Times New Roman" w:hAnsi="Times New Roman" w:cs="Times New Roman" w:hint="eastAsia"/>
          <w:b/>
          <w:color w:val="000000" w:themeColor="text1"/>
          <w:szCs w:val="24"/>
        </w:rPr>
        <w:t>Ph.D. candidate</w:t>
      </w:r>
    </w:p>
    <w:p w:rsidR="00201AAD" w:rsidRPr="00201AAD" w:rsidRDefault="00201AAD" w:rsidP="00201AAD">
      <w:pPr>
        <w:jc w:val="center"/>
        <w:rPr>
          <w:rFonts w:ascii="Times New Roman" w:hAnsi="Times New Roman" w:cs="Times New Roman"/>
          <w:b/>
          <w:color w:val="000000" w:themeColor="text1"/>
          <w:szCs w:val="24"/>
        </w:rPr>
      </w:pPr>
    </w:p>
    <w:p w:rsidR="00B83D4A" w:rsidRPr="00B83D4A" w:rsidRDefault="00B83D4A" w:rsidP="00B83D4A">
      <w:pPr>
        <w:jc w:val="center"/>
        <w:rPr>
          <w:rFonts w:ascii="Times New Roman" w:hAnsi="Times New Roman" w:cs="Times New Roman"/>
          <w:b/>
          <w:color w:val="000000" w:themeColor="text1"/>
          <w:szCs w:val="24"/>
        </w:rPr>
      </w:pPr>
      <w:r w:rsidRPr="00B83D4A">
        <w:rPr>
          <w:rFonts w:ascii="Times New Roman" w:hAnsi="Times New Roman" w:cs="Times New Roman" w:hint="eastAsia"/>
          <w:b/>
          <w:color w:val="000000" w:themeColor="text1"/>
          <w:szCs w:val="24"/>
          <w:vertAlign w:val="superscript"/>
        </w:rPr>
        <w:t>1</w:t>
      </w:r>
      <w:hyperlink r:id="rId9" w:history="1">
        <w:r w:rsidRPr="00B83D4A">
          <w:rPr>
            <w:rStyle w:val="ad"/>
            <w:rFonts w:ascii="Times New Roman" w:hAnsi="Times New Roman" w:cs="Times New Roman" w:hint="eastAsia"/>
            <w:b/>
            <w:szCs w:val="24"/>
          </w:rPr>
          <w:t>rickhsutw</w:t>
        </w:r>
        <w:r w:rsidRPr="00B83D4A">
          <w:rPr>
            <w:rStyle w:val="ad"/>
            <w:rFonts w:ascii="Times New Roman" w:hAnsi="Times New Roman" w:cs="Times New Roman"/>
            <w:b/>
            <w:szCs w:val="24"/>
          </w:rPr>
          <w:t>@nutc.edu.tw</w:t>
        </w:r>
      </w:hyperlink>
      <w:r w:rsidRPr="00B83D4A">
        <w:rPr>
          <w:rFonts w:ascii="Times New Roman" w:hAnsi="Times New Roman" w:cs="Times New Roman"/>
          <w:b/>
          <w:color w:val="000000" w:themeColor="text1"/>
          <w:szCs w:val="24"/>
        </w:rPr>
        <w:t>, +886-4-2219</w:t>
      </w:r>
      <w:r w:rsidRPr="00B83D4A">
        <w:rPr>
          <w:rFonts w:ascii="Times New Roman" w:hAnsi="Times New Roman" w:cs="Times New Roman" w:hint="eastAsia"/>
          <w:b/>
          <w:color w:val="000000" w:themeColor="text1"/>
          <w:szCs w:val="24"/>
        </w:rPr>
        <w:t>6032</w:t>
      </w:r>
    </w:p>
    <w:p w:rsidR="00B83D4A" w:rsidRPr="00201AAD" w:rsidRDefault="00B83D4A" w:rsidP="00B83D4A">
      <w:pPr>
        <w:jc w:val="center"/>
        <w:rPr>
          <w:rFonts w:ascii="Times New Roman" w:hAnsi="Times New Roman" w:cs="Times New Roman"/>
          <w:b/>
          <w:color w:val="000000" w:themeColor="text1"/>
          <w:szCs w:val="24"/>
        </w:rPr>
      </w:pPr>
      <w:r w:rsidRPr="00201AAD">
        <w:rPr>
          <w:rFonts w:ascii="Times New Roman" w:hAnsi="Times New Roman" w:cs="Times New Roman"/>
          <w:b/>
          <w:color w:val="000000" w:themeColor="text1"/>
          <w:szCs w:val="24"/>
          <w:vertAlign w:val="superscript"/>
        </w:rPr>
        <w:t>2,*</w:t>
      </w:r>
      <w:hyperlink r:id="rId10" w:history="1">
        <w:r w:rsidRPr="00201AAD">
          <w:rPr>
            <w:rStyle w:val="ad"/>
            <w:rFonts w:ascii="Times New Roman" w:hAnsi="Times New Roman" w:cs="Times New Roman"/>
            <w:b/>
            <w:szCs w:val="24"/>
          </w:rPr>
          <w:t>ycchen@nchu.edu.tw</w:t>
        </w:r>
      </w:hyperlink>
      <w:r w:rsidRPr="00201AAD">
        <w:rPr>
          <w:rFonts w:ascii="Times New Roman" w:hAnsi="Times New Roman" w:cs="Times New Roman"/>
          <w:b/>
          <w:color w:val="000000" w:themeColor="text1"/>
          <w:szCs w:val="24"/>
        </w:rPr>
        <w:t>, +886-4-22870176</w:t>
      </w:r>
    </w:p>
    <w:p w:rsidR="00B83D4A" w:rsidRPr="00B83D4A" w:rsidRDefault="00B83D4A" w:rsidP="00B83D4A">
      <w:pPr>
        <w:jc w:val="center"/>
        <w:rPr>
          <w:rFonts w:ascii="Times New Roman" w:hAnsi="Times New Roman" w:cs="Times New Roman"/>
          <w:b/>
          <w:color w:val="000000" w:themeColor="text1"/>
          <w:szCs w:val="24"/>
        </w:rPr>
      </w:pPr>
      <w:r w:rsidRPr="00B83D4A">
        <w:rPr>
          <w:rFonts w:ascii="Times New Roman" w:hAnsi="Times New Roman" w:cs="Times New Roman" w:hint="eastAsia"/>
          <w:b/>
          <w:color w:val="000000" w:themeColor="text1"/>
          <w:szCs w:val="24"/>
          <w:vertAlign w:val="superscript"/>
        </w:rPr>
        <w:t>3</w:t>
      </w:r>
      <w:r w:rsidRPr="00B83D4A">
        <w:rPr>
          <w:rFonts w:ascii="Times New Roman" w:hAnsi="Times New Roman" w:cs="Times New Roman" w:hint="eastAsia"/>
          <w:b/>
          <w:color w:val="000000" w:themeColor="text1"/>
          <w:szCs w:val="24"/>
          <w:u w:val="single"/>
        </w:rPr>
        <w:t>carlosliu@mail.pec.com.tw</w:t>
      </w:r>
      <w:r w:rsidRPr="00201AAD">
        <w:rPr>
          <w:rFonts w:ascii="Times New Roman" w:hAnsi="Times New Roman" w:cs="Times New Roman"/>
          <w:b/>
          <w:color w:val="000000" w:themeColor="text1"/>
          <w:szCs w:val="24"/>
        </w:rPr>
        <w:t>, +886-4-22840808 Ext 446</w:t>
      </w:r>
    </w:p>
    <w:p w:rsidR="00201AAD" w:rsidRPr="00B83D4A" w:rsidRDefault="00201AAD" w:rsidP="00201AAD">
      <w:pPr>
        <w:jc w:val="center"/>
        <w:rPr>
          <w:rFonts w:ascii="Times New Roman" w:hAnsi="Times New Roman" w:cs="Times New Roman"/>
          <w:b/>
          <w:color w:val="000000" w:themeColor="text1"/>
          <w:szCs w:val="24"/>
        </w:rPr>
      </w:pPr>
    </w:p>
    <w:p w:rsidR="00B83D4A" w:rsidRPr="00201AAD" w:rsidRDefault="00B83D4A" w:rsidP="00B83D4A">
      <w:pPr>
        <w:jc w:val="center"/>
        <w:rPr>
          <w:rFonts w:ascii="Times New Roman" w:hAnsi="Times New Roman" w:cs="Times New Roman"/>
          <w:b/>
          <w:color w:val="000000" w:themeColor="text1"/>
          <w:szCs w:val="24"/>
        </w:rPr>
      </w:pPr>
      <w:r>
        <w:rPr>
          <w:rFonts w:ascii="Times New Roman" w:hAnsi="Times New Roman" w:cs="Times New Roman" w:hint="eastAsia"/>
          <w:b/>
          <w:color w:val="000000" w:themeColor="text1"/>
          <w:szCs w:val="24"/>
          <w:vertAlign w:val="superscript"/>
        </w:rPr>
        <w:t>1</w:t>
      </w:r>
      <w:r w:rsidRPr="00201AAD">
        <w:rPr>
          <w:rFonts w:ascii="Times New Roman" w:hAnsi="Times New Roman" w:cs="Times New Roman"/>
          <w:b/>
          <w:color w:val="000000" w:themeColor="text1"/>
          <w:szCs w:val="24"/>
        </w:rPr>
        <w:t xml:space="preserve">No.129, Sec. 3, </w:t>
      </w:r>
      <w:proofErr w:type="spellStart"/>
      <w:r w:rsidRPr="00201AAD">
        <w:rPr>
          <w:rFonts w:ascii="Times New Roman" w:hAnsi="Times New Roman" w:cs="Times New Roman"/>
          <w:b/>
          <w:color w:val="000000" w:themeColor="text1"/>
          <w:szCs w:val="24"/>
        </w:rPr>
        <w:t>Sanmin</w:t>
      </w:r>
      <w:proofErr w:type="spellEnd"/>
      <w:r w:rsidRPr="00201AAD">
        <w:rPr>
          <w:rFonts w:ascii="Times New Roman" w:hAnsi="Times New Roman" w:cs="Times New Roman"/>
          <w:b/>
          <w:color w:val="000000" w:themeColor="text1"/>
          <w:szCs w:val="24"/>
        </w:rPr>
        <w:t xml:space="preserve"> Rd., North Dist., Taichung City 404</w:t>
      </w:r>
      <w:r w:rsidRPr="00201AAD">
        <w:rPr>
          <w:rFonts w:ascii="Times New Roman" w:hAnsi="Times New Roman" w:cs="Times New Roman" w:hint="eastAsia"/>
          <w:b/>
          <w:color w:val="000000" w:themeColor="text1"/>
          <w:szCs w:val="24"/>
        </w:rPr>
        <w:t>01</w:t>
      </w:r>
      <w:r w:rsidRPr="00201AAD">
        <w:rPr>
          <w:rFonts w:ascii="Times New Roman" w:hAnsi="Times New Roman" w:cs="Times New Roman"/>
          <w:b/>
          <w:color w:val="000000" w:themeColor="text1"/>
          <w:szCs w:val="24"/>
        </w:rPr>
        <w:t>, Taiwan (R.O.C.)</w:t>
      </w:r>
    </w:p>
    <w:p w:rsidR="00B83D4A" w:rsidRPr="00201AAD" w:rsidRDefault="00EE0863" w:rsidP="00B83D4A">
      <w:pPr>
        <w:rPr>
          <w:rFonts w:ascii="Times New Roman" w:hAnsi="Times New Roman" w:cs="Times New Roman"/>
          <w:b/>
          <w:color w:val="000000" w:themeColor="text1"/>
          <w:szCs w:val="24"/>
        </w:rPr>
      </w:pPr>
      <w:proofErr w:type="gramStart"/>
      <w:r>
        <w:rPr>
          <w:rFonts w:ascii="Times New Roman" w:hAnsi="Times New Roman" w:cs="Times New Roman" w:hint="eastAsia"/>
          <w:b/>
          <w:color w:val="000000" w:themeColor="text1"/>
          <w:szCs w:val="24"/>
          <w:vertAlign w:val="superscript"/>
        </w:rPr>
        <w:t>2</w:t>
      </w:r>
      <w:r>
        <w:rPr>
          <w:rFonts w:ascii="Times New Roman" w:hAnsi="Times New Roman" w:cs="Times New Roman"/>
          <w:b/>
          <w:color w:val="000000" w:themeColor="text1"/>
          <w:szCs w:val="24"/>
          <w:vertAlign w:val="superscript"/>
        </w:rPr>
        <w:t>,3</w:t>
      </w:r>
      <w:r w:rsidR="00B83D4A" w:rsidRPr="00201AAD">
        <w:rPr>
          <w:rFonts w:ascii="Times New Roman" w:hAnsi="Times New Roman" w:cs="Times New Roman"/>
          <w:b/>
          <w:color w:val="000000" w:themeColor="text1"/>
          <w:szCs w:val="24"/>
        </w:rPr>
        <w:t xml:space="preserve">No.250, </w:t>
      </w:r>
      <w:proofErr w:type="spellStart"/>
      <w:r w:rsidR="00B83D4A" w:rsidRPr="00201AAD">
        <w:rPr>
          <w:rFonts w:ascii="Times New Roman" w:hAnsi="Times New Roman" w:cs="Times New Roman"/>
          <w:b/>
          <w:color w:val="000000" w:themeColor="text1"/>
          <w:szCs w:val="24"/>
        </w:rPr>
        <w:t>Guoguang</w:t>
      </w:r>
      <w:proofErr w:type="spellEnd"/>
      <w:r w:rsidR="00B83D4A" w:rsidRPr="00201AAD">
        <w:rPr>
          <w:rFonts w:ascii="Times New Roman" w:hAnsi="Times New Roman" w:cs="Times New Roman"/>
          <w:b/>
          <w:color w:val="000000" w:themeColor="text1"/>
          <w:szCs w:val="24"/>
        </w:rPr>
        <w:t xml:space="preserve"> Rd., South Dist., Taichung City 402</w:t>
      </w:r>
      <w:r w:rsidR="00B83D4A" w:rsidRPr="00201AAD">
        <w:rPr>
          <w:rFonts w:ascii="Times New Roman" w:hAnsi="Times New Roman" w:cs="Times New Roman" w:hint="eastAsia"/>
          <w:b/>
          <w:color w:val="000000" w:themeColor="text1"/>
          <w:szCs w:val="24"/>
        </w:rPr>
        <w:t>27</w:t>
      </w:r>
      <w:r w:rsidR="00B83D4A" w:rsidRPr="00201AAD">
        <w:rPr>
          <w:rFonts w:ascii="Times New Roman" w:hAnsi="Times New Roman" w:cs="Times New Roman"/>
          <w:b/>
          <w:color w:val="000000" w:themeColor="text1"/>
          <w:szCs w:val="24"/>
        </w:rPr>
        <w:t>, Taiwan (R.O.C.)</w:t>
      </w:r>
      <w:proofErr w:type="gramEnd"/>
    </w:p>
    <w:p w:rsidR="00B83D4A" w:rsidRDefault="00B83D4A" w:rsidP="00B83D4A">
      <w:pPr>
        <w:rPr>
          <w:rFonts w:ascii="Times New Roman" w:hAnsi="Times New Roman" w:cs="Times New Roman"/>
          <w:b/>
          <w:color w:val="000000" w:themeColor="text1"/>
          <w:sz w:val="32"/>
          <w:szCs w:val="32"/>
        </w:rPr>
      </w:pPr>
    </w:p>
    <w:p w:rsidR="00B83D4A" w:rsidRDefault="00B83D4A" w:rsidP="00B83D4A">
      <w:pPr>
        <w:rPr>
          <w:rFonts w:ascii="Times New Roman" w:hAnsi="Times New Roman" w:cs="Times New Roman"/>
          <w:b/>
          <w:color w:val="000000" w:themeColor="text1"/>
          <w:sz w:val="32"/>
          <w:szCs w:val="32"/>
        </w:rPr>
      </w:pPr>
    </w:p>
    <w:p w:rsidR="00B83D4A" w:rsidRDefault="00B83D4A" w:rsidP="00B83D4A">
      <w:pPr>
        <w:rPr>
          <w:rFonts w:ascii="Times New Roman" w:hAnsi="Times New Roman" w:cs="Times New Roman"/>
          <w:b/>
          <w:color w:val="000000" w:themeColor="text1"/>
          <w:sz w:val="32"/>
          <w:szCs w:val="32"/>
        </w:rPr>
        <w:sectPr w:rsidR="00B83D4A" w:rsidSect="00997C90">
          <w:endnotePr>
            <w:numFmt w:val="decimal"/>
          </w:endnotePr>
          <w:pgSz w:w="11906" w:h="16838"/>
          <w:pgMar w:top="1440" w:right="1800" w:bottom="1440" w:left="1800" w:header="851" w:footer="992" w:gutter="0"/>
          <w:cols w:space="425"/>
          <w:docGrid w:type="lines" w:linePitch="360"/>
        </w:sectPr>
      </w:pPr>
    </w:p>
    <w:p w:rsidR="00081472" w:rsidRPr="00201AAD" w:rsidRDefault="00081472" w:rsidP="00081472">
      <w:pPr>
        <w:jc w:val="center"/>
        <w:rPr>
          <w:rFonts w:ascii="Times New Roman" w:hAnsi="Times New Roman" w:cs="Times New Roman"/>
          <w:b/>
          <w:color w:val="000000" w:themeColor="text1"/>
          <w:sz w:val="32"/>
          <w:szCs w:val="32"/>
        </w:rPr>
      </w:pPr>
      <w:r w:rsidRPr="00201AAD">
        <w:rPr>
          <w:rFonts w:ascii="Times New Roman" w:hAnsi="Times New Roman" w:cs="Times New Roman"/>
          <w:b/>
          <w:color w:val="000000" w:themeColor="text1"/>
          <w:sz w:val="32"/>
          <w:szCs w:val="32"/>
        </w:rPr>
        <w:lastRenderedPageBreak/>
        <w:t>Investment Performance of Intangible Assets</w:t>
      </w:r>
      <w:r w:rsidR="005733D7" w:rsidRPr="00201AAD">
        <w:rPr>
          <w:rFonts w:ascii="Times New Roman" w:hAnsi="Times New Roman" w:cs="Times New Roman"/>
          <w:b/>
          <w:color w:val="000000" w:themeColor="text1"/>
          <w:sz w:val="32"/>
          <w:szCs w:val="32"/>
        </w:rPr>
        <w:t xml:space="preserve">: a Further Consideration of Product Safety and High Compensation </w:t>
      </w:r>
    </w:p>
    <w:p w:rsidR="00081472" w:rsidRPr="00201AAD" w:rsidRDefault="00081472" w:rsidP="00081472">
      <w:pPr>
        <w:jc w:val="center"/>
        <w:rPr>
          <w:rFonts w:ascii="Times New Roman" w:hAnsi="Times New Roman" w:cs="Times New Roman"/>
        </w:rPr>
      </w:pPr>
    </w:p>
    <w:p w:rsidR="00081472" w:rsidRPr="00201AAD" w:rsidRDefault="00081472" w:rsidP="00081472">
      <w:pPr>
        <w:jc w:val="center"/>
        <w:rPr>
          <w:rFonts w:ascii="Times New Roman" w:hAnsi="Times New Roman" w:cs="Times New Roman"/>
        </w:rPr>
      </w:pPr>
      <w:r w:rsidRPr="00201AAD">
        <w:rPr>
          <w:rFonts w:ascii="Times New Roman" w:hAnsi="Times New Roman" w:cs="Times New Roman"/>
        </w:rPr>
        <w:t>ABSTRACT</w:t>
      </w:r>
    </w:p>
    <w:p w:rsidR="00081472" w:rsidRPr="00201AAD" w:rsidRDefault="00081472" w:rsidP="00081472">
      <w:pPr>
        <w:jc w:val="center"/>
        <w:rPr>
          <w:rFonts w:ascii="Times New Roman" w:hAnsi="Times New Roman" w:cs="Times New Roman"/>
        </w:rPr>
      </w:pPr>
    </w:p>
    <w:p w:rsidR="00081472" w:rsidRPr="00201AAD" w:rsidRDefault="00081472" w:rsidP="00081472">
      <w:pPr>
        <w:autoSpaceDE w:val="0"/>
        <w:autoSpaceDN w:val="0"/>
        <w:adjustRightInd w:val="0"/>
        <w:spacing w:line="480" w:lineRule="auto"/>
        <w:ind w:firstLineChars="100" w:firstLine="240"/>
        <w:jc w:val="both"/>
        <w:rPr>
          <w:rFonts w:ascii="Times New Roman" w:hAnsi="Times New Roman" w:cs="Times New Roman"/>
          <w:color w:val="000000" w:themeColor="text1"/>
        </w:rPr>
      </w:pPr>
      <w:r w:rsidRPr="00201AAD">
        <w:rPr>
          <w:rFonts w:ascii="Times New Roman" w:hAnsi="Times New Roman" w:cs="Times New Roman"/>
          <w:color w:val="000000" w:themeColor="text1"/>
        </w:rPr>
        <w:t xml:space="preserve">This study investigates the investment performance of selected portfolios which focus on intangible assets, such as a firm’s reputation, employee relations, brand quality, and social ethics. Corporate social responsibility investment is also investigated using the KLD Research &amp; Analytics database. The evidence indicates that the performance of portfolios based on multi-indicator intangible assets significantly outperforms those of single-indicator intangible assets and the benchmark index returns. </w:t>
      </w:r>
      <w:r w:rsidRPr="00201AAD">
        <w:rPr>
          <w:rFonts w:ascii="Times New Roman" w:hAnsi="Times New Roman" w:cs="Times New Roman"/>
          <w:color w:val="000000" w:themeColor="text1"/>
          <w:kern w:val="0"/>
          <w:szCs w:val="24"/>
        </w:rPr>
        <w:t>It appears</w:t>
      </w:r>
      <w:r w:rsidRPr="00201AAD">
        <w:rPr>
          <w:rFonts w:ascii="Times New Roman" w:eastAsia="新細明體" w:hAnsi="Times New Roman" w:cs="Times New Roman"/>
          <w:color w:val="000000" w:themeColor="text1"/>
          <w:kern w:val="0"/>
          <w:szCs w:val="24"/>
        </w:rPr>
        <w:t xml:space="preserve"> that </w:t>
      </w:r>
      <w:r w:rsidRPr="00201AAD">
        <w:rPr>
          <w:rFonts w:ascii="Times New Roman" w:hAnsi="Times New Roman" w:cs="Times New Roman"/>
          <w:color w:val="000000" w:themeColor="text1"/>
          <w:kern w:val="0"/>
          <w:szCs w:val="24"/>
        </w:rPr>
        <w:t>investors</w:t>
      </w:r>
      <w:r w:rsidRPr="00201AAD">
        <w:rPr>
          <w:rFonts w:ascii="Times New Roman" w:eastAsia="新細明體" w:hAnsi="Times New Roman" w:cs="Times New Roman"/>
          <w:color w:val="000000" w:themeColor="text1"/>
          <w:kern w:val="0"/>
          <w:szCs w:val="24"/>
        </w:rPr>
        <w:t xml:space="preserve"> underestimate the value of intangible assets </w:t>
      </w:r>
      <w:r w:rsidRPr="00201AAD">
        <w:rPr>
          <w:rFonts w:ascii="Times New Roman" w:hAnsi="Times New Roman" w:cs="Times New Roman"/>
          <w:color w:val="000000" w:themeColor="text1"/>
          <w:kern w:val="0"/>
          <w:szCs w:val="24"/>
        </w:rPr>
        <w:t>and</w:t>
      </w:r>
      <w:r w:rsidRPr="00201AAD">
        <w:rPr>
          <w:rFonts w:ascii="Times New Roman" w:eastAsia="新細明體" w:hAnsi="Times New Roman" w:cs="Times New Roman"/>
          <w:color w:val="000000" w:themeColor="text1"/>
          <w:kern w:val="0"/>
          <w:szCs w:val="24"/>
        </w:rPr>
        <w:t xml:space="preserve"> the importance of corporate governance</w:t>
      </w:r>
      <w:r w:rsidRPr="00201AAD">
        <w:rPr>
          <w:rFonts w:ascii="Times New Roman" w:hAnsi="Times New Roman" w:cs="Times New Roman"/>
          <w:color w:val="000000" w:themeColor="text1"/>
          <w:kern w:val="0"/>
          <w:szCs w:val="24"/>
        </w:rPr>
        <w:t>, suggesting that</w:t>
      </w:r>
      <w:r w:rsidRPr="00201AAD">
        <w:rPr>
          <w:rFonts w:ascii="Times New Roman" w:eastAsia="新細明體" w:hAnsi="Times New Roman" w:cs="Times New Roman"/>
          <w:color w:val="000000" w:themeColor="text1"/>
          <w:kern w:val="0"/>
          <w:szCs w:val="24"/>
        </w:rPr>
        <w:t xml:space="preserve"> investment performance could potentially be improved by raising awareness</w:t>
      </w:r>
      <w:r w:rsidRPr="00201AAD">
        <w:rPr>
          <w:rFonts w:ascii="Times New Roman" w:hAnsi="Times New Roman" w:cs="Times New Roman"/>
          <w:color w:val="000000" w:themeColor="text1"/>
          <w:kern w:val="0"/>
          <w:szCs w:val="24"/>
        </w:rPr>
        <w:t xml:space="preserve"> in the undervaluation of intangible assets</w:t>
      </w:r>
      <w:r w:rsidRPr="00201AAD">
        <w:rPr>
          <w:rFonts w:ascii="Times New Roman" w:eastAsia="新細明體" w:hAnsi="Times New Roman" w:cs="Times New Roman"/>
          <w:color w:val="000000" w:themeColor="text1"/>
          <w:kern w:val="0"/>
          <w:szCs w:val="24"/>
        </w:rPr>
        <w:t>.</w:t>
      </w:r>
    </w:p>
    <w:p w:rsidR="00081472" w:rsidRPr="00201AAD" w:rsidRDefault="00081472" w:rsidP="00081472">
      <w:pPr>
        <w:spacing w:line="480" w:lineRule="auto"/>
        <w:ind w:firstLine="480"/>
        <w:jc w:val="both"/>
        <w:rPr>
          <w:rFonts w:ascii="Times New Roman" w:hAnsi="Times New Roman" w:cs="Times New Roman"/>
        </w:rPr>
      </w:pPr>
    </w:p>
    <w:p w:rsidR="00081472" w:rsidRPr="00201AAD" w:rsidRDefault="00081472" w:rsidP="00081472">
      <w:pPr>
        <w:jc w:val="both"/>
        <w:rPr>
          <w:rFonts w:ascii="Times New Roman" w:hAnsi="Times New Roman" w:cs="Times New Roman"/>
        </w:rPr>
      </w:pPr>
    </w:p>
    <w:p w:rsidR="00081472" w:rsidRPr="00201AAD" w:rsidRDefault="00081472" w:rsidP="00081472">
      <w:pPr>
        <w:jc w:val="both"/>
        <w:rPr>
          <w:rFonts w:ascii="Times New Roman" w:hAnsi="Times New Roman" w:cs="Times New Roman"/>
        </w:rPr>
      </w:pPr>
    </w:p>
    <w:p w:rsidR="00081472" w:rsidRPr="00201AAD" w:rsidRDefault="00081472" w:rsidP="002C7E42">
      <w:pPr>
        <w:ind w:left="1080" w:hangingChars="450" w:hanging="1080"/>
        <w:jc w:val="both"/>
        <w:rPr>
          <w:rFonts w:ascii="Times New Roman" w:hAnsi="Times New Roman" w:cs="Times New Roman"/>
        </w:rPr>
      </w:pPr>
      <w:r w:rsidRPr="00201AAD">
        <w:rPr>
          <w:rFonts w:ascii="Times New Roman" w:hAnsi="Times New Roman" w:cs="Times New Roman"/>
        </w:rPr>
        <w:t xml:space="preserve">Keywords: intangible assets, socially responsible investing, </w:t>
      </w:r>
      <w:r w:rsidR="007F48C6" w:rsidRPr="00201AAD">
        <w:rPr>
          <w:rFonts w:ascii="Times New Roman" w:hAnsi="Times New Roman" w:cs="Times New Roman"/>
          <w:color w:val="000000" w:themeColor="text1"/>
        </w:rPr>
        <w:t>high compensation</w:t>
      </w:r>
      <w:r w:rsidRPr="00201AAD">
        <w:rPr>
          <w:rFonts w:ascii="Times New Roman" w:hAnsi="Times New Roman" w:cs="Times New Roman"/>
          <w:color w:val="000000" w:themeColor="text1"/>
        </w:rPr>
        <w:t xml:space="preserve">, </w:t>
      </w:r>
      <w:r w:rsidRPr="00201AAD">
        <w:rPr>
          <w:rFonts w:ascii="Times New Roman" w:hAnsi="Times New Roman" w:cs="Times New Roman"/>
        </w:rPr>
        <w:t>KLD</w:t>
      </w:r>
      <w:r w:rsidR="002C7E42" w:rsidRPr="00201AAD">
        <w:rPr>
          <w:rFonts w:ascii="Times New Roman" w:hAnsi="Times New Roman" w:cs="Times New Roman"/>
        </w:rPr>
        <w:t xml:space="preserve">, </w:t>
      </w:r>
      <w:r w:rsidR="007F48C6" w:rsidRPr="00201AAD">
        <w:rPr>
          <w:rFonts w:ascii="Times New Roman" w:hAnsi="Times New Roman" w:cs="Times New Roman"/>
        </w:rPr>
        <w:t>product safety</w:t>
      </w:r>
    </w:p>
    <w:p w:rsidR="00081472" w:rsidRPr="00201AAD" w:rsidRDefault="00081472" w:rsidP="00081472">
      <w:pPr>
        <w:jc w:val="both"/>
        <w:rPr>
          <w:rFonts w:ascii="Times New Roman" w:hAnsi="Times New Roman" w:cs="Times New Roman"/>
        </w:rPr>
      </w:pPr>
    </w:p>
    <w:p w:rsidR="00081472" w:rsidRPr="00201AAD" w:rsidRDefault="00081472" w:rsidP="00081472">
      <w:pPr>
        <w:jc w:val="both"/>
        <w:rPr>
          <w:rFonts w:ascii="Times New Roman" w:hAnsi="Times New Roman" w:cs="Times New Roman"/>
        </w:rPr>
      </w:pPr>
    </w:p>
    <w:p w:rsidR="00081472" w:rsidRDefault="00081472" w:rsidP="00081472">
      <w:pPr>
        <w:jc w:val="both"/>
        <w:rPr>
          <w:rFonts w:ascii="Times New Roman" w:hAnsi="Times New Roman" w:cs="Times New Roman"/>
        </w:rPr>
      </w:pPr>
    </w:p>
    <w:p w:rsidR="00201AAD" w:rsidRDefault="00201AAD" w:rsidP="00081472">
      <w:pPr>
        <w:jc w:val="both"/>
        <w:rPr>
          <w:rFonts w:ascii="Times New Roman" w:hAnsi="Times New Roman" w:cs="Times New Roman"/>
        </w:rPr>
      </w:pPr>
    </w:p>
    <w:p w:rsidR="00201AAD" w:rsidRPr="00201AAD" w:rsidRDefault="00201AAD" w:rsidP="00081472">
      <w:pPr>
        <w:jc w:val="both"/>
        <w:rPr>
          <w:rFonts w:ascii="Times New Roman" w:hAnsi="Times New Roman" w:cs="Times New Roman"/>
        </w:rPr>
      </w:pPr>
    </w:p>
    <w:p w:rsidR="0033183E" w:rsidRPr="00201AAD" w:rsidRDefault="0033183E" w:rsidP="00201AAD">
      <w:pPr>
        <w:pStyle w:val="ac"/>
        <w:numPr>
          <w:ilvl w:val="0"/>
          <w:numId w:val="1"/>
        </w:numPr>
        <w:autoSpaceDE w:val="0"/>
        <w:autoSpaceDN w:val="0"/>
        <w:adjustRightInd w:val="0"/>
        <w:spacing w:line="480" w:lineRule="auto"/>
        <w:ind w:leftChars="0"/>
        <w:rPr>
          <w:rFonts w:ascii="Times New Roman" w:hAnsi="Times New Roman" w:cs="Times New Roman"/>
          <w:b/>
          <w:color w:val="000000" w:themeColor="text1"/>
          <w:sz w:val="28"/>
          <w:szCs w:val="28"/>
        </w:rPr>
      </w:pPr>
      <w:r w:rsidRPr="00201AAD">
        <w:rPr>
          <w:rFonts w:ascii="Times New Roman" w:hAnsi="Times New Roman" w:cs="Times New Roman"/>
          <w:b/>
          <w:sz w:val="28"/>
          <w:szCs w:val="28"/>
        </w:rPr>
        <w:lastRenderedPageBreak/>
        <w:t>Introduction</w:t>
      </w:r>
    </w:p>
    <w:p w:rsidR="00943C58" w:rsidRPr="00201AAD" w:rsidRDefault="00943C58" w:rsidP="00943C58">
      <w:pPr>
        <w:autoSpaceDE w:val="0"/>
        <w:autoSpaceDN w:val="0"/>
        <w:adjustRightInd w:val="0"/>
        <w:spacing w:line="480" w:lineRule="auto"/>
        <w:ind w:firstLine="480"/>
        <w:jc w:val="both"/>
        <w:rPr>
          <w:rFonts w:ascii="Times New Roman" w:hAnsi="Times New Roman" w:cs="Times New Roman"/>
          <w:color w:val="000000" w:themeColor="text1"/>
        </w:rPr>
      </w:pPr>
      <w:r w:rsidRPr="00201AAD">
        <w:rPr>
          <w:rFonts w:ascii="Times New Roman" w:hAnsi="Times New Roman" w:cs="Times New Roman"/>
          <w:color w:val="000000" w:themeColor="text1"/>
        </w:rPr>
        <w:t xml:space="preserve">Among the criteria included in investment decisions, intangible assets cover a firm’s reputation, social engagement, environmental responsibility, brand perception, ethics, and sustainability practices. However, intangible assets are difficult to quantify and could thus be underpriced by equity markets. </w:t>
      </w:r>
    </w:p>
    <w:p w:rsidR="00943C58" w:rsidRPr="00201AAD" w:rsidRDefault="00943C58" w:rsidP="00943C58">
      <w:pPr>
        <w:spacing w:line="480" w:lineRule="auto"/>
        <w:ind w:firstLine="360"/>
        <w:jc w:val="both"/>
        <w:rPr>
          <w:rFonts w:ascii="Times New Roman" w:hAnsi="Times New Roman" w:cs="Times New Roman"/>
          <w:color w:val="000000" w:themeColor="text1"/>
        </w:rPr>
      </w:pPr>
      <w:r w:rsidRPr="00201AAD">
        <w:rPr>
          <w:rFonts w:ascii="Times New Roman" w:hAnsi="Times New Roman" w:cs="Times New Roman"/>
          <w:color w:val="000000" w:themeColor="text1"/>
        </w:rPr>
        <w:t xml:space="preserve">Orthodox financial theory, premised on </w:t>
      </w:r>
      <w:r w:rsidRPr="00201AAD">
        <w:rPr>
          <w:rFonts w:ascii="Times New Roman" w:eastAsia="新細明體" w:hAnsi="Times New Roman" w:cs="Times New Roman"/>
          <w:color w:val="000000" w:themeColor="text1"/>
        </w:rPr>
        <w:t>efficient markets</w:t>
      </w:r>
      <w:r w:rsidRPr="00201AAD">
        <w:rPr>
          <w:rFonts w:ascii="Times New Roman" w:hAnsi="Times New Roman" w:cs="Times New Roman"/>
          <w:color w:val="000000" w:themeColor="text1"/>
        </w:rPr>
        <w:t>, suggests that investors would take account of all publicly available information and this information should be fully reflected in a firm’s stock market price. If investors who account for intangible assets could outperform market indexes, it would suggest that such information (e.g., the intangible value of social responsibility and brand franchise) are not fully reflected in the stock price. Firms which exercise social responsibility also tend to have high-quality corporate governance, high product quality, and good relations with employees, stockholders, society at large, and the e</w:t>
      </w:r>
      <w:r w:rsidR="00D6174A" w:rsidRPr="00201AAD">
        <w:rPr>
          <w:rFonts w:ascii="Times New Roman" w:hAnsi="Times New Roman" w:cs="Times New Roman"/>
          <w:color w:val="000000" w:themeColor="text1"/>
        </w:rPr>
        <w:t xml:space="preserve">nvironment. </w:t>
      </w:r>
      <w:proofErr w:type="spellStart"/>
      <w:proofErr w:type="gramStart"/>
      <w:r w:rsidR="00D6174A" w:rsidRPr="00201AAD">
        <w:rPr>
          <w:rFonts w:ascii="Times New Roman" w:hAnsi="Times New Roman" w:cs="Times New Roman"/>
          <w:color w:val="000000" w:themeColor="text1"/>
        </w:rPr>
        <w:t>Waddock</w:t>
      </w:r>
      <w:proofErr w:type="spellEnd"/>
      <w:r w:rsidR="00D6174A" w:rsidRPr="00201AAD">
        <w:rPr>
          <w:rFonts w:ascii="Times New Roman" w:hAnsi="Times New Roman" w:cs="Times New Roman"/>
          <w:color w:val="000000" w:themeColor="text1"/>
        </w:rPr>
        <w:t xml:space="preserve"> and Graves</w:t>
      </w:r>
      <w:r w:rsidR="00CC2FD5" w:rsidRPr="00201AAD">
        <w:rPr>
          <w:rFonts w:ascii="Times New Roman" w:hAnsi="Times New Roman" w:cs="Times New Roman"/>
          <w:color w:val="000000" w:themeColor="text1"/>
        </w:rPr>
        <w:t xml:space="preserve"> (1999)</w:t>
      </w:r>
      <w:r w:rsidRPr="00201AAD">
        <w:rPr>
          <w:rFonts w:ascii="Times New Roman" w:hAnsi="Times New Roman" w:cs="Times New Roman"/>
          <w:color w:val="000000" w:themeColor="text1"/>
        </w:rPr>
        <w:t xml:space="preserve"> show that the significance of these governance characteristics may be under-recognized by the market, so a firm’s current and past social performance could still provide a valuable guide to future financial performance.</w:t>
      </w:r>
      <w:proofErr w:type="gramEnd"/>
      <w:r w:rsidRPr="00201AAD">
        <w:rPr>
          <w:rFonts w:ascii="Times New Roman" w:hAnsi="Times New Roman" w:cs="Times New Roman"/>
          <w:color w:val="000000" w:themeColor="text1"/>
        </w:rPr>
        <w:t xml:space="preserve"> In addition, a strong brand franchise allows firms to charge a significant premium price (Barnett 2008) and brand loyalty may be an indicator of future sales.</w:t>
      </w:r>
    </w:p>
    <w:p w:rsidR="00CC2FD5" w:rsidRPr="00201AAD" w:rsidRDefault="00943C58" w:rsidP="0033183E">
      <w:pPr>
        <w:autoSpaceDE w:val="0"/>
        <w:autoSpaceDN w:val="0"/>
        <w:adjustRightInd w:val="0"/>
        <w:spacing w:line="480" w:lineRule="auto"/>
        <w:ind w:firstLine="360"/>
        <w:jc w:val="both"/>
        <w:rPr>
          <w:rFonts w:ascii="Times New Roman" w:hAnsi="Times New Roman" w:cs="Times New Roman"/>
          <w:color w:val="000000" w:themeColor="text1"/>
        </w:rPr>
      </w:pPr>
      <w:r w:rsidRPr="00201AAD">
        <w:rPr>
          <w:rFonts w:ascii="Times New Roman" w:hAnsi="Times New Roman" w:cs="Times New Roman"/>
          <w:color w:val="000000" w:themeColor="text1"/>
        </w:rPr>
        <w:t xml:space="preserve">This paper collects intangible assets broadly representative of </w:t>
      </w:r>
      <w:r w:rsidRPr="00201AAD">
        <w:rPr>
          <w:rFonts w:ascii="Times New Roman" w:eastAsia="新細明體" w:hAnsi="Times New Roman" w:cs="Times New Roman"/>
          <w:color w:val="000000" w:themeColor="text1"/>
          <w:kern w:val="0"/>
          <w:szCs w:val="24"/>
        </w:rPr>
        <w:t>public trust</w:t>
      </w:r>
      <w:r w:rsidRPr="00201AAD">
        <w:rPr>
          <w:rFonts w:ascii="Times New Roman" w:hAnsi="Times New Roman" w:cs="Times New Roman"/>
          <w:color w:val="000000" w:themeColor="text1"/>
        </w:rPr>
        <w:t xml:space="preserve">, such as a firm’s employee relations, social image, reputation, and brand value. Firms were chosen from listings in America’s 100 Best Companies </w:t>
      </w:r>
      <w:proofErr w:type="gramStart"/>
      <w:r w:rsidRPr="00201AAD">
        <w:rPr>
          <w:rFonts w:ascii="Times New Roman" w:hAnsi="Times New Roman" w:cs="Times New Roman"/>
          <w:color w:val="000000" w:themeColor="text1"/>
        </w:rPr>
        <w:t>To</w:t>
      </w:r>
      <w:proofErr w:type="gramEnd"/>
      <w:r w:rsidRPr="00201AAD">
        <w:rPr>
          <w:rFonts w:ascii="Times New Roman" w:hAnsi="Times New Roman" w:cs="Times New Roman"/>
          <w:color w:val="000000" w:themeColor="text1"/>
        </w:rPr>
        <w:t xml:space="preserve"> Work For (Fortune Magazine), 100 Best Corporate Citizens (Business Ethics), America’s Most Admired Companies (Fortune Magazine), and 100 Best Global Brands (Business Week) to guide an analysis of the relationship between intangible assets and financial performance. We then constructed a portfolio composed of firms which feature the intangible assets listed above, finding that the portfolio dramatically outperformed any single intangible asset indicator. We then used the KLD Research &amp; Analytics database to identify and exclude firms with product safety concerns and high board compensation, finding that the remaining firms significantly outperformed the portfolio as a whole.</w:t>
      </w:r>
    </w:p>
    <w:p w:rsidR="009106FE" w:rsidRPr="00201AAD" w:rsidRDefault="009106FE" w:rsidP="0033183E">
      <w:pPr>
        <w:autoSpaceDE w:val="0"/>
        <w:autoSpaceDN w:val="0"/>
        <w:adjustRightInd w:val="0"/>
        <w:spacing w:line="480" w:lineRule="auto"/>
        <w:ind w:firstLine="360"/>
        <w:jc w:val="both"/>
        <w:rPr>
          <w:rFonts w:ascii="Times New Roman" w:hAnsi="Times New Roman" w:cs="Times New Roman"/>
          <w:color w:val="000000" w:themeColor="text1"/>
        </w:rPr>
      </w:pPr>
    </w:p>
    <w:p w:rsidR="00C070D6" w:rsidRPr="00201AAD" w:rsidRDefault="00943C58" w:rsidP="00201AAD">
      <w:pPr>
        <w:pStyle w:val="ac"/>
        <w:numPr>
          <w:ilvl w:val="0"/>
          <w:numId w:val="1"/>
        </w:numPr>
        <w:autoSpaceDE w:val="0"/>
        <w:autoSpaceDN w:val="0"/>
        <w:adjustRightInd w:val="0"/>
        <w:spacing w:line="480" w:lineRule="auto"/>
        <w:ind w:leftChars="0"/>
        <w:rPr>
          <w:rFonts w:ascii="Times New Roman" w:hAnsi="Times New Roman" w:cs="Times New Roman"/>
          <w:b/>
          <w:color w:val="000000" w:themeColor="text1"/>
          <w:sz w:val="28"/>
          <w:szCs w:val="28"/>
        </w:rPr>
      </w:pPr>
      <w:r w:rsidRPr="00201AAD">
        <w:rPr>
          <w:rFonts w:ascii="Times New Roman" w:hAnsi="Times New Roman" w:cs="Times New Roman"/>
          <w:b/>
          <w:color w:val="000000" w:themeColor="text1"/>
          <w:sz w:val="28"/>
          <w:szCs w:val="28"/>
        </w:rPr>
        <w:t>I</w:t>
      </w:r>
      <w:r w:rsidR="0033183E" w:rsidRPr="00201AAD">
        <w:rPr>
          <w:rFonts w:ascii="Times New Roman" w:hAnsi="Times New Roman" w:cs="Times New Roman"/>
          <w:b/>
          <w:color w:val="000000" w:themeColor="text1"/>
          <w:sz w:val="28"/>
          <w:szCs w:val="28"/>
        </w:rPr>
        <w:t>ntangible assets and stock returns</w:t>
      </w:r>
    </w:p>
    <w:p w:rsidR="00943C58" w:rsidRPr="00201AAD" w:rsidRDefault="00943C58" w:rsidP="00943C58">
      <w:pPr>
        <w:autoSpaceDE w:val="0"/>
        <w:autoSpaceDN w:val="0"/>
        <w:adjustRightInd w:val="0"/>
        <w:spacing w:line="480" w:lineRule="auto"/>
        <w:ind w:firstLine="480"/>
        <w:jc w:val="both"/>
        <w:rPr>
          <w:rFonts w:ascii="Times New Roman" w:eastAsia="新細明體" w:hAnsi="Times New Roman" w:cs="Times New Roman"/>
          <w:color w:val="000000" w:themeColor="text1"/>
          <w:kern w:val="0"/>
          <w:szCs w:val="24"/>
        </w:rPr>
      </w:pPr>
      <w:r w:rsidRPr="00201AAD">
        <w:rPr>
          <w:rFonts w:ascii="Times New Roman" w:eastAsia="新細明體" w:hAnsi="Times New Roman" w:cs="Times New Roman"/>
          <w:color w:val="000000" w:themeColor="text1"/>
          <w:kern w:val="0"/>
          <w:szCs w:val="24"/>
        </w:rPr>
        <w:t xml:space="preserve">Good employer-employee relations are commonly held to be an intangible asset. Employer-employee relations will affect the firm’s performance via customer satisfaction, decreased employee turnover, and improved production efficiency. </w:t>
      </w:r>
      <w:proofErr w:type="spellStart"/>
      <w:r w:rsidRPr="00201AAD">
        <w:rPr>
          <w:rFonts w:ascii="Times New Roman" w:eastAsia="新細明體" w:hAnsi="Times New Roman" w:cs="Times New Roman"/>
          <w:color w:val="000000" w:themeColor="text1"/>
          <w:kern w:val="0"/>
          <w:szCs w:val="24"/>
        </w:rPr>
        <w:t>Husiled</w:t>
      </w:r>
      <w:proofErr w:type="spellEnd"/>
      <w:r w:rsidRPr="00201AAD">
        <w:rPr>
          <w:rFonts w:ascii="Times New Roman" w:eastAsia="新細明體" w:hAnsi="Times New Roman" w:cs="Times New Roman"/>
          <w:color w:val="000000" w:themeColor="text1"/>
          <w:kern w:val="0"/>
          <w:szCs w:val="24"/>
        </w:rPr>
        <w:t xml:space="preserve"> </w:t>
      </w:r>
      <w:r w:rsidR="002D3098" w:rsidRPr="00201AAD">
        <w:rPr>
          <w:rFonts w:ascii="Times New Roman" w:hAnsi="Times New Roman" w:cs="Times New Roman"/>
          <w:color w:val="000000" w:themeColor="text1"/>
          <w:kern w:val="0"/>
          <w:szCs w:val="24"/>
        </w:rPr>
        <w:t>(</w:t>
      </w:r>
      <w:r w:rsidRPr="00201AAD">
        <w:rPr>
          <w:rFonts w:ascii="Times New Roman" w:eastAsia="新細明體" w:hAnsi="Times New Roman" w:cs="Times New Roman"/>
          <w:color w:val="000000" w:themeColor="text1"/>
          <w:kern w:val="0"/>
          <w:szCs w:val="24"/>
        </w:rPr>
        <w:t>1995</w:t>
      </w:r>
      <w:r w:rsidR="002D3098" w:rsidRPr="00201AAD">
        <w:rPr>
          <w:rFonts w:ascii="Times New Roman" w:hAnsi="Times New Roman" w:cs="Times New Roman"/>
          <w:color w:val="000000" w:themeColor="text1"/>
          <w:kern w:val="0"/>
          <w:szCs w:val="24"/>
        </w:rPr>
        <w:t>)</w:t>
      </w:r>
      <w:r w:rsidRPr="00201AAD">
        <w:rPr>
          <w:rFonts w:ascii="Times New Roman" w:eastAsia="新細明體" w:hAnsi="Times New Roman" w:cs="Times New Roman"/>
          <w:color w:val="000000" w:themeColor="text1"/>
          <w:kern w:val="0"/>
          <w:szCs w:val="24"/>
        </w:rPr>
        <w:t xml:space="preserve"> shows that employer-employee relations affect a firm’s business outcomes and market value. However, determining which firms excel in human resource management is difficult, with Fortune Magazine’s annual “Best Companies </w:t>
      </w:r>
      <w:proofErr w:type="gramStart"/>
      <w:r w:rsidRPr="00201AAD">
        <w:rPr>
          <w:rFonts w:ascii="Times New Roman" w:hAnsi="Times New Roman" w:cs="Times New Roman"/>
          <w:color w:val="000000" w:themeColor="text1"/>
        </w:rPr>
        <w:t>To</w:t>
      </w:r>
      <w:proofErr w:type="gramEnd"/>
      <w:r w:rsidRPr="00201AAD">
        <w:rPr>
          <w:rFonts w:ascii="Times New Roman" w:hAnsi="Times New Roman" w:cs="Times New Roman"/>
          <w:color w:val="000000" w:themeColor="text1"/>
        </w:rPr>
        <w:t xml:space="preserve"> Work F</w:t>
      </w:r>
      <w:r w:rsidRPr="00201AAD">
        <w:rPr>
          <w:rFonts w:ascii="Times New Roman" w:eastAsia="新細明體" w:hAnsi="Times New Roman" w:cs="Times New Roman"/>
          <w:color w:val="000000" w:themeColor="text1"/>
        </w:rPr>
        <w:t xml:space="preserve">or </w:t>
      </w:r>
      <w:r w:rsidRPr="00201AAD">
        <w:rPr>
          <w:rFonts w:ascii="Times New Roman" w:eastAsia="新細明體" w:hAnsi="Times New Roman" w:cs="Times New Roman"/>
          <w:color w:val="000000" w:themeColor="text1"/>
          <w:kern w:val="0"/>
          <w:szCs w:val="24"/>
        </w:rPr>
        <w:t xml:space="preserve">in America” list being one of the few publicly available sources of such information. Since 1998, Fortune has compiled this list based on five characteristics of employer-employee relations including credibility, respect for employees, fairness, pride, and camaraderie. Our empirical studies show that firms included on this list outperform the market in terms of cumulative returns (consistent with Ballou </w:t>
      </w:r>
      <w:r w:rsidRPr="00201AAD">
        <w:rPr>
          <w:rFonts w:ascii="Times New Roman" w:eastAsia="新細明體" w:hAnsi="Times New Roman" w:cs="Times New Roman"/>
          <w:i/>
          <w:color w:val="000000" w:themeColor="text1"/>
          <w:kern w:val="0"/>
          <w:szCs w:val="24"/>
        </w:rPr>
        <w:t>et al</w:t>
      </w:r>
      <w:r w:rsidRPr="00201AAD">
        <w:rPr>
          <w:rFonts w:ascii="Times New Roman" w:eastAsia="新細明體" w:hAnsi="Times New Roman" w:cs="Times New Roman"/>
          <w:color w:val="000000" w:themeColor="text1"/>
          <w:kern w:val="0"/>
          <w:szCs w:val="24"/>
        </w:rPr>
        <w:t>.</w:t>
      </w:r>
      <w:r w:rsidR="002D3098" w:rsidRPr="00201AAD">
        <w:rPr>
          <w:rFonts w:ascii="Times New Roman" w:hAnsi="Times New Roman" w:cs="Times New Roman"/>
          <w:color w:val="000000" w:themeColor="text1"/>
          <w:kern w:val="0"/>
          <w:szCs w:val="24"/>
        </w:rPr>
        <w:t xml:space="preserve"> </w:t>
      </w:r>
      <w:r w:rsidRPr="00201AAD">
        <w:rPr>
          <w:rFonts w:ascii="Times New Roman" w:eastAsia="新細明體" w:hAnsi="Times New Roman" w:cs="Times New Roman"/>
          <w:color w:val="000000" w:themeColor="text1"/>
          <w:kern w:val="0"/>
          <w:szCs w:val="24"/>
        </w:rPr>
        <w:t>2003</w:t>
      </w:r>
      <w:r w:rsidR="00C52490" w:rsidRPr="00201AAD">
        <w:rPr>
          <w:rFonts w:ascii="Times New Roman" w:hAnsi="Times New Roman" w:cs="Times New Roman"/>
          <w:color w:val="000000" w:themeColor="text1"/>
          <w:kern w:val="0"/>
          <w:szCs w:val="24"/>
        </w:rPr>
        <w:t>,</w:t>
      </w:r>
      <w:r w:rsidRPr="00201AAD">
        <w:rPr>
          <w:rFonts w:ascii="Times New Roman" w:eastAsia="新細明體" w:hAnsi="Times New Roman" w:cs="Times New Roman"/>
          <w:color w:val="000000" w:themeColor="text1"/>
          <w:kern w:val="0"/>
          <w:szCs w:val="24"/>
        </w:rPr>
        <w:t xml:space="preserve"> </w:t>
      </w:r>
      <w:proofErr w:type="spellStart"/>
      <w:r w:rsidRPr="00201AAD">
        <w:rPr>
          <w:rFonts w:ascii="Times New Roman" w:eastAsia="新細明體" w:hAnsi="Times New Roman" w:cs="Times New Roman"/>
          <w:color w:val="000000" w:themeColor="text1"/>
          <w:kern w:val="0"/>
          <w:szCs w:val="24"/>
        </w:rPr>
        <w:t>Filbeck</w:t>
      </w:r>
      <w:proofErr w:type="spellEnd"/>
      <w:r w:rsidRPr="00201AAD">
        <w:rPr>
          <w:rFonts w:ascii="Times New Roman" w:eastAsia="新細明體" w:hAnsi="Times New Roman" w:cs="Times New Roman"/>
          <w:color w:val="000000" w:themeColor="text1"/>
          <w:kern w:val="0"/>
          <w:szCs w:val="24"/>
        </w:rPr>
        <w:t xml:space="preserve"> &amp; </w:t>
      </w:r>
      <w:proofErr w:type="spellStart"/>
      <w:r w:rsidRPr="00201AAD">
        <w:rPr>
          <w:rFonts w:ascii="Times New Roman" w:eastAsia="新細明體" w:hAnsi="Times New Roman" w:cs="Times New Roman"/>
          <w:color w:val="000000" w:themeColor="text1"/>
          <w:kern w:val="0"/>
          <w:szCs w:val="24"/>
        </w:rPr>
        <w:t>Preece</w:t>
      </w:r>
      <w:proofErr w:type="spellEnd"/>
      <w:r w:rsidRPr="00201AAD">
        <w:rPr>
          <w:rFonts w:ascii="Times New Roman" w:eastAsia="新細明體" w:hAnsi="Times New Roman" w:cs="Times New Roman"/>
          <w:color w:val="000000" w:themeColor="text1"/>
          <w:kern w:val="0"/>
          <w:szCs w:val="24"/>
        </w:rPr>
        <w:t xml:space="preserve"> 2003</w:t>
      </w:r>
      <w:r w:rsidR="00C52490" w:rsidRPr="00201AAD">
        <w:rPr>
          <w:rFonts w:ascii="Times New Roman" w:hAnsi="Times New Roman" w:cs="Times New Roman"/>
          <w:color w:val="000000" w:themeColor="text1"/>
          <w:kern w:val="0"/>
          <w:szCs w:val="24"/>
        </w:rPr>
        <w:t>,</w:t>
      </w:r>
      <w:r w:rsidRPr="00201AAD">
        <w:rPr>
          <w:rFonts w:ascii="Times New Roman" w:eastAsia="新細明體" w:hAnsi="Times New Roman" w:cs="Times New Roman"/>
          <w:color w:val="000000" w:themeColor="text1"/>
          <w:kern w:val="0"/>
          <w:szCs w:val="24"/>
        </w:rPr>
        <w:t xml:space="preserve"> </w:t>
      </w:r>
      <w:proofErr w:type="gramStart"/>
      <w:r w:rsidRPr="00201AAD">
        <w:rPr>
          <w:rFonts w:ascii="Times New Roman" w:eastAsia="新細明體" w:hAnsi="Times New Roman" w:cs="Times New Roman"/>
          <w:color w:val="000000" w:themeColor="text1"/>
          <w:kern w:val="0"/>
          <w:szCs w:val="24"/>
        </w:rPr>
        <w:t>Fulmer</w:t>
      </w:r>
      <w:proofErr w:type="gramEnd"/>
      <w:r w:rsidRPr="00201AAD">
        <w:rPr>
          <w:rFonts w:ascii="Times New Roman" w:eastAsia="新細明體" w:hAnsi="Times New Roman" w:cs="Times New Roman"/>
          <w:color w:val="000000" w:themeColor="text1"/>
          <w:kern w:val="0"/>
          <w:szCs w:val="24"/>
        </w:rPr>
        <w:t xml:space="preserve"> </w:t>
      </w:r>
      <w:r w:rsidRPr="00201AAD">
        <w:rPr>
          <w:rFonts w:ascii="Times New Roman" w:eastAsia="新細明體" w:hAnsi="Times New Roman" w:cs="Times New Roman"/>
          <w:i/>
          <w:color w:val="000000" w:themeColor="text1"/>
          <w:kern w:val="0"/>
          <w:szCs w:val="24"/>
        </w:rPr>
        <w:t>et al</w:t>
      </w:r>
      <w:r w:rsidRPr="00201AAD">
        <w:rPr>
          <w:rFonts w:ascii="Times New Roman" w:eastAsia="新細明體" w:hAnsi="Times New Roman" w:cs="Times New Roman"/>
          <w:color w:val="000000" w:themeColor="text1"/>
          <w:kern w:val="0"/>
          <w:szCs w:val="24"/>
        </w:rPr>
        <w:t>.</w:t>
      </w:r>
      <w:r w:rsidR="002D3098" w:rsidRPr="00201AAD">
        <w:rPr>
          <w:rFonts w:ascii="Times New Roman" w:hAnsi="Times New Roman" w:cs="Times New Roman"/>
          <w:color w:val="000000" w:themeColor="text1"/>
          <w:kern w:val="0"/>
          <w:szCs w:val="24"/>
        </w:rPr>
        <w:t xml:space="preserve"> </w:t>
      </w:r>
      <w:r w:rsidRPr="00201AAD">
        <w:rPr>
          <w:rFonts w:ascii="Times New Roman" w:eastAsia="新細明體" w:hAnsi="Times New Roman" w:cs="Times New Roman"/>
          <w:color w:val="000000" w:themeColor="text1"/>
          <w:kern w:val="0"/>
          <w:szCs w:val="24"/>
        </w:rPr>
        <w:t>2003</w:t>
      </w:r>
      <w:r w:rsidR="00C52490" w:rsidRPr="00201AAD">
        <w:rPr>
          <w:rFonts w:ascii="Times New Roman" w:hAnsi="Times New Roman" w:cs="Times New Roman"/>
          <w:color w:val="000000" w:themeColor="text1"/>
          <w:kern w:val="0"/>
          <w:szCs w:val="24"/>
        </w:rPr>
        <w:t>,</w:t>
      </w:r>
      <w:r w:rsidRPr="00201AAD">
        <w:rPr>
          <w:rFonts w:ascii="Times New Roman" w:eastAsia="新細明體" w:hAnsi="Times New Roman" w:cs="Times New Roman"/>
          <w:color w:val="000000" w:themeColor="text1"/>
          <w:kern w:val="0"/>
          <w:szCs w:val="24"/>
        </w:rPr>
        <w:t xml:space="preserve"> Boyle</w:t>
      </w:r>
      <w:r w:rsidR="002D3098" w:rsidRPr="00201AAD">
        <w:rPr>
          <w:rFonts w:ascii="Times New Roman" w:hAnsi="Times New Roman" w:cs="Times New Roman"/>
          <w:color w:val="000000" w:themeColor="text1"/>
          <w:kern w:val="0"/>
          <w:szCs w:val="24"/>
        </w:rPr>
        <w:t xml:space="preserve"> </w:t>
      </w:r>
      <w:r w:rsidRPr="00201AAD">
        <w:rPr>
          <w:rFonts w:ascii="Times New Roman" w:eastAsia="新細明體" w:hAnsi="Times New Roman" w:cs="Times New Roman"/>
          <w:color w:val="000000" w:themeColor="text1"/>
          <w:kern w:val="0"/>
          <w:szCs w:val="24"/>
        </w:rPr>
        <w:t>2006).</w:t>
      </w:r>
    </w:p>
    <w:p w:rsidR="00943C58" w:rsidRPr="00201AAD" w:rsidRDefault="00943C58" w:rsidP="00943C58">
      <w:pPr>
        <w:autoSpaceDE w:val="0"/>
        <w:autoSpaceDN w:val="0"/>
        <w:adjustRightInd w:val="0"/>
        <w:spacing w:line="480" w:lineRule="auto"/>
        <w:ind w:firstLine="480"/>
        <w:jc w:val="both"/>
        <w:rPr>
          <w:rFonts w:ascii="Times New Roman" w:hAnsi="Times New Roman" w:cs="Times New Roman"/>
          <w:color w:val="000000" w:themeColor="text1"/>
        </w:rPr>
      </w:pPr>
      <w:r w:rsidRPr="00201AAD">
        <w:rPr>
          <w:rFonts w:ascii="Times New Roman" w:eastAsia="新細明體" w:hAnsi="Times New Roman" w:cs="Times New Roman"/>
          <w:color w:val="000000" w:themeColor="text1"/>
          <w:kern w:val="0"/>
          <w:szCs w:val="24"/>
        </w:rPr>
        <w:t xml:space="preserve">Corporate citizenship is a concept that defines the broader roles companies play within society and it is associated with corporate social responsibility (CSR). To work around the limitation of identifying the CSR representatives of individual companies, Allen and Kask </w:t>
      </w:r>
      <w:r w:rsidR="008B6416" w:rsidRPr="00201AAD">
        <w:rPr>
          <w:rFonts w:ascii="Times New Roman" w:hAnsi="Times New Roman" w:cs="Times New Roman"/>
          <w:color w:val="000000" w:themeColor="text1"/>
          <w:kern w:val="0"/>
          <w:szCs w:val="24"/>
        </w:rPr>
        <w:t>(</w:t>
      </w:r>
      <w:r w:rsidRPr="00201AAD">
        <w:rPr>
          <w:rFonts w:ascii="Times New Roman" w:eastAsia="新細明體" w:hAnsi="Times New Roman" w:cs="Times New Roman"/>
          <w:color w:val="000000" w:themeColor="text1"/>
          <w:kern w:val="0"/>
          <w:szCs w:val="24"/>
        </w:rPr>
        <w:t>1997</w:t>
      </w:r>
      <w:r w:rsidR="008B6416" w:rsidRPr="00201AAD">
        <w:rPr>
          <w:rFonts w:ascii="Times New Roman" w:hAnsi="Times New Roman" w:cs="Times New Roman"/>
          <w:color w:val="000000" w:themeColor="text1"/>
          <w:kern w:val="0"/>
          <w:szCs w:val="24"/>
        </w:rPr>
        <w:t>)</w:t>
      </w:r>
      <w:r w:rsidRPr="00201AAD">
        <w:rPr>
          <w:rFonts w:ascii="Times New Roman" w:eastAsia="新細明體" w:hAnsi="Times New Roman" w:cs="Times New Roman"/>
          <w:color w:val="000000" w:themeColor="text1"/>
          <w:kern w:val="0"/>
          <w:szCs w:val="24"/>
        </w:rPr>
        <w:t xml:space="preserve"> used a firm’s social performance data as provided by Kinder, Lydenberg, Domini and Company (KLD) to determine the relative strength of a given firm’s social performance. The KLD grade </w:t>
      </w:r>
      <w:r w:rsidRPr="00201AAD">
        <w:rPr>
          <w:rFonts w:ascii="Times New Roman" w:hAnsi="Times New Roman" w:cs="Times New Roman"/>
          <w:color w:val="000000" w:themeColor="text1"/>
        </w:rPr>
        <w:t xml:space="preserve">includes issues quality of its community, corporate governance, diversity, employee relations, environmental stewardship, human rights policies, product quality, and six controversial business issues. </w:t>
      </w:r>
    </w:p>
    <w:p w:rsidR="00943C58" w:rsidRPr="00201AAD" w:rsidRDefault="00943C58" w:rsidP="00943C58">
      <w:pPr>
        <w:autoSpaceDE w:val="0"/>
        <w:autoSpaceDN w:val="0"/>
        <w:adjustRightInd w:val="0"/>
        <w:spacing w:line="480" w:lineRule="auto"/>
        <w:ind w:firstLine="480"/>
        <w:jc w:val="both"/>
        <w:rPr>
          <w:rFonts w:ascii="Times New Roman" w:hAnsi="Times New Roman" w:cs="Times New Roman"/>
          <w:color w:val="000000" w:themeColor="text1"/>
        </w:rPr>
      </w:pPr>
      <w:r w:rsidRPr="00201AAD">
        <w:rPr>
          <w:rFonts w:ascii="Times New Roman" w:hAnsi="Times New Roman" w:cs="Times New Roman"/>
          <w:color w:val="000000" w:themeColor="text1"/>
        </w:rPr>
        <w:t>Empirical studies have suggested that strong social performance correlates with profitability, with socially responsible firms outperforming conventional firms in the S&amp;P500 during the late 1990s (Statman 2006</w:t>
      </w:r>
      <w:r w:rsidR="00C52490" w:rsidRPr="00201AAD">
        <w:rPr>
          <w:rFonts w:ascii="Times New Roman" w:hAnsi="Times New Roman" w:cs="Times New Roman"/>
          <w:color w:val="000000" w:themeColor="text1"/>
        </w:rPr>
        <w:t>,</w:t>
      </w:r>
      <w:r w:rsidRPr="00201AAD">
        <w:rPr>
          <w:rFonts w:ascii="Times New Roman" w:hAnsi="Times New Roman" w:cs="Times New Roman"/>
          <w:color w:val="000000" w:themeColor="text1"/>
        </w:rPr>
        <w:t xml:space="preserve"> </w:t>
      </w:r>
      <w:r w:rsidRPr="00201AAD">
        <w:rPr>
          <w:rFonts w:ascii="Times New Roman" w:hAnsi="Times New Roman" w:cs="Times New Roman"/>
          <w:color w:val="000000" w:themeColor="text1"/>
          <w:kern w:val="0"/>
          <w:szCs w:val="24"/>
        </w:rPr>
        <w:t>Dinusha &amp; Evans 2010</w:t>
      </w:r>
      <w:r w:rsidRPr="00201AAD">
        <w:rPr>
          <w:rFonts w:ascii="Times New Roman" w:hAnsi="Times New Roman" w:cs="Times New Roman"/>
          <w:color w:val="000000" w:themeColor="text1"/>
        </w:rPr>
        <w:t xml:space="preserve">). </w:t>
      </w:r>
      <w:proofErr w:type="spellStart"/>
      <w:r w:rsidR="008B6416" w:rsidRPr="00201AAD">
        <w:rPr>
          <w:rFonts w:ascii="Times New Roman" w:hAnsi="Times New Roman" w:cs="Times New Roman"/>
          <w:color w:val="000000" w:themeColor="text1"/>
          <w:szCs w:val="24"/>
        </w:rPr>
        <w:t>Statman</w:t>
      </w:r>
      <w:proofErr w:type="spellEnd"/>
      <w:r w:rsidR="008B6416" w:rsidRPr="00201AAD">
        <w:rPr>
          <w:rFonts w:ascii="Times New Roman" w:hAnsi="Times New Roman" w:cs="Times New Roman"/>
          <w:color w:val="000000" w:themeColor="text1"/>
          <w:szCs w:val="24"/>
        </w:rPr>
        <w:t xml:space="preserve"> and </w:t>
      </w:r>
      <w:proofErr w:type="spellStart"/>
      <w:r w:rsidR="008B6416" w:rsidRPr="00201AAD">
        <w:rPr>
          <w:rFonts w:ascii="Times New Roman" w:hAnsi="Times New Roman" w:cs="Times New Roman"/>
          <w:color w:val="000000" w:themeColor="text1"/>
          <w:szCs w:val="24"/>
        </w:rPr>
        <w:t>Glushkov</w:t>
      </w:r>
      <w:proofErr w:type="spellEnd"/>
      <w:r w:rsidR="008B6416" w:rsidRPr="00201AAD">
        <w:rPr>
          <w:rFonts w:ascii="Times New Roman" w:hAnsi="Times New Roman" w:cs="Times New Roman"/>
          <w:color w:val="000000" w:themeColor="text1"/>
          <w:szCs w:val="24"/>
        </w:rPr>
        <w:t xml:space="preserve"> (2009)</w:t>
      </w:r>
      <w:r w:rsidRPr="00201AAD">
        <w:rPr>
          <w:rFonts w:ascii="Times New Roman" w:hAnsi="Times New Roman" w:cs="Times New Roman"/>
          <w:color w:val="000000" w:themeColor="text1"/>
          <w:szCs w:val="24"/>
        </w:rPr>
        <w:t xml:space="preserve"> showed that community relations, employee relations, and environmental stewardship show a positive and statistically significant relationship to returns. </w:t>
      </w:r>
    </w:p>
    <w:p w:rsidR="00943C58" w:rsidRPr="00201AAD" w:rsidRDefault="00943C58" w:rsidP="00943C58">
      <w:pPr>
        <w:autoSpaceDE w:val="0"/>
        <w:autoSpaceDN w:val="0"/>
        <w:adjustRightInd w:val="0"/>
        <w:spacing w:line="480" w:lineRule="auto"/>
        <w:ind w:firstLine="480"/>
        <w:jc w:val="both"/>
        <w:rPr>
          <w:rFonts w:ascii="Times New Roman" w:hAnsi="Times New Roman" w:cs="Times New Roman"/>
          <w:color w:val="000000" w:themeColor="text1"/>
        </w:rPr>
      </w:pPr>
      <w:r w:rsidRPr="00201AAD">
        <w:rPr>
          <w:rFonts w:ascii="Times New Roman" w:hAnsi="Times New Roman" w:cs="Times New Roman"/>
          <w:color w:val="000000" w:themeColor="text1"/>
        </w:rPr>
        <w:t>A firm’s reputation is also a kind of non-financial intangible corporate asset, and is increasingly the focus of academic research. Empirical studies have investigated the effect of a company’s reputation on stock price returns (e.g.</w:t>
      </w:r>
      <w:r w:rsidR="00C52490" w:rsidRPr="00201AAD">
        <w:rPr>
          <w:rFonts w:ascii="Times New Roman" w:hAnsi="Times New Roman" w:cs="Times New Roman"/>
          <w:color w:val="000000" w:themeColor="text1"/>
        </w:rPr>
        <w:t>,</w:t>
      </w:r>
      <w:r w:rsidRPr="00201AAD">
        <w:rPr>
          <w:rFonts w:ascii="Times New Roman" w:hAnsi="Times New Roman" w:cs="Times New Roman"/>
          <w:color w:val="000000" w:themeColor="text1"/>
        </w:rPr>
        <w:t xml:space="preserve"> Fortune Magazine’s “America’s Most Admired Companies” survey). Firms are selected by securities analysts, executives, and directors based on eight key criteria, including social responsibility, innovation, product quality, </w:t>
      </w:r>
      <w:proofErr w:type="gramStart"/>
      <w:r w:rsidRPr="00201AAD">
        <w:rPr>
          <w:rFonts w:ascii="Times New Roman" w:hAnsi="Times New Roman" w:cs="Times New Roman"/>
          <w:color w:val="000000" w:themeColor="text1"/>
        </w:rPr>
        <w:t>financial</w:t>
      </w:r>
      <w:proofErr w:type="gramEnd"/>
      <w:r w:rsidRPr="00201AAD">
        <w:rPr>
          <w:rFonts w:ascii="Times New Roman" w:hAnsi="Times New Roman" w:cs="Times New Roman"/>
          <w:color w:val="000000" w:themeColor="text1"/>
        </w:rPr>
        <w:t xml:space="preserve"> stability, ability to attract employees, investment value, and intelligent use of properties. Studies have found that firms on the list outperform less admired firms (Filbeck </w:t>
      </w:r>
      <w:r w:rsidRPr="00201AAD">
        <w:rPr>
          <w:rFonts w:ascii="Times New Roman" w:hAnsi="Times New Roman" w:cs="Times New Roman"/>
          <w:i/>
          <w:color w:val="000000" w:themeColor="text1"/>
        </w:rPr>
        <w:t>et al</w:t>
      </w:r>
      <w:r w:rsidRPr="00201AAD">
        <w:rPr>
          <w:rFonts w:ascii="Times New Roman" w:hAnsi="Times New Roman" w:cs="Times New Roman"/>
          <w:color w:val="000000" w:themeColor="text1"/>
        </w:rPr>
        <w:t>. 1997</w:t>
      </w:r>
      <w:r w:rsidR="00C52490" w:rsidRPr="00201AAD">
        <w:rPr>
          <w:rFonts w:ascii="Times New Roman" w:hAnsi="Times New Roman" w:cs="Times New Roman"/>
          <w:color w:val="000000" w:themeColor="text1"/>
        </w:rPr>
        <w:t>,</w:t>
      </w:r>
      <w:r w:rsidRPr="00201AAD">
        <w:rPr>
          <w:rFonts w:ascii="Times New Roman" w:hAnsi="Times New Roman" w:cs="Times New Roman"/>
          <w:color w:val="000000" w:themeColor="text1"/>
        </w:rPr>
        <w:t xml:space="preserve"> </w:t>
      </w:r>
      <w:proofErr w:type="spellStart"/>
      <w:r w:rsidRPr="00201AAD">
        <w:rPr>
          <w:rFonts w:ascii="Times New Roman" w:hAnsi="Times New Roman" w:cs="Times New Roman"/>
          <w:color w:val="000000" w:themeColor="text1"/>
        </w:rPr>
        <w:t>Antunovich</w:t>
      </w:r>
      <w:proofErr w:type="spellEnd"/>
      <w:r w:rsidRPr="00201AAD">
        <w:rPr>
          <w:rFonts w:ascii="Times New Roman" w:hAnsi="Times New Roman" w:cs="Times New Roman"/>
          <w:color w:val="000000" w:themeColor="text1"/>
        </w:rPr>
        <w:t xml:space="preserve"> </w:t>
      </w:r>
      <w:r w:rsidRPr="00201AAD">
        <w:rPr>
          <w:rFonts w:ascii="Times New Roman" w:hAnsi="Times New Roman" w:cs="Times New Roman"/>
          <w:i/>
          <w:color w:val="000000" w:themeColor="text1"/>
        </w:rPr>
        <w:t>et al</w:t>
      </w:r>
      <w:r w:rsidRPr="00201AAD">
        <w:rPr>
          <w:rFonts w:ascii="Times New Roman" w:hAnsi="Times New Roman" w:cs="Times New Roman"/>
          <w:color w:val="000000" w:themeColor="text1"/>
        </w:rPr>
        <w:t>. 2000</w:t>
      </w:r>
      <w:r w:rsidR="00C52490" w:rsidRPr="00201AAD">
        <w:rPr>
          <w:rFonts w:ascii="Times New Roman" w:hAnsi="Times New Roman" w:cs="Times New Roman"/>
          <w:color w:val="000000" w:themeColor="text1"/>
        </w:rPr>
        <w:t>,</w:t>
      </w:r>
      <w:r w:rsidRPr="00201AAD">
        <w:rPr>
          <w:rFonts w:ascii="Times New Roman" w:hAnsi="Times New Roman" w:cs="Times New Roman"/>
          <w:color w:val="000000" w:themeColor="text1"/>
        </w:rPr>
        <w:t xml:space="preserve"> Chung </w:t>
      </w:r>
      <w:r w:rsidRPr="00201AAD">
        <w:rPr>
          <w:rFonts w:ascii="Times New Roman" w:hAnsi="Times New Roman" w:cs="Times New Roman"/>
          <w:i/>
          <w:color w:val="000000" w:themeColor="text1"/>
        </w:rPr>
        <w:t>et al</w:t>
      </w:r>
      <w:r w:rsidRPr="00201AAD">
        <w:rPr>
          <w:rFonts w:ascii="Times New Roman" w:hAnsi="Times New Roman" w:cs="Times New Roman"/>
          <w:color w:val="000000" w:themeColor="text1"/>
        </w:rPr>
        <w:t>. 2003). Our own results also find that the most admired companies also beat market indices (co</w:t>
      </w:r>
      <w:r w:rsidR="00C52490" w:rsidRPr="00201AAD">
        <w:rPr>
          <w:rFonts w:ascii="Times New Roman" w:hAnsi="Times New Roman" w:cs="Times New Roman"/>
          <w:color w:val="000000" w:themeColor="text1"/>
        </w:rPr>
        <w:t>nsistent with Anderson &amp; Smith</w:t>
      </w:r>
      <w:r w:rsidR="008B6416" w:rsidRPr="00201AAD">
        <w:rPr>
          <w:rFonts w:ascii="Times New Roman" w:hAnsi="Times New Roman" w:cs="Times New Roman"/>
          <w:color w:val="000000" w:themeColor="text1"/>
        </w:rPr>
        <w:t xml:space="preserve"> </w:t>
      </w:r>
      <w:r w:rsidRPr="00201AAD">
        <w:rPr>
          <w:rFonts w:ascii="Times New Roman" w:hAnsi="Times New Roman" w:cs="Times New Roman"/>
          <w:color w:val="000000" w:themeColor="text1"/>
        </w:rPr>
        <w:t xml:space="preserve">2006). </w:t>
      </w:r>
    </w:p>
    <w:p w:rsidR="00943C58" w:rsidRPr="00201AAD" w:rsidRDefault="00943C58" w:rsidP="00943C58">
      <w:pPr>
        <w:autoSpaceDE w:val="0"/>
        <w:autoSpaceDN w:val="0"/>
        <w:adjustRightInd w:val="0"/>
        <w:spacing w:line="480" w:lineRule="auto"/>
        <w:ind w:firstLine="360"/>
        <w:jc w:val="both"/>
        <w:rPr>
          <w:rFonts w:ascii="Times New Roman" w:hAnsi="Times New Roman" w:cs="Times New Roman"/>
          <w:color w:val="000000" w:themeColor="text1"/>
        </w:rPr>
      </w:pPr>
      <w:r w:rsidRPr="00201AAD">
        <w:rPr>
          <w:rFonts w:ascii="Times New Roman" w:hAnsi="Times New Roman" w:cs="Times New Roman"/>
          <w:color w:val="000000" w:themeColor="text1"/>
        </w:rPr>
        <w:t>Brands are of great economic importance to firms</w:t>
      </w:r>
      <w:r w:rsidR="004A0C9D" w:rsidRPr="00201AAD">
        <w:rPr>
          <w:rFonts w:ascii="Times New Roman" w:hAnsi="Times New Roman" w:cs="Times New Roman"/>
          <w:color w:val="000000" w:themeColor="text1"/>
        </w:rPr>
        <w:t xml:space="preserve"> (i.e., </w:t>
      </w:r>
      <w:proofErr w:type="spellStart"/>
      <w:r w:rsidR="004A0C9D" w:rsidRPr="00201AAD">
        <w:rPr>
          <w:rFonts w:ascii="Times New Roman" w:hAnsi="Times New Roman" w:cs="Times New Roman"/>
        </w:rPr>
        <w:t>Interbrand</w:t>
      </w:r>
      <w:proofErr w:type="spellEnd"/>
      <w:r w:rsidR="004A0C9D" w:rsidRPr="00201AAD">
        <w:rPr>
          <w:rFonts w:ascii="Times New Roman" w:hAnsi="Times New Roman" w:cs="Times New Roman"/>
        </w:rPr>
        <w:t xml:space="preserve"> assesses the value of Coca-Cola brand to be $70.45 billion in 2010 and a total firm value of $160 billion in 2010.</w:t>
      </w:r>
      <w:r w:rsidR="004A0C9D" w:rsidRPr="00201AAD">
        <w:rPr>
          <w:rFonts w:ascii="Times New Roman" w:hAnsi="Times New Roman" w:cs="Times New Roman"/>
          <w:color w:val="000000" w:themeColor="text1"/>
        </w:rPr>
        <w:t>)</w:t>
      </w:r>
      <w:r w:rsidRPr="00201AAD">
        <w:rPr>
          <w:rFonts w:ascii="Times New Roman" w:hAnsi="Times New Roman" w:cs="Times New Roman"/>
          <w:color w:val="000000" w:themeColor="text1"/>
        </w:rPr>
        <w:t xml:space="preserve"> and</w:t>
      </w:r>
      <w:r w:rsidR="008B6416" w:rsidRPr="00201AAD">
        <w:rPr>
          <w:rFonts w:ascii="Times New Roman" w:hAnsi="Times New Roman" w:cs="Times New Roman"/>
          <w:color w:val="000000" w:themeColor="text1"/>
        </w:rPr>
        <w:t xml:space="preserve"> Simon and Sullivan (1993)</w:t>
      </w:r>
      <w:r w:rsidRPr="00201AAD">
        <w:rPr>
          <w:rFonts w:ascii="Times New Roman" w:hAnsi="Times New Roman" w:cs="Times New Roman"/>
          <w:color w:val="000000" w:themeColor="text1"/>
        </w:rPr>
        <w:t xml:space="preserve"> have shown that brand power is reflected by a higher valuation. A </w:t>
      </w:r>
      <w:r w:rsidRPr="00201AAD">
        <w:rPr>
          <w:rFonts w:ascii="Times New Roman" w:eastAsia="新細明體" w:hAnsi="Times New Roman" w:cs="Times New Roman"/>
          <w:color w:val="000000" w:themeColor="text1"/>
          <w:kern w:val="0"/>
          <w:szCs w:val="24"/>
        </w:rPr>
        <w:t>high-quality brand inspires customer loyalty, leading to improved long-term profitability (</w:t>
      </w:r>
      <w:r w:rsidRPr="00201AAD">
        <w:rPr>
          <w:rFonts w:ascii="Times New Roman" w:hAnsi="Times New Roman" w:cs="Times New Roman"/>
          <w:color w:val="000000" w:themeColor="text1"/>
          <w:kern w:val="0"/>
          <w:szCs w:val="24"/>
        </w:rPr>
        <w:t>Dub</w:t>
      </w:r>
      <m:oMath>
        <m:acc>
          <m:accPr>
            <m:chr m:val="́"/>
            <m:ctrlPr>
              <w:rPr>
                <w:rFonts w:ascii="Cambria Math" w:hAnsi="Cambria Math" w:cs="Times New Roman"/>
                <w:color w:val="000000" w:themeColor="text1"/>
                <w:kern w:val="0"/>
                <w:szCs w:val="24"/>
              </w:rPr>
            </m:ctrlPr>
          </m:accPr>
          <m:e>
            <m:r>
              <m:rPr>
                <m:sty m:val="p"/>
              </m:rPr>
              <w:rPr>
                <w:rFonts w:ascii="Cambria Math" w:hAnsi="Cambria Math" w:cs="Times New Roman"/>
                <w:color w:val="000000" w:themeColor="text1"/>
                <w:kern w:val="0"/>
                <w:szCs w:val="24"/>
              </w:rPr>
              <m:t>e</m:t>
            </m:r>
          </m:e>
        </m:acc>
      </m:oMath>
      <w:r w:rsidRPr="00201AAD">
        <w:rPr>
          <w:rFonts w:ascii="Times New Roman" w:hAnsi="Times New Roman" w:cs="Times New Roman"/>
          <w:color w:val="000000" w:themeColor="text1"/>
          <w:kern w:val="0"/>
          <w:szCs w:val="24"/>
        </w:rPr>
        <w:t xml:space="preserve"> </w:t>
      </w:r>
      <w:r w:rsidRPr="00201AAD">
        <w:rPr>
          <w:rFonts w:ascii="Times New Roman" w:hAnsi="Times New Roman" w:cs="Times New Roman"/>
          <w:i/>
          <w:color w:val="000000" w:themeColor="text1"/>
          <w:kern w:val="0"/>
          <w:szCs w:val="24"/>
        </w:rPr>
        <w:t>et al</w:t>
      </w:r>
      <w:r w:rsidRPr="00201AAD">
        <w:rPr>
          <w:rFonts w:ascii="Times New Roman" w:hAnsi="Times New Roman" w:cs="Times New Roman"/>
          <w:color w:val="000000" w:themeColor="text1"/>
          <w:kern w:val="0"/>
          <w:szCs w:val="24"/>
        </w:rPr>
        <w:t>. 2008). Firms with more highly valued brands</w:t>
      </w:r>
      <w:r w:rsidRPr="00201AAD">
        <w:rPr>
          <w:rFonts w:ascii="Times New Roman" w:hAnsi="Times New Roman" w:cs="Times New Roman"/>
          <w:color w:val="000000" w:themeColor="text1"/>
        </w:rPr>
        <w:t xml:space="preserve"> also </w:t>
      </w:r>
      <w:r w:rsidRPr="00201AAD">
        <w:rPr>
          <w:rFonts w:ascii="Times New Roman" w:hAnsi="Times New Roman" w:cs="Times New Roman"/>
          <w:color w:val="000000" w:themeColor="text1"/>
          <w:kern w:val="0"/>
          <w:szCs w:val="24"/>
        </w:rPr>
        <w:t>benefit from being able to charge a price premium</w:t>
      </w:r>
      <w:r w:rsidRPr="00201AAD" w:rsidDel="00670F92">
        <w:rPr>
          <w:rFonts w:ascii="Times New Roman" w:hAnsi="Times New Roman" w:cs="Times New Roman"/>
          <w:color w:val="000000" w:themeColor="text1"/>
          <w:kern w:val="0"/>
          <w:szCs w:val="24"/>
        </w:rPr>
        <w:t xml:space="preserve"> </w:t>
      </w:r>
      <w:r w:rsidRPr="00201AAD">
        <w:rPr>
          <w:rFonts w:ascii="Times New Roman" w:hAnsi="Times New Roman" w:cs="Times New Roman"/>
          <w:color w:val="000000" w:themeColor="text1"/>
          <w:kern w:val="0"/>
          <w:szCs w:val="24"/>
        </w:rPr>
        <w:t xml:space="preserve">(Shaffer &amp; Zhang 2002). Our study shows that brand quality is positively correlated to stock returns (consistent with </w:t>
      </w:r>
      <w:proofErr w:type="spellStart"/>
      <w:r w:rsidRPr="00201AAD">
        <w:rPr>
          <w:rFonts w:ascii="Times New Roman" w:hAnsi="Times New Roman" w:cs="Times New Roman"/>
          <w:color w:val="000000" w:themeColor="text1"/>
          <w:kern w:val="0"/>
          <w:szCs w:val="24"/>
        </w:rPr>
        <w:t>Kerin</w:t>
      </w:r>
      <w:proofErr w:type="spellEnd"/>
      <w:r w:rsidRPr="00201AAD">
        <w:rPr>
          <w:rFonts w:ascii="Times New Roman" w:hAnsi="Times New Roman" w:cs="Times New Roman"/>
          <w:color w:val="000000" w:themeColor="text1"/>
          <w:kern w:val="0"/>
          <w:szCs w:val="24"/>
        </w:rPr>
        <w:t xml:space="preserve"> &amp; </w:t>
      </w:r>
      <w:proofErr w:type="spellStart"/>
      <w:r w:rsidRPr="00201AAD">
        <w:rPr>
          <w:rFonts w:ascii="Times New Roman" w:hAnsi="Times New Roman" w:cs="Times New Roman"/>
          <w:color w:val="000000" w:themeColor="text1"/>
          <w:kern w:val="0"/>
          <w:szCs w:val="24"/>
        </w:rPr>
        <w:t>Sethuraman</w:t>
      </w:r>
      <w:proofErr w:type="spellEnd"/>
      <w:r w:rsidRPr="00201AAD">
        <w:rPr>
          <w:rFonts w:ascii="Times New Roman" w:hAnsi="Times New Roman" w:cs="Times New Roman"/>
          <w:color w:val="000000" w:themeColor="text1"/>
          <w:kern w:val="0"/>
          <w:szCs w:val="24"/>
        </w:rPr>
        <w:t xml:space="preserve"> 1998</w:t>
      </w:r>
      <w:r w:rsidR="00C52490" w:rsidRPr="00201AAD">
        <w:rPr>
          <w:rFonts w:ascii="Times New Roman" w:hAnsi="Times New Roman" w:cs="Times New Roman"/>
          <w:color w:val="000000" w:themeColor="text1"/>
          <w:kern w:val="0"/>
          <w:szCs w:val="24"/>
        </w:rPr>
        <w:t>,</w:t>
      </w:r>
      <w:r w:rsidRPr="00201AAD">
        <w:rPr>
          <w:rFonts w:ascii="Times New Roman" w:hAnsi="Times New Roman" w:cs="Times New Roman"/>
          <w:color w:val="000000" w:themeColor="text1"/>
          <w:kern w:val="0"/>
          <w:szCs w:val="24"/>
        </w:rPr>
        <w:t xml:space="preserve"> Madden </w:t>
      </w:r>
      <w:r w:rsidRPr="00201AAD">
        <w:rPr>
          <w:rFonts w:ascii="Times New Roman" w:hAnsi="Times New Roman" w:cs="Times New Roman"/>
          <w:i/>
          <w:color w:val="000000" w:themeColor="text1"/>
          <w:kern w:val="0"/>
          <w:szCs w:val="24"/>
        </w:rPr>
        <w:t>et al</w:t>
      </w:r>
      <w:r w:rsidRPr="00201AAD">
        <w:rPr>
          <w:rFonts w:ascii="Times New Roman" w:hAnsi="Times New Roman" w:cs="Times New Roman"/>
          <w:color w:val="000000" w:themeColor="text1"/>
          <w:kern w:val="0"/>
          <w:szCs w:val="24"/>
        </w:rPr>
        <w:t>. 2006) and high-quality brands are found to be more likely to contribute to improved profitability by enabling firms to offer limited edition products (</w:t>
      </w:r>
      <w:proofErr w:type="spellStart"/>
      <w:r w:rsidRPr="00201AAD">
        <w:rPr>
          <w:rFonts w:ascii="Times New Roman" w:hAnsi="Times New Roman" w:cs="Times New Roman"/>
          <w:color w:val="000000" w:themeColor="text1"/>
          <w:kern w:val="0"/>
          <w:szCs w:val="24"/>
        </w:rPr>
        <w:t>Balachander</w:t>
      </w:r>
      <w:proofErr w:type="spellEnd"/>
      <w:r w:rsidRPr="00201AAD">
        <w:rPr>
          <w:rFonts w:ascii="Times New Roman" w:hAnsi="Times New Roman" w:cs="Times New Roman"/>
          <w:color w:val="000000" w:themeColor="text1"/>
          <w:kern w:val="0"/>
          <w:szCs w:val="24"/>
        </w:rPr>
        <w:t xml:space="preserve"> &amp; Stock</w:t>
      </w:r>
      <w:r w:rsidR="00C52490" w:rsidRPr="00201AAD">
        <w:rPr>
          <w:rFonts w:ascii="Times New Roman" w:hAnsi="Times New Roman" w:cs="Times New Roman"/>
          <w:color w:val="000000" w:themeColor="text1"/>
          <w:kern w:val="0"/>
          <w:szCs w:val="24"/>
        </w:rPr>
        <w:t xml:space="preserve"> </w:t>
      </w:r>
      <w:r w:rsidRPr="00201AAD">
        <w:rPr>
          <w:rFonts w:ascii="Times New Roman" w:hAnsi="Times New Roman" w:cs="Times New Roman"/>
          <w:color w:val="000000" w:themeColor="text1"/>
          <w:kern w:val="0"/>
          <w:szCs w:val="24"/>
        </w:rPr>
        <w:t xml:space="preserve">2009). </w:t>
      </w:r>
    </w:p>
    <w:p w:rsidR="009072E0" w:rsidRPr="00201AAD" w:rsidRDefault="00943C58" w:rsidP="00C52490">
      <w:pPr>
        <w:autoSpaceDE w:val="0"/>
        <w:autoSpaceDN w:val="0"/>
        <w:adjustRightInd w:val="0"/>
        <w:spacing w:line="480" w:lineRule="auto"/>
        <w:ind w:firstLine="360"/>
        <w:jc w:val="both"/>
        <w:rPr>
          <w:rFonts w:ascii="Times New Roman" w:hAnsi="Times New Roman" w:cs="Times New Roman"/>
          <w:color w:val="000000" w:themeColor="text1"/>
        </w:rPr>
      </w:pPr>
      <w:r w:rsidRPr="00201AAD">
        <w:rPr>
          <w:rFonts w:ascii="Times New Roman" w:hAnsi="Times New Roman" w:cs="Times New Roman"/>
          <w:color w:val="000000" w:themeColor="text1"/>
        </w:rPr>
        <w:t>This paper constructs an investment portfolio combining firms with different types of intangible assets, an approach which has not been adequately used in prior research.</w:t>
      </w:r>
    </w:p>
    <w:p w:rsidR="009106FE" w:rsidRPr="00201AAD" w:rsidRDefault="009106FE" w:rsidP="00C52490">
      <w:pPr>
        <w:autoSpaceDE w:val="0"/>
        <w:autoSpaceDN w:val="0"/>
        <w:adjustRightInd w:val="0"/>
        <w:spacing w:line="480" w:lineRule="auto"/>
        <w:ind w:firstLine="360"/>
        <w:jc w:val="both"/>
        <w:rPr>
          <w:rFonts w:ascii="Times New Roman" w:hAnsi="Times New Roman" w:cs="Times New Roman"/>
          <w:color w:val="000000" w:themeColor="text1"/>
        </w:rPr>
      </w:pPr>
    </w:p>
    <w:p w:rsidR="00943C58" w:rsidRPr="00201AAD" w:rsidRDefault="00201AAD" w:rsidP="00C52490">
      <w:pPr>
        <w:autoSpaceDE w:val="0"/>
        <w:autoSpaceDN w:val="0"/>
        <w:adjustRightInd w:val="0"/>
        <w:spacing w:line="480" w:lineRule="auto"/>
        <w:rPr>
          <w:rFonts w:ascii="Times New Roman" w:hAnsi="Times New Roman" w:cs="Times New Roman"/>
          <w:b/>
          <w:sz w:val="28"/>
          <w:szCs w:val="28"/>
        </w:rPr>
      </w:pPr>
      <w:r>
        <w:rPr>
          <w:rFonts w:ascii="Times New Roman" w:hAnsi="Times New Roman" w:cs="Times New Roman" w:hint="eastAsia"/>
          <w:b/>
          <w:sz w:val="28"/>
          <w:szCs w:val="28"/>
        </w:rPr>
        <w:t xml:space="preserve">3. </w:t>
      </w:r>
      <w:r w:rsidR="009106FE" w:rsidRPr="00201AAD">
        <w:rPr>
          <w:rFonts w:ascii="Times New Roman" w:hAnsi="Times New Roman" w:cs="Times New Roman"/>
          <w:b/>
          <w:sz w:val="28"/>
          <w:szCs w:val="28"/>
        </w:rPr>
        <w:t>Data and m</w:t>
      </w:r>
      <w:r w:rsidR="00C52490" w:rsidRPr="00201AAD">
        <w:rPr>
          <w:rFonts w:ascii="Times New Roman" w:hAnsi="Times New Roman" w:cs="Times New Roman"/>
          <w:b/>
          <w:sz w:val="28"/>
          <w:szCs w:val="28"/>
        </w:rPr>
        <w:t>ethods</w:t>
      </w:r>
    </w:p>
    <w:p w:rsidR="006E716E" w:rsidRPr="00201AAD" w:rsidRDefault="00201AAD" w:rsidP="002F09AE">
      <w:pPr>
        <w:autoSpaceDE w:val="0"/>
        <w:autoSpaceDN w:val="0"/>
        <w:adjustRightInd w:val="0"/>
        <w:spacing w:line="480" w:lineRule="auto"/>
        <w:rPr>
          <w:rFonts w:ascii="Times New Roman" w:hAnsi="Times New Roman" w:cs="Times New Roman"/>
          <w:i/>
          <w:sz w:val="28"/>
          <w:szCs w:val="28"/>
        </w:rPr>
      </w:pPr>
      <w:r w:rsidRPr="00201AAD">
        <w:rPr>
          <w:rFonts w:ascii="Times New Roman" w:hAnsi="Times New Roman" w:cs="Times New Roman" w:hint="eastAsia"/>
          <w:i/>
          <w:sz w:val="28"/>
          <w:szCs w:val="28"/>
        </w:rPr>
        <w:t>3.1</w:t>
      </w:r>
      <w:r>
        <w:rPr>
          <w:rFonts w:ascii="Times New Roman" w:hAnsi="Times New Roman" w:cs="Times New Roman" w:hint="eastAsia"/>
          <w:i/>
          <w:sz w:val="28"/>
          <w:szCs w:val="28"/>
        </w:rPr>
        <w:t xml:space="preserve"> </w:t>
      </w:r>
      <w:r w:rsidR="002F09AE" w:rsidRPr="00201AAD">
        <w:rPr>
          <w:rFonts w:ascii="Times New Roman" w:hAnsi="Times New Roman" w:cs="Times New Roman"/>
          <w:i/>
          <w:sz w:val="28"/>
          <w:szCs w:val="28"/>
        </w:rPr>
        <w:t>Data</w:t>
      </w:r>
    </w:p>
    <w:p w:rsidR="00943C58" w:rsidRPr="00201AAD" w:rsidRDefault="00943C58" w:rsidP="00943C58">
      <w:pPr>
        <w:autoSpaceDE w:val="0"/>
        <w:autoSpaceDN w:val="0"/>
        <w:adjustRightInd w:val="0"/>
        <w:spacing w:line="480" w:lineRule="auto"/>
        <w:ind w:firstLineChars="150" w:firstLine="360"/>
        <w:jc w:val="both"/>
        <w:rPr>
          <w:rFonts w:ascii="Times New Roman" w:hAnsi="Times New Roman" w:cs="Times New Roman"/>
        </w:rPr>
      </w:pPr>
      <w:r w:rsidRPr="00201AAD">
        <w:rPr>
          <w:rFonts w:ascii="Times New Roman" w:hAnsi="Times New Roman" w:cs="Times New Roman"/>
        </w:rPr>
        <w:t xml:space="preserve">Firms were selected for inclusion in the portfolio based on data from 2001 to 2010 obtained from the following annual lists: “America’s 100 Best Companies </w:t>
      </w:r>
      <w:r w:rsidRPr="00201AAD">
        <w:rPr>
          <w:rFonts w:ascii="Times New Roman" w:eastAsia="新細明體" w:hAnsi="Times New Roman" w:cs="Times New Roman"/>
        </w:rPr>
        <w:t>T</w:t>
      </w:r>
      <w:r w:rsidRPr="00201AAD">
        <w:rPr>
          <w:rFonts w:ascii="Times New Roman" w:hAnsi="Times New Roman" w:cs="Times New Roman"/>
        </w:rPr>
        <w:t xml:space="preserve">o Work For” (Fortune Magazine), “America’s 100 Best Corporate Citizens” (Business Ethics), “America’s Most Admired Companies” (Fortune Magazine), and “100 Best Global Brands” (Business Week). </w:t>
      </w:r>
      <w:r w:rsidRPr="00201AAD">
        <w:rPr>
          <w:rFonts w:ascii="Times New Roman" w:hAnsi="Times New Roman" w:cs="Times New Roman"/>
          <w:szCs w:val="24"/>
        </w:rPr>
        <w:t>All of these information sources are easily available to investors and have a reputation for integrity and incisive journalism</w:t>
      </w:r>
      <w:r w:rsidRPr="00201AAD">
        <w:rPr>
          <w:rFonts w:ascii="Times New Roman" w:eastAsia="新細明體" w:hAnsi="Times New Roman" w:cs="Times New Roman"/>
          <w:kern w:val="0"/>
          <w:szCs w:val="24"/>
        </w:rPr>
        <w:t>.</w:t>
      </w:r>
      <w:r w:rsidRPr="00201AAD">
        <w:rPr>
          <w:rFonts w:ascii="Times New Roman" w:hAnsi="Times New Roman" w:cs="Times New Roman"/>
          <w:kern w:val="0"/>
          <w:szCs w:val="24"/>
        </w:rPr>
        <w:t xml:space="preserve"> </w:t>
      </w:r>
      <w:r w:rsidR="009072E0" w:rsidRPr="00201AAD">
        <w:rPr>
          <w:rFonts w:ascii="Times New Roman" w:hAnsi="Times New Roman" w:cs="Times New Roman"/>
        </w:rPr>
        <w:t>Table</w:t>
      </w:r>
      <w:r w:rsidRPr="00201AAD">
        <w:rPr>
          <w:rFonts w:ascii="Times New Roman" w:hAnsi="Times New Roman" w:cs="Times New Roman"/>
        </w:rPr>
        <w:t xml:space="preserve"> 1 provides the publication data of our four indicators.</w:t>
      </w:r>
    </w:p>
    <w:p w:rsidR="0089657C" w:rsidRPr="00201AAD" w:rsidRDefault="00943C58" w:rsidP="005835A1">
      <w:pPr>
        <w:autoSpaceDE w:val="0"/>
        <w:autoSpaceDN w:val="0"/>
        <w:adjustRightInd w:val="0"/>
        <w:spacing w:line="480" w:lineRule="auto"/>
        <w:ind w:firstLine="240"/>
        <w:jc w:val="both"/>
        <w:rPr>
          <w:rFonts w:ascii="Times New Roman" w:hAnsi="Times New Roman" w:cs="Times New Roman"/>
        </w:rPr>
      </w:pPr>
      <w:r w:rsidRPr="00201AAD">
        <w:rPr>
          <w:rFonts w:ascii="Times New Roman" w:hAnsi="Times New Roman" w:cs="Times New Roman"/>
        </w:rPr>
        <w:t xml:space="preserve">For the selected firms, we then obtained monthly returns (i.e. with dividends added back) and industry codes from CRSP, along with detailed social characteristics from KLD Research &amp; Analytics. The S&amp;P500 index was used a basis for comparison, with monthly return data obtained from DataStream. Firms for which the industry codes or one of the return variables was missing were excluded from analysis. </w:t>
      </w:r>
    </w:p>
    <w:p w:rsidR="00F36FC6" w:rsidRPr="00201AAD" w:rsidRDefault="00F36FC6" w:rsidP="00F36FC6">
      <w:pPr>
        <w:autoSpaceDE w:val="0"/>
        <w:autoSpaceDN w:val="0"/>
        <w:adjustRightInd w:val="0"/>
        <w:spacing w:line="480" w:lineRule="auto"/>
        <w:ind w:firstLineChars="150" w:firstLine="360"/>
        <w:jc w:val="center"/>
        <w:rPr>
          <w:rFonts w:ascii="Times New Roman" w:eastAsia="新細明體" w:hAnsi="Times New Roman" w:cs="Times New Roman"/>
          <w:b/>
        </w:rPr>
      </w:pPr>
      <w:r w:rsidRPr="00201AAD">
        <w:rPr>
          <w:rFonts w:ascii="Times New Roman" w:hAnsi="Times New Roman" w:cs="Times New Roman"/>
          <w:b/>
        </w:rPr>
        <w:t>&lt;Insert Table 1 about here&gt;</w:t>
      </w:r>
    </w:p>
    <w:p w:rsidR="006E716E" w:rsidRPr="00201AAD" w:rsidRDefault="00201AAD" w:rsidP="00943C58">
      <w:pPr>
        <w:autoSpaceDE w:val="0"/>
        <w:autoSpaceDN w:val="0"/>
        <w:adjustRightInd w:val="0"/>
        <w:spacing w:line="480" w:lineRule="auto"/>
        <w:jc w:val="both"/>
        <w:rPr>
          <w:rFonts w:ascii="Times New Roman" w:hAnsi="Times New Roman" w:cs="Times New Roman"/>
          <w:i/>
          <w:sz w:val="28"/>
          <w:szCs w:val="28"/>
        </w:rPr>
      </w:pPr>
      <w:r w:rsidRPr="00201AAD">
        <w:rPr>
          <w:rFonts w:ascii="Times New Roman" w:hAnsi="Times New Roman" w:cs="Times New Roman" w:hint="eastAsia"/>
          <w:i/>
          <w:sz w:val="28"/>
          <w:szCs w:val="28"/>
        </w:rPr>
        <w:t xml:space="preserve">3.2 </w:t>
      </w:r>
      <w:r w:rsidR="002F09AE" w:rsidRPr="00201AAD">
        <w:rPr>
          <w:rFonts w:ascii="Times New Roman" w:hAnsi="Times New Roman" w:cs="Times New Roman"/>
          <w:i/>
          <w:sz w:val="28"/>
          <w:szCs w:val="28"/>
        </w:rPr>
        <w:t>Methods</w:t>
      </w:r>
    </w:p>
    <w:p w:rsidR="00943C58" w:rsidRPr="00201AAD" w:rsidRDefault="00943C58" w:rsidP="00943C58">
      <w:pPr>
        <w:autoSpaceDE w:val="0"/>
        <w:autoSpaceDN w:val="0"/>
        <w:adjustRightInd w:val="0"/>
        <w:spacing w:line="480" w:lineRule="auto"/>
        <w:ind w:firstLine="240"/>
        <w:jc w:val="both"/>
        <w:rPr>
          <w:rFonts w:ascii="Times New Roman" w:hAnsi="Times New Roman" w:cs="Times New Roman"/>
        </w:rPr>
      </w:pPr>
      <w:r w:rsidRPr="00201AAD">
        <w:rPr>
          <w:rFonts w:ascii="Times New Roman" w:hAnsi="Times New Roman" w:cs="Times New Roman"/>
        </w:rPr>
        <w:t>For each indicator, we considered the buy-and-hold strategy: buying an equally weighted portfolio and holding it throughout the sample period. Each magazine publishes its lists at different times of the year, and the sample period was set to begin with the publishing of each list. Our analysis included publicly traded firms which appear in each annual list and compared their performance with that of the S&amp;P500.</w:t>
      </w:r>
    </w:p>
    <w:p w:rsidR="00943C58" w:rsidRPr="00201AAD" w:rsidRDefault="00943C58" w:rsidP="00943C58">
      <w:pPr>
        <w:autoSpaceDE w:val="0"/>
        <w:autoSpaceDN w:val="0"/>
        <w:adjustRightInd w:val="0"/>
        <w:spacing w:line="480" w:lineRule="auto"/>
        <w:ind w:firstLine="240"/>
        <w:jc w:val="both"/>
        <w:rPr>
          <w:rFonts w:ascii="Times New Roman" w:hAnsi="Times New Roman" w:cs="Times New Roman"/>
        </w:rPr>
      </w:pPr>
      <w:r w:rsidRPr="00201AAD">
        <w:rPr>
          <w:rFonts w:ascii="Times New Roman" w:hAnsi="Times New Roman" w:cs="Times New Roman"/>
        </w:rPr>
        <w:t xml:space="preserve">Month t is defined as the month in which a given list is published, and we consider abnormal returns on months t to </w:t>
      </w:r>
      <w:proofErr w:type="spellStart"/>
      <w:r w:rsidRPr="00201AAD">
        <w:rPr>
          <w:rFonts w:ascii="Times New Roman" w:hAnsi="Times New Roman" w:cs="Times New Roman"/>
        </w:rPr>
        <w:t>t+n</w:t>
      </w:r>
      <w:proofErr w:type="spellEnd"/>
      <w:r w:rsidRPr="00201AAD">
        <w:rPr>
          <w:rFonts w:ascii="Times New Roman" w:hAnsi="Times New Roman" w:cs="Times New Roman"/>
        </w:rPr>
        <w:t xml:space="preserve">. Statistical significance of the abnormal returns can be obtained using the group mean t-statistic </w:t>
      </w:r>
    </w:p>
    <w:p w:rsidR="00943C58" w:rsidRPr="00201AAD" w:rsidRDefault="00943C58" w:rsidP="00943C58">
      <w:pPr>
        <w:autoSpaceDE w:val="0"/>
        <w:autoSpaceDN w:val="0"/>
        <w:adjustRightInd w:val="0"/>
        <w:spacing w:line="480" w:lineRule="auto"/>
        <w:ind w:firstLineChars="100" w:firstLine="240"/>
        <w:rPr>
          <w:rFonts w:ascii="Times New Roman" w:hAnsi="Times New Roman" w:cs="Times New Roman"/>
        </w:rPr>
      </w:pPr>
      <m:oMath>
        <m:r>
          <m:rPr>
            <m:sty m:val="p"/>
          </m:rPr>
          <w:rPr>
            <w:rFonts w:ascii="Cambria Math" w:hAnsi="Cambria Math" w:cs="Times New Roman"/>
          </w:rPr>
          <m:t>t-</m:t>
        </m:r>
        <m:sSub>
          <m:sSubPr>
            <m:ctrlPr>
              <w:rPr>
                <w:rFonts w:ascii="Cambria Math" w:hAnsi="Cambria Math" w:cs="Times New Roman"/>
              </w:rPr>
            </m:ctrlPr>
          </m:sSubPr>
          <m:e>
            <m:r>
              <m:rPr>
                <m:sty m:val="p"/>
              </m:rPr>
              <w:rPr>
                <w:rFonts w:ascii="Cambria Math" w:hAnsi="Cambria Math" w:cs="Times New Roman"/>
              </w:rPr>
              <m:t>stat</m:t>
            </m:r>
          </m:e>
          <m:sub>
            <m:r>
              <m:rPr>
                <m:sty m:val="p"/>
              </m:rPr>
              <w:rPr>
                <w:rFonts w:ascii="Cambria Math" w:hAnsi="Cambria Math" w:cs="Times New Roman"/>
              </w:rPr>
              <m:t>t</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bar>
                  <m:barPr>
                    <m:pos m:val="top"/>
                    <m:ctrlPr>
                      <w:rPr>
                        <w:rFonts w:ascii="Cambria Math" w:hAnsi="Cambria Math" w:cs="Times New Roman"/>
                      </w:rPr>
                    </m:ctrlPr>
                  </m:barPr>
                  <m:e>
                    <m:r>
                      <m:rPr>
                        <m:sty m:val="p"/>
                      </m:rPr>
                      <w:rPr>
                        <w:rFonts w:ascii="Cambria Math" w:hAnsi="Cambria Math" w:cs="Times New Roman"/>
                      </w:rPr>
                      <m:t>AR</m:t>
                    </m:r>
                  </m:e>
                </m:bar>
              </m:e>
              <m:sub>
                <m:r>
                  <m:rPr>
                    <m:sty m:val="p"/>
                  </m:rPr>
                  <w:rPr>
                    <w:rFonts w:ascii="Cambria Math" w:hAnsi="Cambria Math" w:cs="Times New Roman"/>
                  </w:rPr>
                  <m:t>t</m:t>
                </m:r>
              </m:sub>
            </m:sSub>
          </m:num>
          <m:den>
            <m:r>
              <m:rPr>
                <m:sty m:val="p"/>
              </m:rPr>
              <w:rPr>
                <w:rFonts w:ascii="Cambria Math" w:hAnsi="Cambria Math" w:cs="Times New Roman"/>
              </w:rPr>
              <m:t>σ(</m:t>
            </m:r>
            <m:sSub>
              <m:sSubPr>
                <m:ctrlPr>
                  <w:rPr>
                    <w:rFonts w:ascii="Cambria Math" w:hAnsi="Cambria Math" w:cs="Times New Roman"/>
                  </w:rPr>
                </m:ctrlPr>
              </m:sSubPr>
              <m:e>
                <m:r>
                  <m:rPr>
                    <m:sty m:val="p"/>
                  </m:rPr>
                  <w:rPr>
                    <w:rFonts w:ascii="Cambria Math" w:hAnsi="Cambria Math" w:cs="Times New Roman"/>
                  </w:rPr>
                  <m:t>AR</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ad>
                  <m:radPr>
                    <m:degHide m:val="1"/>
                    <m:ctrlPr>
                      <w:rPr>
                        <w:rFonts w:ascii="Cambria Math" w:hAnsi="Cambria Math" w:cs="Times New Roman"/>
                      </w:rPr>
                    </m:ctrlPr>
                  </m:radPr>
                  <m:deg/>
                  <m:e>
                    <m:r>
                      <m:rPr>
                        <m:sty m:val="p"/>
                      </m:rPr>
                      <w:rPr>
                        <w:rFonts w:ascii="Cambria Math" w:hAnsi="Cambria Math" w:cs="Times New Roman"/>
                      </w:rPr>
                      <m:t>n</m:t>
                    </m:r>
                  </m:e>
                </m:rad>
              </m:e>
              <m:sub>
                <m:r>
                  <m:rPr>
                    <m:sty m:val="p"/>
                  </m:rPr>
                  <w:rPr>
                    <w:rFonts w:ascii="Cambria Math" w:hAnsi="Cambria Math" w:cs="Times New Roman"/>
                  </w:rPr>
                  <m:t>t</m:t>
                </m:r>
              </m:sub>
            </m:sSub>
          </m:den>
        </m:f>
      </m:oMath>
      <w:r w:rsidRPr="00201AAD">
        <w:rPr>
          <w:rFonts w:ascii="Times New Roman" w:hAnsi="Times New Roman" w:cs="Times New Roman"/>
        </w:rPr>
        <w:t xml:space="preserve">       </w:t>
      </w:r>
      <w:r w:rsidRPr="00201AAD">
        <w:rPr>
          <w:rFonts w:ascii="Times New Roman" w:eastAsia="新細明體" w:hAnsi="Times New Roman" w:cs="Times New Roman"/>
        </w:rPr>
        <w:t xml:space="preserve">   </w:t>
      </w:r>
      <w:r w:rsidRPr="00201AAD">
        <w:rPr>
          <w:rFonts w:ascii="Times New Roman" w:hAnsi="Times New Roman" w:cs="Times New Roman"/>
        </w:rPr>
        <w:t xml:space="preserve">                                     (1)</w:t>
      </w:r>
    </w:p>
    <w:p w:rsidR="00943C58" w:rsidRPr="00201AAD" w:rsidRDefault="00943C58" w:rsidP="00943C58">
      <w:pPr>
        <w:autoSpaceDE w:val="0"/>
        <w:autoSpaceDN w:val="0"/>
        <w:adjustRightInd w:val="0"/>
        <w:spacing w:line="480" w:lineRule="auto"/>
        <w:jc w:val="both"/>
        <w:rPr>
          <w:rFonts w:ascii="Times New Roman" w:hAnsi="Times New Roman" w:cs="Times New Roman"/>
        </w:rPr>
      </w:pPr>
      <w:proofErr w:type="gramStart"/>
      <w:r w:rsidRPr="00201AAD">
        <w:rPr>
          <w:rFonts w:ascii="Times New Roman" w:hAnsi="Times New Roman" w:cs="Times New Roman"/>
        </w:rPr>
        <w:t>where</w:t>
      </w:r>
      <w:proofErr w:type="gramEnd"/>
      <w:r w:rsidRPr="00201AAD">
        <w:rPr>
          <w:rFonts w:ascii="Times New Roman" w:hAnsi="Times New Roman" w:cs="Times New Roman"/>
        </w:rPr>
        <w:t xml:space="preserve"> </w:t>
      </w:r>
      <m:oMath>
        <m:sSub>
          <m:sSubPr>
            <m:ctrlPr>
              <w:rPr>
                <w:rFonts w:ascii="Cambria Math" w:hAnsi="Cambria Math" w:cs="Times New Roman"/>
              </w:rPr>
            </m:ctrlPr>
          </m:sSubPr>
          <m:e>
            <m:bar>
              <m:barPr>
                <m:pos m:val="top"/>
                <m:ctrlPr>
                  <w:rPr>
                    <w:rFonts w:ascii="Cambria Math" w:hAnsi="Cambria Math" w:cs="Times New Roman"/>
                  </w:rPr>
                </m:ctrlPr>
              </m:barPr>
              <m:e>
                <m:r>
                  <m:rPr>
                    <m:sty m:val="p"/>
                  </m:rPr>
                  <w:rPr>
                    <w:rFonts w:ascii="Cambria Math" w:hAnsi="Cambria Math" w:cs="Times New Roman"/>
                  </w:rPr>
                  <m:t>AR</m:t>
                </m:r>
              </m:e>
            </m:bar>
          </m:e>
          <m:sub>
            <m:r>
              <m:rPr>
                <m:sty m:val="p"/>
              </m:rPr>
              <w:rPr>
                <w:rFonts w:ascii="Cambria Math" w:hAnsi="Cambria Math" w:cs="Times New Roman"/>
              </w:rPr>
              <m:t>t</m:t>
            </m:r>
          </m:sub>
        </m:sSub>
      </m:oMath>
      <w:r w:rsidRPr="00201AAD">
        <w:rPr>
          <w:rFonts w:ascii="Times New Roman" w:hAnsi="Times New Roman" w:cs="Times New Roman"/>
        </w:rPr>
        <w:t xml:space="preserve">is the mean cumulative abnormal return in month t, </w:t>
      </w:r>
      <m:oMath>
        <m:r>
          <m:rPr>
            <m:sty m:val="p"/>
          </m:rPr>
          <w:rPr>
            <w:rFonts w:ascii="Cambria Math" w:hAnsi="Cambria Math" w:cs="Times New Roman"/>
          </w:rPr>
          <m:t>σ(</m:t>
        </m:r>
        <m:sSub>
          <m:sSubPr>
            <m:ctrlPr>
              <w:rPr>
                <w:rFonts w:ascii="Cambria Math" w:hAnsi="Cambria Math" w:cs="Times New Roman"/>
              </w:rPr>
            </m:ctrlPr>
          </m:sSubPr>
          <m:e>
            <m:r>
              <m:rPr>
                <m:sty m:val="p"/>
              </m:rPr>
              <w:rPr>
                <w:rFonts w:ascii="Cambria Math" w:hAnsi="Cambria Math" w:cs="Times New Roman"/>
              </w:rPr>
              <m:t>AR</m:t>
            </m:r>
          </m:e>
          <m:sub>
            <m:r>
              <m:rPr>
                <m:sty m:val="p"/>
              </m:rPr>
              <w:rPr>
                <w:rFonts w:ascii="Cambria Math" w:hAnsi="Cambria Math" w:cs="Times New Roman"/>
              </w:rPr>
              <m:t>t</m:t>
            </m:r>
          </m:sub>
        </m:sSub>
        <m:r>
          <m:rPr>
            <m:sty m:val="p"/>
          </m:rPr>
          <w:rPr>
            <w:rFonts w:ascii="Cambria Math" w:hAnsi="Cambria Math" w:cs="Times New Roman"/>
          </w:rPr>
          <m:t>)</m:t>
        </m:r>
      </m:oMath>
      <w:r w:rsidRPr="00201AAD">
        <w:rPr>
          <w:rFonts w:ascii="Times New Roman" w:hAnsi="Times New Roman" w:cs="Times New Roman"/>
        </w:rPr>
        <w:t xml:space="preserve"> is the cross-sectional standard deviation, and </w:t>
      </w:r>
      <m:oMath>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t</m:t>
            </m:r>
          </m:sub>
        </m:sSub>
      </m:oMath>
      <w:r w:rsidRPr="00201AAD">
        <w:rPr>
          <w:rFonts w:ascii="Times New Roman" w:hAnsi="Times New Roman" w:cs="Times New Roman"/>
        </w:rPr>
        <w:t xml:space="preserve"> is the number of firms in the portfolio in month t. </w:t>
      </w:r>
    </w:p>
    <w:p w:rsidR="00943C58" w:rsidRPr="00201AAD" w:rsidRDefault="00943C58" w:rsidP="00943C58">
      <w:pPr>
        <w:autoSpaceDE w:val="0"/>
        <w:autoSpaceDN w:val="0"/>
        <w:adjustRightInd w:val="0"/>
        <w:spacing w:line="480" w:lineRule="auto"/>
        <w:ind w:firstLine="240"/>
        <w:jc w:val="both"/>
        <w:rPr>
          <w:rFonts w:ascii="Times New Roman" w:hAnsi="Times New Roman" w:cs="Times New Roman"/>
        </w:rPr>
      </w:pPr>
      <w:r w:rsidRPr="00201AAD">
        <w:rPr>
          <w:rFonts w:ascii="Times New Roman" w:hAnsi="Times New Roman" w:cs="Times New Roman"/>
        </w:rPr>
        <w:t xml:space="preserve">We then assessed the empirical description and power of statistical significance based on both CARs and BHARs. We use the return on the S&amp;P500 index portfolio as the expected return for each sample firm when computing CAR or BHAR. </w:t>
      </w:r>
    </w:p>
    <w:p w:rsidR="00943C58" w:rsidRPr="00201AAD" w:rsidRDefault="001C5F64" w:rsidP="00943C58">
      <w:pPr>
        <w:autoSpaceDE w:val="0"/>
        <w:autoSpaceDN w:val="0"/>
        <w:adjustRightInd w:val="0"/>
        <w:spacing w:line="480" w:lineRule="auto"/>
        <w:ind w:firstLineChars="100" w:firstLine="240"/>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CAR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stat</m:t>
            </m:r>
          </m:e>
          <m:sub>
            <m:r>
              <m:rPr>
                <m:sty m:val="p"/>
              </m:rPr>
              <w:rPr>
                <w:rFonts w:ascii="Cambria Math" w:hAnsi="Cambria Math" w:cs="Times New Roman"/>
              </w:rPr>
              <m:t>t</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bar>
                  <m:barPr>
                    <m:pos m:val="top"/>
                    <m:ctrlPr>
                      <w:rPr>
                        <w:rFonts w:ascii="Cambria Math" w:hAnsi="Cambria Math" w:cs="Times New Roman"/>
                      </w:rPr>
                    </m:ctrlPr>
                  </m:barPr>
                  <m:e>
                    <m:r>
                      <m:rPr>
                        <m:sty m:val="p"/>
                      </m:rPr>
                      <w:rPr>
                        <w:rFonts w:ascii="Cambria Math" w:hAnsi="Cambria Math" w:cs="Times New Roman"/>
                      </w:rPr>
                      <m:t>CAR</m:t>
                    </m:r>
                  </m:e>
                </m:bar>
              </m:e>
              <m:sub>
                <m:r>
                  <m:rPr>
                    <m:sty m:val="p"/>
                  </m:rPr>
                  <w:rPr>
                    <w:rFonts w:ascii="Cambria Math" w:hAnsi="Cambria Math" w:cs="Times New Roman"/>
                  </w:rPr>
                  <m:t>t</m:t>
                </m:r>
              </m:sub>
            </m:sSub>
          </m:num>
          <m:den>
            <m:r>
              <m:rPr>
                <m:sty m:val="p"/>
              </m:rPr>
              <w:rPr>
                <w:rFonts w:ascii="Cambria Math" w:hAnsi="Cambria Math" w:cs="Times New Roman"/>
              </w:rPr>
              <m:t>σ(</m:t>
            </m:r>
            <m:sSub>
              <m:sSubPr>
                <m:ctrlPr>
                  <w:rPr>
                    <w:rFonts w:ascii="Cambria Math" w:hAnsi="Cambria Math" w:cs="Times New Roman"/>
                  </w:rPr>
                </m:ctrlPr>
              </m:sSubPr>
              <m:e>
                <m:r>
                  <m:rPr>
                    <m:sty m:val="p"/>
                  </m:rPr>
                  <w:rPr>
                    <w:rFonts w:ascii="Cambria Math" w:hAnsi="Cambria Math" w:cs="Times New Roman"/>
                  </w:rPr>
                  <m:t>CAR</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ad>
                  <m:radPr>
                    <m:degHide m:val="1"/>
                    <m:ctrlPr>
                      <w:rPr>
                        <w:rFonts w:ascii="Cambria Math" w:hAnsi="Cambria Math" w:cs="Times New Roman"/>
                      </w:rPr>
                    </m:ctrlPr>
                  </m:radPr>
                  <m:deg/>
                  <m:e>
                    <m:r>
                      <m:rPr>
                        <m:sty m:val="p"/>
                      </m:rPr>
                      <w:rPr>
                        <w:rFonts w:ascii="Cambria Math" w:hAnsi="Cambria Math" w:cs="Times New Roman"/>
                      </w:rPr>
                      <m:t>n</m:t>
                    </m:r>
                  </m:e>
                </m:rad>
              </m:e>
              <m:sub>
                <m:r>
                  <m:rPr>
                    <m:sty m:val="p"/>
                  </m:rPr>
                  <w:rPr>
                    <w:rFonts w:ascii="Cambria Math" w:hAnsi="Cambria Math" w:cs="Times New Roman"/>
                  </w:rPr>
                  <m:t>t</m:t>
                </m:r>
              </m:sub>
            </m:sSub>
          </m:den>
        </m:f>
      </m:oMath>
      <w:r w:rsidR="00943C58" w:rsidRPr="00201AAD">
        <w:rPr>
          <w:rFonts w:ascii="Times New Roman" w:eastAsia="新細明體" w:hAnsi="Times New Roman" w:cs="Times New Roman"/>
        </w:rPr>
        <w:t xml:space="preserve">                                            </w:t>
      </w:r>
      <w:r w:rsidR="00943C58" w:rsidRPr="00201AAD">
        <w:rPr>
          <w:rFonts w:ascii="Times New Roman" w:hAnsi="Times New Roman" w:cs="Times New Roman"/>
        </w:rPr>
        <w:t>(2)</w:t>
      </w:r>
    </w:p>
    <w:p w:rsidR="00943C58" w:rsidRPr="00201AAD" w:rsidRDefault="001C5F64" w:rsidP="00943C58">
      <w:pPr>
        <w:autoSpaceDE w:val="0"/>
        <w:autoSpaceDN w:val="0"/>
        <w:adjustRightInd w:val="0"/>
        <w:spacing w:line="480" w:lineRule="auto"/>
        <w:ind w:firstLineChars="100" w:firstLine="240"/>
        <w:jc w:val="both"/>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t</m:t>
            </m:r>
          </m:e>
          <m:sub>
            <m:r>
              <m:rPr>
                <m:sty m:val="p"/>
              </m:rPr>
              <w:rPr>
                <w:rFonts w:ascii="Cambria Math" w:hAnsi="Cambria Math" w:cs="Times New Roman"/>
              </w:rPr>
              <m:t>BHAR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stat</m:t>
            </m:r>
          </m:e>
          <m:sub>
            <m:r>
              <m:rPr>
                <m:sty m:val="p"/>
              </m:rPr>
              <w:rPr>
                <w:rFonts w:ascii="Cambria Math" w:hAnsi="Cambria Math" w:cs="Times New Roman"/>
              </w:rPr>
              <m:t>t</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bar>
                  <m:barPr>
                    <m:pos m:val="top"/>
                    <m:ctrlPr>
                      <w:rPr>
                        <w:rFonts w:ascii="Cambria Math" w:hAnsi="Cambria Math" w:cs="Times New Roman"/>
                      </w:rPr>
                    </m:ctrlPr>
                  </m:barPr>
                  <m:e>
                    <m:r>
                      <m:rPr>
                        <m:sty m:val="p"/>
                      </m:rPr>
                      <w:rPr>
                        <w:rFonts w:ascii="Cambria Math" w:hAnsi="Cambria Math" w:cs="Times New Roman"/>
                      </w:rPr>
                      <m:t>BHAR</m:t>
                    </m:r>
                  </m:e>
                </m:bar>
              </m:e>
              <m:sub>
                <m:r>
                  <m:rPr>
                    <m:sty m:val="p"/>
                  </m:rPr>
                  <w:rPr>
                    <w:rFonts w:ascii="Cambria Math" w:hAnsi="Cambria Math" w:cs="Times New Roman"/>
                  </w:rPr>
                  <m:t>t</m:t>
                </m:r>
              </m:sub>
            </m:sSub>
          </m:num>
          <m:den>
            <m:r>
              <m:rPr>
                <m:sty m:val="p"/>
              </m:rPr>
              <w:rPr>
                <w:rFonts w:ascii="Cambria Math" w:hAnsi="Cambria Math" w:cs="Times New Roman"/>
              </w:rPr>
              <m:t>σ(</m:t>
            </m:r>
            <m:sSub>
              <m:sSubPr>
                <m:ctrlPr>
                  <w:rPr>
                    <w:rFonts w:ascii="Cambria Math" w:hAnsi="Cambria Math" w:cs="Times New Roman"/>
                  </w:rPr>
                </m:ctrlPr>
              </m:sSubPr>
              <m:e>
                <m:r>
                  <m:rPr>
                    <m:sty m:val="p"/>
                  </m:rPr>
                  <w:rPr>
                    <w:rFonts w:ascii="Cambria Math" w:hAnsi="Cambria Math" w:cs="Times New Roman"/>
                  </w:rPr>
                  <m:t>BHAR</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rPr>
                </m:ctrlPr>
              </m:sSubPr>
              <m:e>
                <m:rad>
                  <m:radPr>
                    <m:degHide m:val="1"/>
                    <m:ctrlPr>
                      <w:rPr>
                        <w:rFonts w:ascii="Cambria Math" w:hAnsi="Cambria Math" w:cs="Times New Roman"/>
                      </w:rPr>
                    </m:ctrlPr>
                  </m:radPr>
                  <m:deg/>
                  <m:e>
                    <m:r>
                      <m:rPr>
                        <m:sty m:val="p"/>
                      </m:rPr>
                      <w:rPr>
                        <w:rFonts w:ascii="Cambria Math" w:hAnsi="Cambria Math" w:cs="Times New Roman"/>
                      </w:rPr>
                      <m:t>n</m:t>
                    </m:r>
                  </m:e>
                </m:rad>
              </m:e>
              <m:sub>
                <m:r>
                  <m:rPr>
                    <m:sty m:val="p"/>
                  </m:rPr>
                  <w:rPr>
                    <w:rFonts w:ascii="Cambria Math" w:hAnsi="Cambria Math" w:cs="Times New Roman"/>
                  </w:rPr>
                  <m:t>t</m:t>
                </m:r>
              </m:sub>
            </m:sSub>
          </m:den>
        </m:f>
      </m:oMath>
      <w:r w:rsidR="00943C58" w:rsidRPr="00201AAD">
        <w:rPr>
          <w:rFonts w:ascii="Times New Roman" w:hAnsi="Times New Roman" w:cs="Times New Roman"/>
        </w:rPr>
        <w:t xml:space="preserve">                       </w:t>
      </w:r>
      <w:r w:rsidR="00943C58" w:rsidRPr="00201AAD">
        <w:rPr>
          <w:rFonts w:ascii="Times New Roman" w:eastAsia="新細明體" w:hAnsi="Times New Roman" w:cs="Times New Roman"/>
        </w:rPr>
        <w:t xml:space="preserve">                   </w:t>
      </w:r>
      <w:r w:rsidR="00943C58" w:rsidRPr="00201AAD">
        <w:rPr>
          <w:rFonts w:ascii="Times New Roman" w:hAnsi="Times New Roman" w:cs="Times New Roman"/>
        </w:rPr>
        <w:t>(3)</w:t>
      </w:r>
    </w:p>
    <w:p w:rsidR="00943C58" w:rsidRPr="00201AAD" w:rsidRDefault="00943C58" w:rsidP="00943C58">
      <w:pPr>
        <w:autoSpaceDE w:val="0"/>
        <w:autoSpaceDN w:val="0"/>
        <w:adjustRightInd w:val="0"/>
        <w:spacing w:line="480" w:lineRule="auto"/>
        <w:ind w:firstLineChars="50" w:firstLine="120"/>
        <w:jc w:val="both"/>
        <w:rPr>
          <w:rFonts w:ascii="Times New Roman" w:hAnsi="Times New Roman" w:cs="Times New Roman"/>
        </w:rPr>
      </w:pPr>
      <w:proofErr w:type="gramStart"/>
      <w:r w:rsidRPr="00201AAD">
        <w:rPr>
          <w:rFonts w:ascii="Times New Roman" w:hAnsi="Times New Roman" w:cs="Times New Roman"/>
        </w:rPr>
        <w:t>where</w:t>
      </w:r>
      <w:proofErr w:type="gramEnd"/>
      <w:r w:rsidRPr="00201AAD">
        <w:rPr>
          <w:rFonts w:ascii="Times New Roman" w:hAnsi="Times New Roman" w:cs="Times New Roman"/>
        </w:rPr>
        <w:t xml:space="preserve"> </w:t>
      </w:r>
      <m:oMath>
        <m:sSub>
          <m:sSubPr>
            <m:ctrlPr>
              <w:rPr>
                <w:rFonts w:ascii="Cambria Math" w:hAnsi="Cambria Math" w:cs="Times New Roman"/>
              </w:rPr>
            </m:ctrlPr>
          </m:sSubPr>
          <m:e>
            <m:bar>
              <m:barPr>
                <m:pos m:val="top"/>
                <m:ctrlPr>
                  <w:rPr>
                    <w:rFonts w:ascii="Cambria Math" w:hAnsi="Cambria Math" w:cs="Times New Roman"/>
                  </w:rPr>
                </m:ctrlPr>
              </m:barPr>
              <m:e>
                <m:r>
                  <m:rPr>
                    <m:sty m:val="p"/>
                  </m:rPr>
                  <w:rPr>
                    <w:rFonts w:ascii="Cambria Math" w:hAnsi="Cambria Math" w:cs="Times New Roman"/>
                  </w:rPr>
                  <m:t>CAR</m:t>
                </m:r>
              </m:e>
            </m:bar>
          </m:e>
          <m:sub>
            <m:r>
              <m:rPr>
                <m:sty m:val="p"/>
              </m:rPr>
              <w:rPr>
                <w:rFonts w:ascii="Cambria Math" w:hAnsi="Cambria Math" w:cs="Times New Roman"/>
              </w:rPr>
              <m:t>t</m:t>
            </m:r>
          </m:sub>
        </m:sSub>
      </m:oMath>
      <w:r w:rsidRPr="00201AAD">
        <w:rPr>
          <w:rFonts w:ascii="Times New Roman" w:hAnsi="Times New Roman" w:cs="Times New Roman"/>
        </w:rPr>
        <w:t xml:space="preserve"> and </w:t>
      </w:r>
      <m:oMath>
        <m:sSub>
          <m:sSubPr>
            <m:ctrlPr>
              <w:rPr>
                <w:rFonts w:ascii="Cambria Math" w:hAnsi="Cambria Math" w:cs="Times New Roman"/>
              </w:rPr>
            </m:ctrlPr>
          </m:sSubPr>
          <m:e>
            <m:bar>
              <m:barPr>
                <m:pos m:val="top"/>
                <m:ctrlPr>
                  <w:rPr>
                    <w:rFonts w:ascii="Cambria Math" w:hAnsi="Cambria Math" w:cs="Times New Roman"/>
                  </w:rPr>
                </m:ctrlPr>
              </m:barPr>
              <m:e>
                <m:r>
                  <m:rPr>
                    <m:sty m:val="p"/>
                  </m:rPr>
                  <w:rPr>
                    <w:rFonts w:ascii="Cambria Math" w:hAnsi="Cambria Math" w:cs="Times New Roman"/>
                  </w:rPr>
                  <m:t>BHAR</m:t>
                </m:r>
              </m:e>
            </m:bar>
          </m:e>
          <m:sub>
            <m:r>
              <m:rPr>
                <m:sty m:val="p"/>
              </m:rPr>
              <w:rPr>
                <w:rFonts w:ascii="Cambria Math" w:hAnsi="Cambria Math" w:cs="Times New Roman"/>
              </w:rPr>
              <m:t>t</m:t>
            </m:r>
          </m:sub>
        </m:sSub>
      </m:oMath>
      <w:r w:rsidRPr="00201AAD">
        <w:rPr>
          <w:rFonts w:ascii="Times New Roman" w:hAnsi="Times New Roman" w:cs="Times New Roman"/>
        </w:rPr>
        <w:t xml:space="preserve"> are the sample means, </w:t>
      </w:r>
      <m:oMath>
        <m:r>
          <m:rPr>
            <m:sty m:val="p"/>
          </m:rPr>
          <w:rPr>
            <w:rFonts w:ascii="Cambria Math" w:hAnsi="Cambria Math" w:cs="Times New Roman"/>
          </w:rPr>
          <m:t>σ</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CAR</m:t>
                </m:r>
              </m:e>
              <m:sub>
                <m:r>
                  <m:rPr>
                    <m:sty m:val="p"/>
                  </m:rPr>
                  <w:rPr>
                    <w:rFonts w:ascii="Cambria Math" w:hAnsi="Cambria Math" w:cs="Times New Roman"/>
                  </w:rPr>
                  <m:t>t</m:t>
                </m:r>
              </m:sub>
            </m:sSub>
          </m:e>
        </m:d>
      </m:oMath>
      <w:r w:rsidRPr="00201AAD">
        <w:rPr>
          <w:rFonts w:ascii="Times New Roman" w:hAnsi="Times New Roman" w:cs="Times New Roman"/>
        </w:rPr>
        <w:t xml:space="preserve"> and </w:t>
      </w:r>
      <m:oMath>
        <m:r>
          <m:rPr>
            <m:sty m:val="p"/>
          </m:rPr>
          <w:rPr>
            <w:rFonts w:ascii="Cambria Math" w:hAnsi="Cambria Math" w:cs="Times New Roman"/>
          </w:rPr>
          <m:t>σ(</m:t>
        </m:r>
        <m:sSub>
          <m:sSubPr>
            <m:ctrlPr>
              <w:rPr>
                <w:rFonts w:ascii="Cambria Math" w:hAnsi="Cambria Math" w:cs="Times New Roman"/>
              </w:rPr>
            </m:ctrlPr>
          </m:sSubPr>
          <m:e>
            <m:r>
              <m:rPr>
                <m:sty m:val="p"/>
              </m:rPr>
              <w:rPr>
                <w:rFonts w:ascii="Cambria Math" w:hAnsi="Cambria Math" w:cs="Times New Roman"/>
              </w:rPr>
              <m:t>BHAR</m:t>
            </m:r>
          </m:e>
          <m:sub>
            <m:r>
              <m:rPr>
                <m:sty m:val="p"/>
              </m:rPr>
              <w:rPr>
                <w:rFonts w:ascii="Cambria Math" w:hAnsi="Cambria Math" w:cs="Times New Roman"/>
              </w:rPr>
              <m:t>t</m:t>
            </m:r>
          </m:sub>
        </m:sSub>
        <m:r>
          <m:rPr>
            <m:sty m:val="p"/>
          </m:rPr>
          <w:rPr>
            <w:rFonts w:ascii="Cambria Math" w:hAnsi="Cambria Math" w:cs="Times New Roman"/>
          </w:rPr>
          <m:t>)</m:t>
        </m:r>
      </m:oMath>
      <w:r w:rsidRPr="00201AAD">
        <w:rPr>
          <w:rFonts w:ascii="Times New Roman" w:hAnsi="Times New Roman" w:cs="Times New Roman"/>
        </w:rPr>
        <w:t xml:space="preserve"> are the cross-sectional standard deviation, and </w:t>
      </w:r>
      <m:oMath>
        <m:sSub>
          <m:sSubPr>
            <m:ctrlPr>
              <w:rPr>
                <w:rFonts w:ascii="Cambria Math" w:hAnsi="Cambria Math" w:cs="Times New Roman"/>
              </w:rPr>
            </m:ctrlPr>
          </m:sSubPr>
          <m:e>
            <m:r>
              <m:rPr>
                <m:sty m:val="p"/>
              </m:rPr>
              <w:rPr>
                <w:rFonts w:ascii="Cambria Math" w:hAnsi="Cambria Math" w:cs="Times New Roman"/>
              </w:rPr>
              <m:t>n</m:t>
            </m:r>
          </m:e>
          <m:sub>
            <m:r>
              <m:rPr>
                <m:sty m:val="p"/>
              </m:rPr>
              <w:rPr>
                <w:rFonts w:ascii="Cambria Math" w:hAnsi="Cambria Math" w:cs="Times New Roman"/>
              </w:rPr>
              <m:t>t</m:t>
            </m:r>
          </m:sub>
        </m:sSub>
      </m:oMath>
      <w:r w:rsidRPr="00201AAD">
        <w:rPr>
          <w:rFonts w:ascii="Times New Roman" w:hAnsi="Times New Roman" w:cs="Times New Roman"/>
        </w:rPr>
        <w:t xml:space="preserve"> is the number of firms. </w:t>
      </w:r>
    </w:p>
    <w:p w:rsidR="009106FE" w:rsidRPr="00201AAD" w:rsidRDefault="009106FE" w:rsidP="00943C58">
      <w:pPr>
        <w:autoSpaceDE w:val="0"/>
        <w:autoSpaceDN w:val="0"/>
        <w:adjustRightInd w:val="0"/>
        <w:spacing w:line="480" w:lineRule="auto"/>
        <w:ind w:firstLineChars="50" w:firstLine="120"/>
        <w:jc w:val="both"/>
        <w:rPr>
          <w:rFonts w:ascii="Times New Roman" w:hAnsi="Times New Roman" w:cs="Times New Roman"/>
        </w:rPr>
      </w:pPr>
    </w:p>
    <w:p w:rsidR="000817A3" w:rsidRPr="00201AAD" w:rsidRDefault="009106FE" w:rsidP="00201AAD">
      <w:pPr>
        <w:pStyle w:val="ac"/>
        <w:numPr>
          <w:ilvl w:val="0"/>
          <w:numId w:val="2"/>
        </w:numPr>
        <w:autoSpaceDE w:val="0"/>
        <w:autoSpaceDN w:val="0"/>
        <w:adjustRightInd w:val="0"/>
        <w:spacing w:line="480" w:lineRule="auto"/>
        <w:ind w:leftChars="0"/>
        <w:jc w:val="both"/>
        <w:rPr>
          <w:rFonts w:ascii="Times New Roman" w:hAnsi="Times New Roman" w:cs="Times New Roman"/>
          <w:b/>
          <w:sz w:val="28"/>
          <w:szCs w:val="28"/>
        </w:rPr>
      </w:pPr>
      <w:r w:rsidRPr="00201AAD">
        <w:rPr>
          <w:rFonts w:ascii="Times New Roman" w:hAnsi="Times New Roman" w:cs="Times New Roman"/>
          <w:b/>
          <w:sz w:val="28"/>
          <w:szCs w:val="28"/>
        </w:rPr>
        <w:t>Results and d</w:t>
      </w:r>
      <w:r w:rsidR="00F36FC6" w:rsidRPr="00201AAD">
        <w:rPr>
          <w:rFonts w:ascii="Times New Roman" w:hAnsi="Times New Roman" w:cs="Times New Roman"/>
          <w:b/>
          <w:sz w:val="28"/>
          <w:szCs w:val="28"/>
        </w:rPr>
        <w:t>iscussion</w:t>
      </w:r>
    </w:p>
    <w:p w:rsidR="00943C58" w:rsidRPr="00201AAD" w:rsidRDefault="009072E0" w:rsidP="00943C58">
      <w:pPr>
        <w:autoSpaceDE w:val="0"/>
        <w:autoSpaceDN w:val="0"/>
        <w:adjustRightInd w:val="0"/>
        <w:spacing w:line="480" w:lineRule="auto"/>
        <w:ind w:firstLine="480"/>
        <w:jc w:val="both"/>
        <w:rPr>
          <w:rFonts w:ascii="Times New Roman" w:hAnsi="Times New Roman" w:cs="Times New Roman"/>
        </w:rPr>
      </w:pPr>
      <w:r w:rsidRPr="00201AAD">
        <w:rPr>
          <w:rFonts w:ascii="Times New Roman" w:hAnsi="Times New Roman" w:cs="Times New Roman"/>
        </w:rPr>
        <w:t>Table</w:t>
      </w:r>
      <w:r w:rsidR="00943C58" w:rsidRPr="00201AAD">
        <w:rPr>
          <w:rFonts w:ascii="Times New Roman" w:hAnsi="Times New Roman" w:cs="Times New Roman"/>
        </w:rPr>
        <w:t xml:space="preserve"> 2 shows the stock returns impact following a firm’s inclusion in the top 40 for a given indicator. If any firm in the top 40 failed to present data related to the indicator, it was excluded and the top firm initially excluded from the top 40 was added to replace it. Based on the buy-and-hold strategy, we bought an equally weighted portfolio at the beginning of the sample period (i.e., when the list is published), and held these stocks to the end of the sample period. The first and third columns below each header represent the abnormal returns for all firms in the top 40 for a sample period of 60 months from the announcement. Results indicate that the market seems to view inclusion in the top 40 positively (consistent with </w:t>
      </w:r>
      <w:r w:rsidR="00943C58" w:rsidRPr="00201AAD">
        <w:rPr>
          <w:rFonts w:ascii="Times New Roman" w:eastAsia="新細明體" w:hAnsi="Times New Roman" w:cs="Times New Roman"/>
          <w:kern w:val="0"/>
          <w:szCs w:val="24"/>
        </w:rPr>
        <w:t>Boyle</w:t>
      </w:r>
      <w:r w:rsidR="002F09AE" w:rsidRPr="00201AAD">
        <w:rPr>
          <w:rFonts w:ascii="Times New Roman" w:hAnsi="Times New Roman" w:cs="Times New Roman"/>
          <w:kern w:val="0"/>
          <w:szCs w:val="24"/>
        </w:rPr>
        <w:t xml:space="preserve"> </w:t>
      </w:r>
      <w:r w:rsidR="00943C58" w:rsidRPr="00201AAD">
        <w:rPr>
          <w:rFonts w:ascii="Times New Roman" w:eastAsia="新細明體" w:hAnsi="Times New Roman" w:cs="Times New Roman"/>
          <w:kern w:val="0"/>
          <w:szCs w:val="24"/>
        </w:rPr>
        <w:t>2006</w:t>
      </w:r>
      <w:r w:rsidR="00F36FC6" w:rsidRPr="00201AAD">
        <w:rPr>
          <w:rFonts w:ascii="Times New Roman" w:hAnsi="Times New Roman" w:cs="Times New Roman"/>
          <w:kern w:val="0"/>
          <w:szCs w:val="24"/>
        </w:rPr>
        <w:t>,</w:t>
      </w:r>
      <w:r w:rsidR="00943C58" w:rsidRPr="00201AAD">
        <w:rPr>
          <w:rFonts w:ascii="Times New Roman" w:eastAsia="新細明體" w:hAnsi="Times New Roman" w:cs="Times New Roman"/>
          <w:kern w:val="0"/>
          <w:szCs w:val="24"/>
        </w:rPr>
        <w:t xml:space="preserve"> </w:t>
      </w:r>
      <w:proofErr w:type="spellStart"/>
      <w:r w:rsidR="00943C58" w:rsidRPr="00201AAD">
        <w:rPr>
          <w:rFonts w:ascii="Times New Roman" w:hAnsi="Times New Roman" w:cs="Times New Roman"/>
        </w:rPr>
        <w:t>Brammer</w:t>
      </w:r>
      <w:proofErr w:type="spellEnd"/>
      <w:r w:rsidR="00943C58" w:rsidRPr="00201AAD">
        <w:rPr>
          <w:rFonts w:ascii="Times New Roman" w:hAnsi="Times New Roman" w:cs="Times New Roman"/>
        </w:rPr>
        <w:t xml:space="preserve"> </w:t>
      </w:r>
      <w:r w:rsidR="00943C58" w:rsidRPr="00201AAD">
        <w:rPr>
          <w:rFonts w:ascii="Times New Roman" w:hAnsi="Times New Roman" w:cs="Times New Roman"/>
          <w:i/>
        </w:rPr>
        <w:t>et al</w:t>
      </w:r>
      <w:r w:rsidR="00943C58" w:rsidRPr="00201AAD">
        <w:rPr>
          <w:rFonts w:ascii="Times New Roman" w:hAnsi="Times New Roman" w:cs="Times New Roman"/>
        </w:rPr>
        <w:t xml:space="preserve">. 2009). Furthermore, the one-year cumulative returns are especially large. These unusually large returns may be simply coincidental, or may be due to the first appearance of a given list having the greatest impact. Accordingly, the information impact value of a listing in the top 40 is likely to max out during that year. </w:t>
      </w:r>
    </w:p>
    <w:p w:rsidR="002F09AE" w:rsidRPr="00201AAD" w:rsidRDefault="00943C58" w:rsidP="000817A3">
      <w:pPr>
        <w:autoSpaceDE w:val="0"/>
        <w:autoSpaceDN w:val="0"/>
        <w:adjustRightInd w:val="0"/>
        <w:spacing w:line="480" w:lineRule="auto"/>
        <w:ind w:firstLine="480"/>
        <w:jc w:val="both"/>
        <w:rPr>
          <w:rFonts w:ascii="Times New Roman" w:hAnsi="Times New Roman" w:cs="Times New Roman"/>
        </w:rPr>
      </w:pPr>
      <w:r w:rsidRPr="00201AAD">
        <w:rPr>
          <w:rFonts w:ascii="Times New Roman" w:hAnsi="Times New Roman" w:cs="Times New Roman"/>
        </w:rPr>
        <w:t xml:space="preserve">Our findings are also consistent with those of </w:t>
      </w:r>
      <w:r w:rsidR="002F09AE" w:rsidRPr="00201AAD">
        <w:rPr>
          <w:rFonts w:ascii="Times New Roman" w:hAnsi="Times New Roman" w:cs="Times New Roman"/>
        </w:rPr>
        <w:t>Anderson and Smith (2006)</w:t>
      </w:r>
      <w:r w:rsidRPr="00201AAD">
        <w:rPr>
          <w:rFonts w:ascii="Times New Roman" w:hAnsi="Times New Roman" w:cs="Times New Roman"/>
        </w:rPr>
        <w:t xml:space="preserve"> who showed that, from 1983 to 2004, the Top 10 Most Admired Companies earned returns 67.26% higher than the S&amp;P500 using a buy-and-hold strategy over 1250 trading days (i.e., 5 years). Two alternative scenarios may lead to the same finding. First, it is possible that investors take longer to react to intangible assets that do not correctly show up in a firm’s balance sheet. Second, if investors disregard the annual survey data, the information may still prove helpful when the listed firms provide relatively higher returns.</w:t>
      </w:r>
    </w:p>
    <w:p w:rsidR="00F36FC6" w:rsidRPr="00201AAD" w:rsidRDefault="00F36FC6" w:rsidP="00F36FC6">
      <w:pPr>
        <w:autoSpaceDE w:val="0"/>
        <w:autoSpaceDN w:val="0"/>
        <w:adjustRightInd w:val="0"/>
        <w:spacing w:line="480" w:lineRule="auto"/>
        <w:ind w:firstLineChars="150" w:firstLine="360"/>
        <w:jc w:val="center"/>
        <w:rPr>
          <w:rFonts w:ascii="Times New Roman" w:eastAsia="新細明體" w:hAnsi="Times New Roman" w:cs="Times New Roman"/>
          <w:b/>
        </w:rPr>
      </w:pPr>
      <w:r w:rsidRPr="00201AAD">
        <w:rPr>
          <w:rFonts w:ascii="Times New Roman" w:hAnsi="Times New Roman" w:cs="Times New Roman"/>
          <w:b/>
        </w:rPr>
        <w:t>&lt;Insert Table 2 about here&gt;</w:t>
      </w:r>
    </w:p>
    <w:p w:rsidR="006E716E" w:rsidRPr="00201AAD" w:rsidRDefault="009072E0" w:rsidP="005835A1">
      <w:pPr>
        <w:autoSpaceDE w:val="0"/>
        <w:autoSpaceDN w:val="0"/>
        <w:adjustRightInd w:val="0"/>
        <w:spacing w:line="480" w:lineRule="auto"/>
        <w:ind w:firstLineChars="100" w:firstLine="240"/>
        <w:jc w:val="both"/>
        <w:rPr>
          <w:rFonts w:ascii="Times New Roman" w:hAnsi="Times New Roman" w:cs="Times New Roman"/>
        </w:rPr>
      </w:pPr>
      <w:r w:rsidRPr="00201AAD">
        <w:rPr>
          <w:rFonts w:ascii="Times New Roman" w:hAnsi="Times New Roman" w:cs="Times New Roman"/>
        </w:rPr>
        <w:t>Table</w:t>
      </w:r>
      <w:r w:rsidR="00943C58" w:rsidRPr="00201AAD">
        <w:rPr>
          <w:rFonts w:ascii="Times New Roman" w:hAnsi="Times New Roman" w:cs="Times New Roman"/>
        </w:rPr>
        <w:t xml:space="preserve"> 3 presents the results of CAR, BHAR (using S&amp;P500 as a benchmark), and the risk-adjusted</w:t>
      </w:r>
      <m:oMath>
        <m:r>
          <m:rPr>
            <m:sty m:val="p"/>
          </m:rPr>
          <w:rPr>
            <w:rFonts w:ascii="Cambria Math" w:hAnsi="Cambria Math" w:cs="Times New Roman"/>
          </w:rPr>
          <m:t xml:space="preserve"> β</m:t>
        </m:r>
      </m:oMath>
      <w:r w:rsidR="00943C58" w:rsidRPr="00201AAD">
        <w:rPr>
          <w:rFonts w:ascii="Times New Roman" w:hAnsi="Times New Roman" w:cs="Times New Roman"/>
        </w:rPr>
        <w:t xml:space="preserve">. </w:t>
      </w:r>
      <w:r w:rsidR="00943C58" w:rsidRPr="00201AAD">
        <w:rPr>
          <w:rFonts w:ascii="Times New Roman" w:hAnsi="Times New Roman" w:cs="Times New Roman"/>
          <w:color w:val="000000" w:themeColor="text1"/>
        </w:rPr>
        <w:t xml:space="preserve">In addition, </w:t>
      </w:r>
      <w:r w:rsidR="00943C58" w:rsidRPr="00201AAD">
        <w:rPr>
          <w:rFonts w:ascii="Times New Roman" w:hAnsi="Times New Roman" w:cs="Times New Roman"/>
        </w:rPr>
        <w:t>companies performing well in the four indicators</w:t>
      </w:r>
      <w:r w:rsidR="00943C58" w:rsidRPr="00201AAD" w:rsidDel="00A05C14">
        <w:rPr>
          <w:rFonts w:ascii="Times New Roman" w:hAnsi="Times New Roman" w:cs="Times New Roman"/>
          <w:color w:val="000000" w:themeColor="text1"/>
        </w:rPr>
        <w:t xml:space="preserve"> </w:t>
      </w:r>
      <w:r w:rsidR="00943C58" w:rsidRPr="00201AAD">
        <w:rPr>
          <w:rFonts w:ascii="Times New Roman" w:hAnsi="Times New Roman" w:cs="Times New Roman"/>
          <w:color w:val="000000" w:themeColor="text1"/>
        </w:rPr>
        <w:t>were found to beat the market (consistent with Statman</w:t>
      </w:r>
      <w:r w:rsidR="006E716E" w:rsidRPr="00201AAD">
        <w:rPr>
          <w:rFonts w:ascii="Times New Roman" w:hAnsi="Times New Roman" w:cs="Times New Roman"/>
          <w:color w:val="000000" w:themeColor="text1"/>
        </w:rPr>
        <w:t xml:space="preserve"> </w:t>
      </w:r>
      <w:r w:rsidR="00943C58" w:rsidRPr="00201AAD">
        <w:rPr>
          <w:rFonts w:ascii="Times New Roman" w:hAnsi="Times New Roman" w:cs="Times New Roman"/>
          <w:color w:val="000000" w:themeColor="text1"/>
        </w:rPr>
        <w:t>2006</w:t>
      </w:r>
      <w:r w:rsidR="00F36FC6" w:rsidRPr="00201AAD">
        <w:rPr>
          <w:rFonts w:ascii="Times New Roman" w:hAnsi="Times New Roman" w:cs="Times New Roman"/>
          <w:color w:val="000000" w:themeColor="text1"/>
        </w:rPr>
        <w:t>,</w:t>
      </w:r>
      <w:r w:rsidR="00943C58" w:rsidRPr="00201AAD">
        <w:rPr>
          <w:rFonts w:ascii="Times New Roman" w:hAnsi="Times New Roman" w:cs="Times New Roman"/>
          <w:color w:val="000000" w:themeColor="text1"/>
        </w:rPr>
        <w:t xml:space="preserve"> </w:t>
      </w:r>
      <w:r w:rsidR="00943C58" w:rsidRPr="00201AAD">
        <w:rPr>
          <w:rFonts w:ascii="Times New Roman" w:hAnsi="Times New Roman" w:cs="Times New Roman"/>
          <w:color w:val="000000" w:themeColor="text1"/>
          <w:kern w:val="0"/>
          <w:szCs w:val="24"/>
        </w:rPr>
        <w:t>Dinusha &amp; Evans 2010</w:t>
      </w:r>
      <w:r w:rsidR="00943C58" w:rsidRPr="00201AAD">
        <w:rPr>
          <w:rFonts w:ascii="Times New Roman" w:hAnsi="Times New Roman" w:cs="Times New Roman"/>
          <w:color w:val="000000" w:themeColor="text1"/>
        </w:rPr>
        <w:t xml:space="preserve">), while </w:t>
      </w:r>
      <m:oMath>
        <m:r>
          <m:rPr>
            <m:sty m:val="p"/>
          </m:rPr>
          <w:rPr>
            <w:rFonts w:ascii="Cambria Math" w:hAnsi="Cambria Math" w:cs="Times New Roman"/>
          </w:rPr>
          <m:t>β</m:t>
        </m:r>
      </m:oMath>
      <w:r w:rsidR="00943C58" w:rsidRPr="00201AAD">
        <w:rPr>
          <w:rFonts w:ascii="Times New Roman" w:hAnsi="Times New Roman" w:cs="Times New Roman"/>
        </w:rPr>
        <w:t xml:space="preserve"> was found to be greater than that of the benchmark, suggesting that our four indicators</w:t>
      </w:r>
      <w:r w:rsidR="00943C58" w:rsidRPr="00201AAD">
        <w:rPr>
          <w:rFonts w:ascii="Times New Roman" w:eastAsia="新細明體" w:hAnsi="Times New Roman" w:cs="Times New Roman"/>
        </w:rPr>
        <w:t xml:space="preserve"> </w:t>
      </w:r>
      <w:r w:rsidR="00943C58" w:rsidRPr="00201AAD">
        <w:rPr>
          <w:rFonts w:ascii="Times New Roman" w:hAnsi="Times New Roman" w:cs="Times New Roman"/>
        </w:rPr>
        <w:t>carry additional risk.</w:t>
      </w:r>
    </w:p>
    <w:p w:rsidR="000B4613" w:rsidRPr="00201AAD" w:rsidRDefault="00F36FC6" w:rsidP="00201AAD">
      <w:pPr>
        <w:autoSpaceDE w:val="0"/>
        <w:autoSpaceDN w:val="0"/>
        <w:adjustRightInd w:val="0"/>
        <w:spacing w:line="480" w:lineRule="auto"/>
        <w:ind w:firstLineChars="150" w:firstLine="360"/>
        <w:jc w:val="center"/>
        <w:rPr>
          <w:rFonts w:ascii="Times New Roman" w:hAnsi="Times New Roman" w:cs="Times New Roman"/>
          <w:b/>
        </w:rPr>
      </w:pPr>
      <w:r w:rsidRPr="00201AAD">
        <w:rPr>
          <w:rFonts w:ascii="Times New Roman" w:hAnsi="Times New Roman" w:cs="Times New Roman"/>
          <w:b/>
        </w:rPr>
        <w:t>&lt;Insert Table 3 about here&gt;</w:t>
      </w:r>
    </w:p>
    <w:p w:rsidR="006E716E" w:rsidRPr="00201AAD" w:rsidRDefault="00201AAD" w:rsidP="00943C58">
      <w:pPr>
        <w:autoSpaceDE w:val="0"/>
        <w:autoSpaceDN w:val="0"/>
        <w:adjustRightInd w:val="0"/>
        <w:spacing w:line="480" w:lineRule="auto"/>
        <w:jc w:val="both"/>
        <w:rPr>
          <w:rFonts w:ascii="Times New Roman" w:hAnsi="Times New Roman" w:cs="Times New Roman"/>
          <w:i/>
          <w:sz w:val="28"/>
          <w:szCs w:val="28"/>
        </w:rPr>
      </w:pPr>
      <w:r w:rsidRPr="00201AAD">
        <w:rPr>
          <w:rFonts w:ascii="Times New Roman" w:hAnsi="Times New Roman" w:cs="Times New Roman" w:hint="eastAsia"/>
          <w:i/>
          <w:sz w:val="28"/>
          <w:szCs w:val="28"/>
        </w:rPr>
        <w:t xml:space="preserve">4.1 </w:t>
      </w:r>
      <w:r w:rsidR="00F36FC6" w:rsidRPr="00201AAD">
        <w:rPr>
          <w:rFonts w:ascii="Times New Roman" w:hAnsi="Times New Roman" w:cs="Times New Roman"/>
          <w:i/>
          <w:sz w:val="28"/>
          <w:szCs w:val="28"/>
        </w:rPr>
        <w:t>Measures of risk-adjusted indicator p</w:t>
      </w:r>
      <w:r w:rsidR="006E716E" w:rsidRPr="00201AAD">
        <w:rPr>
          <w:rFonts w:ascii="Times New Roman" w:hAnsi="Times New Roman" w:cs="Times New Roman"/>
          <w:i/>
          <w:sz w:val="28"/>
          <w:szCs w:val="28"/>
        </w:rPr>
        <w:t>erformance</w:t>
      </w:r>
    </w:p>
    <w:p w:rsidR="00943C58" w:rsidRPr="00201AAD" w:rsidRDefault="00943C58" w:rsidP="00943C58">
      <w:pPr>
        <w:autoSpaceDE w:val="0"/>
        <w:autoSpaceDN w:val="0"/>
        <w:adjustRightInd w:val="0"/>
        <w:spacing w:line="480" w:lineRule="auto"/>
        <w:jc w:val="both"/>
        <w:rPr>
          <w:rFonts w:ascii="Times New Roman" w:hAnsi="Times New Roman" w:cs="Times New Roman"/>
        </w:rPr>
      </w:pPr>
      <w:r w:rsidRPr="00201AAD">
        <w:rPr>
          <w:rFonts w:ascii="Times New Roman" w:hAnsi="Times New Roman" w:cs="Times New Roman"/>
        </w:rPr>
        <w:t xml:space="preserve">  The higher returns associated with the four indicators were accompanied by higher risk. This increased risk is described by several standard risk-adjusted performance measures (</w:t>
      </w:r>
      <w:proofErr w:type="spellStart"/>
      <w:r w:rsidRPr="00201AAD">
        <w:rPr>
          <w:rFonts w:ascii="Times New Roman" w:hAnsi="Times New Roman" w:cs="Times New Roman"/>
        </w:rPr>
        <w:t>Bodie</w:t>
      </w:r>
      <w:proofErr w:type="spellEnd"/>
      <w:r w:rsidRPr="00201AAD">
        <w:rPr>
          <w:rFonts w:ascii="Times New Roman" w:hAnsi="Times New Roman" w:cs="Times New Roman"/>
        </w:rPr>
        <w:t xml:space="preserve"> </w:t>
      </w:r>
      <w:r w:rsidRPr="00201AAD">
        <w:rPr>
          <w:rFonts w:ascii="Times New Roman" w:hAnsi="Times New Roman" w:cs="Times New Roman"/>
          <w:i/>
        </w:rPr>
        <w:t>et al</w:t>
      </w:r>
      <w:r w:rsidRPr="00201AAD">
        <w:rPr>
          <w:rFonts w:ascii="Times New Roman" w:hAnsi="Times New Roman" w:cs="Times New Roman"/>
        </w:rPr>
        <w:t>.</w:t>
      </w:r>
      <w:r w:rsidR="006E716E" w:rsidRPr="00201AAD">
        <w:rPr>
          <w:rFonts w:ascii="Times New Roman" w:hAnsi="Times New Roman" w:cs="Times New Roman"/>
        </w:rPr>
        <w:t xml:space="preserve"> </w:t>
      </w:r>
      <w:r w:rsidRPr="00201AAD">
        <w:rPr>
          <w:rFonts w:ascii="Times New Roman" w:hAnsi="Times New Roman" w:cs="Times New Roman"/>
        </w:rPr>
        <w:t>2002</w:t>
      </w:r>
      <w:r w:rsidR="004D52B6" w:rsidRPr="00201AAD">
        <w:rPr>
          <w:rFonts w:ascii="Times New Roman" w:hAnsi="Times New Roman" w:cs="Times New Roman"/>
        </w:rPr>
        <w:t>:315</w:t>
      </w:r>
      <w:r w:rsidRPr="00201AAD">
        <w:rPr>
          <w:rFonts w:ascii="Times New Roman" w:hAnsi="Times New Roman" w:cs="Times New Roman"/>
        </w:rPr>
        <w:t xml:space="preserve">) which are described in </w:t>
      </w:r>
      <w:r w:rsidR="009072E0" w:rsidRPr="00201AAD">
        <w:rPr>
          <w:rFonts w:ascii="Times New Roman" w:hAnsi="Times New Roman" w:cs="Times New Roman"/>
        </w:rPr>
        <w:t>Table</w:t>
      </w:r>
      <w:r w:rsidRPr="00201AAD">
        <w:rPr>
          <w:rFonts w:ascii="Times New Roman" w:hAnsi="Times New Roman" w:cs="Times New Roman"/>
        </w:rPr>
        <w:t xml:space="preserve"> 4.</w:t>
      </w:r>
    </w:p>
    <w:p w:rsidR="00943C58" w:rsidRPr="00201AAD" w:rsidRDefault="00943C58" w:rsidP="00943C58">
      <w:pPr>
        <w:autoSpaceDE w:val="0"/>
        <w:autoSpaceDN w:val="0"/>
        <w:adjustRightInd w:val="0"/>
        <w:spacing w:line="480" w:lineRule="auto"/>
        <w:jc w:val="both"/>
        <w:rPr>
          <w:rFonts w:ascii="Times New Roman" w:hAnsi="Times New Roman" w:cs="Times New Roman"/>
        </w:rPr>
      </w:pPr>
      <w:r w:rsidRPr="00201AAD">
        <w:rPr>
          <w:rFonts w:ascii="Times New Roman" w:hAnsi="Times New Roman" w:cs="Times New Roman"/>
        </w:rPr>
        <w:t xml:space="preserve">  Different performance measures are used for different purposes. T</w:t>
      </w:r>
      <w:r w:rsidR="006E716E" w:rsidRPr="00201AAD">
        <w:rPr>
          <w:rFonts w:ascii="Times New Roman" w:hAnsi="Times New Roman" w:cs="Times New Roman"/>
        </w:rPr>
        <w:t xml:space="preserve">he Sharpe (1966) and </w:t>
      </w:r>
      <w:proofErr w:type="spellStart"/>
      <w:r w:rsidR="006E716E" w:rsidRPr="00201AAD">
        <w:rPr>
          <w:rFonts w:ascii="Times New Roman" w:hAnsi="Times New Roman" w:cs="Times New Roman"/>
        </w:rPr>
        <w:t>Treynor</w:t>
      </w:r>
      <w:proofErr w:type="spellEnd"/>
      <w:r w:rsidR="006E716E" w:rsidRPr="00201AAD">
        <w:rPr>
          <w:rFonts w:ascii="Times New Roman" w:hAnsi="Times New Roman" w:cs="Times New Roman"/>
        </w:rPr>
        <w:t xml:space="preserve"> (1965)</w:t>
      </w:r>
      <w:r w:rsidRPr="00201AAD">
        <w:rPr>
          <w:rFonts w:ascii="Times New Roman" w:hAnsi="Times New Roman" w:cs="Times New Roman"/>
        </w:rPr>
        <w:t xml:space="preserve"> ratios respectively divide the average excess returns over the standard deviation (</w:t>
      </w:r>
      <m:oMath>
        <m:r>
          <m:rPr>
            <m:sty m:val="p"/>
          </m:rPr>
          <w:rPr>
            <w:rFonts w:ascii="Cambria Math" w:hAnsi="Cambria Math" w:cs="Times New Roman"/>
          </w:rPr>
          <m:t>σ</m:t>
        </m:r>
      </m:oMath>
      <w:r w:rsidRPr="00201AAD">
        <w:rPr>
          <w:rFonts w:ascii="Times New Roman" w:hAnsi="Times New Roman" w:cs="Times New Roman"/>
        </w:rPr>
        <w:t>) and per unit of systematic risk (</w:t>
      </w:r>
      <m:oMath>
        <m:r>
          <m:rPr>
            <m:sty m:val="p"/>
          </m:rPr>
          <w:rPr>
            <w:rFonts w:ascii="Cambria Math" w:hAnsi="Cambria Math" w:cs="Times New Roman"/>
          </w:rPr>
          <m:t>β</m:t>
        </m:r>
      </m:oMath>
      <w:r w:rsidRPr="00201AAD">
        <w:rPr>
          <w:rFonts w:ascii="Times New Roman" w:hAnsi="Times New Roman" w:cs="Times New Roman"/>
        </w:rPr>
        <w:t>). Another approach use</w:t>
      </w:r>
      <w:r w:rsidRPr="00201AAD">
        <w:rPr>
          <w:rFonts w:ascii="Times New Roman" w:eastAsia="新細明體" w:hAnsi="Times New Roman" w:cs="Times New Roman"/>
        </w:rPr>
        <w:t>s</w:t>
      </w:r>
      <m:oMath>
        <m:r>
          <m:rPr>
            <m:sty m:val="p"/>
          </m:rPr>
          <w:rPr>
            <w:rFonts w:ascii="Cambria Math" w:hAnsi="Cambria Math" w:cs="Times New Roman"/>
          </w:rPr>
          <m:t xml:space="preserve"> α</m:t>
        </m:r>
      </m:oMath>
      <w:r w:rsidRPr="00201AAD">
        <w:rPr>
          <w:rFonts w:ascii="Times New Roman" w:hAnsi="Times New Roman" w:cs="Times New Roman"/>
        </w:rPr>
        <w:t xml:space="preserve"> (Jensen 1968) to measure the average return above that predicted by the CAPM model. The </w:t>
      </w:r>
      <m:oMath>
        <m:sSup>
          <m:sSupPr>
            <m:ctrlPr>
              <w:rPr>
                <w:rFonts w:ascii="Cambria Math" w:hAnsi="Cambria Math" w:cs="Times New Roman"/>
              </w:rPr>
            </m:ctrlPr>
          </m:sSupPr>
          <m:e>
            <m:r>
              <m:rPr>
                <m:sty m:val="p"/>
              </m:rPr>
              <w:rPr>
                <w:rFonts w:ascii="Cambria Math" w:hAnsi="Cambria Math" w:cs="Times New Roman"/>
              </w:rPr>
              <m:t>M</m:t>
            </m:r>
          </m:e>
          <m:sup>
            <m:r>
              <m:rPr>
                <m:sty m:val="p"/>
              </m:rPr>
              <w:rPr>
                <w:rFonts w:ascii="Cambria Math" w:hAnsi="Cambria Math" w:cs="Times New Roman"/>
              </w:rPr>
              <m:t>2</m:t>
            </m:r>
          </m:sup>
        </m:sSup>
      </m:oMath>
      <w:r w:rsidRPr="00201AAD">
        <w:rPr>
          <w:rFonts w:ascii="Times New Roman" w:hAnsi="Times New Roman" w:cs="Times New Roman"/>
        </w:rPr>
        <w:t xml:space="preserve"> measure (Modigliani &amp; Modigliani 1997) considers total volatility, risk free assets and market volatility. </w:t>
      </w:r>
    </w:p>
    <w:p w:rsidR="006E716E" w:rsidRPr="00201AAD" w:rsidRDefault="00943C58" w:rsidP="00943C58">
      <w:pPr>
        <w:autoSpaceDE w:val="0"/>
        <w:autoSpaceDN w:val="0"/>
        <w:adjustRightInd w:val="0"/>
        <w:spacing w:line="480" w:lineRule="auto"/>
        <w:jc w:val="both"/>
        <w:rPr>
          <w:rFonts w:ascii="Times New Roman" w:hAnsi="Times New Roman" w:cs="Times New Roman"/>
          <w:kern w:val="0"/>
          <w:szCs w:val="24"/>
        </w:rPr>
      </w:pPr>
      <w:r w:rsidRPr="00201AAD">
        <w:rPr>
          <w:rFonts w:ascii="Times New Roman" w:eastAsia="新細明體" w:hAnsi="Times New Roman" w:cs="Times New Roman"/>
          <w:kern w:val="0"/>
          <w:szCs w:val="24"/>
        </w:rPr>
        <w:t xml:space="preserve">  </w:t>
      </w:r>
      <w:r w:rsidR="009072E0" w:rsidRPr="00201AAD">
        <w:rPr>
          <w:rFonts w:ascii="Times New Roman" w:eastAsia="新細明體" w:hAnsi="Times New Roman" w:cs="Times New Roman"/>
          <w:kern w:val="0"/>
          <w:szCs w:val="24"/>
        </w:rPr>
        <w:t>Table</w:t>
      </w:r>
      <w:r w:rsidRPr="00201AAD">
        <w:rPr>
          <w:rFonts w:ascii="Times New Roman" w:eastAsia="新細明體" w:hAnsi="Times New Roman" w:cs="Times New Roman"/>
          <w:kern w:val="0"/>
          <w:szCs w:val="24"/>
        </w:rPr>
        <w:t xml:space="preserve"> 4 shows that our four indicators outperform the market based on each risk-adjusted performance measure and for each sample period. For example, the Sharpe and </w:t>
      </w:r>
      <w:proofErr w:type="spellStart"/>
      <w:r w:rsidRPr="00201AAD">
        <w:rPr>
          <w:rFonts w:ascii="Times New Roman" w:eastAsia="新細明體" w:hAnsi="Times New Roman" w:cs="Times New Roman"/>
          <w:kern w:val="0"/>
          <w:szCs w:val="24"/>
        </w:rPr>
        <w:t>Treynor</w:t>
      </w:r>
      <w:proofErr w:type="spellEnd"/>
      <w:r w:rsidRPr="00201AAD">
        <w:rPr>
          <w:rFonts w:ascii="Times New Roman" w:eastAsia="新細明體" w:hAnsi="Times New Roman" w:cs="Times New Roman"/>
          <w:kern w:val="0"/>
          <w:szCs w:val="24"/>
        </w:rPr>
        <w:t xml:space="preserve"> ratios show that our indicators offered higher average returns than the market from 2001 to 2010. </w:t>
      </w:r>
    </w:p>
    <w:p w:rsidR="000B4613" w:rsidRPr="00201AAD" w:rsidRDefault="00484D2A" w:rsidP="00201AAD">
      <w:pPr>
        <w:autoSpaceDE w:val="0"/>
        <w:autoSpaceDN w:val="0"/>
        <w:adjustRightInd w:val="0"/>
        <w:spacing w:line="480" w:lineRule="auto"/>
        <w:ind w:firstLineChars="150" w:firstLine="360"/>
        <w:jc w:val="center"/>
        <w:rPr>
          <w:rFonts w:ascii="Times New Roman" w:hAnsi="Times New Roman" w:cs="Times New Roman"/>
          <w:b/>
        </w:rPr>
      </w:pPr>
      <w:r w:rsidRPr="00201AAD">
        <w:rPr>
          <w:rFonts w:ascii="Times New Roman" w:hAnsi="Times New Roman" w:cs="Times New Roman"/>
          <w:b/>
        </w:rPr>
        <w:t>&lt;Insert Table 4 about here&gt;</w:t>
      </w:r>
    </w:p>
    <w:p w:rsidR="006E716E" w:rsidRPr="00201AAD" w:rsidRDefault="00201AAD" w:rsidP="00943C58">
      <w:pPr>
        <w:autoSpaceDE w:val="0"/>
        <w:autoSpaceDN w:val="0"/>
        <w:adjustRightInd w:val="0"/>
        <w:spacing w:line="480" w:lineRule="auto"/>
        <w:jc w:val="both"/>
        <w:rPr>
          <w:rFonts w:ascii="Times New Roman" w:hAnsi="Times New Roman" w:cs="Times New Roman"/>
          <w:i/>
          <w:kern w:val="0"/>
          <w:sz w:val="28"/>
          <w:szCs w:val="28"/>
        </w:rPr>
      </w:pPr>
      <w:r w:rsidRPr="00201AAD">
        <w:rPr>
          <w:rFonts w:ascii="Times New Roman" w:eastAsia="新細明體" w:hAnsi="Times New Roman" w:cs="Times New Roman" w:hint="eastAsia"/>
          <w:i/>
          <w:kern w:val="0"/>
          <w:sz w:val="28"/>
          <w:szCs w:val="28"/>
        </w:rPr>
        <w:t xml:space="preserve">4.2 </w:t>
      </w:r>
      <w:r w:rsidR="00943C58" w:rsidRPr="00201AAD">
        <w:rPr>
          <w:rFonts w:ascii="Times New Roman" w:eastAsia="新細明體" w:hAnsi="Times New Roman" w:cs="Times New Roman"/>
          <w:i/>
          <w:kern w:val="0"/>
          <w:sz w:val="28"/>
          <w:szCs w:val="28"/>
        </w:rPr>
        <w:t>F</w:t>
      </w:r>
      <w:r w:rsidR="00484D2A" w:rsidRPr="00201AAD">
        <w:rPr>
          <w:rFonts w:ascii="Times New Roman" w:hAnsi="Times New Roman" w:cs="Times New Roman"/>
          <w:i/>
          <w:kern w:val="0"/>
          <w:sz w:val="28"/>
          <w:szCs w:val="28"/>
        </w:rPr>
        <w:t>orming an investment portfolio s</w:t>
      </w:r>
      <w:r w:rsidR="006E716E" w:rsidRPr="00201AAD">
        <w:rPr>
          <w:rFonts w:ascii="Times New Roman" w:hAnsi="Times New Roman" w:cs="Times New Roman"/>
          <w:i/>
          <w:kern w:val="0"/>
          <w:sz w:val="28"/>
          <w:szCs w:val="28"/>
        </w:rPr>
        <w:t>trategy</w:t>
      </w:r>
    </w:p>
    <w:p w:rsidR="00943C58" w:rsidRPr="00201AAD" w:rsidRDefault="00943C58" w:rsidP="00943C58">
      <w:pPr>
        <w:autoSpaceDE w:val="0"/>
        <w:autoSpaceDN w:val="0"/>
        <w:adjustRightInd w:val="0"/>
        <w:spacing w:line="480" w:lineRule="auto"/>
        <w:jc w:val="both"/>
        <w:rPr>
          <w:rFonts w:ascii="Times New Roman" w:hAnsi="Times New Roman" w:cs="Times New Roman"/>
          <w:kern w:val="0"/>
          <w:szCs w:val="24"/>
        </w:rPr>
      </w:pPr>
      <w:r w:rsidRPr="00201AAD">
        <w:rPr>
          <w:rFonts w:ascii="Times New Roman" w:eastAsia="新細明體" w:hAnsi="Times New Roman" w:cs="Times New Roman"/>
          <w:kern w:val="0"/>
          <w:szCs w:val="24"/>
        </w:rPr>
        <w:t xml:space="preserve">  Once we’ve established that our four intangible asset indicators outperform the market, we construct an investment portfolio including four indicators. First, </w:t>
      </w:r>
      <w:r w:rsidRPr="00201AAD">
        <w:rPr>
          <w:rFonts w:ascii="Times New Roman" w:eastAsia="新細明體" w:hAnsi="Times New Roman" w:cs="Times New Roman"/>
          <w:color w:val="000000" w:themeColor="text1"/>
          <w:kern w:val="0"/>
          <w:szCs w:val="24"/>
        </w:rPr>
        <w:t>we investigate the change of indicator components to determine the change effect (i.e., a firm’s relative position, its presence, ranks risen, or ranks fallen) for market response.</w:t>
      </w:r>
      <w:r w:rsidRPr="00201AAD">
        <w:rPr>
          <w:rFonts w:ascii="Times New Roman" w:eastAsia="新細明體" w:hAnsi="Times New Roman" w:cs="Times New Roman"/>
          <w:kern w:val="0"/>
          <w:szCs w:val="24"/>
        </w:rPr>
        <w:t xml:space="preserve"> We then attempt to determine the effect of a firm being continuously listed for each indicator over 2 to 5 consecutive years</w:t>
      </w:r>
      <w:r w:rsidR="00212FCC" w:rsidRPr="00201AAD">
        <w:rPr>
          <w:rFonts w:ascii="Times New Roman" w:hAnsi="Times New Roman" w:cs="Times New Roman"/>
          <w:kern w:val="0"/>
          <w:szCs w:val="24"/>
        </w:rPr>
        <w:t xml:space="preserve"> (i.e</w:t>
      </w:r>
      <w:r w:rsidRPr="00201AAD">
        <w:rPr>
          <w:rFonts w:ascii="Times New Roman" w:eastAsia="新細明體" w:hAnsi="Times New Roman" w:cs="Times New Roman"/>
          <w:kern w:val="0"/>
          <w:szCs w:val="24"/>
        </w:rPr>
        <w:t>.</w:t>
      </w:r>
      <w:r w:rsidR="00212FCC" w:rsidRPr="00201AAD">
        <w:rPr>
          <w:rFonts w:ascii="Times New Roman" w:hAnsi="Times New Roman" w:cs="Times New Roman"/>
          <w:kern w:val="0"/>
          <w:szCs w:val="24"/>
        </w:rPr>
        <w:t xml:space="preserve">, </w:t>
      </w:r>
      <w:r w:rsidR="00212FCC" w:rsidRPr="00201AAD">
        <w:rPr>
          <w:rFonts w:ascii="Times New Roman" w:eastAsia="新細明體" w:hAnsi="Times New Roman" w:cs="Times New Roman"/>
          <w:kern w:val="0"/>
          <w:szCs w:val="24"/>
        </w:rPr>
        <w:t>we have considered the result of 6 and 7 years too, but not better than 5 years).</w:t>
      </w:r>
      <w:r w:rsidRPr="00201AAD">
        <w:rPr>
          <w:rFonts w:ascii="Times New Roman" w:eastAsia="新細明體" w:hAnsi="Times New Roman" w:cs="Times New Roman"/>
          <w:kern w:val="0"/>
          <w:szCs w:val="24"/>
        </w:rPr>
        <w:t xml:space="preserve"> Finally, we consider the listing of a given firm for more than one indicator. </w:t>
      </w:r>
      <w:r w:rsidR="009072E0" w:rsidRPr="00201AAD">
        <w:rPr>
          <w:rFonts w:ascii="Times New Roman" w:eastAsia="新細明體" w:hAnsi="Times New Roman" w:cs="Times New Roman"/>
          <w:kern w:val="0"/>
          <w:szCs w:val="24"/>
        </w:rPr>
        <w:t>Table</w:t>
      </w:r>
      <w:r w:rsidRPr="00201AAD">
        <w:rPr>
          <w:rFonts w:ascii="Times New Roman" w:eastAsia="新細明體" w:hAnsi="Times New Roman" w:cs="Times New Roman"/>
          <w:kern w:val="0"/>
          <w:szCs w:val="24"/>
        </w:rPr>
        <w:t xml:space="preserve"> 5 presents the performance of our 11 investment portfolios. The Ranks-Upgrade portfolio is seen to outperform the others in all periods, which is consistent with </w:t>
      </w:r>
      <w:proofErr w:type="spellStart"/>
      <w:r w:rsidRPr="00201AAD">
        <w:rPr>
          <w:rFonts w:ascii="Times New Roman" w:eastAsia="新細明體" w:hAnsi="Times New Roman" w:cs="Times New Roman"/>
          <w:kern w:val="0"/>
          <w:szCs w:val="24"/>
        </w:rPr>
        <w:t>Brammer</w:t>
      </w:r>
      <w:proofErr w:type="spellEnd"/>
      <w:r w:rsidRPr="00201AAD">
        <w:rPr>
          <w:rFonts w:ascii="Times New Roman" w:eastAsia="新細明體" w:hAnsi="Times New Roman" w:cs="Times New Roman"/>
          <w:kern w:val="0"/>
          <w:szCs w:val="24"/>
        </w:rPr>
        <w:t xml:space="preserve"> </w:t>
      </w:r>
      <w:r w:rsidRPr="00201AAD">
        <w:rPr>
          <w:rFonts w:ascii="Times New Roman" w:eastAsia="新細明體" w:hAnsi="Times New Roman" w:cs="Times New Roman"/>
          <w:i/>
          <w:kern w:val="0"/>
          <w:szCs w:val="24"/>
        </w:rPr>
        <w:t>et al</w:t>
      </w:r>
      <w:r w:rsidRPr="00201AAD">
        <w:rPr>
          <w:rFonts w:ascii="Times New Roman" w:eastAsia="新細明體" w:hAnsi="Times New Roman" w:cs="Times New Roman"/>
          <w:kern w:val="0"/>
          <w:szCs w:val="24"/>
        </w:rPr>
        <w:t xml:space="preserve">. </w:t>
      </w:r>
      <w:r w:rsidR="006E716E" w:rsidRPr="00201AAD">
        <w:rPr>
          <w:rFonts w:ascii="Times New Roman" w:hAnsi="Times New Roman" w:cs="Times New Roman"/>
          <w:kern w:val="0"/>
          <w:szCs w:val="24"/>
        </w:rPr>
        <w:t>(</w:t>
      </w:r>
      <w:r w:rsidRPr="00201AAD">
        <w:rPr>
          <w:rFonts w:ascii="Times New Roman" w:eastAsia="新細明體" w:hAnsi="Times New Roman" w:cs="Times New Roman"/>
          <w:kern w:val="0"/>
          <w:szCs w:val="24"/>
        </w:rPr>
        <w:t>2009</w:t>
      </w:r>
      <w:r w:rsidR="006E716E" w:rsidRPr="00201AAD">
        <w:rPr>
          <w:rFonts w:ascii="Times New Roman" w:hAnsi="Times New Roman" w:cs="Times New Roman"/>
          <w:kern w:val="0"/>
          <w:szCs w:val="24"/>
        </w:rPr>
        <w:t>)</w:t>
      </w:r>
      <w:r w:rsidRPr="00201AAD">
        <w:rPr>
          <w:rFonts w:ascii="Times New Roman" w:eastAsia="新細明體" w:hAnsi="Times New Roman" w:cs="Times New Roman"/>
          <w:kern w:val="0"/>
          <w:szCs w:val="24"/>
        </w:rPr>
        <w:t xml:space="preserve">, though the positive results they found were for announcement returns of firms with daily-based ranking improvements, but the returns also significant in monthly announcements. </w:t>
      </w:r>
    </w:p>
    <w:p w:rsidR="00484D2A" w:rsidRPr="00201AAD" w:rsidRDefault="00484D2A" w:rsidP="00484D2A">
      <w:pPr>
        <w:autoSpaceDE w:val="0"/>
        <w:autoSpaceDN w:val="0"/>
        <w:adjustRightInd w:val="0"/>
        <w:spacing w:line="480" w:lineRule="auto"/>
        <w:ind w:firstLineChars="150" w:firstLine="360"/>
        <w:jc w:val="center"/>
        <w:rPr>
          <w:rFonts w:ascii="Times New Roman" w:eastAsia="新細明體" w:hAnsi="Times New Roman" w:cs="Times New Roman"/>
          <w:b/>
        </w:rPr>
      </w:pPr>
      <w:r w:rsidRPr="00201AAD">
        <w:rPr>
          <w:rFonts w:ascii="Times New Roman" w:hAnsi="Times New Roman" w:cs="Times New Roman"/>
          <w:b/>
        </w:rPr>
        <w:t>&lt;Insert Table 5 about here&gt;</w:t>
      </w:r>
    </w:p>
    <w:p w:rsidR="000817A3" w:rsidRPr="00201AAD" w:rsidRDefault="00943C58" w:rsidP="00943C58">
      <w:pPr>
        <w:autoSpaceDE w:val="0"/>
        <w:autoSpaceDN w:val="0"/>
        <w:adjustRightInd w:val="0"/>
        <w:spacing w:line="480" w:lineRule="auto"/>
        <w:jc w:val="both"/>
        <w:rPr>
          <w:rFonts w:ascii="Times New Roman" w:hAnsi="Times New Roman" w:cs="Times New Roman"/>
          <w:kern w:val="0"/>
          <w:szCs w:val="24"/>
        </w:rPr>
      </w:pPr>
      <w:r w:rsidRPr="00201AAD">
        <w:rPr>
          <w:rFonts w:ascii="Times New Roman" w:eastAsia="新細明體" w:hAnsi="Times New Roman" w:cs="Times New Roman"/>
          <w:kern w:val="0"/>
          <w:szCs w:val="24"/>
        </w:rPr>
        <w:t xml:space="preserve">  </w:t>
      </w:r>
      <w:r w:rsidR="009072E0" w:rsidRPr="00201AAD">
        <w:rPr>
          <w:rFonts w:ascii="Times New Roman" w:eastAsia="新細明體" w:hAnsi="Times New Roman" w:cs="Times New Roman"/>
          <w:kern w:val="0"/>
          <w:szCs w:val="24"/>
        </w:rPr>
        <w:t>Table</w:t>
      </w:r>
      <w:r w:rsidRPr="00201AAD">
        <w:rPr>
          <w:rFonts w:ascii="Times New Roman" w:eastAsia="新細明體" w:hAnsi="Times New Roman" w:cs="Times New Roman"/>
          <w:kern w:val="0"/>
          <w:szCs w:val="24"/>
        </w:rPr>
        <w:t xml:space="preserve"> 6 compares the cumulative abnormal return between the Ranks-Upgrade portfolio and our four intangible assets indicators. The portfolio outperforms our four intangible asset indicators and the differences are found to be positively significant. If investors underestimate one kind of intangible asset, they would be less able to assess the effect of combinations of several kinds of intangible assets.</w:t>
      </w:r>
    </w:p>
    <w:p w:rsidR="004D04BE" w:rsidRPr="00201AAD" w:rsidRDefault="004D04BE" w:rsidP="004D04BE">
      <w:pPr>
        <w:autoSpaceDE w:val="0"/>
        <w:autoSpaceDN w:val="0"/>
        <w:adjustRightInd w:val="0"/>
        <w:spacing w:line="480" w:lineRule="auto"/>
        <w:ind w:firstLineChars="150" w:firstLine="360"/>
        <w:jc w:val="center"/>
        <w:rPr>
          <w:rFonts w:ascii="Times New Roman" w:hAnsi="Times New Roman" w:cs="Times New Roman"/>
          <w:b/>
        </w:rPr>
      </w:pPr>
      <w:r w:rsidRPr="00201AAD">
        <w:rPr>
          <w:rFonts w:ascii="Times New Roman" w:hAnsi="Times New Roman" w:cs="Times New Roman"/>
          <w:b/>
        </w:rPr>
        <w:t>&lt;Insert Table 6 about here&gt;</w:t>
      </w:r>
    </w:p>
    <w:p w:rsidR="000B4613" w:rsidRPr="00201AAD" w:rsidRDefault="000B4613" w:rsidP="004D04BE">
      <w:pPr>
        <w:autoSpaceDE w:val="0"/>
        <w:autoSpaceDN w:val="0"/>
        <w:adjustRightInd w:val="0"/>
        <w:spacing w:line="480" w:lineRule="auto"/>
        <w:ind w:firstLineChars="150" w:firstLine="360"/>
        <w:jc w:val="center"/>
        <w:rPr>
          <w:rFonts w:ascii="Times New Roman" w:eastAsia="新細明體" w:hAnsi="Times New Roman" w:cs="Times New Roman"/>
          <w:b/>
        </w:rPr>
      </w:pPr>
    </w:p>
    <w:p w:rsidR="000817A3" w:rsidRPr="00201AAD" w:rsidRDefault="00201AAD" w:rsidP="00943C58">
      <w:pPr>
        <w:autoSpaceDE w:val="0"/>
        <w:autoSpaceDN w:val="0"/>
        <w:adjustRightInd w:val="0"/>
        <w:spacing w:line="480" w:lineRule="auto"/>
        <w:jc w:val="both"/>
        <w:rPr>
          <w:rFonts w:ascii="Times New Roman" w:hAnsi="Times New Roman" w:cs="Times New Roman"/>
          <w:i/>
          <w:kern w:val="0"/>
          <w:sz w:val="28"/>
          <w:szCs w:val="28"/>
        </w:rPr>
      </w:pPr>
      <w:r w:rsidRPr="00201AAD">
        <w:rPr>
          <w:rFonts w:ascii="Times New Roman" w:hAnsi="Times New Roman" w:cs="Times New Roman" w:hint="eastAsia"/>
          <w:i/>
          <w:kern w:val="0"/>
          <w:sz w:val="28"/>
          <w:szCs w:val="28"/>
        </w:rPr>
        <w:t xml:space="preserve">4.3 </w:t>
      </w:r>
      <w:r w:rsidR="000817A3" w:rsidRPr="00201AAD">
        <w:rPr>
          <w:rFonts w:ascii="Times New Roman" w:hAnsi="Times New Roman" w:cs="Times New Roman"/>
          <w:i/>
          <w:kern w:val="0"/>
          <w:sz w:val="28"/>
          <w:szCs w:val="28"/>
        </w:rPr>
        <w:t>Application of KLD</w:t>
      </w:r>
      <w:r w:rsidR="004D04BE" w:rsidRPr="00201AAD">
        <w:rPr>
          <w:rFonts w:ascii="Times New Roman" w:hAnsi="Times New Roman" w:cs="Times New Roman"/>
          <w:i/>
          <w:kern w:val="0"/>
          <w:sz w:val="28"/>
          <w:szCs w:val="28"/>
        </w:rPr>
        <w:t xml:space="preserve"> d</w:t>
      </w:r>
      <w:r w:rsidR="005835A1" w:rsidRPr="00201AAD">
        <w:rPr>
          <w:rFonts w:ascii="Times New Roman" w:hAnsi="Times New Roman" w:cs="Times New Roman"/>
          <w:i/>
          <w:kern w:val="0"/>
          <w:sz w:val="28"/>
          <w:szCs w:val="28"/>
        </w:rPr>
        <w:t>atabase</w:t>
      </w:r>
    </w:p>
    <w:p w:rsidR="00943C58" w:rsidRPr="00201AAD" w:rsidRDefault="00943C58" w:rsidP="00943C58">
      <w:pPr>
        <w:autoSpaceDE w:val="0"/>
        <w:autoSpaceDN w:val="0"/>
        <w:adjustRightInd w:val="0"/>
        <w:spacing w:line="480" w:lineRule="auto"/>
        <w:ind w:firstLineChars="50" w:firstLine="120"/>
        <w:jc w:val="both"/>
        <w:rPr>
          <w:rFonts w:ascii="Times New Roman" w:hAnsi="Times New Roman" w:cs="Times New Roman"/>
        </w:rPr>
      </w:pPr>
      <w:r w:rsidRPr="00201AAD">
        <w:rPr>
          <w:rFonts w:ascii="Times New Roman" w:hAnsi="Times New Roman" w:cs="Times New Roman"/>
        </w:rPr>
        <w:t xml:space="preserve"> To further understand the effect of corporate governance on the performance of our Ranks-Upgrade portfolio, we consider firms with product safety concerns and excessive board compensation, using data obtained from the KLD Research &amp; Analytics database. </w:t>
      </w:r>
    </w:p>
    <w:p w:rsidR="00943C58" w:rsidRPr="00201AAD" w:rsidRDefault="00943C58" w:rsidP="00943C58">
      <w:pPr>
        <w:autoSpaceDE w:val="0"/>
        <w:autoSpaceDN w:val="0"/>
        <w:adjustRightInd w:val="0"/>
        <w:spacing w:line="480" w:lineRule="auto"/>
        <w:ind w:firstLineChars="100" w:firstLine="240"/>
        <w:jc w:val="both"/>
        <w:rPr>
          <w:rFonts w:ascii="Times New Roman" w:eastAsia="AdvTimes" w:hAnsi="Times New Roman" w:cs="Times New Roman"/>
          <w:kern w:val="0"/>
          <w:szCs w:val="24"/>
        </w:rPr>
      </w:pPr>
      <w:r w:rsidRPr="00201AAD">
        <w:rPr>
          <w:rFonts w:ascii="Times New Roman" w:hAnsi="Times New Roman" w:cs="Times New Roman"/>
          <w:color w:val="000000" w:themeColor="text1"/>
        </w:rPr>
        <w:t>For KLD to mark a firm as having product safety concerns means that the firm has paid substantial fines or civil penalties relating to the safety of its products or services. According to empirical studies, perceived brand quality expresses consumer opinion for how well a brand meets their requirements and expectations (</w:t>
      </w:r>
      <w:proofErr w:type="spellStart"/>
      <w:r w:rsidRPr="00201AAD">
        <w:rPr>
          <w:rFonts w:ascii="Times New Roman" w:hAnsi="Times New Roman" w:cs="Times New Roman"/>
          <w:color w:val="000000" w:themeColor="text1"/>
        </w:rPr>
        <w:t>Mitra</w:t>
      </w:r>
      <w:proofErr w:type="spellEnd"/>
      <w:r w:rsidRPr="00201AAD">
        <w:rPr>
          <w:rFonts w:ascii="Times New Roman" w:hAnsi="Times New Roman" w:cs="Times New Roman"/>
          <w:color w:val="000000" w:themeColor="text1"/>
        </w:rPr>
        <w:t xml:space="preserve"> &amp; Golder 2006) and it has a strong determinant impact on consumer intent to purchase a branded product or service (</w:t>
      </w:r>
      <w:proofErr w:type="spellStart"/>
      <w:r w:rsidRPr="00201AAD">
        <w:rPr>
          <w:rFonts w:ascii="Times New Roman" w:hAnsi="Times New Roman" w:cs="Times New Roman"/>
          <w:color w:val="000000" w:themeColor="text1"/>
        </w:rPr>
        <w:t>Erdem</w:t>
      </w:r>
      <w:proofErr w:type="spellEnd"/>
      <w:r w:rsidR="004D04BE" w:rsidRPr="00201AAD">
        <w:rPr>
          <w:rFonts w:ascii="Times New Roman" w:hAnsi="Times New Roman" w:cs="Times New Roman"/>
          <w:color w:val="000000" w:themeColor="text1"/>
        </w:rPr>
        <w:t xml:space="preserve"> </w:t>
      </w:r>
      <w:r w:rsidR="004D04BE" w:rsidRPr="00201AAD">
        <w:rPr>
          <w:rFonts w:ascii="Times New Roman" w:hAnsi="Times New Roman" w:cs="Times New Roman"/>
          <w:i/>
          <w:color w:val="000000" w:themeColor="text1"/>
        </w:rPr>
        <w:t>et al.</w:t>
      </w:r>
      <w:r w:rsidRPr="00201AAD">
        <w:rPr>
          <w:rFonts w:ascii="Times New Roman" w:hAnsi="Times New Roman" w:cs="Times New Roman"/>
          <w:color w:val="000000" w:themeColor="text1"/>
        </w:rPr>
        <w:t xml:space="preserve"> 2006)</w:t>
      </w:r>
      <w:r w:rsidRPr="00201AAD">
        <w:rPr>
          <w:rFonts w:ascii="Times New Roman" w:hAnsi="Times New Roman" w:cs="Times New Roman"/>
          <w:i/>
          <w:iCs/>
          <w:kern w:val="0"/>
          <w:szCs w:val="24"/>
        </w:rPr>
        <w:t>.</w:t>
      </w:r>
      <w:r w:rsidRPr="00201AAD">
        <w:rPr>
          <w:rFonts w:ascii="Times New Roman" w:hAnsi="Times New Roman" w:cs="Times New Roman"/>
          <w:iCs/>
          <w:kern w:val="0"/>
          <w:szCs w:val="24"/>
        </w:rPr>
        <w:t xml:space="preserve"> Moreover, according to </w:t>
      </w:r>
      <w:r w:rsidRPr="00201AAD">
        <w:rPr>
          <w:rFonts w:ascii="Times New Roman" w:eastAsia="AdvTimes" w:hAnsi="Times New Roman" w:cs="Times New Roman"/>
          <w:kern w:val="0"/>
          <w:szCs w:val="24"/>
        </w:rPr>
        <w:t>Castillo</w:t>
      </w:r>
      <w:r w:rsidR="004D04BE" w:rsidRPr="00201AAD">
        <w:rPr>
          <w:rFonts w:ascii="Times New Roman" w:eastAsia="AdvTimes" w:hAnsi="Times New Roman" w:cs="Times New Roman"/>
          <w:kern w:val="0"/>
          <w:szCs w:val="24"/>
        </w:rPr>
        <w:t xml:space="preserve"> </w:t>
      </w:r>
      <w:r w:rsidR="004D04BE" w:rsidRPr="00201AAD">
        <w:rPr>
          <w:rFonts w:ascii="Times New Roman" w:eastAsia="AdvTimes" w:hAnsi="Times New Roman" w:cs="Times New Roman"/>
          <w:i/>
          <w:kern w:val="0"/>
          <w:szCs w:val="24"/>
        </w:rPr>
        <w:t>et al.</w:t>
      </w:r>
      <w:r w:rsidR="0089657C" w:rsidRPr="00201AAD">
        <w:rPr>
          <w:rFonts w:ascii="Times New Roman" w:eastAsia="AdvTimes" w:hAnsi="Times New Roman" w:cs="Times New Roman"/>
          <w:kern w:val="0"/>
          <w:szCs w:val="24"/>
        </w:rPr>
        <w:t xml:space="preserve"> (2011)</w:t>
      </w:r>
      <w:r w:rsidRPr="00201AAD">
        <w:rPr>
          <w:rFonts w:ascii="Times New Roman" w:eastAsia="AdvTimes" w:hAnsi="Times New Roman" w:cs="Times New Roman"/>
          <w:kern w:val="0"/>
          <w:szCs w:val="24"/>
        </w:rPr>
        <w:t>, new product performance is related to network effects, consumer switching costs, and product quality. We therefore exclude firms with product safety concerns from consideration.</w:t>
      </w:r>
    </w:p>
    <w:p w:rsidR="00943C58" w:rsidRPr="00201AAD" w:rsidRDefault="00943C58" w:rsidP="00943C58">
      <w:pPr>
        <w:spacing w:line="480" w:lineRule="auto"/>
        <w:ind w:firstLineChars="100" w:firstLine="240"/>
        <w:jc w:val="both"/>
        <w:rPr>
          <w:rFonts w:ascii="Times New Roman" w:hAnsi="Times New Roman" w:cs="Times New Roman"/>
          <w:kern w:val="0"/>
          <w:szCs w:val="24"/>
        </w:rPr>
      </w:pPr>
      <w:r w:rsidRPr="00201AAD">
        <w:rPr>
          <w:rFonts w:ascii="Times New Roman" w:hAnsi="Times New Roman" w:cs="Times New Roman"/>
        </w:rPr>
        <w:t xml:space="preserve">Unusually high executive compensation is a concern for corporate governance in that it is associated </w:t>
      </w:r>
      <w:r w:rsidRPr="00201AAD">
        <w:rPr>
          <w:rFonts w:ascii="Times New Roman" w:hAnsi="Times New Roman" w:cs="Times New Roman"/>
          <w:kern w:val="0"/>
          <w:szCs w:val="24"/>
        </w:rPr>
        <w:t xml:space="preserve">with ineffective governance structures (e.g., board or ownership structures), and can encourage cronyism which has a statistically significant negative impact on operating and stock return performance (Core, </w:t>
      </w:r>
      <w:proofErr w:type="spellStart"/>
      <w:r w:rsidRPr="00201AAD">
        <w:rPr>
          <w:rFonts w:ascii="Times New Roman" w:hAnsi="Times New Roman" w:cs="Times New Roman"/>
          <w:kern w:val="0"/>
          <w:szCs w:val="24"/>
        </w:rPr>
        <w:t>Holthausen</w:t>
      </w:r>
      <w:proofErr w:type="spellEnd"/>
      <w:r w:rsidRPr="00201AAD">
        <w:rPr>
          <w:rFonts w:ascii="Times New Roman" w:hAnsi="Times New Roman" w:cs="Times New Roman"/>
          <w:kern w:val="0"/>
          <w:szCs w:val="24"/>
        </w:rPr>
        <w:t xml:space="preserve">, </w:t>
      </w:r>
      <w:r w:rsidRPr="00201AAD">
        <w:rPr>
          <w:rFonts w:ascii="Times New Roman" w:hAnsi="Times New Roman" w:cs="Times New Roman"/>
          <w:iCs/>
          <w:kern w:val="0"/>
          <w:szCs w:val="24"/>
        </w:rPr>
        <w:t>&amp;</w:t>
      </w:r>
      <w:r w:rsidRPr="00201AAD">
        <w:rPr>
          <w:rFonts w:ascii="Times New Roman" w:hAnsi="Times New Roman" w:cs="Times New Roman"/>
          <w:kern w:val="0"/>
          <w:szCs w:val="24"/>
        </w:rPr>
        <w:t xml:space="preserve"> </w:t>
      </w:r>
      <w:proofErr w:type="spellStart"/>
      <w:r w:rsidRPr="00201AAD">
        <w:rPr>
          <w:rFonts w:ascii="Times New Roman" w:hAnsi="Times New Roman" w:cs="Times New Roman"/>
          <w:kern w:val="0"/>
          <w:szCs w:val="24"/>
        </w:rPr>
        <w:t>Larcker</w:t>
      </w:r>
      <w:proofErr w:type="spellEnd"/>
      <w:r w:rsidRPr="00201AAD">
        <w:rPr>
          <w:rFonts w:ascii="Times New Roman" w:hAnsi="Times New Roman" w:cs="Times New Roman"/>
          <w:kern w:val="0"/>
          <w:szCs w:val="24"/>
        </w:rPr>
        <w:t xml:space="preserve"> 1999</w:t>
      </w:r>
      <w:r w:rsidR="004D04BE" w:rsidRPr="00201AAD">
        <w:rPr>
          <w:rFonts w:ascii="Times New Roman" w:hAnsi="Times New Roman" w:cs="Times New Roman"/>
          <w:kern w:val="0"/>
          <w:szCs w:val="24"/>
        </w:rPr>
        <w:t>,</w:t>
      </w:r>
      <w:r w:rsidRPr="00201AAD">
        <w:rPr>
          <w:rFonts w:ascii="Times New Roman" w:hAnsi="Times New Roman" w:cs="Times New Roman"/>
          <w:kern w:val="0"/>
          <w:szCs w:val="24"/>
        </w:rPr>
        <w:t xml:space="preserve"> Brick</w:t>
      </w:r>
      <w:r w:rsidR="004D04BE" w:rsidRPr="00201AAD">
        <w:rPr>
          <w:rFonts w:ascii="Times New Roman" w:hAnsi="Times New Roman" w:cs="Times New Roman"/>
          <w:kern w:val="0"/>
          <w:szCs w:val="24"/>
        </w:rPr>
        <w:t xml:space="preserve"> </w:t>
      </w:r>
      <w:r w:rsidR="004D04BE" w:rsidRPr="00201AAD">
        <w:rPr>
          <w:rFonts w:ascii="Times New Roman" w:hAnsi="Times New Roman" w:cs="Times New Roman"/>
          <w:i/>
          <w:kern w:val="0"/>
          <w:szCs w:val="24"/>
        </w:rPr>
        <w:t>et al</w:t>
      </w:r>
      <w:r w:rsidR="004D04BE" w:rsidRPr="00201AAD">
        <w:rPr>
          <w:rFonts w:ascii="Times New Roman" w:hAnsi="Times New Roman" w:cs="Times New Roman"/>
          <w:kern w:val="0"/>
          <w:szCs w:val="24"/>
        </w:rPr>
        <w:t>.</w:t>
      </w:r>
      <w:r w:rsidRPr="00201AAD">
        <w:rPr>
          <w:rFonts w:ascii="Times New Roman" w:hAnsi="Times New Roman" w:cs="Times New Roman"/>
          <w:kern w:val="0"/>
          <w:szCs w:val="24"/>
        </w:rPr>
        <w:t xml:space="preserve"> 2006). As part of our investigation, we attempt to determine the effect on excessive compensation on the quality of intangible assets. In KLD, a company is marked as “high compensation” if it provides annual compensation of more than US$10m for the CEO, or US$100,000 for independent directors</w:t>
      </w:r>
      <w:r w:rsidRPr="00201AAD">
        <w:rPr>
          <w:rFonts w:ascii="Times New Roman" w:eastAsia="新細明體" w:hAnsi="Times New Roman" w:cs="Times New Roman"/>
          <w:kern w:val="0"/>
          <w:szCs w:val="24"/>
        </w:rPr>
        <w:t>. Firms thus marked were excluded from consideration.</w:t>
      </w:r>
    </w:p>
    <w:p w:rsidR="0089657C" w:rsidRPr="00201AAD" w:rsidRDefault="009072E0" w:rsidP="005835A1">
      <w:pPr>
        <w:autoSpaceDE w:val="0"/>
        <w:autoSpaceDN w:val="0"/>
        <w:adjustRightInd w:val="0"/>
        <w:spacing w:line="480" w:lineRule="auto"/>
        <w:ind w:firstLineChars="100" w:firstLine="240"/>
        <w:jc w:val="both"/>
        <w:rPr>
          <w:rFonts w:ascii="Times New Roman" w:hAnsi="Times New Roman" w:cs="Times New Roman"/>
          <w:kern w:val="0"/>
          <w:szCs w:val="24"/>
        </w:rPr>
      </w:pPr>
      <w:r w:rsidRPr="00201AAD">
        <w:rPr>
          <w:rFonts w:ascii="Times New Roman" w:hAnsi="Times New Roman" w:cs="Times New Roman"/>
        </w:rPr>
        <w:t>Table</w:t>
      </w:r>
      <w:r w:rsidR="00943C58" w:rsidRPr="00201AAD">
        <w:rPr>
          <w:rFonts w:ascii="Times New Roman" w:hAnsi="Times New Roman" w:cs="Times New Roman"/>
        </w:rPr>
        <w:t xml:space="preserve"> 7 shows that our approach can be used to promote investment portfolio performance, using the performance of the </w:t>
      </w:r>
      <w:r w:rsidR="00943C58" w:rsidRPr="00201AAD">
        <w:rPr>
          <w:rFonts w:ascii="Times New Roman" w:eastAsia="新細明體" w:hAnsi="Times New Roman" w:cs="Times New Roman"/>
          <w:kern w:val="0"/>
          <w:szCs w:val="24"/>
        </w:rPr>
        <w:t>Ranks-Upgrade portfolio as a benchmark</w:t>
      </w:r>
      <w:r w:rsidR="00943C58" w:rsidRPr="00201AAD">
        <w:rPr>
          <w:rFonts w:ascii="Times New Roman" w:hAnsi="Times New Roman" w:cs="Times New Roman"/>
        </w:rPr>
        <w:t xml:space="preserve">. Further observation of intangible asset criteria revealed that excluding firms through the use of KLD further improved performance. Obtaining this result was complicated by the fact that the </w:t>
      </w:r>
      <w:r w:rsidR="00943C58" w:rsidRPr="00201AAD">
        <w:rPr>
          <w:rFonts w:ascii="Times New Roman" w:eastAsia="新細明體" w:hAnsi="Times New Roman" w:cs="Times New Roman"/>
          <w:kern w:val="0"/>
          <w:szCs w:val="24"/>
        </w:rPr>
        <w:t>Ranks-Upgrade portfolio outperformed our other portfolios. Eliminating companies with product safety concerns or excessive compensation further improved portfolio performance, reflecting the importance of good corporate governance.</w:t>
      </w:r>
    </w:p>
    <w:p w:rsidR="000B4613" w:rsidRPr="00201AAD" w:rsidRDefault="004D04BE" w:rsidP="00201AAD">
      <w:pPr>
        <w:autoSpaceDE w:val="0"/>
        <w:autoSpaceDN w:val="0"/>
        <w:adjustRightInd w:val="0"/>
        <w:spacing w:line="480" w:lineRule="auto"/>
        <w:ind w:firstLineChars="150" w:firstLine="360"/>
        <w:jc w:val="center"/>
        <w:rPr>
          <w:rFonts w:ascii="Times New Roman" w:hAnsi="Times New Roman" w:cs="Times New Roman"/>
          <w:b/>
        </w:rPr>
      </w:pPr>
      <w:r w:rsidRPr="00201AAD">
        <w:rPr>
          <w:rFonts w:ascii="Times New Roman" w:hAnsi="Times New Roman" w:cs="Times New Roman"/>
          <w:b/>
        </w:rPr>
        <w:t>&lt;Insert Table 7 about here&gt;</w:t>
      </w:r>
    </w:p>
    <w:p w:rsidR="00943C58" w:rsidRPr="00201AAD" w:rsidRDefault="00943C58" w:rsidP="00201AAD">
      <w:pPr>
        <w:pStyle w:val="ac"/>
        <w:numPr>
          <w:ilvl w:val="0"/>
          <w:numId w:val="2"/>
        </w:numPr>
        <w:autoSpaceDE w:val="0"/>
        <w:autoSpaceDN w:val="0"/>
        <w:adjustRightInd w:val="0"/>
        <w:spacing w:line="480" w:lineRule="auto"/>
        <w:ind w:leftChars="0"/>
        <w:rPr>
          <w:rFonts w:ascii="Times New Roman" w:hAnsi="Times New Roman" w:cs="Times New Roman"/>
          <w:b/>
          <w:kern w:val="0"/>
          <w:sz w:val="28"/>
          <w:szCs w:val="28"/>
        </w:rPr>
      </w:pPr>
      <w:r w:rsidRPr="00201AAD">
        <w:rPr>
          <w:rFonts w:ascii="Times New Roman" w:eastAsia="新細明體" w:hAnsi="Times New Roman" w:cs="Times New Roman"/>
          <w:b/>
          <w:kern w:val="0"/>
          <w:sz w:val="28"/>
          <w:szCs w:val="28"/>
        </w:rPr>
        <w:t>C</w:t>
      </w:r>
      <w:r w:rsidR="004D04BE" w:rsidRPr="00201AAD">
        <w:rPr>
          <w:rFonts w:ascii="Times New Roman" w:hAnsi="Times New Roman" w:cs="Times New Roman"/>
          <w:b/>
          <w:kern w:val="0"/>
          <w:sz w:val="28"/>
          <w:szCs w:val="28"/>
        </w:rPr>
        <w:t>onclusion</w:t>
      </w:r>
    </w:p>
    <w:p w:rsidR="00943C58" w:rsidRPr="00201AAD" w:rsidRDefault="00943C58" w:rsidP="00943C58">
      <w:pPr>
        <w:autoSpaceDE w:val="0"/>
        <w:autoSpaceDN w:val="0"/>
        <w:adjustRightInd w:val="0"/>
        <w:spacing w:line="480" w:lineRule="auto"/>
        <w:jc w:val="both"/>
        <w:rPr>
          <w:rFonts w:ascii="Times New Roman" w:eastAsia="新細明體" w:hAnsi="Times New Roman" w:cs="Times New Roman"/>
          <w:b/>
          <w:kern w:val="0"/>
          <w:sz w:val="28"/>
          <w:szCs w:val="28"/>
        </w:rPr>
      </w:pPr>
      <w:r w:rsidRPr="00201AAD">
        <w:rPr>
          <w:rFonts w:ascii="Times New Roman" w:eastAsia="新細明體" w:hAnsi="Times New Roman" w:cs="Times New Roman"/>
          <w:kern w:val="0"/>
          <w:szCs w:val="24"/>
        </w:rPr>
        <w:t xml:space="preserve">  Intangible assets are difficult to assess and investors are likely to underestimate their importance of individual intangible assets and are even more likely to underestimate the value of combinations of intangible assets within a single portfolio. The Ranks-upgrade portfolio constructed for this study combined four intangible assets indicators and significantly outperformed any single indicator and all other combination portfolios, indicating that checking positive for more than one indicator provides additional positive benefits from intangible assets, but this can be difficult for investors to appreciate. </w:t>
      </w:r>
    </w:p>
    <w:p w:rsidR="009A19DB" w:rsidRPr="00201AAD" w:rsidRDefault="00943C58" w:rsidP="00943C58">
      <w:pPr>
        <w:autoSpaceDE w:val="0"/>
        <w:autoSpaceDN w:val="0"/>
        <w:adjustRightInd w:val="0"/>
        <w:spacing w:line="480" w:lineRule="auto"/>
        <w:jc w:val="both"/>
        <w:rPr>
          <w:rFonts w:ascii="Times New Roman" w:hAnsi="Times New Roman" w:cs="Times New Roman"/>
          <w:kern w:val="0"/>
          <w:szCs w:val="24"/>
        </w:rPr>
      </w:pPr>
      <w:r w:rsidRPr="00201AAD">
        <w:rPr>
          <w:rFonts w:ascii="Times New Roman" w:eastAsia="新細明體" w:hAnsi="Times New Roman" w:cs="Times New Roman"/>
          <w:kern w:val="0"/>
          <w:szCs w:val="24"/>
        </w:rPr>
        <w:t xml:space="preserve">  In investigating the relationship between intangible assets and corporate governance, we excluded firms marked by </w:t>
      </w:r>
      <w:r w:rsidRPr="00201AAD">
        <w:rPr>
          <w:rFonts w:ascii="Times New Roman" w:hAnsi="Times New Roman" w:cs="Times New Roman"/>
        </w:rPr>
        <w:t xml:space="preserve">product safety concerns and excessive compensation, with performance results outstripping those of the </w:t>
      </w:r>
      <w:r w:rsidRPr="00201AAD">
        <w:rPr>
          <w:rFonts w:ascii="Times New Roman" w:eastAsia="新細明體" w:hAnsi="Times New Roman" w:cs="Times New Roman"/>
          <w:kern w:val="0"/>
          <w:szCs w:val="24"/>
        </w:rPr>
        <w:t>Ranks-upgrade portfolio. This indicates that investors not only underestimate the value of intangible assets but also ignore the importance of corporate governance, and investment performance could potentially be improved by raising awareness of these issues.</w:t>
      </w:r>
    </w:p>
    <w:p w:rsidR="007230F8" w:rsidRDefault="007230F8" w:rsidP="000B4613">
      <w:pPr>
        <w:autoSpaceDE w:val="0"/>
        <w:autoSpaceDN w:val="0"/>
        <w:adjustRightInd w:val="0"/>
        <w:spacing w:line="0" w:lineRule="atLeast"/>
        <w:rPr>
          <w:rFonts w:ascii="Times New Roman" w:hAnsi="Times New Roman" w:cs="Times New Roman"/>
        </w:rPr>
      </w:pPr>
    </w:p>
    <w:p w:rsidR="00201AAD" w:rsidRDefault="00201AAD" w:rsidP="000B4613">
      <w:pPr>
        <w:autoSpaceDE w:val="0"/>
        <w:autoSpaceDN w:val="0"/>
        <w:adjustRightInd w:val="0"/>
        <w:spacing w:line="0" w:lineRule="atLeast"/>
        <w:rPr>
          <w:rFonts w:ascii="Times New Roman" w:hAnsi="Times New Roman" w:cs="Times New Roman"/>
          <w:kern w:val="0"/>
          <w:sz w:val="20"/>
          <w:szCs w:val="20"/>
        </w:rPr>
        <w:sectPr w:rsidR="00201AAD" w:rsidSect="00997C90">
          <w:endnotePr>
            <w:numFmt w:val="decimal"/>
          </w:endnotePr>
          <w:pgSz w:w="11906" w:h="16838"/>
          <w:pgMar w:top="1440" w:right="1800" w:bottom="1440" w:left="1800" w:header="851" w:footer="992" w:gutter="0"/>
          <w:cols w:space="425"/>
          <w:docGrid w:type="lines" w:linePitch="360"/>
        </w:sectPr>
      </w:pPr>
    </w:p>
    <w:p w:rsidR="00201AAD" w:rsidRPr="00201AAD" w:rsidRDefault="00201AAD" w:rsidP="000B4613">
      <w:pPr>
        <w:autoSpaceDE w:val="0"/>
        <w:autoSpaceDN w:val="0"/>
        <w:adjustRightInd w:val="0"/>
        <w:spacing w:line="0" w:lineRule="atLeast"/>
        <w:rPr>
          <w:rFonts w:ascii="Times New Roman" w:hAnsi="Times New Roman" w:cs="Times New Roman"/>
          <w:kern w:val="0"/>
          <w:sz w:val="20"/>
          <w:szCs w:val="20"/>
        </w:rPr>
      </w:pPr>
    </w:p>
    <w:p w:rsidR="005835A1" w:rsidRPr="00201AAD" w:rsidRDefault="005835A1" w:rsidP="007230F8">
      <w:pPr>
        <w:autoSpaceDE w:val="0"/>
        <w:autoSpaceDN w:val="0"/>
        <w:adjustRightInd w:val="0"/>
        <w:spacing w:line="0" w:lineRule="atLeast"/>
        <w:ind w:left="140" w:hangingChars="50" w:hanging="140"/>
        <w:rPr>
          <w:rFonts w:ascii="Times New Roman" w:hAnsi="Times New Roman" w:cs="Times New Roman"/>
          <w:b/>
          <w:kern w:val="0"/>
          <w:sz w:val="28"/>
          <w:szCs w:val="28"/>
        </w:rPr>
      </w:pPr>
      <w:r w:rsidRPr="00201AAD">
        <w:rPr>
          <w:rFonts w:ascii="Times New Roman" w:hAnsi="Times New Roman" w:cs="Times New Roman"/>
          <w:b/>
          <w:kern w:val="0"/>
          <w:sz w:val="28"/>
          <w:szCs w:val="28"/>
        </w:rPr>
        <w:t>R</w:t>
      </w:r>
      <w:r w:rsidR="007230F8" w:rsidRPr="00201AAD">
        <w:rPr>
          <w:rFonts w:ascii="Times New Roman" w:hAnsi="Times New Roman" w:cs="Times New Roman"/>
          <w:b/>
          <w:kern w:val="0"/>
          <w:sz w:val="28"/>
          <w:szCs w:val="28"/>
        </w:rPr>
        <w:t>eferences</w:t>
      </w:r>
    </w:p>
    <w:p w:rsidR="005835A1" w:rsidRPr="00201AAD" w:rsidRDefault="005835A1" w:rsidP="005835A1">
      <w:pPr>
        <w:autoSpaceDE w:val="0"/>
        <w:autoSpaceDN w:val="0"/>
        <w:adjustRightInd w:val="0"/>
        <w:spacing w:line="0" w:lineRule="atLeast"/>
        <w:ind w:left="140" w:hangingChars="50" w:hanging="140"/>
        <w:jc w:val="center"/>
        <w:rPr>
          <w:rFonts w:ascii="Times New Roman" w:hAnsi="Times New Roman" w:cs="Times New Roman"/>
          <w:b/>
          <w:kern w:val="0"/>
          <w:sz w:val="28"/>
          <w:szCs w:val="28"/>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Allen, G., S. </w:t>
      </w:r>
      <w:proofErr w:type="spellStart"/>
      <w:r w:rsidRPr="00201AAD">
        <w:rPr>
          <w:rFonts w:ascii="Times New Roman" w:hAnsi="Times New Roman" w:cs="Times New Roman"/>
          <w:kern w:val="0"/>
          <w:sz w:val="20"/>
          <w:szCs w:val="20"/>
        </w:rPr>
        <w:t>Kask</w:t>
      </w:r>
      <w:proofErr w:type="spellEnd"/>
      <w:r w:rsidRPr="00201AAD">
        <w:rPr>
          <w:rFonts w:ascii="Times New Roman" w:hAnsi="Times New Roman" w:cs="Times New Roman"/>
          <w:kern w:val="0"/>
          <w:sz w:val="20"/>
          <w:szCs w:val="20"/>
        </w:rPr>
        <w:t xml:space="preserve">. “Socially responsible firms: Financial and market performance.” </w:t>
      </w:r>
      <w:r w:rsidRPr="00201AAD">
        <w:rPr>
          <w:rFonts w:ascii="Times New Roman" w:hAnsi="Times New Roman" w:cs="Times New Roman"/>
          <w:iCs/>
          <w:kern w:val="0"/>
          <w:sz w:val="20"/>
          <w:szCs w:val="20"/>
        </w:rPr>
        <w:t xml:space="preserve">Journal of </w:t>
      </w:r>
      <w:r w:rsidRPr="00201AAD">
        <w:rPr>
          <w:rFonts w:ascii="Times New Roman" w:hAnsi="Times New Roman" w:cs="Times New Roman"/>
          <w:kern w:val="0"/>
          <w:sz w:val="20"/>
          <w:szCs w:val="20"/>
        </w:rPr>
        <w:t>Business and Economic Perspectives, Vol. 23, No. 2 (1997), pp. 86–96.</w:t>
      </w:r>
    </w:p>
    <w:p w:rsidR="00201AAD" w:rsidRPr="00201AAD" w:rsidRDefault="00201AAD" w:rsidP="00201AAD">
      <w:pPr>
        <w:autoSpaceDE w:val="0"/>
        <w:autoSpaceDN w:val="0"/>
        <w:adjustRightInd w:val="0"/>
        <w:spacing w:line="0" w:lineRule="atLeast"/>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Anderson, J., G. Smith. “A Great Company Can Be a Great Investment.” Financial Analysis Journal, Vol. 62, No. 4 (2006), pp. 86-93.</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iCs/>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Antunovich</w:t>
      </w:r>
      <w:proofErr w:type="spellEnd"/>
      <w:r w:rsidRPr="00201AAD">
        <w:rPr>
          <w:rFonts w:ascii="Times New Roman" w:hAnsi="Times New Roman" w:cs="Times New Roman"/>
          <w:kern w:val="0"/>
          <w:sz w:val="20"/>
          <w:szCs w:val="20"/>
        </w:rPr>
        <w:t xml:space="preserve">, P., D. S. Laster., S. </w:t>
      </w:r>
      <w:proofErr w:type="spellStart"/>
      <w:r w:rsidRPr="00201AAD">
        <w:rPr>
          <w:rFonts w:ascii="Times New Roman" w:hAnsi="Times New Roman" w:cs="Times New Roman"/>
          <w:kern w:val="0"/>
          <w:sz w:val="20"/>
          <w:szCs w:val="20"/>
        </w:rPr>
        <w:t>Mitnick</w:t>
      </w:r>
      <w:proofErr w:type="spellEnd"/>
      <w:r w:rsidRPr="00201AAD">
        <w:rPr>
          <w:rFonts w:ascii="Times New Roman" w:hAnsi="Times New Roman" w:cs="Times New Roman"/>
          <w:kern w:val="0"/>
          <w:sz w:val="20"/>
          <w:szCs w:val="20"/>
        </w:rPr>
        <w:t>. “Are high-quality firms also high-quality investments?” Current Issues in Economics and Finance, 6 (2000), pp. 1–6.</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Balachander</w:t>
      </w:r>
      <w:proofErr w:type="spellEnd"/>
      <w:r w:rsidRPr="00201AAD">
        <w:rPr>
          <w:rFonts w:ascii="Times New Roman" w:hAnsi="Times New Roman" w:cs="Times New Roman"/>
          <w:kern w:val="0"/>
          <w:sz w:val="20"/>
          <w:szCs w:val="20"/>
        </w:rPr>
        <w:t>, S., A. Stock. “Limited Edition Products: When and When Not to Offer Them.” Marketing Science, Vol. 28, No. 2 (2009), pp. 336–355.</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Ballou, B., N. H. Godwin., R. </w:t>
      </w:r>
      <w:proofErr w:type="spellStart"/>
      <w:r w:rsidRPr="00201AAD">
        <w:rPr>
          <w:rFonts w:ascii="Times New Roman" w:hAnsi="Times New Roman" w:cs="Times New Roman"/>
          <w:kern w:val="0"/>
          <w:sz w:val="20"/>
          <w:szCs w:val="20"/>
        </w:rPr>
        <w:t>Toppe</w:t>
      </w:r>
      <w:proofErr w:type="spellEnd"/>
      <w:r w:rsidRPr="00201AAD">
        <w:rPr>
          <w:rFonts w:ascii="Times New Roman" w:hAnsi="Times New Roman" w:cs="Times New Roman"/>
          <w:kern w:val="0"/>
          <w:sz w:val="20"/>
          <w:szCs w:val="20"/>
        </w:rPr>
        <w:t xml:space="preserve"> </w:t>
      </w:r>
      <w:proofErr w:type="spellStart"/>
      <w:r w:rsidRPr="00201AAD">
        <w:rPr>
          <w:rFonts w:ascii="Times New Roman" w:hAnsi="Times New Roman" w:cs="Times New Roman"/>
          <w:kern w:val="0"/>
          <w:sz w:val="20"/>
          <w:szCs w:val="20"/>
        </w:rPr>
        <w:t>Shortridge</w:t>
      </w:r>
      <w:proofErr w:type="spellEnd"/>
      <w:r w:rsidRPr="00201AAD">
        <w:rPr>
          <w:rFonts w:ascii="Times New Roman" w:hAnsi="Times New Roman" w:cs="Times New Roman"/>
          <w:kern w:val="0"/>
          <w:sz w:val="20"/>
          <w:szCs w:val="20"/>
        </w:rPr>
        <w:t>. “Firm Value and Employee Attitudes on Workplace Quality.” Accounting Horizons, Vol. 17, No, 4 (2003), pp. 329-341.</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Barnett, M. “Stakeholder Influence Capacity and the Variability of Financial Returns to Corporate Social Responsibility.” Academy of Management Review, Vol. 32, No. 3 (2008), pp. 794-816.</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sz w:val="20"/>
          <w:szCs w:val="20"/>
        </w:rPr>
      </w:pPr>
      <w:proofErr w:type="spellStart"/>
      <w:r w:rsidRPr="00201AAD">
        <w:rPr>
          <w:rFonts w:ascii="Times New Roman" w:hAnsi="Times New Roman" w:cs="Times New Roman"/>
          <w:sz w:val="20"/>
          <w:szCs w:val="20"/>
        </w:rPr>
        <w:t>Bodie</w:t>
      </w:r>
      <w:proofErr w:type="spellEnd"/>
      <w:r w:rsidRPr="00201AAD">
        <w:rPr>
          <w:rFonts w:ascii="Times New Roman" w:hAnsi="Times New Roman" w:cs="Times New Roman"/>
          <w:sz w:val="20"/>
          <w:szCs w:val="20"/>
        </w:rPr>
        <w:t xml:space="preserve">, Z., A. Kane., A. J. Marcus. </w:t>
      </w:r>
      <w:r w:rsidRPr="00201AAD">
        <w:rPr>
          <w:rFonts w:ascii="Times New Roman" w:hAnsi="Times New Roman" w:cs="Times New Roman"/>
          <w:iCs/>
          <w:sz w:val="20"/>
          <w:szCs w:val="20"/>
        </w:rPr>
        <w:t>Investments</w:t>
      </w:r>
      <w:r w:rsidRPr="00201AAD">
        <w:rPr>
          <w:rFonts w:ascii="Times New Roman" w:hAnsi="Times New Roman" w:cs="Times New Roman"/>
          <w:sz w:val="20"/>
          <w:szCs w:val="20"/>
        </w:rPr>
        <w:t xml:space="preserve">, 5th </w:t>
      </w:r>
      <w:proofErr w:type="gramStart"/>
      <w:r w:rsidRPr="00201AAD">
        <w:rPr>
          <w:rFonts w:ascii="Times New Roman" w:hAnsi="Times New Roman" w:cs="Times New Roman"/>
          <w:sz w:val="20"/>
          <w:szCs w:val="20"/>
        </w:rPr>
        <w:t>ed</w:t>
      </w:r>
      <w:proofErr w:type="gramEnd"/>
      <w:r w:rsidRPr="00201AAD">
        <w:rPr>
          <w:rFonts w:ascii="Times New Roman" w:hAnsi="Times New Roman" w:cs="Times New Roman"/>
          <w:sz w:val="20"/>
          <w:szCs w:val="20"/>
        </w:rPr>
        <w:t>. New York: McGraw-Hill, 2002.</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sz w:val="20"/>
          <w:szCs w:val="20"/>
        </w:rPr>
      </w:pPr>
      <w:r w:rsidRPr="00201AAD">
        <w:rPr>
          <w:rFonts w:ascii="Times New Roman" w:hAnsi="Times New Roman" w:cs="Times New Roman"/>
          <w:sz w:val="20"/>
          <w:szCs w:val="20"/>
        </w:rPr>
        <w:t xml:space="preserve">Boyle, M. “Happy People, Happy Returns.” </w:t>
      </w:r>
      <w:r w:rsidRPr="00201AAD">
        <w:rPr>
          <w:rFonts w:ascii="Times New Roman" w:hAnsi="Times New Roman" w:cs="Times New Roman"/>
          <w:iCs/>
          <w:sz w:val="20"/>
          <w:szCs w:val="20"/>
        </w:rPr>
        <w:t>Fortune</w:t>
      </w:r>
      <w:r w:rsidRPr="00201AAD">
        <w:rPr>
          <w:rFonts w:ascii="Times New Roman" w:hAnsi="Times New Roman" w:cs="Times New Roman"/>
          <w:sz w:val="20"/>
          <w:szCs w:val="20"/>
        </w:rPr>
        <w:t>, Vol. 153, No. 1 (2006), pp. 100-110.</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Brammer</w:t>
      </w:r>
      <w:proofErr w:type="spellEnd"/>
      <w:r w:rsidRPr="00201AAD">
        <w:rPr>
          <w:rFonts w:ascii="Times New Roman" w:hAnsi="Times New Roman" w:cs="Times New Roman"/>
          <w:kern w:val="0"/>
          <w:sz w:val="20"/>
          <w:szCs w:val="20"/>
        </w:rPr>
        <w:t xml:space="preserve">, S. J., C. Brooks., S. </w:t>
      </w:r>
      <w:proofErr w:type="spellStart"/>
      <w:r w:rsidRPr="00201AAD">
        <w:rPr>
          <w:rFonts w:ascii="Times New Roman" w:hAnsi="Times New Roman" w:cs="Times New Roman"/>
          <w:kern w:val="0"/>
          <w:sz w:val="20"/>
          <w:szCs w:val="20"/>
        </w:rPr>
        <w:t>Pavelin</w:t>
      </w:r>
      <w:proofErr w:type="spellEnd"/>
      <w:r w:rsidRPr="00201AAD">
        <w:rPr>
          <w:rFonts w:ascii="Times New Roman" w:hAnsi="Times New Roman" w:cs="Times New Roman"/>
          <w:kern w:val="0"/>
          <w:sz w:val="20"/>
          <w:szCs w:val="20"/>
        </w:rPr>
        <w:t>. “The stock performance of America’s 100 Best Corporate Citizens.” The Quarterly Review of Economics and Finance, 49 (2009), pp. 1065–1080.</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Brick, I. E., O. </w:t>
      </w:r>
      <w:proofErr w:type="spellStart"/>
      <w:r w:rsidRPr="00201AAD">
        <w:rPr>
          <w:rFonts w:ascii="Times New Roman" w:hAnsi="Times New Roman" w:cs="Times New Roman"/>
          <w:kern w:val="0"/>
          <w:sz w:val="20"/>
          <w:szCs w:val="20"/>
        </w:rPr>
        <w:t>Palmon</w:t>
      </w:r>
      <w:proofErr w:type="spellEnd"/>
      <w:r w:rsidRPr="00201AAD">
        <w:rPr>
          <w:rFonts w:ascii="Times New Roman" w:hAnsi="Times New Roman" w:cs="Times New Roman"/>
          <w:kern w:val="0"/>
          <w:sz w:val="20"/>
          <w:szCs w:val="20"/>
        </w:rPr>
        <w:t>., J. K. Wald. “CEO compensation, director compensation, and firm performance: Evidence of cronyism?” Journal of Corporate Finance, 12 (2006), pp. 403– 423.</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color w:val="231F20"/>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Castillo, M., J. Luis., R. J. </w:t>
      </w:r>
      <w:proofErr w:type="spellStart"/>
      <w:r w:rsidRPr="00201AAD">
        <w:rPr>
          <w:rFonts w:ascii="Times New Roman" w:hAnsi="Times New Roman" w:cs="Times New Roman"/>
          <w:kern w:val="0"/>
          <w:sz w:val="20"/>
          <w:szCs w:val="20"/>
        </w:rPr>
        <w:t>Calantone</w:t>
      </w:r>
      <w:proofErr w:type="spellEnd"/>
      <w:r w:rsidRPr="00201AAD">
        <w:rPr>
          <w:rFonts w:ascii="Times New Roman" w:hAnsi="Times New Roman" w:cs="Times New Roman"/>
          <w:kern w:val="0"/>
          <w:sz w:val="20"/>
          <w:szCs w:val="20"/>
        </w:rPr>
        <w:t>. “Product Quality and New Product Performance: The Role of Network Externalities and Switching Costs.” Journal of Product Innovation Management, Vol. 28, No. 6 (2011), pp. 915-929.</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color w:val="231F20"/>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Chung, S. Y., K. </w:t>
      </w:r>
      <w:proofErr w:type="spellStart"/>
      <w:r w:rsidRPr="00201AAD">
        <w:rPr>
          <w:rFonts w:ascii="Times New Roman" w:hAnsi="Times New Roman" w:cs="Times New Roman"/>
          <w:kern w:val="0"/>
          <w:sz w:val="20"/>
          <w:szCs w:val="20"/>
        </w:rPr>
        <w:t>Eneroth</w:t>
      </w:r>
      <w:proofErr w:type="spellEnd"/>
      <w:r w:rsidRPr="00201AAD">
        <w:rPr>
          <w:rFonts w:ascii="Times New Roman" w:hAnsi="Times New Roman" w:cs="Times New Roman"/>
          <w:kern w:val="0"/>
          <w:sz w:val="20"/>
          <w:szCs w:val="20"/>
        </w:rPr>
        <w:t xml:space="preserve">., T. </w:t>
      </w:r>
      <w:proofErr w:type="spellStart"/>
      <w:r w:rsidRPr="00201AAD">
        <w:rPr>
          <w:rFonts w:ascii="Times New Roman" w:hAnsi="Times New Roman" w:cs="Times New Roman"/>
          <w:kern w:val="0"/>
          <w:sz w:val="20"/>
          <w:szCs w:val="20"/>
        </w:rPr>
        <w:t>Schneeweis</w:t>
      </w:r>
      <w:proofErr w:type="spellEnd"/>
      <w:r w:rsidRPr="00201AAD">
        <w:rPr>
          <w:rFonts w:ascii="Times New Roman" w:hAnsi="Times New Roman" w:cs="Times New Roman"/>
          <w:kern w:val="0"/>
          <w:sz w:val="20"/>
          <w:szCs w:val="20"/>
        </w:rPr>
        <w:t xml:space="preserve">. “Corporate reputation and investment performance: The UK and </w:t>
      </w:r>
      <w:proofErr w:type="gramStart"/>
      <w:r w:rsidRPr="00201AAD">
        <w:rPr>
          <w:rFonts w:ascii="Times New Roman" w:hAnsi="Times New Roman" w:cs="Times New Roman"/>
          <w:kern w:val="0"/>
          <w:sz w:val="20"/>
          <w:szCs w:val="20"/>
        </w:rPr>
        <w:t>US</w:t>
      </w:r>
      <w:proofErr w:type="gramEnd"/>
      <w:r w:rsidRPr="00201AAD">
        <w:rPr>
          <w:rFonts w:ascii="Times New Roman" w:hAnsi="Times New Roman" w:cs="Times New Roman"/>
          <w:kern w:val="0"/>
          <w:sz w:val="20"/>
          <w:szCs w:val="20"/>
        </w:rPr>
        <w:t xml:space="preserve"> experience.” Research in International Business and Finance, 17 (2003), pp. 273–291.</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Core, J. E., R. W. </w:t>
      </w:r>
      <w:proofErr w:type="spellStart"/>
      <w:r w:rsidRPr="00201AAD">
        <w:rPr>
          <w:rFonts w:ascii="Times New Roman" w:hAnsi="Times New Roman" w:cs="Times New Roman"/>
          <w:kern w:val="0"/>
          <w:sz w:val="20"/>
          <w:szCs w:val="20"/>
        </w:rPr>
        <w:t>Holthausen</w:t>
      </w:r>
      <w:proofErr w:type="spellEnd"/>
      <w:r w:rsidRPr="00201AAD">
        <w:rPr>
          <w:rFonts w:ascii="Times New Roman" w:hAnsi="Times New Roman" w:cs="Times New Roman"/>
          <w:kern w:val="0"/>
          <w:sz w:val="20"/>
          <w:szCs w:val="20"/>
        </w:rPr>
        <w:t xml:space="preserve">., D. F. </w:t>
      </w:r>
      <w:proofErr w:type="spellStart"/>
      <w:r w:rsidRPr="00201AAD">
        <w:rPr>
          <w:rFonts w:ascii="Times New Roman" w:hAnsi="Times New Roman" w:cs="Times New Roman"/>
          <w:kern w:val="0"/>
          <w:sz w:val="20"/>
          <w:szCs w:val="20"/>
        </w:rPr>
        <w:t>Larcker</w:t>
      </w:r>
      <w:proofErr w:type="spellEnd"/>
      <w:r w:rsidRPr="00201AAD">
        <w:rPr>
          <w:rFonts w:ascii="Times New Roman" w:hAnsi="Times New Roman" w:cs="Times New Roman"/>
          <w:kern w:val="0"/>
          <w:sz w:val="20"/>
          <w:szCs w:val="20"/>
        </w:rPr>
        <w:t>. “Corporate governance, chief executive officer compensation, and firm performance.” Journal of Financial Economics, 51 (1999), pp. 371-406.</w:t>
      </w:r>
    </w:p>
    <w:p w:rsidR="00201AAD" w:rsidRPr="00201AAD" w:rsidRDefault="00201AAD" w:rsidP="00201AAD">
      <w:pPr>
        <w:autoSpaceDE w:val="0"/>
        <w:autoSpaceDN w:val="0"/>
        <w:adjustRightInd w:val="0"/>
        <w:spacing w:line="0" w:lineRule="atLeast"/>
        <w:rPr>
          <w:rFonts w:ascii="Times New Roman" w:hAnsi="Times New Roman" w:cs="Times New Roman"/>
          <w:kern w:val="0"/>
          <w:szCs w:val="24"/>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Dinusha</w:t>
      </w:r>
      <w:proofErr w:type="spellEnd"/>
      <w:r w:rsidRPr="00201AAD">
        <w:rPr>
          <w:rFonts w:ascii="Times New Roman" w:hAnsi="Times New Roman" w:cs="Times New Roman"/>
          <w:kern w:val="0"/>
          <w:sz w:val="20"/>
          <w:szCs w:val="20"/>
        </w:rPr>
        <w:t>, P</w:t>
      </w:r>
      <w:proofErr w:type="gramStart"/>
      <w:r w:rsidRPr="00201AAD">
        <w:rPr>
          <w:rFonts w:ascii="Times New Roman" w:hAnsi="Times New Roman" w:cs="Times New Roman"/>
          <w:kern w:val="0"/>
          <w:sz w:val="20"/>
          <w:szCs w:val="20"/>
        </w:rPr>
        <w:t>,.</w:t>
      </w:r>
      <w:proofErr w:type="gramEnd"/>
      <w:r w:rsidRPr="00201AAD">
        <w:rPr>
          <w:rFonts w:ascii="Times New Roman" w:hAnsi="Times New Roman" w:cs="Times New Roman"/>
          <w:kern w:val="0"/>
          <w:sz w:val="20"/>
          <w:szCs w:val="20"/>
        </w:rPr>
        <w:t xml:space="preserve"> J. Evans. </w:t>
      </w:r>
      <w:bookmarkStart w:id="1" w:name="citation"/>
      <w:r w:rsidRPr="00201AAD">
        <w:rPr>
          <w:rFonts w:ascii="Times New Roman" w:hAnsi="Times New Roman" w:cs="Times New Roman"/>
          <w:kern w:val="0"/>
          <w:sz w:val="20"/>
          <w:szCs w:val="20"/>
        </w:rPr>
        <w:t xml:space="preserve">“The Relationship </w:t>
      </w:r>
      <w:proofErr w:type="gramStart"/>
      <w:r w:rsidRPr="00201AAD">
        <w:rPr>
          <w:rFonts w:ascii="Times New Roman" w:hAnsi="Times New Roman" w:cs="Times New Roman"/>
          <w:kern w:val="0"/>
          <w:sz w:val="20"/>
          <w:szCs w:val="20"/>
        </w:rPr>
        <w:t>Between</w:t>
      </w:r>
      <w:proofErr w:type="gramEnd"/>
      <w:r w:rsidRPr="00201AAD">
        <w:rPr>
          <w:rFonts w:ascii="Times New Roman" w:hAnsi="Times New Roman" w:cs="Times New Roman"/>
          <w:kern w:val="0"/>
          <w:sz w:val="20"/>
          <w:szCs w:val="20"/>
        </w:rPr>
        <w:t xml:space="preserve"> Environmental Social Governance Factors and U.S. Stock Performance</w:t>
      </w:r>
      <w:bookmarkEnd w:id="1"/>
      <w:r w:rsidRPr="00201AAD">
        <w:rPr>
          <w:rFonts w:ascii="Times New Roman" w:hAnsi="Times New Roman" w:cs="Times New Roman"/>
          <w:kern w:val="0"/>
          <w:sz w:val="20"/>
          <w:szCs w:val="20"/>
        </w:rPr>
        <w:t>.” Journal of Investing, Vol. 19, No. 3 (2010), pp. 104-112.</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Dub</w:t>
      </w:r>
      <m:oMath>
        <m:acc>
          <m:accPr>
            <m:chr m:val="́"/>
            <m:ctrlPr>
              <w:rPr>
                <w:rFonts w:ascii="Cambria Math" w:hAnsi="Cambria Math" w:cs="Times New Roman"/>
                <w:kern w:val="0"/>
                <w:sz w:val="20"/>
                <w:szCs w:val="20"/>
              </w:rPr>
            </m:ctrlPr>
          </m:accPr>
          <m:e>
            <m:r>
              <m:rPr>
                <m:sty m:val="p"/>
              </m:rPr>
              <w:rPr>
                <w:rFonts w:ascii="Cambria Math" w:hAnsi="Cambria Math" w:cs="Times New Roman"/>
                <w:kern w:val="0"/>
                <w:sz w:val="20"/>
                <w:szCs w:val="20"/>
              </w:rPr>
              <m:t>e</m:t>
            </m:r>
          </m:e>
        </m:acc>
      </m:oMath>
      <w:r w:rsidRPr="00201AAD">
        <w:rPr>
          <w:rFonts w:ascii="Times New Roman" w:hAnsi="Times New Roman" w:cs="Times New Roman"/>
          <w:kern w:val="0"/>
          <w:sz w:val="20"/>
          <w:szCs w:val="20"/>
        </w:rPr>
        <w:t xml:space="preserve">, J. P., G. J. </w:t>
      </w:r>
      <w:proofErr w:type="spellStart"/>
      <w:r w:rsidRPr="00201AAD">
        <w:rPr>
          <w:rFonts w:ascii="Times New Roman" w:hAnsi="Times New Roman" w:cs="Times New Roman"/>
          <w:kern w:val="0"/>
          <w:sz w:val="20"/>
          <w:szCs w:val="20"/>
        </w:rPr>
        <w:t>Hitsch</w:t>
      </w:r>
      <w:proofErr w:type="spellEnd"/>
      <w:r w:rsidRPr="00201AAD">
        <w:rPr>
          <w:rFonts w:ascii="Times New Roman" w:hAnsi="Times New Roman" w:cs="Times New Roman"/>
          <w:kern w:val="0"/>
          <w:sz w:val="20"/>
          <w:szCs w:val="20"/>
        </w:rPr>
        <w:t xml:space="preserve">., P. E. Rossi., </w:t>
      </w:r>
      <w:proofErr w:type="gramStart"/>
      <w:r w:rsidRPr="00201AAD">
        <w:rPr>
          <w:rFonts w:ascii="Times New Roman" w:hAnsi="Times New Roman" w:cs="Times New Roman"/>
          <w:kern w:val="0"/>
          <w:sz w:val="20"/>
          <w:szCs w:val="20"/>
        </w:rPr>
        <w:t>M</w:t>
      </w:r>
      <w:proofErr w:type="gramEnd"/>
      <w:r w:rsidRPr="00201AAD">
        <w:rPr>
          <w:rFonts w:ascii="Times New Roman" w:hAnsi="Times New Roman" w:cs="Times New Roman"/>
          <w:kern w:val="0"/>
          <w:sz w:val="20"/>
          <w:szCs w:val="20"/>
        </w:rPr>
        <w:t xml:space="preserve">. A. </w:t>
      </w:r>
      <w:proofErr w:type="spellStart"/>
      <w:r w:rsidRPr="00201AAD">
        <w:rPr>
          <w:rFonts w:ascii="Times New Roman" w:hAnsi="Times New Roman" w:cs="Times New Roman"/>
          <w:kern w:val="0"/>
          <w:sz w:val="20"/>
          <w:szCs w:val="20"/>
        </w:rPr>
        <w:t>Vitorino</w:t>
      </w:r>
      <w:proofErr w:type="spellEnd"/>
      <w:r w:rsidRPr="00201AAD">
        <w:rPr>
          <w:rFonts w:ascii="Times New Roman" w:hAnsi="Times New Roman" w:cs="Times New Roman"/>
          <w:kern w:val="0"/>
          <w:sz w:val="20"/>
          <w:szCs w:val="20"/>
        </w:rPr>
        <w:t>. “Category Pricing with State-Dependent Utility.” Marketing Science, Vol. 27, No. 3 (2008), pp. 417–429.</w:t>
      </w:r>
    </w:p>
    <w:p w:rsidR="00201AAD" w:rsidRPr="00201AAD" w:rsidRDefault="00201AAD" w:rsidP="00201AAD">
      <w:pPr>
        <w:autoSpaceDE w:val="0"/>
        <w:autoSpaceDN w:val="0"/>
        <w:adjustRightInd w:val="0"/>
        <w:spacing w:line="0" w:lineRule="atLeast"/>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Erdem</w:t>
      </w:r>
      <w:proofErr w:type="spellEnd"/>
      <w:r w:rsidRPr="00201AAD">
        <w:rPr>
          <w:rFonts w:ascii="Times New Roman" w:hAnsi="Times New Roman" w:cs="Times New Roman"/>
          <w:kern w:val="0"/>
          <w:sz w:val="20"/>
          <w:szCs w:val="20"/>
        </w:rPr>
        <w:t xml:space="preserve">, T., J. </w:t>
      </w:r>
      <w:proofErr w:type="spellStart"/>
      <w:r w:rsidRPr="00201AAD">
        <w:rPr>
          <w:rFonts w:ascii="Times New Roman" w:hAnsi="Times New Roman" w:cs="Times New Roman"/>
          <w:kern w:val="0"/>
          <w:sz w:val="20"/>
          <w:szCs w:val="20"/>
        </w:rPr>
        <w:t>Swait</w:t>
      </w:r>
      <w:proofErr w:type="spellEnd"/>
      <w:r w:rsidRPr="00201AAD">
        <w:rPr>
          <w:rFonts w:ascii="Times New Roman" w:hAnsi="Times New Roman" w:cs="Times New Roman"/>
          <w:kern w:val="0"/>
          <w:sz w:val="20"/>
          <w:szCs w:val="20"/>
        </w:rPr>
        <w:t>., A. Valenzuela. “Brands as Signals: A Cross Country Validation Study.” Journal of Marketing, 70 (January 2006), pp. 34–49.</w:t>
      </w:r>
    </w:p>
    <w:p w:rsidR="00201AAD" w:rsidRPr="00201AAD" w:rsidRDefault="00201AAD" w:rsidP="00201AAD">
      <w:pPr>
        <w:autoSpaceDE w:val="0"/>
        <w:autoSpaceDN w:val="0"/>
        <w:adjustRightInd w:val="0"/>
        <w:spacing w:line="0" w:lineRule="atLeast"/>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Filbeck</w:t>
      </w:r>
      <w:proofErr w:type="spellEnd"/>
      <w:r w:rsidRPr="00201AAD">
        <w:rPr>
          <w:rFonts w:ascii="Times New Roman" w:hAnsi="Times New Roman" w:cs="Times New Roman"/>
          <w:kern w:val="0"/>
          <w:sz w:val="20"/>
          <w:szCs w:val="20"/>
        </w:rPr>
        <w:t xml:space="preserve">, G., R. Gorman., D. </w:t>
      </w:r>
      <w:proofErr w:type="spellStart"/>
      <w:r w:rsidRPr="00201AAD">
        <w:rPr>
          <w:rFonts w:ascii="Times New Roman" w:hAnsi="Times New Roman" w:cs="Times New Roman"/>
          <w:kern w:val="0"/>
          <w:sz w:val="20"/>
          <w:szCs w:val="20"/>
        </w:rPr>
        <w:t>Preece</w:t>
      </w:r>
      <w:proofErr w:type="spellEnd"/>
      <w:r w:rsidRPr="00201AAD">
        <w:rPr>
          <w:rFonts w:ascii="Times New Roman" w:hAnsi="Times New Roman" w:cs="Times New Roman"/>
          <w:kern w:val="0"/>
          <w:sz w:val="20"/>
          <w:szCs w:val="20"/>
        </w:rPr>
        <w:t>. “Fortune’s most admired firms: An investor’s perspective.” Studies in Economics and Finance, 18 (1997), pp. 74–93.</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iCs/>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Filbeck</w:t>
      </w:r>
      <w:proofErr w:type="spellEnd"/>
      <w:r w:rsidRPr="00201AAD">
        <w:rPr>
          <w:rFonts w:ascii="Times New Roman" w:hAnsi="Times New Roman" w:cs="Times New Roman"/>
          <w:kern w:val="0"/>
          <w:sz w:val="20"/>
          <w:szCs w:val="20"/>
        </w:rPr>
        <w:t xml:space="preserve">, G., D. </w:t>
      </w:r>
      <w:proofErr w:type="spellStart"/>
      <w:r w:rsidRPr="00201AAD">
        <w:rPr>
          <w:rFonts w:ascii="Times New Roman" w:hAnsi="Times New Roman" w:cs="Times New Roman"/>
          <w:kern w:val="0"/>
          <w:sz w:val="20"/>
          <w:szCs w:val="20"/>
        </w:rPr>
        <w:t>Preece</w:t>
      </w:r>
      <w:proofErr w:type="spellEnd"/>
      <w:r w:rsidRPr="00201AAD">
        <w:rPr>
          <w:rFonts w:ascii="Times New Roman" w:hAnsi="Times New Roman" w:cs="Times New Roman"/>
          <w:kern w:val="0"/>
          <w:sz w:val="20"/>
          <w:szCs w:val="20"/>
        </w:rPr>
        <w:t>. “Announcement effects of the working mother annual survey of family-friendly firms.” Journal of Investing, Vol. 12, No. 3 (2003a), pp. 87–95.</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iCs/>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Fulmer, I. S., B. Gerhart., K. S. Scott. “Are the 100 Best Better? An Empirical Investigation of the Relationship </w:t>
      </w:r>
      <w:proofErr w:type="gramStart"/>
      <w:r w:rsidRPr="00201AAD">
        <w:rPr>
          <w:rFonts w:ascii="Times New Roman" w:hAnsi="Times New Roman" w:cs="Times New Roman"/>
          <w:kern w:val="0"/>
          <w:sz w:val="20"/>
          <w:szCs w:val="20"/>
        </w:rPr>
        <w:t>Between</w:t>
      </w:r>
      <w:proofErr w:type="gramEnd"/>
      <w:r w:rsidRPr="00201AAD">
        <w:rPr>
          <w:rFonts w:ascii="Times New Roman" w:hAnsi="Times New Roman" w:cs="Times New Roman"/>
          <w:kern w:val="0"/>
          <w:sz w:val="20"/>
          <w:szCs w:val="20"/>
        </w:rPr>
        <w:t xml:space="preserve"> Being a ‘Great Place to Work’ and Firm Performance.” Personnel Psychology, Vol. 56, No. 4 (2003), pp. 965-973.</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Huselid</w:t>
      </w:r>
      <w:proofErr w:type="spellEnd"/>
      <w:r w:rsidRPr="00201AAD">
        <w:rPr>
          <w:rFonts w:ascii="Times New Roman" w:hAnsi="Times New Roman" w:cs="Times New Roman"/>
          <w:kern w:val="0"/>
          <w:sz w:val="20"/>
          <w:szCs w:val="20"/>
        </w:rPr>
        <w:t>, M. A. “The Impact of Human Resource Management Practices on Turnover, Productivity, and Corporate Financial Performance.” Academy of Management Journal, Vol. 38, No. 3 (1995), pp. 635-672.</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Jensen, M. C. “The Performance of Mutual Funds in the Period 1945-1964.” Journal of Finance, Vol. 23, No. 2 (1968), pp. 389-416.</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Kerin</w:t>
      </w:r>
      <w:proofErr w:type="spellEnd"/>
      <w:r w:rsidRPr="00201AAD">
        <w:rPr>
          <w:rFonts w:ascii="Times New Roman" w:hAnsi="Times New Roman" w:cs="Times New Roman"/>
          <w:kern w:val="0"/>
          <w:sz w:val="20"/>
          <w:szCs w:val="20"/>
        </w:rPr>
        <w:t xml:space="preserve">, R. A., R. </w:t>
      </w:r>
      <w:proofErr w:type="spellStart"/>
      <w:r w:rsidRPr="00201AAD">
        <w:rPr>
          <w:rFonts w:ascii="Times New Roman" w:hAnsi="Times New Roman" w:cs="Times New Roman"/>
          <w:kern w:val="0"/>
          <w:sz w:val="20"/>
          <w:szCs w:val="20"/>
        </w:rPr>
        <w:t>Sethuraman</w:t>
      </w:r>
      <w:proofErr w:type="spellEnd"/>
      <w:r w:rsidRPr="00201AAD">
        <w:rPr>
          <w:rFonts w:ascii="Times New Roman" w:hAnsi="Times New Roman" w:cs="Times New Roman"/>
          <w:kern w:val="0"/>
          <w:sz w:val="20"/>
          <w:szCs w:val="20"/>
        </w:rPr>
        <w:t>. “Exploring the brand value-shareholder value nexus for consumer goods companies.” Journal of the Academy of Marketing Science, 26 (1998), pp. 260–273.</w:t>
      </w:r>
    </w:p>
    <w:p w:rsidR="00201AAD" w:rsidRPr="00201AAD" w:rsidRDefault="00201AAD" w:rsidP="00201AAD">
      <w:pPr>
        <w:autoSpaceDE w:val="0"/>
        <w:autoSpaceDN w:val="0"/>
        <w:adjustRightInd w:val="0"/>
        <w:spacing w:line="0" w:lineRule="atLeast"/>
        <w:jc w:val="both"/>
        <w:rPr>
          <w:rFonts w:ascii="Times New Roman" w:hAnsi="Times New Roman" w:cs="Times New Roman"/>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 xml:space="preserve">Madden, T. J., F. </w:t>
      </w:r>
      <w:proofErr w:type="spellStart"/>
      <w:r w:rsidRPr="00201AAD">
        <w:rPr>
          <w:rFonts w:ascii="Times New Roman" w:hAnsi="Times New Roman" w:cs="Times New Roman"/>
          <w:kern w:val="0"/>
          <w:sz w:val="20"/>
          <w:szCs w:val="20"/>
        </w:rPr>
        <w:t>Fehle</w:t>
      </w:r>
      <w:proofErr w:type="spellEnd"/>
      <w:r w:rsidRPr="00201AAD">
        <w:rPr>
          <w:rFonts w:ascii="Times New Roman" w:hAnsi="Times New Roman" w:cs="Times New Roman"/>
          <w:kern w:val="0"/>
          <w:sz w:val="20"/>
          <w:szCs w:val="20"/>
        </w:rPr>
        <w:t xml:space="preserve">., </w:t>
      </w:r>
      <w:proofErr w:type="gramStart"/>
      <w:r w:rsidRPr="00201AAD">
        <w:rPr>
          <w:rFonts w:ascii="Times New Roman" w:hAnsi="Times New Roman" w:cs="Times New Roman"/>
          <w:kern w:val="0"/>
          <w:sz w:val="20"/>
          <w:szCs w:val="20"/>
        </w:rPr>
        <w:t>S</w:t>
      </w:r>
      <w:proofErr w:type="gramEnd"/>
      <w:r w:rsidRPr="00201AAD">
        <w:rPr>
          <w:rFonts w:ascii="Times New Roman" w:hAnsi="Times New Roman" w:cs="Times New Roman"/>
          <w:kern w:val="0"/>
          <w:sz w:val="20"/>
          <w:szCs w:val="20"/>
        </w:rPr>
        <w:t>. M. Fournier. “Brands matter: an empirical demonstration of the creation of shareholder value through branding.” Journal of the Academy of Marketing Science, 34 (2006), pp. 224–235.</w:t>
      </w:r>
    </w:p>
    <w:p w:rsidR="00201AAD" w:rsidRPr="00201AAD" w:rsidRDefault="00201AAD" w:rsidP="00201AAD">
      <w:pPr>
        <w:autoSpaceDE w:val="0"/>
        <w:autoSpaceDN w:val="0"/>
        <w:adjustRightInd w:val="0"/>
        <w:spacing w:line="0" w:lineRule="atLeast"/>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Mitra</w:t>
      </w:r>
      <w:proofErr w:type="spellEnd"/>
      <w:r w:rsidRPr="00201AAD">
        <w:rPr>
          <w:rFonts w:ascii="Times New Roman" w:hAnsi="Times New Roman" w:cs="Times New Roman"/>
          <w:kern w:val="0"/>
          <w:sz w:val="20"/>
          <w:szCs w:val="20"/>
        </w:rPr>
        <w:t>, D., P. N. Golder. “How Does Objective Quality Affect Perceived Quality? Short-Term Effects, Long-Term Effects, and Asymmetries.” Marketing Science, Vol. 25, No. 3 (2006), pp. 230–247.</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Modigliani, F., L. Modigliani. “Risk Adjusted Performance.” Journal of Portfolio Management, Vol. 23, No. 2 (1997), pp. 45-54.</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Shaffer, G., J. Z. Zhang. “Competitive One-to-One Promotions.” Management Science, Vol. 48, No. 9 (2002), pp. 1143–1160.</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rPr>
          <w:rFonts w:ascii="Times New Roman" w:hAnsi="Times New Roman" w:cs="Times New Roman"/>
          <w:sz w:val="20"/>
          <w:szCs w:val="20"/>
        </w:rPr>
      </w:pPr>
      <w:r w:rsidRPr="00201AAD">
        <w:rPr>
          <w:rFonts w:ascii="Times New Roman" w:hAnsi="Times New Roman" w:cs="Times New Roman"/>
          <w:sz w:val="20"/>
          <w:szCs w:val="20"/>
        </w:rPr>
        <w:t xml:space="preserve">Sharpe, W. F. “Mutual Fund Performance.” </w:t>
      </w:r>
      <w:r w:rsidRPr="00201AAD">
        <w:rPr>
          <w:rFonts w:ascii="Times New Roman" w:hAnsi="Times New Roman" w:cs="Times New Roman"/>
          <w:iCs/>
          <w:sz w:val="20"/>
          <w:szCs w:val="20"/>
        </w:rPr>
        <w:t>Journal of Business</w:t>
      </w:r>
      <w:r w:rsidRPr="00201AAD">
        <w:rPr>
          <w:rFonts w:ascii="Times New Roman" w:hAnsi="Times New Roman" w:cs="Times New Roman"/>
          <w:sz w:val="20"/>
          <w:szCs w:val="20"/>
        </w:rPr>
        <w:t>, Vol. 39, No. 1 (1966), pp. 119-138.</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r w:rsidRPr="00201AAD">
        <w:rPr>
          <w:rFonts w:ascii="Times New Roman" w:hAnsi="Times New Roman" w:cs="Times New Roman"/>
          <w:kern w:val="0"/>
          <w:sz w:val="20"/>
          <w:szCs w:val="20"/>
        </w:rPr>
        <w:t>Simon, C. J., M. W. Sullivan. "The Measurement and Determination of Brand Equity: A Financial Approach.” Marketing Science, 12 (1993), pp. 28–52.</w:t>
      </w:r>
    </w:p>
    <w:p w:rsidR="00201AAD" w:rsidRPr="00201AAD" w:rsidRDefault="00201AAD" w:rsidP="00201AAD">
      <w:pPr>
        <w:autoSpaceDE w:val="0"/>
        <w:autoSpaceDN w:val="0"/>
        <w:adjustRightInd w:val="0"/>
        <w:spacing w:line="0" w:lineRule="atLeast"/>
        <w:ind w:left="100" w:hangingChars="50" w:hanging="100"/>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Statman</w:t>
      </w:r>
      <w:proofErr w:type="spellEnd"/>
      <w:r w:rsidRPr="00201AAD">
        <w:rPr>
          <w:rFonts w:ascii="Times New Roman" w:hAnsi="Times New Roman" w:cs="Times New Roman"/>
          <w:kern w:val="0"/>
          <w:sz w:val="20"/>
          <w:szCs w:val="20"/>
        </w:rPr>
        <w:t xml:space="preserve">, M., D. </w:t>
      </w:r>
      <w:proofErr w:type="spellStart"/>
      <w:r w:rsidRPr="00201AAD">
        <w:rPr>
          <w:rFonts w:ascii="Times New Roman" w:hAnsi="Times New Roman" w:cs="Times New Roman"/>
          <w:kern w:val="0"/>
          <w:sz w:val="20"/>
          <w:szCs w:val="20"/>
        </w:rPr>
        <w:t>Glushkov</w:t>
      </w:r>
      <w:proofErr w:type="spellEnd"/>
      <w:r w:rsidRPr="00201AAD">
        <w:rPr>
          <w:rFonts w:ascii="Times New Roman" w:hAnsi="Times New Roman" w:cs="Times New Roman"/>
          <w:kern w:val="0"/>
          <w:sz w:val="20"/>
          <w:szCs w:val="20"/>
        </w:rPr>
        <w:t xml:space="preserve">. “The Wages of Social Responsibility.” Financial Analysts Journal, Vol. 64, No. 4 (2009), pp. 33-46. </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Treynor</w:t>
      </w:r>
      <w:proofErr w:type="spellEnd"/>
      <w:r w:rsidRPr="00201AAD">
        <w:rPr>
          <w:rFonts w:ascii="Times New Roman" w:hAnsi="Times New Roman" w:cs="Times New Roman"/>
          <w:kern w:val="0"/>
          <w:sz w:val="20"/>
          <w:szCs w:val="20"/>
        </w:rPr>
        <w:t>, J. L. “How to Rate Management Investment Funds.” Harvard Business Review, Vol. 43, No. 1 (1965), pp. 63-75.</w:t>
      </w:r>
    </w:p>
    <w:p w:rsidR="00201AAD" w:rsidRPr="00201AAD" w:rsidRDefault="00201AAD" w:rsidP="00201AAD">
      <w:pPr>
        <w:autoSpaceDE w:val="0"/>
        <w:autoSpaceDN w:val="0"/>
        <w:adjustRightInd w:val="0"/>
        <w:spacing w:line="0" w:lineRule="atLeast"/>
        <w:ind w:left="100" w:hangingChars="50" w:hanging="100"/>
        <w:jc w:val="both"/>
        <w:rPr>
          <w:rFonts w:ascii="Times New Roman" w:hAnsi="Times New Roman" w:cs="Times New Roman"/>
          <w:kern w:val="0"/>
          <w:sz w:val="20"/>
          <w:szCs w:val="20"/>
        </w:rPr>
      </w:pPr>
    </w:p>
    <w:p w:rsidR="00201AAD" w:rsidRPr="00201AAD" w:rsidRDefault="00201AAD" w:rsidP="00201AAD">
      <w:pPr>
        <w:pStyle w:val="ac"/>
        <w:numPr>
          <w:ilvl w:val="0"/>
          <w:numId w:val="3"/>
        </w:numPr>
        <w:autoSpaceDE w:val="0"/>
        <w:autoSpaceDN w:val="0"/>
        <w:adjustRightInd w:val="0"/>
        <w:spacing w:line="0" w:lineRule="atLeast"/>
        <w:ind w:leftChars="0"/>
        <w:jc w:val="both"/>
        <w:rPr>
          <w:rFonts w:ascii="Times New Roman" w:hAnsi="Times New Roman" w:cs="Times New Roman"/>
          <w:kern w:val="0"/>
          <w:sz w:val="20"/>
          <w:szCs w:val="20"/>
        </w:rPr>
      </w:pPr>
      <w:proofErr w:type="spellStart"/>
      <w:r w:rsidRPr="00201AAD">
        <w:rPr>
          <w:rFonts w:ascii="Times New Roman" w:hAnsi="Times New Roman" w:cs="Times New Roman"/>
          <w:kern w:val="0"/>
          <w:sz w:val="20"/>
          <w:szCs w:val="20"/>
        </w:rPr>
        <w:t>Waddock</w:t>
      </w:r>
      <w:proofErr w:type="spellEnd"/>
      <w:r w:rsidRPr="00201AAD">
        <w:rPr>
          <w:rFonts w:ascii="Times New Roman" w:hAnsi="Times New Roman" w:cs="Times New Roman"/>
          <w:kern w:val="0"/>
          <w:sz w:val="20"/>
          <w:szCs w:val="20"/>
        </w:rPr>
        <w:t>, S. A., S. B. Graves. Assessing the link between corporate governance and social/financial performance. International association for business and society conference proceedings, 1999.</w:t>
      </w:r>
    </w:p>
    <w:p w:rsidR="004902EA" w:rsidRPr="00201AAD" w:rsidRDefault="004902EA" w:rsidP="000145AF">
      <w:pPr>
        <w:ind w:left="100" w:hangingChars="50" w:hanging="100"/>
        <w:rPr>
          <w:rFonts w:ascii="Times New Roman" w:hAnsi="Times New Roman" w:cs="Times New Roman"/>
          <w:iCs/>
          <w:kern w:val="0"/>
          <w:sz w:val="20"/>
          <w:szCs w:val="20"/>
        </w:rPr>
        <w:sectPr w:rsidR="004902EA" w:rsidRPr="00201AAD" w:rsidSect="00997C90">
          <w:endnotePr>
            <w:numFmt w:val="decimal"/>
          </w:endnotePr>
          <w:pgSz w:w="11906" w:h="16838"/>
          <w:pgMar w:top="1440" w:right="1800" w:bottom="1440" w:left="1800" w:header="851" w:footer="992" w:gutter="0"/>
          <w:cols w:space="425"/>
          <w:docGrid w:type="lines" w:linePitch="360"/>
        </w:sectPr>
      </w:pPr>
    </w:p>
    <w:p w:rsidR="00555626" w:rsidRPr="00201AAD" w:rsidRDefault="00167F25" w:rsidP="00201AAD">
      <w:pPr>
        <w:autoSpaceDE w:val="0"/>
        <w:autoSpaceDN w:val="0"/>
        <w:adjustRightInd w:val="0"/>
        <w:jc w:val="center"/>
        <w:rPr>
          <w:rFonts w:ascii="Times New Roman" w:hAnsi="Times New Roman" w:cs="Times New Roman"/>
          <w:b/>
          <w:sz w:val="28"/>
          <w:szCs w:val="28"/>
        </w:rPr>
      </w:pPr>
      <w:r w:rsidRPr="00201AAD">
        <w:rPr>
          <w:rFonts w:ascii="Times New Roman" w:hAnsi="Times New Roman" w:cs="Times New Roman"/>
          <w:b/>
          <w:sz w:val="28"/>
          <w:szCs w:val="28"/>
        </w:rPr>
        <w:t>Table</w:t>
      </w:r>
      <w:r w:rsidR="00555626" w:rsidRPr="00201AAD">
        <w:rPr>
          <w:rFonts w:ascii="Times New Roman" w:hAnsi="Times New Roman" w:cs="Times New Roman"/>
          <w:b/>
          <w:sz w:val="28"/>
          <w:szCs w:val="28"/>
        </w:rPr>
        <w:t xml:space="preserve"> 1</w:t>
      </w:r>
      <w:r w:rsidR="00835F5E" w:rsidRPr="00201AAD">
        <w:rPr>
          <w:rFonts w:ascii="Times New Roman" w:hAnsi="Times New Roman" w:cs="Times New Roman"/>
          <w:b/>
          <w:sz w:val="28"/>
          <w:szCs w:val="28"/>
        </w:rPr>
        <w:t>:</w:t>
      </w:r>
      <w:r w:rsidRPr="00201AAD">
        <w:rPr>
          <w:rFonts w:ascii="Times New Roman" w:hAnsi="Times New Roman" w:cs="Times New Roman"/>
          <w:b/>
          <w:sz w:val="28"/>
          <w:szCs w:val="28"/>
        </w:rPr>
        <w:t xml:space="preserve"> </w:t>
      </w:r>
      <w:r w:rsidR="00555626" w:rsidRPr="00201AAD">
        <w:rPr>
          <w:rFonts w:ascii="Times New Roman" w:hAnsi="Times New Roman" w:cs="Times New Roman"/>
          <w:b/>
          <w:sz w:val="28"/>
          <w:szCs w:val="28"/>
        </w:rPr>
        <w:t>Indicator Edit Calendar, 2001-2010</w:t>
      </w:r>
    </w:p>
    <w:tbl>
      <w:tblPr>
        <w:tblW w:w="5000" w:type="pct"/>
        <w:jc w:val="center"/>
        <w:tblBorders>
          <w:top w:val="single" w:sz="8" w:space="0" w:color="000000" w:themeColor="text1"/>
          <w:bottom w:val="single" w:sz="8" w:space="0" w:color="000000" w:themeColor="text1"/>
        </w:tblBorders>
        <w:shd w:val="clear" w:color="auto" w:fill="C7EDCC" w:themeFill="background1"/>
        <w:tblLook w:val="04A0" w:firstRow="1" w:lastRow="0" w:firstColumn="1" w:lastColumn="0" w:noHBand="0" w:noVBand="1"/>
      </w:tblPr>
      <w:tblGrid>
        <w:gridCol w:w="2103"/>
        <w:gridCol w:w="2047"/>
        <w:gridCol w:w="1858"/>
        <w:gridCol w:w="960"/>
        <w:gridCol w:w="1554"/>
      </w:tblGrid>
      <w:tr w:rsidR="00555626" w:rsidRPr="00201AAD" w:rsidTr="00555626">
        <w:trPr>
          <w:jc w:val="center"/>
        </w:trPr>
        <w:tc>
          <w:tcPr>
            <w:tcW w:w="1234" w:type="pct"/>
            <w:tcBorders>
              <w:top w:val="single" w:sz="8" w:space="0" w:color="000000" w:themeColor="text1"/>
              <w:bottom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Publication Date</w:t>
            </w:r>
          </w:p>
        </w:tc>
        <w:tc>
          <w:tcPr>
            <w:tcW w:w="1201" w:type="pct"/>
            <w:tcBorders>
              <w:top w:val="single" w:sz="8" w:space="0" w:color="000000" w:themeColor="text1"/>
              <w:bottom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Best To Work For</w:t>
            </w:r>
          </w:p>
        </w:tc>
        <w:tc>
          <w:tcPr>
            <w:tcW w:w="1090" w:type="pct"/>
            <w:tcBorders>
              <w:top w:val="single" w:sz="8" w:space="0" w:color="000000" w:themeColor="text1"/>
              <w:bottom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Most Admired</w:t>
            </w:r>
          </w:p>
        </w:tc>
        <w:tc>
          <w:tcPr>
            <w:tcW w:w="563" w:type="pct"/>
            <w:tcBorders>
              <w:top w:val="single" w:sz="8" w:space="0" w:color="000000" w:themeColor="text1"/>
              <w:bottom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Ethics</w:t>
            </w:r>
          </w:p>
        </w:tc>
        <w:tc>
          <w:tcPr>
            <w:tcW w:w="912" w:type="pct"/>
            <w:tcBorders>
              <w:top w:val="single" w:sz="8" w:space="0" w:color="000000" w:themeColor="text1"/>
              <w:bottom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Top Brands</w:t>
            </w:r>
          </w:p>
        </w:tc>
      </w:tr>
      <w:tr w:rsidR="00555626" w:rsidRPr="00201AAD" w:rsidTr="00555626">
        <w:trPr>
          <w:jc w:val="center"/>
        </w:trPr>
        <w:tc>
          <w:tcPr>
            <w:tcW w:w="1234" w:type="pct"/>
            <w:tcBorders>
              <w:top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2001</w:t>
            </w:r>
          </w:p>
        </w:tc>
        <w:tc>
          <w:tcPr>
            <w:tcW w:w="1201" w:type="pct"/>
            <w:tcBorders>
              <w:top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1/02</w:t>
            </w:r>
          </w:p>
        </w:tc>
        <w:tc>
          <w:tcPr>
            <w:tcW w:w="1090" w:type="pct"/>
            <w:tcBorders>
              <w:top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2/19</w:t>
            </w:r>
          </w:p>
        </w:tc>
        <w:tc>
          <w:tcPr>
            <w:tcW w:w="563" w:type="pct"/>
            <w:tcBorders>
              <w:top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2/25</w:t>
            </w:r>
          </w:p>
        </w:tc>
        <w:tc>
          <w:tcPr>
            <w:tcW w:w="912" w:type="pct"/>
            <w:tcBorders>
              <w:top w:val="single" w:sz="8" w:space="0" w:color="000000" w:themeColor="text1"/>
            </w:tcBorders>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8/06</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2002</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2/04</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3/04</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4/25</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8/05</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2003</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1/20</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3/03</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4/01</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8/04</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2004</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1/12</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3/08</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3/03</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8/02</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2005</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1/24</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3/07</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4/07</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8/01</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2006</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1/11</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3/16</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4/27</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8/07</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2007</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1/22</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3/19</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2/16</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8/06</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2008</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1/22</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3/17</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2/25</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9/18</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2009</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2/02</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3/16</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3/09</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9/17</w:t>
            </w:r>
          </w:p>
        </w:tc>
      </w:tr>
      <w:tr w:rsidR="00555626" w:rsidRPr="00201AAD" w:rsidTr="00555626">
        <w:trPr>
          <w:jc w:val="center"/>
        </w:trPr>
        <w:tc>
          <w:tcPr>
            <w:tcW w:w="1234"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b/>
                <w:color w:val="000000"/>
                <w:sz w:val="20"/>
                <w:szCs w:val="20"/>
              </w:rPr>
            </w:pPr>
            <w:r w:rsidRPr="00201AAD">
              <w:rPr>
                <w:rFonts w:ascii="Times New Roman" w:eastAsia="標楷體" w:hAnsi="Times New Roman" w:cs="Times New Roman"/>
                <w:b/>
                <w:color w:val="000000"/>
                <w:sz w:val="20"/>
                <w:szCs w:val="20"/>
              </w:rPr>
              <w:t>2010</w:t>
            </w:r>
          </w:p>
        </w:tc>
        <w:tc>
          <w:tcPr>
            <w:tcW w:w="1201"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2/08</w:t>
            </w:r>
          </w:p>
        </w:tc>
        <w:tc>
          <w:tcPr>
            <w:tcW w:w="1090"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3/22</w:t>
            </w:r>
          </w:p>
        </w:tc>
        <w:tc>
          <w:tcPr>
            <w:tcW w:w="563"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3/02</w:t>
            </w:r>
          </w:p>
        </w:tc>
        <w:tc>
          <w:tcPr>
            <w:tcW w:w="912" w:type="pct"/>
            <w:shd w:val="clear" w:color="auto" w:fill="C7EDCC" w:themeFill="background1"/>
            <w:vAlign w:val="center"/>
          </w:tcPr>
          <w:p w:rsidR="00555626" w:rsidRPr="00201AAD" w:rsidRDefault="00555626" w:rsidP="00555626">
            <w:pPr>
              <w:spacing w:line="360" w:lineRule="auto"/>
              <w:jc w:val="center"/>
              <w:rPr>
                <w:rFonts w:ascii="Times New Roman" w:eastAsia="標楷體" w:hAnsi="Times New Roman" w:cs="Times New Roman"/>
                <w:color w:val="000000"/>
                <w:sz w:val="20"/>
                <w:szCs w:val="20"/>
              </w:rPr>
            </w:pPr>
            <w:r w:rsidRPr="00201AAD">
              <w:rPr>
                <w:rFonts w:ascii="Times New Roman" w:eastAsia="標楷體" w:hAnsi="Times New Roman" w:cs="Times New Roman"/>
                <w:color w:val="000000"/>
                <w:sz w:val="20"/>
                <w:szCs w:val="20"/>
              </w:rPr>
              <w:t>9/15</w:t>
            </w:r>
          </w:p>
        </w:tc>
      </w:tr>
    </w:tbl>
    <w:p w:rsidR="00555626" w:rsidRPr="00201AAD" w:rsidRDefault="00555626" w:rsidP="00555626">
      <w:pPr>
        <w:rPr>
          <w:rFonts w:ascii="Times New Roman" w:hAnsi="Times New Roman" w:cs="Times New Roman"/>
        </w:rPr>
        <w:sectPr w:rsidR="00555626" w:rsidRPr="00201AAD" w:rsidSect="00997C90">
          <w:pgSz w:w="11906" w:h="16838"/>
          <w:pgMar w:top="1440" w:right="1800" w:bottom="1440" w:left="1800" w:header="851" w:footer="992" w:gutter="0"/>
          <w:cols w:space="425"/>
          <w:docGrid w:type="lines" w:linePitch="360"/>
        </w:sectPr>
      </w:pPr>
    </w:p>
    <w:p w:rsidR="00555626" w:rsidRPr="00201AAD" w:rsidRDefault="00167F25" w:rsidP="00201AAD">
      <w:pPr>
        <w:autoSpaceDE w:val="0"/>
        <w:autoSpaceDN w:val="0"/>
        <w:adjustRightInd w:val="0"/>
        <w:jc w:val="center"/>
        <w:rPr>
          <w:rFonts w:ascii="Times New Roman" w:hAnsi="Times New Roman" w:cs="Times New Roman"/>
          <w:b/>
          <w:sz w:val="28"/>
          <w:szCs w:val="28"/>
        </w:rPr>
      </w:pPr>
      <w:r w:rsidRPr="00201AAD">
        <w:rPr>
          <w:rFonts w:ascii="Times New Roman" w:hAnsi="Times New Roman" w:cs="Times New Roman"/>
          <w:b/>
          <w:sz w:val="28"/>
          <w:szCs w:val="28"/>
        </w:rPr>
        <w:t>Table</w:t>
      </w:r>
      <w:r w:rsidR="00555626" w:rsidRPr="00201AAD">
        <w:rPr>
          <w:rFonts w:ascii="Times New Roman" w:hAnsi="Times New Roman" w:cs="Times New Roman"/>
          <w:b/>
          <w:sz w:val="28"/>
          <w:szCs w:val="28"/>
        </w:rPr>
        <w:t xml:space="preserve"> 2</w:t>
      </w:r>
      <w:r w:rsidR="00835F5E" w:rsidRPr="00201AAD">
        <w:rPr>
          <w:rFonts w:ascii="Times New Roman" w:hAnsi="Times New Roman" w:cs="Times New Roman"/>
          <w:b/>
          <w:sz w:val="28"/>
          <w:szCs w:val="28"/>
        </w:rPr>
        <w:t>:</w:t>
      </w:r>
      <w:r w:rsidRPr="00201AAD">
        <w:rPr>
          <w:rFonts w:ascii="Times New Roman" w:hAnsi="Times New Roman" w:cs="Times New Roman"/>
          <w:b/>
          <w:sz w:val="28"/>
          <w:szCs w:val="28"/>
        </w:rPr>
        <w:t xml:space="preserve"> </w:t>
      </w:r>
      <w:r w:rsidR="00555626" w:rsidRPr="00201AAD">
        <w:rPr>
          <w:rFonts w:ascii="Times New Roman" w:hAnsi="Times New Roman" w:cs="Times New Roman"/>
          <w:b/>
          <w:sz w:val="28"/>
          <w:szCs w:val="28"/>
        </w:rPr>
        <w:t>Announcement Window Returns for Each Indicator</w:t>
      </w:r>
    </w:p>
    <w:p w:rsidR="00555626" w:rsidRPr="00201AAD" w:rsidRDefault="00555626" w:rsidP="00555626">
      <w:pPr>
        <w:autoSpaceDE w:val="0"/>
        <w:autoSpaceDN w:val="0"/>
        <w:adjustRightInd w:val="0"/>
        <w:spacing w:line="240" w:lineRule="atLeast"/>
        <w:jc w:val="both"/>
        <w:rPr>
          <w:rFonts w:ascii="Times New Roman" w:eastAsia="新細明體" w:hAnsi="Times New Roman" w:cs="Times New Roman"/>
        </w:rPr>
      </w:pPr>
      <w:r w:rsidRPr="00201AAD">
        <w:rPr>
          <w:rFonts w:ascii="Times New Roman" w:hAnsi="Times New Roman" w:cs="Times New Roman"/>
        </w:rPr>
        <w:t xml:space="preserve">For each year, Fortune Magazine, Business-Week, and Business Ethics announce the Top 100 firms. We exclude stocks untraded on the market. For each annual indicator, we compute the cross-sectional raw return for month t. </w:t>
      </w:r>
      <w:r w:rsidR="00741395" w:rsidRPr="00201AAD">
        <w:rPr>
          <w:rFonts w:ascii="Times New Roman" w:hAnsi="Times New Roman" w:cs="Times New Roman"/>
        </w:rPr>
        <w:t>Table</w:t>
      </w:r>
      <w:r w:rsidRPr="00201AAD">
        <w:rPr>
          <w:rFonts w:ascii="Times New Roman" w:hAnsi="Times New Roman" w:cs="Times New Roman"/>
        </w:rPr>
        <w:t xml:space="preserve"> 2 reports the raw return of these indicators. The last column of each indicator reports the difference </w:t>
      </w:r>
      <w:r w:rsidR="00A93AD8" w:rsidRPr="00201AAD">
        <w:rPr>
          <w:rFonts w:ascii="Times New Roman" w:hAnsi="Times New Roman" w:cs="Times New Roman"/>
        </w:rPr>
        <w:t>(</w:t>
      </w:r>
      <w:r w:rsidRPr="00201AAD">
        <w:rPr>
          <w:rFonts w:ascii="Times New Roman" w:hAnsi="Times New Roman" w:cs="Times New Roman"/>
        </w:rPr>
        <w:t>Dif) between the return of the annual indicator versus the benchmark portfolio. All numbers are in percentages.</w:t>
      </w:r>
    </w:p>
    <w:p w:rsidR="00555626" w:rsidRPr="00201AAD" w:rsidRDefault="00555626" w:rsidP="00555626">
      <w:pPr>
        <w:rPr>
          <w:rFonts w:ascii="Times New Roman" w:eastAsia="新細明體" w:hAnsi="Times New Roman" w:cs="Times New Roman"/>
        </w:rPr>
        <w:sectPr w:rsidR="00555626" w:rsidRPr="00201AAD" w:rsidSect="00555626">
          <w:pgSz w:w="16838" w:h="11906" w:orient="landscape"/>
          <w:pgMar w:top="1800" w:right="1440" w:bottom="1800" w:left="1440" w:header="851" w:footer="992" w:gutter="0"/>
          <w:cols w:space="425"/>
          <w:docGrid w:type="lines" w:linePitch="360"/>
        </w:sectPr>
      </w:pPr>
      <w:r w:rsidRPr="00201AAD">
        <w:rPr>
          <w:rFonts w:ascii="Times New Roman" w:eastAsia="新細明體" w:hAnsi="Times New Roman" w:cs="Times New Roman"/>
        </w:rPr>
        <w:object w:dxaOrig="14673"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8pt;height:267.25pt" o:ole="">
            <v:imagedata r:id="rId11" o:title="" cropright="-2532f"/>
          </v:shape>
          <o:OLEObject Type="Embed" ProgID="Word.Document.12" ShapeID="_x0000_i1025" DrawAspect="Content" ObjectID="_1511079086" r:id="rId12">
            <o:FieldCodes>\s</o:FieldCodes>
          </o:OLEObject>
        </w:object>
      </w:r>
    </w:p>
    <w:p w:rsidR="00555626" w:rsidRPr="00201AAD" w:rsidRDefault="006C2B08" w:rsidP="00201AAD">
      <w:pPr>
        <w:autoSpaceDE w:val="0"/>
        <w:autoSpaceDN w:val="0"/>
        <w:adjustRightInd w:val="0"/>
        <w:jc w:val="center"/>
        <w:rPr>
          <w:rFonts w:ascii="Times New Roman" w:hAnsi="Times New Roman" w:cs="Times New Roman"/>
          <w:b/>
          <w:sz w:val="28"/>
          <w:szCs w:val="28"/>
        </w:rPr>
      </w:pPr>
      <w:r w:rsidRPr="00201AAD">
        <w:rPr>
          <w:rFonts w:ascii="Times New Roman" w:hAnsi="Times New Roman" w:cs="Times New Roman"/>
          <w:b/>
          <w:sz w:val="28"/>
          <w:szCs w:val="28"/>
        </w:rPr>
        <w:t>Table</w:t>
      </w:r>
      <w:r w:rsidR="00555626" w:rsidRPr="00201AAD">
        <w:rPr>
          <w:rFonts w:ascii="Times New Roman" w:hAnsi="Times New Roman" w:cs="Times New Roman"/>
          <w:b/>
          <w:sz w:val="28"/>
          <w:szCs w:val="28"/>
        </w:rPr>
        <w:t xml:space="preserve"> 3</w:t>
      </w:r>
      <w:r w:rsidR="00835F5E" w:rsidRPr="00201AAD">
        <w:rPr>
          <w:rFonts w:ascii="Times New Roman" w:hAnsi="Times New Roman" w:cs="Times New Roman"/>
          <w:b/>
          <w:sz w:val="28"/>
          <w:szCs w:val="28"/>
        </w:rPr>
        <w:t>:</w:t>
      </w:r>
      <w:r w:rsidR="00167F25" w:rsidRPr="00201AAD">
        <w:rPr>
          <w:rFonts w:ascii="Times New Roman" w:hAnsi="Times New Roman" w:cs="Times New Roman"/>
          <w:b/>
          <w:sz w:val="28"/>
          <w:szCs w:val="28"/>
        </w:rPr>
        <w:t xml:space="preserve"> </w:t>
      </w:r>
      <w:r w:rsidR="00555626" w:rsidRPr="00201AAD">
        <w:rPr>
          <w:rFonts w:ascii="Times New Roman" w:hAnsi="Times New Roman" w:cs="Times New Roman"/>
          <w:b/>
          <w:sz w:val="28"/>
          <w:szCs w:val="28"/>
        </w:rPr>
        <w:t>Long-Term Excess Returns and Risk</w:t>
      </w:r>
    </w:p>
    <w:p w:rsidR="00555626" w:rsidRPr="00201AAD" w:rsidRDefault="00555626" w:rsidP="00555626">
      <w:pPr>
        <w:autoSpaceDE w:val="0"/>
        <w:autoSpaceDN w:val="0"/>
        <w:adjustRightInd w:val="0"/>
        <w:spacing w:line="0" w:lineRule="atLeast"/>
        <w:jc w:val="both"/>
        <w:rPr>
          <w:rFonts w:ascii="Times New Roman" w:hAnsi="Times New Roman" w:cs="Times New Roman"/>
        </w:rPr>
      </w:pPr>
      <w:r w:rsidRPr="00201AAD">
        <w:rPr>
          <w:rFonts w:ascii="Times New Roman" w:hAnsi="Times New Roman" w:cs="Times New Roman"/>
        </w:rPr>
        <w:t xml:space="preserve">We compute the cross-sectional cumulative abnormal return for month t. The CAR and BHAR can be defined as </w:t>
      </w:r>
      <m:oMath>
        <m:sSub>
          <m:sSubPr>
            <m:ctrlPr>
              <w:rPr>
                <w:rFonts w:ascii="Cambria Math" w:hAnsi="Cambria Math" w:cs="Times New Roman"/>
              </w:rPr>
            </m:ctrlPr>
          </m:sSubPr>
          <m:e>
            <m:r>
              <m:rPr>
                <m:sty m:val="p"/>
              </m:rPr>
              <w:rPr>
                <w:rFonts w:ascii="Cambria Math" w:hAnsi="Cambria Math" w:cs="Times New Roman"/>
              </w:rPr>
              <m:t>CAR</m:t>
            </m:r>
          </m:e>
          <m:sub>
            <m:r>
              <m:rPr>
                <m:sty m:val="p"/>
              </m:rPr>
              <w:rPr>
                <w:rFonts w:ascii="Cambria Math" w:hAnsi="Cambria Math" w:cs="Times New Roman"/>
              </w:rPr>
              <m:t>iτ</m:t>
            </m:r>
          </m:sub>
        </m:sSub>
        <m:r>
          <m:rPr>
            <m:sty m:val="p"/>
          </m:rPr>
          <w:rPr>
            <w:rFonts w:ascii="Cambria Math" w:hAnsi="Cambria Math" w:cs="Times New Roman"/>
          </w:rPr>
          <m:t>=</m:t>
        </m:r>
        <m:nary>
          <m:naryPr>
            <m:chr m:val="∑"/>
            <m:limLoc m:val="undOvr"/>
            <m:ctrlPr>
              <w:rPr>
                <w:rFonts w:ascii="Cambria Math" w:hAnsi="Cambria Math" w:cs="Times New Roman"/>
              </w:rPr>
            </m:ctrlPr>
          </m:naryPr>
          <m:sub>
            <m:r>
              <m:rPr>
                <m:sty m:val="p"/>
              </m:rPr>
              <w:rPr>
                <w:rFonts w:ascii="Cambria Math" w:hAnsi="Cambria Math" w:cs="Times New Roman"/>
              </w:rPr>
              <m:t>t=1</m:t>
            </m:r>
          </m:sub>
          <m:sup>
            <m:r>
              <m:rPr>
                <m:sty m:val="p"/>
              </m:rPr>
              <w:rPr>
                <w:rFonts w:ascii="Cambria Math" w:hAnsi="Cambria Math" w:cs="Times New Roman"/>
              </w:rPr>
              <m:t>τ</m:t>
            </m:r>
          </m:sup>
          <m:e>
            <m:sSub>
              <m:sSubPr>
                <m:ctrlPr>
                  <w:rPr>
                    <w:rFonts w:ascii="Cambria Math" w:hAnsi="Cambria Math" w:cs="Times New Roman"/>
                  </w:rPr>
                </m:ctrlPr>
              </m:sSubPr>
              <m:e>
                <m:r>
                  <m:rPr>
                    <m:sty m:val="p"/>
                  </m:rPr>
                  <w:rPr>
                    <w:rFonts w:ascii="Cambria Math" w:hAnsi="Cambria Math" w:cs="Times New Roman"/>
                  </w:rPr>
                  <m:t>AR</m:t>
                </m:r>
              </m:e>
              <m:sub>
                <m:r>
                  <m:rPr>
                    <m:sty m:val="p"/>
                  </m:rPr>
                  <w:rPr>
                    <w:rFonts w:ascii="Cambria Math" w:hAnsi="Cambria Math" w:cs="Times New Roman"/>
                  </w:rPr>
                  <m:t>it</m:t>
                </m:r>
              </m:sub>
            </m:sSub>
          </m:e>
        </m:nary>
      </m:oMath>
      <w:r w:rsidRPr="00201AAD">
        <w:rPr>
          <w:rFonts w:ascii="Times New Roman" w:hAnsi="Times New Roman" w:cs="Times New Roman"/>
        </w:rPr>
        <w:t xml:space="preserve"> </w:t>
      </w:r>
      <w:proofErr w:type="gramStart"/>
      <w:r w:rsidRPr="00201AAD">
        <w:rPr>
          <w:rFonts w:ascii="Times New Roman" w:hAnsi="Times New Roman" w:cs="Times New Roman"/>
        </w:rPr>
        <w:t xml:space="preserve">and </w:t>
      </w:r>
      <w:proofErr w:type="gramEnd"/>
      <m:oMath>
        <m:sSub>
          <m:sSubPr>
            <m:ctrlPr>
              <w:rPr>
                <w:rFonts w:ascii="Cambria Math" w:hAnsi="Cambria Math" w:cs="Times New Roman"/>
              </w:rPr>
            </m:ctrlPr>
          </m:sSubPr>
          <m:e>
            <m:r>
              <m:rPr>
                <m:sty m:val="p"/>
              </m:rPr>
              <w:rPr>
                <w:rFonts w:ascii="Cambria Math" w:hAnsi="Cambria Math" w:cs="Times New Roman"/>
              </w:rPr>
              <m:t>BHAR</m:t>
            </m:r>
          </m:e>
          <m:sub>
            <m:r>
              <m:rPr>
                <m:sty m:val="p"/>
              </m:rPr>
              <w:rPr>
                <w:rFonts w:ascii="Cambria Math" w:hAnsi="Cambria Math" w:cs="Times New Roman"/>
              </w:rPr>
              <m:t>iτ</m:t>
            </m:r>
          </m:sub>
        </m:sSub>
        <m:r>
          <m:rPr>
            <m:sty m:val="p"/>
          </m:rPr>
          <w:rPr>
            <w:rFonts w:ascii="Cambria Math" w:hAnsi="Cambria Math" w:cs="Times New Roman"/>
          </w:rPr>
          <m:t>=</m:t>
        </m:r>
        <m:nary>
          <m:naryPr>
            <m:chr m:val="∏"/>
            <m:limLoc m:val="undOvr"/>
            <m:ctrlPr>
              <w:rPr>
                <w:rFonts w:ascii="Cambria Math" w:hAnsi="Cambria Math" w:cs="Times New Roman"/>
              </w:rPr>
            </m:ctrlPr>
          </m:naryPr>
          <m:sub>
            <m:r>
              <m:rPr>
                <m:sty m:val="p"/>
              </m:rPr>
              <w:rPr>
                <w:rFonts w:ascii="Cambria Math" w:hAnsi="Cambria Math" w:cs="Times New Roman"/>
              </w:rPr>
              <m:t>t=1</m:t>
            </m:r>
          </m:sub>
          <m:sup>
            <m:r>
              <m:rPr>
                <m:sty m:val="p"/>
              </m:rPr>
              <w:rPr>
                <w:rFonts w:ascii="Cambria Math" w:hAnsi="Cambria Math" w:cs="Times New Roman"/>
              </w:rPr>
              <m:t>τ</m:t>
            </m:r>
          </m:sup>
          <m:e>
            <m:d>
              <m:dPr>
                <m:begChr m:val="["/>
                <m:endChr m:val="]"/>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it</m:t>
                    </m:r>
                  </m:sub>
                </m:sSub>
              </m:e>
            </m:d>
            <m:r>
              <m:rPr>
                <m:sty m:val="p"/>
              </m:rPr>
              <w:rPr>
                <w:rFonts w:ascii="Cambria Math" w:hAnsi="Cambria Math" w:cs="Times New Roman"/>
              </w:rPr>
              <m:t>-</m:t>
            </m:r>
          </m:e>
        </m:nary>
        <m:nary>
          <m:naryPr>
            <m:chr m:val="∏"/>
            <m:limLoc m:val="undOvr"/>
            <m:ctrlPr>
              <w:rPr>
                <w:rFonts w:ascii="Cambria Math" w:hAnsi="Cambria Math" w:cs="Times New Roman"/>
              </w:rPr>
            </m:ctrlPr>
          </m:naryPr>
          <m:sub>
            <m:r>
              <m:rPr>
                <m:sty m:val="p"/>
              </m:rPr>
              <w:rPr>
                <w:rFonts w:ascii="Cambria Math" w:hAnsi="Cambria Math" w:cs="Times New Roman"/>
              </w:rPr>
              <m:t>t=1</m:t>
            </m:r>
          </m:sub>
          <m:sup>
            <m:r>
              <m:rPr>
                <m:sty m:val="p"/>
              </m:rPr>
              <w:rPr>
                <w:rFonts w:ascii="Cambria Math" w:hAnsi="Cambria Math" w:cs="Times New Roman"/>
              </w:rPr>
              <m:t>τ</m:t>
            </m:r>
          </m:sup>
          <m:e>
            <m:d>
              <m:dPr>
                <m:begChr m:val="["/>
                <m:endChr m:val="]"/>
                <m:ctrlPr>
                  <w:rPr>
                    <w:rFonts w:ascii="Cambria Math" w:hAnsi="Cambria Math" w:cs="Times New Roman"/>
                  </w:rPr>
                </m:ctrlPr>
              </m:dPr>
              <m:e>
                <m:r>
                  <m:rPr>
                    <m:sty m:val="p"/>
                  </m:rPr>
                  <w:rPr>
                    <w:rFonts w:ascii="Cambria Math" w:hAnsi="Cambria Math" w:cs="Times New Roman"/>
                  </w:rPr>
                  <m:t>1+E</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R</m:t>
                        </m:r>
                      </m:e>
                      <m:sub>
                        <m:r>
                          <m:rPr>
                            <m:sty m:val="p"/>
                          </m:rPr>
                          <w:rPr>
                            <w:rFonts w:ascii="Cambria Math" w:hAnsi="Cambria Math" w:cs="Times New Roman"/>
                          </w:rPr>
                          <m:t>it</m:t>
                        </m:r>
                      </m:sub>
                    </m:sSub>
                  </m:e>
                </m:d>
              </m:e>
            </m:d>
          </m:e>
        </m:nary>
      </m:oMath>
      <w:r w:rsidRPr="00201AAD">
        <w:rPr>
          <w:rFonts w:ascii="Times New Roman" w:hAnsi="Times New Roman" w:cs="Times New Roman"/>
        </w:rPr>
        <w:t xml:space="preserve">, respectively. </w:t>
      </w:r>
      <w:r w:rsidR="00741395" w:rsidRPr="00201AAD">
        <w:rPr>
          <w:rFonts w:ascii="Times New Roman" w:hAnsi="Times New Roman" w:cs="Times New Roman"/>
        </w:rPr>
        <w:t>Table</w:t>
      </w:r>
      <w:r w:rsidRPr="00201AAD">
        <w:rPr>
          <w:rFonts w:ascii="Times New Roman" w:hAnsi="Times New Roman" w:cs="Times New Roman"/>
        </w:rPr>
        <w:t xml:space="preserve"> 3 reports the long-term return of these indicators. The second and fourth column of each indicator reports the difference between the return of the annual indicator versus zero mean. All CAR and BHAR numbers are in percentages.</w:t>
      </w:r>
      <w:r w:rsidRPr="00201AAD">
        <w:rPr>
          <w:rFonts w:ascii="Times New Roman" w:eastAsia="Arial Unicode MS" w:hAnsi="Times New Roman" w:cs="Times New Roman"/>
        </w:rPr>
        <w:t xml:space="preserve"> </w:t>
      </w:r>
    </w:p>
    <w:p w:rsidR="00555626" w:rsidRPr="00201AAD" w:rsidRDefault="00555626" w:rsidP="00555626">
      <w:pPr>
        <w:rPr>
          <w:rFonts w:ascii="Times New Roman" w:eastAsia="新細明體" w:hAnsi="Times New Roman" w:cs="Times New Roman"/>
        </w:rPr>
        <w:sectPr w:rsidR="00555626" w:rsidRPr="00201AAD" w:rsidSect="00555626">
          <w:pgSz w:w="16838" w:h="11906" w:orient="landscape"/>
          <w:pgMar w:top="1800" w:right="1440" w:bottom="1800" w:left="1440" w:header="851" w:footer="992" w:gutter="0"/>
          <w:cols w:space="425"/>
          <w:docGrid w:type="lines" w:linePitch="360"/>
        </w:sectPr>
      </w:pPr>
      <w:r w:rsidRPr="00201AAD">
        <w:rPr>
          <w:rFonts w:ascii="Times New Roman" w:eastAsia="新細明體" w:hAnsi="Times New Roman" w:cs="Times New Roman"/>
        </w:rPr>
        <w:object w:dxaOrig="15117" w:dyaOrig="5466">
          <v:shape id="_x0000_i1026" type="#_x0000_t75" style="width:755.7pt;height:273pt" o:ole="">
            <v:imagedata r:id="rId13" o:title="" cropright="-3687f"/>
          </v:shape>
          <o:OLEObject Type="Embed" ProgID="Word.Document.12" ShapeID="_x0000_i1026" DrawAspect="Content" ObjectID="_1511079087" r:id="rId14">
            <o:FieldCodes>\s</o:FieldCodes>
          </o:OLEObject>
        </w:object>
      </w:r>
    </w:p>
    <w:p w:rsidR="00555626" w:rsidRPr="00201AAD" w:rsidRDefault="006C2B08" w:rsidP="00201AAD">
      <w:pPr>
        <w:autoSpaceDE w:val="0"/>
        <w:autoSpaceDN w:val="0"/>
        <w:adjustRightInd w:val="0"/>
        <w:spacing w:line="0" w:lineRule="atLeast"/>
        <w:jc w:val="center"/>
        <w:rPr>
          <w:rFonts w:ascii="Times New Roman" w:eastAsia="新細明體" w:hAnsi="Times New Roman" w:cs="Times New Roman"/>
          <w:b/>
          <w:kern w:val="0"/>
          <w:sz w:val="28"/>
          <w:szCs w:val="28"/>
        </w:rPr>
      </w:pPr>
      <w:r w:rsidRPr="00201AAD">
        <w:rPr>
          <w:rFonts w:ascii="Times New Roman" w:hAnsi="Times New Roman" w:cs="Times New Roman"/>
          <w:b/>
          <w:sz w:val="28"/>
          <w:szCs w:val="28"/>
        </w:rPr>
        <w:t>Table</w:t>
      </w:r>
      <w:r w:rsidR="00555626" w:rsidRPr="00201AAD">
        <w:rPr>
          <w:rFonts w:ascii="Times New Roman" w:eastAsia="新細明體" w:hAnsi="Times New Roman" w:cs="Times New Roman"/>
          <w:b/>
          <w:kern w:val="0"/>
          <w:sz w:val="28"/>
          <w:szCs w:val="28"/>
        </w:rPr>
        <w:t xml:space="preserve"> 4</w:t>
      </w:r>
      <w:r w:rsidR="00835F5E" w:rsidRPr="00201AAD">
        <w:rPr>
          <w:rFonts w:ascii="Times New Roman" w:eastAsia="新細明體" w:hAnsi="Times New Roman" w:cs="Times New Roman"/>
          <w:b/>
          <w:kern w:val="0"/>
          <w:sz w:val="28"/>
          <w:szCs w:val="28"/>
        </w:rPr>
        <w:t>:</w:t>
      </w:r>
      <w:r w:rsidR="00167F25" w:rsidRPr="00201AAD">
        <w:rPr>
          <w:rFonts w:ascii="Times New Roman" w:eastAsia="新細明體" w:hAnsi="Times New Roman" w:cs="Times New Roman"/>
          <w:b/>
          <w:kern w:val="0"/>
          <w:sz w:val="28"/>
          <w:szCs w:val="28"/>
        </w:rPr>
        <w:t xml:space="preserve"> </w:t>
      </w:r>
      <w:r w:rsidR="00555626" w:rsidRPr="00201AAD">
        <w:rPr>
          <w:rFonts w:ascii="Times New Roman" w:eastAsia="新細明體" w:hAnsi="Times New Roman" w:cs="Times New Roman"/>
          <w:b/>
          <w:kern w:val="0"/>
          <w:sz w:val="28"/>
          <w:szCs w:val="28"/>
        </w:rPr>
        <w:t>Measures of Indicator Performance, 2001-2010</w:t>
      </w:r>
    </w:p>
    <w:tbl>
      <w:tblPr>
        <w:tblW w:w="5000" w:type="pct"/>
        <w:tblCellMar>
          <w:left w:w="28" w:type="dxa"/>
          <w:right w:w="28" w:type="dxa"/>
        </w:tblCellMar>
        <w:tblLook w:val="04A0" w:firstRow="1" w:lastRow="0" w:firstColumn="1" w:lastColumn="0" w:noHBand="0" w:noVBand="1"/>
      </w:tblPr>
      <w:tblGrid>
        <w:gridCol w:w="567"/>
        <w:gridCol w:w="612"/>
        <w:gridCol w:w="694"/>
        <w:gridCol w:w="533"/>
        <w:gridCol w:w="599"/>
        <w:gridCol w:w="612"/>
        <w:gridCol w:w="816"/>
        <w:gridCol w:w="126"/>
        <w:gridCol w:w="612"/>
        <w:gridCol w:w="694"/>
        <w:gridCol w:w="552"/>
        <w:gridCol w:w="552"/>
        <w:gridCol w:w="612"/>
        <w:gridCol w:w="781"/>
      </w:tblGrid>
      <w:tr w:rsidR="00555626" w:rsidRPr="00201AAD" w:rsidTr="00555626">
        <w:trPr>
          <w:trHeight w:val="324"/>
        </w:trPr>
        <w:tc>
          <w:tcPr>
            <w:tcW w:w="353" w:type="pct"/>
            <w:tcBorders>
              <w:top w:val="single" w:sz="8" w:space="0" w:color="000000" w:themeColor="text1"/>
              <w:left w:val="nil"/>
              <w:bottom w:val="single" w:sz="4" w:space="0" w:color="000000" w:themeColor="text1"/>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b/>
                <w:color w:val="000000"/>
                <w:szCs w:val="24"/>
              </w:rPr>
            </w:pPr>
          </w:p>
        </w:tc>
        <w:tc>
          <w:tcPr>
            <w:tcW w:w="2273" w:type="pct"/>
            <w:gridSpan w:val="6"/>
            <w:tcBorders>
              <w:top w:val="single" w:sz="8" w:space="0" w:color="000000" w:themeColor="text1"/>
              <w:left w:val="nil"/>
              <w:bottom w:val="single" w:sz="4" w:space="0" w:color="000000" w:themeColor="text1"/>
              <w:right w:val="nil"/>
            </w:tcBorders>
            <w:shd w:val="clear" w:color="auto" w:fill="auto"/>
            <w:vAlign w:val="center"/>
            <w:hideMark/>
          </w:tcPr>
          <w:p w:rsidR="00555626" w:rsidRPr="00201AAD" w:rsidRDefault="00555626" w:rsidP="00555626">
            <w:pPr>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Best to Work for indicator</w:t>
            </w:r>
          </w:p>
        </w:tc>
        <w:tc>
          <w:tcPr>
            <w:tcW w:w="99" w:type="pct"/>
            <w:tcBorders>
              <w:top w:val="single" w:sz="8" w:space="0" w:color="000000" w:themeColor="text1"/>
              <w:left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b/>
                <w:color w:val="000000"/>
                <w:szCs w:val="24"/>
              </w:rPr>
            </w:pPr>
          </w:p>
        </w:tc>
        <w:tc>
          <w:tcPr>
            <w:tcW w:w="2275" w:type="pct"/>
            <w:gridSpan w:val="6"/>
            <w:tcBorders>
              <w:top w:val="single" w:sz="8" w:space="0" w:color="000000" w:themeColor="text1"/>
              <w:left w:val="nil"/>
              <w:bottom w:val="single" w:sz="4" w:space="0" w:color="000000" w:themeColor="text1"/>
              <w:right w:val="nil"/>
            </w:tcBorders>
            <w:shd w:val="clear" w:color="auto" w:fill="auto"/>
            <w:vAlign w:val="center"/>
            <w:hideMark/>
          </w:tcPr>
          <w:p w:rsidR="00555626" w:rsidRPr="00201AAD" w:rsidRDefault="00555626" w:rsidP="00555626">
            <w:pPr>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Most Admired indicator</w:t>
            </w:r>
          </w:p>
        </w:tc>
      </w:tr>
      <w:tr w:rsidR="00555626" w:rsidRPr="00201AAD" w:rsidTr="00555626">
        <w:trPr>
          <w:trHeight w:val="324"/>
        </w:trPr>
        <w:tc>
          <w:tcPr>
            <w:tcW w:w="353"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eastAsiaTheme="majorEastAsia" w:hAnsi="Times New Roman" w:cs="Times New Roman"/>
                <w:sz w:val="20"/>
                <w:szCs w:val="20"/>
              </w:rPr>
              <w:t>Time period</w:t>
            </w:r>
          </w:p>
        </w:tc>
        <w:tc>
          <w:tcPr>
            <w:tcW w:w="340"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Sharpe</w:t>
            </w:r>
          </w:p>
        </w:tc>
        <w:tc>
          <w:tcPr>
            <w:tcW w:w="344"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c>
          <w:tcPr>
            <w:tcW w:w="353"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1C5F64" w:rsidP="00555626">
            <w:pPr>
              <w:spacing w:line="360" w:lineRule="auto"/>
              <w:jc w:val="center"/>
              <w:rPr>
                <w:rFonts w:ascii="Times New Roman" w:eastAsia="新細明體" w:hAnsi="Times New Roman" w:cs="Times New Roman"/>
                <w:color w:val="000000"/>
                <w:sz w:val="20"/>
                <w:szCs w:val="20"/>
              </w:rPr>
            </w:pPr>
            <m:oMathPara>
              <m:oMath>
                <m:sSup>
                  <m:sSupPr>
                    <m:ctrlPr>
                      <w:rPr>
                        <w:rFonts w:ascii="Cambria Math" w:eastAsia="新細明體" w:hAnsi="Cambria Math" w:cs="Times New Roman"/>
                        <w:color w:val="000000"/>
                        <w:sz w:val="20"/>
                        <w:szCs w:val="20"/>
                      </w:rPr>
                    </m:ctrlPr>
                  </m:sSupPr>
                  <m:e>
                    <m:r>
                      <m:rPr>
                        <m:sty m:val="p"/>
                      </m:rPr>
                      <w:rPr>
                        <w:rFonts w:ascii="Cambria Math" w:eastAsia="新細明體" w:hAnsi="Cambria Math" w:cs="Times New Roman"/>
                        <w:color w:val="000000"/>
                        <w:sz w:val="20"/>
                        <w:szCs w:val="20"/>
                      </w:rPr>
                      <m:t>M</m:t>
                    </m:r>
                  </m:e>
                  <m:sup>
                    <m:r>
                      <m:rPr>
                        <m:sty m:val="p"/>
                      </m:rPr>
                      <w:rPr>
                        <w:rFonts w:ascii="Cambria Math" w:eastAsia="新細明體" w:hAnsi="Cambria Math" w:cs="Times New Roman"/>
                        <w:color w:val="000000"/>
                        <w:sz w:val="20"/>
                        <w:szCs w:val="20"/>
                      </w:rPr>
                      <m:t>2</m:t>
                    </m:r>
                  </m:sup>
                </m:sSup>
              </m:oMath>
            </m:oMathPara>
          </w:p>
        </w:tc>
        <w:tc>
          <w:tcPr>
            <w:tcW w:w="382"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m:oMathPara>
              <m:oMath>
                <m:r>
                  <m:rPr>
                    <m:sty m:val="p"/>
                  </m:rPr>
                  <w:rPr>
                    <w:rFonts w:ascii="Cambria Math" w:eastAsia="新細明體" w:hAnsi="Cambria Math" w:cs="Times New Roman"/>
                    <w:color w:val="000000"/>
                    <w:sz w:val="20"/>
                    <w:szCs w:val="20"/>
                  </w:rPr>
                  <m:t>α</m:t>
                </m:r>
              </m:oMath>
            </m:oMathPara>
          </w:p>
        </w:tc>
        <w:tc>
          <w:tcPr>
            <w:tcW w:w="342"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S&amp;P Sharpe</w:t>
            </w:r>
          </w:p>
        </w:tc>
        <w:tc>
          <w:tcPr>
            <w:tcW w:w="512"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hAnsi="Times New Roman" w:cs="Times New Roman"/>
                <w:color w:val="000000"/>
                <w:sz w:val="20"/>
                <w:szCs w:val="20"/>
              </w:rPr>
            </w:pPr>
            <w:r w:rsidRPr="00201AAD">
              <w:rPr>
                <w:rFonts w:ascii="Times New Roman" w:hAnsi="Times New Roman" w:cs="Times New Roman"/>
                <w:color w:val="000000"/>
                <w:sz w:val="20"/>
                <w:szCs w:val="20"/>
              </w:rPr>
              <w:t>S&amp;P</w:t>
            </w:r>
          </w:p>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c>
          <w:tcPr>
            <w:tcW w:w="99" w:type="pct"/>
            <w:tcBorders>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p>
        </w:tc>
        <w:tc>
          <w:tcPr>
            <w:tcW w:w="342"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Sharpe</w:t>
            </w:r>
          </w:p>
        </w:tc>
        <w:tc>
          <w:tcPr>
            <w:tcW w:w="345"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c>
          <w:tcPr>
            <w:tcW w:w="354"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1C5F64" w:rsidP="00555626">
            <w:pPr>
              <w:spacing w:line="360" w:lineRule="auto"/>
              <w:jc w:val="center"/>
              <w:rPr>
                <w:rFonts w:ascii="Times New Roman" w:eastAsia="新細明體" w:hAnsi="Times New Roman" w:cs="Times New Roman"/>
                <w:color w:val="000000"/>
                <w:sz w:val="20"/>
                <w:szCs w:val="20"/>
              </w:rPr>
            </w:pPr>
            <m:oMathPara>
              <m:oMath>
                <m:sSup>
                  <m:sSupPr>
                    <m:ctrlPr>
                      <w:rPr>
                        <w:rFonts w:ascii="Cambria Math" w:eastAsia="新細明體" w:hAnsi="Cambria Math" w:cs="Times New Roman"/>
                        <w:color w:val="000000"/>
                        <w:sz w:val="20"/>
                        <w:szCs w:val="20"/>
                      </w:rPr>
                    </m:ctrlPr>
                  </m:sSupPr>
                  <m:e>
                    <m:r>
                      <m:rPr>
                        <m:sty m:val="p"/>
                      </m:rPr>
                      <w:rPr>
                        <w:rFonts w:ascii="Cambria Math" w:eastAsia="新細明體" w:hAnsi="Cambria Math" w:cs="Times New Roman"/>
                        <w:color w:val="000000"/>
                        <w:sz w:val="20"/>
                        <w:szCs w:val="20"/>
                      </w:rPr>
                      <m:t>M</m:t>
                    </m:r>
                  </m:e>
                  <m:sup>
                    <m:r>
                      <m:rPr>
                        <m:sty m:val="p"/>
                      </m:rPr>
                      <w:rPr>
                        <w:rFonts w:ascii="Cambria Math" w:eastAsia="新細明體" w:hAnsi="Cambria Math" w:cs="Times New Roman"/>
                        <w:color w:val="000000"/>
                        <w:sz w:val="20"/>
                        <w:szCs w:val="20"/>
                      </w:rPr>
                      <m:t>2</m:t>
                    </m:r>
                  </m:sup>
                </m:sSup>
              </m:oMath>
            </m:oMathPara>
          </w:p>
        </w:tc>
        <w:tc>
          <w:tcPr>
            <w:tcW w:w="354"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m:oMathPara>
              <m:oMath>
                <m:r>
                  <m:rPr>
                    <m:sty m:val="p"/>
                  </m:rPr>
                  <w:rPr>
                    <w:rFonts w:ascii="Cambria Math" w:eastAsia="新細明體" w:hAnsi="Cambria Math" w:cs="Times New Roman"/>
                    <w:color w:val="000000"/>
                    <w:sz w:val="20"/>
                    <w:szCs w:val="20"/>
                  </w:rPr>
                  <m:t>α</m:t>
                </m:r>
              </m:oMath>
            </m:oMathPara>
          </w:p>
        </w:tc>
        <w:tc>
          <w:tcPr>
            <w:tcW w:w="370"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S&amp;P Sharpe</w:t>
            </w:r>
          </w:p>
        </w:tc>
        <w:tc>
          <w:tcPr>
            <w:tcW w:w="511"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hAnsi="Times New Roman" w:cs="Times New Roman"/>
                <w:color w:val="000000"/>
                <w:sz w:val="20"/>
                <w:szCs w:val="20"/>
              </w:rPr>
            </w:pPr>
            <w:r w:rsidRPr="00201AAD">
              <w:rPr>
                <w:rFonts w:ascii="Times New Roman" w:hAnsi="Times New Roman" w:cs="Times New Roman"/>
                <w:color w:val="000000"/>
                <w:sz w:val="20"/>
                <w:szCs w:val="20"/>
              </w:rPr>
              <w:t>S&amp;P</w:t>
            </w:r>
          </w:p>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0.2953</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0.2709</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0.47%</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-0.3109</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-0.2966</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0.3287</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0.3489</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0.57%</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0.64%</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-0.0805</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-0.0970</w:t>
            </w:r>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0-12</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0.5276</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0.4271</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0.56%</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1.53%</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-0.2703</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-0.2097</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0.3195</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0.3740</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0.55%</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0.19%</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-0.0744</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-0.0933</w:t>
            </w:r>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0-24</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0.3204</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0.3947</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0.55%</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0.24%</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-0.1725</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-0.2064</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0.2824</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0.4840</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0.61%</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0.85%</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-0.0703</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-0.1106</w:t>
            </w:r>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0-36</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0.3167</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0.4826</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0.63%</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0.76%</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-0.0776</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-0.1107</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0.3610</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0.6227</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0.75%</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0.51%</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-0.0009</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-0.0014</w:t>
            </w:r>
          </w:p>
        </w:tc>
      </w:tr>
      <w:tr w:rsidR="00555626" w:rsidRPr="00201AAD" w:rsidTr="00555626">
        <w:trPr>
          <w:trHeight w:val="324"/>
        </w:trPr>
        <w:tc>
          <w:tcPr>
            <w:tcW w:w="353"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0-48</w:t>
            </w:r>
          </w:p>
        </w:tc>
        <w:tc>
          <w:tcPr>
            <w:tcW w:w="340"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0.2528</w:t>
            </w:r>
          </w:p>
        </w:tc>
        <w:tc>
          <w:tcPr>
            <w:tcW w:w="344"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0.4235</w:t>
            </w:r>
          </w:p>
        </w:tc>
        <w:tc>
          <w:tcPr>
            <w:tcW w:w="353"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0.59%</w:t>
            </w:r>
          </w:p>
        </w:tc>
        <w:tc>
          <w:tcPr>
            <w:tcW w:w="38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0.12%</w:t>
            </w:r>
          </w:p>
        </w:tc>
        <w:tc>
          <w:tcPr>
            <w:tcW w:w="34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-0.1016</w:t>
            </w:r>
          </w:p>
        </w:tc>
        <w:tc>
          <w:tcPr>
            <w:tcW w:w="51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-0.1582</w:t>
            </w:r>
          </w:p>
        </w:tc>
        <w:tc>
          <w:tcPr>
            <w:tcW w:w="99"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0.2869</w:t>
            </w:r>
          </w:p>
        </w:tc>
        <w:tc>
          <w:tcPr>
            <w:tcW w:w="345"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0.5168</w:t>
            </w:r>
          </w:p>
        </w:tc>
        <w:tc>
          <w:tcPr>
            <w:tcW w:w="354"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0.67%</w:t>
            </w:r>
          </w:p>
        </w:tc>
        <w:tc>
          <w:tcPr>
            <w:tcW w:w="354"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0.15%</w:t>
            </w:r>
          </w:p>
        </w:tc>
        <w:tc>
          <w:tcPr>
            <w:tcW w:w="370"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-0.0219</w:t>
            </w:r>
          </w:p>
        </w:tc>
        <w:tc>
          <w:tcPr>
            <w:tcW w:w="511"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-0.0367</w:t>
            </w:r>
          </w:p>
        </w:tc>
      </w:tr>
      <w:tr w:rsidR="00555626" w:rsidRPr="00201AAD" w:rsidTr="00555626">
        <w:trPr>
          <w:trHeight w:val="324"/>
        </w:trPr>
        <w:tc>
          <w:tcPr>
            <w:tcW w:w="353"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0-60</w:t>
            </w:r>
          </w:p>
        </w:tc>
        <w:tc>
          <w:tcPr>
            <w:tcW w:w="340"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0.2012</w:t>
            </w:r>
          </w:p>
        </w:tc>
        <w:tc>
          <w:tcPr>
            <w:tcW w:w="344"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0.3736</w:t>
            </w:r>
          </w:p>
        </w:tc>
        <w:tc>
          <w:tcPr>
            <w:tcW w:w="353"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0.54%</w:t>
            </w:r>
          </w:p>
        </w:tc>
        <w:tc>
          <w:tcPr>
            <w:tcW w:w="382"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1.32%</w:t>
            </w:r>
          </w:p>
        </w:tc>
        <w:tc>
          <w:tcPr>
            <w:tcW w:w="342"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-0.1214</w:t>
            </w:r>
          </w:p>
        </w:tc>
        <w:tc>
          <w:tcPr>
            <w:tcW w:w="512"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-0.2093</w:t>
            </w:r>
          </w:p>
        </w:tc>
        <w:tc>
          <w:tcPr>
            <w:tcW w:w="99"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0.2211</w:t>
            </w:r>
          </w:p>
        </w:tc>
        <w:tc>
          <w:tcPr>
            <w:tcW w:w="345"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0.4263</w:t>
            </w:r>
          </w:p>
        </w:tc>
        <w:tc>
          <w:tcPr>
            <w:tcW w:w="354"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0.58%</w:t>
            </w:r>
          </w:p>
        </w:tc>
        <w:tc>
          <w:tcPr>
            <w:tcW w:w="354"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0.99%</w:t>
            </w:r>
          </w:p>
        </w:tc>
        <w:tc>
          <w:tcPr>
            <w:tcW w:w="370"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-0.0467</w:t>
            </w:r>
          </w:p>
        </w:tc>
        <w:tc>
          <w:tcPr>
            <w:tcW w:w="511" w:type="pct"/>
            <w:tcBorders>
              <w:top w:val="nil"/>
              <w:left w:val="nil"/>
              <w:bottom w:val="single" w:sz="4"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-0.0841</w:t>
            </w:r>
          </w:p>
        </w:tc>
      </w:tr>
      <w:tr w:rsidR="00555626" w:rsidRPr="00201AAD" w:rsidTr="00555626">
        <w:trPr>
          <w:trHeight w:val="220"/>
        </w:trPr>
        <w:tc>
          <w:tcPr>
            <w:tcW w:w="353"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40"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44"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53"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82"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42"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512"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99"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42"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45"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54"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54"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370"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c>
          <w:tcPr>
            <w:tcW w:w="511" w:type="pct"/>
            <w:tcBorders>
              <w:top w:val="single" w:sz="4" w:space="0" w:color="000000" w:themeColor="text1"/>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color w:val="000000"/>
                <w:sz w:val="12"/>
                <w:szCs w:val="12"/>
              </w:rPr>
            </w:pPr>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b/>
                <w:color w:val="000000"/>
                <w:szCs w:val="24"/>
              </w:rPr>
            </w:pPr>
          </w:p>
        </w:tc>
        <w:tc>
          <w:tcPr>
            <w:tcW w:w="2273" w:type="pct"/>
            <w:gridSpan w:val="6"/>
            <w:tcBorders>
              <w:top w:val="nil"/>
              <w:left w:val="nil"/>
              <w:bottom w:val="single" w:sz="4" w:space="0" w:color="auto"/>
              <w:right w:val="nil"/>
            </w:tcBorders>
            <w:shd w:val="clear" w:color="auto" w:fill="auto"/>
            <w:vAlign w:val="center"/>
            <w:hideMark/>
          </w:tcPr>
          <w:p w:rsidR="00555626" w:rsidRPr="00201AAD" w:rsidRDefault="00555626" w:rsidP="00555626">
            <w:pPr>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Ethics indicator</w:t>
            </w:r>
          </w:p>
        </w:tc>
        <w:tc>
          <w:tcPr>
            <w:tcW w:w="99" w:type="pct"/>
            <w:tcBorders>
              <w:top w:val="nil"/>
              <w:left w:val="nil"/>
              <w:bottom w:val="nil"/>
              <w:right w:val="nil"/>
            </w:tcBorders>
            <w:shd w:val="clear" w:color="auto" w:fill="auto"/>
            <w:noWrap/>
            <w:vAlign w:val="center"/>
            <w:hideMark/>
          </w:tcPr>
          <w:p w:rsidR="00555626" w:rsidRPr="00201AAD" w:rsidRDefault="00555626" w:rsidP="00555626">
            <w:pPr>
              <w:jc w:val="center"/>
              <w:rPr>
                <w:rFonts w:ascii="Times New Roman" w:eastAsia="新細明體" w:hAnsi="Times New Roman" w:cs="Times New Roman"/>
                <w:b/>
                <w:color w:val="000000"/>
                <w:szCs w:val="24"/>
              </w:rPr>
            </w:pPr>
          </w:p>
        </w:tc>
        <w:tc>
          <w:tcPr>
            <w:tcW w:w="2275" w:type="pct"/>
            <w:gridSpan w:val="6"/>
            <w:tcBorders>
              <w:top w:val="nil"/>
              <w:left w:val="nil"/>
              <w:bottom w:val="single" w:sz="4" w:space="0" w:color="auto"/>
              <w:right w:val="nil"/>
            </w:tcBorders>
            <w:shd w:val="clear" w:color="auto" w:fill="auto"/>
            <w:vAlign w:val="center"/>
            <w:hideMark/>
          </w:tcPr>
          <w:p w:rsidR="00555626" w:rsidRPr="00201AAD" w:rsidRDefault="00555626" w:rsidP="00555626">
            <w:pPr>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Top Brands indicator</w:t>
            </w:r>
          </w:p>
        </w:tc>
      </w:tr>
      <w:tr w:rsidR="00555626" w:rsidRPr="00201AAD" w:rsidTr="00555626">
        <w:trPr>
          <w:trHeight w:val="324"/>
        </w:trPr>
        <w:tc>
          <w:tcPr>
            <w:tcW w:w="353"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eastAsiaTheme="majorEastAsia" w:hAnsi="Times New Roman" w:cs="Times New Roman"/>
                <w:sz w:val="20"/>
                <w:szCs w:val="20"/>
              </w:rPr>
              <w:t>Time period</w:t>
            </w:r>
          </w:p>
        </w:tc>
        <w:tc>
          <w:tcPr>
            <w:tcW w:w="340"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Sharpe</w:t>
            </w:r>
          </w:p>
        </w:tc>
        <w:tc>
          <w:tcPr>
            <w:tcW w:w="344"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c>
          <w:tcPr>
            <w:tcW w:w="353"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1C5F64" w:rsidP="00555626">
            <w:pPr>
              <w:spacing w:line="360" w:lineRule="auto"/>
              <w:jc w:val="center"/>
              <w:rPr>
                <w:rFonts w:ascii="Times New Roman" w:eastAsia="新細明體" w:hAnsi="Times New Roman" w:cs="Times New Roman"/>
                <w:color w:val="000000"/>
                <w:sz w:val="20"/>
                <w:szCs w:val="20"/>
              </w:rPr>
            </w:pPr>
            <m:oMathPara>
              <m:oMath>
                <m:sSup>
                  <m:sSupPr>
                    <m:ctrlPr>
                      <w:rPr>
                        <w:rFonts w:ascii="Cambria Math" w:eastAsia="新細明體" w:hAnsi="Cambria Math" w:cs="Times New Roman"/>
                        <w:color w:val="000000"/>
                        <w:sz w:val="20"/>
                        <w:szCs w:val="20"/>
                      </w:rPr>
                    </m:ctrlPr>
                  </m:sSupPr>
                  <m:e>
                    <m:r>
                      <m:rPr>
                        <m:sty m:val="p"/>
                      </m:rPr>
                      <w:rPr>
                        <w:rFonts w:ascii="Cambria Math" w:eastAsia="新細明體" w:hAnsi="Cambria Math" w:cs="Times New Roman"/>
                        <w:color w:val="000000"/>
                        <w:sz w:val="20"/>
                        <w:szCs w:val="20"/>
                      </w:rPr>
                      <m:t>M</m:t>
                    </m:r>
                  </m:e>
                  <m:sup>
                    <m:r>
                      <m:rPr>
                        <m:sty m:val="p"/>
                      </m:rPr>
                      <w:rPr>
                        <w:rFonts w:ascii="Cambria Math" w:eastAsia="新細明體" w:hAnsi="Cambria Math" w:cs="Times New Roman"/>
                        <w:color w:val="000000"/>
                        <w:sz w:val="20"/>
                        <w:szCs w:val="20"/>
                      </w:rPr>
                      <m:t>2</m:t>
                    </m:r>
                  </m:sup>
                </m:sSup>
              </m:oMath>
            </m:oMathPara>
          </w:p>
        </w:tc>
        <w:tc>
          <w:tcPr>
            <w:tcW w:w="382"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m:oMathPara>
              <m:oMath>
                <m:r>
                  <m:rPr>
                    <m:sty m:val="p"/>
                  </m:rPr>
                  <w:rPr>
                    <w:rFonts w:ascii="Cambria Math" w:eastAsia="新細明體" w:hAnsi="Cambria Math" w:cs="Times New Roman"/>
                    <w:color w:val="000000"/>
                    <w:sz w:val="20"/>
                    <w:szCs w:val="20"/>
                  </w:rPr>
                  <m:t>α</m:t>
                </m:r>
              </m:oMath>
            </m:oMathPara>
          </w:p>
        </w:tc>
        <w:tc>
          <w:tcPr>
            <w:tcW w:w="342"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S&amp;P Sharpe</w:t>
            </w:r>
          </w:p>
        </w:tc>
        <w:tc>
          <w:tcPr>
            <w:tcW w:w="512"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hAnsi="Times New Roman" w:cs="Times New Roman"/>
                <w:color w:val="000000"/>
                <w:sz w:val="20"/>
                <w:szCs w:val="20"/>
              </w:rPr>
            </w:pPr>
            <w:r w:rsidRPr="00201AAD">
              <w:rPr>
                <w:rFonts w:ascii="Times New Roman" w:hAnsi="Times New Roman" w:cs="Times New Roman"/>
                <w:color w:val="000000"/>
                <w:sz w:val="20"/>
                <w:szCs w:val="20"/>
              </w:rPr>
              <w:t>S&amp;P</w:t>
            </w:r>
          </w:p>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c>
          <w:tcPr>
            <w:tcW w:w="99" w:type="pct"/>
            <w:tcBorders>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p>
        </w:tc>
        <w:tc>
          <w:tcPr>
            <w:tcW w:w="342"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Sharpe</w:t>
            </w:r>
          </w:p>
        </w:tc>
        <w:tc>
          <w:tcPr>
            <w:tcW w:w="345"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c>
          <w:tcPr>
            <w:tcW w:w="354"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1C5F64" w:rsidP="00555626">
            <w:pPr>
              <w:spacing w:line="360" w:lineRule="auto"/>
              <w:jc w:val="center"/>
              <w:rPr>
                <w:rFonts w:ascii="Times New Roman" w:eastAsia="新細明體" w:hAnsi="Times New Roman" w:cs="Times New Roman"/>
                <w:color w:val="000000"/>
                <w:sz w:val="20"/>
                <w:szCs w:val="20"/>
              </w:rPr>
            </w:pPr>
            <m:oMathPara>
              <m:oMath>
                <m:sSup>
                  <m:sSupPr>
                    <m:ctrlPr>
                      <w:rPr>
                        <w:rFonts w:ascii="Cambria Math" w:eastAsia="新細明體" w:hAnsi="Cambria Math" w:cs="Times New Roman"/>
                        <w:color w:val="000000"/>
                        <w:sz w:val="20"/>
                        <w:szCs w:val="20"/>
                      </w:rPr>
                    </m:ctrlPr>
                  </m:sSupPr>
                  <m:e>
                    <m:r>
                      <m:rPr>
                        <m:sty m:val="p"/>
                      </m:rPr>
                      <w:rPr>
                        <w:rFonts w:ascii="Cambria Math" w:eastAsia="新細明體" w:hAnsi="Cambria Math" w:cs="Times New Roman"/>
                        <w:color w:val="000000"/>
                        <w:sz w:val="20"/>
                        <w:szCs w:val="20"/>
                      </w:rPr>
                      <m:t>M</m:t>
                    </m:r>
                  </m:e>
                  <m:sup>
                    <m:r>
                      <m:rPr>
                        <m:sty m:val="p"/>
                      </m:rPr>
                      <w:rPr>
                        <w:rFonts w:ascii="Cambria Math" w:eastAsia="新細明體" w:hAnsi="Cambria Math" w:cs="Times New Roman"/>
                        <w:color w:val="000000"/>
                        <w:sz w:val="20"/>
                        <w:szCs w:val="20"/>
                      </w:rPr>
                      <m:t>2</m:t>
                    </m:r>
                  </m:sup>
                </m:sSup>
              </m:oMath>
            </m:oMathPara>
          </w:p>
        </w:tc>
        <w:tc>
          <w:tcPr>
            <w:tcW w:w="354"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m:oMathPara>
              <m:oMath>
                <m:r>
                  <m:rPr>
                    <m:sty m:val="p"/>
                  </m:rPr>
                  <w:rPr>
                    <w:rFonts w:ascii="Cambria Math" w:eastAsia="新細明體" w:hAnsi="Cambria Math" w:cs="Times New Roman"/>
                    <w:color w:val="000000"/>
                    <w:sz w:val="20"/>
                    <w:szCs w:val="20"/>
                  </w:rPr>
                  <m:t>α</m:t>
                </m:r>
              </m:oMath>
            </m:oMathPara>
          </w:p>
        </w:tc>
        <w:tc>
          <w:tcPr>
            <w:tcW w:w="370" w:type="pct"/>
            <w:tcBorders>
              <w:top w:val="single" w:sz="4" w:space="0" w:color="000000" w:themeColor="text1"/>
              <w:left w:val="nil"/>
              <w:bottom w:val="single" w:sz="4" w:space="0" w:color="auto"/>
              <w:right w:val="nil"/>
            </w:tcBorders>
            <w:shd w:val="clear" w:color="auto" w:fill="auto"/>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20"/>
                <w:szCs w:val="20"/>
              </w:rPr>
            </w:pPr>
            <w:r w:rsidRPr="00201AAD">
              <w:rPr>
                <w:rFonts w:ascii="Times New Roman" w:hAnsi="Times New Roman" w:cs="Times New Roman"/>
                <w:color w:val="000000"/>
                <w:sz w:val="20"/>
                <w:szCs w:val="20"/>
              </w:rPr>
              <w:t>S&amp;P Sharpe</w:t>
            </w:r>
          </w:p>
        </w:tc>
        <w:tc>
          <w:tcPr>
            <w:tcW w:w="511" w:type="pct"/>
            <w:tcBorders>
              <w:top w:val="single" w:sz="4" w:space="0" w:color="000000" w:themeColor="text1"/>
              <w:left w:val="nil"/>
              <w:bottom w:val="single" w:sz="4" w:space="0" w:color="auto"/>
              <w:right w:val="nil"/>
            </w:tcBorders>
            <w:shd w:val="clear" w:color="auto" w:fill="auto"/>
            <w:noWrap/>
            <w:vAlign w:val="center"/>
            <w:hideMark/>
          </w:tcPr>
          <w:p w:rsidR="00555626" w:rsidRPr="00201AAD" w:rsidRDefault="00555626" w:rsidP="00555626">
            <w:pPr>
              <w:spacing w:line="360" w:lineRule="auto"/>
              <w:jc w:val="center"/>
              <w:rPr>
                <w:rFonts w:ascii="Times New Roman" w:hAnsi="Times New Roman" w:cs="Times New Roman"/>
                <w:color w:val="000000"/>
                <w:sz w:val="20"/>
                <w:szCs w:val="20"/>
              </w:rPr>
            </w:pPr>
            <w:r w:rsidRPr="00201AAD">
              <w:rPr>
                <w:rFonts w:ascii="Times New Roman" w:hAnsi="Times New Roman" w:cs="Times New Roman"/>
                <w:color w:val="000000"/>
                <w:sz w:val="20"/>
                <w:szCs w:val="20"/>
              </w:rPr>
              <w:t>S&amp;P</w:t>
            </w:r>
          </w:p>
          <w:p w:rsidR="00555626" w:rsidRPr="00201AAD" w:rsidRDefault="00555626" w:rsidP="00555626">
            <w:pPr>
              <w:spacing w:line="360" w:lineRule="auto"/>
              <w:jc w:val="center"/>
              <w:rPr>
                <w:rFonts w:ascii="Times New Roman" w:eastAsia="新細明體" w:hAnsi="Times New Roman" w:cs="Times New Roman"/>
                <w:color w:val="000000"/>
                <w:sz w:val="20"/>
                <w:szCs w:val="20"/>
              </w:rPr>
            </w:pPr>
            <w:proofErr w:type="spellStart"/>
            <w:r w:rsidRPr="00201AAD">
              <w:rPr>
                <w:rFonts w:ascii="Times New Roman" w:hAnsi="Times New Roman" w:cs="Times New Roman"/>
                <w:color w:val="000000"/>
                <w:sz w:val="20"/>
                <w:szCs w:val="20"/>
              </w:rPr>
              <w:t>Treynor</w:t>
            </w:r>
            <w:proofErr w:type="spellEnd"/>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0.4018</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0.5114</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0.78%</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0.25%</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0.0562</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0.0842</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0.1587</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0.3260</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0.46%</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1.01%</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-0.0785</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-0.1522</w:t>
            </w:r>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0-12</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0.3279</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0.3977</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0.54%</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-0.55%</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-0.0298</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-0.0349</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0.3632</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0.6100</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0.75%</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-0.07%</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0.0258</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0.0410</w:t>
            </w:r>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0-24</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0.1691</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0.2149</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0.36%</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0.28%</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-0.1325</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-0.1572</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0.4004</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0.6235</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0.75%</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1.07%</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0.0220</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0.0316</w:t>
            </w:r>
          </w:p>
        </w:tc>
      </w:tr>
      <w:tr w:rsidR="00555626" w:rsidRPr="00201AAD" w:rsidTr="00555626">
        <w:trPr>
          <w:trHeight w:val="324"/>
        </w:trPr>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0-36</w:t>
            </w:r>
          </w:p>
        </w:tc>
        <w:tc>
          <w:tcPr>
            <w:tcW w:w="34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0.3239</w:t>
            </w:r>
          </w:p>
        </w:tc>
        <w:tc>
          <w:tcPr>
            <w:tcW w:w="34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0.4567</w:t>
            </w:r>
          </w:p>
        </w:tc>
        <w:tc>
          <w:tcPr>
            <w:tcW w:w="353"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0.59%</w:t>
            </w:r>
          </w:p>
        </w:tc>
        <w:tc>
          <w:tcPr>
            <w:tcW w:w="38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1.11%</w:t>
            </w: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-0.0024</w:t>
            </w:r>
          </w:p>
        </w:tc>
        <w:tc>
          <w:tcPr>
            <w:tcW w:w="51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-0.0031</w:t>
            </w:r>
          </w:p>
        </w:tc>
        <w:tc>
          <w:tcPr>
            <w:tcW w:w="99"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0.3581</w:t>
            </w:r>
          </w:p>
        </w:tc>
        <w:tc>
          <w:tcPr>
            <w:tcW w:w="345"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0.5865</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0.71%</w:t>
            </w:r>
          </w:p>
        </w:tc>
        <w:tc>
          <w:tcPr>
            <w:tcW w:w="354"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0.60%</w:t>
            </w:r>
          </w:p>
        </w:tc>
        <w:tc>
          <w:tcPr>
            <w:tcW w:w="370"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-0.0150</w:t>
            </w:r>
          </w:p>
        </w:tc>
        <w:tc>
          <w:tcPr>
            <w:tcW w:w="511" w:type="pct"/>
            <w:tcBorders>
              <w:top w:val="nil"/>
              <w:left w:val="nil"/>
              <w:bottom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-0.0220</w:t>
            </w:r>
          </w:p>
        </w:tc>
      </w:tr>
      <w:tr w:rsidR="00555626" w:rsidRPr="00201AAD" w:rsidTr="00555626">
        <w:trPr>
          <w:trHeight w:val="324"/>
        </w:trPr>
        <w:tc>
          <w:tcPr>
            <w:tcW w:w="353"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0-48</w:t>
            </w:r>
          </w:p>
        </w:tc>
        <w:tc>
          <w:tcPr>
            <w:tcW w:w="340"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0.3431</w:t>
            </w:r>
          </w:p>
        </w:tc>
        <w:tc>
          <w:tcPr>
            <w:tcW w:w="344"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0.5003</w:t>
            </w:r>
          </w:p>
        </w:tc>
        <w:tc>
          <w:tcPr>
            <w:tcW w:w="353"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0.67%</w:t>
            </w:r>
          </w:p>
        </w:tc>
        <w:tc>
          <w:tcPr>
            <w:tcW w:w="38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1.91%</w:t>
            </w:r>
          </w:p>
        </w:tc>
        <w:tc>
          <w:tcPr>
            <w:tcW w:w="34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-0.0207</w:t>
            </w:r>
          </w:p>
        </w:tc>
        <w:tc>
          <w:tcPr>
            <w:tcW w:w="51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-0.0290</w:t>
            </w:r>
          </w:p>
        </w:tc>
        <w:tc>
          <w:tcPr>
            <w:tcW w:w="99"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0.3022</w:t>
            </w:r>
          </w:p>
        </w:tc>
        <w:tc>
          <w:tcPr>
            <w:tcW w:w="345"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0.5527</w:t>
            </w:r>
          </w:p>
        </w:tc>
        <w:tc>
          <w:tcPr>
            <w:tcW w:w="354"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0.69%</w:t>
            </w:r>
          </w:p>
        </w:tc>
        <w:tc>
          <w:tcPr>
            <w:tcW w:w="354"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1.22%</w:t>
            </w:r>
          </w:p>
        </w:tc>
        <w:tc>
          <w:tcPr>
            <w:tcW w:w="370"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-0.0505</w:t>
            </w:r>
          </w:p>
        </w:tc>
        <w:tc>
          <w:tcPr>
            <w:tcW w:w="511" w:type="pct"/>
            <w:tcBorders>
              <w:top w:val="nil"/>
              <w:left w:val="nil"/>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-0.0823</w:t>
            </w:r>
          </w:p>
        </w:tc>
      </w:tr>
      <w:tr w:rsidR="00555626" w:rsidRPr="00201AAD" w:rsidTr="00555626">
        <w:trPr>
          <w:trHeight w:val="324"/>
        </w:trPr>
        <w:tc>
          <w:tcPr>
            <w:tcW w:w="353"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0-60</w:t>
            </w:r>
          </w:p>
        </w:tc>
        <w:tc>
          <w:tcPr>
            <w:tcW w:w="340"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0.2595</w:t>
            </w:r>
          </w:p>
        </w:tc>
        <w:tc>
          <w:tcPr>
            <w:tcW w:w="344"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0.4364</w:t>
            </w:r>
          </w:p>
        </w:tc>
        <w:tc>
          <w:tcPr>
            <w:tcW w:w="353"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0.58%</w:t>
            </w:r>
          </w:p>
        </w:tc>
        <w:tc>
          <w:tcPr>
            <w:tcW w:w="382"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1.54%</w:t>
            </w:r>
          </w:p>
        </w:tc>
        <w:tc>
          <w:tcPr>
            <w:tcW w:w="342"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-0.0527</w:t>
            </w:r>
          </w:p>
        </w:tc>
        <w:tc>
          <w:tcPr>
            <w:tcW w:w="512"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-0.0810</w:t>
            </w:r>
          </w:p>
        </w:tc>
        <w:tc>
          <w:tcPr>
            <w:tcW w:w="99"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p>
        </w:tc>
        <w:tc>
          <w:tcPr>
            <w:tcW w:w="342"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0.2467</w:t>
            </w:r>
          </w:p>
        </w:tc>
        <w:tc>
          <w:tcPr>
            <w:tcW w:w="345"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0.5090</w:t>
            </w:r>
          </w:p>
        </w:tc>
        <w:tc>
          <w:tcPr>
            <w:tcW w:w="354"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0.63%</w:t>
            </w:r>
          </w:p>
        </w:tc>
        <w:tc>
          <w:tcPr>
            <w:tcW w:w="354"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1.37%</w:t>
            </w:r>
          </w:p>
        </w:tc>
        <w:tc>
          <w:tcPr>
            <w:tcW w:w="370"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-0.0842</w:t>
            </w:r>
          </w:p>
        </w:tc>
        <w:tc>
          <w:tcPr>
            <w:tcW w:w="511" w:type="pct"/>
            <w:tcBorders>
              <w:top w:val="nil"/>
              <w:left w:val="nil"/>
              <w:bottom w:val="single" w:sz="8" w:space="0" w:color="000000" w:themeColor="text1"/>
              <w:right w:val="nil"/>
            </w:tcBorders>
            <w:shd w:val="clear" w:color="auto" w:fill="auto"/>
            <w:noWrap/>
            <w:vAlign w:val="center"/>
            <w:hideMark/>
          </w:tcPr>
          <w:p w:rsidR="00555626" w:rsidRPr="00201AAD" w:rsidRDefault="00555626" w:rsidP="00555626">
            <w:pPr>
              <w:spacing w:line="360" w:lineRule="auto"/>
              <w:jc w:val="center"/>
              <w:rPr>
                <w:rFonts w:ascii="Times New Roman" w:eastAsia="新細明體" w:hAnsi="Times New Roman" w:cs="Times New Roman"/>
                <w:color w:val="000000"/>
                <w:sz w:val="16"/>
                <w:szCs w:val="16"/>
              </w:rPr>
            </w:pPr>
            <w:r w:rsidRPr="00201AAD">
              <w:rPr>
                <w:rFonts w:ascii="Times New Roman" w:hAnsi="Times New Roman" w:cs="Times New Roman"/>
                <w:color w:val="000000"/>
                <w:sz w:val="16"/>
                <w:szCs w:val="16"/>
              </w:rPr>
              <w:t>-0.1537</w:t>
            </w:r>
          </w:p>
        </w:tc>
      </w:tr>
    </w:tbl>
    <w:p w:rsidR="00555626" w:rsidRPr="00201AAD" w:rsidRDefault="00555626" w:rsidP="00555626">
      <w:pPr>
        <w:rPr>
          <w:rFonts w:ascii="Times New Roman" w:hAnsi="Times New Roman" w:cs="Times New Roman"/>
        </w:rPr>
        <w:sectPr w:rsidR="00555626" w:rsidRPr="00201AAD" w:rsidSect="00555626">
          <w:pgSz w:w="11906" w:h="16838"/>
          <w:pgMar w:top="1440" w:right="1800" w:bottom="1440" w:left="1800" w:header="851" w:footer="992" w:gutter="0"/>
          <w:cols w:space="425"/>
          <w:docGrid w:type="lines" w:linePitch="360"/>
        </w:sectPr>
      </w:pPr>
    </w:p>
    <w:p w:rsidR="00555626" w:rsidRPr="00201AAD" w:rsidRDefault="006C2B08" w:rsidP="00201AAD">
      <w:pPr>
        <w:autoSpaceDE w:val="0"/>
        <w:autoSpaceDN w:val="0"/>
        <w:adjustRightInd w:val="0"/>
        <w:jc w:val="center"/>
        <w:rPr>
          <w:rFonts w:ascii="Times New Roman" w:hAnsi="Times New Roman" w:cs="Times New Roman"/>
          <w:b/>
          <w:sz w:val="28"/>
          <w:szCs w:val="28"/>
        </w:rPr>
      </w:pPr>
      <w:r w:rsidRPr="00201AAD">
        <w:rPr>
          <w:rFonts w:ascii="Times New Roman" w:hAnsi="Times New Roman" w:cs="Times New Roman"/>
          <w:b/>
          <w:sz w:val="28"/>
          <w:szCs w:val="28"/>
        </w:rPr>
        <w:t>Table</w:t>
      </w:r>
      <w:r w:rsidR="00555626" w:rsidRPr="00201AAD">
        <w:rPr>
          <w:rFonts w:ascii="Times New Roman" w:hAnsi="Times New Roman" w:cs="Times New Roman"/>
          <w:b/>
          <w:sz w:val="28"/>
          <w:szCs w:val="28"/>
        </w:rPr>
        <w:t xml:space="preserve"> 5</w:t>
      </w:r>
      <w:r w:rsidR="00835F5E" w:rsidRPr="00201AAD">
        <w:rPr>
          <w:rFonts w:ascii="Times New Roman" w:hAnsi="Times New Roman" w:cs="Times New Roman"/>
          <w:b/>
          <w:sz w:val="28"/>
          <w:szCs w:val="28"/>
        </w:rPr>
        <w:t>:</w:t>
      </w:r>
      <w:r w:rsidRPr="00201AAD">
        <w:rPr>
          <w:rFonts w:ascii="Times New Roman" w:hAnsi="Times New Roman" w:cs="Times New Roman"/>
          <w:b/>
          <w:sz w:val="28"/>
          <w:szCs w:val="28"/>
        </w:rPr>
        <w:t xml:space="preserve"> </w:t>
      </w:r>
      <w:r w:rsidR="00555626" w:rsidRPr="00201AAD">
        <w:rPr>
          <w:rFonts w:ascii="Times New Roman" w:hAnsi="Times New Roman" w:cs="Times New Roman"/>
          <w:b/>
          <w:sz w:val="28"/>
          <w:szCs w:val="28"/>
        </w:rPr>
        <w:t>Cumulative Abnormal Return for Various Investment Portfolios</w:t>
      </w:r>
    </w:p>
    <w:tbl>
      <w:tblPr>
        <w:tblW w:w="5000" w:type="pct"/>
        <w:shd w:val="clear" w:color="auto" w:fill="C7EDCC" w:themeFill="background1"/>
        <w:tblLook w:val="04A0" w:firstRow="1" w:lastRow="0" w:firstColumn="1" w:lastColumn="0" w:noHBand="0" w:noVBand="1"/>
      </w:tblPr>
      <w:tblGrid>
        <w:gridCol w:w="805"/>
        <w:gridCol w:w="1038"/>
        <w:gridCol w:w="1034"/>
        <w:gridCol w:w="1003"/>
        <w:gridCol w:w="1227"/>
        <w:gridCol w:w="1426"/>
        <w:gridCol w:w="1426"/>
        <w:gridCol w:w="1426"/>
        <w:gridCol w:w="1426"/>
        <w:gridCol w:w="1121"/>
        <w:gridCol w:w="1121"/>
        <w:gridCol w:w="1121"/>
      </w:tblGrid>
      <w:tr w:rsidR="00555626" w:rsidRPr="00201AAD" w:rsidTr="00CA2A94">
        <w:trPr>
          <w:cantSplit/>
          <w:trHeight w:val="1252"/>
        </w:trPr>
        <w:tc>
          <w:tcPr>
            <w:tcW w:w="301"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Theme="majorEastAsia" w:hAnsi="Times New Roman" w:cs="Times New Roman"/>
                <w:b/>
                <w:sz w:val="22"/>
              </w:rPr>
              <w:t>Time period</w:t>
            </w:r>
          </w:p>
        </w:tc>
        <w:tc>
          <w:tcPr>
            <w:tcW w:w="381"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New entering indicator</w:t>
            </w:r>
          </w:p>
          <w:p w:rsidR="00CA2A94" w:rsidRPr="00201AAD" w:rsidRDefault="00CA2A94"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portfolio</w:t>
            </w:r>
          </w:p>
        </w:tc>
        <w:tc>
          <w:tcPr>
            <w:tcW w:w="381"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Deleted out of indicator</w:t>
            </w:r>
            <w:r w:rsidR="00CA2A94" w:rsidRPr="00201AAD">
              <w:rPr>
                <w:rFonts w:ascii="Times New Roman" w:eastAsia="新細明體" w:hAnsi="Times New Roman" w:cs="Times New Roman"/>
                <w:b/>
                <w:sz w:val="22"/>
              </w:rPr>
              <w:t xml:space="preserve"> portfolio</w:t>
            </w:r>
          </w:p>
        </w:tc>
        <w:tc>
          <w:tcPr>
            <w:tcW w:w="379"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Ranks upgrade</w:t>
            </w:r>
            <w:r w:rsidR="00CA2A94" w:rsidRPr="00201AAD">
              <w:rPr>
                <w:rFonts w:ascii="Times New Roman" w:eastAsia="新細明體" w:hAnsi="Times New Roman" w:cs="Times New Roman"/>
                <w:b/>
                <w:sz w:val="22"/>
              </w:rPr>
              <w:t xml:space="preserve"> portfolio</w:t>
            </w:r>
          </w:p>
        </w:tc>
        <w:tc>
          <w:tcPr>
            <w:tcW w:w="465"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Ranks downgrade</w:t>
            </w:r>
            <w:r w:rsidR="00CA2A94" w:rsidRPr="00201AAD">
              <w:rPr>
                <w:rFonts w:ascii="Times New Roman" w:eastAsia="新細明體" w:hAnsi="Times New Roman" w:cs="Times New Roman"/>
                <w:b/>
                <w:sz w:val="22"/>
              </w:rPr>
              <w:t xml:space="preserve"> portfolio</w:t>
            </w:r>
          </w:p>
        </w:tc>
        <w:tc>
          <w:tcPr>
            <w:tcW w:w="464"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Continuously 2-years in indicator</w:t>
            </w:r>
            <w:r w:rsidR="00CA2A94" w:rsidRPr="00201AAD">
              <w:rPr>
                <w:rFonts w:ascii="Times New Roman" w:eastAsia="新細明體" w:hAnsi="Times New Roman" w:cs="Times New Roman"/>
                <w:b/>
                <w:sz w:val="22"/>
              </w:rPr>
              <w:t xml:space="preserve"> portfolio</w:t>
            </w:r>
          </w:p>
        </w:tc>
        <w:tc>
          <w:tcPr>
            <w:tcW w:w="464"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Continuously 3-years in indicator</w:t>
            </w:r>
            <w:r w:rsidR="00CA2A94" w:rsidRPr="00201AAD">
              <w:rPr>
                <w:rFonts w:ascii="Times New Roman" w:eastAsia="新細明體" w:hAnsi="Times New Roman" w:cs="Times New Roman"/>
                <w:b/>
                <w:sz w:val="22"/>
              </w:rPr>
              <w:t xml:space="preserve"> portfolio</w:t>
            </w:r>
          </w:p>
        </w:tc>
        <w:tc>
          <w:tcPr>
            <w:tcW w:w="464"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Continuously 4-years in indicator</w:t>
            </w:r>
            <w:r w:rsidR="00CA2A94" w:rsidRPr="00201AAD">
              <w:rPr>
                <w:rFonts w:ascii="Times New Roman" w:eastAsia="新細明體" w:hAnsi="Times New Roman" w:cs="Times New Roman"/>
                <w:b/>
                <w:sz w:val="22"/>
              </w:rPr>
              <w:t xml:space="preserve"> portfolio</w:t>
            </w:r>
          </w:p>
        </w:tc>
        <w:tc>
          <w:tcPr>
            <w:tcW w:w="464"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Continuously 5-years in indicator</w:t>
            </w:r>
            <w:r w:rsidR="00CA2A94" w:rsidRPr="00201AAD">
              <w:rPr>
                <w:rFonts w:ascii="Times New Roman" w:eastAsia="新細明體" w:hAnsi="Times New Roman" w:cs="Times New Roman"/>
                <w:b/>
                <w:sz w:val="22"/>
              </w:rPr>
              <w:t xml:space="preserve"> portfolio</w:t>
            </w:r>
          </w:p>
        </w:tc>
        <w:tc>
          <w:tcPr>
            <w:tcW w:w="412"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Selected by 2 indicators</w:t>
            </w:r>
            <w:r w:rsidR="00CA2A94" w:rsidRPr="00201AAD">
              <w:rPr>
                <w:rFonts w:ascii="Times New Roman" w:eastAsia="新細明體" w:hAnsi="Times New Roman" w:cs="Times New Roman"/>
                <w:b/>
                <w:sz w:val="22"/>
              </w:rPr>
              <w:t xml:space="preserve"> portfolio</w:t>
            </w:r>
          </w:p>
        </w:tc>
        <w:tc>
          <w:tcPr>
            <w:tcW w:w="412"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Selected by 3 indicators</w:t>
            </w:r>
            <w:r w:rsidR="00CA2A94" w:rsidRPr="00201AAD">
              <w:rPr>
                <w:rFonts w:ascii="Times New Roman" w:eastAsia="新細明體" w:hAnsi="Times New Roman" w:cs="Times New Roman"/>
                <w:b/>
                <w:sz w:val="22"/>
              </w:rPr>
              <w:t xml:space="preserve"> portfolio</w:t>
            </w:r>
          </w:p>
        </w:tc>
        <w:tc>
          <w:tcPr>
            <w:tcW w:w="412"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 w:val="22"/>
              </w:rPr>
            </w:pPr>
            <w:r w:rsidRPr="00201AAD">
              <w:rPr>
                <w:rFonts w:ascii="Times New Roman" w:eastAsia="新細明體" w:hAnsi="Times New Roman" w:cs="Times New Roman"/>
                <w:b/>
                <w:sz w:val="22"/>
              </w:rPr>
              <w:t>Selected by 4 indicators</w:t>
            </w:r>
            <w:r w:rsidR="00CA2A94" w:rsidRPr="00201AAD">
              <w:rPr>
                <w:rFonts w:ascii="Times New Roman" w:eastAsia="新細明體" w:hAnsi="Times New Roman" w:cs="Times New Roman"/>
                <w:b/>
                <w:sz w:val="22"/>
              </w:rPr>
              <w:t xml:space="preserve"> portfolio</w:t>
            </w:r>
          </w:p>
        </w:tc>
      </w:tr>
      <w:tr w:rsidR="00555626" w:rsidRPr="00201AAD" w:rsidTr="00555626">
        <w:tc>
          <w:tcPr>
            <w:tcW w:w="301"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b/>
                <w:color w:val="000000"/>
              </w:rPr>
            </w:pPr>
            <w:r w:rsidRPr="00201AAD">
              <w:rPr>
                <w:rFonts w:ascii="Times New Roman" w:hAnsi="Times New Roman" w:cs="Times New Roman"/>
                <w:b/>
                <w:color w:val="000000"/>
              </w:rPr>
              <w:t>0-6</w:t>
            </w:r>
          </w:p>
        </w:tc>
        <w:tc>
          <w:tcPr>
            <w:tcW w:w="381"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6.40</w:t>
            </w:r>
          </w:p>
        </w:tc>
        <w:tc>
          <w:tcPr>
            <w:tcW w:w="381"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6.26</w:t>
            </w:r>
          </w:p>
        </w:tc>
        <w:tc>
          <w:tcPr>
            <w:tcW w:w="379"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bCs/>
                <w:color w:val="000000"/>
              </w:rPr>
            </w:pPr>
            <w:r w:rsidRPr="00201AAD">
              <w:rPr>
                <w:rFonts w:ascii="Times New Roman" w:hAnsi="Times New Roman" w:cs="Times New Roman"/>
                <w:bCs/>
                <w:color w:val="000000"/>
              </w:rPr>
              <w:t>8.32</w:t>
            </w:r>
          </w:p>
        </w:tc>
        <w:tc>
          <w:tcPr>
            <w:tcW w:w="465"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2.46</w:t>
            </w:r>
          </w:p>
        </w:tc>
        <w:tc>
          <w:tcPr>
            <w:tcW w:w="464"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5.21</w:t>
            </w:r>
          </w:p>
        </w:tc>
        <w:tc>
          <w:tcPr>
            <w:tcW w:w="464"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8.13</w:t>
            </w:r>
          </w:p>
        </w:tc>
        <w:tc>
          <w:tcPr>
            <w:tcW w:w="464"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5.20</w:t>
            </w:r>
          </w:p>
        </w:tc>
        <w:tc>
          <w:tcPr>
            <w:tcW w:w="464"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4.81</w:t>
            </w:r>
          </w:p>
        </w:tc>
        <w:tc>
          <w:tcPr>
            <w:tcW w:w="412"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1.61</w:t>
            </w:r>
          </w:p>
        </w:tc>
        <w:tc>
          <w:tcPr>
            <w:tcW w:w="412"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2.84</w:t>
            </w:r>
          </w:p>
        </w:tc>
        <w:tc>
          <w:tcPr>
            <w:tcW w:w="412" w:type="pct"/>
            <w:tcBorders>
              <w:top w:val="single" w:sz="4" w:space="0" w:color="auto"/>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0.02</w:t>
            </w:r>
          </w:p>
        </w:tc>
      </w:tr>
      <w:tr w:rsidR="00555626" w:rsidRPr="00201AAD" w:rsidTr="00555626">
        <w:tc>
          <w:tcPr>
            <w:tcW w:w="30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
                <w:color w:val="000000"/>
              </w:rPr>
            </w:pPr>
            <w:r w:rsidRPr="00201AAD">
              <w:rPr>
                <w:rFonts w:ascii="Times New Roman" w:hAnsi="Times New Roman" w:cs="Times New Roman"/>
                <w:b/>
                <w:color w:val="000000"/>
              </w:rPr>
              <w:t>0-12</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7.40</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8.51</w:t>
            </w:r>
          </w:p>
        </w:tc>
        <w:tc>
          <w:tcPr>
            <w:tcW w:w="379"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Cs/>
                <w:color w:val="000000"/>
              </w:rPr>
            </w:pPr>
            <w:r w:rsidRPr="00201AAD">
              <w:rPr>
                <w:rFonts w:ascii="Times New Roman" w:hAnsi="Times New Roman" w:cs="Times New Roman"/>
                <w:bCs/>
                <w:color w:val="000000"/>
              </w:rPr>
              <w:t>13.98</w:t>
            </w:r>
          </w:p>
        </w:tc>
        <w:tc>
          <w:tcPr>
            <w:tcW w:w="465"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8.87</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11.38</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13.05</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10.68</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10.71</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8.92</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6.24</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4.40</w:t>
            </w:r>
          </w:p>
        </w:tc>
      </w:tr>
      <w:tr w:rsidR="00555626" w:rsidRPr="00201AAD" w:rsidTr="00555626">
        <w:tc>
          <w:tcPr>
            <w:tcW w:w="30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
                <w:color w:val="000000"/>
              </w:rPr>
            </w:pPr>
            <w:r w:rsidRPr="00201AAD">
              <w:rPr>
                <w:rFonts w:ascii="Times New Roman" w:hAnsi="Times New Roman" w:cs="Times New Roman"/>
                <w:b/>
                <w:color w:val="000000"/>
              </w:rPr>
              <w:t>0-24</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18.94</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23.08</w:t>
            </w:r>
          </w:p>
        </w:tc>
        <w:tc>
          <w:tcPr>
            <w:tcW w:w="379"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Cs/>
                <w:color w:val="000000"/>
              </w:rPr>
            </w:pPr>
            <w:r w:rsidRPr="00201AAD">
              <w:rPr>
                <w:rFonts w:ascii="Times New Roman" w:hAnsi="Times New Roman" w:cs="Times New Roman"/>
                <w:bCs/>
                <w:color w:val="000000"/>
              </w:rPr>
              <w:t>23.57</w:t>
            </w:r>
          </w:p>
        </w:tc>
        <w:tc>
          <w:tcPr>
            <w:tcW w:w="465"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18.71</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20.89</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20.08</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17.45</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15.92</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17.37</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8.36</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19.09</w:t>
            </w:r>
          </w:p>
        </w:tc>
      </w:tr>
      <w:tr w:rsidR="00555626" w:rsidRPr="00201AAD" w:rsidTr="00555626">
        <w:tc>
          <w:tcPr>
            <w:tcW w:w="30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
                <w:color w:val="000000"/>
              </w:rPr>
            </w:pPr>
            <w:r w:rsidRPr="00201AAD">
              <w:rPr>
                <w:rFonts w:ascii="Times New Roman" w:hAnsi="Times New Roman" w:cs="Times New Roman"/>
                <w:b/>
                <w:color w:val="000000"/>
              </w:rPr>
              <w:t>0-36</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26.33</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34.74</w:t>
            </w:r>
          </w:p>
        </w:tc>
        <w:tc>
          <w:tcPr>
            <w:tcW w:w="379"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Cs/>
                <w:color w:val="000000"/>
              </w:rPr>
            </w:pPr>
            <w:r w:rsidRPr="00201AAD">
              <w:rPr>
                <w:rFonts w:ascii="Times New Roman" w:hAnsi="Times New Roman" w:cs="Times New Roman"/>
                <w:bCs/>
                <w:color w:val="000000"/>
              </w:rPr>
              <w:t>34.17</w:t>
            </w:r>
          </w:p>
        </w:tc>
        <w:tc>
          <w:tcPr>
            <w:tcW w:w="465"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32.74</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30.39</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28.19</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23.79</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20.16</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25.35</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17.85</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29.01</w:t>
            </w:r>
          </w:p>
        </w:tc>
      </w:tr>
      <w:tr w:rsidR="00555626" w:rsidRPr="00201AAD" w:rsidTr="00555626">
        <w:tc>
          <w:tcPr>
            <w:tcW w:w="30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
                <w:color w:val="000000"/>
              </w:rPr>
            </w:pPr>
            <w:r w:rsidRPr="00201AAD">
              <w:rPr>
                <w:rFonts w:ascii="Times New Roman" w:hAnsi="Times New Roman" w:cs="Times New Roman"/>
                <w:b/>
                <w:color w:val="000000"/>
              </w:rPr>
              <w:t>0-48</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37.78</w:t>
            </w:r>
          </w:p>
        </w:tc>
        <w:tc>
          <w:tcPr>
            <w:tcW w:w="381"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42.79</w:t>
            </w:r>
          </w:p>
        </w:tc>
        <w:tc>
          <w:tcPr>
            <w:tcW w:w="379"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bCs/>
                <w:color w:val="000000"/>
              </w:rPr>
            </w:pPr>
            <w:r w:rsidRPr="00201AAD">
              <w:rPr>
                <w:rFonts w:ascii="Times New Roman" w:hAnsi="Times New Roman" w:cs="Times New Roman"/>
                <w:bCs/>
                <w:color w:val="000000"/>
              </w:rPr>
              <w:t>43.91</w:t>
            </w:r>
          </w:p>
        </w:tc>
        <w:tc>
          <w:tcPr>
            <w:tcW w:w="465"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39.85</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35.27</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31.63</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23.87</w:t>
            </w:r>
          </w:p>
        </w:tc>
        <w:tc>
          <w:tcPr>
            <w:tcW w:w="464"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21.79</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34.62</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32.77</w:t>
            </w:r>
          </w:p>
        </w:tc>
        <w:tc>
          <w:tcPr>
            <w:tcW w:w="412" w:type="pct"/>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29.81</w:t>
            </w:r>
          </w:p>
        </w:tc>
      </w:tr>
      <w:tr w:rsidR="00555626" w:rsidRPr="00201AAD" w:rsidTr="00555626">
        <w:tc>
          <w:tcPr>
            <w:tcW w:w="301"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b/>
                <w:color w:val="000000"/>
              </w:rPr>
            </w:pPr>
            <w:r w:rsidRPr="00201AAD">
              <w:rPr>
                <w:rFonts w:ascii="Times New Roman" w:hAnsi="Times New Roman" w:cs="Times New Roman"/>
                <w:b/>
                <w:color w:val="000000"/>
              </w:rPr>
              <w:t>0-60</w:t>
            </w:r>
          </w:p>
        </w:tc>
        <w:tc>
          <w:tcPr>
            <w:tcW w:w="381"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42.18</w:t>
            </w:r>
          </w:p>
        </w:tc>
        <w:tc>
          <w:tcPr>
            <w:tcW w:w="381"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45.99</w:t>
            </w:r>
          </w:p>
        </w:tc>
        <w:tc>
          <w:tcPr>
            <w:tcW w:w="379"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bCs/>
                <w:color w:val="000000"/>
              </w:rPr>
            </w:pPr>
            <w:r w:rsidRPr="00201AAD">
              <w:rPr>
                <w:rFonts w:ascii="Times New Roman" w:hAnsi="Times New Roman" w:cs="Times New Roman"/>
                <w:bCs/>
                <w:color w:val="000000"/>
              </w:rPr>
              <w:t>52.68</w:t>
            </w:r>
          </w:p>
        </w:tc>
        <w:tc>
          <w:tcPr>
            <w:tcW w:w="465"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45.75</w:t>
            </w:r>
          </w:p>
        </w:tc>
        <w:tc>
          <w:tcPr>
            <w:tcW w:w="464"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37.90</w:t>
            </w:r>
          </w:p>
        </w:tc>
        <w:tc>
          <w:tcPr>
            <w:tcW w:w="464"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28.13</w:t>
            </w:r>
          </w:p>
        </w:tc>
        <w:tc>
          <w:tcPr>
            <w:tcW w:w="464"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23.16</w:t>
            </w:r>
          </w:p>
        </w:tc>
        <w:tc>
          <w:tcPr>
            <w:tcW w:w="464"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51.13</w:t>
            </w:r>
          </w:p>
        </w:tc>
        <w:tc>
          <w:tcPr>
            <w:tcW w:w="412"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35.71</w:t>
            </w:r>
          </w:p>
        </w:tc>
        <w:tc>
          <w:tcPr>
            <w:tcW w:w="412"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40.63</w:t>
            </w:r>
          </w:p>
        </w:tc>
        <w:tc>
          <w:tcPr>
            <w:tcW w:w="412" w:type="pct"/>
            <w:tcBorders>
              <w:bottom w:val="single" w:sz="8" w:space="0" w:color="000000" w:themeColor="text1"/>
            </w:tcBorders>
            <w:shd w:val="clear" w:color="auto" w:fill="C7EDCC" w:themeFill="background1"/>
            <w:vAlign w:val="center"/>
          </w:tcPr>
          <w:p w:rsidR="00555626" w:rsidRPr="00201AAD" w:rsidRDefault="00555626" w:rsidP="00555626">
            <w:pPr>
              <w:jc w:val="center"/>
              <w:rPr>
                <w:rFonts w:ascii="Times New Roman" w:eastAsia="新細明體" w:hAnsi="Times New Roman" w:cs="Times New Roman"/>
                <w:color w:val="000000"/>
              </w:rPr>
            </w:pPr>
            <w:r w:rsidRPr="00201AAD">
              <w:rPr>
                <w:rFonts w:ascii="Times New Roman" w:hAnsi="Times New Roman" w:cs="Times New Roman"/>
                <w:color w:val="000000"/>
              </w:rPr>
              <w:t>33.50</w:t>
            </w:r>
          </w:p>
        </w:tc>
      </w:tr>
    </w:tbl>
    <w:p w:rsidR="00555626" w:rsidRPr="00201AAD" w:rsidRDefault="00555626" w:rsidP="00555626">
      <w:pPr>
        <w:autoSpaceDE w:val="0"/>
        <w:autoSpaceDN w:val="0"/>
        <w:adjustRightInd w:val="0"/>
        <w:spacing w:line="480" w:lineRule="auto"/>
        <w:jc w:val="both"/>
        <w:rPr>
          <w:rFonts w:ascii="Times New Roman" w:eastAsia="新細明體" w:hAnsi="Times New Roman" w:cs="Times New Roman"/>
          <w:i/>
          <w:sz w:val="20"/>
          <w:szCs w:val="20"/>
        </w:rPr>
      </w:pPr>
      <w:r w:rsidRPr="00201AAD">
        <w:rPr>
          <w:rFonts w:ascii="Times New Roman" w:hAnsi="Times New Roman" w:cs="Times New Roman"/>
          <w:i/>
          <w:sz w:val="20"/>
          <w:szCs w:val="20"/>
        </w:rPr>
        <w:t>Note: All numbers are in percentages</w:t>
      </w:r>
      <w:r w:rsidRPr="00201AAD">
        <w:rPr>
          <w:rFonts w:ascii="Times New Roman" w:eastAsia="新細明體" w:hAnsi="Times New Roman" w:cs="Times New Roman"/>
          <w:i/>
          <w:sz w:val="20"/>
          <w:szCs w:val="20"/>
        </w:rPr>
        <w:t>.</w:t>
      </w:r>
    </w:p>
    <w:p w:rsidR="00555626" w:rsidRPr="00201AAD" w:rsidRDefault="00555626" w:rsidP="00555626">
      <w:pPr>
        <w:rPr>
          <w:rFonts w:ascii="Times New Roman" w:hAnsi="Times New Roman" w:cs="Times New Roman"/>
        </w:rPr>
        <w:sectPr w:rsidR="00555626" w:rsidRPr="00201AAD" w:rsidSect="00555626">
          <w:pgSz w:w="16838" w:h="11906" w:orient="landscape"/>
          <w:pgMar w:top="1800" w:right="1440" w:bottom="1800" w:left="1440" w:header="851" w:footer="992" w:gutter="0"/>
          <w:cols w:space="425"/>
          <w:docGrid w:type="lines" w:linePitch="360"/>
        </w:sectPr>
      </w:pPr>
    </w:p>
    <w:p w:rsidR="00555626" w:rsidRPr="00201AAD" w:rsidRDefault="006C2B08" w:rsidP="00201AAD">
      <w:pPr>
        <w:autoSpaceDE w:val="0"/>
        <w:autoSpaceDN w:val="0"/>
        <w:adjustRightInd w:val="0"/>
        <w:spacing w:line="0" w:lineRule="atLeast"/>
        <w:jc w:val="center"/>
        <w:rPr>
          <w:rFonts w:ascii="Times New Roman" w:eastAsia="新細明體" w:hAnsi="Times New Roman" w:cs="Times New Roman"/>
          <w:b/>
          <w:kern w:val="0"/>
          <w:sz w:val="28"/>
          <w:szCs w:val="28"/>
        </w:rPr>
      </w:pPr>
      <w:r w:rsidRPr="00201AAD">
        <w:rPr>
          <w:rFonts w:ascii="Times New Roman" w:hAnsi="Times New Roman" w:cs="Times New Roman"/>
          <w:b/>
          <w:sz w:val="28"/>
          <w:szCs w:val="28"/>
        </w:rPr>
        <w:t>Table</w:t>
      </w:r>
      <w:r w:rsidR="00555626" w:rsidRPr="00201AAD">
        <w:rPr>
          <w:rFonts w:ascii="Times New Roman" w:eastAsia="新細明體" w:hAnsi="Times New Roman" w:cs="Times New Roman"/>
          <w:b/>
          <w:kern w:val="0"/>
          <w:sz w:val="28"/>
          <w:szCs w:val="28"/>
        </w:rPr>
        <w:t xml:space="preserve"> 6</w:t>
      </w:r>
      <w:r w:rsidR="00835F5E" w:rsidRPr="00201AAD">
        <w:rPr>
          <w:rFonts w:ascii="Times New Roman" w:eastAsia="新細明體" w:hAnsi="Times New Roman" w:cs="Times New Roman"/>
          <w:b/>
          <w:kern w:val="0"/>
          <w:sz w:val="28"/>
          <w:szCs w:val="28"/>
        </w:rPr>
        <w:t>:</w:t>
      </w:r>
      <w:r w:rsidRPr="00201AAD">
        <w:rPr>
          <w:rFonts w:ascii="Times New Roman" w:eastAsia="新細明體" w:hAnsi="Times New Roman" w:cs="Times New Roman"/>
          <w:b/>
          <w:kern w:val="0"/>
          <w:sz w:val="28"/>
          <w:szCs w:val="28"/>
        </w:rPr>
        <w:t xml:space="preserve"> </w:t>
      </w:r>
      <w:r w:rsidR="00555626" w:rsidRPr="00201AAD">
        <w:rPr>
          <w:rFonts w:ascii="Times New Roman" w:eastAsia="新細明體" w:hAnsi="Times New Roman" w:cs="Times New Roman"/>
          <w:b/>
          <w:kern w:val="0"/>
          <w:sz w:val="28"/>
          <w:szCs w:val="28"/>
        </w:rPr>
        <w:t>Robustness Check between Ranks-Upgrade Portfolio and Each Indicator</w:t>
      </w:r>
    </w:p>
    <w:tbl>
      <w:tblPr>
        <w:tblW w:w="5000" w:type="pct"/>
        <w:shd w:val="clear" w:color="auto" w:fill="C7EDCC" w:themeFill="background1"/>
        <w:tblLook w:val="04A0" w:firstRow="1" w:lastRow="0" w:firstColumn="1" w:lastColumn="0" w:noHBand="0" w:noVBand="1"/>
      </w:tblPr>
      <w:tblGrid>
        <w:gridCol w:w="996"/>
        <w:gridCol w:w="2000"/>
        <w:gridCol w:w="1110"/>
        <w:gridCol w:w="1587"/>
        <w:gridCol w:w="1227"/>
        <w:gridCol w:w="1602"/>
      </w:tblGrid>
      <w:tr w:rsidR="00555626" w:rsidRPr="00201AAD" w:rsidTr="00555626">
        <w:trPr>
          <w:cantSplit/>
          <w:trHeight w:val="1338"/>
        </w:trPr>
        <w:tc>
          <w:tcPr>
            <w:tcW w:w="602"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Cs w:val="24"/>
              </w:rPr>
            </w:pPr>
            <w:r w:rsidRPr="00201AAD">
              <w:rPr>
                <w:rFonts w:ascii="Times New Roman" w:eastAsiaTheme="majorEastAsia" w:hAnsi="Times New Roman" w:cs="Times New Roman"/>
                <w:b/>
                <w:szCs w:val="24"/>
              </w:rPr>
              <w:t>Time period</w:t>
            </w:r>
          </w:p>
        </w:tc>
        <w:tc>
          <w:tcPr>
            <w:tcW w:w="1191" w:type="pct"/>
            <w:tcBorders>
              <w:top w:val="single" w:sz="4" w:space="0" w:color="auto"/>
              <w:bottom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szCs w:val="24"/>
              </w:rPr>
            </w:pPr>
            <w:r w:rsidRPr="00201AAD">
              <w:rPr>
                <w:rFonts w:ascii="Times New Roman" w:hAnsi="Times New Roman" w:cs="Times New Roman"/>
                <w:b/>
                <w:bCs/>
                <w:color w:val="000000"/>
                <w:szCs w:val="24"/>
              </w:rPr>
              <w:t>Ranks-Upgrade portfolio</w:t>
            </w:r>
          </w:p>
        </w:tc>
        <w:tc>
          <w:tcPr>
            <w:tcW w:w="565" w:type="pct"/>
            <w:tcBorders>
              <w:top w:val="single" w:sz="4" w:space="0" w:color="auto"/>
              <w:bottom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Best to work for</w:t>
            </w:r>
            <w:r w:rsidR="003C4169" w:rsidRPr="00201AAD">
              <w:rPr>
                <w:rFonts w:ascii="Times New Roman" w:hAnsi="Times New Roman" w:cs="Times New Roman"/>
                <w:b/>
                <w:color w:val="000000"/>
                <w:szCs w:val="24"/>
              </w:rPr>
              <w:t xml:space="preserve"> portfolio</w:t>
            </w:r>
          </w:p>
        </w:tc>
        <w:tc>
          <w:tcPr>
            <w:tcW w:w="948" w:type="pct"/>
            <w:tcBorders>
              <w:top w:val="single" w:sz="4" w:space="0" w:color="auto"/>
              <w:bottom w:val="single" w:sz="4" w:space="0" w:color="auto"/>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r>
                      <m:rPr>
                        <m:sty m:val="b"/>
                      </m:rPr>
                      <w:rPr>
                        <w:rFonts w:ascii="Cambria Math" w:hAnsi="Cambria Math" w:cs="Times New Roman"/>
                        <w:color w:val="000000"/>
                        <w:szCs w:val="24"/>
                      </w:rPr>
                      <m:t>Difference</m:t>
                    </m:r>
                  </m:e>
                  <m:sup>
                    <m:r>
                      <m:rPr>
                        <m:sty m:val="b"/>
                      </m:rPr>
                      <w:rPr>
                        <w:rFonts w:ascii="Cambria Math" w:hAnsi="Cambria Math" w:cs="Times New Roman"/>
                        <w:color w:val="000000"/>
                        <w:szCs w:val="24"/>
                      </w:rPr>
                      <m:t>a</m:t>
                    </m:r>
                  </m:sup>
                </m:sSup>
              </m:oMath>
            </m:oMathPara>
          </w:p>
        </w:tc>
        <w:tc>
          <w:tcPr>
            <w:tcW w:w="737" w:type="pct"/>
            <w:tcBorders>
              <w:top w:val="single" w:sz="4" w:space="0" w:color="auto"/>
              <w:bottom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Most Admired</w:t>
            </w:r>
            <w:r w:rsidR="003C4169" w:rsidRPr="00201AAD">
              <w:rPr>
                <w:rFonts w:ascii="Times New Roman" w:hAnsi="Times New Roman" w:cs="Times New Roman"/>
                <w:b/>
                <w:color w:val="000000"/>
                <w:szCs w:val="24"/>
              </w:rPr>
              <w:t xml:space="preserve"> portfolio</w:t>
            </w:r>
          </w:p>
        </w:tc>
        <w:tc>
          <w:tcPr>
            <w:tcW w:w="957" w:type="pct"/>
            <w:tcBorders>
              <w:top w:val="single" w:sz="4" w:space="0" w:color="auto"/>
              <w:bottom w:val="single" w:sz="4" w:space="0" w:color="auto"/>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r>
                      <m:rPr>
                        <m:sty m:val="b"/>
                      </m:rPr>
                      <w:rPr>
                        <w:rFonts w:ascii="Cambria Math" w:hAnsi="Cambria Math" w:cs="Times New Roman"/>
                        <w:color w:val="000000"/>
                        <w:szCs w:val="24"/>
                      </w:rPr>
                      <m:t>Difference</m:t>
                    </m:r>
                  </m:e>
                  <m:sup>
                    <m:r>
                      <m:rPr>
                        <m:sty m:val="b"/>
                      </m:rPr>
                      <w:rPr>
                        <w:rFonts w:ascii="Cambria Math" w:hAnsi="Cambria Math" w:cs="Times New Roman"/>
                        <w:color w:val="000000"/>
                        <w:szCs w:val="24"/>
                      </w:rPr>
                      <m:t>b</m:t>
                    </m:r>
                  </m:sup>
                </m:sSup>
              </m:oMath>
            </m:oMathPara>
          </w:p>
        </w:tc>
      </w:tr>
      <w:tr w:rsidR="00555626" w:rsidRPr="00201AAD" w:rsidTr="00555626">
        <w:tc>
          <w:tcPr>
            <w:tcW w:w="602"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0-6</w:t>
            </w:r>
          </w:p>
        </w:tc>
        <w:tc>
          <w:tcPr>
            <w:tcW w:w="1191" w:type="pct"/>
            <w:tcBorders>
              <w:top w:val="single" w:sz="4" w:space="0" w:color="auto"/>
            </w:tcBorders>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8.32</w:t>
            </w:r>
          </w:p>
        </w:tc>
        <w:tc>
          <w:tcPr>
            <w:tcW w:w="565"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3.59</w:t>
            </w:r>
          </w:p>
        </w:tc>
        <w:tc>
          <w:tcPr>
            <w:tcW w:w="948"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4.73</w:t>
            </w:r>
            <w:r w:rsidRPr="00201AAD">
              <w:rPr>
                <w:rFonts w:ascii="Times New Roman" w:eastAsia="Arial Unicode MS" w:hAnsi="Times New Roman" w:cs="Times New Roman"/>
                <w:i/>
              </w:rPr>
              <w:t>≠</w:t>
            </w:r>
          </w:p>
        </w:tc>
        <w:tc>
          <w:tcPr>
            <w:tcW w:w="737"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3.66</w:t>
            </w:r>
          </w:p>
        </w:tc>
        <w:tc>
          <w:tcPr>
            <w:tcW w:w="957"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4.66</w:t>
            </w:r>
            <w:r w:rsidRPr="00201AAD">
              <w:rPr>
                <w:rFonts w:ascii="Times New Roman" w:eastAsia="Arial Unicode MS" w:hAnsi="Times New Roman" w:cs="Times New Roman"/>
                <w:i/>
              </w:rPr>
              <w:t>≠</w:t>
            </w:r>
          </w:p>
        </w:tc>
      </w:tr>
      <w:tr w:rsidR="00555626" w:rsidRPr="00201AAD" w:rsidTr="00555626">
        <w:tc>
          <w:tcPr>
            <w:tcW w:w="602"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0-12</w:t>
            </w:r>
          </w:p>
        </w:tc>
        <w:tc>
          <w:tcPr>
            <w:tcW w:w="1191"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13.98</w:t>
            </w:r>
          </w:p>
        </w:tc>
        <w:tc>
          <w:tcPr>
            <w:tcW w:w="56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8.97</w:t>
            </w:r>
          </w:p>
        </w:tc>
        <w:tc>
          <w:tcPr>
            <w:tcW w:w="94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5.01</w:t>
            </w:r>
            <w:r w:rsidRPr="00201AAD">
              <w:rPr>
                <w:rFonts w:ascii="Cambria Math" w:eastAsia="Arial Unicode MS" w:hAnsi="Cambria Math" w:cs="Cambria Math"/>
                <w:i/>
              </w:rPr>
              <w:t>≢</w:t>
            </w:r>
          </w:p>
        </w:tc>
        <w:tc>
          <w:tcPr>
            <w:tcW w:w="73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6.98</w:t>
            </w:r>
          </w:p>
        </w:tc>
        <w:tc>
          <w:tcPr>
            <w:tcW w:w="95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7.00</w:t>
            </w:r>
            <w:r w:rsidRPr="00201AAD">
              <w:rPr>
                <w:rFonts w:ascii="Cambria Math" w:eastAsia="Arial Unicode MS" w:hAnsi="Cambria Math" w:cs="Cambria Math"/>
                <w:i/>
              </w:rPr>
              <w:t>≢</w:t>
            </w:r>
          </w:p>
        </w:tc>
      </w:tr>
      <w:tr w:rsidR="00555626" w:rsidRPr="00201AAD" w:rsidTr="00555626">
        <w:tc>
          <w:tcPr>
            <w:tcW w:w="602"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0-24</w:t>
            </w:r>
          </w:p>
        </w:tc>
        <w:tc>
          <w:tcPr>
            <w:tcW w:w="1191"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23.57</w:t>
            </w:r>
          </w:p>
        </w:tc>
        <w:tc>
          <w:tcPr>
            <w:tcW w:w="56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6.59</w:t>
            </w:r>
          </w:p>
        </w:tc>
        <w:tc>
          <w:tcPr>
            <w:tcW w:w="94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16.98</w:t>
            </w:r>
            <w:r w:rsidRPr="00201AAD">
              <w:rPr>
                <w:rFonts w:ascii="Cambria Math" w:eastAsia="Arial Unicode MS" w:hAnsi="Cambria Math" w:cs="Cambria Math"/>
                <w:i/>
              </w:rPr>
              <w:t>≢</w:t>
            </w:r>
          </w:p>
        </w:tc>
        <w:tc>
          <w:tcPr>
            <w:tcW w:w="73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7.92</w:t>
            </w:r>
          </w:p>
        </w:tc>
        <w:tc>
          <w:tcPr>
            <w:tcW w:w="95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15.65</w:t>
            </w:r>
            <w:r w:rsidRPr="00201AAD">
              <w:rPr>
                <w:rFonts w:ascii="Cambria Math" w:eastAsia="Arial Unicode MS" w:hAnsi="Cambria Math" w:cs="Cambria Math"/>
                <w:i/>
              </w:rPr>
              <w:t>≢</w:t>
            </w:r>
          </w:p>
        </w:tc>
      </w:tr>
      <w:tr w:rsidR="00555626" w:rsidRPr="00201AAD" w:rsidTr="00555626">
        <w:tc>
          <w:tcPr>
            <w:tcW w:w="602"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0-36</w:t>
            </w:r>
          </w:p>
        </w:tc>
        <w:tc>
          <w:tcPr>
            <w:tcW w:w="1191"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34.17</w:t>
            </w:r>
          </w:p>
        </w:tc>
        <w:tc>
          <w:tcPr>
            <w:tcW w:w="56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18.81</w:t>
            </w:r>
          </w:p>
        </w:tc>
        <w:tc>
          <w:tcPr>
            <w:tcW w:w="94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15.35</w:t>
            </w:r>
            <w:r w:rsidRPr="00201AAD">
              <w:rPr>
                <w:rFonts w:ascii="Cambria Math" w:eastAsia="Arial Unicode MS" w:hAnsi="Cambria Math" w:cs="Cambria Math"/>
                <w:i/>
              </w:rPr>
              <w:t>≢</w:t>
            </w:r>
          </w:p>
        </w:tc>
        <w:tc>
          <w:tcPr>
            <w:tcW w:w="73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18.77</w:t>
            </w:r>
          </w:p>
        </w:tc>
        <w:tc>
          <w:tcPr>
            <w:tcW w:w="95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15.40</w:t>
            </w:r>
            <w:r w:rsidRPr="00201AAD">
              <w:rPr>
                <w:rFonts w:ascii="Cambria Math" w:eastAsia="Arial Unicode MS" w:hAnsi="Cambria Math" w:cs="Cambria Math"/>
                <w:i/>
              </w:rPr>
              <w:t>≢</w:t>
            </w:r>
          </w:p>
        </w:tc>
      </w:tr>
      <w:tr w:rsidR="00555626" w:rsidRPr="00201AAD" w:rsidTr="00555626">
        <w:tc>
          <w:tcPr>
            <w:tcW w:w="602"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0-48</w:t>
            </w:r>
          </w:p>
        </w:tc>
        <w:tc>
          <w:tcPr>
            <w:tcW w:w="1191" w:type="pct"/>
            <w:tcBorders>
              <w:bottom w:val="nil"/>
            </w:tcBorders>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43.91</w:t>
            </w:r>
          </w:p>
        </w:tc>
        <w:tc>
          <w:tcPr>
            <w:tcW w:w="565"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28.49</w:t>
            </w:r>
          </w:p>
        </w:tc>
        <w:tc>
          <w:tcPr>
            <w:tcW w:w="948"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15.42</w:t>
            </w:r>
            <w:r w:rsidRPr="00201AAD">
              <w:rPr>
                <w:rFonts w:ascii="Cambria Math" w:eastAsia="Arial Unicode MS" w:hAnsi="Cambria Math" w:cs="Cambria Math"/>
                <w:i/>
              </w:rPr>
              <w:t>≢</w:t>
            </w:r>
          </w:p>
        </w:tc>
        <w:tc>
          <w:tcPr>
            <w:tcW w:w="737"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25.22</w:t>
            </w:r>
          </w:p>
        </w:tc>
        <w:tc>
          <w:tcPr>
            <w:tcW w:w="957"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18.69</w:t>
            </w:r>
            <w:r w:rsidRPr="00201AAD">
              <w:rPr>
                <w:rFonts w:ascii="Cambria Math" w:eastAsia="Arial Unicode MS" w:hAnsi="Cambria Math" w:cs="Cambria Math"/>
                <w:i/>
              </w:rPr>
              <w:t>≢</w:t>
            </w:r>
          </w:p>
        </w:tc>
      </w:tr>
      <w:tr w:rsidR="00555626" w:rsidRPr="00201AAD" w:rsidTr="00555626">
        <w:tc>
          <w:tcPr>
            <w:tcW w:w="602"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0-60</w:t>
            </w:r>
          </w:p>
        </w:tc>
        <w:tc>
          <w:tcPr>
            <w:tcW w:w="1191"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52.68</w:t>
            </w:r>
          </w:p>
        </w:tc>
        <w:tc>
          <w:tcPr>
            <w:tcW w:w="565"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36.22</w:t>
            </w:r>
          </w:p>
        </w:tc>
        <w:tc>
          <w:tcPr>
            <w:tcW w:w="948"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16.47</w:t>
            </w:r>
            <w:r w:rsidRPr="00201AAD">
              <w:rPr>
                <w:rFonts w:ascii="Cambria Math" w:eastAsia="Arial Unicode MS" w:hAnsi="Cambria Math" w:cs="Cambria Math"/>
                <w:i/>
              </w:rPr>
              <w:t>≢</w:t>
            </w:r>
          </w:p>
        </w:tc>
        <w:tc>
          <w:tcPr>
            <w:tcW w:w="737"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28.33</w:t>
            </w:r>
          </w:p>
        </w:tc>
        <w:tc>
          <w:tcPr>
            <w:tcW w:w="957"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24.36</w:t>
            </w:r>
            <w:r w:rsidRPr="00201AAD">
              <w:rPr>
                <w:rFonts w:ascii="Cambria Math" w:eastAsia="Arial Unicode MS" w:hAnsi="Cambria Math" w:cs="Cambria Math"/>
                <w:i/>
              </w:rPr>
              <w:t>≢</w:t>
            </w:r>
          </w:p>
        </w:tc>
      </w:tr>
      <w:tr w:rsidR="00555626" w:rsidRPr="00201AAD" w:rsidTr="00555626">
        <w:trPr>
          <w:cantSplit/>
          <w:trHeight w:val="1338"/>
        </w:trPr>
        <w:tc>
          <w:tcPr>
            <w:tcW w:w="602" w:type="pct"/>
            <w:tcBorders>
              <w:top w:val="double" w:sz="4" w:space="0" w:color="auto"/>
              <w:bottom w:val="single" w:sz="8" w:space="0" w:color="000000" w:themeColor="text1"/>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Cs w:val="24"/>
              </w:rPr>
            </w:pPr>
            <w:r w:rsidRPr="00201AAD">
              <w:rPr>
                <w:rFonts w:ascii="Times New Roman" w:eastAsiaTheme="majorEastAsia" w:hAnsi="Times New Roman" w:cs="Times New Roman"/>
                <w:b/>
                <w:szCs w:val="24"/>
              </w:rPr>
              <w:t>Time period</w:t>
            </w:r>
          </w:p>
        </w:tc>
        <w:tc>
          <w:tcPr>
            <w:tcW w:w="1191" w:type="pct"/>
            <w:tcBorders>
              <w:top w:val="double" w:sz="4" w:space="0" w:color="auto"/>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szCs w:val="24"/>
              </w:rPr>
            </w:pPr>
            <w:r w:rsidRPr="00201AAD">
              <w:rPr>
                <w:rFonts w:ascii="Times New Roman" w:hAnsi="Times New Roman" w:cs="Times New Roman"/>
                <w:b/>
                <w:bCs/>
                <w:color w:val="000000"/>
                <w:szCs w:val="24"/>
              </w:rPr>
              <w:t>Ranks-Upgrade portfolio</w:t>
            </w:r>
          </w:p>
        </w:tc>
        <w:tc>
          <w:tcPr>
            <w:tcW w:w="565" w:type="pct"/>
            <w:tcBorders>
              <w:top w:val="double" w:sz="4" w:space="0" w:color="auto"/>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Ethics</w:t>
            </w:r>
            <w:r w:rsidR="003C4169" w:rsidRPr="00201AAD">
              <w:rPr>
                <w:rFonts w:ascii="Times New Roman" w:hAnsi="Times New Roman" w:cs="Times New Roman"/>
                <w:b/>
                <w:color w:val="000000"/>
                <w:szCs w:val="24"/>
              </w:rPr>
              <w:t xml:space="preserve"> portfolio</w:t>
            </w:r>
          </w:p>
        </w:tc>
        <w:tc>
          <w:tcPr>
            <w:tcW w:w="948" w:type="pct"/>
            <w:tcBorders>
              <w:top w:val="double" w:sz="4" w:space="0" w:color="auto"/>
              <w:bottom w:val="single" w:sz="8" w:space="0" w:color="000000" w:themeColor="text1"/>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r>
                      <m:rPr>
                        <m:sty m:val="b"/>
                      </m:rPr>
                      <w:rPr>
                        <w:rFonts w:ascii="Cambria Math" w:hAnsi="Cambria Math" w:cs="Times New Roman"/>
                        <w:color w:val="000000"/>
                        <w:szCs w:val="24"/>
                      </w:rPr>
                      <m:t>Difference</m:t>
                    </m:r>
                  </m:e>
                  <m:sup>
                    <m:r>
                      <m:rPr>
                        <m:sty m:val="b"/>
                      </m:rPr>
                      <w:rPr>
                        <w:rFonts w:ascii="Cambria Math" w:hAnsi="Cambria Math" w:cs="Times New Roman"/>
                        <w:color w:val="000000"/>
                        <w:szCs w:val="24"/>
                      </w:rPr>
                      <m:t>c</m:t>
                    </m:r>
                  </m:sup>
                </m:sSup>
              </m:oMath>
            </m:oMathPara>
          </w:p>
        </w:tc>
        <w:tc>
          <w:tcPr>
            <w:tcW w:w="737" w:type="pct"/>
            <w:tcBorders>
              <w:top w:val="double" w:sz="4" w:space="0" w:color="auto"/>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szCs w:val="24"/>
              </w:rPr>
            </w:pPr>
            <w:r w:rsidRPr="00201AAD">
              <w:rPr>
                <w:rFonts w:ascii="Times New Roman" w:hAnsi="Times New Roman" w:cs="Times New Roman"/>
                <w:b/>
                <w:color w:val="000000"/>
                <w:szCs w:val="24"/>
              </w:rPr>
              <w:t>Top Brands</w:t>
            </w:r>
            <w:r w:rsidR="003C4169" w:rsidRPr="00201AAD">
              <w:rPr>
                <w:rFonts w:ascii="Times New Roman" w:hAnsi="Times New Roman" w:cs="Times New Roman"/>
                <w:b/>
                <w:color w:val="000000"/>
                <w:szCs w:val="24"/>
              </w:rPr>
              <w:t xml:space="preserve"> portfolio</w:t>
            </w:r>
          </w:p>
        </w:tc>
        <w:tc>
          <w:tcPr>
            <w:tcW w:w="957" w:type="pct"/>
            <w:tcBorders>
              <w:top w:val="double" w:sz="4" w:space="0" w:color="auto"/>
              <w:bottom w:val="single" w:sz="8" w:space="0" w:color="000000" w:themeColor="text1"/>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r>
                      <m:rPr>
                        <m:sty m:val="b"/>
                      </m:rPr>
                      <w:rPr>
                        <w:rFonts w:ascii="Cambria Math" w:hAnsi="Cambria Math" w:cs="Times New Roman"/>
                        <w:color w:val="000000"/>
                        <w:szCs w:val="24"/>
                      </w:rPr>
                      <m:t>Difference</m:t>
                    </m:r>
                  </m:e>
                  <m:sup>
                    <m:r>
                      <m:rPr>
                        <m:sty m:val="b"/>
                      </m:rPr>
                      <w:rPr>
                        <w:rFonts w:ascii="Cambria Math" w:hAnsi="Cambria Math" w:cs="Times New Roman"/>
                        <w:color w:val="000000"/>
                        <w:szCs w:val="24"/>
                      </w:rPr>
                      <m:t>d</m:t>
                    </m:r>
                  </m:sup>
                </m:sSup>
              </m:oMath>
            </m:oMathPara>
          </w:p>
        </w:tc>
      </w:tr>
      <w:tr w:rsidR="00555626" w:rsidRPr="00201AAD" w:rsidTr="00555626">
        <w:tc>
          <w:tcPr>
            <w:tcW w:w="602"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0-6</w:t>
            </w:r>
          </w:p>
        </w:tc>
        <w:tc>
          <w:tcPr>
            <w:tcW w:w="1191"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8.32</w:t>
            </w:r>
          </w:p>
        </w:tc>
        <w:tc>
          <w:tcPr>
            <w:tcW w:w="56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5.48</w:t>
            </w:r>
          </w:p>
        </w:tc>
        <w:tc>
          <w:tcPr>
            <w:tcW w:w="94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2.84</w:t>
            </w:r>
            <w:r w:rsidRPr="00201AAD">
              <w:rPr>
                <w:rFonts w:ascii="Times New Roman" w:eastAsia="Arial Unicode MS" w:hAnsi="Times New Roman" w:cs="Times New Roman"/>
                <w:i/>
              </w:rPr>
              <w:t>+</w:t>
            </w:r>
          </w:p>
        </w:tc>
        <w:tc>
          <w:tcPr>
            <w:tcW w:w="73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3.76</w:t>
            </w:r>
          </w:p>
        </w:tc>
        <w:tc>
          <w:tcPr>
            <w:tcW w:w="95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4.56</w:t>
            </w:r>
            <w:r w:rsidRPr="00201AAD">
              <w:rPr>
                <w:rFonts w:ascii="Times New Roman" w:eastAsia="Arial Unicode MS" w:hAnsi="Times New Roman" w:cs="Times New Roman"/>
                <w:i/>
              </w:rPr>
              <w:t>≠</w:t>
            </w:r>
          </w:p>
        </w:tc>
      </w:tr>
      <w:tr w:rsidR="00555626" w:rsidRPr="00201AAD" w:rsidTr="00555626">
        <w:tc>
          <w:tcPr>
            <w:tcW w:w="602"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0-12</w:t>
            </w:r>
          </w:p>
        </w:tc>
        <w:tc>
          <w:tcPr>
            <w:tcW w:w="1191"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13.98</w:t>
            </w:r>
          </w:p>
        </w:tc>
        <w:tc>
          <w:tcPr>
            <w:tcW w:w="56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8.16</w:t>
            </w:r>
          </w:p>
        </w:tc>
        <w:tc>
          <w:tcPr>
            <w:tcW w:w="94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5.81</w:t>
            </w:r>
            <w:r w:rsidRPr="00201AAD">
              <w:rPr>
                <w:rFonts w:ascii="Times New Roman" w:eastAsia="Arial Unicode MS" w:hAnsi="Times New Roman" w:cs="Times New Roman"/>
                <w:i/>
              </w:rPr>
              <w:t>+</w:t>
            </w:r>
          </w:p>
        </w:tc>
        <w:tc>
          <w:tcPr>
            <w:tcW w:w="73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9.69</w:t>
            </w:r>
          </w:p>
        </w:tc>
        <w:tc>
          <w:tcPr>
            <w:tcW w:w="95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4.28</w:t>
            </w:r>
            <w:r w:rsidRPr="00201AAD">
              <w:rPr>
                <w:rFonts w:ascii="Times New Roman" w:eastAsia="Arial Unicode MS" w:hAnsi="Times New Roman" w:cs="Times New Roman"/>
                <w:i/>
              </w:rPr>
              <w:t>≠</w:t>
            </w:r>
          </w:p>
        </w:tc>
      </w:tr>
      <w:tr w:rsidR="00555626" w:rsidRPr="00201AAD" w:rsidTr="00555626">
        <w:tc>
          <w:tcPr>
            <w:tcW w:w="602"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0-24</w:t>
            </w:r>
          </w:p>
        </w:tc>
        <w:tc>
          <w:tcPr>
            <w:tcW w:w="1191"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23.57</w:t>
            </w:r>
          </w:p>
        </w:tc>
        <w:tc>
          <w:tcPr>
            <w:tcW w:w="56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4.41</w:t>
            </w:r>
          </w:p>
        </w:tc>
        <w:tc>
          <w:tcPr>
            <w:tcW w:w="94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19.16</w:t>
            </w:r>
            <w:r w:rsidRPr="00201AAD">
              <w:rPr>
                <w:rFonts w:ascii="Cambria Math" w:eastAsia="Arial Unicode MS" w:hAnsi="Cambria Math" w:cs="Cambria Math"/>
                <w:i/>
              </w:rPr>
              <w:t>≢</w:t>
            </w:r>
          </w:p>
        </w:tc>
        <w:tc>
          <w:tcPr>
            <w:tcW w:w="73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19.32</w:t>
            </w:r>
          </w:p>
        </w:tc>
        <w:tc>
          <w:tcPr>
            <w:tcW w:w="95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4.25</w:t>
            </w:r>
            <w:r w:rsidRPr="00201AAD">
              <w:rPr>
                <w:rFonts w:ascii="Cambria Math" w:eastAsia="Arial Unicode MS" w:hAnsi="Cambria Math" w:cs="Cambria Math"/>
                <w:i/>
              </w:rPr>
              <w:t>≢</w:t>
            </w:r>
          </w:p>
        </w:tc>
      </w:tr>
      <w:tr w:rsidR="00555626" w:rsidRPr="00201AAD" w:rsidTr="00555626">
        <w:tc>
          <w:tcPr>
            <w:tcW w:w="602"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0-36</w:t>
            </w:r>
          </w:p>
        </w:tc>
        <w:tc>
          <w:tcPr>
            <w:tcW w:w="1191"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34.17</w:t>
            </w:r>
          </w:p>
        </w:tc>
        <w:tc>
          <w:tcPr>
            <w:tcW w:w="56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21.32</w:t>
            </w:r>
          </w:p>
        </w:tc>
        <w:tc>
          <w:tcPr>
            <w:tcW w:w="94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12.85</w:t>
            </w:r>
            <w:r w:rsidRPr="00201AAD">
              <w:rPr>
                <w:rFonts w:ascii="Cambria Math" w:eastAsia="Arial Unicode MS" w:hAnsi="Cambria Math" w:cs="Cambria Math"/>
                <w:i/>
              </w:rPr>
              <w:t>≢</w:t>
            </w:r>
          </w:p>
        </w:tc>
        <w:tc>
          <w:tcPr>
            <w:tcW w:w="73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27.65</w:t>
            </w:r>
          </w:p>
        </w:tc>
        <w:tc>
          <w:tcPr>
            <w:tcW w:w="95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6.51</w:t>
            </w:r>
            <w:r w:rsidRPr="00201AAD">
              <w:rPr>
                <w:rFonts w:ascii="Cambria Math" w:eastAsia="Arial Unicode MS" w:hAnsi="Cambria Math" w:cs="Cambria Math"/>
                <w:i/>
              </w:rPr>
              <w:t>≢</w:t>
            </w:r>
          </w:p>
        </w:tc>
      </w:tr>
      <w:tr w:rsidR="00555626" w:rsidRPr="00201AAD" w:rsidTr="00555626">
        <w:tc>
          <w:tcPr>
            <w:tcW w:w="602"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0-48</w:t>
            </w:r>
          </w:p>
        </w:tc>
        <w:tc>
          <w:tcPr>
            <w:tcW w:w="1191" w:type="pct"/>
            <w:tcBorders>
              <w:bottom w:val="nil"/>
            </w:tcBorders>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43.91</w:t>
            </w:r>
          </w:p>
        </w:tc>
        <w:tc>
          <w:tcPr>
            <w:tcW w:w="565"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36.17</w:t>
            </w:r>
          </w:p>
        </w:tc>
        <w:tc>
          <w:tcPr>
            <w:tcW w:w="948"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7.74</w:t>
            </w:r>
            <w:r w:rsidRPr="00201AAD">
              <w:rPr>
                <w:rFonts w:ascii="Cambria Math" w:eastAsia="Arial Unicode MS" w:hAnsi="Cambria Math" w:cs="Cambria Math"/>
                <w:i/>
              </w:rPr>
              <w:t>≢</w:t>
            </w:r>
          </w:p>
        </w:tc>
        <w:tc>
          <w:tcPr>
            <w:tcW w:w="737"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38.37</w:t>
            </w:r>
          </w:p>
        </w:tc>
        <w:tc>
          <w:tcPr>
            <w:tcW w:w="957" w:type="pct"/>
            <w:tcBorders>
              <w:bottom w:val="nil"/>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5.54</w:t>
            </w:r>
            <w:r w:rsidRPr="00201AAD">
              <w:rPr>
                <w:rFonts w:ascii="Cambria Math" w:eastAsia="Arial Unicode MS" w:hAnsi="Cambria Math" w:cs="Cambria Math"/>
                <w:i/>
              </w:rPr>
              <w:t>≢</w:t>
            </w:r>
          </w:p>
        </w:tc>
      </w:tr>
      <w:tr w:rsidR="00555626" w:rsidRPr="00201AAD" w:rsidTr="00555626">
        <w:tc>
          <w:tcPr>
            <w:tcW w:w="602"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0-60</w:t>
            </w:r>
          </w:p>
        </w:tc>
        <w:tc>
          <w:tcPr>
            <w:tcW w:w="1191"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52.68</w:t>
            </w:r>
          </w:p>
        </w:tc>
        <w:tc>
          <w:tcPr>
            <w:tcW w:w="565"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43.63</w:t>
            </w:r>
          </w:p>
        </w:tc>
        <w:tc>
          <w:tcPr>
            <w:tcW w:w="948"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9.05</w:t>
            </w:r>
            <w:r w:rsidRPr="00201AAD">
              <w:rPr>
                <w:rFonts w:ascii="Cambria Math" w:eastAsia="Arial Unicode MS" w:hAnsi="Cambria Math" w:cs="Cambria Math"/>
                <w:i/>
              </w:rPr>
              <w:t>≢</w:t>
            </w:r>
          </w:p>
        </w:tc>
        <w:tc>
          <w:tcPr>
            <w:tcW w:w="737"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45.97</w:t>
            </w:r>
          </w:p>
        </w:tc>
        <w:tc>
          <w:tcPr>
            <w:tcW w:w="957" w:type="pct"/>
            <w:tcBorders>
              <w:top w:val="nil"/>
              <w:bottom w:val="doub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6.71</w:t>
            </w:r>
            <w:r w:rsidRPr="00201AAD">
              <w:rPr>
                <w:rFonts w:ascii="Cambria Math" w:eastAsia="Arial Unicode MS" w:hAnsi="Cambria Math" w:cs="Cambria Math"/>
                <w:i/>
              </w:rPr>
              <w:t>≢</w:t>
            </w:r>
          </w:p>
        </w:tc>
      </w:tr>
    </w:tbl>
    <w:p w:rsidR="00555626" w:rsidRPr="00201AAD" w:rsidRDefault="00555626" w:rsidP="00555626">
      <w:pPr>
        <w:autoSpaceDE w:val="0"/>
        <w:autoSpaceDN w:val="0"/>
        <w:adjustRightInd w:val="0"/>
        <w:spacing w:line="0" w:lineRule="atLeast"/>
        <w:jc w:val="both"/>
        <w:rPr>
          <w:rFonts w:ascii="Times New Roman" w:hAnsi="Times New Roman" w:cs="Times New Roman"/>
          <w:bCs/>
          <w:i/>
          <w:color w:val="000000"/>
          <w:kern w:val="0"/>
          <w:sz w:val="20"/>
          <w:szCs w:val="20"/>
        </w:rPr>
      </w:pPr>
      <w:r w:rsidRPr="00201AAD">
        <w:rPr>
          <w:rFonts w:ascii="Times New Roman" w:hAnsi="Times New Roman" w:cs="Times New Roman"/>
          <w:bCs/>
          <w:i/>
          <w:color w:val="000000"/>
          <w:kern w:val="0"/>
          <w:sz w:val="20"/>
          <w:szCs w:val="20"/>
        </w:rPr>
        <w:t>Notes:</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bCs/>
          <w:i/>
          <w:color w:val="000000"/>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a</m:t>
            </m:r>
          </m:sup>
        </m:sSup>
      </m:oMath>
      <w:r w:rsidR="00555626" w:rsidRPr="00201AAD">
        <w:rPr>
          <w:rFonts w:ascii="Times New Roman" w:hAnsi="Times New Roman" w:cs="Times New Roman"/>
          <w:bCs/>
          <w:i/>
          <w:color w:val="000000"/>
          <w:kern w:val="0"/>
          <w:sz w:val="20"/>
          <w:szCs w:val="20"/>
        </w:rPr>
        <w:t>Cumulative abnormal returns difference between Ranks upgrade and Best to Work for portfolio.</w:t>
      </w:r>
      <w:r w:rsidR="00555626" w:rsidRPr="00201AAD">
        <w:rPr>
          <w:rFonts w:ascii="Times New Roman" w:eastAsia="新細明體" w:hAnsi="Times New Roman" w:cs="Times New Roman"/>
          <w:bCs/>
          <w:i/>
          <w:color w:val="000000"/>
          <w:kern w:val="0"/>
          <w:sz w:val="20"/>
          <w:szCs w:val="20"/>
        </w:rPr>
        <w:t xml:space="preserve"> </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i/>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b</m:t>
            </m:r>
          </m:sup>
        </m:sSup>
      </m:oMath>
      <w:r w:rsidR="00555626" w:rsidRPr="00201AAD">
        <w:rPr>
          <w:rFonts w:ascii="Times New Roman" w:hAnsi="Times New Roman" w:cs="Times New Roman"/>
          <w:bCs/>
          <w:i/>
          <w:color w:val="000000"/>
          <w:kern w:val="0"/>
          <w:sz w:val="20"/>
          <w:szCs w:val="20"/>
        </w:rPr>
        <w:t>Cumulative abnormal returns difference between Ranks upgrade and Most Admired portfolio.</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i/>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c</m:t>
            </m:r>
          </m:sup>
        </m:sSup>
      </m:oMath>
      <w:r w:rsidR="00555626" w:rsidRPr="00201AAD">
        <w:rPr>
          <w:rFonts w:ascii="Times New Roman" w:hAnsi="Times New Roman" w:cs="Times New Roman"/>
          <w:bCs/>
          <w:i/>
          <w:color w:val="000000"/>
          <w:kern w:val="0"/>
          <w:sz w:val="20"/>
          <w:szCs w:val="20"/>
        </w:rPr>
        <w:t>Cumulative abnormal returns difference between Ranks upgrade and Ethics portfolio.</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i/>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d</m:t>
            </m:r>
          </m:sup>
        </m:sSup>
      </m:oMath>
      <w:r w:rsidR="00555626" w:rsidRPr="00201AAD">
        <w:rPr>
          <w:rFonts w:ascii="Times New Roman" w:hAnsi="Times New Roman" w:cs="Times New Roman"/>
          <w:bCs/>
          <w:i/>
          <w:color w:val="000000"/>
          <w:kern w:val="0"/>
          <w:sz w:val="20"/>
          <w:szCs w:val="20"/>
        </w:rPr>
        <w:t>Cumulative abnormal returns difference between Ranks upgrade and Top Brands portfolio.</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i/>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e</m:t>
            </m:r>
          </m:sup>
        </m:sSup>
      </m:oMath>
      <w:r w:rsidR="00555626" w:rsidRPr="00201AAD">
        <w:rPr>
          <w:rFonts w:ascii="Times New Roman" w:hAnsi="Times New Roman" w:cs="Times New Roman"/>
          <w:i/>
          <w:sz w:val="20"/>
          <w:szCs w:val="20"/>
        </w:rPr>
        <w:t>All numbers are in percentages.</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bCs/>
          <w:color w:val="000000"/>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f</m:t>
            </m:r>
          </m:sup>
        </m:sSup>
      </m:oMath>
      <w:r w:rsidR="00555626" w:rsidRPr="00201AAD">
        <w:rPr>
          <w:rFonts w:ascii="Times New Roman" w:eastAsia="Arial Unicode MS" w:hAnsi="Times New Roman" w:cs="Times New Roman"/>
          <w:i/>
          <w:sz w:val="20"/>
          <w:szCs w:val="20"/>
        </w:rPr>
        <w:t>+</w:t>
      </w:r>
      <w:r w:rsidR="00555626" w:rsidRPr="00201AAD">
        <w:rPr>
          <w:rFonts w:ascii="Times New Roman" w:hAnsi="Times New Roman" w:cs="Times New Roman"/>
          <w:i/>
          <w:sz w:val="20"/>
          <w:szCs w:val="20"/>
        </w:rPr>
        <w:t xml:space="preserve">, </w:t>
      </w:r>
      <w:r w:rsidR="00555626" w:rsidRPr="00201AAD">
        <w:rPr>
          <w:rFonts w:ascii="Times New Roman" w:eastAsia="Arial Unicode MS" w:hAnsi="Times New Roman" w:cs="Times New Roman"/>
          <w:i/>
          <w:sz w:val="20"/>
          <w:szCs w:val="20"/>
        </w:rPr>
        <w:t>≠</w:t>
      </w:r>
      <w:r w:rsidR="00555626" w:rsidRPr="00201AAD">
        <w:rPr>
          <w:rFonts w:ascii="Times New Roman" w:hAnsi="Times New Roman" w:cs="Times New Roman"/>
          <w:i/>
          <w:sz w:val="20"/>
          <w:szCs w:val="20"/>
        </w:rPr>
        <w:t xml:space="preserve">, and </w:t>
      </w:r>
      <w:r w:rsidR="00555626" w:rsidRPr="00201AAD">
        <w:rPr>
          <w:rFonts w:ascii="Cambria Math" w:eastAsia="Arial Unicode MS" w:hAnsi="Cambria Math" w:cs="Cambria Math"/>
          <w:i/>
          <w:sz w:val="20"/>
          <w:szCs w:val="20"/>
        </w:rPr>
        <w:t>≢</w:t>
      </w:r>
      <w:r w:rsidR="00555626" w:rsidRPr="00201AAD">
        <w:rPr>
          <w:rFonts w:ascii="Times New Roman" w:eastAsia="Arial Unicode MS" w:hAnsi="Times New Roman" w:cs="Times New Roman"/>
          <w:i/>
          <w:sz w:val="20"/>
          <w:szCs w:val="20"/>
        </w:rPr>
        <w:t xml:space="preserve"> </w:t>
      </w:r>
      <w:r w:rsidR="00555626" w:rsidRPr="00201AAD">
        <w:rPr>
          <w:rFonts w:ascii="Times New Roman" w:hAnsi="Times New Roman" w:cs="Times New Roman"/>
          <w:i/>
          <w:sz w:val="20"/>
          <w:szCs w:val="20"/>
        </w:rPr>
        <w:t>denote the significance at the 10%, 5%, and 1%, respectively.</w:t>
      </w:r>
    </w:p>
    <w:p w:rsidR="00555626" w:rsidRPr="00201AAD" w:rsidRDefault="00555626" w:rsidP="00555626">
      <w:pPr>
        <w:rPr>
          <w:rFonts w:ascii="Times New Roman" w:hAnsi="Times New Roman" w:cs="Times New Roman"/>
        </w:rPr>
        <w:sectPr w:rsidR="00555626" w:rsidRPr="00201AAD" w:rsidSect="00555626">
          <w:pgSz w:w="11906" w:h="16838"/>
          <w:pgMar w:top="1440" w:right="1800" w:bottom="1440" w:left="1800" w:header="851" w:footer="992" w:gutter="0"/>
          <w:cols w:space="425"/>
          <w:docGrid w:type="lines" w:linePitch="360"/>
        </w:sectPr>
      </w:pPr>
    </w:p>
    <w:p w:rsidR="00555626" w:rsidRPr="00201AAD" w:rsidRDefault="006C2B08" w:rsidP="00201AAD">
      <w:pPr>
        <w:autoSpaceDE w:val="0"/>
        <w:autoSpaceDN w:val="0"/>
        <w:adjustRightInd w:val="0"/>
        <w:jc w:val="center"/>
        <w:rPr>
          <w:rFonts w:ascii="Times New Roman" w:eastAsia="新細明體" w:hAnsi="Times New Roman" w:cs="Times New Roman"/>
          <w:b/>
          <w:kern w:val="0"/>
          <w:sz w:val="28"/>
          <w:szCs w:val="28"/>
        </w:rPr>
      </w:pPr>
      <w:r w:rsidRPr="00201AAD">
        <w:rPr>
          <w:rFonts w:ascii="Times New Roman" w:hAnsi="Times New Roman" w:cs="Times New Roman"/>
          <w:b/>
          <w:sz w:val="28"/>
          <w:szCs w:val="28"/>
        </w:rPr>
        <w:t>Table</w:t>
      </w:r>
      <w:r w:rsidR="00555626" w:rsidRPr="00201AAD">
        <w:rPr>
          <w:rFonts w:ascii="Times New Roman" w:eastAsia="新細明體" w:hAnsi="Times New Roman" w:cs="Times New Roman"/>
          <w:b/>
          <w:kern w:val="0"/>
          <w:sz w:val="28"/>
          <w:szCs w:val="28"/>
        </w:rPr>
        <w:t xml:space="preserve"> 7</w:t>
      </w:r>
      <w:r w:rsidR="00835F5E" w:rsidRPr="00201AAD">
        <w:rPr>
          <w:rFonts w:ascii="Times New Roman" w:eastAsia="新細明體" w:hAnsi="Times New Roman" w:cs="Times New Roman"/>
          <w:b/>
          <w:kern w:val="0"/>
          <w:sz w:val="28"/>
          <w:szCs w:val="28"/>
        </w:rPr>
        <w:t>:</w:t>
      </w:r>
      <w:r w:rsidRPr="00201AAD">
        <w:rPr>
          <w:rFonts w:ascii="Times New Roman" w:eastAsia="新細明體" w:hAnsi="Times New Roman" w:cs="Times New Roman"/>
          <w:b/>
          <w:kern w:val="0"/>
          <w:sz w:val="28"/>
          <w:szCs w:val="28"/>
        </w:rPr>
        <w:t xml:space="preserve"> </w:t>
      </w:r>
      <w:r w:rsidR="00516DFA" w:rsidRPr="00201AAD">
        <w:rPr>
          <w:rFonts w:ascii="Times New Roman" w:eastAsia="新細明體" w:hAnsi="Times New Roman" w:cs="Times New Roman"/>
          <w:b/>
          <w:kern w:val="0"/>
          <w:sz w:val="28"/>
          <w:szCs w:val="28"/>
        </w:rPr>
        <w:t>Application of KLD database</w:t>
      </w:r>
      <w:r w:rsidR="00555626" w:rsidRPr="00201AAD">
        <w:rPr>
          <w:rFonts w:ascii="Times New Roman" w:eastAsia="新細明體" w:hAnsi="Times New Roman" w:cs="Times New Roman"/>
          <w:b/>
          <w:kern w:val="0"/>
          <w:sz w:val="28"/>
          <w:szCs w:val="28"/>
        </w:rPr>
        <w:t xml:space="preserve"> and Performance</w:t>
      </w:r>
    </w:p>
    <w:tbl>
      <w:tblPr>
        <w:tblW w:w="5000" w:type="pct"/>
        <w:shd w:val="clear" w:color="auto" w:fill="C7EDCC" w:themeFill="background1"/>
        <w:tblLook w:val="04A0" w:firstRow="1" w:lastRow="0" w:firstColumn="1" w:lastColumn="0" w:noHBand="0" w:noVBand="1"/>
      </w:tblPr>
      <w:tblGrid>
        <w:gridCol w:w="883"/>
        <w:gridCol w:w="1843"/>
        <w:gridCol w:w="1529"/>
        <w:gridCol w:w="1352"/>
        <w:gridCol w:w="1539"/>
        <w:gridCol w:w="1376"/>
      </w:tblGrid>
      <w:tr w:rsidR="00DF2CEA" w:rsidRPr="00201AAD" w:rsidTr="00741395">
        <w:trPr>
          <w:cantSplit/>
          <w:trHeight w:val="1971"/>
        </w:trPr>
        <w:tc>
          <w:tcPr>
            <w:tcW w:w="497" w:type="pct"/>
            <w:tcBorders>
              <w:top w:val="single" w:sz="4" w:space="0" w:color="auto"/>
              <w:bottom w:val="single" w:sz="4" w:space="0" w:color="auto"/>
            </w:tcBorders>
            <w:shd w:val="clear" w:color="auto" w:fill="C7EDCC" w:themeFill="background1"/>
            <w:vAlign w:val="center"/>
          </w:tcPr>
          <w:p w:rsidR="00555626" w:rsidRPr="00201AAD" w:rsidRDefault="00555626" w:rsidP="00555626">
            <w:pPr>
              <w:autoSpaceDE w:val="0"/>
              <w:autoSpaceDN w:val="0"/>
              <w:adjustRightInd w:val="0"/>
              <w:spacing w:line="0" w:lineRule="atLeast"/>
              <w:jc w:val="center"/>
              <w:rPr>
                <w:rFonts w:ascii="Times New Roman" w:eastAsia="新細明體" w:hAnsi="Times New Roman" w:cs="Times New Roman"/>
                <w:b/>
                <w:szCs w:val="24"/>
              </w:rPr>
            </w:pPr>
            <w:r w:rsidRPr="00201AAD">
              <w:rPr>
                <w:rFonts w:ascii="Times New Roman" w:eastAsiaTheme="majorEastAsia" w:hAnsi="Times New Roman" w:cs="Times New Roman"/>
                <w:b/>
                <w:szCs w:val="24"/>
              </w:rPr>
              <w:t>Time period</w:t>
            </w:r>
          </w:p>
        </w:tc>
        <w:tc>
          <w:tcPr>
            <w:tcW w:w="987" w:type="pct"/>
            <w:tcBorders>
              <w:top w:val="single" w:sz="4" w:space="0" w:color="auto"/>
              <w:bottom w:val="single" w:sz="4" w:space="0" w:color="auto"/>
            </w:tcBorders>
            <w:shd w:val="clear" w:color="auto" w:fill="C7EDCC" w:themeFill="background1"/>
            <w:vAlign w:val="center"/>
          </w:tcPr>
          <w:p w:rsidR="00555626" w:rsidRPr="00201AAD" w:rsidRDefault="00555626" w:rsidP="00DF2CEA">
            <w:pPr>
              <w:spacing w:line="0" w:lineRule="atLeast"/>
              <w:jc w:val="center"/>
              <w:rPr>
                <w:rFonts w:ascii="Times New Roman" w:eastAsia="新細明體" w:hAnsi="Times New Roman" w:cs="Times New Roman"/>
                <w:b/>
                <w:color w:val="000000"/>
                <w:szCs w:val="24"/>
              </w:rPr>
            </w:pPr>
            <w:r w:rsidRPr="00201AAD">
              <w:rPr>
                <w:rFonts w:ascii="Times New Roman" w:hAnsi="Times New Roman" w:cs="Times New Roman"/>
                <w:b/>
                <w:bCs/>
                <w:color w:val="000000"/>
                <w:szCs w:val="24"/>
              </w:rPr>
              <w:t>Ranks-Upgra</w:t>
            </w:r>
            <w:r w:rsidR="00DF2CEA" w:rsidRPr="00201AAD">
              <w:rPr>
                <w:rFonts w:ascii="Times New Roman" w:hAnsi="Times New Roman" w:cs="Times New Roman"/>
                <w:b/>
                <w:bCs/>
                <w:color w:val="000000"/>
                <w:szCs w:val="24"/>
              </w:rPr>
              <w:t>de</w:t>
            </w:r>
            <w:r w:rsidRPr="00201AAD">
              <w:rPr>
                <w:rFonts w:ascii="Times New Roman" w:hAnsi="Times New Roman" w:cs="Times New Roman"/>
                <w:b/>
                <w:bCs/>
                <w:color w:val="000000"/>
                <w:szCs w:val="24"/>
              </w:rPr>
              <w:t xml:space="preserve"> portfolio</w:t>
            </w:r>
          </w:p>
        </w:tc>
        <w:tc>
          <w:tcPr>
            <w:tcW w:w="874" w:type="pct"/>
            <w:tcBorders>
              <w:top w:val="single" w:sz="4" w:space="0" w:color="auto"/>
              <w:bottom w:val="single" w:sz="4" w:space="0" w:color="auto"/>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eqArr>
                      <m:eqArrPr>
                        <m:ctrlPr>
                          <w:rPr>
                            <w:rFonts w:ascii="Cambria Math" w:hAnsi="Cambria Math" w:cs="Times New Roman"/>
                            <w:b/>
                            <w:bCs/>
                            <w:color w:val="000000"/>
                            <w:szCs w:val="24"/>
                          </w:rPr>
                        </m:ctrlPr>
                      </m:eqArrPr>
                      <m:e>
                        <m:r>
                          <m:rPr>
                            <m:sty m:val="b"/>
                          </m:rPr>
                          <w:rPr>
                            <w:rFonts w:ascii="Cambria Math" w:hAnsi="Cambria Math" w:cs="Times New Roman"/>
                            <w:color w:val="000000"/>
                            <w:szCs w:val="24"/>
                          </w:rPr>
                          <m:t xml:space="preserve">KLD </m:t>
                        </m:r>
                      </m:e>
                      <m:e>
                        <m:r>
                          <m:rPr>
                            <m:sty m:val="b"/>
                          </m:rPr>
                          <w:rPr>
                            <w:rFonts w:ascii="Cambria Math" w:hAnsi="Cambria Math" w:cs="Times New Roman"/>
                            <w:color w:val="000000"/>
                            <w:szCs w:val="24"/>
                          </w:rPr>
                          <m:t>criterion 1</m:t>
                        </m:r>
                      </m:e>
                    </m:eqArr>
                  </m:e>
                  <m:sup>
                    <m:r>
                      <m:rPr>
                        <m:sty m:val="b"/>
                      </m:rPr>
                      <w:rPr>
                        <w:rFonts w:ascii="Cambria Math" w:hAnsi="Cambria Math" w:cs="Times New Roman"/>
                        <w:color w:val="000000"/>
                        <w:szCs w:val="24"/>
                      </w:rPr>
                      <m:t>a</m:t>
                    </m:r>
                  </m:sup>
                </m:sSup>
              </m:oMath>
            </m:oMathPara>
          </w:p>
        </w:tc>
        <w:tc>
          <w:tcPr>
            <w:tcW w:w="875" w:type="pct"/>
            <w:tcBorders>
              <w:top w:val="single" w:sz="4" w:space="0" w:color="auto"/>
              <w:bottom w:val="single" w:sz="4" w:space="0" w:color="auto"/>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r>
                      <m:rPr>
                        <m:sty m:val="b"/>
                      </m:rPr>
                      <w:rPr>
                        <w:rFonts w:ascii="Cambria Math" w:hAnsi="Cambria Math" w:cs="Times New Roman"/>
                        <w:color w:val="000000"/>
                        <w:szCs w:val="24"/>
                      </w:rPr>
                      <m:t>Diff</m:t>
                    </m:r>
                  </m:e>
                  <m:sup>
                    <m:r>
                      <m:rPr>
                        <m:sty m:val="b"/>
                      </m:rPr>
                      <w:rPr>
                        <w:rFonts w:ascii="Cambria Math" w:hAnsi="Cambria Math" w:cs="Times New Roman"/>
                        <w:color w:val="000000"/>
                        <w:szCs w:val="24"/>
                      </w:rPr>
                      <m:t>c</m:t>
                    </m:r>
                  </m:sup>
                </m:sSup>
              </m:oMath>
            </m:oMathPara>
          </w:p>
        </w:tc>
        <w:tc>
          <w:tcPr>
            <w:tcW w:w="879" w:type="pct"/>
            <w:tcBorders>
              <w:top w:val="single" w:sz="4" w:space="0" w:color="auto"/>
              <w:bottom w:val="single" w:sz="4" w:space="0" w:color="auto"/>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eqArr>
                      <m:eqArrPr>
                        <m:ctrlPr>
                          <w:rPr>
                            <w:rFonts w:ascii="Cambria Math" w:hAnsi="Cambria Math" w:cs="Times New Roman"/>
                            <w:b/>
                            <w:bCs/>
                            <w:color w:val="000000"/>
                            <w:szCs w:val="24"/>
                          </w:rPr>
                        </m:ctrlPr>
                      </m:eqArrPr>
                      <m:e>
                        <m:r>
                          <m:rPr>
                            <m:sty m:val="b"/>
                          </m:rPr>
                          <w:rPr>
                            <w:rFonts w:ascii="Cambria Math" w:hAnsi="Cambria Math" w:cs="Times New Roman"/>
                            <w:color w:val="000000"/>
                            <w:szCs w:val="24"/>
                          </w:rPr>
                          <m:t xml:space="preserve">KLD </m:t>
                        </m:r>
                      </m:e>
                      <m:e>
                        <m:r>
                          <m:rPr>
                            <m:sty m:val="b"/>
                          </m:rPr>
                          <w:rPr>
                            <w:rFonts w:ascii="Cambria Math" w:hAnsi="Cambria Math" w:cs="Times New Roman"/>
                            <w:color w:val="000000"/>
                            <w:szCs w:val="24"/>
                          </w:rPr>
                          <m:t>criterion 2</m:t>
                        </m:r>
                      </m:e>
                    </m:eqArr>
                  </m:e>
                  <m:sup>
                    <m:r>
                      <m:rPr>
                        <m:sty m:val="b"/>
                      </m:rPr>
                      <w:rPr>
                        <w:rFonts w:ascii="Cambria Math" w:hAnsi="Cambria Math" w:cs="Times New Roman"/>
                        <w:color w:val="000000"/>
                        <w:szCs w:val="24"/>
                      </w:rPr>
                      <m:t>b</m:t>
                    </m:r>
                  </m:sup>
                </m:sSup>
              </m:oMath>
            </m:oMathPara>
          </w:p>
        </w:tc>
        <w:tc>
          <w:tcPr>
            <w:tcW w:w="888" w:type="pct"/>
            <w:tcBorders>
              <w:top w:val="single" w:sz="4" w:space="0" w:color="auto"/>
              <w:bottom w:val="single" w:sz="4" w:space="0" w:color="auto"/>
            </w:tcBorders>
            <w:shd w:val="clear" w:color="auto" w:fill="C7EDCC" w:themeFill="background1"/>
            <w:vAlign w:val="center"/>
          </w:tcPr>
          <w:p w:rsidR="00555626" w:rsidRPr="00201AAD" w:rsidRDefault="001C5F64" w:rsidP="00555626">
            <w:pPr>
              <w:spacing w:line="0" w:lineRule="atLeast"/>
              <w:jc w:val="center"/>
              <w:rPr>
                <w:rFonts w:ascii="Times New Roman" w:eastAsia="新細明體" w:hAnsi="Times New Roman" w:cs="Times New Roman"/>
                <w:b/>
                <w:color w:val="000000"/>
                <w:szCs w:val="24"/>
              </w:rPr>
            </w:pPr>
            <m:oMathPara>
              <m:oMath>
                <m:sSup>
                  <m:sSupPr>
                    <m:ctrlPr>
                      <w:rPr>
                        <w:rFonts w:ascii="Cambria Math" w:hAnsi="Cambria Math" w:cs="Times New Roman"/>
                        <w:b/>
                        <w:color w:val="000000"/>
                        <w:szCs w:val="24"/>
                      </w:rPr>
                    </m:ctrlPr>
                  </m:sSupPr>
                  <m:e>
                    <m:r>
                      <m:rPr>
                        <m:sty m:val="b"/>
                      </m:rPr>
                      <w:rPr>
                        <w:rFonts w:ascii="Cambria Math" w:hAnsi="Cambria Math" w:cs="Times New Roman"/>
                        <w:color w:val="000000"/>
                        <w:szCs w:val="24"/>
                      </w:rPr>
                      <m:t>Diff</m:t>
                    </m:r>
                  </m:e>
                  <m:sup>
                    <m:r>
                      <m:rPr>
                        <m:sty m:val="b"/>
                      </m:rPr>
                      <w:rPr>
                        <w:rFonts w:ascii="Cambria Math" w:hAnsi="Cambria Math" w:cs="Times New Roman"/>
                        <w:color w:val="000000"/>
                        <w:szCs w:val="24"/>
                      </w:rPr>
                      <m:t>d</m:t>
                    </m:r>
                  </m:sup>
                </m:sSup>
              </m:oMath>
            </m:oMathPara>
          </w:p>
        </w:tc>
      </w:tr>
      <w:tr w:rsidR="00DF2CEA" w:rsidRPr="00201AAD" w:rsidTr="00741395">
        <w:tc>
          <w:tcPr>
            <w:tcW w:w="497"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0-6</w:t>
            </w:r>
          </w:p>
        </w:tc>
        <w:tc>
          <w:tcPr>
            <w:tcW w:w="987" w:type="pct"/>
            <w:tcBorders>
              <w:top w:val="single" w:sz="4" w:space="0" w:color="auto"/>
            </w:tcBorders>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8.32</w:t>
            </w:r>
          </w:p>
        </w:tc>
        <w:tc>
          <w:tcPr>
            <w:tcW w:w="874"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9.05</w:t>
            </w:r>
          </w:p>
        </w:tc>
        <w:tc>
          <w:tcPr>
            <w:tcW w:w="875"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0.73</w:t>
            </w:r>
          </w:p>
        </w:tc>
        <w:tc>
          <w:tcPr>
            <w:tcW w:w="879"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10.51</w:t>
            </w:r>
          </w:p>
        </w:tc>
        <w:tc>
          <w:tcPr>
            <w:tcW w:w="888" w:type="pct"/>
            <w:tcBorders>
              <w:top w:val="single" w:sz="4" w:space="0" w:color="auto"/>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2.20</w:t>
            </w:r>
          </w:p>
        </w:tc>
      </w:tr>
      <w:tr w:rsidR="00DF2CEA" w:rsidRPr="00201AAD" w:rsidTr="00741395">
        <w:tc>
          <w:tcPr>
            <w:tcW w:w="49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0-12</w:t>
            </w:r>
          </w:p>
        </w:tc>
        <w:tc>
          <w:tcPr>
            <w:tcW w:w="987"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13.98</w:t>
            </w:r>
          </w:p>
        </w:tc>
        <w:tc>
          <w:tcPr>
            <w:tcW w:w="874"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14.50</w:t>
            </w:r>
          </w:p>
        </w:tc>
        <w:tc>
          <w:tcPr>
            <w:tcW w:w="87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0.52</w:t>
            </w:r>
          </w:p>
        </w:tc>
        <w:tc>
          <w:tcPr>
            <w:tcW w:w="879"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20.35</w:t>
            </w:r>
          </w:p>
        </w:tc>
        <w:tc>
          <w:tcPr>
            <w:tcW w:w="88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6.37</w:t>
            </w:r>
          </w:p>
        </w:tc>
      </w:tr>
      <w:tr w:rsidR="00DF2CEA" w:rsidRPr="00201AAD" w:rsidTr="00741395">
        <w:tc>
          <w:tcPr>
            <w:tcW w:w="49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0-24</w:t>
            </w:r>
          </w:p>
        </w:tc>
        <w:tc>
          <w:tcPr>
            <w:tcW w:w="987"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23.57</w:t>
            </w:r>
          </w:p>
        </w:tc>
        <w:tc>
          <w:tcPr>
            <w:tcW w:w="874"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24.49</w:t>
            </w:r>
          </w:p>
        </w:tc>
        <w:tc>
          <w:tcPr>
            <w:tcW w:w="87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0.92</w:t>
            </w:r>
          </w:p>
        </w:tc>
        <w:tc>
          <w:tcPr>
            <w:tcW w:w="879"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23.01</w:t>
            </w:r>
          </w:p>
        </w:tc>
        <w:tc>
          <w:tcPr>
            <w:tcW w:w="88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-0.56</w:t>
            </w:r>
          </w:p>
        </w:tc>
      </w:tr>
      <w:tr w:rsidR="00DF2CEA" w:rsidRPr="00201AAD" w:rsidTr="00741395">
        <w:tc>
          <w:tcPr>
            <w:tcW w:w="49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0-36</w:t>
            </w:r>
          </w:p>
        </w:tc>
        <w:tc>
          <w:tcPr>
            <w:tcW w:w="987"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34.17</w:t>
            </w:r>
          </w:p>
        </w:tc>
        <w:tc>
          <w:tcPr>
            <w:tcW w:w="874"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35.39</w:t>
            </w:r>
          </w:p>
        </w:tc>
        <w:tc>
          <w:tcPr>
            <w:tcW w:w="87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1.22</w:t>
            </w:r>
          </w:p>
        </w:tc>
        <w:tc>
          <w:tcPr>
            <w:tcW w:w="879"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41.21</w:t>
            </w:r>
          </w:p>
        </w:tc>
        <w:tc>
          <w:tcPr>
            <w:tcW w:w="88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7.05</w:t>
            </w:r>
          </w:p>
        </w:tc>
      </w:tr>
      <w:tr w:rsidR="00DF2CEA" w:rsidRPr="00201AAD" w:rsidTr="00741395">
        <w:tc>
          <w:tcPr>
            <w:tcW w:w="497"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0-48</w:t>
            </w:r>
          </w:p>
        </w:tc>
        <w:tc>
          <w:tcPr>
            <w:tcW w:w="987" w:type="pct"/>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43.91</w:t>
            </w:r>
          </w:p>
        </w:tc>
        <w:tc>
          <w:tcPr>
            <w:tcW w:w="874"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45.92</w:t>
            </w:r>
          </w:p>
        </w:tc>
        <w:tc>
          <w:tcPr>
            <w:tcW w:w="875"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2.01</w:t>
            </w:r>
          </w:p>
        </w:tc>
        <w:tc>
          <w:tcPr>
            <w:tcW w:w="879"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54.52</w:t>
            </w:r>
          </w:p>
        </w:tc>
        <w:tc>
          <w:tcPr>
            <w:tcW w:w="888" w:type="pct"/>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10.61</w:t>
            </w:r>
          </w:p>
        </w:tc>
      </w:tr>
      <w:tr w:rsidR="00DF2CEA" w:rsidRPr="00201AAD" w:rsidTr="00741395">
        <w:tc>
          <w:tcPr>
            <w:tcW w:w="497" w:type="pct"/>
            <w:tcBorders>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
                <w:color w:val="000000"/>
              </w:rPr>
            </w:pPr>
            <w:r w:rsidRPr="00201AAD">
              <w:rPr>
                <w:rFonts w:ascii="Times New Roman" w:hAnsi="Times New Roman" w:cs="Times New Roman"/>
                <w:b/>
                <w:color w:val="000000"/>
              </w:rPr>
              <w:t>0-60</w:t>
            </w:r>
          </w:p>
        </w:tc>
        <w:tc>
          <w:tcPr>
            <w:tcW w:w="987" w:type="pct"/>
            <w:tcBorders>
              <w:bottom w:val="single" w:sz="8" w:space="0" w:color="000000" w:themeColor="text1"/>
            </w:tcBorders>
            <w:shd w:val="clear" w:color="auto" w:fill="C7EDCC" w:themeFill="background1"/>
            <w:vAlign w:val="center"/>
          </w:tcPr>
          <w:p w:rsidR="00555626" w:rsidRPr="00201AAD" w:rsidRDefault="00555626" w:rsidP="00555626">
            <w:pPr>
              <w:spacing w:line="0" w:lineRule="atLeast"/>
              <w:ind w:leftChars="47" w:left="113"/>
              <w:jc w:val="center"/>
              <w:rPr>
                <w:rFonts w:ascii="Times New Roman" w:eastAsia="新細明體" w:hAnsi="Times New Roman" w:cs="Times New Roman"/>
                <w:bCs/>
                <w:color w:val="000000"/>
              </w:rPr>
            </w:pPr>
            <w:r w:rsidRPr="00201AAD">
              <w:rPr>
                <w:rFonts w:ascii="Times New Roman" w:hAnsi="Times New Roman" w:cs="Times New Roman"/>
                <w:bCs/>
                <w:color w:val="000000"/>
              </w:rPr>
              <w:t>52.68</w:t>
            </w:r>
          </w:p>
        </w:tc>
        <w:tc>
          <w:tcPr>
            <w:tcW w:w="874" w:type="pct"/>
            <w:tcBorders>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53.72</w:t>
            </w:r>
          </w:p>
        </w:tc>
        <w:tc>
          <w:tcPr>
            <w:tcW w:w="875" w:type="pct"/>
            <w:tcBorders>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1.04</w:t>
            </w:r>
          </w:p>
        </w:tc>
        <w:tc>
          <w:tcPr>
            <w:tcW w:w="879" w:type="pct"/>
            <w:tcBorders>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bCs/>
                <w:color w:val="000000"/>
              </w:rPr>
            </w:pPr>
            <w:r w:rsidRPr="00201AAD">
              <w:rPr>
                <w:rFonts w:ascii="Times New Roman" w:hAnsi="Times New Roman" w:cs="Times New Roman"/>
                <w:bCs/>
                <w:color w:val="000000"/>
              </w:rPr>
              <w:t>66.51</w:t>
            </w:r>
          </w:p>
        </w:tc>
        <w:tc>
          <w:tcPr>
            <w:tcW w:w="888" w:type="pct"/>
            <w:tcBorders>
              <w:bottom w:val="single" w:sz="8" w:space="0" w:color="000000" w:themeColor="text1"/>
            </w:tcBorders>
            <w:shd w:val="clear" w:color="auto" w:fill="C7EDCC" w:themeFill="background1"/>
            <w:vAlign w:val="center"/>
          </w:tcPr>
          <w:p w:rsidR="00555626" w:rsidRPr="00201AAD" w:rsidRDefault="00555626" w:rsidP="00555626">
            <w:pPr>
              <w:spacing w:line="0" w:lineRule="atLeast"/>
              <w:jc w:val="center"/>
              <w:rPr>
                <w:rFonts w:ascii="Times New Roman" w:eastAsia="新細明體" w:hAnsi="Times New Roman" w:cs="Times New Roman"/>
                <w:color w:val="000000"/>
              </w:rPr>
            </w:pPr>
            <w:r w:rsidRPr="00201AAD">
              <w:rPr>
                <w:rFonts w:ascii="Times New Roman" w:hAnsi="Times New Roman" w:cs="Times New Roman"/>
                <w:color w:val="000000"/>
              </w:rPr>
              <w:t>13.83</w:t>
            </w:r>
            <w:r w:rsidRPr="00201AAD">
              <w:rPr>
                <w:rFonts w:ascii="Times New Roman" w:eastAsia="Arial Unicode MS" w:hAnsi="Times New Roman" w:cs="Times New Roman"/>
                <w:i/>
              </w:rPr>
              <w:t>≠</w:t>
            </w:r>
          </w:p>
        </w:tc>
      </w:tr>
    </w:tbl>
    <w:p w:rsidR="00555626" w:rsidRPr="00201AAD" w:rsidRDefault="00555626" w:rsidP="00555626">
      <w:pPr>
        <w:autoSpaceDE w:val="0"/>
        <w:autoSpaceDN w:val="0"/>
        <w:adjustRightInd w:val="0"/>
        <w:spacing w:line="0" w:lineRule="atLeast"/>
        <w:jc w:val="both"/>
        <w:rPr>
          <w:rFonts w:ascii="Times New Roman" w:hAnsi="Times New Roman" w:cs="Times New Roman"/>
          <w:bCs/>
          <w:i/>
          <w:color w:val="000000"/>
          <w:kern w:val="0"/>
          <w:sz w:val="20"/>
          <w:szCs w:val="20"/>
        </w:rPr>
      </w:pPr>
      <w:r w:rsidRPr="00201AAD">
        <w:rPr>
          <w:rFonts w:ascii="Times New Roman" w:hAnsi="Times New Roman" w:cs="Times New Roman"/>
          <w:bCs/>
          <w:i/>
          <w:color w:val="000000"/>
          <w:kern w:val="0"/>
          <w:sz w:val="20"/>
          <w:szCs w:val="20"/>
        </w:rPr>
        <w:t>Notes:</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bCs/>
          <w:i/>
          <w:color w:val="000000"/>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a</m:t>
            </m:r>
          </m:sup>
        </m:sSup>
      </m:oMath>
      <w:r w:rsidR="00555626" w:rsidRPr="00201AAD">
        <w:rPr>
          <w:rFonts w:ascii="Times New Roman" w:hAnsi="Times New Roman" w:cs="Times New Roman"/>
          <w:bCs/>
          <w:i/>
          <w:color w:val="000000"/>
          <w:kern w:val="0"/>
          <w:sz w:val="20"/>
          <w:szCs w:val="20"/>
        </w:rPr>
        <w:t>Ranks upgrade portfolio excludes product safety concerned firms.</w:t>
      </w:r>
      <w:r w:rsidR="00555626" w:rsidRPr="00201AAD">
        <w:rPr>
          <w:rFonts w:ascii="Times New Roman" w:eastAsia="新細明體" w:hAnsi="Times New Roman" w:cs="Times New Roman"/>
          <w:bCs/>
          <w:i/>
          <w:color w:val="000000"/>
          <w:kern w:val="0"/>
          <w:sz w:val="20"/>
          <w:szCs w:val="20"/>
        </w:rPr>
        <w:t xml:space="preserve"> </w:t>
      </w:r>
    </w:p>
    <w:p w:rsidR="00555626" w:rsidRPr="00201AAD" w:rsidRDefault="001C5F64" w:rsidP="00555626">
      <w:pPr>
        <w:autoSpaceDE w:val="0"/>
        <w:autoSpaceDN w:val="0"/>
        <w:adjustRightInd w:val="0"/>
        <w:spacing w:line="0" w:lineRule="atLeast"/>
        <w:ind w:left="100" w:hangingChars="50" w:hanging="100"/>
        <w:jc w:val="both"/>
        <w:rPr>
          <w:rFonts w:ascii="Times New Roman" w:eastAsia="新細明體" w:hAnsi="Times New Roman" w:cs="Times New Roman"/>
          <w:i/>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b</m:t>
            </m:r>
          </m:sup>
        </m:sSup>
      </m:oMath>
      <w:r w:rsidR="00555626" w:rsidRPr="00201AAD">
        <w:rPr>
          <w:rFonts w:ascii="Times New Roman" w:hAnsi="Times New Roman" w:cs="Times New Roman"/>
          <w:bCs/>
          <w:i/>
          <w:color w:val="000000"/>
          <w:kern w:val="0"/>
          <w:sz w:val="20"/>
          <w:szCs w:val="20"/>
        </w:rPr>
        <w:t>Ranks upgrade portfolio excludes product safety concerned and high compensation firms.</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i/>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c</m:t>
            </m:r>
          </m:sup>
        </m:sSup>
      </m:oMath>
      <w:r w:rsidR="00555626" w:rsidRPr="00201AAD">
        <w:rPr>
          <w:rFonts w:ascii="Times New Roman" w:hAnsi="Times New Roman" w:cs="Times New Roman"/>
          <w:bCs/>
          <w:i/>
          <w:color w:val="000000"/>
          <w:kern w:val="0"/>
          <w:sz w:val="20"/>
          <w:szCs w:val="20"/>
        </w:rPr>
        <w:t>Cumulative abnormal returns difference between KLD criterion 1 and Ranks upgrade portfolio.</w:t>
      </w:r>
    </w:p>
    <w:p w:rsidR="00555626" w:rsidRPr="00201AAD" w:rsidRDefault="001C5F64" w:rsidP="00555626">
      <w:pPr>
        <w:autoSpaceDE w:val="0"/>
        <w:autoSpaceDN w:val="0"/>
        <w:adjustRightInd w:val="0"/>
        <w:spacing w:line="0" w:lineRule="atLeast"/>
        <w:jc w:val="both"/>
        <w:rPr>
          <w:rFonts w:ascii="Times New Roman" w:hAnsi="Times New Roman" w:cs="Times New Roman"/>
          <w:i/>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d</m:t>
            </m:r>
          </m:sup>
        </m:sSup>
      </m:oMath>
      <w:r w:rsidR="00555626" w:rsidRPr="00201AAD">
        <w:rPr>
          <w:rFonts w:ascii="Times New Roman" w:hAnsi="Times New Roman" w:cs="Times New Roman"/>
          <w:bCs/>
          <w:i/>
          <w:color w:val="000000"/>
          <w:kern w:val="0"/>
          <w:sz w:val="20"/>
          <w:szCs w:val="20"/>
        </w:rPr>
        <w:t>Cumulative abnormal returns difference between KLD criterion 2 and Ranks upgrade portfolio.</w:t>
      </w:r>
    </w:p>
    <w:p w:rsidR="00555626" w:rsidRPr="00201AAD" w:rsidRDefault="001C5F64" w:rsidP="00555626">
      <w:pPr>
        <w:autoSpaceDE w:val="0"/>
        <w:autoSpaceDN w:val="0"/>
        <w:adjustRightInd w:val="0"/>
        <w:spacing w:line="0" w:lineRule="atLeast"/>
        <w:jc w:val="both"/>
        <w:rPr>
          <w:rFonts w:ascii="Times New Roman" w:eastAsia="新細明體" w:hAnsi="Times New Roman" w:cs="Times New Roman"/>
          <w:i/>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e</m:t>
            </m:r>
          </m:sup>
        </m:sSup>
      </m:oMath>
      <w:r w:rsidR="00555626" w:rsidRPr="00201AAD">
        <w:rPr>
          <w:rFonts w:ascii="Times New Roman" w:hAnsi="Times New Roman" w:cs="Times New Roman"/>
          <w:i/>
          <w:sz w:val="20"/>
          <w:szCs w:val="20"/>
        </w:rPr>
        <w:t>All numbers are in percentages.</w:t>
      </w:r>
    </w:p>
    <w:p w:rsidR="00555626" w:rsidRPr="00201AAD" w:rsidRDefault="001C5F64" w:rsidP="00555626">
      <w:pPr>
        <w:autoSpaceDE w:val="0"/>
        <w:autoSpaceDN w:val="0"/>
        <w:adjustRightInd w:val="0"/>
        <w:spacing w:line="0" w:lineRule="atLeast"/>
        <w:jc w:val="both"/>
        <w:rPr>
          <w:rFonts w:ascii="Times New Roman" w:hAnsi="Times New Roman" w:cs="Times New Roman"/>
          <w:bCs/>
          <w:color w:val="000000"/>
          <w:kern w:val="0"/>
          <w:sz w:val="20"/>
          <w:szCs w:val="20"/>
        </w:rPr>
      </w:pPr>
      <m:oMath>
        <m:sSup>
          <m:sSupPr>
            <m:ctrlPr>
              <w:rPr>
                <w:rFonts w:ascii="Cambria Math" w:hAnsi="Cambria Math" w:cs="Times New Roman"/>
                <w:bCs/>
                <w:i/>
                <w:color w:val="000000"/>
                <w:kern w:val="0"/>
                <w:sz w:val="20"/>
                <w:szCs w:val="20"/>
              </w:rPr>
            </m:ctrlPr>
          </m:sSupPr>
          <m:e/>
          <m:sup>
            <m:r>
              <w:rPr>
                <w:rFonts w:ascii="Cambria Math" w:hAnsi="Cambria Math" w:cs="Times New Roman"/>
                <w:color w:val="000000"/>
                <w:sz w:val="20"/>
                <w:szCs w:val="20"/>
              </w:rPr>
              <m:t>f</m:t>
            </m:r>
          </m:sup>
        </m:sSup>
      </m:oMath>
      <w:r w:rsidR="00555626" w:rsidRPr="00201AAD">
        <w:rPr>
          <w:rFonts w:ascii="Times New Roman" w:eastAsia="Arial Unicode MS" w:hAnsi="Times New Roman" w:cs="Times New Roman"/>
          <w:i/>
          <w:sz w:val="20"/>
          <w:szCs w:val="20"/>
        </w:rPr>
        <w:t>+</w:t>
      </w:r>
      <w:r w:rsidR="00555626" w:rsidRPr="00201AAD">
        <w:rPr>
          <w:rFonts w:ascii="Times New Roman" w:hAnsi="Times New Roman" w:cs="Times New Roman"/>
          <w:i/>
          <w:sz w:val="20"/>
          <w:szCs w:val="20"/>
        </w:rPr>
        <w:t xml:space="preserve">, </w:t>
      </w:r>
      <w:r w:rsidR="00555626" w:rsidRPr="00201AAD">
        <w:rPr>
          <w:rFonts w:ascii="Times New Roman" w:eastAsia="Arial Unicode MS" w:hAnsi="Times New Roman" w:cs="Times New Roman"/>
          <w:i/>
          <w:sz w:val="20"/>
          <w:szCs w:val="20"/>
        </w:rPr>
        <w:t>≠</w:t>
      </w:r>
      <w:r w:rsidR="00555626" w:rsidRPr="00201AAD">
        <w:rPr>
          <w:rFonts w:ascii="Times New Roman" w:hAnsi="Times New Roman" w:cs="Times New Roman"/>
          <w:i/>
          <w:sz w:val="20"/>
          <w:szCs w:val="20"/>
        </w:rPr>
        <w:t xml:space="preserve">, and </w:t>
      </w:r>
      <w:r w:rsidR="00555626" w:rsidRPr="00201AAD">
        <w:rPr>
          <w:rFonts w:ascii="Cambria Math" w:eastAsia="Arial Unicode MS" w:hAnsi="Cambria Math" w:cs="Cambria Math"/>
          <w:i/>
          <w:sz w:val="20"/>
          <w:szCs w:val="20"/>
        </w:rPr>
        <w:t>≢</w:t>
      </w:r>
      <w:r w:rsidR="00555626" w:rsidRPr="00201AAD">
        <w:rPr>
          <w:rFonts w:ascii="Times New Roman" w:eastAsia="Arial Unicode MS" w:hAnsi="Times New Roman" w:cs="Times New Roman"/>
          <w:i/>
          <w:sz w:val="20"/>
          <w:szCs w:val="20"/>
        </w:rPr>
        <w:t xml:space="preserve"> </w:t>
      </w:r>
      <w:r w:rsidR="00555626" w:rsidRPr="00201AAD">
        <w:rPr>
          <w:rFonts w:ascii="Times New Roman" w:hAnsi="Times New Roman" w:cs="Times New Roman"/>
          <w:i/>
          <w:sz w:val="20"/>
          <w:szCs w:val="20"/>
        </w:rPr>
        <w:t>denote the significance at the 10%, 5%, and 1%, respectively.</w:t>
      </w:r>
    </w:p>
    <w:p w:rsidR="000145AF" w:rsidRPr="00201AAD" w:rsidRDefault="000145AF" w:rsidP="004902EA"/>
    <w:sectPr w:rsidR="000145AF" w:rsidRPr="00201AAD" w:rsidSect="00997C9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4A" w:rsidRDefault="00B83D4A" w:rsidP="002C7E42">
      <w:r>
        <w:separator/>
      </w:r>
    </w:p>
  </w:endnote>
  <w:endnote w:type="continuationSeparator" w:id="0">
    <w:p w:rsidR="00B83D4A" w:rsidRDefault="00B83D4A" w:rsidP="002C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dvTimes">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4A" w:rsidRDefault="00B83D4A" w:rsidP="002C7E42">
      <w:r>
        <w:separator/>
      </w:r>
    </w:p>
  </w:footnote>
  <w:footnote w:type="continuationSeparator" w:id="0">
    <w:p w:rsidR="00B83D4A" w:rsidRDefault="00B83D4A" w:rsidP="002C7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C76DF"/>
    <w:multiLevelType w:val="hybridMultilevel"/>
    <w:tmpl w:val="DA20B5EE"/>
    <w:lvl w:ilvl="0" w:tplc="CB726C5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64942FE"/>
    <w:multiLevelType w:val="hybridMultilevel"/>
    <w:tmpl w:val="B1CC7640"/>
    <w:lvl w:ilvl="0" w:tplc="86A03A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F9C74DA"/>
    <w:multiLevelType w:val="hybridMultilevel"/>
    <w:tmpl w:val="0F7EC986"/>
    <w:lvl w:ilvl="0" w:tplc="6D46AF0C">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4A"/>
    <w:rsid w:val="00006F3A"/>
    <w:rsid w:val="000138BE"/>
    <w:rsid w:val="00014152"/>
    <w:rsid w:val="000145AF"/>
    <w:rsid w:val="00036503"/>
    <w:rsid w:val="00036C47"/>
    <w:rsid w:val="00041419"/>
    <w:rsid w:val="000415D2"/>
    <w:rsid w:val="00057F7E"/>
    <w:rsid w:val="00064E02"/>
    <w:rsid w:val="00076364"/>
    <w:rsid w:val="00077BBE"/>
    <w:rsid w:val="0008020D"/>
    <w:rsid w:val="00081472"/>
    <w:rsid w:val="000817A3"/>
    <w:rsid w:val="000864CE"/>
    <w:rsid w:val="00094D8C"/>
    <w:rsid w:val="000A2986"/>
    <w:rsid w:val="000A7318"/>
    <w:rsid w:val="000B04D1"/>
    <w:rsid w:val="000B4613"/>
    <w:rsid w:val="000B71EE"/>
    <w:rsid w:val="000C4C67"/>
    <w:rsid w:val="000E36E2"/>
    <w:rsid w:val="000E73EF"/>
    <w:rsid w:val="000F5905"/>
    <w:rsid w:val="000F6FA7"/>
    <w:rsid w:val="001036B3"/>
    <w:rsid w:val="00116DF9"/>
    <w:rsid w:val="00126176"/>
    <w:rsid w:val="0013259A"/>
    <w:rsid w:val="00143BD2"/>
    <w:rsid w:val="00145561"/>
    <w:rsid w:val="001636C8"/>
    <w:rsid w:val="00167F25"/>
    <w:rsid w:val="00167F7D"/>
    <w:rsid w:val="00180067"/>
    <w:rsid w:val="0018169F"/>
    <w:rsid w:val="00187F52"/>
    <w:rsid w:val="001B4F42"/>
    <w:rsid w:val="001B5EDA"/>
    <w:rsid w:val="001C0A5A"/>
    <w:rsid w:val="001C5F64"/>
    <w:rsid w:val="001C6823"/>
    <w:rsid w:val="001D77F6"/>
    <w:rsid w:val="001E5520"/>
    <w:rsid w:val="00201AAD"/>
    <w:rsid w:val="00204B6F"/>
    <w:rsid w:val="002100AA"/>
    <w:rsid w:val="00212FCC"/>
    <w:rsid w:val="00215DDB"/>
    <w:rsid w:val="00230095"/>
    <w:rsid w:val="00240B25"/>
    <w:rsid w:val="002476D5"/>
    <w:rsid w:val="00250153"/>
    <w:rsid w:val="002610B4"/>
    <w:rsid w:val="00261823"/>
    <w:rsid w:val="002705A8"/>
    <w:rsid w:val="00275C41"/>
    <w:rsid w:val="0028068C"/>
    <w:rsid w:val="00285CC8"/>
    <w:rsid w:val="002866A8"/>
    <w:rsid w:val="002A7633"/>
    <w:rsid w:val="002B4AD5"/>
    <w:rsid w:val="002C5CCE"/>
    <w:rsid w:val="002C7E42"/>
    <w:rsid w:val="002D3098"/>
    <w:rsid w:val="002D651A"/>
    <w:rsid w:val="002F09AE"/>
    <w:rsid w:val="0030642E"/>
    <w:rsid w:val="0031267C"/>
    <w:rsid w:val="00321E8D"/>
    <w:rsid w:val="00330E16"/>
    <w:rsid w:val="00331673"/>
    <w:rsid w:val="0033183E"/>
    <w:rsid w:val="003320B3"/>
    <w:rsid w:val="00335B7C"/>
    <w:rsid w:val="00342B05"/>
    <w:rsid w:val="00355BAF"/>
    <w:rsid w:val="0037583E"/>
    <w:rsid w:val="00382455"/>
    <w:rsid w:val="00386543"/>
    <w:rsid w:val="00393854"/>
    <w:rsid w:val="00396A88"/>
    <w:rsid w:val="003C4169"/>
    <w:rsid w:val="003C7954"/>
    <w:rsid w:val="003D70E4"/>
    <w:rsid w:val="003E24A6"/>
    <w:rsid w:val="003E765F"/>
    <w:rsid w:val="003F2F64"/>
    <w:rsid w:val="003F73F1"/>
    <w:rsid w:val="0040216A"/>
    <w:rsid w:val="00404F1D"/>
    <w:rsid w:val="00410194"/>
    <w:rsid w:val="0043240E"/>
    <w:rsid w:val="0044144B"/>
    <w:rsid w:val="00446546"/>
    <w:rsid w:val="0045078F"/>
    <w:rsid w:val="004519E3"/>
    <w:rsid w:val="00462712"/>
    <w:rsid w:val="00484D2A"/>
    <w:rsid w:val="004902EA"/>
    <w:rsid w:val="004975BA"/>
    <w:rsid w:val="004A0C9D"/>
    <w:rsid w:val="004A0E5B"/>
    <w:rsid w:val="004A18CD"/>
    <w:rsid w:val="004A312C"/>
    <w:rsid w:val="004B2779"/>
    <w:rsid w:val="004B3EF7"/>
    <w:rsid w:val="004C5008"/>
    <w:rsid w:val="004D04BE"/>
    <w:rsid w:val="004D33C7"/>
    <w:rsid w:val="004D3A3B"/>
    <w:rsid w:val="004D4C9E"/>
    <w:rsid w:val="004D52B6"/>
    <w:rsid w:val="004D6204"/>
    <w:rsid w:val="004D6795"/>
    <w:rsid w:val="004E45F5"/>
    <w:rsid w:val="00516DFA"/>
    <w:rsid w:val="00520E62"/>
    <w:rsid w:val="005262C1"/>
    <w:rsid w:val="00531C02"/>
    <w:rsid w:val="00533575"/>
    <w:rsid w:val="00537DDB"/>
    <w:rsid w:val="00542787"/>
    <w:rsid w:val="00550260"/>
    <w:rsid w:val="00552F7E"/>
    <w:rsid w:val="00552F9F"/>
    <w:rsid w:val="005532D8"/>
    <w:rsid w:val="00555182"/>
    <w:rsid w:val="00555626"/>
    <w:rsid w:val="005733D7"/>
    <w:rsid w:val="005737EB"/>
    <w:rsid w:val="00577163"/>
    <w:rsid w:val="00581953"/>
    <w:rsid w:val="005835A1"/>
    <w:rsid w:val="0058516E"/>
    <w:rsid w:val="00590F21"/>
    <w:rsid w:val="0059292F"/>
    <w:rsid w:val="005A10D3"/>
    <w:rsid w:val="005B6FC2"/>
    <w:rsid w:val="005C3A56"/>
    <w:rsid w:val="005D1352"/>
    <w:rsid w:val="005D1A87"/>
    <w:rsid w:val="005E178D"/>
    <w:rsid w:val="005E72E7"/>
    <w:rsid w:val="005F0945"/>
    <w:rsid w:val="005F523C"/>
    <w:rsid w:val="006322F8"/>
    <w:rsid w:val="006324DE"/>
    <w:rsid w:val="00634FE6"/>
    <w:rsid w:val="00636EE4"/>
    <w:rsid w:val="00652E89"/>
    <w:rsid w:val="006645C5"/>
    <w:rsid w:val="006728C8"/>
    <w:rsid w:val="00684ACF"/>
    <w:rsid w:val="006B18DE"/>
    <w:rsid w:val="006B4DB0"/>
    <w:rsid w:val="006B595B"/>
    <w:rsid w:val="006C02A7"/>
    <w:rsid w:val="006C2B08"/>
    <w:rsid w:val="006D35B9"/>
    <w:rsid w:val="006E5F44"/>
    <w:rsid w:val="006E716E"/>
    <w:rsid w:val="006F454F"/>
    <w:rsid w:val="006F6248"/>
    <w:rsid w:val="00707472"/>
    <w:rsid w:val="007077C2"/>
    <w:rsid w:val="007155F6"/>
    <w:rsid w:val="0072007C"/>
    <w:rsid w:val="0072271F"/>
    <w:rsid w:val="007230F8"/>
    <w:rsid w:val="00730BE2"/>
    <w:rsid w:val="00735647"/>
    <w:rsid w:val="00741395"/>
    <w:rsid w:val="00743ACF"/>
    <w:rsid w:val="007505B8"/>
    <w:rsid w:val="00760BCF"/>
    <w:rsid w:val="00765582"/>
    <w:rsid w:val="00767234"/>
    <w:rsid w:val="0078092F"/>
    <w:rsid w:val="007946F5"/>
    <w:rsid w:val="007B198D"/>
    <w:rsid w:val="007C4B91"/>
    <w:rsid w:val="007D0F6C"/>
    <w:rsid w:val="007D6389"/>
    <w:rsid w:val="007D6ED0"/>
    <w:rsid w:val="007F2E92"/>
    <w:rsid w:val="007F48C6"/>
    <w:rsid w:val="00800649"/>
    <w:rsid w:val="0080481B"/>
    <w:rsid w:val="008105BD"/>
    <w:rsid w:val="00823D6F"/>
    <w:rsid w:val="00835F5E"/>
    <w:rsid w:val="00836971"/>
    <w:rsid w:val="008452E5"/>
    <w:rsid w:val="00846E4A"/>
    <w:rsid w:val="00857D97"/>
    <w:rsid w:val="00863E0C"/>
    <w:rsid w:val="00877BEF"/>
    <w:rsid w:val="008816ED"/>
    <w:rsid w:val="008958E4"/>
    <w:rsid w:val="0089657C"/>
    <w:rsid w:val="008A0F6F"/>
    <w:rsid w:val="008B2058"/>
    <w:rsid w:val="008B6416"/>
    <w:rsid w:val="008B747B"/>
    <w:rsid w:val="008B7689"/>
    <w:rsid w:val="008C1B8D"/>
    <w:rsid w:val="008C3865"/>
    <w:rsid w:val="008E5E97"/>
    <w:rsid w:val="008F2ADF"/>
    <w:rsid w:val="009004A3"/>
    <w:rsid w:val="00900ADF"/>
    <w:rsid w:val="009049A0"/>
    <w:rsid w:val="00906491"/>
    <w:rsid w:val="009072E0"/>
    <w:rsid w:val="00907CEE"/>
    <w:rsid w:val="009106FE"/>
    <w:rsid w:val="009128E3"/>
    <w:rsid w:val="00917AF1"/>
    <w:rsid w:val="00922306"/>
    <w:rsid w:val="00926F4D"/>
    <w:rsid w:val="00927270"/>
    <w:rsid w:val="00930525"/>
    <w:rsid w:val="009329BE"/>
    <w:rsid w:val="00936120"/>
    <w:rsid w:val="00941A19"/>
    <w:rsid w:val="00943C58"/>
    <w:rsid w:val="009457C8"/>
    <w:rsid w:val="009507F7"/>
    <w:rsid w:val="00955545"/>
    <w:rsid w:val="00957F44"/>
    <w:rsid w:val="00971E0D"/>
    <w:rsid w:val="009822B2"/>
    <w:rsid w:val="00991892"/>
    <w:rsid w:val="00993577"/>
    <w:rsid w:val="00997C90"/>
    <w:rsid w:val="009A19DB"/>
    <w:rsid w:val="009A287D"/>
    <w:rsid w:val="009C1384"/>
    <w:rsid w:val="009C1E87"/>
    <w:rsid w:val="009C547C"/>
    <w:rsid w:val="009D19BE"/>
    <w:rsid w:val="009E08B8"/>
    <w:rsid w:val="00A00A82"/>
    <w:rsid w:val="00A02DBC"/>
    <w:rsid w:val="00A366A3"/>
    <w:rsid w:val="00A40FAD"/>
    <w:rsid w:val="00A429DF"/>
    <w:rsid w:val="00A45663"/>
    <w:rsid w:val="00A56240"/>
    <w:rsid w:val="00A64A7A"/>
    <w:rsid w:val="00A67473"/>
    <w:rsid w:val="00A72101"/>
    <w:rsid w:val="00A87C4D"/>
    <w:rsid w:val="00A91946"/>
    <w:rsid w:val="00A92145"/>
    <w:rsid w:val="00A93AD8"/>
    <w:rsid w:val="00AA29C9"/>
    <w:rsid w:val="00AA5A93"/>
    <w:rsid w:val="00AA6BA0"/>
    <w:rsid w:val="00AB47F2"/>
    <w:rsid w:val="00AB5906"/>
    <w:rsid w:val="00AB612A"/>
    <w:rsid w:val="00AB7C05"/>
    <w:rsid w:val="00AC01E5"/>
    <w:rsid w:val="00AC365B"/>
    <w:rsid w:val="00AC5B53"/>
    <w:rsid w:val="00AD04B3"/>
    <w:rsid w:val="00AD1CA1"/>
    <w:rsid w:val="00AD3F6A"/>
    <w:rsid w:val="00AD4663"/>
    <w:rsid w:val="00AD4AAF"/>
    <w:rsid w:val="00AE1558"/>
    <w:rsid w:val="00AE3E84"/>
    <w:rsid w:val="00AF54FE"/>
    <w:rsid w:val="00B10AED"/>
    <w:rsid w:val="00B12E02"/>
    <w:rsid w:val="00B251B0"/>
    <w:rsid w:val="00B258B7"/>
    <w:rsid w:val="00B2648A"/>
    <w:rsid w:val="00B26BC2"/>
    <w:rsid w:val="00B3434A"/>
    <w:rsid w:val="00B40C93"/>
    <w:rsid w:val="00B42314"/>
    <w:rsid w:val="00B50AFC"/>
    <w:rsid w:val="00B62A7C"/>
    <w:rsid w:val="00B77E60"/>
    <w:rsid w:val="00B82316"/>
    <w:rsid w:val="00B828C2"/>
    <w:rsid w:val="00B838CE"/>
    <w:rsid w:val="00B83D4A"/>
    <w:rsid w:val="00B8536D"/>
    <w:rsid w:val="00B91153"/>
    <w:rsid w:val="00B95072"/>
    <w:rsid w:val="00B97D95"/>
    <w:rsid w:val="00BA3E80"/>
    <w:rsid w:val="00BA4794"/>
    <w:rsid w:val="00BB0E50"/>
    <w:rsid w:val="00BB4A11"/>
    <w:rsid w:val="00BB754E"/>
    <w:rsid w:val="00BC59A2"/>
    <w:rsid w:val="00BD3BD1"/>
    <w:rsid w:val="00BE0BE8"/>
    <w:rsid w:val="00BE47D5"/>
    <w:rsid w:val="00C006ED"/>
    <w:rsid w:val="00C070D6"/>
    <w:rsid w:val="00C07DD0"/>
    <w:rsid w:val="00C11F65"/>
    <w:rsid w:val="00C157DD"/>
    <w:rsid w:val="00C21078"/>
    <w:rsid w:val="00C23FD1"/>
    <w:rsid w:val="00C25284"/>
    <w:rsid w:val="00C52490"/>
    <w:rsid w:val="00C54DC9"/>
    <w:rsid w:val="00C65189"/>
    <w:rsid w:val="00C82C16"/>
    <w:rsid w:val="00C9469E"/>
    <w:rsid w:val="00C954F8"/>
    <w:rsid w:val="00CA1464"/>
    <w:rsid w:val="00CA2A94"/>
    <w:rsid w:val="00CB4211"/>
    <w:rsid w:val="00CB5392"/>
    <w:rsid w:val="00CB5A20"/>
    <w:rsid w:val="00CC01F9"/>
    <w:rsid w:val="00CC2FD5"/>
    <w:rsid w:val="00CD6536"/>
    <w:rsid w:val="00CE5995"/>
    <w:rsid w:val="00CF3CA6"/>
    <w:rsid w:val="00D02472"/>
    <w:rsid w:val="00D40B55"/>
    <w:rsid w:val="00D4212C"/>
    <w:rsid w:val="00D43B01"/>
    <w:rsid w:val="00D44535"/>
    <w:rsid w:val="00D53AA1"/>
    <w:rsid w:val="00D57590"/>
    <w:rsid w:val="00D6174A"/>
    <w:rsid w:val="00D85D76"/>
    <w:rsid w:val="00D90D71"/>
    <w:rsid w:val="00DA02BD"/>
    <w:rsid w:val="00DB1926"/>
    <w:rsid w:val="00DB221D"/>
    <w:rsid w:val="00DB7C57"/>
    <w:rsid w:val="00DC4382"/>
    <w:rsid w:val="00DC6D40"/>
    <w:rsid w:val="00DD1F31"/>
    <w:rsid w:val="00DD33EE"/>
    <w:rsid w:val="00DD7B86"/>
    <w:rsid w:val="00DE52E9"/>
    <w:rsid w:val="00DF16A6"/>
    <w:rsid w:val="00DF2CEA"/>
    <w:rsid w:val="00DF48F7"/>
    <w:rsid w:val="00DF7A66"/>
    <w:rsid w:val="00E1263A"/>
    <w:rsid w:val="00E14919"/>
    <w:rsid w:val="00E160C0"/>
    <w:rsid w:val="00E218B5"/>
    <w:rsid w:val="00E22B96"/>
    <w:rsid w:val="00E23E6E"/>
    <w:rsid w:val="00E25442"/>
    <w:rsid w:val="00E3304D"/>
    <w:rsid w:val="00E42D2D"/>
    <w:rsid w:val="00E66C50"/>
    <w:rsid w:val="00EA4314"/>
    <w:rsid w:val="00EB55F5"/>
    <w:rsid w:val="00EC2D73"/>
    <w:rsid w:val="00EC3EC3"/>
    <w:rsid w:val="00EC5F7F"/>
    <w:rsid w:val="00EE0863"/>
    <w:rsid w:val="00EE24FF"/>
    <w:rsid w:val="00EE256B"/>
    <w:rsid w:val="00EE3E29"/>
    <w:rsid w:val="00EF0AAC"/>
    <w:rsid w:val="00EF311C"/>
    <w:rsid w:val="00EF3161"/>
    <w:rsid w:val="00EF3DFD"/>
    <w:rsid w:val="00EF66D1"/>
    <w:rsid w:val="00F00CC8"/>
    <w:rsid w:val="00F021C8"/>
    <w:rsid w:val="00F12B55"/>
    <w:rsid w:val="00F134DB"/>
    <w:rsid w:val="00F17AD1"/>
    <w:rsid w:val="00F22EC3"/>
    <w:rsid w:val="00F33D43"/>
    <w:rsid w:val="00F36EC6"/>
    <w:rsid w:val="00F36FC6"/>
    <w:rsid w:val="00F376F1"/>
    <w:rsid w:val="00F54EA8"/>
    <w:rsid w:val="00F56286"/>
    <w:rsid w:val="00F6157C"/>
    <w:rsid w:val="00F70F6B"/>
    <w:rsid w:val="00F72A5A"/>
    <w:rsid w:val="00F9590C"/>
    <w:rsid w:val="00F9743B"/>
    <w:rsid w:val="00FA1467"/>
    <w:rsid w:val="00FA1612"/>
    <w:rsid w:val="00FB608A"/>
    <w:rsid w:val="00FC69D2"/>
    <w:rsid w:val="00FC7AAA"/>
    <w:rsid w:val="00FD27F4"/>
    <w:rsid w:val="00FD7C14"/>
    <w:rsid w:val="00FE4ADB"/>
    <w:rsid w:val="00FF6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42"/>
    <w:pPr>
      <w:tabs>
        <w:tab w:val="center" w:pos="4153"/>
        <w:tab w:val="right" w:pos="8306"/>
      </w:tabs>
      <w:snapToGrid w:val="0"/>
    </w:pPr>
    <w:rPr>
      <w:sz w:val="20"/>
      <w:szCs w:val="20"/>
    </w:rPr>
  </w:style>
  <w:style w:type="character" w:customStyle="1" w:styleId="a4">
    <w:name w:val="頁首 字元"/>
    <w:basedOn w:val="a0"/>
    <w:link w:val="a3"/>
    <w:uiPriority w:val="99"/>
    <w:rsid w:val="002C7E42"/>
    <w:rPr>
      <w:sz w:val="20"/>
      <w:szCs w:val="20"/>
    </w:rPr>
  </w:style>
  <w:style w:type="paragraph" w:styleId="a5">
    <w:name w:val="footer"/>
    <w:basedOn w:val="a"/>
    <w:link w:val="a6"/>
    <w:uiPriority w:val="99"/>
    <w:unhideWhenUsed/>
    <w:rsid w:val="002C7E42"/>
    <w:pPr>
      <w:tabs>
        <w:tab w:val="center" w:pos="4153"/>
        <w:tab w:val="right" w:pos="8306"/>
      </w:tabs>
      <w:snapToGrid w:val="0"/>
    </w:pPr>
    <w:rPr>
      <w:sz w:val="20"/>
      <w:szCs w:val="20"/>
    </w:rPr>
  </w:style>
  <w:style w:type="character" w:customStyle="1" w:styleId="a6">
    <w:name w:val="頁尾 字元"/>
    <w:basedOn w:val="a0"/>
    <w:link w:val="a5"/>
    <w:uiPriority w:val="99"/>
    <w:rsid w:val="002C7E42"/>
    <w:rPr>
      <w:sz w:val="20"/>
      <w:szCs w:val="20"/>
    </w:rPr>
  </w:style>
  <w:style w:type="paragraph" w:styleId="a7">
    <w:name w:val="endnote text"/>
    <w:basedOn w:val="a"/>
    <w:link w:val="a8"/>
    <w:uiPriority w:val="99"/>
    <w:semiHidden/>
    <w:unhideWhenUsed/>
    <w:rsid w:val="00943C58"/>
    <w:pPr>
      <w:snapToGrid w:val="0"/>
    </w:pPr>
  </w:style>
  <w:style w:type="character" w:customStyle="1" w:styleId="a8">
    <w:name w:val="章節附註文字 字元"/>
    <w:basedOn w:val="a0"/>
    <w:link w:val="a7"/>
    <w:uiPriority w:val="99"/>
    <w:semiHidden/>
    <w:rsid w:val="00943C58"/>
  </w:style>
  <w:style w:type="character" w:styleId="a9">
    <w:name w:val="endnote reference"/>
    <w:basedOn w:val="a0"/>
    <w:uiPriority w:val="99"/>
    <w:semiHidden/>
    <w:unhideWhenUsed/>
    <w:rsid w:val="00943C58"/>
    <w:rPr>
      <w:vertAlign w:val="superscript"/>
    </w:rPr>
  </w:style>
  <w:style w:type="paragraph" w:styleId="aa">
    <w:name w:val="Balloon Text"/>
    <w:basedOn w:val="a"/>
    <w:link w:val="ab"/>
    <w:uiPriority w:val="99"/>
    <w:semiHidden/>
    <w:unhideWhenUsed/>
    <w:rsid w:val="00943C5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43C58"/>
    <w:rPr>
      <w:rFonts w:asciiTheme="majorHAnsi" w:eastAsiaTheme="majorEastAsia" w:hAnsiTheme="majorHAnsi" w:cstheme="majorBidi"/>
      <w:sz w:val="18"/>
      <w:szCs w:val="18"/>
    </w:rPr>
  </w:style>
  <w:style w:type="paragraph" w:styleId="ac">
    <w:name w:val="List Paragraph"/>
    <w:basedOn w:val="a"/>
    <w:uiPriority w:val="34"/>
    <w:qFormat/>
    <w:rsid w:val="00201AAD"/>
    <w:pPr>
      <w:ind w:leftChars="200" w:left="480"/>
    </w:pPr>
  </w:style>
  <w:style w:type="character" w:styleId="ad">
    <w:name w:val="Hyperlink"/>
    <w:basedOn w:val="a0"/>
    <w:uiPriority w:val="99"/>
    <w:unhideWhenUsed/>
    <w:rsid w:val="00201A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42"/>
    <w:pPr>
      <w:tabs>
        <w:tab w:val="center" w:pos="4153"/>
        <w:tab w:val="right" w:pos="8306"/>
      </w:tabs>
      <w:snapToGrid w:val="0"/>
    </w:pPr>
    <w:rPr>
      <w:sz w:val="20"/>
      <w:szCs w:val="20"/>
    </w:rPr>
  </w:style>
  <w:style w:type="character" w:customStyle="1" w:styleId="a4">
    <w:name w:val="頁首 字元"/>
    <w:basedOn w:val="a0"/>
    <w:link w:val="a3"/>
    <w:uiPriority w:val="99"/>
    <w:rsid w:val="002C7E42"/>
    <w:rPr>
      <w:sz w:val="20"/>
      <w:szCs w:val="20"/>
    </w:rPr>
  </w:style>
  <w:style w:type="paragraph" w:styleId="a5">
    <w:name w:val="footer"/>
    <w:basedOn w:val="a"/>
    <w:link w:val="a6"/>
    <w:uiPriority w:val="99"/>
    <w:unhideWhenUsed/>
    <w:rsid w:val="002C7E42"/>
    <w:pPr>
      <w:tabs>
        <w:tab w:val="center" w:pos="4153"/>
        <w:tab w:val="right" w:pos="8306"/>
      </w:tabs>
      <w:snapToGrid w:val="0"/>
    </w:pPr>
    <w:rPr>
      <w:sz w:val="20"/>
      <w:szCs w:val="20"/>
    </w:rPr>
  </w:style>
  <w:style w:type="character" w:customStyle="1" w:styleId="a6">
    <w:name w:val="頁尾 字元"/>
    <w:basedOn w:val="a0"/>
    <w:link w:val="a5"/>
    <w:uiPriority w:val="99"/>
    <w:rsid w:val="002C7E42"/>
    <w:rPr>
      <w:sz w:val="20"/>
      <w:szCs w:val="20"/>
    </w:rPr>
  </w:style>
  <w:style w:type="paragraph" w:styleId="a7">
    <w:name w:val="endnote text"/>
    <w:basedOn w:val="a"/>
    <w:link w:val="a8"/>
    <w:uiPriority w:val="99"/>
    <w:semiHidden/>
    <w:unhideWhenUsed/>
    <w:rsid w:val="00943C58"/>
    <w:pPr>
      <w:snapToGrid w:val="0"/>
    </w:pPr>
  </w:style>
  <w:style w:type="character" w:customStyle="1" w:styleId="a8">
    <w:name w:val="章節附註文字 字元"/>
    <w:basedOn w:val="a0"/>
    <w:link w:val="a7"/>
    <w:uiPriority w:val="99"/>
    <w:semiHidden/>
    <w:rsid w:val="00943C58"/>
  </w:style>
  <w:style w:type="character" w:styleId="a9">
    <w:name w:val="endnote reference"/>
    <w:basedOn w:val="a0"/>
    <w:uiPriority w:val="99"/>
    <w:semiHidden/>
    <w:unhideWhenUsed/>
    <w:rsid w:val="00943C58"/>
    <w:rPr>
      <w:vertAlign w:val="superscript"/>
    </w:rPr>
  </w:style>
  <w:style w:type="paragraph" w:styleId="aa">
    <w:name w:val="Balloon Text"/>
    <w:basedOn w:val="a"/>
    <w:link w:val="ab"/>
    <w:uiPriority w:val="99"/>
    <w:semiHidden/>
    <w:unhideWhenUsed/>
    <w:rsid w:val="00943C5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43C58"/>
    <w:rPr>
      <w:rFonts w:asciiTheme="majorHAnsi" w:eastAsiaTheme="majorEastAsia" w:hAnsiTheme="majorHAnsi" w:cstheme="majorBidi"/>
      <w:sz w:val="18"/>
      <w:szCs w:val="18"/>
    </w:rPr>
  </w:style>
  <w:style w:type="paragraph" w:styleId="ac">
    <w:name w:val="List Paragraph"/>
    <w:basedOn w:val="a"/>
    <w:uiPriority w:val="34"/>
    <w:qFormat/>
    <w:rsid w:val="00201AAD"/>
    <w:pPr>
      <w:ind w:leftChars="200" w:left="480"/>
    </w:pPr>
  </w:style>
  <w:style w:type="character" w:styleId="ad">
    <w:name w:val="Hyperlink"/>
    <w:basedOn w:val="a0"/>
    <w:uiPriority w:val="99"/>
    <w:unhideWhenUsed/>
    <w:rsid w:val="00201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cchen@nchu.edu.tw" TargetMode="External"/><Relationship Id="rId4" Type="http://schemas.microsoft.com/office/2007/relationships/stylesWithEffects" Target="stylesWithEffects.xml"/><Relationship Id="rId9" Type="http://schemas.openxmlformats.org/officeDocument/2006/relationships/hyperlink" Target="mailto:rickhsutw@nutc.edu.tw" TargetMode="External"/><Relationship Id="rId14" Type="http://schemas.openxmlformats.org/officeDocument/2006/relationships/package" Target="embeddings/Microsoft_Word_Document2.docx"/></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367CD2AF-98EE-4D9A-90E2-0D746A2B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4391</Words>
  <Characters>25035</Characters>
  <Application>Microsoft Office Word</Application>
  <DocSecurity>0</DocSecurity>
  <Lines>208</Lines>
  <Paragraphs>58</Paragraphs>
  <ScaleCrop>false</ScaleCrop>
  <Company/>
  <LinksUpToDate>false</LinksUpToDate>
  <CharactersWithSpaces>29368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2015-12-08T02:56:00Z</dcterms:created>
  <dcterms:modified xsi:type="dcterms:W3CDTF">2015-12-08T03:24:00Z</dcterms:modified>
</cp:coreProperties>
</file>