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75" w:rsidRPr="00CA524B" w:rsidRDefault="00E24B75" w:rsidP="00E24B75">
      <w:pPr>
        <w:spacing w:line="240" w:lineRule="auto"/>
        <w:jc w:val="center"/>
        <w:rPr>
          <w:b/>
          <w:bCs/>
          <w:color w:val="333333"/>
          <w:sz w:val="28"/>
          <w:szCs w:val="28"/>
          <w:shd w:val="clear" w:color="auto" w:fill="FFFFFF"/>
          <w:rtl/>
        </w:rPr>
      </w:pPr>
      <w:bookmarkStart w:id="0" w:name="_GoBack"/>
      <w:bookmarkEnd w:id="0"/>
      <w:r w:rsidRPr="00CA524B">
        <w:rPr>
          <w:rFonts w:cstheme="majorBidi"/>
          <w:b/>
          <w:bCs/>
          <w:color w:val="333333"/>
          <w:sz w:val="28"/>
          <w:szCs w:val="28"/>
          <w:shd w:val="clear" w:color="auto" w:fill="FFFFFF"/>
        </w:rPr>
        <w:t>Investigation of noise pollution in Shahid Beheshti Hospital in Qorveh and presenting its control strategies</w:t>
      </w:r>
    </w:p>
    <w:p w:rsidR="00E24B75" w:rsidRPr="001B315C" w:rsidRDefault="00E24B75" w:rsidP="00902385">
      <w:pPr>
        <w:bidi w:val="0"/>
        <w:spacing w:line="240" w:lineRule="auto"/>
        <w:ind w:firstLine="284"/>
        <w:jc w:val="center"/>
        <w:rPr>
          <w:rFonts w:cstheme="majorBidi"/>
          <w:color w:val="333333"/>
          <w:sz w:val="20"/>
          <w:szCs w:val="20"/>
          <w:shd w:val="clear" w:color="auto" w:fill="FFFFFF"/>
        </w:rPr>
      </w:pPr>
      <w:r w:rsidRPr="00C61DE1">
        <w:rPr>
          <w:rFonts w:cstheme="majorBidi"/>
          <w:color w:val="333333"/>
          <w:sz w:val="20"/>
          <w:szCs w:val="20"/>
          <w:shd w:val="clear" w:color="auto" w:fill="FFFFFF"/>
        </w:rPr>
        <w:t>Norouzi Ebrahim</w:t>
      </w:r>
      <w:r w:rsidR="001B315C">
        <w:rPr>
          <w:rFonts w:cstheme="majorBidi"/>
          <w:color w:val="333333"/>
          <w:sz w:val="20"/>
          <w:szCs w:val="20"/>
          <w:shd w:val="clear" w:color="auto" w:fill="FFFFFF"/>
          <w:vertAlign w:val="superscript"/>
        </w:rPr>
        <w:t>1</w:t>
      </w:r>
      <w:r w:rsidRPr="00C61DE1">
        <w:rPr>
          <w:rFonts w:cstheme="majorBidi"/>
          <w:color w:val="333333"/>
          <w:sz w:val="20"/>
          <w:szCs w:val="20"/>
          <w:shd w:val="clear" w:color="auto" w:fill="FFFFFF"/>
        </w:rPr>
        <w:t>, Farhang Dehghan Somayeh</w:t>
      </w:r>
      <w:r w:rsidR="00902385">
        <w:rPr>
          <w:rFonts w:cstheme="majorBidi"/>
          <w:color w:val="333333"/>
          <w:sz w:val="20"/>
          <w:szCs w:val="20"/>
          <w:shd w:val="clear" w:color="auto" w:fill="FFFFFF"/>
          <w:vertAlign w:val="superscript"/>
        </w:rPr>
        <w:t>2</w:t>
      </w:r>
      <w:r w:rsidRPr="00C61DE1">
        <w:rPr>
          <w:rFonts w:cstheme="majorBidi"/>
          <w:color w:val="333333"/>
          <w:sz w:val="20"/>
          <w:szCs w:val="20"/>
          <w:shd w:val="clear" w:color="auto" w:fill="FFFFFF"/>
        </w:rPr>
        <w:t>, Baiyatian Majid</w:t>
      </w:r>
      <w:r w:rsidR="00902385">
        <w:rPr>
          <w:rFonts w:cstheme="majorBidi"/>
          <w:color w:val="333333"/>
          <w:sz w:val="20"/>
          <w:szCs w:val="20"/>
          <w:shd w:val="clear" w:color="auto" w:fill="FFFFFF"/>
          <w:vertAlign w:val="superscript"/>
        </w:rPr>
        <w:t>3</w:t>
      </w:r>
      <w:r w:rsidRPr="00C61DE1">
        <w:rPr>
          <w:rFonts w:cstheme="majorBidi"/>
          <w:color w:val="333333"/>
          <w:sz w:val="20"/>
          <w:szCs w:val="20"/>
          <w:shd w:val="clear" w:color="auto" w:fill="FFFFFF"/>
        </w:rPr>
        <w:t>, Zarei Amir</w:t>
      </w:r>
      <w:r w:rsidR="00902385">
        <w:rPr>
          <w:rFonts w:cstheme="majorBidi"/>
          <w:color w:val="333333"/>
          <w:sz w:val="20"/>
          <w:szCs w:val="20"/>
          <w:shd w:val="clear" w:color="auto" w:fill="FFFFFF"/>
          <w:vertAlign w:val="superscript"/>
        </w:rPr>
        <w:t>4</w:t>
      </w:r>
      <w:r w:rsidRPr="00C61DE1">
        <w:rPr>
          <w:rFonts w:cstheme="majorBidi"/>
          <w:color w:val="333333"/>
          <w:sz w:val="20"/>
          <w:szCs w:val="20"/>
          <w:shd w:val="clear" w:color="auto" w:fill="FFFFFF"/>
        </w:rPr>
        <w:t>, Ghahramani Esmaeil</w:t>
      </w:r>
      <w:r w:rsidR="00902385">
        <w:rPr>
          <w:rFonts w:cstheme="majorBidi"/>
          <w:color w:val="333333"/>
          <w:sz w:val="20"/>
          <w:szCs w:val="20"/>
          <w:shd w:val="clear" w:color="auto" w:fill="FFFFFF"/>
          <w:vertAlign w:val="superscript"/>
        </w:rPr>
        <w:t>5</w:t>
      </w:r>
      <w:r w:rsidR="001B315C" w:rsidRPr="001B315C">
        <w:rPr>
          <w:rFonts w:cstheme="majorBidi"/>
          <w:color w:val="333333"/>
          <w:sz w:val="20"/>
          <w:szCs w:val="20"/>
          <w:shd w:val="clear" w:color="auto" w:fill="FFFFFF"/>
        </w:rPr>
        <w:t>,</w:t>
      </w:r>
      <w:r w:rsidR="001B315C">
        <w:rPr>
          <w:rFonts w:cstheme="majorBidi"/>
          <w:color w:val="333333"/>
          <w:sz w:val="20"/>
          <w:szCs w:val="20"/>
          <w:shd w:val="clear" w:color="auto" w:fill="FFFFFF"/>
        </w:rPr>
        <w:t xml:space="preserve"> </w:t>
      </w:r>
      <w:r w:rsidR="001B315C" w:rsidRPr="001B315C">
        <w:rPr>
          <w:rFonts w:cstheme="majorBidi"/>
          <w:color w:val="333333"/>
          <w:sz w:val="20"/>
          <w:szCs w:val="20"/>
          <w:shd w:val="clear" w:color="auto" w:fill="FFFFFF"/>
        </w:rPr>
        <w:t>Ayub Mahmodi</w:t>
      </w:r>
      <w:r w:rsidR="00902385">
        <w:rPr>
          <w:rFonts w:cstheme="majorBidi"/>
          <w:color w:val="333333"/>
          <w:sz w:val="20"/>
          <w:szCs w:val="20"/>
          <w:shd w:val="clear" w:color="auto" w:fill="FFFFFF"/>
          <w:vertAlign w:val="superscript"/>
        </w:rPr>
        <w:t>6</w:t>
      </w:r>
      <w:r w:rsidR="001B315C">
        <w:rPr>
          <w:rFonts w:cstheme="majorBidi"/>
          <w:color w:val="333333"/>
          <w:sz w:val="20"/>
          <w:szCs w:val="20"/>
          <w:shd w:val="clear" w:color="auto" w:fill="FFFFFF"/>
        </w:rPr>
        <w:t>,</w:t>
      </w:r>
      <w:r w:rsidR="001B315C" w:rsidRPr="001B315C">
        <w:rPr>
          <w:rFonts w:cstheme="majorBidi"/>
          <w:color w:val="333333"/>
          <w:sz w:val="20"/>
          <w:szCs w:val="20"/>
          <w:shd w:val="clear" w:color="auto" w:fill="FFFFFF"/>
        </w:rPr>
        <w:t xml:space="preserve"> </w:t>
      </w:r>
      <w:r w:rsidR="001B315C" w:rsidRPr="00C61DE1">
        <w:rPr>
          <w:rFonts w:cstheme="majorBidi"/>
          <w:color w:val="333333"/>
          <w:sz w:val="20"/>
          <w:szCs w:val="20"/>
          <w:shd w:val="clear" w:color="auto" w:fill="FFFFFF"/>
        </w:rPr>
        <w:t>Zarei Sirvan</w:t>
      </w:r>
      <w:r w:rsidR="001B315C" w:rsidRPr="00902385">
        <w:rPr>
          <w:rFonts w:cstheme="majorBidi"/>
          <w:color w:val="333333"/>
          <w:sz w:val="20"/>
          <w:szCs w:val="20"/>
          <w:shd w:val="clear" w:color="auto" w:fill="FFFFFF"/>
          <w:vertAlign w:val="superscript"/>
        </w:rPr>
        <w:t>7*</w:t>
      </w:r>
    </w:p>
    <w:p w:rsidR="00E24B75" w:rsidRPr="005533B8" w:rsidRDefault="00902385" w:rsidP="00E24B75">
      <w:pPr>
        <w:spacing w:line="240" w:lineRule="auto"/>
        <w:ind w:firstLine="284"/>
        <w:jc w:val="center"/>
        <w:rPr>
          <w:rFonts w:cstheme="majorBidi"/>
          <w:b/>
          <w:bCs/>
          <w:color w:val="auto"/>
          <w:sz w:val="20"/>
          <w:szCs w:val="20"/>
        </w:rPr>
      </w:pPr>
      <w:r>
        <w:rPr>
          <w:rFonts w:cstheme="majorBidi"/>
          <w:color w:val="auto"/>
          <w:sz w:val="20"/>
          <w:szCs w:val="20"/>
        </w:rPr>
        <w:t>1</w:t>
      </w:r>
      <w:r w:rsidR="00E24B75" w:rsidRPr="005533B8">
        <w:rPr>
          <w:rFonts w:cstheme="majorBidi"/>
          <w:color w:val="auto"/>
          <w:sz w:val="20"/>
          <w:szCs w:val="20"/>
        </w:rPr>
        <w:t>. BSc, Department of Occupational Health Engineering, Health Network of Qorveh, Kurdistan University of Medical Sciences, Sanandaj, Iran</w:t>
      </w:r>
    </w:p>
    <w:p w:rsidR="00E24B75" w:rsidRPr="005533B8" w:rsidRDefault="00902385" w:rsidP="00E24B75">
      <w:pPr>
        <w:spacing w:line="240" w:lineRule="auto"/>
        <w:ind w:firstLine="284"/>
        <w:jc w:val="center"/>
        <w:rPr>
          <w:rFonts w:cstheme="majorBidi"/>
          <w:b/>
          <w:bCs/>
          <w:color w:val="auto"/>
          <w:sz w:val="20"/>
          <w:szCs w:val="20"/>
          <w:rtl/>
        </w:rPr>
      </w:pPr>
      <w:r>
        <w:rPr>
          <w:rFonts w:cstheme="majorBidi"/>
          <w:color w:val="auto"/>
          <w:sz w:val="20"/>
          <w:szCs w:val="20"/>
        </w:rPr>
        <w:t>2</w:t>
      </w:r>
      <w:r w:rsidR="00E24B75" w:rsidRPr="005533B8">
        <w:rPr>
          <w:rFonts w:cstheme="majorBidi"/>
          <w:color w:val="auto"/>
          <w:sz w:val="20"/>
          <w:szCs w:val="20"/>
        </w:rPr>
        <w:t xml:space="preserve">. Assistant </w:t>
      </w:r>
      <w:r w:rsidR="00A73ABB" w:rsidRPr="005533B8">
        <w:rPr>
          <w:rFonts w:cstheme="majorBidi"/>
          <w:color w:val="auto"/>
          <w:sz w:val="20"/>
          <w:szCs w:val="20"/>
        </w:rPr>
        <w:t>Professor, Department</w:t>
      </w:r>
      <w:r w:rsidR="00E24B75" w:rsidRPr="005533B8">
        <w:rPr>
          <w:rFonts w:cstheme="majorBidi"/>
          <w:color w:val="auto"/>
          <w:sz w:val="20"/>
          <w:szCs w:val="20"/>
        </w:rPr>
        <w:t xml:space="preserve"> of Occupational Health and Safety at Work Engineering, School of Public Health and Safety, Shahid Beheshti University of Medical Sciences, Tehran, Iran</w:t>
      </w:r>
    </w:p>
    <w:p w:rsidR="00E24B75" w:rsidRPr="005533B8" w:rsidRDefault="00902385" w:rsidP="00E24B75">
      <w:pPr>
        <w:spacing w:line="240" w:lineRule="auto"/>
        <w:ind w:firstLine="284"/>
        <w:jc w:val="center"/>
        <w:rPr>
          <w:rFonts w:cstheme="majorBidi"/>
          <w:b/>
          <w:bCs/>
          <w:color w:val="auto"/>
          <w:sz w:val="20"/>
          <w:szCs w:val="20"/>
        </w:rPr>
      </w:pPr>
      <w:r>
        <w:rPr>
          <w:rFonts w:cstheme="majorBidi"/>
          <w:color w:val="auto"/>
          <w:sz w:val="20"/>
          <w:szCs w:val="20"/>
        </w:rPr>
        <w:t>3</w:t>
      </w:r>
      <w:r w:rsidR="00E24B75" w:rsidRPr="005533B8">
        <w:rPr>
          <w:rFonts w:cstheme="majorBidi"/>
          <w:color w:val="auto"/>
          <w:sz w:val="20"/>
          <w:szCs w:val="20"/>
        </w:rPr>
        <w:t xml:space="preserve">. Assistant </w:t>
      </w:r>
      <w:r w:rsidR="00A73ABB" w:rsidRPr="005533B8">
        <w:rPr>
          <w:rFonts w:cstheme="majorBidi"/>
          <w:color w:val="auto"/>
          <w:sz w:val="20"/>
          <w:szCs w:val="20"/>
        </w:rPr>
        <w:t>Professor, Department</w:t>
      </w:r>
      <w:r w:rsidR="00E24B75" w:rsidRPr="005533B8">
        <w:rPr>
          <w:rFonts w:cstheme="majorBidi"/>
          <w:color w:val="auto"/>
          <w:sz w:val="20"/>
          <w:szCs w:val="20"/>
        </w:rPr>
        <w:t xml:space="preserve"> of Occupational Health and Safety at Work Engineering, Tehran Medical Sciences Branch, Islamic Azad University, Tehran, Iran</w:t>
      </w:r>
    </w:p>
    <w:p w:rsidR="00E24B75" w:rsidRPr="005533B8" w:rsidRDefault="00902385" w:rsidP="001B315C">
      <w:pPr>
        <w:spacing w:line="240" w:lineRule="auto"/>
        <w:ind w:firstLine="284"/>
        <w:jc w:val="center"/>
        <w:rPr>
          <w:b/>
          <w:bCs/>
          <w:color w:val="auto"/>
          <w:sz w:val="20"/>
          <w:szCs w:val="20"/>
          <w:rtl/>
        </w:rPr>
      </w:pPr>
      <w:r>
        <w:rPr>
          <w:rFonts w:cstheme="majorBidi"/>
          <w:color w:val="auto"/>
          <w:sz w:val="20"/>
          <w:szCs w:val="20"/>
        </w:rPr>
        <w:t>4</w:t>
      </w:r>
      <w:r w:rsidR="00E24B75" w:rsidRPr="005533B8">
        <w:rPr>
          <w:rFonts w:cstheme="majorBidi"/>
          <w:color w:val="auto"/>
          <w:sz w:val="20"/>
          <w:szCs w:val="20"/>
        </w:rPr>
        <w:t xml:space="preserve">. </w:t>
      </w:r>
      <w:r w:rsidR="001B315C" w:rsidRPr="001B315C">
        <w:rPr>
          <w:rFonts w:cstheme="majorBidi"/>
          <w:color w:val="auto"/>
          <w:sz w:val="20"/>
          <w:szCs w:val="20"/>
        </w:rPr>
        <w:t>MSc, Department of Water Resources Engineering, College of Agriculture, Isfahan University of Technology, Isfahan, Iran</w:t>
      </w:r>
    </w:p>
    <w:p w:rsidR="00E24B75" w:rsidRDefault="00902385" w:rsidP="00E24B75">
      <w:pPr>
        <w:spacing w:line="240" w:lineRule="auto"/>
        <w:ind w:firstLine="284"/>
        <w:jc w:val="center"/>
        <w:rPr>
          <w:rFonts w:cstheme="majorBidi"/>
          <w:b/>
          <w:bCs/>
          <w:color w:val="auto"/>
          <w:sz w:val="20"/>
          <w:szCs w:val="20"/>
        </w:rPr>
      </w:pPr>
      <w:r>
        <w:rPr>
          <w:rFonts w:cstheme="majorBidi"/>
          <w:color w:val="auto"/>
          <w:sz w:val="20"/>
          <w:szCs w:val="20"/>
        </w:rPr>
        <w:t>5</w:t>
      </w:r>
      <w:r w:rsidR="00E24B75" w:rsidRPr="005533B8">
        <w:rPr>
          <w:rFonts w:cstheme="majorBidi"/>
          <w:color w:val="auto"/>
          <w:sz w:val="20"/>
          <w:szCs w:val="20"/>
        </w:rPr>
        <w:t xml:space="preserve">. </w:t>
      </w:r>
      <w:r w:rsidR="00A73ABB" w:rsidRPr="005533B8">
        <w:rPr>
          <w:rFonts w:cstheme="majorBidi"/>
          <w:color w:val="auto"/>
          <w:sz w:val="20"/>
          <w:szCs w:val="20"/>
        </w:rPr>
        <w:t>Lecturer, Department</w:t>
      </w:r>
      <w:r w:rsidR="00E24B75" w:rsidRPr="005533B8">
        <w:rPr>
          <w:rFonts w:cstheme="majorBidi"/>
          <w:color w:val="auto"/>
          <w:sz w:val="20"/>
          <w:szCs w:val="20"/>
        </w:rPr>
        <w:t xml:space="preserve"> of Environmental Health Engineering, Faculty of Health, Environmental Health Research Center, Kurdistan University of Medical Sciences, Sanandaj, Iran</w:t>
      </w:r>
    </w:p>
    <w:p w:rsidR="001B315C" w:rsidRDefault="00902385" w:rsidP="00E24B75">
      <w:pPr>
        <w:spacing w:line="240" w:lineRule="auto"/>
        <w:ind w:firstLine="284"/>
        <w:jc w:val="center"/>
        <w:rPr>
          <w:rFonts w:cstheme="majorBidi"/>
          <w:b/>
          <w:bCs/>
          <w:color w:val="auto"/>
          <w:sz w:val="20"/>
          <w:szCs w:val="20"/>
        </w:rPr>
      </w:pPr>
      <w:r>
        <w:rPr>
          <w:rFonts w:cstheme="majorBidi"/>
          <w:color w:val="auto"/>
          <w:sz w:val="20"/>
          <w:szCs w:val="20"/>
        </w:rPr>
        <w:t>6</w:t>
      </w:r>
      <w:r w:rsidR="001B315C">
        <w:rPr>
          <w:rFonts w:cstheme="majorBidi"/>
          <w:color w:val="auto"/>
          <w:sz w:val="20"/>
          <w:szCs w:val="20"/>
        </w:rPr>
        <w:t>.</w:t>
      </w:r>
      <w:r w:rsidR="001B315C" w:rsidRPr="001B315C">
        <w:rPr>
          <w:rFonts w:cstheme="majorBidi"/>
          <w:color w:val="auto"/>
          <w:sz w:val="20"/>
          <w:szCs w:val="20"/>
        </w:rPr>
        <w:t xml:space="preserve"> BSc, Vice Chancellor for Resource Management </w:t>
      </w:r>
      <w:r w:rsidR="00366D48" w:rsidRPr="001B315C">
        <w:rPr>
          <w:rFonts w:cstheme="majorBidi"/>
          <w:color w:val="auto"/>
          <w:sz w:val="20"/>
          <w:szCs w:val="20"/>
        </w:rPr>
        <w:t>Affairs, Kurdistan</w:t>
      </w:r>
      <w:r w:rsidR="001B315C" w:rsidRPr="001B315C">
        <w:rPr>
          <w:rFonts w:cstheme="majorBidi"/>
          <w:color w:val="auto"/>
          <w:sz w:val="20"/>
          <w:szCs w:val="20"/>
        </w:rPr>
        <w:t xml:space="preserve"> University of Medical Sciences, Sanandaj, Iran</w:t>
      </w:r>
    </w:p>
    <w:p w:rsidR="001B315C" w:rsidRPr="00902385" w:rsidRDefault="00902385" w:rsidP="00902385">
      <w:pPr>
        <w:spacing w:line="240" w:lineRule="auto"/>
        <w:ind w:firstLine="284"/>
        <w:jc w:val="center"/>
        <w:rPr>
          <w:rFonts w:ascii="Times New Roman" w:hAnsi="Times New Roman"/>
          <w:b/>
          <w:bCs/>
          <w:color w:val="auto"/>
          <w:sz w:val="18"/>
          <w:szCs w:val="18"/>
          <w:shd w:val="clear" w:color="auto" w:fill="FFFFFF"/>
        </w:rPr>
      </w:pPr>
      <w:r>
        <w:rPr>
          <w:rFonts w:ascii="Times New Roman" w:hAnsi="Times New Roman" w:cstheme="majorBidi"/>
          <w:color w:val="auto"/>
          <w:sz w:val="18"/>
          <w:szCs w:val="18"/>
          <w:shd w:val="clear" w:color="auto" w:fill="FFFFFF"/>
        </w:rPr>
        <w:t>7</w:t>
      </w:r>
      <w:r w:rsidRPr="005533B8">
        <w:rPr>
          <w:rFonts w:ascii="Times New Roman" w:hAnsi="Times New Roman" w:cstheme="majorBidi"/>
          <w:color w:val="auto"/>
          <w:sz w:val="18"/>
          <w:szCs w:val="18"/>
          <w:shd w:val="clear" w:color="auto" w:fill="FFFFFF"/>
        </w:rPr>
        <w:t>. MSc,</w:t>
      </w:r>
      <w:r w:rsidRPr="005533B8">
        <w:rPr>
          <w:rFonts w:cstheme="majorBidi"/>
          <w:color w:val="auto"/>
          <w:sz w:val="20"/>
          <w:szCs w:val="20"/>
        </w:rPr>
        <w:t xml:space="preserve"> Department of Occupational Health Engineering, Health Network of Qorveh, Kurdistan University of Medical Sciences, Sanandaj, Iran</w:t>
      </w:r>
    </w:p>
    <w:p w:rsidR="00E24B75" w:rsidRPr="005533B8" w:rsidRDefault="00E24B75" w:rsidP="00E24B75">
      <w:pPr>
        <w:spacing w:line="240" w:lineRule="auto"/>
        <w:ind w:firstLine="284"/>
        <w:jc w:val="center"/>
        <w:rPr>
          <w:rFonts w:cstheme="majorBidi"/>
          <w:b/>
          <w:bCs/>
          <w:color w:val="auto"/>
          <w:sz w:val="20"/>
          <w:szCs w:val="20"/>
          <w:rtl/>
        </w:rPr>
      </w:pPr>
      <w:r w:rsidRPr="005533B8">
        <w:rPr>
          <w:rFonts w:cstheme="majorBidi"/>
          <w:color w:val="auto"/>
          <w:sz w:val="20"/>
          <w:szCs w:val="20"/>
        </w:rPr>
        <w:t>* Corresponding Author Email:</w:t>
      </w:r>
      <w:r w:rsidRPr="005533B8">
        <w:rPr>
          <w:rFonts w:cstheme="majorBidi"/>
          <w:color w:val="auto"/>
          <w:sz w:val="18"/>
          <w:szCs w:val="18"/>
        </w:rPr>
        <w:t xml:space="preserve"> Sirvanzareei1370@yahoo.com</w:t>
      </w:r>
    </w:p>
    <w:p w:rsidR="00E00B73" w:rsidRPr="00CA524B" w:rsidRDefault="00E00B73" w:rsidP="00E00B73">
      <w:pPr>
        <w:bidi w:val="0"/>
        <w:spacing w:line="240" w:lineRule="auto"/>
        <w:jc w:val="both"/>
        <w:rPr>
          <w:rFonts w:cs="B Mitra"/>
          <w:b/>
          <w:bCs/>
          <w:color w:val="auto"/>
          <w:sz w:val="20"/>
          <w:szCs w:val="20"/>
        </w:rPr>
      </w:pPr>
      <w:r w:rsidRPr="00CA524B">
        <w:rPr>
          <w:rFonts w:cs="B Mitra"/>
          <w:b/>
          <w:bCs/>
          <w:color w:val="auto"/>
          <w:sz w:val="20"/>
          <w:szCs w:val="20"/>
        </w:rPr>
        <w:t>Abstract</w:t>
      </w:r>
    </w:p>
    <w:p w:rsidR="00E00B73" w:rsidRPr="00E00B73" w:rsidRDefault="00E00B73" w:rsidP="00E00B73">
      <w:pPr>
        <w:bidi w:val="0"/>
        <w:spacing w:line="240" w:lineRule="auto"/>
        <w:jc w:val="both"/>
        <w:rPr>
          <w:rFonts w:cs="B Mitra"/>
          <w:color w:val="auto"/>
          <w:sz w:val="20"/>
          <w:szCs w:val="20"/>
        </w:rPr>
      </w:pPr>
      <w:r w:rsidRPr="00CA524B">
        <w:rPr>
          <w:rFonts w:cs="B Mitra"/>
          <w:b/>
          <w:bCs/>
          <w:color w:val="auto"/>
          <w:sz w:val="20"/>
          <w:szCs w:val="20"/>
        </w:rPr>
        <w:t xml:space="preserve"> Background and Objectives</w:t>
      </w:r>
      <w:r w:rsidRPr="00E00B73">
        <w:rPr>
          <w:rFonts w:cs="B Mitra"/>
          <w:color w:val="auto"/>
          <w:sz w:val="20"/>
          <w:szCs w:val="20"/>
        </w:rPr>
        <w:t>: Noise pollution is the most critical environmental problems in cities that endanger human health in various dimensions. It is essential to pay attention to patients' comfort and convenience during their stay and hospitalization due to their unpleasant conditions. Excessive noise pollution exacerbates the disease. Also, noise in different hospital parts, as the most common source of environmental stress, has destructive psychological and physiological effects on patients. Therefore, this study conducted to investigate the extent of noise pollution in different wards of Shahid Beheshti Hospital in Qorveh.</w:t>
      </w:r>
    </w:p>
    <w:p w:rsidR="00E00B73" w:rsidRPr="00E00B73" w:rsidRDefault="00E00B73" w:rsidP="00E00B73">
      <w:pPr>
        <w:bidi w:val="0"/>
        <w:spacing w:line="240" w:lineRule="auto"/>
        <w:jc w:val="both"/>
        <w:rPr>
          <w:rFonts w:cs="B Mitra"/>
          <w:color w:val="auto"/>
          <w:sz w:val="20"/>
          <w:szCs w:val="20"/>
        </w:rPr>
      </w:pPr>
      <w:r w:rsidRPr="00CA524B">
        <w:rPr>
          <w:rFonts w:cs="B Mitra"/>
          <w:b/>
          <w:bCs/>
          <w:color w:val="auto"/>
          <w:sz w:val="20"/>
          <w:szCs w:val="20"/>
        </w:rPr>
        <w:t>Methods</w:t>
      </w:r>
      <w:r w:rsidRPr="00E00B73">
        <w:rPr>
          <w:rFonts w:cs="B Mitra"/>
          <w:color w:val="auto"/>
          <w:sz w:val="20"/>
          <w:szCs w:val="20"/>
        </w:rPr>
        <w:t>: This study was descriptive-analytical and cross-sectional with a sound equivalent of 15 minutes with minimum and maximum sound level in 2019 in different wards of Shahid Beheshti Hospital in Qorveh and its surroundings in three shifts in the morning, afternoon and night using The TES-1351B sound meter was performed and compared with the Environmental Protection Agency standard. Data were also analyzed using SPSS22 software using statistical tests.</w:t>
      </w:r>
    </w:p>
    <w:p w:rsidR="00E00B73" w:rsidRPr="00E00B73" w:rsidRDefault="00CA524B" w:rsidP="00E00B73">
      <w:pPr>
        <w:bidi w:val="0"/>
        <w:spacing w:line="240" w:lineRule="auto"/>
        <w:jc w:val="both"/>
        <w:rPr>
          <w:rFonts w:cs="B Mitra"/>
          <w:color w:val="auto"/>
          <w:sz w:val="20"/>
          <w:szCs w:val="20"/>
        </w:rPr>
      </w:pPr>
      <w:r w:rsidRPr="00CA524B">
        <w:rPr>
          <w:rFonts w:cs="B Mitra"/>
          <w:b/>
          <w:bCs/>
          <w:color w:val="auto"/>
          <w:sz w:val="20"/>
          <w:szCs w:val="20"/>
        </w:rPr>
        <w:t>Results</w:t>
      </w:r>
      <w:r>
        <w:rPr>
          <w:rFonts w:cs="B Mitra"/>
          <w:color w:val="auto"/>
          <w:sz w:val="20"/>
          <w:szCs w:val="20"/>
        </w:rPr>
        <w:t xml:space="preserve"> </w:t>
      </w:r>
      <w:r w:rsidRPr="00CA524B">
        <w:rPr>
          <w:rFonts w:cs="B Mitra"/>
          <w:b/>
          <w:bCs/>
          <w:color w:val="auto"/>
          <w:sz w:val="20"/>
          <w:szCs w:val="20"/>
        </w:rPr>
        <w:t>and Discussion</w:t>
      </w:r>
      <w:r w:rsidR="00E00B73" w:rsidRPr="00E00B73">
        <w:rPr>
          <w:rFonts w:cs="B Mitra"/>
          <w:color w:val="auto"/>
          <w:sz w:val="20"/>
          <w:szCs w:val="20"/>
        </w:rPr>
        <w:t>: The maximum mean sound level interval in the morning of the average and closed days reported being 67.85 in the emergency department and 62.48 dB in the hospital grounds, respectively. This amount measured in the afternoon of the average days related to the specialized clinic section of the hospital, 69.34 decibels, and on holidays, it was estimated at 72.46 decibels in the hospital compound, and the Leq rate in the night shift measured for average and closed days, respectively. The emergency room was 59.95 decibels, and the hospital grounds were 78.64 decibels. The results of the study also showed that there was a significant difference between the values ​​of sound level measurement on average days and holidays and measurement times (morning, evening, and night) and diagnostic, administrative, and therapeutic sections(P &lt;0.05).</w:t>
      </w:r>
    </w:p>
    <w:p w:rsidR="00E00B73" w:rsidRPr="00E00B73" w:rsidRDefault="00E00B73" w:rsidP="00E00B73">
      <w:pPr>
        <w:bidi w:val="0"/>
        <w:spacing w:line="240" w:lineRule="auto"/>
        <w:jc w:val="both"/>
        <w:rPr>
          <w:rFonts w:cs="B Mitra"/>
          <w:color w:val="auto"/>
          <w:sz w:val="20"/>
          <w:szCs w:val="20"/>
        </w:rPr>
      </w:pPr>
      <w:r w:rsidRPr="00CA524B">
        <w:rPr>
          <w:rFonts w:cs="B Mitra"/>
          <w:b/>
          <w:bCs/>
          <w:color w:val="auto"/>
          <w:sz w:val="20"/>
          <w:szCs w:val="20"/>
        </w:rPr>
        <w:t>Conclusion</w:t>
      </w:r>
      <w:r w:rsidRPr="00E00B73">
        <w:rPr>
          <w:rFonts w:cs="B Mitra"/>
          <w:color w:val="auto"/>
          <w:sz w:val="20"/>
          <w:szCs w:val="20"/>
        </w:rPr>
        <w:t>: In most cases, the values ​​are higher than the standards of the Environmental Protection Organization of Iran. Also, considering that the high volume of sound, in the long run, causes problems in the health of personnel and the improvement of patients' illnesses. It is important to note that the area around the hospital is often the highest noise level and the leading cause of noise pollution. It is necessary to train citizens on how to pass citizens to create a quiet and quiet environment properly. In general, it found that Shahid Beheshti Hospital in Qorveh has a high level of noise pollution.</w:t>
      </w:r>
    </w:p>
    <w:p w:rsidR="00E00B73" w:rsidRPr="00E24B75" w:rsidRDefault="00E00B73" w:rsidP="00E00B73">
      <w:pPr>
        <w:bidi w:val="0"/>
        <w:spacing w:line="240" w:lineRule="auto"/>
        <w:jc w:val="both"/>
        <w:rPr>
          <w:rFonts w:cs="B Mitra"/>
          <w:color w:val="auto"/>
          <w:sz w:val="20"/>
          <w:szCs w:val="20"/>
          <w:rtl/>
        </w:rPr>
      </w:pPr>
      <w:r w:rsidRPr="00CD6BDB">
        <w:rPr>
          <w:rFonts w:cs="B Mitra"/>
          <w:b/>
          <w:bCs/>
          <w:color w:val="auto"/>
          <w:sz w:val="20"/>
          <w:szCs w:val="20"/>
        </w:rPr>
        <w:t>Keywords</w:t>
      </w:r>
      <w:r w:rsidRPr="00E00B73">
        <w:rPr>
          <w:rFonts w:cs="B Mitra"/>
          <w:color w:val="auto"/>
          <w:sz w:val="20"/>
          <w:szCs w:val="20"/>
        </w:rPr>
        <w:t>: Noise Pollution, Sound Pressure Level, Shahid Beheshti Hospital, Qorveh</w:t>
      </w:r>
    </w:p>
    <w:p w:rsidR="00E24B75" w:rsidRPr="00E24B75" w:rsidRDefault="00E24B75" w:rsidP="00E24B75">
      <w:pPr>
        <w:bidi w:val="0"/>
        <w:spacing w:line="240" w:lineRule="auto"/>
        <w:jc w:val="both"/>
        <w:rPr>
          <w:color w:val="auto"/>
          <w:rtl/>
        </w:rPr>
      </w:pPr>
    </w:p>
    <w:p w:rsidR="00CD6BDB" w:rsidRPr="00E00B73" w:rsidRDefault="00CD6BDB" w:rsidP="00CD6BDB">
      <w:pPr>
        <w:bidi w:val="0"/>
        <w:spacing w:line="240" w:lineRule="auto"/>
        <w:jc w:val="both"/>
        <w:rPr>
          <w:color w:val="auto"/>
        </w:rPr>
      </w:pPr>
      <w:r w:rsidRPr="00CD6BDB">
        <w:rPr>
          <w:b/>
          <w:bCs/>
          <w:color w:val="auto"/>
        </w:rPr>
        <w:lastRenderedPageBreak/>
        <w:t>Background</w:t>
      </w:r>
    </w:p>
    <w:p w:rsidR="00E00B73" w:rsidRPr="00E00B73" w:rsidRDefault="00E00B73" w:rsidP="00E00B73">
      <w:pPr>
        <w:bidi w:val="0"/>
        <w:spacing w:line="240" w:lineRule="auto"/>
        <w:jc w:val="both"/>
        <w:rPr>
          <w:b/>
          <w:bCs/>
          <w:color w:val="auto"/>
        </w:rPr>
      </w:pPr>
      <w:r w:rsidRPr="00E00B73">
        <w:rPr>
          <w:color w:val="auto"/>
        </w:rPr>
        <w:t xml:space="preserve">Sound pollution is increasingly sought after by the industrialization of cities and countries and is seen as a pervasive problem in most states (1). Noise pollution, as one of the most important and at the same time, the most hidden and undetectable pollutants have been classified (2) and can lead to hearing loss, interference with speech, sleep disturbances, voice harassment, decreased performance and chronic physiological effects (including chronic physiological effects(3). Hygienic hazards caused by noise pollution are not rapidly achievable and have a lower priority than other pollutants (4). Excessive noise pollution at the hospital site directly endangers patients and hospital staff and has adverse health effects (5). The more annoying sounds there are over time, the more intense and long-lasting they are, and the more intense their psychological consequences, primarily if they are heard at rest; Because the defense mechanisms are more severely impaired and lead to anxiety, headaches, dizziness, and psychological complications such as extreme anger, rage, irritability, and decreased tolerance thresholds (6). On the other hand, the hospital is one of the most important institutions for providing health care services, its facilities and facilities, plays an essential role in restoring the physical and mental health of patients, medical research and training of forces required by health and medical groups. It is one of the essential issues when patients are hospitalized. Also, hospitals are affected by noise pollution sources and can have adverse health and well-being effects on patients and their staff (7). In addition to the need for employees to have a calm environment for excellent service, it is imperative to pay attention to patients' comfort during hospitalization in the process of improving their illness (8). Internal sources of noise pollution include air conditioners, elevators, medical equipment, and staff activity (9). The most important external source is the noise caused by urban traffic, which is unavoidable, continuous and unfortunately increasing (10). The World Health Organization recommends less than 35 decibels of noise during the day and less than 30 decibels during the night. It is a decibel. Permissible sound limits in and around hospitals during the day are 55 and 45 decibels, respectively, from 7 to 22, and 45 and 35 decibels, respectively, from 10 to 7 p.m., during the night (11). Noise pollution in hospitals and its consequences for the sick community has encouraged many researchers to research this area. A study on identifying the primary sources of sound and providing sound control methods in hospitals in Behbahan has shown that the primary causes of sound are personnel and clients, door noise, air conditioning, medical equipment and furniture and beds. It includes spatial planning, selection of appropriate materials, control of outdoor noise pollution, control of indoor noise pollution and proposed training (12). Also, the results of a similar study conducted in hospitals in Sanandaj in 2012, showed that the sound level in the intensive care unit of Sanandaj hospitals at all hours and days of the week exceeds the standard (13). In another study in three educational hospitals in Tehran's District One in 2017, the level of noise pollution in some sections of educational hospitals is higher than national and international standards (14). In New York, the sound has been studied in three areas of the hospital (emergency room, intensive care unit and surgery department), nursing stations and patient rooms, and in all regions, the sound hospital is more than allowed and the human factor has been identified as the primary source of noise pollution (15). The study, which assessed the level of noise pollution at Lahore's public and private hospitals in Pakistan, examined the noise pollution parameters from 20 public and ten private hospitals; The results showed that the level of noise pollution in public hospitals is higher than in private hospitals and noise pollution is more elevated than international standards (World Health Organization standard) (16). Also, the results of measuring the annoying noise level in the clinical wards of Bushehr Educational and Medical Hospital by Mohammadi et al. Showed that the sound level in all departments was higher than the Iranian standard and stressed the need for more hospital managers to pay attention to noise pollution and </w:t>
      </w:r>
      <w:r w:rsidR="001D5845">
        <w:rPr>
          <w:color w:val="auto"/>
        </w:rPr>
        <w:t>appropriate corrective measures(</w:t>
      </w:r>
      <w:r w:rsidRPr="00E00B73">
        <w:rPr>
          <w:color w:val="auto"/>
        </w:rPr>
        <w:t xml:space="preserve"> 17).</w:t>
      </w:r>
    </w:p>
    <w:p w:rsidR="00E00B73" w:rsidRPr="00E00B73" w:rsidRDefault="00E00B73" w:rsidP="00E00B73">
      <w:pPr>
        <w:bidi w:val="0"/>
        <w:spacing w:line="240" w:lineRule="auto"/>
        <w:jc w:val="both"/>
        <w:rPr>
          <w:b/>
          <w:bCs/>
          <w:color w:val="auto"/>
        </w:rPr>
      </w:pPr>
      <w:r w:rsidRPr="00E00B73">
        <w:rPr>
          <w:color w:val="auto"/>
        </w:rPr>
        <w:t xml:space="preserve">Shahid Beheshti Hospital in Qorveh is the only medical center in Qorveh city, and patients from different strata and villages of the town refer to this center. Thus, it is essential to assess the situation of noise pollution due to its proximity to Rezvan Park. According to previous studies in other medical centers in the country and even in developed countries, it is necessary. However, no studies have been conducted in this hospital so far; Therefore, because noise pollution can exacerbate people's illness, slow their recovery and also negatively affect employees and provide appropriate services, the present study aims to determine the level of noise pollution in Shahid Beheshti Hospital in Qorveh in 1398, to </w:t>
      </w:r>
      <w:r w:rsidRPr="00E00B73">
        <w:rPr>
          <w:color w:val="auto"/>
        </w:rPr>
        <w:lastRenderedPageBreak/>
        <w:t>Comparison of World Health Organization standards was designed and implemented to control environmental noise pollution.</w:t>
      </w:r>
    </w:p>
    <w:p w:rsidR="005C41DD" w:rsidRPr="00FE7ADF" w:rsidRDefault="005C41DD" w:rsidP="00FE7ADF">
      <w:pPr>
        <w:bidi w:val="0"/>
        <w:spacing w:line="240" w:lineRule="auto"/>
        <w:jc w:val="both"/>
        <w:rPr>
          <w:b/>
          <w:bCs/>
          <w:color w:val="auto"/>
        </w:rPr>
      </w:pPr>
      <w:r w:rsidRPr="00FE7ADF">
        <w:rPr>
          <w:b/>
          <w:bCs/>
          <w:color w:val="auto"/>
        </w:rPr>
        <w:t>Methods</w:t>
      </w:r>
    </w:p>
    <w:p w:rsidR="00E00B73" w:rsidRDefault="00E00B73" w:rsidP="005C41DD">
      <w:pPr>
        <w:bidi w:val="0"/>
        <w:spacing w:line="240" w:lineRule="auto"/>
        <w:jc w:val="both"/>
        <w:rPr>
          <w:color w:val="auto"/>
        </w:rPr>
      </w:pPr>
      <w:r w:rsidRPr="00E00B73">
        <w:rPr>
          <w:color w:val="auto"/>
        </w:rPr>
        <w:t>This study was descriptive-analytical and cross-sectional. It was conducted in 2009 to investigate the level of noise pollution in the clinical and administrative part of Shahid Beheshti Hospital in Qorveh and the surrounding area. In this study, to measure the level of sound pressure in different parts of the hospital and its surroundings, using the TES-1351B sound meter, the regular station stationing method was measured in Slow mode, and A network-level was measured. Was used to calibrate the sound meter. The research community, Shahid Beheshti Hospital in Qorveh and the research sample included patients' rooms, nursing and corridor stations, diagnostic, clinical and administrative departments, and the inner area around the hospital. The clinical wards were selected by targeted sampling. They were among the essential wards of the hospital, including surgery, internal medicine, intensive care, emergency, operating room, a specialized clinic, laboratory, ultrasound and radiology, and dialysis. To determine the sound measurement points in each section, a professional health protocol was used. Based on this, the distance between the measuring points from the walls was considered two meters from the next measurement point to one meter. The sound measurement was performed in the morning from 8 to 12 in the morning, from 14 to 18 in the afternoon and from 20 to 24 in the evening on average and closed days of the week. To eliminate the effect of air and wind flow, sponge protection on the microphone surface was similar to other articles. The total number of measuring stations, including 12 sections and 60 stations, was determined. Data analysis was also performed using the mean Leq index, compared with the SPSS22 standards and software and descriptive statistical methods (frequency, mean and standard deviation).</w:t>
      </w:r>
    </w:p>
    <w:p w:rsidR="00FE7ADF" w:rsidRDefault="00FE7ADF" w:rsidP="00565B8A">
      <w:pPr>
        <w:bidi w:val="0"/>
        <w:spacing w:line="240" w:lineRule="auto"/>
        <w:jc w:val="both"/>
        <w:rPr>
          <w:color w:val="auto"/>
        </w:rPr>
      </w:pPr>
      <w:r w:rsidRPr="00FE7ADF">
        <w:rPr>
          <w:b/>
          <w:bCs/>
          <w:color w:val="auto"/>
        </w:rPr>
        <w:t>Results</w:t>
      </w:r>
    </w:p>
    <w:p w:rsidR="00565B8A" w:rsidRDefault="00E00B73" w:rsidP="00FE7ADF">
      <w:pPr>
        <w:bidi w:val="0"/>
        <w:spacing w:line="240" w:lineRule="auto"/>
        <w:jc w:val="both"/>
        <w:rPr>
          <w:b/>
          <w:bCs/>
          <w:color w:val="auto"/>
        </w:rPr>
      </w:pPr>
      <w:r w:rsidRPr="00E00B73">
        <w:rPr>
          <w:color w:val="auto"/>
        </w:rPr>
        <w:t xml:space="preserve">In Tables 1, the results of measuring noise pollution parameters in different wards of Shahid Beheshti Hospital in Qorveh in the morning, evening and night shifts on average and closed days are presented. The sound equivalent in the emergency department of Shahid Beheshti Hospital in Qorveh on average days in the morning, evening and night are equal to 55.67, 67.95 and 59.58, respectively. On the holidays, it is 61.50, 52.74 and 44.63 dB was measured. Also, the sound equivalent in the internal ward of Shahid Beheshti Hospital in Qorveh on average days in the morning, evening and night times is 58.04, 58.21 and 53.04 decibels, and 42.38 and 43.04 on holiday, respectively. And 41/24 decibels were reported. Also, the amount of sound equivalent in the surgery department at Shahid Beheshti Hospital in Qorveh on average days in the morning, evening and night times is equal to 54.61, 54.42 and 52.77 decibels, respectively, and 48.64 and 27 on holidays, respectively. / 41 and 43/43 37 decibels were reported. On the other hand, the sound equivalent in the operating room ward at Shahid Beheshti Hospital in Qorveh on average days in the morning, evening and night times was 61.85, 59.22 and 55.85 decibels, respectively, and 49.11 on holidays, respectively. 46.85 and 43.56 decibels were measured. Also, the level of sound equivalent in the intensive care unit of Shahid Beheshti Hospital in Qorveh on average days in the morning, evening and night times is 54.57, 49.46 and 51.22 decibels, respectively, and on the holidays, 48.71 and 43.22, apiece. And 48/28 decibels were calculated. Also, the level of sound equivalent in the laboratory department in Shahid Beheshti Hospital in Qorveh on average days in the morning, evening, and night are 58.74, 59.31 and 52.22 decibels, and on holidays, 51.77 and 44.22, respectively. And 40/26 decibels were measured. On the other hand, the level of sound equivalent in the specialized clinic ward at Shahid Beheshti Hospital in Qorveh on an average day in the morning, evening, and night was 58.34, 69.34 and 52.64, respectively. Also, the sound equivalent in the radiology and ultrasound department in Shahid Beheshti Hospital in Qorveh on average days in the morning, evening and night times is 55.49, 48.26 and 50.49 decibels, respectively, and 43.49 / 90 on holidays, respectively. / 46 and 42/59 were measured in decibels. The equivalent sound level in the compound section of Shahid Beheshti Hospital in Qorveh on average days in the morning, evening and evening is 62.10, 57.88 and 58.44 decibels, respectively 62.48, 72.46 on the day off. And 78.64 decibels were measured. On the other hand, the level of sound equivalent in the administrative and support department in Shahid Beheshti Hospital in Qorveh on average days in the morning, evening and night, respectively, is 17.51, 48.37 and 54.17 decibels, respectively. On holidays, 42.18, apiece., 54.17 and 44.47 decibels </w:t>
      </w:r>
      <w:r w:rsidRPr="00E00B73">
        <w:rPr>
          <w:color w:val="auto"/>
        </w:rPr>
        <w:lastRenderedPageBreak/>
        <w:t>were measured. Also, the level of sound equivalent in the dialysis ward at Shahid Beheshti Hospital in Qorveh on an average day in the morning, evening, and night was 61.41, 53.59 and 52.41, respectively.</w:t>
      </w:r>
    </w:p>
    <w:p w:rsidR="005C41DD" w:rsidRDefault="005C41DD" w:rsidP="00565B8A">
      <w:pPr>
        <w:bidi w:val="0"/>
        <w:spacing w:line="240" w:lineRule="auto"/>
        <w:jc w:val="center"/>
        <w:rPr>
          <w:color w:val="auto"/>
          <w:sz w:val="16"/>
          <w:szCs w:val="16"/>
        </w:rPr>
      </w:pPr>
      <w:r w:rsidRPr="00DA5EF0">
        <w:rPr>
          <w:color w:val="auto"/>
          <w:sz w:val="16"/>
          <w:szCs w:val="16"/>
        </w:rPr>
        <w:t>Table 1. Results of measuring noise pollution parameters in different wards of Shahid Beheshti Hospital in Qorveh</w:t>
      </w:r>
    </w:p>
    <w:tbl>
      <w:tblPr>
        <w:tblStyle w:val="TableGrid"/>
        <w:tblW w:w="10201" w:type="dxa"/>
        <w:jc w:val="center"/>
        <w:tblLayout w:type="fixed"/>
        <w:tblLook w:val="04A0" w:firstRow="1" w:lastRow="0" w:firstColumn="1" w:lastColumn="0" w:noHBand="0" w:noVBand="1"/>
      </w:tblPr>
      <w:tblGrid>
        <w:gridCol w:w="562"/>
        <w:gridCol w:w="851"/>
        <w:gridCol w:w="709"/>
        <w:gridCol w:w="850"/>
        <w:gridCol w:w="567"/>
        <w:gridCol w:w="709"/>
        <w:gridCol w:w="567"/>
        <w:gridCol w:w="567"/>
        <w:gridCol w:w="709"/>
        <w:gridCol w:w="708"/>
        <w:gridCol w:w="993"/>
        <w:gridCol w:w="708"/>
        <w:gridCol w:w="851"/>
        <w:gridCol w:w="850"/>
      </w:tblGrid>
      <w:tr w:rsidR="00C15DD7" w:rsidRPr="00D75E55" w:rsidTr="00FE7ADF">
        <w:trPr>
          <w:jc w:val="center"/>
        </w:trPr>
        <w:tc>
          <w:tcPr>
            <w:tcW w:w="562" w:type="dxa"/>
            <w:vAlign w:val="center"/>
          </w:tcPr>
          <w:p w:rsidR="00C636BB" w:rsidRPr="00FE7ADF" w:rsidRDefault="00C636BB" w:rsidP="00C15F77">
            <w:pPr>
              <w:bidi w:val="0"/>
              <w:jc w:val="center"/>
              <w:rPr>
                <w:color w:val="auto"/>
                <w:sz w:val="14"/>
                <w:szCs w:val="14"/>
              </w:rPr>
            </w:pPr>
            <w:r w:rsidRPr="00FE7ADF">
              <w:rPr>
                <w:color w:val="auto"/>
                <w:sz w:val="14"/>
                <w:szCs w:val="14"/>
              </w:rPr>
              <w:t>Parameter</w:t>
            </w:r>
          </w:p>
        </w:tc>
        <w:tc>
          <w:tcPr>
            <w:tcW w:w="851" w:type="dxa"/>
            <w:vAlign w:val="center"/>
          </w:tcPr>
          <w:p w:rsidR="00C636BB" w:rsidRPr="00FE7ADF" w:rsidRDefault="00C636BB" w:rsidP="00C15F77">
            <w:pPr>
              <w:bidi w:val="0"/>
              <w:jc w:val="center"/>
              <w:rPr>
                <w:color w:val="auto"/>
                <w:sz w:val="14"/>
                <w:szCs w:val="14"/>
              </w:rPr>
            </w:pPr>
            <w:r w:rsidRPr="00FE7ADF">
              <w:rPr>
                <w:color w:val="auto"/>
                <w:sz w:val="14"/>
                <w:szCs w:val="14"/>
              </w:rPr>
              <w:t>Shift</w:t>
            </w:r>
          </w:p>
        </w:tc>
        <w:tc>
          <w:tcPr>
            <w:tcW w:w="709" w:type="dxa"/>
            <w:vAlign w:val="center"/>
          </w:tcPr>
          <w:p w:rsidR="00C636BB" w:rsidRPr="00FE7ADF" w:rsidRDefault="00C636BB" w:rsidP="00C15F77">
            <w:pPr>
              <w:bidi w:val="0"/>
              <w:jc w:val="center"/>
              <w:rPr>
                <w:color w:val="auto"/>
                <w:sz w:val="14"/>
                <w:szCs w:val="14"/>
              </w:rPr>
            </w:pPr>
            <w:r w:rsidRPr="00FE7ADF">
              <w:rPr>
                <w:color w:val="auto"/>
                <w:sz w:val="14"/>
                <w:szCs w:val="14"/>
              </w:rPr>
              <w:t>Day</w:t>
            </w:r>
          </w:p>
        </w:tc>
        <w:tc>
          <w:tcPr>
            <w:tcW w:w="850" w:type="dxa"/>
            <w:vAlign w:val="center"/>
          </w:tcPr>
          <w:p w:rsidR="00C636BB" w:rsidRPr="00FE7ADF" w:rsidRDefault="00C636BB" w:rsidP="00C15F77">
            <w:pPr>
              <w:bidi w:val="0"/>
              <w:jc w:val="center"/>
              <w:rPr>
                <w:color w:val="auto"/>
                <w:sz w:val="14"/>
                <w:szCs w:val="14"/>
              </w:rPr>
            </w:pPr>
            <w:r w:rsidRPr="00FE7ADF">
              <w:rPr>
                <w:color w:val="auto"/>
                <w:sz w:val="14"/>
                <w:szCs w:val="14"/>
              </w:rPr>
              <w:t>Emergency</w:t>
            </w:r>
          </w:p>
          <w:p w:rsidR="00C636BB" w:rsidRPr="00FE7ADF" w:rsidRDefault="00C636BB" w:rsidP="00C15F77">
            <w:pPr>
              <w:bidi w:val="0"/>
              <w:jc w:val="center"/>
              <w:rPr>
                <w:color w:val="auto"/>
                <w:sz w:val="14"/>
                <w:szCs w:val="14"/>
              </w:rPr>
            </w:pPr>
          </w:p>
        </w:tc>
        <w:tc>
          <w:tcPr>
            <w:tcW w:w="567" w:type="dxa"/>
            <w:vAlign w:val="center"/>
          </w:tcPr>
          <w:p w:rsidR="00C636BB" w:rsidRPr="00FE7ADF" w:rsidRDefault="00C636BB" w:rsidP="00C15F77">
            <w:pPr>
              <w:bidi w:val="0"/>
              <w:jc w:val="center"/>
              <w:rPr>
                <w:color w:val="auto"/>
                <w:sz w:val="14"/>
                <w:szCs w:val="14"/>
              </w:rPr>
            </w:pPr>
            <w:r w:rsidRPr="00FE7ADF">
              <w:rPr>
                <w:color w:val="auto"/>
                <w:sz w:val="14"/>
                <w:szCs w:val="14"/>
              </w:rPr>
              <w:t>Internal</w:t>
            </w:r>
          </w:p>
          <w:p w:rsidR="00C636BB" w:rsidRPr="00FE7ADF" w:rsidRDefault="00C636BB" w:rsidP="00C15F77">
            <w:pPr>
              <w:bidi w:val="0"/>
              <w:jc w:val="center"/>
              <w:rPr>
                <w:color w:val="auto"/>
                <w:sz w:val="14"/>
                <w:szCs w:val="14"/>
              </w:rPr>
            </w:pPr>
          </w:p>
        </w:tc>
        <w:tc>
          <w:tcPr>
            <w:tcW w:w="709" w:type="dxa"/>
            <w:vAlign w:val="center"/>
          </w:tcPr>
          <w:p w:rsidR="00C636BB" w:rsidRPr="00FE7ADF" w:rsidRDefault="00C636BB" w:rsidP="00C15F77">
            <w:pPr>
              <w:bidi w:val="0"/>
              <w:jc w:val="center"/>
              <w:rPr>
                <w:color w:val="auto"/>
                <w:sz w:val="14"/>
                <w:szCs w:val="14"/>
              </w:rPr>
            </w:pPr>
            <w:r w:rsidRPr="00FE7ADF">
              <w:rPr>
                <w:color w:val="auto"/>
                <w:sz w:val="14"/>
                <w:szCs w:val="14"/>
              </w:rPr>
              <w:t>Surgery</w:t>
            </w:r>
          </w:p>
          <w:p w:rsidR="00C636BB" w:rsidRPr="00FE7ADF" w:rsidRDefault="00C636BB" w:rsidP="00C15F77">
            <w:pPr>
              <w:bidi w:val="0"/>
              <w:jc w:val="center"/>
              <w:rPr>
                <w:color w:val="auto"/>
                <w:sz w:val="14"/>
                <w:szCs w:val="14"/>
              </w:rPr>
            </w:pPr>
          </w:p>
        </w:tc>
        <w:tc>
          <w:tcPr>
            <w:tcW w:w="567" w:type="dxa"/>
            <w:vAlign w:val="center"/>
          </w:tcPr>
          <w:p w:rsidR="007E134C" w:rsidRPr="00FE7ADF" w:rsidRDefault="007E134C" w:rsidP="00C15F77">
            <w:pPr>
              <w:bidi w:val="0"/>
              <w:jc w:val="center"/>
              <w:rPr>
                <w:color w:val="auto"/>
                <w:sz w:val="14"/>
                <w:szCs w:val="14"/>
              </w:rPr>
            </w:pPr>
            <w:r w:rsidRPr="00FE7ADF">
              <w:rPr>
                <w:color w:val="auto"/>
                <w:sz w:val="14"/>
                <w:szCs w:val="14"/>
              </w:rPr>
              <w:t>Surgery room</w:t>
            </w:r>
          </w:p>
          <w:p w:rsidR="00C636BB" w:rsidRPr="00FE7ADF" w:rsidRDefault="00C636BB" w:rsidP="00C15F77">
            <w:pPr>
              <w:bidi w:val="0"/>
              <w:jc w:val="center"/>
              <w:rPr>
                <w:color w:val="auto"/>
                <w:sz w:val="14"/>
                <w:szCs w:val="14"/>
              </w:rPr>
            </w:pPr>
          </w:p>
        </w:tc>
        <w:tc>
          <w:tcPr>
            <w:tcW w:w="567" w:type="dxa"/>
            <w:vAlign w:val="center"/>
          </w:tcPr>
          <w:p w:rsidR="007E134C" w:rsidRPr="00FE7ADF" w:rsidRDefault="007E134C" w:rsidP="00C15F77">
            <w:pPr>
              <w:bidi w:val="0"/>
              <w:jc w:val="center"/>
              <w:rPr>
                <w:color w:val="auto"/>
                <w:sz w:val="14"/>
                <w:szCs w:val="14"/>
              </w:rPr>
            </w:pPr>
            <w:r w:rsidRPr="00FE7ADF">
              <w:rPr>
                <w:color w:val="auto"/>
                <w:sz w:val="14"/>
                <w:szCs w:val="14"/>
              </w:rPr>
              <w:t>CCU</w:t>
            </w:r>
          </w:p>
          <w:p w:rsidR="00C636BB" w:rsidRPr="00FE7ADF" w:rsidRDefault="00C636BB" w:rsidP="00C15F77">
            <w:pPr>
              <w:bidi w:val="0"/>
              <w:jc w:val="center"/>
              <w:rPr>
                <w:color w:val="auto"/>
                <w:sz w:val="14"/>
                <w:szCs w:val="14"/>
              </w:rPr>
            </w:pPr>
          </w:p>
        </w:tc>
        <w:tc>
          <w:tcPr>
            <w:tcW w:w="709" w:type="dxa"/>
            <w:vAlign w:val="center"/>
          </w:tcPr>
          <w:p w:rsidR="007E134C" w:rsidRPr="00FE7ADF" w:rsidRDefault="007E134C" w:rsidP="00C15F77">
            <w:pPr>
              <w:bidi w:val="0"/>
              <w:jc w:val="center"/>
              <w:rPr>
                <w:color w:val="auto"/>
                <w:sz w:val="14"/>
                <w:szCs w:val="14"/>
              </w:rPr>
            </w:pPr>
            <w:r w:rsidRPr="00FE7ADF">
              <w:rPr>
                <w:color w:val="auto"/>
                <w:sz w:val="14"/>
                <w:szCs w:val="14"/>
              </w:rPr>
              <w:t>Laboratory</w:t>
            </w:r>
          </w:p>
          <w:p w:rsidR="00C636BB" w:rsidRPr="00FE7ADF" w:rsidRDefault="00C636BB" w:rsidP="00C15F77">
            <w:pPr>
              <w:bidi w:val="0"/>
              <w:jc w:val="center"/>
              <w:rPr>
                <w:color w:val="auto"/>
                <w:sz w:val="14"/>
                <w:szCs w:val="14"/>
              </w:rPr>
            </w:pPr>
          </w:p>
        </w:tc>
        <w:tc>
          <w:tcPr>
            <w:tcW w:w="708" w:type="dxa"/>
            <w:vAlign w:val="center"/>
          </w:tcPr>
          <w:p w:rsidR="007E134C" w:rsidRPr="00FE7ADF" w:rsidRDefault="007E134C" w:rsidP="00C15F77">
            <w:pPr>
              <w:bidi w:val="0"/>
              <w:jc w:val="center"/>
              <w:rPr>
                <w:color w:val="auto"/>
                <w:sz w:val="14"/>
                <w:szCs w:val="14"/>
              </w:rPr>
            </w:pPr>
            <w:r w:rsidRPr="00FE7ADF">
              <w:rPr>
                <w:color w:val="auto"/>
                <w:sz w:val="14"/>
                <w:szCs w:val="14"/>
              </w:rPr>
              <w:t>Specialized clinic</w:t>
            </w:r>
          </w:p>
          <w:p w:rsidR="00C636BB" w:rsidRPr="00FE7ADF" w:rsidRDefault="00C636BB" w:rsidP="00C15F77">
            <w:pPr>
              <w:bidi w:val="0"/>
              <w:jc w:val="center"/>
              <w:rPr>
                <w:color w:val="auto"/>
                <w:sz w:val="14"/>
                <w:szCs w:val="14"/>
              </w:rPr>
            </w:pPr>
          </w:p>
        </w:tc>
        <w:tc>
          <w:tcPr>
            <w:tcW w:w="993" w:type="dxa"/>
            <w:vAlign w:val="center"/>
          </w:tcPr>
          <w:p w:rsidR="007E134C" w:rsidRPr="00FE7ADF" w:rsidRDefault="007E134C" w:rsidP="00C15F77">
            <w:pPr>
              <w:bidi w:val="0"/>
              <w:jc w:val="center"/>
              <w:rPr>
                <w:color w:val="auto"/>
                <w:sz w:val="14"/>
                <w:szCs w:val="14"/>
              </w:rPr>
            </w:pPr>
            <w:r w:rsidRPr="00FE7ADF">
              <w:rPr>
                <w:color w:val="auto"/>
                <w:sz w:val="14"/>
                <w:szCs w:val="14"/>
              </w:rPr>
              <w:t>Radiology and ultrasound</w:t>
            </w:r>
          </w:p>
          <w:p w:rsidR="00C636BB" w:rsidRPr="00FE7ADF" w:rsidRDefault="00C636BB" w:rsidP="00C15F77">
            <w:pPr>
              <w:bidi w:val="0"/>
              <w:jc w:val="center"/>
              <w:rPr>
                <w:color w:val="auto"/>
                <w:sz w:val="14"/>
                <w:szCs w:val="14"/>
              </w:rPr>
            </w:pPr>
          </w:p>
        </w:tc>
        <w:tc>
          <w:tcPr>
            <w:tcW w:w="708" w:type="dxa"/>
            <w:vAlign w:val="center"/>
          </w:tcPr>
          <w:p w:rsidR="00C636BB" w:rsidRPr="00FE7ADF" w:rsidRDefault="007E134C" w:rsidP="00C15F77">
            <w:pPr>
              <w:bidi w:val="0"/>
              <w:jc w:val="center"/>
              <w:rPr>
                <w:color w:val="auto"/>
                <w:sz w:val="14"/>
                <w:szCs w:val="14"/>
              </w:rPr>
            </w:pPr>
            <w:r w:rsidRPr="00FE7ADF">
              <w:rPr>
                <w:color w:val="auto"/>
                <w:sz w:val="14"/>
                <w:szCs w:val="14"/>
              </w:rPr>
              <w:t>area</w:t>
            </w:r>
          </w:p>
        </w:tc>
        <w:tc>
          <w:tcPr>
            <w:tcW w:w="851" w:type="dxa"/>
            <w:vAlign w:val="center"/>
          </w:tcPr>
          <w:p w:rsidR="007E134C" w:rsidRPr="00FE7ADF" w:rsidRDefault="007E134C" w:rsidP="00C15F77">
            <w:pPr>
              <w:bidi w:val="0"/>
              <w:jc w:val="center"/>
              <w:rPr>
                <w:color w:val="auto"/>
                <w:sz w:val="14"/>
                <w:szCs w:val="14"/>
              </w:rPr>
            </w:pPr>
            <w:r w:rsidRPr="00FE7ADF">
              <w:rPr>
                <w:color w:val="auto"/>
                <w:sz w:val="14"/>
                <w:szCs w:val="14"/>
              </w:rPr>
              <w:t>Office and support</w:t>
            </w:r>
          </w:p>
          <w:p w:rsidR="00C636BB" w:rsidRPr="00FE7ADF" w:rsidRDefault="00C636BB" w:rsidP="00C15F77">
            <w:pPr>
              <w:bidi w:val="0"/>
              <w:jc w:val="center"/>
              <w:rPr>
                <w:color w:val="auto"/>
                <w:sz w:val="14"/>
                <w:szCs w:val="14"/>
              </w:rPr>
            </w:pPr>
          </w:p>
        </w:tc>
        <w:tc>
          <w:tcPr>
            <w:tcW w:w="850" w:type="dxa"/>
            <w:vAlign w:val="center"/>
          </w:tcPr>
          <w:p w:rsidR="00C636BB" w:rsidRPr="00C15DD7" w:rsidRDefault="007E134C" w:rsidP="00C15F77">
            <w:pPr>
              <w:bidi w:val="0"/>
              <w:jc w:val="center"/>
              <w:rPr>
                <w:color w:val="auto"/>
                <w:sz w:val="16"/>
                <w:szCs w:val="16"/>
              </w:rPr>
            </w:pPr>
            <w:r w:rsidRPr="00C15DD7">
              <w:rPr>
                <w:color w:val="auto"/>
                <w:sz w:val="16"/>
                <w:szCs w:val="16"/>
              </w:rPr>
              <w:t>Dialysis</w:t>
            </w:r>
          </w:p>
        </w:tc>
      </w:tr>
      <w:tr w:rsidR="00C15DD7" w:rsidRPr="00D75E55" w:rsidTr="00FE7ADF">
        <w:trPr>
          <w:trHeight w:val="336"/>
          <w:jc w:val="center"/>
        </w:trPr>
        <w:tc>
          <w:tcPr>
            <w:tcW w:w="562" w:type="dxa"/>
            <w:vMerge w:val="restart"/>
            <w:vAlign w:val="center"/>
          </w:tcPr>
          <w:p w:rsidR="00D75E55" w:rsidRPr="00D75E55" w:rsidRDefault="00D75E55" w:rsidP="00C15F77">
            <w:pPr>
              <w:jc w:val="center"/>
              <w:rPr>
                <w:color w:val="auto"/>
                <w:sz w:val="16"/>
                <w:szCs w:val="16"/>
                <w:vertAlign w:val="subscript"/>
              </w:rPr>
            </w:pPr>
            <w:r w:rsidRPr="00D75E55">
              <w:rPr>
                <w:color w:val="auto"/>
                <w:sz w:val="20"/>
                <w:szCs w:val="20"/>
              </w:rPr>
              <w:t>L</w:t>
            </w:r>
            <w:r w:rsidRPr="00D75E55">
              <w:rPr>
                <w:color w:val="auto"/>
                <w:sz w:val="20"/>
                <w:szCs w:val="20"/>
                <w:vertAlign w:val="subscript"/>
              </w:rPr>
              <w:t>eq</w:t>
            </w:r>
            <w:r w:rsidRPr="00D75E55">
              <w:rPr>
                <w:color w:val="auto"/>
                <w:sz w:val="16"/>
                <w:szCs w:val="16"/>
                <w:vertAlign w:val="subscript"/>
              </w:rPr>
              <w:t>15</w:t>
            </w: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Morning</w:t>
            </w:r>
          </w:p>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85/67</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04/58</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38/61</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85/61</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57/54</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74/58</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34/58</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49/55</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10/62</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17/51</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41/61</w:t>
            </w:r>
          </w:p>
        </w:tc>
      </w:tr>
      <w:tr w:rsidR="00C15DD7" w:rsidRPr="00D75E55" w:rsidTr="00FE7ADF">
        <w:trPr>
          <w:trHeight w:val="393"/>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p>
          <w:p w:rsidR="00D75E55" w:rsidRPr="00FE7ADF" w:rsidRDefault="00D75E55" w:rsidP="00C15F77">
            <w:pPr>
              <w:bidi w:val="0"/>
              <w:jc w:val="center"/>
              <w:rPr>
                <w:color w:val="auto"/>
                <w:sz w:val="14"/>
                <w:szCs w:val="14"/>
              </w:rPr>
            </w:pPr>
            <w:r w:rsidRPr="00FE7ADF">
              <w:rPr>
                <w:color w:val="auto"/>
                <w:sz w:val="14"/>
                <w:szCs w:val="14"/>
              </w:rPr>
              <w:t>Closed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50/61</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38/42</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64/48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11/49</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71/48</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07/51</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90/43</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48/62</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18/42</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r w:rsidR="00C15DD7" w:rsidRPr="00D75E55" w:rsidTr="00FE7ADF">
        <w:trPr>
          <w:trHeight w:val="355"/>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Evening</w:t>
            </w:r>
          </w:p>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49/55</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21/58</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42/54</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22/59</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46/49</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31/59</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34/69</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26/48</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88/57</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37/48</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59/53</w:t>
            </w:r>
          </w:p>
        </w:tc>
      </w:tr>
      <w:tr w:rsidR="00C15DD7" w:rsidRPr="00D75E55" w:rsidTr="00FE7ADF">
        <w:trPr>
          <w:trHeight w:val="374"/>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p>
          <w:p w:rsidR="00D75E55" w:rsidRPr="00FE7ADF" w:rsidRDefault="00D75E55" w:rsidP="00C15F77">
            <w:pPr>
              <w:bidi w:val="0"/>
              <w:jc w:val="center"/>
              <w:rPr>
                <w:color w:val="auto"/>
                <w:sz w:val="14"/>
                <w:szCs w:val="14"/>
              </w:rPr>
            </w:pPr>
            <w:r w:rsidRPr="00FE7ADF">
              <w:rPr>
                <w:color w:val="auto"/>
                <w:sz w:val="14"/>
                <w:szCs w:val="14"/>
              </w:rPr>
              <w:t>Closed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74/52</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04/43</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27/41</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85/46</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22/43</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22/44</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49/46</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46/72</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17/54</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r w:rsidR="00C15DD7" w:rsidRPr="00D75E55" w:rsidTr="00FE7ADF">
        <w:trPr>
          <w:trHeight w:val="374"/>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nighting</w:t>
            </w: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p w:rsidR="00D75E55" w:rsidRPr="00FE7ADF" w:rsidRDefault="00D75E55" w:rsidP="00C15F77">
            <w:pPr>
              <w:bidi w:val="0"/>
              <w:jc w:val="center"/>
              <w:rPr>
                <w:color w:val="auto"/>
                <w:sz w:val="14"/>
                <w:szCs w:val="14"/>
              </w:rPr>
            </w:pPr>
            <w:r w:rsidRPr="00FE7ADF">
              <w:rPr>
                <w:color w:val="auto"/>
                <w:sz w:val="14"/>
                <w:szCs w:val="14"/>
              </w:rPr>
              <w:t>Close</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58/59</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04/53</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07/52</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85/55</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22/51</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22/52</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64/52</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49/50</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44/58</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42/54</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41/52</w:t>
            </w:r>
          </w:p>
        </w:tc>
      </w:tr>
      <w:tr w:rsidR="00C15DD7" w:rsidRPr="00D75E55" w:rsidTr="00FE7ADF">
        <w:trPr>
          <w:trHeight w:val="355"/>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63/44</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24/41</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37/43</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56/43</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28/44</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26/40</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59/42</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64/78</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47/44</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r w:rsidR="00C15DD7" w:rsidRPr="00D75E55" w:rsidTr="00FE7ADF">
        <w:trPr>
          <w:trHeight w:val="355"/>
          <w:jc w:val="center"/>
        </w:trPr>
        <w:tc>
          <w:tcPr>
            <w:tcW w:w="562" w:type="dxa"/>
            <w:vMerge w:val="restart"/>
            <w:vAlign w:val="center"/>
          </w:tcPr>
          <w:p w:rsidR="00D75E55" w:rsidRPr="00D75E55" w:rsidRDefault="00D75E55" w:rsidP="00C15F77">
            <w:pPr>
              <w:jc w:val="center"/>
              <w:rPr>
                <w:color w:val="auto"/>
                <w:sz w:val="16"/>
                <w:szCs w:val="16"/>
                <w:vertAlign w:val="subscript"/>
              </w:rPr>
            </w:pPr>
            <w:r w:rsidRPr="00D75E55">
              <w:rPr>
                <w:color w:val="auto"/>
                <w:sz w:val="20"/>
                <w:szCs w:val="20"/>
              </w:rPr>
              <w:t>L</w:t>
            </w:r>
            <w:r w:rsidRPr="00D75E55">
              <w:rPr>
                <w:color w:val="auto"/>
                <w:sz w:val="20"/>
                <w:szCs w:val="20"/>
                <w:vertAlign w:val="subscript"/>
              </w:rPr>
              <w:t>max</w:t>
            </w: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Morning</w:t>
            </w:r>
          </w:p>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25/69</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24/63</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46/67</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14/65</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52/59</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47/61</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22/64</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18/59</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56/65</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45/58</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24/64</w:t>
            </w:r>
          </w:p>
        </w:tc>
      </w:tr>
      <w:tr w:rsidR="00C15DD7" w:rsidRPr="00D75E55" w:rsidTr="00FE7ADF">
        <w:trPr>
          <w:trHeight w:val="374"/>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p>
          <w:p w:rsidR="00D75E55" w:rsidRPr="00FE7ADF" w:rsidRDefault="00D75E55" w:rsidP="00C15F77">
            <w:pPr>
              <w:bidi w:val="0"/>
              <w:jc w:val="center"/>
              <w:rPr>
                <w:color w:val="auto"/>
                <w:sz w:val="14"/>
                <w:szCs w:val="14"/>
              </w:rPr>
            </w:pPr>
            <w:r w:rsidRPr="00FE7ADF">
              <w:rPr>
                <w:color w:val="auto"/>
                <w:sz w:val="14"/>
                <w:szCs w:val="14"/>
              </w:rPr>
              <w:t>Closed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78/66</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58/48</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16/51</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24/53</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26/54</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14/55</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84/48</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25/66</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10/45</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r w:rsidR="00C15DD7" w:rsidRPr="00D75E55" w:rsidTr="00FE7ADF">
        <w:trPr>
          <w:trHeight w:val="374"/>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Evening</w:t>
            </w:r>
          </w:p>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p w:rsidR="00D75E55" w:rsidRPr="00FE7ADF" w:rsidRDefault="00D75E55" w:rsidP="00C15F77">
            <w:pPr>
              <w:bidi w:val="0"/>
              <w:jc w:val="center"/>
              <w:rPr>
                <w:color w:val="auto"/>
                <w:sz w:val="14"/>
                <w:szCs w:val="14"/>
              </w:rPr>
            </w:pPr>
            <w:r w:rsidRPr="00FE7ADF">
              <w:rPr>
                <w:color w:val="auto"/>
                <w:sz w:val="14"/>
                <w:szCs w:val="14"/>
              </w:rPr>
              <w:t>Close</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36/59</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32/62</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41/59</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74/63</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48/53</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51/62</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69/71</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25/52</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40/59</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24/51</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69/57</w:t>
            </w:r>
          </w:p>
        </w:tc>
      </w:tr>
      <w:tr w:rsidR="00C15DD7" w:rsidRPr="00D75E55" w:rsidTr="00FE7ADF">
        <w:trPr>
          <w:trHeight w:val="355"/>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23/55</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44/47</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78/45</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35/48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49/46</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20/48</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98/49</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29/75</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34/58</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r w:rsidR="00C15DD7" w:rsidRPr="00D75E55" w:rsidTr="00FE7ADF">
        <w:trPr>
          <w:trHeight w:val="336"/>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nighting</w:t>
            </w: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56/61</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27/58</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24/56</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70/58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46/55</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20/56</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87/55</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74/53</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24/61</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26/59</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12/58</w:t>
            </w:r>
          </w:p>
        </w:tc>
      </w:tr>
      <w:tr w:rsidR="00C15DD7" w:rsidRPr="00D75E55" w:rsidTr="00FE7ADF">
        <w:trPr>
          <w:trHeight w:val="393"/>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p>
          <w:p w:rsidR="00D75E55" w:rsidRPr="00FE7ADF" w:rsidRDefault="00D75E55" w:rsidP="00C15F77">
            <w:pPr>
              <w:bidi w:val="0"/>
              <w:jc w:val="center"/>
              <w:rPr>
                <w:color w:val="auto"/>
                <w:sz w:val="14"/>
                <w:szCs w:val="14"/>
              </w:rPr>
            </w:pPr>
            <w:r w:rsidRPr="00FE7ADF">
              <w:rPr>
                <w:color w:val="auto"/>
                <w:sz w:val="14"/>
                <w:szCs w:val="14"/>
              </w:rPr>
              <w:t>Closed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68/48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66/45</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76/48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18/47</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25/47</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34/44</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80/45</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26/80</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54/46</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r w:rsidR="00C15DD7" w:rsidRPr="00D75E55" w:rsidTr="00FE7ADF">
        <w:trPr>
          <w:trHeight w:val="355"/>
          <w:jc w:val="center"/>
        </w:trPr>
        <w:tc>
          <w:tcPr>
            <w:tcW w:w="562" w:type="dxa"/>
            <w:vMerge w:val="restart"/>
            <w:vAlign w:val="center"/>
          </w:tcPr>
          <w:p w:rsidR="00D75E55" w:rsidRPr="00D75E55" w:rsidRDefault="00D75E55" w:rsidP="00C15F77">
            <w:pPr>
              <w:jc w:val="center"/>
              <w:rPr>
                <w:color w:val="auto"/>
                <w:sz w:val="16"/>
                <w:szCs w:val="16"/>
                <w:vertAlign w:val="subscript"/>
                <w:rtl/>
              </w:rPr>
            </w:pPr>
            <w:r w:rsidRPr="00D75E55">
              <w:rPr>
                <w:color w:val="auto"/>
                <w:sz w:val="20"/>
                <w:szCs w:val="20"/>
              </w:rPr>
              <w:t>L</w:t>
            </w:r>
            <w:r w:rsidRPr="00D75E55">
              <w:rPr>
                <w:color w:val="auto"/>
                <w:sz w:val="20"/>
                <w:szCs w:val="20"/>
                <w:vertAlign w:val="subscript"/>
              </w:rPr>
              <w:t>min</w:t>
            </w: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Morning</w:t>
            </w:r>
          </w:p>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45/62</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27/53</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65/56</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18/55</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69/51</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14/54</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68/52</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18/52</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95/58</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22/46</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51/56</w:t>
            </w:r>
          </w:p>
        </w:tc>
      </w:tr>
      <w:tr w:rsidR="00C15DD7" w:rsidRPr="00D75E55" w:rsidTr="00FE7ADF">
        <w:trPr>
          <w:trHeight w:val="374"/>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p>
          <w:p w:rsidR="00D75E55" w:rsidRPr="00FE7ADF" w:rsidRDefault="00D75E55" w:rsidP="00C15F77">
            <w:pPr>
              <w:bidi w:val="0"/>
              <w:jc w:val="center"/>
              <w:rPr>
                <w:color w:val="auto"/>
                <w:sz w:val="14"/>
                <w:szCs w:val="14"/>
              </w:rPr>
            </w:pPr>
            <w:r w:rsidRPr="00FE7ADF">
              <w:rPr>
                <w:color w:val="auto"/>
                <w:sz w:val="14"/>
                <w:szCs w:val="14"/>
              </w:rPr>
              <w:t>Closed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38/56</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24/40</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12/44</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87/44</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32/45</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60/47</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24/39</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67/58</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84/39</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r w:rsidR="00C15DD7" w:rsidRPr="00D75E55" w:rsidTr="00FE7ADF">
        <w:trPr>
          <w:trHeight w:val="355"/>
          <w:jc w:val="center"/>
        </w:trPr>
        <w:tc>
          <w:tcPr>
            <w:tcW w:w="562" w:type="dxa"/>
            <w:vMerge/>
            <w:textDirection w:val="btLr"/>
            <w:vAlign w:val="center"/>
          </w:tcPr>
          <w:p w:rsidR="00D75E55" w:rsidRPr="00D75E55" w:rsidRDefault="00D75E55" w:rsidP="00C15F77">
            <w:pPr>
              <w:bidi w:val="0"/>
              <w:jc w:val="center"/>
              <w:rPr>
                <w:color w:val="auto"/>
                <w:sz w:val="16"/>
                <w:szCs w:val="16"/>
              </w:rPr>
            </w:pP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Evening</w:t>
            </w:r>
          </w:p>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30/52</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98/53</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17/51</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80/53</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74/45</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26/54</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54/63</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59/44</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28/54</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15/43</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38/49</w:t>
            </w:r>
          </w:p>
        </w:tc>
      </w:tr>
      <w:tr w:rsidR="00C15DD7" w:rsidRPr="00D75E55" w:rsidTr="00FE7ADF">
        <w:trPr>
          <w:trHeight w:val="374"/>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FE7ADF" w:rsidRDefault="00D75E55" w:rsidP="00C15F77">
            <w:pPr>
              <w:bidi w:val="0"/>
              <w:jc w:val="center"/>
              <w:rPr>
                <w:color w:val="auto"/>
                <w:sz w:val="14"/>
                <w:szCs w:val="14"/>
              </w:rPr>
            </w:pPr>
          </w:p>
        </w:tc>
        <w:tc>
          <w:tcPr>
            <w:tcW w:w="709" w:type="dxa"/>
            <w:vAlign w:val="center"/>
          </w:tcPr>
          <w:p w:rsidR="00D75E55" w:rsidRPr="00FE7ADF" w:rsidRDefault="00D75E55" w:rsidP="00C15F77">
            <w:pPr>
              <w:bidi w:val="0"/>
              <w:jc w:val="center"/>
              <w:rPr>
                <w:color w:val="auto"/>
                <w:sz w:val="14"/>
                <w:szCs w:val="14"/>
              </w:rPr>
            </w:pPr>
          </w:p>
          <w:p w:rsidR="00D75E55" w:rsidRPr="00FE7ADF" w:rsidRDefault="00D75E55" w:rsidP="00C15F77">
            <w:pPr>
              <w:bidi w:val="0"/>
              <w:jc w:val="center"/>
              <w:rPr>
                <w:color w:val="auto"/>
                <w:sz w:val="14"/>
                <w:szCs w:val="14"/>
              </w:rPr>
            </w:pPr>
            <w:r w:rsidRPr="00FE7ADF">
              <w:rPr>
                <w:color w:val="auto"/>
                <w:sz w:val="14"/>
                <w:szCs w:val="14"/>
              </w:rPr>
              <w:t>Closed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29/48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18/39</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22/38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73/42</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44/39</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56/38</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58/41</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78/64</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38/50</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r w:rsidR="00C15DD7" w:rsidRPr="00D75E55" w:rsidTr="00FE7ADF">
        <w:trPr>
          <w:trHeight w:val="336"/>
          <w:jc w:val="center"/>
        </w:trPr>
        <w:tc>
          <w:tcPr>
            <w:tcW w:w="562" w:type="dxa"/>
            <w:vMerge/>
            <w:textDirection w:val="btLr"/>
            <w:vAlign w:val="center"/>
          </w:tcPr>
          <w:p w:rsidR="00D75E55" w:rsidRPr="00D75E55" w:rsidRDefault="00D75E55" w:rsidP="00C15F77">
            <w:pPr>
              <w:bidi w:val="0"/>
              <w:jc w:val="center"/>
              <w:rPr>
                <w:color w:val="auto"/>
                <w:sz w:val="16"/>
                <w:szCs w:val="16"/>
              </w:rPr>
            </w:pPr>
          </w:p>
        </w:tc>
        <w:tc>
          <w:tcPr>
            <w:tcW w:w="851" w:type="dxa"/>
            <w:vMerge w:val="restart"/>
            <w:vAlign w:val="center"/>
          </w:tcPr>
          <w:p w:rsidR="00D75E55" w:rsidRPr="00FE7ADF" w:rsidRDefault="00D75E55" w:rsidP="00C15F77">
            <w:pPr>
              <w:bidi w:val="0"/>
              <w:jc w:val="center"/>
              <w:rPr>
                <w:color w:val="auto"/>
                <w:sz w:val="14"/>
                <w:szCs w:val="14"/>
              </w:rPr>
            </w:pPr>
            <w:r w:rsidRPr="00FE7ADF">
              <w:rPr>
                <w:color w:val="auto"/>
                <w:sz w:val="14"/>
                <w:szCs w:val="14"/>
              </w:rPr>
              <w:t>nighting</w:t>
            </w:r>
          </w:p>
        </w:tc>
        <w:tc>
          <w:tcPr>
            <w:tcW w:w="709" w:type="dxa"/>
            <w:vAlign w:val="center"/>
          </w:tcPr>
          <w:p w:rsidR="00D75E55" w:rsidRPr="00FE7ADF" w:rsidRDefault="00D75E55" w:rsidP="00C15F77">
            <w:pPr>
              <w:bidi w:val="0"/>
              <w:jc w:val="center"/>
              <w:rPr>
                <w:color w:val="auto"/>
                <w:sz w:val="14"/>
                <w:szCs w:val="14"/>
              </w:rPr>
            </w:pPr>
            <w:r w:rsidRPr="00FE7ADF">
              <w:rPr>
                <w:color w:val="auto"/>
                <w:sz w:val="14"/>
                <w:szCs w:val="14"/>
              </w:rPr>
              <w:t>Normal</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24/54</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22/49</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64/48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10/51</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97/47</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18/46</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20/48</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96/44</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76/52</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28/50</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10/49</w:t>
            </w:r>
          </w:p>
        </w:tc>
      </w:tr>
      <w:tr w:rsidR="00C15DD7" w:rsidRPr="00D75E55" w:rsidTr="00FE7ADF">
        <w:trPr>
          <w:trHeight w:val="393"/>
          <w:jc w:val="center"/>
        </w:trPr>
        <w:tc>
          <w:tcPr>
            <w:tcW w:w="562" w:type="dxa"/>
            <w:vMerge/>
            <w:vAlign w:val="center"/>
          </w:tcPr>
          <w:p w:rsidR="00D75E55" w:rsidRPr="00D75E55" w:rsidRDefault="00D75E55" w:rsidP="00C15F77">
            <w:pPr>
              <w:bidi w:val="0"/>
              <w:jc w:val="center"/>
              <w:rPr>
                <w:color w:val="auto"/>
                <w:sz w:val="16"/>
                <w:szCs w:val="16"/>
              </w:rPr>
            </w:pPr>
          </w:p>
        </w:tc>
        <w:tc>
          <w:tcPr>
            <w:tcW w:w="851" w:type="dxa"/>
            <w:vMerge/>
            <w:vAlign w:val="center"/>
          </w:tcPr>
          <w:p w:rsidR="00D75E55" w:rsidRPr="00C15F77" w:rsidRDefault="00D75E55" w:rsidP="00C15F77">
            <w:pPr>
              <w:bidi w:val="0"/>
              <w:jc w:val="center"/>
              <w:rPr>
                <w:color w:val="auto"/>
                <w:sz w:val="16"/>
                <w:szCs w:val="16"/>
              </w:rPr>
            </w:pPr>
          </w:p>
        </w:tc>
        <w:tc>
          <w:tcPr>
            <w:tcW w:w="709" w:type="dxa"/>
            <w:vAlign w:val="center"/>
          </w:tcPr>
          <w:p w:rsidR="00D75E55" w:rsidRPr="00FE7ADF" w:rsidRDefault="00D75E55" w:rsidP="00C15F77">
            <w:pPr>
              <w:bidi w:val="0"/>
              <w:jc w:val="center"/>
              <w:rPr>
                <w:color w:val="auto"/>
                <w:sz w:val="14"/>
                <w:szCs w:val="14"/>
              </w:rPr>
            </w:pPr>
          </w:p>
          <w:p w:rsidR="00D75E55" w:rsidRPr="00FE7ADF" w:rsidRDefault="00D75E55" w:rsidP="00C15F77">
            <w:pPr>
              <w:bidi w:val="0"/>
              <w:jc w:val="center"/>
              <w:rPr>
                <w:color w:val="auto"/>
                <w:sz w:val="14"/>
                <w:szCs w:val="14"/>
              </w:rPr>
            </w:pPr>
            <w:r w:rsidRPr="00FE7ADF">
              <w:rPr>
                <w:color w:val="auto"/>
                <w:sz w:val="14"/>
                <w:szCs w:val="14"/>
              </w:rPr>
              <w:t>Closed</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44/40</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12/38</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64/38</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24/39</w:t>
            </w:r>
          </w:p>
        </w:tc>
        <w:tc>
          <w:tcPr>
            <w:tcW w:w="567"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12/37</w:t>
            </w:r>
          </w:p>
        </w:tc>
        <w:tc>
          <w:tcPr>
            <w:tcW w:w="709"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69/36</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c>
          <w:tcPr>
            <w:tcW w:w="993"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42/39</w:t>
            </w:r>
          </w:p>
        </w:tc>
        <w:tc>
          <w:tcPr>
            <w:tcW w:w="708"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14/70</w:t>
            </w:r>
          </w:p>
        </w:tc>
        <w:tc>
          <w:tcPr>
            <w:tcW w:w="851"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62/40</w:t>
            </w:r>
          </w:p>
        </w:tc>
        <w:tc>
          <w:tcPr>
            <w:tcW w:w="850" w:type="dxa"/>
            <w:vAlign w:val="center"/>
          </w:tcPr>
          <w:p w:rsidR="00D75E55" w:rsidRPr="00C15DD7" w:rsidRDefault="00D75E55" w:rsidP="00C15F77">
            <w:pPr>
              <w:jc w:val="center"/>
              <w:rPr>
                <w:b/>
                <w:bCs/>
                <w:color w:val="auto"/>
                <w:sz w:val="16"/>
                <w:szCs w:val="16"/>
                <w:rtl/>
              </w:rPr>
            </w:pPr>
            <w:r w:rsidRPr="00C15DD7">
              <w:rPr>
                <w:rFonts w:hint="cs"/>
                <w:color w:val="auto"/>
                <w:sz w:val="16"/>
                <w:szCs w:val="16"/>
                <w:rtl/>
              </w:rPr>
              <w:t>-</w:t>
            </w:r>
          </w:p>
        </w:tc>
      </w:tr>
    </w:tbl>
    <w:p w:rsidR="00DA5EF0" w:rsidRPr="00DA5EF0" w:rsidRDefault="00DA5EF0" w:rsidP="00DA5EF0">
      <w:pPr>
        <w:bidi w:val="0"/>
        <w:spacing w:line="240" w:lineRule="auto"/>
        <w:jc w:val="center"/>
        <w:rPr>
          <w:color w:val="auto"/>
          <w:sz w:val="16"/>
          <w:szCs w:val="16"/>
        </w:rPr>
      </w:pPr>
    </w:p>
    <w:p w:rsidR="005C41DD" w:rsidRDefault="005C41DD" w:rsidP="005C41DD">
      <w:pPr>
        <w:bidi w:val="0"/>
        <w:spacing w:line="240" w:lineRule="auto"/>
        <w:jc w:val="center"/>
        <w:rPr>
          <w:color w:val="auto"/>
        </w:rPr>
      </w:pPr>
    </w:p>
    <w:p w:rsidR="00FE7ADF" w:rsidRPr="00FE7ADF" w:rsidRDefault="00FE7ADF" w:rsidP="00FE7ADF">
      <w:pPr>
        <w:bidi w:val="0"/>
        <w:spacing w:line="240" w:lineRule="auto"/>
        <w:rPr>
          <w:b/>
          <w:bCs/>
          <w:color w:val="auto"/>
        </w:rPr>
      </w:pPr>
      <w:r w:rsidRPr="00FE7ADF">
        <w:rPr>
          <w:b/>
          <w:bCs/>
          <w:color w:val="auto"/>
        </w:rPr>
        <w:t>Discussion</w:t>
      </w:r>
    </w:p>
    <w:p w:rsidR="00565B8A" w:rsidRPr="00565B8A" w:rsidRDefault="00565B8A" w:rsidP="009B5842">
      <w:pPr>
        <w:bidi w:val="0"/>
        <w:spacing w:line="240" w:lineRule="auto"/>
        <w:jc w:val="both"/>
        <w:rPr>
          <w:b/>
          <w:bCs/>
          <w:color w:val="auto"/>
        </w:rPr>
      </w:pPr>
      <w:r w:rsidRPr="00565B8A">
        <w:rPr>
          <w:color w:val="auto"/>
        </w:rPr>
        <w:t xml:space="preserve">      According to Table 1, the maximum mean sound level (Leq) measured over 15 minutes in the morning of the average day, related to the emergency department, was 67.85 dB, due to overcrowding of patients and patients, as well as on the day off in the ward. The hospital grounds are 62.48 decibels due to congestion on the streets around the hospital and close to the city park. This amount was reported in the afternoon of average days related to the hospital's specialized clinic section on 69.34 decibels. This was due to the presence of the majority of dedicated physicians and in the holidays on the amount of 72.46 decibels and was reported on the hospital grounds. The maximum average sound level (Leq) at night on standard days and holidays was related to the emergency department with 59.59 decibels and the hospital area with 78.64 decibels, respectively, which was successful with the results studies </w:t>
      </w:r>
      <w:r w:rsidR="00C307C4">
        <w:rPr>
          <w:color w:val="auto"/>
        </w:rPr>
        <w:t xml:space="preserve">by </w:t>
      </w:r>
      <w:proofErr w:type="spellStart"/>
      <w:r w:rsidR="00C307C4">
        <w:rPr>
          <w:color w:val="auto"/>
        </w:rPr>
        <w:t>Pour</w:t>
      </w:r>
      <w:r w:rsidRPr="00565B8A">
        <w:rPr>
          <w:color w:val="auto"/>
        </w:rPr>
        <w:t>Sadegh</w:t>
      </w:r>
      <w:proofErr w:type="spellEnd"/>
      <w:r w:rsidRPr="00565B8A">
        <w:rPr>
          <w:color w:val="auto"/>
        </w:rPr>
        <w:t xml:space="preserve"> (18)</w:t>
      </w:r>
      <w:r w:rsidR="009B5842">
        <w:rPr>
          <w:color w:val="auto"/>
        </w:rPr>
        <w:t>,</w:t>
      </w:r>
      <w:r w:rsidRPr="00565B8A">
        <w:rPr>
          <w:color w:val="auto"/>
        </w:rPr>
        <w:t xml:space="preserve"> (19) </w:t>
      </w:r>
      <w:r w:rsidR="00C307C4" w:rsidRPr="00565B8A">
        <w:rPr>
          <w:color w:val="auto"/>
        </w:rPr>
        <w:t>Was</w:t>
      </w:r>
      <w:r w:rsidRPr="00565B8A">
        <w:rPr>
          <w:color w:val="auto"/>
        </w:rPr>
        <w:t xml:space="preserve"> consistent but not consistent with the results of the Nababit survey (20). The congestion of the emergency department as the only medical center in the city at night and the high noise of citizens on the street leading to the hospital is due to its proximity to Rezvan Park. There was a statistically significant difference between the morning, evening, and night measured values using the one-way analysis of variance test (P &lt;0.05). The average Leq equivalent in the morning shift of standard days was in the range of 51.17 to 67.85 decibels related to the support and emergency departments. The average sound level (Leq) in the evening of standard days was 48.26 to 69.34 decibels related to radiology and ultrasound departments and specialized clinics, respectively. The average sound level </w:t>
      </w:r>
      <w:r w:rsidRPr="00565B8A">
        <w:rPr>
          <w:color w:val="auto"/>
        </w:rPr>
        <w:lastRenderedPageBreak/>
        <w:t>(Leq) in the night shift of average days was 50</w:t>
      </w:r>
      <w:r w:rsidR="009B5842">
        <w:rPr>
          <w:color w:val="auto"/>
        </w:rPr>
        <w:t>.</w:t>
      </w:r>
      <w:r w:rsidRPr="00565B8A">
        <w:rPr>
          <w:color w:val="auto"/>
        </w:rPr>
        <w:t>12 to 59.58 decibels related to the administrative and emergency departments, respectively. The average sound level (Leq) in the morning shift was 41.9 to 42.49 decibels associated with the administrative sections and the area. The average sound level (Leq) in the evening shift was between 41.27 and 72.76 decibels on the surgical wards and the hospital grounds. The mean Leq equivalent at night shifts was 40</w:t>
      </w:r>
      <w:r w:rsidR="009B5842">
        <w:rPr>
          <w:color w:val="auto"/>
        </w:rPr>
        <w:t>.</w:t>
      </w:r>
      <w:r w:rsidRPr="00565B8A">
        <w:rPr>
          <w:color w:val="auto"/>
        </w:rPr>
        <w:t>26 to 78.64 dB, associated with the laboratory and hospital wards, respectively, using the one-sample t statistical test to compare these values ​​with. The standard is 30 decibels higher. Leq averages higher than usual in the morning, evening, and night shifts of the hospital compared to the rule of 55 decibels. The average values ​​of these indicators in the night shift above the evening and the evening shift are more than the morning shift due to a large number of visitors, clients and patients in different wards and the high noise caused by citizens' incomes. On the other hand, based on the average level of sound (Leq) in the morning shift, the holidays were in the range of 42.18 to 62.48 decibels related to the administrative and support sections and the area, which is 30 decibels higher than the standard. On the other hand, the average sound level (Leq) in the evening of the holidays was in the range of 41.37 to 72.46 decibels, which is related to the surgical department and the hospital ward, which is used to compare the mean of the standard values ​​with the statistical test. It is 30 decibels higher. Also, the average sound level (Leq) in the night shift on holidays was 40.36 to 78.64 decibels related to the laboratory and hospital wards, respectively, which is higher than the World Health Organization standard.</w:t>
      </w:r>
    </w:p>
    <w:p w:rsidR="00565B8A" w:rsidRPr="00565B8A" w:rsidRDefault="00565B8A" w:rsidP="009B5842">
      <w:pPr>
        <w:bidi w:val="0"/>
        <w:spacing w:line="240" w:lineRule="auto"/>
        <w:jc w:val="both"/>
        <w:rPr>
          <w:b/>
          <w:bCs/>
          <w:color w:val="auto"/>
        </w:rPr>
      </w:pPr>
      <w:r w:rsidRPr="00565B8A">
        <w:rPr>
          <w:color w:val="auto"/>
        </w:rPr>
        <w:t>Overall, the results of the present study show that the level of sound intensity in different wards of Shahid Beheshti Hospital in Qorveh is higher than the standard set by the World Health Organization, which was studied by Beit Saeed and colleagues in Ahvaz Oil Hospital in 1390, which showed all the indicators considered in different wards. The hospital is above standard (21). The results of a study by Hekmatabadi et al. In North Khorasan Educational Hospital in 2011 showed no significant difference between the measured values ​​of sound pressure level on different days and periods during it (day and night) and various sections (emergency and specialized care</w:t>
      </w:r>
      <w:r w:rsidR="009B5842">
        <w:rPr>
          <w:color w:val="auto"/>
        </w:rPr>
        <w:t>)(</w:t>
      </w:r>
      <w:r w:rsidRPr="00565B8A">
        <w:rPr>
          <w:color w:val="auto"/>
        </w:rPr>
        <w:t xml:space="preserve">22), which is not consistent with the present study. In a survey by Jafari et al. In Feyz Hospital and its surroundings in Isfahan in 2011, it was found that the maximum average sound level in the morning was related to the clinic and in the afternoon to the administrative department, and in general, high noise pollution in the hospital. Reported and consistent with the present study (23). A survey by Asghar Nia et al. In </w:t>
      </w:r>
      <w:r w:rsidR="00C307C4" w:rsidRPr="00565B8A">
        <w:rPr>
          <w:color w:val="auto"/>
        </w:rPr>
        <w:t>Babul</w:t>
      </w:r>
      <w:r w:rsidRPr="00565B8A">
        <w:rPr>
          <w:color w:val="auto"/>
        </w:rPr>
        <w:t xml:space="preserve"> Public Hospitals in 2012 showed that the level of sound intensity on average days and holidays in all three time periods in the morning and evening and the time of visit was higher than the standard set by the World Health Organization and are consistent with this study. (24).</w:t>
      </w:r>
    </w:p>
    <w:p w:rsidR="00565B8A" w:rsidRPr="00565B8A" w:rsidRDefault="00565B8A" w:rsidP="00565B8A">
      <w:pPr>
        <w:bidi w:val="0"/>
        <w:spacing w:line="240" w:lineRule="auto"/>
        <w:jc w:val="both"/>
        <w:rPr>
          <w:b/>
          <w:bCs/>
          <w:color w:val="auto"/>
        </w:rPr>
      </w:pPr>
      <w:r w:rsidRPr="00565B8A">
        <w:rPr>
          <w:color w:val="auto"/>
        </w:rPr>
        <w:t>Finally, according to the obtained results, it was determined that the sources of noise pollution inside Shahid Beheshti Hospital in Qorveh were the arrival and departure of clients, patients and staff, ventilation system, transportation in the area inside the hospital, the sound of loudspeakers and the sound system of the hospital outside the hospital and resources. Cars on the streets around the hospital, especially on holidays, cause noise from patients entering and leaving, ambulances and car horns. Therefore, Shahid Beheshti Hospital in Qorveh has a high level of noise pollution and, in most cases, is higher than the standards of the World Health Organization. Therefore, noise pollution in this hospital is considered as a severe problem. Factors such as the number of personnel, the number of clients on that day and time, the physical space of the wards, the traffic, the selection and maintenance of the ward supplies can be useful in increasing the noise pollution of the environment.</w:t>
      </w:r>
    </w:p>
    <w:p w:rsidR="005533B8" w:rsidRPr="00FE7ADF" w:rsidRDefault="005533B8" w:rsidP="00565B8A">
      <w:pPr>
        <w:bidi w:val="0"/>
        <w:spacing w:line="240" w:lineRule="auto"/>
        <w:rPr>
          <w:b/>
          <w:bCs/>
          <w:color w:val="auto"/>
        </w:rPr>
      </w:pPr>
      <w:r w:rsidRPr="00FE7ADF">
        <w:rPr>
          <w:b/>
          <w:bCs/>
          <w:color w:val="auto"/>
        </w:rPr>
        <w:t>Conclusion</w:t>
      </w:r>
    </w:p>
    <w:p w:rsidR="00565B8A" w:rsidRPr="00565B8A" w:rsidRDefault="00565B8A" w:rsidP="00565B8A">
      <w:pPr>
        <w:bidi w:val="0"/>
        <w:spacing w:line="240" w:lineRule="auto"/>
        <w:jc w:val="both"/>
        <w:rPr>
          <w:b/>
          <w:bCs/>
          <w:color w:val="auto"/>
        </w:rPr>
      </w:pPr>
      <w:r>
        <w:rPr>
          <w:color w:val="auto"/>
        </w:rPr>
        <w:t xml:space="preserve">      </w:t>
      </w:r>
      <w:r w:rsidRPr="00565B8A">
        <w:rPr>
          <w:color w:val="auto"/>
        </w:rPr>
        <w:t>The results of the present study show that the level of sound intensity in different stations of Shahid Beheshti Hospital in Qorveh is higher than the set standard in all times; Therefore, it is recommended that technical, engineering and management measures such as informing staff and officials of hospitals and citizens of the community to keep the noise level low, train staff on how to use equipment properly and not make noise, repair on time and install sound equipment, prevent Due to the overcrowding of patients, the improvement of citizens' incoming routes in the ho</w:t>
      </w:r>
      <w:r w:rsidR="00FE7ADF">
        <w:rPr>
          <w:color w:val="auto"/>
        </w:rPr>
        <w:t xml:space="preserve">spital area should be done in </w:t>
      </w:r>
      <w:proofErr w:type="spellStart"/>
      <w:r w:rsidR="00FE7ADF">
        <w:rPr>
          <w:color w:val="auto"/>
        </w:rPr>
        <w:t>c</w:t>
      </w:r>
      <w:r w:rsidRPr="00565B8A">
        <w:rPr>
          <w:color w:val="auto"/>
        </w:rPr>
        <w:t>ordination</w:t>
      </w:r>
      <w:proofErr w:type="spellEnd"/>
      <w:r w:rsidRPr="00565B8A">
        <w:rPr>
          <w:color w:val="auto"/>
        </w:rPr>
        <w:t xml:space="preserve"> with the responsible organizations such as the municipality and Rahvar police, as well as the transfer of special hospital wards to quieter neighborhoods.</w:t>
      </w:r>
    </w:p>
    <w:p w:rsidR="00565B8A" w:rsidRPr="00565B8A" w:rsidRDefault="00565B8A" w:rsidP="00565B8A">
      <w:pPr>
        <w:bidi w:val="0"/>
        <w:spacing w:line="240" w:lineRule="auto"/>
        <w:jc w:val="both"/>
        <w:rPr>
          <w:b/>
          <w:bCs/>
          <w:color w:val="auto"/>
        </w:rPr>
      </w:pPr>
      <w:r w:rsidRPr="00565B8A">
        <w:rPr>
          <w:color w:val="auto"/>
        </w:rPr>
        <w:lastRenderedPageBreak/>
        <w:t>In this study, only one of the hospitals covered by Kurdistan University of Medical Sciences was studied. Due to this limitation, it is suggested that in future studies, the research environment be broader, and a comparison be made between several hospitals in the province. In addition to the above restrictions, sampling was performed only in one of the rooms of each ward and only on two average and closed days. Audiometry should be performed. In general, according to the results of the study and interviews with nurses and patients during the data collection period, the noise in hospital wards was mainly due to the lack of double glazed windows, the sound of traffic on the streets of the hospital grounds, speeches by visitors and hospital staff—mobile phones. Considering the study results, the need to pay more attention to the significant comfort and convenience of patients and staff working in the hospital and protect them against noise pollution is well felt. Also, planning and adopting appropriate and effective corrective measures to reduce noise pollution to a permissible and standard level seems necessary.</w:t>
      </w:r>
    </w:p>
    <w:p w:rsidR="00565B8A" w:rsidRPr="00FE7ADF" w:rsidRDefault="00565B8A" w:rsidP="00565B8A">
      <w:pPr>
        <w:bidi w:val="0"/>
        <w:spacing w:line="240" w:lineRule="auto"/>
        <w:jc w:val="both"/>
        <w:rPr>
          <w:b/>
          <w:bCs/>
          <w:color w:val="auto"/>
        </w:rPr>
      </w:pPr>
      <w:r w:rsidRPr="00FE7ADF">
        <w:rPr>
          <w:b/>
          <w:bCs/>
          <w:color w:val="auto"/>
        </w:rPr>
        <w:t>Conflict of interest</w:t>
      </w:r>
    </w:p>
    <w:p w:rsidR="00565B8A" w:rsidRPr="00565B8A" w:rsidRDefault="00565B8A" w:rsidP="00565B8A">
      <w:pPr>
        <w:bidi w:val="0"/>
        <w:spacing w:line="240" w:lineRule="auto"/>
        <w:jc w:val="both"/>
        <w:rPr>
          <w:b/>
          <w:bCs/>
          <w:color w:val="auto"/>
        </w:rPr>
      </w:pPr>
      <w:r w:rsidRPr="00565B8A">
        <w:rPr>
          <w:color w:val="auto"/>
        </w:rPr>
        <w:t>The authors point out that there is no conflict of interest in the present study.</w:t>
      </w:r>
    </w:p>
    <w:p w:rsidR="00CD6BDB" w:rsidRPr="00565B8A" w:rsidRDefault="00CD6BDB" w:rsidP="00CD6BDB">
      <w:pPr>
        <w:bidi w:val="0"/>
        <w:spacing w:line="240" w:lineRule="auto"/>
        <w:jc w:val="both"/>
        <w:rPr>
          <w:color w:val="auto"/>
        </w:rPr>
      </w:pPr>
      <w:r w:rsidRPr="00CD6BDB">
        <w:rPr>
          <w:b/>
          <w:bCs/>
          <w:color w:val="auto"/>
        </w:rPr>
        <w:t>Acknowledgments</w:t>
      </w:r>
    </w:p>
    <w:p w:rsidR="00565B8A" w:rsidRDefault="00565B8A" w:rsidP="00565B8A">
      <w:pPr>
        <w:bidi w:val="0"/>
        <w:spacing w:line="240" w:lineRule="auto"/>
        <w:jc w:val="both"/>
        <w:rPr>
          <w:color w:val="auto"/>
        </w:rPr>
      </w:pPr>
      <w:r w:rsidRPr="00565B8A">
        <w:rPr>
          <w:color w:val="auto"/>
        </w:rPr>
        <w:t>This research is the result of a research project with the number IR.MUK.REC.1398.067 approved by the Vice-Chancellor for Research and Technology of Kurdistan University of Medical Sciences. As a result of this, the authors of the article thank the research deputy of Kurdistan University of Medical Sciences for financing the project and the cooperation of the managers of Shahid Beheshti Hospital in Qorveh.</w:t>
      </w:r>
    </w:p>
    <w:p w:rsidR="00F325D7" w:rsidRPr="00FE7ADF" w:rsidRDefault="00F325D7" w:rsidP="00F325D7">
      <w:pPr>
        <w:bidi w:val="0"/>
        <w:spacing w:line="240" w:lineRule="auto"/>
        <w:rPr>
          <w:b/>
          <w:bCs/>
          <w:color w:val="auto"/>
        </w:rPr>
      </w:pPr>
      <w:r w:rsidRPr="00FE7ADF">
        <w:rPr>
          <w:b/>
          <w:bCs/>
          <w:color w:val="auto"/>
        </w:rPr>
        <w:t>References</w:t>
      </w:r>
    </w:p>
    <w:p w:rsidR="00F325D7" w:rsidRPr="00F325D7" w:rsidRDefault="00F325D7" w:rsidP="00F325D7">
      <w:pPr>
        <w:bidi w:val="0"/>
        <w:spacing w:line="240" w:lineRule="auto"/>
        <w:jc w:val="both"/>
        <w:rPr>
          <w:b/>
          <w:bCs/>
          <w:color w:val="auto"/>
        </w:rPr>
      </w:pPr>
      <w:r w:rsidRPr="00F325D7">
        <w:rPr>
          <w:color w:val="auto"/>
        </w:rPr>
        <w:t>1. Mohammadi G. An investigation of community response to urban traffic noise. Advanced Concurrent Engineering. 2009; 673–80. DOI: 10.1007/978-1-84882-762-2_64.</w:t>
      </w:r>
    </w:p>
    <w:p w:rsidR="00F325D7" w:rsidRPr="00F325D7" w:rsidRDefault="00F325D7" w:rsidP="00F325D7">
      <w:pPr>
        <w:bidi w:val="0"/>
        <w:spacing w:line="240" w:lineRule="auto"/>
        <w:jc w:val="both"/>
        <w:rPr>
          <w:b/>
          <w:bCs/>
          <w:color w:val="auto"/>
        </w:rPr>
      </w:pPr>
      <w:r w:rsidRPr="00F325D7">
        <w:rPr>
          <w:color w:val="auto"/>
        </w:rPr>
        <w:t>2. World Health Organization Regional Office for Europe. Report on the Second Meeting on Night Noise Guidelines. Bonn, Germany: WHO European Centre for Environment and Health; 2004.</w:t>
      </w:r>
    </w:p>
    <w:p w:rsidR="00F325D7" w:rsidRPr="00F325D7" w:rsidRDefault="00F325D7" w:rsidP="00F325D7">
      <w:pPr>
        <w:bidi w:val="0"/>
        <w:spacing w:line="240" w:lineRule="auto"/>
        <w:jc w:val="both"/>
        <w:rPr>
          <w:b/>
          <w:bCs/>
          <w:color w:val="auto"/>
        </w:rPr>
      </w:pPr>
      <w:r w:rsidRPr="00F325D7">
        <w:rPr>
          <w:color w:val="auto"/>
        </w:rPr>
        <w:t xml:space="preserve">3. Zare M, Abedi K, Rahiminajad M, Halvani GH, Barkhordari A, Valipour A. [Influence of aircraft noise on hypertension in airport staff (Persian)]. Journal of </w:t>
      </w:r>
      <w:r w:rsidR="00C307C4" w:rsidRPr="00F325D7">
        <w:rPr>
          <w:color w:val="auto"/>
        </w:rPr>
        <w:t>Babul</w:t>
      </w:r>
      <w:r w:rsidRPr="00F325D7">
        <w:rPr>
          <w:color w:val="auto"/>
        </w:rPr>
        <w:t xml:space="preserve"> University of Medical Sciences. 2009; 10(6):54-61.</w:t>
      </w:r>
    </w:p>
    <w:p w:rsidR="00F325D7" w:rsidRPr="00F325D7" w:rsidRDefault="00F325D7" w:rsidP="00F325D7">
      <w:pPr>
        <w:bidi w:val="0"/>
        <w:spacing w:line="240" w:lineRule="auto"/>
        <w:jc w:val="both"/>
        <w:rPr>
          <w:b/>
          <w:bCs/>
          <w:color w:val="auto"/>
        </w:rPr>
      </w:pPr>
      <w:r w:rsidRPr="00F325D7">
        <w:rPr>
          <w:color w:val="auto"/>
        </w:rPr>
        <w:t xml:space="preserve">4. West JE, Busch-Vishniac I. What do we know about noise in </w:t>
      </w:r>
      <w:r w:rsidR="00C307C4" w:rsidRPr="00F325D7">
        <w:rPr>
          <w:color w:val="auto"/>
        </w:rPr>
        <w:t>hospitals?</w:t>
      </w:r>
      <w:r w:rsidRPr="00F325D7">
        <w:rPr>
          <w:color w:val="auto"/>
        </w:rPr>
        <w:t xml:space="preserve"> The Journal of the Acoustical Society of America.2005; 118(3):1949. DOI: 10.1121/1.4781264.</w:t>
      </w:r>
    </w:p>
    <w:p w:rsidR="00F325D7" w:rsidRPr="00F325D7" w:rsidRDefault="00F325D7" w:rsidP="00F325D7">
      <w:pPr>
        <w:bidi w:val="0"/>
        <w:spacing w:line="240" w:lineRule="auto"/>
        <w:jc w:val="both"/>
        <w:rPr>
          <w:b/>
          <w:bCs/>
          <w:color w:val="auto"/>
        </w:rPr>
      </w:pPr>
      <w:r w:rsidRPr="00F325D7">
        <w:rPr>
          <w:color w:val="auto"/>
        </w:rPr>
        <w:t>5. The United States Environmental Protection Agency. EPA identifies noise levels affecting health and</w:t>
      </w:r>
    </w:p>
    <w:p w:rsidR="00F325D7" w:rsidRPr="00F325D7" w:rsidRDefault="00F325D7" w:rsidP="00F325D7">
      <w:pPr>
        <w:bidi w:val="0"/>
        <w:spacing w:line="240" w:lineRule="auto"/>
        <w:jc w:val="both"/>
        <w:rPr>
          <w:b/>
          <w:bCs/>
          <w:color w:val="auto"/>
        </w:rPr>
      </w:pPr>
      <w:r w:rsidRPr="00F325D7">
        <w:rPr>
          <w:color w:val="auto"/>
        </w:rPr>
        <w:t xml:space="preserve"> welfare.http://www.epa.gov/history/topics/noise/01.htm.</w:t>
      </w:r>
    </w:p>
    <w:p w:rsidR="00F325D7" w:rsidRPr="00F325D7" w:rsidRDefault="00F325D7" w:rsidP="00F325D7">
      <w:pPr>
        <w:bidi w:val="0"/>
        <w:spacing w:line="240" w:lineRule="auto"/>
        <w:jc w:val="both"/>
        <w:rPr>
          <w:b/>
          <w:bCs/>
          <w:color w:val="auto"/>
        </w:rPr>
      </w:pPr>
      <w:r w:rsidRPr="00F325D7">
        <w:rPr>
          <w:color w:val="auto"/>
        </w:rPr>
        <w:t>5. National Institute for Occupational Safety and Health. Exposure to Stress: Occupational Hazards in Hospitals. Atlanta, GA: National Institute for Occupational Safety and Health; 2008. DHHS (NIOSH) Publication No. 2008-136.</w:t>
      </w:r>
    </w:p>
    <w:p w:rsidR="00F325D7" w:rsidRPr="00F325D7" w:rsidRDefault="00F325D7" w:rsidP="00F325D7">
      <w:pPr>
        <w:bidi w:val="0"/>
        <w:spacing w:line="240" w:lineRule="auto"/>
        <w:jc w:val="both"/>
        <w:rPr>
          <w:b/>
          <w:bCs/>
          <w:color w:val="auto"/>
        </w:rPr>
      </w:pPr>
      <w:r w:rsidRPr="00F325D7">
        <w:rPr>
          <w:color w:val="auto"/>
        </w:rPr>
        <w:t>6. Moshi AA, Philimoni KM, Mkoma SL. Noise pollution onwards in Iringa regional hospital, Tanzania. World Applied Sciences Journal. 2010; 11(5):599-603.</w:t>
      </w:r>
    </w:p>
    <w:p w:rsidR="00F325D7" w:rsidRPr="00F325D7" w:rsidRDefault="00F325D7" w:rsidP="00F325D7">
      <w:pPr>
        <w:bidi w:val="0"/>
        <w:spacing w:line="240" w:lineRule="auto"/>
        <w:jc w:val="both"/>
        <w:rPr>
          <w:b/>
          <w:bCs/>
          <w:color w:val="auto"/>
        </w:rPr>
      </w:pPr>
      <w:r w:rsidRPr="00F325D7">
        <w:rPr>
          <w:color w:val="auto"/>
        </w:rPr>
        <w:t>7. Anna A, Moshi, Kulwa M, Philimoni and Stelyus L, Mkoma. Noise Pollution on Wards in Iringa Regional Hospital, Tanzania, World Applied Sciences Journal 11 (5): 599-603, 2010, ISSN 1818-4952.</w:t>
      </w:r>
    </w:p>
    <w:p w:rsidR="00F325D7" w:rsidRPr="00F325D7" w:rsidRDefault="00F325D7" w:rsidP="00F325D7">
      <w:pPr>
        <w:bidi w:val="0"/>
        <w:spacing w:line="240" w:lineRule="auto"/>
        <w:jc w:val="both"/>
        <w:rPr>
          <w:b/>
          <w:bCs/>
          <w:color w:val="auto"/>
        </w:rPr>
      </w:pPr>
      <w:r w:rsidRPr="00F325D7">
        <w:rPr>
          <w:color w:val="auto"/>
        </w:rPr>
        <w:t>8. Abbasi S, Talakoob R, Soltani F, Yousefi H. Evaluating the Noise Level and Sources in Isfahan University Hospital's Intensive Care Units. Journal of Isfahan Medical School. 2011</w:t>
      </w:r>
      <w:r w:rsidR="00C307C4" w:rsidRPr="00F325D7">
        <w:rPr>
          <w:color w:val="auto"/>
        </w:rPr>
        <w:t>; 28</w:t>
      </w:r>
      <w:r w:rsidRPr="00F325D7">
        <w:rPr>
          <w:color w:val="auto"/>
        </w:rPr>
        <w:t>(118):1267-74.</w:t>
      </w:r>
    </w:p>
    <w:p w:rsidR="00F325D7" w:rsidRPr="00F325D7" w:rsidRDefault="00F325D7" w:rsidP="00F325D7">
      <w:pPr>
        <w:bidi w:val="0"/>
        <w:spacing w:line="240" w:lineRule="auto"/>
        <w:jc w:val="both"/>
        <w:rPr>
          <w:b/>
          <w:bCs/>
          <w:color w:val="auto"/>
        </w:rPr>
      </w:pPr>
      <w:r w:rsidRPr="00F325D7">
        <w:rPr>
          <w:color w:val="auto"/>
        </w:rPr>
        <w:t>9. Rabiyan M, Gharib M, Noise pollution in the operating rooms and intensive care units, Journal of Medicine and purification, Winter 1382. No. 51. [Persian]</w:t>
      </w:r>
    </w:p>
    <w:p w:rsidR="00F325D7" w:rsidRPr="00F325D7" w:rsidRDefault="00F325D7" w:rsidP="00F325D7">
      <w:pPr>
        <w:bidi w:val="0"/>
        <w:spacing w:line="240" w:lineRule="auto"/>
        <w:jc w:val="both"/>
        <w:rPr>
          <w:b/>
          <w:bCs/>
          <w:color w:val="auto"/>
        </w:rPr>
      </w:pPr>
      <w:r w:rsidRPr="00F325D7">
        <w:rPr>
          <w:color w:val="auto"/>
        </w:rPr>
        <w:lastRenderedPageBreak/>
        <w:t>10. Sazgharnia A, Behrani Tosi MH, Moradi H, Noise and the sound of traffic on the main street full of traffic during the summer of Mashhad, Medical Physics Department, Faculty of Medicine, Mashhad University of Medical Sciences, Iran Medical Physics Journal, Fall 84. 2 (8):21-30 [Persian].</w:t>
      </w:r>
    </w:p>
    <w:p w:rsidR="00F325D7" w:rsidRPr="00F325D7" w:rsidRDefault="00F325D7" w:rsidP="00F325D7">
      <w:pPr>
        <w:bidi w:val="0"/>
        <w:spacing w:line="240" w:lineRule="auto"/>
        <w:jc w:val="both"/>
        <w:rPr>
          <w:b/>
          <w:bCs/>
          <w:color w:val="auto"/>
        </w:rPr>
      </w:pPr>
      <w:r w:rsidRPr="00F325D7">
        <w:rPr>
          <w:color w:val="auto"/>
        </w:rPr>
        <w:t>11. Kayvani N. National Environmental Protection Organization. Environmental Criteria and Standards. 1 st ed. Tehran: Dayereh Sabz Publication; 2004. p. 13-4.</w:t>
      </w:r>
    </w:p>
    <w:p w:rsidR="00F325D7" w:rsidRPr="00F325D7" w:rsidRDefault="00F325D7" w:rsidP="00F325D7">
      <w:pPr>
        <w:bidi w:val="0"/>
        <w:spacing w:line="240" w:lineRule="auto"/>
        <w:jc w:val="both"/>
        <w:rPr>
          <w:b/>
          <w:bCs/>
          <w:color w:val="auto"/>
        </w:rPr>
      </w:pPr>
      <w:r w:rsidRPr="00F325D7">
        <w:rPr>
          <w:color w:val="auto"/>
        </w:rPr>
        <w:t xml:space="preserve">12. Hashemi Z, Parvari R A, </w:t>
      </w:r>
      <w:r w:rsidR="00C307C4" w:rsidRPr="00F325D7">
        <w:rPr>
          <w:color w:val="auto"/>
        </w:rPr>
        <w:t>and Mirzaeian</w:t>
      </w:r>
      <w:r w:rsidRPr="00F325D7">
        <w:rPr>
          <w:color w:val="auto"/>
        </w:rPr>
        <w:t xml:space="preserve"> R. Identification the major sources of noise and noise control techniques in hospitals of Behbahan. IOH. 2018; 15 (2):31-41.</w:t>
      </w:r>
    </w:p>
    <w:p w:rsidR="00F325D7" w:rsidRPr="00F325D7" w:rsidRDefault="00F325D7" w:rsidP="00F325D7">
      <w:pPr>
        <w:bidi w:val="0"/>
        <w:spacing w:line="240" w:lineRule="auto"/>
        <w:jc w:val="both"/>
        <w:rPr>
          <w:b/>
          <w:bCs/>
          <w:color w:val="auto"/>
        </w:rPr>
      </w:pPr>
      <w:r w:rsidRPr="00F325D7">
        <w:rPr>
          <w:color w:val="auto"/>
        </w:rPr>
        <w:t>13. Azadi N A, Sadeghi S, Saghi M H. Evaluation of noise level at intensive care units in selected hospitals of Sanandaj. Tehran Univ Med J. 2015; 73 (5):384-390.</w:t>
      </w:r>
    </w:p>
    <w:p w:rsidR="00F325D7" w:rsidRPr="00F325D7" w:rsidRDefault="00F325D7" w:rsidP="00F325D7">
      <w:pPr>
        <w:bidi w:val="0"/>
        <w:spacing w:line="240" w:lineRule="auto"/>
        <w:jc w:val="both"/>
        <w:rPr>
          <w:b/>
          <w:bCs/>
          <w:color w:val="auto"/>
        </w:rPr>
      </w:pPr>
      <w:r w:rsidRPr="00F325D7">
        <w:rPr>
          <w:color w:val="auto"/>
        </w:rPr>
        <w:t>14. Poorbaba S, Sayadi M H, Moatar F. Study of Noise Pollution in the Outdoors, Emergency Departments and Intensive Care Units in Educational Hospitals in the 1st District of Tehran in 2017: A Descriptive Study. JRUMS. 2019; 17 (12):1107-1118.</w:t>
      </w:r>
    </w:p>
    <w:p w:rsidR="00F325D7" w:rsidRPr="00F325D7" w:rsidRDefault="00F325D7" w:rsidP="00F325D7">
      <w:pPr>
        <w:bidi w:val="0"/>
        <w:spacing w:line="240" w:lineRule="auto"/>
        <w:jc w:val="both"/>
        <w:rPr>
          <w:b/>
          <w:bCs/>
          <w:color w:val="auto"/>
        </w:rPr>
      </w:pPr>
      <w:r w:rsidRPr="00F325D7">
        <w:rPr>
          <w:color w:val="auto"/>
        </w:rPr>
        <w:t>15. Stefan W, Wegscheider K, Stallmann M, Keil T. Noise burden and the risk of myocardial infarction. Eur Heart J. 2006; 27(3):276–282.</w:t>
      </w:r>
    </w:p>
    <w:p w:rsidR="00F325D7" w:rsidRPr="00F325D7" w:rsidRDefault="00F325D7" w:rsidP="00F325D7">
      <w:pPr>
        <w:bidi w:val="0"/>
        <w:spacing w:line="240" w:lineRule="auto"/>
        <w:jc w:val="both"/>
        <w:rPr>
          <w:b/>
          <w:bCs/>
          <w:color w:val="auto"/>
        </w:rPr>
      </w:pPr>
      <w:r w:rsidRPr="00F325D7">
        <w:rPr>
          <w:color w:val="auto"/>
        </w:rPr>
        <w:t>16. Baqar M, Arslan M, Abbasi S.A, Ashraf U, Khalid A, Zahid H. 2017. Noise Pollution in the Hospital Environment of a Developing Country: A Case Study of Lahore (Pakistan). Arch Environ Occup Health DOI: 10.1080/19338244.2017. 1371106.</w:t>
      </w:r>
    </w:p>
    <w:p w:rsidR="00F325D7" w:rsidRPr="00F325D7" w:rsidRDefault="00F325D7" w:rsidP="00F325D7">
      <w:pPr>
        <w:bidi w:val="0"/>
        <w:spacing w:line="240" w:lineRule="auto"/>
        <w:jc w:val="both"/>
        <w:rPr>
          <w:b/>
          <w:bCs/>
          <w:color w:val="auto"/>
        </w:rPr>
      </w:pPr>
      <w:r w:rsidRPr="00F325D7">
        <w:rPr>
          <w:color w:val="auto"/>
        </w:rPr>
        <w:t>17. Mohammadi, M., Bahreini, M., Dobaradaran, S., Mirzaei, K., Shahamat, S. (2017). Measurement of Annoying Sounds in Different Wards of a Hospital Affiliated to Bushehr University of Medical Sciences, Bushehr, Iran. Journal of Sabzevar University of Medical Sciences, 23(6), 902-909. DOI: 10.21859/sums-2306902.</w:t>
      </w:r>
    </w:p>
    <w:p w:rsidR="00F325D7" w:rsidRPr="00F325D7" w:rsidRDefault="00F325D7" w:rsidP="00F325D7">
      <w:pPr>
        <w:bidi w:val="0"/>
        <w:spacing w:line="240" w:lineRule="auto"/>
        <w:jc w:val="both"/>
        <w:rPr>
          <w:b/>
          <w:bCs/>
          <w:color w:val="auto"/>
        </w:rPr>
      </w:pPr>
      <w:r w:rsidRPr="00F325D7">
        <w:rPr>
          <w:color w:val="auto"/>
        </w:rPr>
        <w:t>18. Porsadegh M, Rezaee M, Hashmi A. noise in hospitals of Imam Reza (AS) and vertical(aj).Journal of Mashhad Medical School, Spring 1380, 44 (71):8-18 [Persian].</w:t>
      </w:r>
    </w:p>
    <w:p w:rsidR="00F325D7" w:rsidRPr="00F325D7" w:rsidRDefault="00F325D7" w:rsidP="00F325D7">
      <w:pPr>
        <w:bidi w:val="0"/>
        <w:spacing w:line="240" w:lineRule="auto"/>
        <w:jc w:val="both"/>
        <w:rPr>
          <w:b/>
          <w:bCs/>
          <w:color w:val="auto"/>
        </w:rPr>
      </w:pPr>
      <w:r w:rsidRPr="00F325D7">
        <w:rPr>
          <w:color w:val="auto"/>
        </w:rPr>
        <w:t>19. Mofegh A, Jalilzade R, Delbari A, Dolati MR, measurements of noise levels in one of Tehran hospitals (Hospital Case Study Ghadir), Poster, Third Special Conference on the Environment, in 1388[Persian].</w:t>
      </w:r>
    </w:p>
    <w:p w:rsidR="00F325D7" w:rsidRPr="00F325D7" w:rsidRDefault="00F325D7" w:rsidP="00F325D7">
      <w:pPr>
        <w:bidi w:val="0"/>
        <w:spacing w:line="240" w:lineRule="auto"/>
        <w:jc w:val="both"/>
        <w:rPr>
          <w:b/>
          <w:bCs/>
          <w:color w:val="auto"/>
        </w:rPr>
      </w:pPr>
      <w:r w:rsidRPr="00F325D7">
        <w:rPr>
          <w:color w:val="auto"/>
        </w:rPr>
        <w:t>20. Nedabie S, Monazam R, Sakhavatjo MS, Moatar F, Noise Assessment in Ahvaz Oil and compared with the standard hospital environment, the Fifth International Conference on Environmental Engineering, 1390 [Persian].</w:t>
      </w:r>
    </w:p>
    <w:p w:rsidR="00F325D7" w:rsidRPr="00F325D7" w:rsidRDefault="00F325D7" w:rsidP="00F325D7">
      <w:pPr>
        <w:bidi w:val="0"/>
        <w:spacing w:line="240" w:lineRule="auto"/>
        <w:jc w:val="both"/>
        <w:rPr>
          <w:b/>
          <w:bCs/>
          <w:color w:val="auto"/>
        </w:rPr>
      </w:pPr>
      <w:r w:rsidRPr="00F325D7">
        <w:rPr>
          <w:color w:val="auto"/>
        </w:rPr>
        <w:t>21. Beyt Saeed N, Monazzam Esmaeilpour R, Sakhavatjo MS, Moattar F. Noise pollution assessment in Ahvaz oil industry hospital and compared it with the environment agency. Fifth Expert Conference on Environmental Engineering (IRAN) 2011. Available from: http://www.civilica.com/Paper-CEE05- CEE05_230.html. [Persian].</w:t>
      </w:r>
    </w:p>
    <w:p w:rsidR="00F325D7" w:rsidRPr="00F325D7" w:rsidRDefault="00F325D7" w:rsidP="00F325D7">
      <w:pPr>
        <w:bidi w:val="0"/>
        <w:spacing w:line="240" w:lineRule="auto"/>
        <w:jc w:val="both"/>
        <w:rPr>
          <w:b/>
          <w:bCs/>
          <w:color w:val="auto"/>
          <w:rtl/>
        </w:rPr>
      </w:pPr>
      <w:r w:rsidRPr="00F325D7">
        <w:rPr>
          <w:color w:val="auto"/>
        </w:rPr>
        <w:t>22. Hokmabadi R, Fallah H, Takhsha N. Evaluation of Noise Pollution in intensive care units and emergency in hospitals of North Khorasan University of Medical Sciences. Journal of North Khorasan University of Medical Sciences. 2013; 5(2):331-337. [Persian].</w:t>
      </w:r>
    </w:p>
    <w:p w:rsidR="00F325D7" w:rsidRPr="00F325D7" w:rsidRDefault="00F325D7" w:rsidP="00F325D7">
      <w:pPr>
        <w:bidi w:val="0"/>
        <w:spacing w:line="240" w:lineRule="auto"/>
        <w:jc w:val="both"/>
        <w:rPr>
          <w:b/>
          <w:bCs/>
          <w:color w:val="auto"/>
        </w:rPr>
      </w:pPr>
      <w:r w:rsidRPr="00F325D7">
        <w:rPr>
          <w:color w:val="auto"/>
        </w:rPr>
        <w:t>23. Jafari N, Bina B, Mortezayi S, Ebrahimi A, Abdolahnejad A. Assessment of Environmental Noise Pollution in Feiz Hospital Wards and its Adjacent Area. J Health System Res. 2012; 8(3):377- 84. [Persian].</w:t>
      </w:r>
    </w:p>
    <w:p w:rsidR="005533B8" w:rsidRPr="00F325D7" w:rsidRDefault="00F325D7" w:rsidP="00F325D7">
      <w:pPr>
        <w:bidi w:val="0"/>
        <w:spacing w:line="240" w:lineRule="auto"/>
        <w:jc w:val="both"/>
        <w:rPr>
          <w:rFonts w:ascii="TimesNewRomanPSMT" w:hAnsi="TimesNewRomanPSMT"/>
          <w:b/>
          <w:bCs/>
          <w:color w:val="000000"/>
          <w:sz w:val="20"/>
          <w:szCs w:val="20"/>
        </w:rPr>
      </w:pPr>
      <w:r w:rsidRPr="00F325D7">
        <w:rPr>
          <w:color w:val="auto"/>
        </w:rPr>
        <w:t>24. Asgharnia H, Tirgar A, Amouei A, Fallah S, Khafri S, Mohammadi A, et al. Noise Pollution in the Teaching Hospitals of Babol (Iran) 2012. J Babol Univ Med Sci. 2014; 16(4):64-9. [Persian].</w:t>
      </w:r>
    </w:p>
    <w:sectPr w:rsidR="005533B8" w:rsidRPr="00F325D7" w:rsidSect="007441A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75"/>
    <w:rsid w:val="001B315C"/>
    <w:rsid w:val="001D5845"/>
    <w:rsid w:val="001F7BF6"/>
    <w:rsid w:val="00366D48"/>
    <w:rsid w:val="003F0C02"/>
    <w:rsid w:val="005533B8"/>
    <w:rsid w:val="00565B8A"/>
    <w:rsid w:val="005C41DD"/>
    <w:rsid w:val="006112E7"/>
    <w:rsid w:val="00655AB6"/>
    <w:rsid w:val="007441A7"/>
    <w:rsid w:val="0074796E"/>
    <w:rsid w:val="007E134C"/>
    <w:rsid w:val="0083298D"/>
    <w:rsid w:val="008F197D"/>
    <w:rsid w:val="00902385"/>
    <w:rsid w:val="009B5842"/>
    <w:rsid w:val="00A73ABB"/>
    <w:rsid w:val="00B832A8"/>
    <w:rsid w:val="00BD5B09"/>
    <w:rsid w:val="00C14C61"/>
    <w:rsid w:val="00C15DD7"/>
    <w:rsid w:val="00C15F77"/>
    <w:rsid w:val="00C307C4"/>
    <w:rsid w:val="00C636BB"/>
    <w:rsid w:val="00CA524B"/>
    <w:rsid w:val="00CD6BDB"/>
    <w:rsid w:val="00D75E55"/>
    <w:rsid w:val="00DA5EF0"/>
    <w:rsid w:val="00E00B73"/>
    <w:rsid w:val="00E24B75"/>
    <w:rsid w:val="00F325D7"/>
    <w:rsid w:val="00FD2D35"/>
    <w:rsid w:val="00FE7A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5C9E-5C04-4C97-AEE8-7C335D48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B Nazanin"/>
        <w:color w:val="5B9BD5" w:themeColor="accent1"/>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7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sefryek01</dc:creator>
  <cp:keywords/>
  <dc:description/>
  <cp:lastModifiedBy>sefryek01</cp:lastModifiedBy>
  <cp:revision>2</cp:revision>
  <dcterms:created xsi:type="dcterms:W3CDTF">2020-10-17T10:45:00Z</dcterms:created>
  <dcterms:modified xsi:type="dcterms:W3CDTF">2020-10-17T10:45:00Z</dcterms:modified>
</cp:coreProperties>
</file>