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6F4" w:rsidRPr="008566F4" w:rsidRDefault="008566F4" w:rsidP="008566F4">
      <w:pPr>
        <w:jc w:val="center"/>
        <w:rPr>
          <w:rFonts w:ascii="Times New Roman" w:hAnsi="Times New Roman" w:cs="Times New Roman"/>
          <w:b/>
          <w:bCs/>
        </w:rPr>
      </w:pPr>
      <w:r w:rsidRPr="008566F4">
        <w:rPr>
          <w:rFonts w:ascii="Times New Roman" w:hAnsi="Times New Roman" w:cs="Times New Roman"/>
          <w:b/>
          <w:bCs/>
        </w:rPr>
        <w:t>The Effects of Inflation Targeting on Exchange Rate Pass-Through to Domestic Prices: A Case Study of South Africa</w:t>
      </w:r>
    </w:p>
    <w:p w:rsidR="00ED7EFF" w:rsidRPr="00C2344B" w:rsidRDefault="00ED7EFF" w:rsidP="00C2344B">
      <w:pPr>
        <w:jc w:val="center"/>
        <w:rPr>
          <w:rFonts w:ascii="Times New Roman" w:hAnsi="Times New Roman" w:cs="Times New Roman"/>
          <w:sz w:val="22"/>
          <w:szCs w:val="22"/>
        </w:rPr>
      </w:pPr>
    </w:p>
    <w:p w:rsidR="00ED7EFF" w:rsidRPr="00C2344B" w:rsidRDefault="006462BE" w:rsidP="00C2344B">
      <w:pPr>
        <w:pStyle w:val="Heading2"/>
        <w:spacing w:before="0" w:beforeAutospacing="0" w:after="0" w:afterAutospacing="0"/>
        <w:rPr>
          <w:sz w:val="24"/>
          <w:szCs w:val="24"/>
        </w:rPr>
      </w:pPr>
      <w:bookmarkStart w:id="0" w:name="_Toc449580279"/>
      <w:r w:rsidRPr="00C2344B">
        <w:rPr>
          <w:sz w:val="24"/>
          <w:szCs w:val="24"/>
        </w:rPr>
        <w:t>I</w:t>
      </w:r>
      <w:r w:rsidRPr="00C2344B">
        <w:rPr>
          <w:sz w:val="24"/>
          <w:szCs w:val="24"/>
        </w:rPr>
        <w:tab/>
      </w:r>
      <w:r w:rsidR="00ED7EFF" w:rsidRPr="00C2344B">
        <w:rPr>
          <w:sz w:val="24"/>
          <w:szCs w:val="24"/>
        </w:rPr>
        <w:t>Introduction</w:t>
      </w:r>
      <w:bookmarkEnd w:id="0"/>
    </w:p>
    <w:p w:rsidR="00ED7EFF" w:rsidRPr="00C2344B" w:rsidRDefault="00ED7EFF" w:rsidP="00C2344B">
      <w:pPr>
        <w:jc w:val="both"/>
        <w:rPr>
          <w:rFonts w:ascii="Times New Roman" w:hAnsi="Times New Roman" w:cs="Times New Roman"/>
          <w:sz w:val="22"/>
          <w:szCs w:val="22"/>
        </w:rPr>
      </w:pPr>
    </w:p>
    <w:p w:rsidR="00ED7EFF" w:rsidRPr="00675983" w:rsidRDefault="00ED7EFF" w:rsidP="00C2344B">
      <w:pPr>
        <w:pStyle w:val="BodyText"/>
      </w:pPr>
      <w:r w:rsidRPr="00675983">
        <w:rPr>
          <w:rStyle w:val="BodyTextChar"/>
        </w:rPr>
        <w:t>This paper examines the effects of inflation targeting on exchange rate pass-through in South Africa.</w:t>
      </w:r>
      <w:r w:rsidRPr="00675983">
        <w:t xml:space="preserve"> After the currency crashes of the late 1990s, a growing number of emerging economies moved away from exchange rate rigidity to</w:t>
      </w:r>
      <w:r w:rsidR="009E77DE" w:rsidRPr="00675983">
        <w:t>wards</w:t>
      </w:r>
      <w:r w:rsidRPr="00675983">
        <w:t xml:space="preserve"> a combination of flexible exchange rates and inflation targeting (IT). Inflation targeting is increasingly seen as a crucial monetary policy by t</w:t>
      </w:r>
      <w:bookmarkStart w:id="1" w:name="_GoBack"/>
      <w:bookmarkEnd w:id="1"/>
      <w:r w:rsidRPr="00675983">
        <w:t>hese economies in their quest for economic growth. Since exchange rate is a major determinant of inflation, the choice of an appropriate exchange rate regime, and the broad thrust of exchange rate policy continue to be crucial in macroeconomic policy. The nature and timing of linkages among nominal exchange rate, prices and inflation to a large extent determine the effectiveness of the exchange rate policy. Although exchange</w:t>
      </w:r>
      <w:r w:rsidR="002912C6" w:rsidRPr="00675983">
        <w:t xml:space="preserve"> rate pass-through (ERPT)—the </w:t>
      </w:r>
      <w:r w:rsidRPr="00675983">
        <w:t>degree to which changes in exchange rates are transmitted to the domestic prices of both tradable and non-tr</w:t>
      </w:r>
      <w:r w:rsidR="002912C6" w:rsidRPr="00675983">
        <w:t xml:space="preserve">adable goods and services—has </w:t>
      </w:r>
      <w:r w:rsidRPr="00675983">
        <w:t>been the subject of several empirical studies, the focus has disproportionately been on indus</w:t>
      </w:r>
      <w:r w:rsidR="009E77DE" w:rsidRPr="00675983">
        <w:t>trialized countries and</w:t>
      </w:r>
      <w:r w:rsidR="00FA2828" w:rsidRPr="00675983">
        <w:t xml:space="preserve"> </w:t>
      </w:r>
      <w:r w:rsidRPr="00675983">
        <w:t xml:space="preserve">studies that have examined the effects of IT on ERPT in developing countries are relatively few. </w:t>
      </w:r>
    </w:p>
    <w:p w:rsidR="00C2344B" w:rsidRPr="00675983" w:rsidRDefault="00C2344B" w:rsidP="00C2344B">
      <w:pPr>
        <w:pStyle w:val="BodyText"/>
      </w:pPr>
    </w:p>
    <w:p w:rsidR="00ED7EFF" w:rsidRPr="00675983" w:rsidRDefault="00ED7EFF" w:rsidP="00C2344B">
      <w:pPr>
        <w:jc w:val="both"/>
        <w:textAlignment w:val="top"/>
        <w:rPr>
          <w:rFonts w:ascii="Times New Roman" w:hAnsi="Times New Roman" w:cs="Times New Roman"/>
        </w:rPr>
      </w:pPr>
      <w:r w:rsidRPr="00675983">
        <w:rPr>
          <w:rFonts w:ascii="Times New Roman" w:eastAsia="Rockwellcan-Light" w:hAnsi="Times New Roman" w:cs="Times New Roman"/>
          <w:lang w:bidi="he-IL"/>
        </w:rPr>
        <w:t>Exchange rate is one of the macroeconomic fundamentals that significantly affect consumer price inflation. This effect o</w:t>
      </w:r>
      <w:r w:rsidR="002912C6" w:rsidRPr="00675983">
        <w:rPr>
          <w:rFonts w:ascii="Times New Roman" w:eastAsia="Rockwellcan-Light" w:hAnsi="Times New Roman" w:cs="Times New Roman"/>
          <w:lang w:bidi="he-IL"/>
        </w:rPr>
        <w:t xml:space="preserve">ccurs via two channels—direct </w:t>
      </w:r>
      <w:r w:rsidRPr="00675983">
        <w:rPr>
          <w:rFonts w:ascii="Times New Roman" w:eastAsia="Rockwellcan-Light" w:hAnsi="Times New Roman" w:cs="Times New Roman"/>
          <w:lang w:bidi="he-IL"/>
        </w:rPr>
        <w:t xml:space="preserve">and indirect. Directly, </w:t>
      </w:r>
      <w:r w:rsidRPr="00675983">
        <w:rPr>
          <w:rFonts w:ascii="Times New Roman" w:hAnsi="Times New Roman" w:cs="Times New Roman"/>
        </w:rPr>
        <w:t>the exchange rate affects, with a relatively small lag, prices of imported goods, i.e. goods intended directly for the consumer market as well as raw materials and semi-manufactures intended for production of consumer goods of domestic origin. The exchange rate affects not only price</w:t>
      </w:r>
      <w:r w:rsidR="00AC1A24" w:rsidRPr="00675983">
        <w:rPr>
          <w:rFonts w:ascii="Times New Roman" w:hAnsi="Times New Roman" w:cs="Times New Roman"/>
        </w:rPr>
        <w:t>s of imported goods, but also—</w:t>
      </w:r>
      <w:r w:rsidRPr="00675983">
        <w:rPr>
          <w:rFonts w:ascii="Times New Roman" w:hAnsi="Times New Roman" w:cs="Times New Roman"/>
        </w:rPr>
        <w:t>indirectl</w:t>
      </w:r>
      <w:r w:rsidR="002912C6" w:rsidRPr="00675983">
        <w:rPr>
          <w:rFonts w:ascii="Times New Roman" w:hAnsi="Times New Roman" w:cs="Times New Roman"/>
        </w:rPr>
        <w:t xml:space="preserve">y via import arbitrage—prices </w:t>
      </w:r>
      <w:r w:rsidRPr="00675983">
        <w:rPr>
          <w:rFonts w:ascii="Times New Roman" w:hAnsi="Times New Roman" w:cs="Times New Roman"/>
        </w:rPr>
        <w:t>of domestic goods which are under competitive pressure from imported goods.</w:t>
      </w:r>
      <w:r w:rsidRPr="00675983">
        <w:rPr>
          <w:rFonts w:ascii="Times New Roman" w:eastAsia="Rockwellcan-Light" w:hAnsi="Times New Roman" w:cs="Times New Roman"/>
          <w:lang w:bidi="he-IL"/>
        </w:rPr>
        <w:t xml:space="preserve"> With the indirect channel, </w:t>
      </w:r>
      <w:r w:rsidRPr="00675983">
        <w:rPr>
          <w:rFonts w:ascii="Times New Roman" w:hAnsi="Times New Roman" w:cs="Times New Roman"/>
        </w:rPr>
        <w:t xml:space="preserve">the change in the exchange rate, all other things being equal, affects the change in the real exchange rate. This, in turn, affects the economy via aggregate demand and a changed output gap. In IT countries, the monetary authority does not directly regulate the exchange rate. However, since changes in the exchange rate also affect inflation, the monetary authority conducts detailed analyses of the exchange rate, and each macroeconomic forecast also contains the internally consistent outlook for the exchange rate. On the one hand, the exchange rate forecast affects future inflation and thus also monetary policy, which is aimed at keeping inflation near the inflation target. On the other hand, the exchange rate is in turn affected by monetary policy via the difference between domestic and foreign interest rates. </w:t>
      </w:r>
    </w:p>
    <w:p w:rsidR="00EF1192" w:rsidRPr="00675983" w:rsidRDefault="00EF1192" w:rsidP="00C2344B">
      <w:pPr>
        <w:jc w:val="both"/>
        <w:textAlignment w:val="top"/>
        <w:rPr>
          <w:rFonts w:ascii="Times New Roman" w:hAnsi="Times New Roman" w:cs="Times New Roman"/>
        </w:rPr>
      </w:pPr>
    </w:p>
    <w:p w:rsidR="00ED7EFF" w:rsidRPr="00675983" w:rsidRDefault="00ED7EFF" w:rsidP="00C2344B">
      <w:pPr>
        <w:pStyle w:val="BodyText"/>
      </w:pPr>
      <w:r w:rsidRPr="00675983">
        <w:t xml:space="preserve">The choice of the target varies across IT countries. While some have opted for ranges in specifying their inflation targets, others prefer a point target or a point target combined with a range. The trade-off in this regard is essentially between the simplicity of a point target and the degree of flexibility for absorbing shocks outside the control of the authorities which a </w:t>
      </w:r>
      <w:r w:rsidR="00E0432A" w:rsidRPr="00675983">
        <w:t xml:space="preserve">range </w:t>
      </w:r>
      <w:r w:rsidRPr="00675983">
        <w:t>target allows. The theoretical and empirical literature suggests that exchange rate fluctuations could significantly affect the level of inflation (</w:t>
      </w:r>
      <w:proofErr w:type="spellStart"/>
      <w:r w:rsidRPr="00675983">
        <w:t>Dornbusch</w:t>
      </w:r>
      <w:proofErr w:type="spellEnd"/>
      <w:r w:rsidRPr="00675983">
        <w:t xml:space="preserve">, 1987; Krugman, 1987; Menon, 1996; Devereux and </w:t>
      </w:r>
      <w:proofErr w:type="spellStart"/>
      <w:r w:rsidRPr="00675983">
        <w:t>Yetman</w:t>
      </w:r>
      <w:proofErr w:type="spellEnd"/>
      <w:r w:rsidRPr="00675983">
        <w:t xml:space="preserve">, 2003; </w:t>
      </w:r>
      <w:proofErr w:type="spellStart"/>
      <w:r w:rsidRPr="00675983">
        <w:t>Mwase</w:t>
      </w:r>
      <w:proofErr w:type="spellEnd"/>
      <w:r w:rsidRPr="00675983">
        <w:t xml:space="preserve">, 2006; Choi and Cook, 2008; </w:t>
      </w:r>
      <w:proofErr w:type="spellStart"/>
      <w:r w:rsidRPr="00675983">
        <w:t>Akofio-Sowah</w:t>
      </w:r>
      <w:proofErr w:type="spellEnd"/>
      <w:r w:rsidRPr="00675983">
        <w:t xml:space="preserve">, 2009; and </w:t>
      </w:r>
      <w:proofErr w:type="spellStart"/>
      <w:r w:rsidRPr="00675983">
        <w:t>Razafimahefa</w:t>
      </w:r>
      <w:proofErr w:type="spellEnd"/>
      <w:r w:rsidRPr="00675983">
        <w:t xml:space="preserve">, 2012) especially when a country adopts both </w:t>
      </w:r>
      <w:r w:rsidR="00AC1A24" w:rsidRPr="00675983">
        <w:t xml:space="preserve">a </w:t>
      </w:r>
      <w:r w:rsidRPr="00675983">
        <w:t xml:space="preserve">floating exchange rate and open trade policies. </w:t>
      </w:r>
      <w:r w:rsidR="009E77DE" w:rsidRPr="00675983">
        <w:t xml:space="preserve">An </w:t>
      </w:r>
      <w:r w:rsidR="009E77DE" w:rsidRPr="00675983">
        <w:lastRenderedPageBreak/>
        <w:t xml:space="preserve">additional advantage of </w:t>
      </w:r>
      <w:r w:rsidRPr="00675983">
        <w:t xml:space="preserve">IT is </w:t>
      </w:r>
      <w:r w:rsidR="009E77DE" w:rsidRPr="00675983">
        <w:t xml:space="preserve">its </w:t>
      </w:r>
      <w:r w:rsidRPr="00675983">
        <w:t>associat</w:t>
      </w:r>
      <w:r w:rsidR="009E77DE" w:rsidRPr="00675983">
        <w:t>ion</w:t>
      </w:r>
      <w:r w:rsidRPr="00675983">
        <w:t xml:space="preserve"> with an improvement in overall economic performance also</w:t>
      </w:r>
      <w:r w:rsidR="00AC1A24" w:rsidRPr="00675983">
        <w:t>,</w:t>
      </w:r>
      <w:r w:rsidRPr="00675983">
        <w:t xml:space="preserve"> Bernanke and Mishkin (1997), and Mis</w:t>
      </w:r>
      <w:r w:rsidR="00C2344B" w:rsidRPr="00675983">
        <w:t>hkin and Schmidt-Hebbel (2007).</w:t>
      </w:r>
    </w:p>
    <w:p w:rsidR="00C2344B" w:rsidRPr="00675983" w:rsidRDefault="00C2344B" w:rsidP="00C2344B">
      <w:pPr>
        <w:pStyle w:val="BodyText"/>
      </w:pPr>
    </w:p>
    <w:p w:rsidR="00ED7EFF" w:rsidRPr="00675983" w:rsidRDefault="00ED7EFF" w:rsidP="00C2344B">
      <w:pPr>
        <w:pStyle w:val="BodyText"/>
      </w:pPr>
      <w:r w:rsidRPr="00675983">
        <w:t>Only two African countries have formally adop</w:t>
      </w:r>
      <w:r w:rsidR="002912C6" w:rsidRPr="00675983">
        <w:t xml:space="preserve">ted </w:t>
      </w:r>
      <w:r w:rsidR="009E77DE" w:rsidRPr="00675983">
        <w:t>IT</w:t>
      </w:r>
      <w:r w:rsidR="002912C6" w:rsidRPr="00675983">
        <w:t xml:space="preserve">—South </w:t>
      </w:r>
      <w:r w:rsidRPr="00675983">
        <w:t xml:space="preserve">Africa in 2000, and Ghana in 2007.  </w:t>
      </w:r>
      <w:r w:rsidR="009E77DE" w:rsidRPr="00675983">
        <w:t xml:space="preserve">For a small open economy like South Africa, exchange rate movements are more significant than in advanced industrialized countries as they are likely to have a proportionally greater effect on prices, price competitiveness, resource allocation and output. </w:t>
      </w:r>
      <w:r w:rsidRPr="00675983">
        <w:t>Before IT, the South African Reserve Bank (SARB) had adopted exchange rate targeting, discretionar</w:t>
      </w:r>
      <w:r w:rsidR="002912C6" w:rsidRPr="00675983">
        <w:t>y monetary policy, and monetary-</w:t>
      </w:r>
      <w:r w:rsidRPr="00675983">
        <w:t>aggregate targeting at different times between 1960 and 1998. The experience of South Africa can offer valuable lessons to other African countries and small open economies in evaluating the potential costs versus benefits of IT as they consider the inclusion of more liberal trade policies in their economi</w:t>
      </w:r>
      <w:r w:rsidR="00C2344B" w:rsidRPr="00675983">
        <w:t>c growth and development plans.</w:t>
      </w:r>
    </w:p>
    <w:p w:rsidR="00C2344B" w:rsidRPr="00675983" w:rsidRDefault="00C2344B" w:rsidP="00C2344B">
      <w:pPr>
        <w:pStyle w:val="BodyText"/>
      </w:pPr>
    </w:p>
    <w:p w:rsidR="00ED7EFF" w:rsidRDefault="00ED7EFF" w:rsidP="00C2344B">
      <w:pPr>
        <w:pStyle w:val="BodyText"/>
        <w:rPr>
          <w:rStyle w:val="BodyTextChar"/>
          <w:sz w:val="22"/>
          <w:szCs w:val="22"/>
        </w:rPr>
      </w:pPr>
      <w:r w:rsidRPr="00675983">
        <w:rPr>
          <w:spacing w:val="-2"/>
        </w:rPr>
        <w:t>Following</w:t>
      </w:r>
      <w:r w:rsidRPr="00675983">
        <w:rPr>
          <w:rStyle w:val="BodyTextChar"/>
        </w:rPr>
        <w:t xml:space="preserve"> this introduction, the</w:t>
      </w:r>
      <w:r w:rsidR="00AC1A24" w:rsidRPr="00675983">
        <w:rPr>
          <w:rStyle w:val="BodyTextChar"/>
        </w:rPr>
        <w:t xml:space="preserve"> paper has five other sections.</w:t>
      </w:r>
      <w:r w:rsidRPr="00675983">
        <w:rPr>
          <w:rStyle w:val="BodyTextChar"/>
        </w:rPr>
        <w:t xml:space="preserve"> Section two is an overview of South Africa’s experience with inflation targeting, section three discusses the theoretical background and reviews the existing literature on </w:t>
      </w:r>
      <w:r w:rsidR="00B05B71" w:rsidRPr="00675983">
        <w:rPr>
          <w:rStyle w:val="BodyTextChar"/>
        </w:rPr>
        <w:t>IT</w:t>
      </w:r>
      <w:r w:rsidRPr="00675983">
        <w:rPr>
          <w:rStyle w:val="BodyTextChar"/>
        </w:rPr>
        <w:t xml:space="preserve"> and ERPT, section four contains the model and research methodology, section five explains the results and the conclusion is presented in section six.</w:t>
      </w:r>
    </w:p>
    <w:p w:rsidR="00C2344B" w:rsidRPr="00C2344B" w:rsidRDefault="00C2344B" w:rsidP="00C2344B">
      <w:pPr>
        <w:pStyle w:val="BodyText"/>
        <w:rPr>
          <w:sz w:val="22"/>
          <w:szCs w:val="22"/>
        </w:rPr>
      </w:pPr>
    </w:p>
    <w:p w:rsidR="00ED7EFF" w:rsidRPr="006316D9" w:rsidRDefault="006462BE" w:rsidP="00C2344B">
      <w:pPr>
        <w:pStyle w:val="BodyText"/>
        <w:rPr>
          <w:b/>
        </w:rPr>
      </w:pPr>
      <w:r w:rsidRPr="006316D9">
        <w:rPr>
          <w:b/>
        </w:rPr>
        <w:t>II</w:t>
      </w:r>
      <w:r w:rsidRPr="006316D9">
        <w:rPr>
          <w:b/>
        </w:rPr>
        <w:tab/>
      </w:r>
      <w:r w:rsidR="00ED7EFF" w:rsidRPr="006316D9">
        <w:rPr>
          <w:b/>
        </w:rPr>
        <w:t>Exchange Rate Pass-Through and Inflation Targeting</w:t>
      </w:r>
    </w:p>
    <w:p w:rsidR="00ED7EFF" w:rsidRPr="00C2344B" w:rsidRDefault="00ED7EFF" w:rsidP="00C2344B">
      <w:pPr>
        <w:pStyle w:val="BodyText"/>
        <w:outlineLvl w:val="0"/>
        <w:rPr>
          <w:b/>
          <w:sz w:val="22"/>
          <w:szCs w:val="22"/>
        </w:rPr>
      </w:pPr>
    </w:p>
    <w:p w:rsidR="00ED7EFF" w:rsidRPr="00675983" w:rsidRDefault="00ED7EFF" w:rsidP="00C2344B">
      <w:pPr>
        <w:autoSpaceDE w:val="0"/>
        <w:autoSpaceDN w:val="0"/>
        <w:adjustRightInd w:val="0"/>
        <w:jc w:val="both"/>
        <w:rPr>
          <w:rFonts w:ascii="Times New Roman" w:hAnsi="Times New Roman" w:cs="Times New Roman"/>
        </w:rPr>
      </w:pPr>
      <w:r w:rsidRPr="00675983">
        <w:rPr>
          <w:rFonts w:ascii="Times New Roman" w:hAnsi="Times New Roman" w:cs="Times New Roman"/>
        </w:rPr>
        <w:t>Inflation targeting as a formal monetary policy was pioneered in New Zealand in 1990 and has since been adopted by many countries around the world. It involves the declaration of an inflation target, usually a narrow range of inflation rates, by the central bank. The central bank then uses monetary tools, often a policy interest rate, to attempt to keep inflation within the target range. Formal IT adoption stresses increased accountability of the central bank, which must evaluate its performance in meeting the target and publicly disclose the reasons for any deviation.</w:t>
      </w:r>
    </w:p>
    <w:p w:rsidR="00ED7EFF" w:rsidRPr="00675983" w:rsidRDefault="00ED7EFF" w:rsidP="00C2344B">
      <w:pPr>
        <w:autoSpaceDE w:val="0"/>
        <w:autoSpaceDN w:val="0"/>
        <w:adjustRightInd w:val="0"/>
        <w:jc w:val="both"/>
        <w:rPr>
          <w:rFonts w:ascii="Times New Roman" w:hAnsi="Times New Roman" w:cs="Times New Roman"/>
        </w:rPr>
      </w:pPr>
    </w:p>
    <w:p w:rsidR="00ED7EFF" w:rsidRPr="00675983" w:rsidRDefault="00ED7EFF" w:rsidP="00C2344B">
      <w:pPr>
        <w:autoSpaceDE w:val="0"/>
        <w:autoSpaceDN w:val="0"/>
        <w:adjustRightInd w:val="0"/>
        <w:jc w:val="both"/>
        <w:rPr>
          <w:rFonts w:ascii="Times New Roman" w:hAnsi="Times New Roman" w:cs="Times New Roman"/>
        </w:rPr>
      </w:pPr>
      <w:r w:rsidRPr="00675983">
        <w:rPr>
          <w:rFonts w:ascii="Times New Roman" w:hAnsi="Times New Roman" w:cs="Times New Roman"/>
        </w:rPr>
        <w:t>The effect of nominal exchange rate changes on real exchange rates is directly related to the issue of pass-through from exchange rates to domestic prices.  If the inflationary effects of exchange rate changes are large, the authorities will have to implement monetary and fiscal policies to offset the inflationary consequences. A number of studies have shown that ERPT has declined since the 1990s. Taylor (2000) has argued that this lower pass-through has been the result of a decline in the level and volatility of inflation. According</w:t>
      </w:r>
      <w:r w:rsidR="00446864" w:rsidRPr="00675983">
        <w:rPr>
          <w:rFonts w:ascii="Times New Roman" w:hAnsi="Times New Roman" w:cs="Times New Roman"/>
        </w:rPr>
        <w:t>ly</w:t>
      </w:r>
      <w:r w:rsidRPr="00675983">
        <w:rPr>
          <w:rFonts w:ascii="Times New Roman" w:hAnsi="Times New Roman" w:cs="Times New Roman"/>
        </w:rPr>
        <w:t>, one of the positive consequences of a strong commitment towards price stability is that ERPT declines significantly, a</w:t>
      </w:r>
      <w:r w:rsidR="00F73906" w:rsidRPr="00675983">
        <w:rPr>
          <w:rFonts w:ascii="Times New Roman" w:hAnsi="Times New Roman" w:cs="Times New Roman"/>
        </w:rPr>
        <w:t>nd a virtuous circle develops—</w:t>
      </w:r>
      <w:r w:rsidRPr="00675983">
        <w:rPr>
          <w:rFonts w:ascii="Times New Roman" w:hAnsi="Times New Roman" w:cs="Times New Roman"/>
        </w:rPr>
        <w:t xml:space="preserve">lower inflation reduces ERPT, and this in turn helps maintain low inflation. Gagnon and </w:t>
      </w:r>
      <w:proofErr w:type="spellStart"/>
      <w:r w:rsidRPr="00675983">
        <w:rPr>
          <w:rFonts w:ascii="Times New Roman" w:hAnsi="Times New Roman" w:cs="Times New Roman"/>
        </w:rPr>
        <w:t>Ihrig</w:t>
      </w:r>
      <w:proofErr w:type="spellEnd"/>
      <w:r w:rsidRPr="00675983">
        <w:rPr>
          <w:rFonts w:ascii="Times New Roman" w:hAnsi="Times New Roman" w:cs="Times New Roman"/>
        </w:rPr>
        <w:t xml:space="preserve"> (2004) used a sample of advanced countries to analyze the issue, and concluded that the decline in ERPT is related to changes in monetary policy procedures and </w:t>
      </w:r>
      <w:proofErr w:type="gramStart"/>
      <w:r w:rsidRPr="00675983">
        <w:rPr>
          <w:rFonts w:ascii="Times New Roman" w:hAnsi="Times New Roman" w:cs="Times New Roman"/>
        </w:rPr>
        <w:t>in particular, to</w:t>
      </w:r>
      <w:proofErr w:type="gramEnd"/>
      <w:r w:rsidRPr="00675983">
        <w:rPr>
          <w:rFonts w:ascii="Times New Roman" w:hAnsi="Times New Roman" w:cs="Times New Roman"/>
        </w:rPr>
        <w:t xml:space="preserve"> the adoption of IT. </w:t>
      </w:r>
    </w:p>
    <w:p w:rsidR="00ED7EFF" w:rsidRPr="00675983" w:rsidRDefault="00ED7EFF" w:rsidP="00C2344B">
      <w:pPr>
        <w:pStyle w:val="BodyText"/>
        <w:outlineLvl w:val="0"/>
        <w:rPr>
          <w:lang w:val="en-US"/>
        </w:rPr>
      </w:pPr>
    </w:p>
    <w:p w:rsidR="00ED7EFF" w:rsidRPr="00675983" w:rsidRDefault="00ED7EFF" w:rsidP="00C2344B">
      <w:pPr>
        <w:pStyle w:val="BodyText"/>
      </w:pPr>
      <w:r w:rsidRPr="00675983">
        <w:lastRenderedPageBreak/>
        <w:t xml:space="preserve">Some studies have suggested that ERPT considerably declines under IT because of the credibility gained by monetary authorities under </w:t>
      </w:r>
      <w:r w:rsidR="00446864" w:rsidRPr="00675983">
        <w:t>this policy</w:t>
      </w:r>
      <w:r w:rsidR="006E0D46" w:rsidRPr="00675983">
        <w:rPr>
          <w:rStyle w:val="FootnoteReference"/>
        </w:rPr>
        <w:footnoteReference w:customMarkFollows="1" w:id="1"/>
        <w:t>18</w:t>
      </w:r>
      <w:r w:rsidRPr="00675983">
        <w:t xml:space="preserve">, and concluded that IT is beneficial. These findings are still a subject of debate and counter debate. </w:t>
      </w:r>
      <w:proofErr w:type="spellStart"/>
      <w:r w:rsidR="00F64FCE" w:rsidRPr="00675983">
        <w:t>Campa</w:t>
      </w:r>
      <w:proofErr w:type="spellEnd"/>
      <w:r w:rsidR="00F64FCE" w:rsidRPr="00675983">
        <w:t xml:space="preserve"> and Goldberg (2005) also used data on domestic prices of imports for OECD countries to test Taylor’s proposition and their results suggest that monetary conditions are only mildly related to ERPT. </w:t>
      </w:r>
      <w:r w:rsidRPr="00675983">
        <w:t xml:space="preserve">Ball and Sheridan (2005:250) stated that “there is no evidence that inflation targeting improves performance as measured by the </w:t>
      </w:r>
      <w:r w:rsidRPr="00675983">
        <w:rPr>
          <w:lang w:val="en-US"/>
        </w:rPr>
        <w:t>behavior</w:t>
      </w:r>
      <w:r w:rsidRPr="00675983">
        <w:t xml:space="preserve"> of inflation, output, or interest rates.” They argue that the apparent success of IT countries is simply a reflection of a regression towards the mean; that is, countries that start with higher inflation are more likely to find that inflation will fall faster than countries that begin with an initially low rate of inflation. Since countries that adopted IT generally had higher initial inflation rates, their larger declines in inflation may simply reflect a tendency of all countries, both </w:t>
      </w:r>
      <w:proofErr w:type="spellStart"/>
      <w:r w:rsidRPr="00675983">
        <w:t>targeters</w:t>
      </w:r>
      <w:proofErr w:type="spellEnd"/>
      <w:r w:rsidRPr="00675983">
        <w:t xml:space="preserve"> </w:t>
      </w:r>
      <w:r w:rsidRPr="00675983">
        <w:rPr>
          <w:lang w:val="en-US"/>
        </w:rPr>
        <w:t>and</w:t>
      </w:r>
      <w:r w:rsidRPr="00675983">
        <w:t xml:space="preserve"> non-</w:t>
      </w:r>
      <w:proofErr w:type="spellStart"/>
      <w:r w:rsidRPr="00675983">
        <w:t>targeters</w:t>
      </w:r>
      <w:proofErr w:type="spellEnd"/>
      <w:r w:rsidRPr="00675983">
        <w:t>, to achieve better inflation and output performance in the 1990s when IT was adopted. Ball and Sher</w:t>
      </w:r>
      <w:r w:rsidR="000B709D" w:rsidRPr="00675983">
        <w:t>idan therefore conclude that, “t</w:t>
      </w:r>
      <w:r w:rsidRPr="00675983">
        <w:t>his finding suggests that better performance resulted from something other than targeting.”</w:t>
      </w:r>
    </w:p>
    <w:p w:rsidR="006462BE" w:rsidRDefault="006462BE" w:rsidP="00C2344B">
      <w:pPr>
        <w:pStyle w:val="BodyText"/>
        <w:rPr>
          <w:sz w:val="22"/>
          <w:szCs w:val="22"/>
        </w:rPr>
      </w:pPr>
    </w:p>
    <w:p w:rsidR="009971A9" w:rsidRPr="006316D9" w:rsidRDefault="009971A9" w:rsidP="009971A9">
      <w:pPr>
        <w:pStyle w:val="Heading2"/>
        <w:spacing w:before="0" w:beforeAutospacing="0" w:after="0" w:afterAutospacing="0"/>
        <w:rPr>
          <w:b w:val="0"/>
          <w:i/>
          <w:sz w:val="22"/>
          <w:szCs w:val="22"/>
        </w:rPr>
      </w:pPr>
      <w:bookmarkStart w:id="2" w:name="_Toc449580280"/>
      <w:r w:rsidRPr="006316D9">
        <w:rPr>
          <w:b w:val="0"/>
          <w:i/>
          <w:sz w:val="22"/>
          <w:szCs w:val="22"/>
        </w:rPr>
        <w:t>Inflation Targeting in South Africa</w:t>
      </w:r>
      <w:bookmarkEnd w:id="2"/>
    </w:p>
    <w:p w:rsidR="009971A9" w:rsidRPr="00C2344B" w:rsidRDefault="009971A9" w:rsidP="009971A9">
      <w:pPr>
        <w:jc w:val="both"/>
        <w:rPr>
          <w:rFonts w:ascii="Times New Roman" w:hAnsi="Times New Roman" w:cs="Times New Roman"/>
          <w:b/>
          <w:bCs/>
          <w:sz w:val="22"/>
          <w:szCs w:val="22"/>
        </w:rPr>
      </w:pPr>
    </w:p>
    <w:p w:rsidR="009971A9" w:rsidRPr="00675983" w:rsidRDefault="009971A9" w:rsidP="009971A9">
      <w:pPr>
        <w:jc w:val="both"/>
        <w:rPr>
          <w:rFonts w:ascii="Times New Roman" w:hAnsi="Times New Roman" w:cs="Times New Roman"/>
        </w:rPr>
      </w:pPr>
      <w:r w:rsidRPr="00675983">
        <w:rPr>
          <w:rFonts w:ascii="Times New Roman" w:hAnsi="Times New Roman" w:cs="Times New Roman"/>
        </w:rPr>
        <w:t>The democratic election of the new government in 1994 marked the end of the apartheid era and coincided with an important shift in South Africa’s development strategy, from export promotion with import controls to greater openness through trade liberalization. Also, exchange rate regimes in South Africa have evolved from fixed, to managed-floating and more recently to free-floating. These policies have left the country vulnerable to the effects of exchange rate volatility and movements in consumer prices. Changes in exchange rates are important in the determination of monetary policy because they could have major impacts on the price level or inflation. The SARB formally adopted IT on February 23</w:t>
      </w:r>
      <w:r w:rsidRPr="00675983">
        <w:rPr>
          <w:rFonts w:ascii="Times New Roman" w:hAnsi="Times New Roman" w:cs="Times New Roman"/>
          <w:vertAlign w:val="superscript"/>
        </w:rPr>
        <w:t>rd</w:t>
      </w:r>
      <w:r w:rsidRPr="00675983">
        <w:rPr>
          <w:rFonts w:ascii="Times New Roman" w:hAnsi="Times New Roman" w:cs="Times New Roman"/>
        </w:rPr>
        <w:t xml:space="preserve">, 2000. </w:t>
      </w:r>
      <w:r w:rsidRPr="00675983">
        <w:rPr>
          <w:rFonts w:ascii="Times New Roman" w:hAnsi="Times New Roman" w:cs="Times New Roman"/>
          <w:lang w:bidi="he-IL"/>
        </w:rPr>
        <w:t xml:space="preserve">This requires it to announce a numerical point or range target for the inflation rate and to have a strong and credible commitment to price stability, more transparent and clear communication with the public and the markets detailing the instruments that will be used to achieve and maintain the inflation target. </w:t>
      </w:r>
      <w:r w:rsidRPr="00675983">
        <w:rPr>
          <w:rFonts w:ascii="Times New Roman" w:hAnsi="Times New Roman" w:cs="Times New Roman"/>
        </w:rPr>
        <w:t>The inflation target is set by the government after consultation with the SARB. At the commencement of IT, the SARB announced a target range of 3 to 6 percent for the year-on-year increase in the headline CPIX (CPI for all urban areas)</w:t>
      </w:r>
      <w:r w:rsidRPr="00675983">
        <w:rPr>
          <w:rStyle w:val="FootnoteReference"/>
          <w:rFonts w:ascii="Times New Roman" w:hAnsi="Times New Roman" w:cs="Times New Roman"/>
        </w:rPr>
        <w:footnoteReference w:customMarkFollows="1" w:id="2"/>
        <w:t>15</w:t>
      </w:r>
      <w:r w:rsidRPr="00675983">
        <w:rPr>
          <w:rFonts w:ascii="Times New Roman" w:hAnsi="Times New Roman" w:cs="Times New Roman"/>
        </w:rPr>
        <w:t xml:space="preserve">.  The specification of the target has been reviewed on </w:t>
      </w:r>
      <w:proofErr w:type="gramStart"/>
      <w:r w:rsidRPr="00675983">
        <w:rPr>
          <w:rFonts w:ascii="Times New Roman" w:hAnsi="Times New Roman" w:cs="Times New Roman"/>
        </w:rPr>
        <w:t>a number of</w:t>
      </w:r>
      <w:proofErr w:type="gramEnd"/>
      <w:r w:rsidRPr="00675983">
        <w:rPr>
          <w:rFonts w:ascii="Times New Roman" w:hAnsi="Times New Roman" w:cs="Times New Roman"/>
        </w:rPr>
        <w:t xml:space="preserve"> occasions over the years. Initially, the target measure was the CPIX, which is defined as the consumer price index for metropolitan and other urban areas. This variant of the CPI was chosen because the overall CPI at the time was influenced directly by changes in the Bank's monetary policy. Following the revisions to the methodology used to compile the CPI, which resulted in a change in the </w:t>
      </w:r>
      <w:r w:rsidRPr="00675983">
        <w:rPr>
          <w:rFonts w:ascii="Times New Roman" w:hAnsi="Times New Roman" w:cs="Times New Roman"/>
        </w:rPr>
        <w:lastRenderedPageBreak/>
        <w:t xml:space="preserve">treatment of housing, mortgage interest costs no longer needed to be removed from the CPI when evaluating the effects of monetary policy.  </w:t>
      </w:r>
    </w:p>
    <w:p w:rsidR="009971A9" w:rsidRPr="00C2344B" w:rsidRDefault="009971A9" w:rsidP="009971A9">
      <w:pPr>
        <w:jc w:val="both"/>
        <w:rPr>
          <w:rFonts w:ascii="Times New Roman" w:hAnsi="Times New Roman" w:cs="Times New Roman"/>
          <w:sz w:val="22"/>
          <w:szCs w:val="22"/>
        </w:rPr>
      </w:pPr>
    </w:p>
    <w:p w:rsidR="009971A9" w:rsidRPr="00C2344B" w:rsidRDefault="009971A9" w:rsidP="009971A9">
      <w:pPr>
        <w:jc w:val="center"/>
        <w:rPr>
          <w:rFonts w:ascii="Times New Roman" w:hAnsi="Times New Roman" w:cs="Times New Roman"/>
          <w:b/>
          <w:sz w:val="22"/>
          <w:szCs w:val="22"/>
        </w:rPr>
      </w:pPr>
      <w:r w:rsidRPr="00C2344B">
        <w:rPr>
          <w:rFonts w:ascii="Times New Roman" w:hAnsi="Times New Roman" w:cs="Times New Roman"/>
          <w:noProof/>
          <w:sz w:val="22"/>
          <w:szCs w:val="22"/>
        </w:rPr>
        <w:drawing>
          <wp:inline distT="0" distB="0" distL="0" distR="0">
            <wp:extent cx="5873750" cy="3104969"/>
            <wp:effectExtent l="19050" t="0" r="12700" b="181"/>
            <wp:docPr id="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71A9" w:rsidRPr="00C2344B" w:rsidRDefault="009971A9" w:rsidP="009971A9">
      <w:pPr>
        <w:jc w:val="both"/>
        <w:rPr>
          <w:rFonts w:ascii="Times New Roman" w:hAnsi="Times New Roman" w:cs="Times New Roman"/>
          <w:sz w:val="22"/>
          <w:szCs w:val="22"/>
        </w:rPr>
      </w:pPr>
      <w:r w:rsidRPr="00C2344B">
        <w:rPr>
          <w:rFonts w:ascii="Times New Roman" w:hAnsi="Times New Roman" w:cs="Times New Roman"/>
          <w:sz w:val="22"/>
          <w:szCs w:val="22"/>
        </w:rPr>
        <w:t xml:space="preserve">Source: </w:t>
      </w:r>
      <w:r w:rsidR="009D4B13">
        <w:rPr>
          <w:rFonts w:ascii="Times New Roman" w:hAnsi="Times New Roman" w:cs="Times New Roman"/>
          <w:sz w:val="22"/>
          <w:szCs w:val="22"/>
        </w:rPr>
        <w:t>Author</w:t>
      </w:r>
    </w:p>
    <w:p w:rsidR="009971A9" w:rsidRPr="00C2344B" w:rsidRDefault="009971A9" w:rsidP="009971A9">
      <w:pPr>
        <w:pStyle w:val="BodyText"/>
        <w:rPr>
          <w:sz w:val="22"/>
          <w:szCs w:val="22"/>
        </w:rPr>
      </w:pPr>
    </w:p>
    <w:p w:rsidR="009971A9" w:rsidRPr="00675983" w:rsidRDefault="009971A9" w:rsidP="009971A9">
      <w:pPr>
        <w:pStyle w:val="BodyText"/>
      </w:pPr>
      <w:r w:rsidRPr="00675983">
        <w:t xml:space="preserve">Although the SARB </w:t>
      </w:r>
      <w:proofErr w:type="gramStart"/>
      <w:r w:rsidRPr="00675983">
        <w:t>has to</w:t>
      </w:r>
      <w:proofErr w:type="gramEnd"/>
      <w:r w:rsidRPr="00675983">
        <w:t xml:space="preserve"> a large extent fulfilled its IT mandate, it is a continuing challenge. In recent months, inflation in South Africa has again risen above the target upper bound of 6 percent due to a weak rand, falling oil prices, and high wage demands in the platinum industry. </w:t>
      </w:r>
      <w:r w:rsidRPr="00675983">
        <w:rPr>
          <w:bCs/>
        </w:rPr>
        <w:t>Consumer prices in South Africa went up 6.2 percent year-on-year in January of 2016, accelerating for the fourth straight month and reaching the highest since August of 2014. Figures came above market expectations, due to higher</w:t>
      </w:r>
      <w:r w:rsidRPr="00675983">
        <w:rPr>
          <w:bCs/>
          <w:color w:val="262626"/>
        </w:rPr>
        <w:t xml:space="preserve"> </w:t>
      </w:r>
      <w:r w:rsidRPr="00675983">
        <w:rPr>
          <w:bCs/>
        </w:rPr>
        <w:t>costs for electricity, food, transport and alcoholic beverages.</w:t>
      </w:r>
      <w:r w:rsidRPr="00675983">
        <w:t xml:space="preserve"> In January 2016, the inflation rate was 6.2 percent after staying within the target entirely in 2015.</w:t>
      </w:r>
    </w:p>
    <w:p w:rsidR="009971A9" w:rsidRPr="00C2344B" w:rsidRDefault="009971A9" w:rsidP="00C2344B">
      <w:pPr>
        <w:pStyle w:val="BodyText"/>
        <w:rPr>
          <w:sz w:val="22"/>
          <w:szCs w:val="22"/>
        </w:rPr>
      </w:pPr>
    </w:p>
    <w:p w:rsidR="00ED7EFF" w:rsidRPr="006316D9" w:rsidRDefault="009D4B13" w:rsidP="00C2344B">
      <w:pPr>
        <w:pStyle w:val="Heading2"/>
        <w:spacing w:before="0" w:beforeAutospacing="0" w:after="0" w:afterAutospacing="0"/>
        <w:rPr>
          <w:sz w:val="24"/>
          <w:szCs w:val="24"/>
        </w:rPr>
      </w:pPr>
      <w:bookmarkStart w:id="3" w:name="_Toc449580282"/>
      <w:r w:rsidRPr="006316D9">
        <w:rPr>
          <w:sz w:val="24"/>
          <w:szCs w:val="24"/>
        </w:rPr>
        <w:t>III</w:t>
      </w:r>
      <w:r w:rsidR="00ED7EFF" w:rsidRPr="006316D9">
        <w:rPr>
          <w:sz w:val="24"/>
          <w:szCs w:val="24"/>
        </w:rPr>
        <w:tab/>
        <w:t>Literature Review</w:t>
      </w:r>
      <w:bookmarkEnd w:id="3"/>
    </w:p>
    <w:p w:rsidR="00C2344B" w:rsidRDefault="00C2344B" w:rsidP="00C2344B">
      <w:pPr>
        <w:autoSpaceDE w:val="0"/>
        <w:autoSpaceDN w:val="0"/>
        <w:adjustRightInd w:val="0"/>
        <w:jc w:val="both"/>
        <w:rPr>
          <w:rFonts w:ascii="Times New Roman" w:hAnsi="Times New Roman" w:cs="Times New Roman"/>
          <w:sz w:val="22"/>
          <w:szCs w:val="22"/>
        </w:rPr>
      </w:pPr>
    </w:p>
    <w:p w:rsidR="00ED7EFF" w:rsidRPr="00675983" w:rsidRDefault="00ED7EFF" w:rsidP="00C2344B">
      <w:pPr>
        <w:autoSpaceDE w:val="0"/>
        <w:autoSpaceDN w:val="0"/>
        <w:adjustRightInd w:val="0"/>
        <w:jc w:val="both"/>
        <w:rPr>
          <w:rFonts w:ascii="Times New Roman" w:hAnsi="Times New Roman" w:cs="Times New Roman"/>
        </w:rPr>
      </w:pPr>
      <w:r w:rsidRPr="00675983">
        <w:rPr>
          <w:rFonts w:ascii="Times New Roman" w:hAnsi="Times New Roman" w:cs="Times New Roman"/>
        </w:rPr>
        <w:t xml:space="preserve">A review of the pass-through literature shows that most studies focused on developed countries. Menon (1995b) conducted a comprehensive survey of 43 empirical studies on ERPT in both industrialized and developing countries, but the majority of the surveyed studies were on the USA. The scope of studies on ERPT varies from those analyzing the pass-through of exchange rate fluctuations to import prices, which was the </w:t>
      </w:r>
      <w:proofErr w:type="gramStart"/>
      <w:r w:rsidRPr="00675983">
        <w:rPr>
          <w:rFonts w:ascii="Times New Roman" w:hAnsi="Times New Roman" w:cs="Times New Roman"/>
        </w:rPr>
        <w:t>main focus</w:t>
      </w:r>
      <w:proofErr w:type="gramEnd"/>
      <w:r w:rsidRPr="00675983">
        <w:rPr>
          <w:rFonts w:ascii="Times New Roman" w:hAnsi="Times New Roman" w:cs="Times New Roman"/>
        </w:rPr>
        <w:t xml:space="preserve"> of most early studies (e.g. Menon (1995a), and Goldberg and </w:t>
      </w:r>
      <w:proofErr w:type="spellStart"/>
      <w:r w:rsidRPr="00675983">
        <w:rPr>
          <w:rFonts w:ascii="Times New Roman" w:hAnsi="Times New Roman" w:cs="Times New Roman"/>
        </w:rPr>
        <w:t>Knetter</w:t>
      </w:r>
      <w:proofErr w:type="spellEnd"/>
      <w:r w:rsidRPr="00675983">
        <w:rPr>
          <w:rFonts w:ascii="Times New Roman" w:hAnsi="Times New Roman" w:cs="Times New Roman"/>
        </w:rPr>
        <w:t xml:space="preserve"> (1997)); to those analyzing the pass-through of exchange rate and import price changes to producer and consumer prices (e.g. </w:t>
      </w:r>
      <w:proofErr w:type="spellStart"/>
      <w:r w:rsidRPr="00675983">
        <w:rPr>
          <w:rFonts w:ascii="Times New Roman" w:hAnsi="Times New Roman" w:cs="Times New Roman"/>
        </w:rPr>
        <w:t>Bhundia</w:t>
      </w:r>
      <w:proofErr w:type="spellEnd"/>
      <w:r w:rsidRPr="00675983">
        <w:rPr>
          <w:rFonts w:ascii="Times New Roman" w:hAnsi="Times New Roman" w:cs="Times New Roman"/>
        </w:rPr>
        <w:t xml:space="preserve"> (2002), Devereux and </w:t>
      </w:r>
      <w:proofErr w:type="spellStart"/>
      <w:r w:rsidRPr="00675983">
        <w:rPr>
          <w:rFonts w:ascii="Times New Roman" w:hAnsi="Times New Roman" w:cs="Times New Roman"/>
        </w:rPr>
        <w:t>Yet</w:t>
      </w:r>
      <w:r w:rsidR="00A312F9" w:rsidRPr="00675983">
        <w:rPr>
          <w:rFonts w:ascii="Times New Roman" w:hAnsi="Times New Roman" w:cs="Times New Roman"/>
        </w:rPr>
        <w:t>man</w:t>
      </w:r>
      <w:proofErr w:type="spellEnd"/>
      <w:r w:rsidR="00A312F9" w:rsidRPr="00675983">
        <w:rPr>
          <w:rFonts w:ascii="Times New Roman" w:hAnsi="Times New Roman" w:cs="Times New Roman"/>
        </w:rPr>
        <w:t xml:space="preserve"> (2003), Ito and Sato (2007),</w:t>
      </w:r>
      <w:r w:rsidR="00F325E7" w:rsidRPr="00675983">
        <w:rPr>
          <w:rFonts w:ascii="Times New Roman" w:hAnsi="Times New Roman" w:cs="Times New Roman"/>
        </w:rPr>
        <w:t xml:space="preserve"> </w:t>
      </w:r>
      <w:proofErr w:type="spellStart"/>
      <w:r w:rsidR="00F325E7" w:rsidRPr="00675983">
        <w:rPr>
          <w:rFonts w:ascii="Times New Roman" w:hAnsi="Times New Roman" w:cs="Times New Roman"/>
        </w:rPr>
        <w:t>Karagoz</w:t>
      </w:r>
      <w:proofErr w:type="spellEnd"/>
      <w:r w:rsidR="00F325E7" w:rsidRPr="00675983">
        <w:rPr>
          <w:rFonts w:ascii="Times New Roman" w:hAnsi="Times New Roman" w:cs="Times New Roman"/>
        </w:rPr>
        <w:t xml:space="preserve">, </w:t>
      </w:r>
      <w:proofErr w:type="spellStart"/>
      <w:r w:rsidR="00F325E7" w:rsidRPr="00675983">
        <w:rPr>
          <w:rFonts w:ascii="Times New Roman" w:hAnsi="Times New Roman" w:cs="Times New Roman"/>
        </w:rPr>
        <w:t>Demirel</w:t>
      </w:r>
      <w:proofErr w:type="spellEnd"/>
      <w:r w:rsidR="00F325E7" w:rsidRPr="00675983">
        <w:rPr>
          <w:rFonts w:ascii="Times New Roman" w:hAnsi="Times New Roman" w:cs="Times New Roman"/>
        </w:rPr>
        <w:t xml:space="preserve"> and </w:t>
      </w:r>
      <w:proofErr w:type="spellStart"/>
      <w:r w:rsidR="00F325E7" w:rsidRPr="00675983">
        <w:rPr>
          <w:rFonts w:ascii="Times New Roman" w:hAnsi="Times New Roman" w:cs="Times New Roman"/>
        </w:rPr>
        <w:t>Bozdag</w:t>
      </w:r>
      <w:proofErr w:type="spellEnd"/>
      <w:r w:rsidR="00F325E7" w:rsidRPr="00675983">
        <w:rPr>
          <w:rFonts w:ascii="Times New Roman" w:hAnsi="Times New Roman" w:cs="Times New Roman"/>
        </w:rPr>
        <w:t xml:space="preserve"> (2016), </w:t>
      </w:r>
      <w:r w:rsidR="00A312F9" w:rsidRPr="00675983">
        <w:rPr>
          <w:rFonts w:ascii="Times New Roman" w:hAnsi="Times New Roman" w:cs="Times New Roman"/>
        </w:rPr>
        <w:t>Liu and Chen (2017)</w:t>
      </w:r>
      <w:r w:rsidRPr="00675983">
        <w:rPr>
          <w:rFonts w:ascii="Times New Roman" w:hAnsi="Times New Roman" w:cs="Times New Roman"/>
        </w:rPr>
        <w:t xml:space="preserve">. There also have been studies investigating the speed or magnitude and asymmetry of ERPT to import prices (e.g. Feinberg (1989), Kim (1990), </w:t>
      </w:r>
      <w:proofErr w:type="spellStart"/>
      <w:r w:rsidRPr="00675983">
        <w:rPr>
          <w:rFonts w:ascii="Times New Roman" w:hAnsi="Times New Roman" w:cs="Times New Roman"/>
        </w:rPr>
        <w:t>Athukorala</w:t>
      </w:r>
      <w:proofErr w:type="spellEnd"/>
      <w:r w:rsidRPr="00675983">
        <w:rPr>
          <w:rFonts w:ascii="Times New Roman" w:hAnsi="Times New Roman" w:cs="Times New Roman"/>
        </w:rPr>
        <w:t xml:space="preserve"> and Menon (1994), Goldberg and </w:t>
      </w:r>
      <w:proofErr w:type="spellStart"/>
      <w:r w:rsidRPr="00675983">
        <w:rPr>
          <w:rFonts w:ascii="Times New Roman" w:hAnsi="Times New Roman" w:cs="Times New Roman"/>
        </w:rPr>
        <w:t>Knetter</w:t>
      </w:r>
      <w:proofErr w:type="spellEnd"/>
      <w:r w:rsidRPr="00675983">
        <w:rPr>
          <w:rFonts w:ascii="Times New Roman" w:hAnsi="Times New Roman" w:cs="Times New Roman"/>
        </w:rPr>
        <w:t xml:space="preserve"> (1997), Gagnon and </w:t>
      </w:r>
      <w:proofErr w:type="spellStart"/>
      <w:r w:rsidRPr="00675983">
        <w:rPr>
          <w:rFonts w:ascii="Times New Roman" w:hAnsi="Times New Roman" w:cs="Times New Roman"/>
        </w:rPr>
        <w:t>Ihrig</w:t>
      </w:r>
      <w:proofErr w:type="spellEnd"/>
      <w:r w:rsidRPr="00675983">
        <w:rPr>
          <w:rFonts w:ascii="Times New Roman" w:hAnsi="Times New Roman" w:cs="Times New Roman"/>
        </w:rPr>
        <w:t xml:space="preserve"> (2004), </w:t>
      </w:r>
      <w:proofErr w:type="spellStart"/>
      <w:r w:rsidRPr="00675983">
        <w:rPr>
          <w:rFonts w:ascii="Times New Roman" w:hAnsi="Times New Roman" w:cs="Times New Roman"/>
        </w:rPr>
        <w:t>Campa</w:t>
      </w:r>
      <w:proofErr w:type="spellEnd"/>
      <w:r w:rsidRPr="00675983">
        <w:rPr>
          <w:rFonts w:ascii="Times New Roman" w:hAnsi="Times New Roman" w:cs="Times New Roman"/>
        </w:rPr>
        <w:t xml:space="preserve"> and Goldberg (2005) and </w:t>
      </w:r>
      <w:proofErr w:type="spellStart"/>
      <w:r w:rsidRPr="00675983">
        <w:rPr>
          <w:rFonts w:ascii="Times New Roman" w:hAnsi="Times New Roman" w:cs="Times New Roman"/>
        </w:rPr>
        <w:t>Karoro</w:t>
      </w:r>
      <w:proofErr w:type="spellEnd"/>
      <w:r w:rsidRPr="00675983">
        <w:rPr>
          <w:rFonts w:ascii="Times New Roman" w:hAnsi="Times New Roman" w:cs="Times New Roman"/>
        </w:rPr>
        <w:t xml:space="preserve"> et al. (2009)). </w:t>
      </w:r>
    </w:p>
    <w:p w:rsidR="001F50D3" w:rsidRPr="00675983" w:rsidRDefault="001F50D3" w:rsidP="00C2344B">
      <w:pPr>
        <w:autoSpaceDE w:val="0"/>
        <w:autoSpaceDN w:val="0"/>
        <w:adjustRightInd w:val="0"/>
        <w:jc w:val="both"/>
        <w:rPr>
          <w:rFonts w:ascii="Times New Roman" w:hAnsi="Times New Roman" w:cs="Times New Roman"/>
        </w:rPr>
      </w:pPr>
    </w:p>
    <w:p w:rsidR="00ED7EFF" w:rsidRPr="00675983" w:rsidRDefault="00ED7EFF" w:rsidP="00C2344B">
      <w:pPr>
        <w:autoSpaceDE w:val="0"/>
        <w:autoSpaceDN w:val="0"/>
        <w:adjustRightInd w:val="0"/>
        <w:jc w:val="both"/>
        <w:rPr>
          <w:rFonts w:ascii="Times New Roman" w:hAnsi="Times New Roman" w:cs="Times New Roman"/>
        </w:rPr>
      </w:pPr>
      <w:r w:rsidRPr="00675983">
        <w:rPr>
          <w:rFonts w:ascii="Times New Roman" w:hAnsi="Times New Roman" w:cs="Times New Roman"/>
        </w:rPr>
        <w:t xml:space="preserve">Despite the growing literature on ERPT, only a few have focused on South Africa. These include Nell (2000), </w:t>
      </w:r>
      <w:proofErr w:type="spellStart"/>
      <w:r w:rsidRPr="00675983">
        <w:rPr>
          <w:rFonts w:ascii="Times New Roman" w:hAnsi="Times New Roman" w:cs="Times New Roman"/>
        </w:rPr>
        <w:t>Bhundia</w:t>
      </w:r>
      <w:proofErr w:type="spellEnd"/>
      <w:r w:rsidRPr="00675983">
        <w:rPr>
          <w:rFonts w:ascii="Times New Roman" w:hAnsi="Times New Roman" w:cs="Times New Roman"/>
        </w:rPr>
        <w:t xml:space="preserve"> (2002), SARB (2002) and </w:t>
      </w:r>
      <w:proofErr w:type="spellStart"/>
      <w:r w:rsidRPr="00675983">
        <w:rPr>
          <w:rFonts w:ascii="Times New Roman" w:hAnsi="Times New Roman" w:cs="Times New Roman"/>
        </w:rPr>
        <w:t>Karoro</w:t>
      </w:r>
      <w:proofErr w:type="spellEnd"/>
      <w:r w:rsidRPr="00675983">
        <w:rPr>
          <w:rFonts w:ascii="Times New Roman" w:hAnsi="Times New Roman" w:cs="Times New Roman"/>
        </w:rPr>
        <w:t xml:space="preserve"> et al. (2009). Nell (2000) examines the inflationary impact of exchange rate depreciation in South Africa from 1973 to 1998. This period is split into two, 1973 to 1983 and 1984 to 1998, </w:t>
      </w:r>
      <w:proofErr w:type="gramStart"/>
      <w:r w:rsidRPr="00675983">
        <w:rPr>
          <w:rFonts w:ascii="Times New Roman" w:hAnsi="Times New Roman" w:cs="Times New Roman"/>
        </w:rPr>
        <w:t>in order to</w:t>
      </w:r>
      <w:proofErr w:type="gramEnd"/>
      <w:r w:rsidRPr="00675983">
        <w:rPr>
          <w:rFonts w:ascii="Times New Roman" w:hAnsi="Times New Roman" w:cs="Times New Roman"/>
        </w:rPr>
        <w:t xml:space="preserve"> determine whether the underlying causes of inflation changed following significant structural, political and institutional changes, and the adoption of a more market-oriented exchange rate system. Nell (2000:13) formulates price and wage equations which are estimated using distributed lag (DL) and autoregressive distributed lag (ARDL) models. The results suggest that the long-run pass-through estimates are 72 percent and 82 percent in rates of change and levels respectively.</w:t>
      </w:r>
    </w:p>
    <w:p w:rsidR="001F50D3" w:rsidRPr="00675983" w:rsidRDefault="001F50D3" w:rsidP="00C2344B">
      <w:pPr>
        <w:autoSpaceDE w:val="0"/>
        <w:autoSpaceDN w:val="0"/>
        <w:adjustRightInd w:val="0"/>
        <w:jc w:val="both"/>
        <w:rPr>
          <w:rFonts w:ascii="Times New Roman" w:hAnsi="Times New Roman" w:cs="Times New Roman"/>
        </w:rPr>
      </w:pPr>
    </w:p>
    <w:p w:rsidR="00ED7EFF" w:rsidRPr="00675983" w:rsidRDefault="00ED7EFF" w:rsidP="00C2344B">
      <w:pPr>
        <w:autoSpaceDE w:val="0"/>
        <w:autoSpaceDN w:val="0"/>
        <w:adjustRightInd w:val="0"/>
        <w:jc w:val="both"/>
        <w:rPr>
          <w:rFonts w:ascii="Times New Roman" w:hAnsi="Times New Roman" w:cs="Times New Roman"/>
        </w:rPr>
      </w:pPr>
      <w:proofErr w:type="spellStart"/>
      <w:r w:rsidRPr="00675983">
        <w:rPr>
          <w:rFonts w:ascii="Times New Roman" w:hAnsi="Times New Roman" w:cs="Times New Roman"/>
        </w:rPr>
        <w:t>Bhundia’s</w:t>
      </w:r>
      <w:proofErr w:type="spellEnd"/>
      <w:r w:rsidRPr="00675983">
        <w:rPr>
          <w:rFonts w:ascii="Times New Roman" w:hAnsi="Times New Roman" w:cs="Times New Roman"/>
        </w:rPr>
        <w:t xml:space="preserve"> (2002) study focuses on CPIX inflation</w:t>
      </w:r>
      <w:r w:rsidR="00F64FCE" w:rsidRPr="00675983">
        <w:rPr>
          <w:rFonts w:ascii="Times New Roman" w:hAnsi="Times New Roman" w:cs="Times New Roman"/>
        </w:rPr>
        <w:t xml:space="preserve"> (see footnote 13)</w:t>
      </w:r>
      <w:r w:rsidRPr="00675983">
        <w:rPr>
          <w:rFonts w:ascii="Times New Roman" w:hAnsi="Times New Roman" w:cs="Times New Roman"/>
        </w:rPr>
        <w:t xml:space="preserve">, particularly the pass-through profile over the period 2000 to 2001, when monetary policy had the most impact on inflation. </w:t>
      </w:r>
      <w:proofErr w:type="spellStart"/>
      <w:r w:rsidRPr="00675983">
        <w:rPr>
          <w:rFonts w:ascii="Times New Roman" w:hAnsi="Times New Roman" w:cs="Times New Roman"/>
        </w:rPr>
        <w:t>Bhundia</w:t>
      </w:r>
      <w:proofErr w:type="spellEnd"/>
      <w:r w:rsidRPr="00675983">
        <w:rPr>
          <w:rFonts w:ascii="Times New Roman" w:hAnsi="Times New Roman" w:cs="Times New Roman"/>
        </w:rPr>
        <w:t xml:space="preserve"> defines ERPT as the correlation between exchange rate fluctuations and quarterly CPIX inflation. The framework underpinning the analysis is the idea that prices are set along a distribution chain that comprises three stages: importation, production, and consumption. The distribution chain is modeled as a six-variable recursive vector autoregressive (VAR) model. His results indicate that although the average pass-through is low, evidence from the structural VAR model suggests that it is much higher for nominal than real shocks. Exchange rate shocks result in a steady increase over time in the level of the CPIX. The pass-through elasticity resulting from shocks to producer price inflation was approximately 72 percent after eight quarters, suggesting that favorable shocks to producer price inflation could possibly bring CPIX inflation back to target.</w:t>
      </w:r>
    </w:p>
    <w:p w:rsidR="0047323E" w:rsidRPr="00675983" w:rsidRDefault="0047323E" w:rsidP="00C2344B">
      <w:pPr>
        <w:autoSpaceDE w:val="0"/>
        <w:autoSpaceDN w:val="0"/>
        <w:adjustRightInd w:val="0"/>
        <w:jc w:val="both"/>
        <w:rPr>
          <w:rFonts w:ascii="Times New Roman" w:hAnsi="Times New Roman" w:cs="Times New Roman"/>
        </w:rPr>
      </w:pPr>
    </w:p>
    <w:p w:rsidR="00ED7EFF" w:rsidRPr="00675983" w:rsidRDefault="00ED7EFF" w:rsidP="00C2344B">
      <w:pPr>
        <w:autoSpaceDE w:val="0"/>
        <w:autoSpaceDN w:val="0"/>
        <w:adjustRightInd w:val="0"/>
        <w:jc w:val="both"/>
        <w:rPr>
          <w:rFonts w:ascii="Times New Roman" w:hAnsi="Times New Roman" w:cs="Times New Roman"/>
        </w:rPr>
      </w:pPr>
      <w:r w:rsidRPr="00675983">
        <w:rPr>
          <w:rFonts w:ascii="Times New Roman" w:hAnsi="Times New Roman" w:cs="Times New Roman"/>
        </w:rPr>
        <w:t xml:space="preserve">SARB (2002) focused on the relationship between changes in the exchange rate and the domestic currency price of imports in South Africa. The methodology is based on Johansen’s vector error-correction models (VECM). The results suggest that approximately 78 percent of an exchange rate change is passed through to import prices in South Africa in the long run, and that half of this adjustment occurs in just less than one year. The results suggest further that each month, import prices adjust to equilibrium by approximately 6 percent of any disequilibrium in the long-run relationship. </w:t>
      </w:r>
    </w:p>
    <w:p w:rsidR="001F50D3" w:rsidRPr="00675983" w:rsidRDefault="001F50D3" w:rsidP="00C2344B">
      <w:pPr>
        <w:autoSpaceDE w:val="0"/>
        <w:autoSpaceDN w:val="0"/>
        <w:adjustRightInd w:val="0"/>
        <w:jc w:val="both"/>
        <w:rPr>
          <w:rFonts w:ascii="Times New Roman" w:hAnsi="Times New Roman" w:cs="Times New Roman"/>
        </w:rPr>
      </w:pPr>
    </w:p>
    <w:p w:rsidR="00ED7EFF" w:rsidRPr="00675983" w:rsidRDefault="00ED7EFF" w:rsidP="00C2344B">
      <w:pPr>
        <w:autoSpaceDE w:val="0"/>
        <w:autoSpaceDN w:val="0"/>
        <w:adjustRightInd w:val="0"/>
        <w:jc w:val="both"/>
        <w:rPr>
          <w:rFonts w:ascii="Times New Roman" w:hAnsi="Times New Roman" w:cs="Times New Roman"/>
          <w:color w:val="000000"/>
        </w:rPr>
      </w:pPr>
      <w:proofErr w:type="spellStart"/>
      <w:r w:rsidRPr="00675983">
        <w:rPr>
          <w:rFonts w:ascii="Times New Roman" w:hAnsi="Times New Roman" w:cs="Times New Roman"/>
        </w:rPr>
        <w:t>Karoro</w:t>
      </w:r>
      <w:proofErr w:type="spellEnd"/>
      <w:r w:rsidRPr="00675983">
        <w:rPr>
          <w:rFonts w:ascii="Times New Roman" w:hAnsi="Times New Roman" w:cs="Times New Roman"/>
        </w:rPr>
        <w:t xml:space="preserve"> et al. (2009) </w:t>
      </w:r>
      <w:r w:rsidRPr="00675983">
        <w:rPr>
          <w:rFonts w:ascii="Times New Roman" w:hAnsi="Times New Roman" w:cs="Times New Roman"/>
          <w:color w:val="000000"/>
        </w:rPr>
        <w:t>examines the magnitude and speed of ERPT to import, producer and consumer prices in South Africa from 1980 to 2005. It also explores whether the direction and size of changes in the exchange rate have different pass-through effects on import prices, that is, whether the ERPT is symmetric or asymmetric. The paper identifies two main</w:t>
      </w:r>
      <w:r w:rsidR="002912C6" w:rsidRPr="00675983">
        <w:rPr>
          <w:rFonts w:ascii="Times New Roman" w:hAnsi="Times New Roman" w:cs="Times New Roman"/>
          <w:color w:val="000000"/>
        </w:rPr>
        <w:t xml:space="preserve"> stages of ERPT—the </w:t>
      </w:r>
      <w:r w:rsidRPr="00675983">
        <w:rPr>
          <w:rFonts w:ascii="Times New Roman" w:hAnsi="Times New Roman" w:cs="Times New Roman"/>
          <w:color w:val="000000"/>
        </w:rPr>
        <w:t xml:space="preserve">first is the transmission of fluctuations in the exchange rate to import prices, and the second is the pass-through of changes in import prices to producer and consumer prices. The first stage is estimated using Johansen’s cointegration and vector error correction model (VECM) techniques. The second stage pass-through is determined by estimating impulse response and variance decomposition functions, as well as conducting block </w:t>
      </w:r>
      <w:proofErr w:type="spellStart"/>
      <w:r w:rsidRPr="00675983">
        <w:rPr>
          <w:rFonts w:ascii="Times New Roman" w:hAnsi="Times New Roman" w:cs="Times New Roman"/>
          <w:color w:val="000000"/>
        </w:rPr>
        <w:t>exogeneity</w:t>
      </w:r>
      <w:proofErr w:type="spellEnd"/>
      <w:r w:rsidRPr="00675983">
        <w:rPr>
          <w:rFonts w:ascii="Times New Roman" w:hAnsi="Times New Roman" w:cs="Times New Roman"/>
          <w:color w:val="000000"/>
        </w:rPr>
        <w:t xml:space="preserve"> Wald tests.</w:t>
      </w:r>
    </w:p>
    <w:p w:rsidR="001F50D3" w:rsidRPr="00675983" w:rsidRDefault="001F50D3" w:rsidP="00C2344B">
      <w:pPr>
        <w:autoSpaceDE w:val="0"/>
        <w:autoSpaceDN w:val="0"/>
        <w:adjustRightInd w:val="0"/>
        <w:jc w:val="both"/>
        <w:rPr>
          <w:rFonts w:ascii="Times New Roman" w:hAnsi="Times New Roman" w:cs="Times New Roman"/>
          <w:color w:val="000000"/>
        </w:rPr>
      </w:pPr>
    </w:p>
    <w:p w:rsidR="00ED7EFF" w:rsidRPr="00C2344B" w:rsidRDefault="00ED7EFF" w:rsidP="00C2344B">
      <w:pPr>
        <w:jc w:val="both"/>
        <w:rPr>
          <w:rFonts w:ascii="Times New Roman" w:hAnsi="Times New Roman" w:cs="Times New Roman"/>
          <w:sz w:val="22"/>
          <w:szCs w:val="22"/>
        </w:rPr>
      </w:pPr>
      <w:r w:rsidRPr="00675983">
        <w:rPr>
          <w:rFonts w:ascii="Times New Roman" w:hAnsi="Times New Roman" w:cs="Times New Roman"/>
        </w:rPr>
        <w:lastRenderedPageBreak/>
        <w:t xml:space="preserve">The current study contributes to the literature in a number of ways. First, the study tries to redress the imbalance in country-specific coverage by presenting one of the first estimates on the relationship between ERPT and inflation targeting in South Africa. Second, the sample size is relatively large when compared with sample sizes in previous studies on pass-through and IT for small open economies. </w:t>
      </w:r>
      <w:r w:rsidRPr="00675983">
        <w:rPr>
          <w:rFonts w:ascii="Times New Roman" w:hAnsi="Times New Roman" w:cs="Times New Roman"/>
          <w:lang w:bidi="he-IL"/>
        </w:rPr>
        <w:t>Lastly, I use quarterly time series data to reveal the effect of movements in exchange rate on domestic prices of imports, an issue that is most</w:t>
      </w:r>
      <w:r w:rsidR="006F202D" w:rsidRPr="00675983">
        <w:rPr>
          <w:rFonts w:ascii="Times New Roman" w:hAnsi="Times New Roman" w:cs="Times New Roman"/>
          <w:lang w:bidi="he-IL"/>
        </w:rPr>
        <w:t xml:space="preserve"> relevant for monetary policy.  </w:t>
      </w:r>
    </w:p>
    <w:p w:rsidR="00ED7EFF" w:rsidRPr="00C2344B" w:rsidRDefault="00ED7EFF" w:rsidP="00C2344B">
      <w:pPr>
        <w:rPr>
          <w:rFonts w:ascii="Times New Roman" w:hAnsi="Times New Roman" w:cs="Times New Roman"/>
          <w:sz w:val="22"/>
          <w:szCs w:val="22"/>
        </w:rPr>
      </w:pPr>
    </w:p>
    <w:p w:rsidR="00ED7EFF" w:rsidRPr="00C2344B" w:rsidRDefault="00ED7EFF" w:rsidP="00C2344B">
      <w:pPr>
        <w:rPr>
          <w:rFonts w:ascii="Times New Roman" w:hAnsi="Times New Roman" w:cs="Times New Roman"/>
          <w:sz w:val="22"/>
          <w:szCs w:val="22"/>
        </w:rPr>
      </w:pPr>
    </w:p>
    <w:p w:rsidR="00ED7EFF" w:rsidRPr="0003611B" w:rsidRDefault="00ED7EFF" w:rsidP="00C2344B">
      <w:pPr>
        <w:pStyle w:val="Heading2"/>
        <w:spacing w:before="0" w:beforeAutospacing="0" w:after="0" w:afterAutospacing="0"/>
        <w:rPr>
          <w:sz w:val="24"/>
          <w:szCs w:val="24"/>
        </w:rPr>
      </w:pPr>
      <w:bookmarkStart w:id="4" w:name="_Toc449580283"/>
      <w:r w:rsidRPr="0003611B">
        <w:rPr>
          <w:sz w:val="24"/>
          <w:szCs w:val="24"/>
        </w:rPr>
        <w:t>Methodology</w:t>
      </w:r>
      <w:bookmarkEnd w:id="4"/>
    </w:p>
    <w:p w:rsidR="00675983" w:rsidRPr="0003611B" w:rsidRDefault="00675983" w:rsidP="00C2344B">
      <w:pPr>
        <w:pStyle w:val="Heading2"/>
        <w:spacing w:before="0" w:beforeAutospacing="0" w:after="0" w:afterAutospacing="0"/>
        <w:rPr>
          <w:sz w:val="24"/>
          <w:szCs w:val="24"/>
        </w:rPr>
      </w:pP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t xml:space="preserve">The methodology adopted draws from McCarthy (2007), Ito and Sato (2007), and Naqvi and Rizvi (2012). The question is whether the adoption of inflation targeting leads to a corresponding reduction in exchange rate pass-through. </w:t>
      </w:r>
    </w:p>
    <w:p w:rsidR="00ED7EFF" w:rsidRPr="0003611B" w:rsidRDefault="00ED7EFF" w:rsidP="00C2344B">
      <w:pPr>
        <w:jc w:val="both"/>
        <w:rPr>
          <w:rFonts w:ascii="Times New Roman" w:hAnsi="Times New Roman" w:cs="Times New Roman"/>
        </w:rPr>
      </w:pPr>
    </w:p>
    <w:p w:rsidR="00ED7EFF" w:rsidRPr="0003611B" w:rsidRDefault="00ED7EFF" w:rsidP="00C2344B">
      <w:pPr>
        <w:jc w:val="both"/>
        <w:rPr>
          <w:rFonts w:ascii="Times New Roman" w:hAnsi="Times New Roman" w:cs="Times New Roman"/>
          <w:bCs/>
        </w:rPr>
      </w:pPr>
      <w:r w:rsidRPr="0003611B">
        <w:rPr>
          <w:rFonts w:ascii="Times New Roman" w:hAnsi="Times New Roman" w:cs="Times New Roman"/>
          <w:bCs/>
          <w:i/>
        </w:rPr>
        <w:t>The Model</w:t>
      </w:r>
    </w:p>
    <w:p w:rsidR="0003611B" w:rsidRDefault="0003611B" w:rsidP="00C2344B">
      <w:pPr>
        <w:jc w:val="both"/>
        <w:rPr>
          <w:rFonts w:ascii="Times New Roman" w:hAnsi="Times New Roman" w:cs="Times New Roman"/>
        </w:rPr>
      </w:pPr>
    </w:p>
    <w:p w:rsidR="00ED7EFF" w:rsidRPr="0003611B" w:rsidRDefault="00BD2E64" w:rsidP="00C2344B">
      <w:pPr>
        <w:jc w:val="both"/>
        <w:rPr>
          <w:rFonts w:ascii="Times New Roman" w:hAnsi="Times New Roman" w:cs="Times New Roman"/>
        </w:rPr>
      </w:pPr>
      <w:r w:rsidRPr="0003611B">
        <w:rPr>
          <w:rFonts w:ascii="Times New Roman" w:hAnsi="Times New Roman" w:cs="Times New Roman"/>
        </w:rPr>
        <w:t xml:space="preserve">First, the paper </w:t>
      </w:r>
      <w:r w:rsidR="00ED7EFF" w:rsidRPr="0003611B">
        <w:rPr>
          <w:rFonts w:ascii="Times New Roman" w:hAnsi="Times New Roman" w:cs="Times New Roman"/>
        </w:rPr>
        <w:t>examine</w:t>
      </w:r>
      <w:r w:rsidRPr="0003611B">
        <w:rPr>
          <w:rFonts w:ascii="Times New Roman" w:hAnsi="Times New Roman" w:cs="Times New Roman"/>
        </w:rPr>
        <w:t>s</w:t>
      </w:r>
      <w:r w:rsidR="00ED7EFF" w:rsidRPr="0003611B">
        <w:rPr>
          <w:rFonts w:ascii="Times New Roman" w:hAnsi="Times New Roman" w:cs="Times New Roman"/>
        </w:rPr>
        <w:t xml:space="preserve"> the pass-through of exchange rate and import price fluctuations</w:t>
      </w:r>
      <w:r w:rsidR="00F64FCE" w:rsidRPr="0003611B">
        <w:rPr>
          <w:rFonts w:ascii="Times New Roman" w:hAnsi="Times New Roman" w:cs="Times New Roman"/>
        </w:rPr>
        <w:t xml:space="preserve"> denominated in the exporter’s currency</w:t>
      </w:r>
      <w:r w:rsidR="00ED7EFF" w:rsidRPr="0003611B">
        <w:rPr>
          <w:rFonts w:ascii="Times New Roman" w:hAnsi="Times New Roman" w:cs="Times New Roman"/>
        </w:rPr>
        <w:t xml:space="preserve"> to domestic consumer prices using a standard VAR model specified as:</w:t>
      </w:r>
    </w:p>
    <w:p w:rsidR="002822A2" w:rsidRPr="0003611B" w:rsidRDefault="0036657A" w:rsidP="00C2344B">
      <w:pPr>
        <w:ind w:firstLine="720"/>
        <w:jc w:val="both"/>
        <w:rPr>
          <w:rFonts w:ascii="Times New Roman" w:hAnsi="Times New Roman" w:cs="Times New Roman"/>
        </w:rPr>
      </w:pPr>
      <w:r w:rsidRPr="0003611B">
        <w:rPr>
          <w:rFonts w:ascii="Times New Roman" w:hAnsi="Times New Roman" w:cs="Times New Roman"/>
          <w:position w:val="-12"/>
        </w:rPr>
        <w:object w:dxaOrig="45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8.75pt" o:ole="">
            <v:imagedata r:id="rId9" o:title=""/>
          </v:shape>
          <o:OLEObject Type="Embed" ProgID="Equation.3" ShapeID="_x0000_i1025" DrawAspect="Content" ObjectID="_1564908173" r:id="rId10"/>
        </w:object>
      </w:r>
      <w:r w:rsidR="00ED7EFF" w:rsidRPr="0003611B">
        <w:rPr>
          <w:rFonts w:ascii="Times New Roman" w:hAnsi="Times New Roman" w:cs="Times New Roman"/>
        </w:rPr>
        <w:t xml:space="preserve"> </w:t>
      </w:r>
      <w:r w:rsidR="00ED7EFF" w:rsidRPr="0003611B">
        <w:rPr>
          <w:rFonts w:ascii="Times New Roman" w:hAnsi="Times New Roman" w:cs="Times New Roman"/>
        </w:rPr>
        <w:tab/>
      </w:r>
      <w:r w:rsidR="00ED7EFF" w:rsidRPr="0003611B">
        <w:rPr>
          <w:rFonts w:ascii="Times New Roman" w:hAnsi="Times New Roman" w:cs="Times New Roman"/>
        </w:rPr>
        <w:tab/>
      </w:r>
      <w:r w:rsidR="00BD2E64" w:rsidRPr="0003611B">
        <w:rPr>
          <w:rFonts w:ascii="Times New Roman" w:hAnsi="Times New Roman" w:cs="Times New Roman"/>
        </w:rPr>
        <w:tab/>
      </w:r>
      <w:r w:rsidR="00BD2E64" w:rsidRPr="0003611B">
        <w:rPr>
          <w:rFonts w:ascii="Times New Roman" w:hAnsi="Times New Roman" w:cs="Times New Roman"/>
        </w:rPr>
        <w:tab/>
        <w:t>(1</w:t>
      </w:r>
      <w:r w:rsidR="007E2598" w:rsidRPr="0003611B">
        <w:rPr>
          <w:rFonts w:ascii="Times New Roman" w:hAnsi="Times New Roman" w:cs="Times New Roman"/>
        </w:rPr>
        <w:t>)</w:t>
      </w:r>
    </w:p>
    <w:p w:rsidR="0036657A" w:rsidRPr="0003611B" w:rsidRDefault="00ED7EFF" w:rsidP="00C2344B">
      <w:pPr>
        <w:jc w:val="both"/>
        <w:rPr>
          <w:rFonts w:ascii="Times New Roman" w:hAnsi="Times New Roman" w:cs="Times New Roman"/>
        </w:rPr>
      </w:pPr>
      <w:r w:rsidRPr="0003611B">
        <w:rPr>
          <w:rFonts w:ascii="Times New Roman" w:hAnsi="Times New Roman" w:cs="Times New Roman"/>
        </w:rPr>
        <w:t xml:space="preserve">where </w:t>
      </w:r>
      <w:r w:rsidRPr="0003611B">
        <w:rPr>
          <w:rFonts w:ascii="Times New Roman" w:hAnsi="Times New Roman" w:cs="Times New Roman"/>
          <w:position w:val="-12"/>
        </w:rPr>
        <w:object w:dxaOrig="320" w:dyaOrig="360">
          <v:shape id="_x0000_i1026" type="#_x0000_t75" style="width:18pt;height:18.75pt" o:ole="">
            <v:imagedata r:id="rId11" o:title=""/>
          </v:shape>
          <o:OLEObject Type="Embed" ProgID="Equation.3" ShapeID="_x0000_i1026" DrawAspect="Content" ObjectID="_1564908174" r:id="rId12"/>
        </w:object>
      </w:r>
      <w:r w:rsidRPr="0003611B">
        <w:rPr>
          <w:rFonts w:ascii="Times New Roman" w:hAnsi="Times New Roman" w:cs="Times New Roman"/>
        </w:rPr>
        <w:t xml:space="preserve"> is a vector of endogenous variables, </w:t>
      </w:r>
      <w:r w:rsidRPr="0003611B">
        <w:rPr>
          <w:rFonts w:ascii="Times New Roman" w:hAnsi="Times New Roman" w:cs="Times New Roman"/>
          <w:position w:val="-12"/>
        </w:rPr>
        <w:object w:dxaOrig="279" w:dyaOrig="360">
          <v:shape id="_x0000_i1027" type="#_x0000_t75" style="width:18pt;height:18.75pt" o:ole="">
            <v:imagedata r:id="rId13" o:title=""/>
          </v:shape>
          <o:OLEObject Type="Embed" ProgID="Equation.3" ShapeID="_x0000_i1027" DrawAspect="Content" ObjectID="_1564908175" r:id="rId14"/>
        </w:object>
      </w:r>
      <w:r w:rsidRPr="0003611B">
        <w:rPr>
          <w:rFonts w:ascii="Times New Roman" w:hAnsi="Times New Roman" w:cs="Times New Roman"/>
        </w:rPr>
        <w:t xml:space="preserve"> is a vector of innovations that may be contemporaneously correlated but are uncorrelated with their own lagged values and also uncorrelated with all other right hand side variables, </w:t>
      </w:r>
      <w:r w:rsidRPr="0003611B">
        <w:rPr>
          <w:rFonts w:ascii="Times New Roman" w:hAnsi="Times New Roman" w:cs="Times New Roman"/>
          <w:position w:val="-10"/>
        </w:rPr>
        <w:object w:dxaOrig="200" w:dyaOrig="320">
          <v:shape id="_x0000_i1028" type="#_x0000_t75" style="width:6pt;height:18pt" o:ole="">
            <v:imagedata r:id="rId15" o:title=""/>
          </v:shape>
          <o:OLEObject Type="Embed" ProgID="Equation.3" ShapeID="_x0000_i1028" DrawAspect="Content" ObjectID="_1564908176" r:id="rId16"/>
        </w:object>
      </w:r>
      <w:r w:rsidRPr="0003611B">
        <w:rPr>
          <w:rFonts w:ascii="Times New Roman" w:hAnsi="Times New Roman" w:cs="Times New Roman"/>
        </w:rPr>
        <w:t xml:space="preserve"> is a vector of constants and </w:t>
      </w:r>
      <w:r w:rsidRPr="0003611B">
        <w:rPr>
          <w:rFonts w:ascii="Times New Roman" w:hAnsi="Times New Roman" w:cs="Times New Roman"/>
          <w:position w:val="-4"/>
        </w:rPr>
        <w:object w:dxaOrig="260" w:dyaOrig="240">
          <v:shape id="_x0000_i1029" type="#_x0000_t75" style="width:11.25pt;height:12pt" o:ole="">
            <v:imagedata r:id="rId17" o:title=""/>
          </v:shape>
          <o:OLEObject Type="Embed" ProgID="Equation.3" ShapeID="_x0000_i1029" DrawAspect="Content" ObjectID="_1564908177" r:id="rId18"/>
        </w:object>
      </w:r>
      <w:r w:rsidRPr="0003611B">
        <w:rPr>
          <w:rFonts w:ascii="Times New Roman" w:hAnsi="Times New Roman" w:cs="Times New Roman"/>
        </w:rPr>
        <w:t xml:space="preserve"> are matrices of coefficients to be estimated. The baseline model with the vector of five endogenous variables includes output proxied by the index of industrial production</w:t>
      </w:r>
      <w:r w:rsidR="0036657A" w:rsidRPr="0003611B">
        <w:rPr>
          <w:rFonts w:ascii="Times New Roman" w:hAnsi="Times New Roman" w:cs="Times New Roman"/>
          <w:position w:val="-10"/>
        </w:rPr>
        <w:object w:dxaOrig="400" w:dyaOrig="340">
          <v:shape id="_x0000_i1030" type="#_x0000_t75" style="width:18.75pt;height:18pt" o:ole="">
            <v:imagedata r:id="rId19" o:title=""/>
          </v:shape>
          <o:OLEObject Type="Embed" ProgID="Equation.3" ShapeID="_x0000_i1030" DrawAspect="Content" ObjectID="_1564908178" r:id="rId20"/>
        </w:object>
      </w:r>
      <w:r w:rsidRPr="0003611B">
        <w:rPr>
          <w:rFonts w:ascii="Times New Roman" w:hAnsi="Times New Roman" w:cs="Times New Roman"/>
        </w:rPr>
        <w:t>, import price</w:t>
      </w:r>
      <w:r w:rsidRPr="0003611B">
        <w:rPr>
          <w:rFonts w:ascii="Times New Roman" w:hAnsi="Times New Roman" w:cs="Times New Roman"/>
          <w:position w:val="-10"/>
        </w:rPr>
        <w:object w:dxaOrig="580" w:dyaOrig="340">
          <v:shape id="_x0000_i1031" type="#_x0000_t75" style="width:30pt;height:18pt" o:ole="">
            <v:imagedata r:id="rId21" o:title=""/>
          </v:shape>
          <o:OLEObject Type="Embed" ProgID="Equation.3" ShapeID="_x0000_i1031" DrawAspect="Content" ObjectID="_1564908179" r:id="rId22"/>
        </w:object>
      </w:r>
      <w:r w:rsidRPr="0003611B">
        <w:rPr>
          <w:rFonts w:ascii="Times New Roman" w:hAnsi="Times New Roman" w:cs="Times New Roman"/>
        </w:rPr>
        <w:t xml:space="preserve">, exchange rate </w:t>
      </w:r>
      <w:r w:rsidRPr="0003611B">
        <w:rPr>
          <w:rFonts w:ascii="Times New Roman" w:hAnsi="Times New Roman" w:cs="Times New Roman"/>
          <w:position w:val="-10"/>
        </w:rPr>
        <w:object w:dxaOrig="420" w:dyaOrig="340">
          <v:shape id="_x0000_i1032" type="#_x0000_t75" style="width:18pt;height:18pt" o:ole="">
            <v:imagedata r:id="rId23" o:title=""/>
          </v:shape>
          <o:OLEObject Type="Embed" ProgID="Equation.3" ShapeID="_x0000_i1032" DrawAspect="Content" ObjectID="_1564908180" r:id="rId24"/>
        </w:object>
      </w:r>
      <w:r w:rsidRPr="0003611B">
        <w:rPr>
          <w:rFonts w:ascii="Times New Roman" w:hAnsi="Times New Roman" w:cs="Times New Roman"/>
        </w:rPr>
        <w:t xml:space="preserve"> (this is the nominal effective exchange rate (NEER) which represents the domestic price of a basket of currencies</w:t>
      </w:r>
      <w:r w:rsidR="006E0D46" w:rsidRPr="0003611B">
        <w:rPr>
          <w:rStyle w:val="FootnoteReference"/>
          <w:rFonts w:ascii="Times New Roman" w:hAnsi="Times New Roman" w:cs="Times New Roman"/>
        </w:rPr>
        <w:footnoteReference w:customMarkFollows="1" w:id="3"/>
        <w:t>19</w:t>
      </w:r>
      <w:r w:rsidR="00935916" w:rsidRPr="0003611B">
        <w:rPr>
          <w:rFonts w:ascii="Times New Roman" w:hAnsi="Times New Roman" w:cs="Times New Roman"/>
        </w:rPr>
        <w:t>),</w:t>
      </w:r>
      <w:r w:rsidRPr="0003611B">
        <w:rPr>
          <w:rFonts w:ascii="Times New Roman" w:hAnsi="Times New Roman" w:cs="Times New Roman"/>
        </w:rPr>
        <w:t xml:space="preserve"> domestic prices proxied by the consumer price index</w:t>
      </w:r>
      <w:r w:rsidRPr="0003611B">
        <w:rPr>
          <w:rFonts w:ascii="Times New Roman" w:hAnsi="Times New Roman" w:cs="Times New Roman"/>
          <w:position w:val="-10"/>
        </w:rPr>
        <w:object w:dxaOrig="520" w:dyaOrig="340">
          <v:shape id="_x0000_i1033" type="#_x0000_t75" style="width:24pt;height:18pt" o:ole="">
            <v:imagedata r:id="rId25" o:title=""/>
          </v:shape>
          <o:OLEObject Type="Embed" ProgID="Equation.3" ShapeID="_x0000_i1033" DrawAspect="Content" ObjectID="_1564908181" r:id="rId26"/>
        </w:object>
      </w:r>
      <w:r w:rsidR="00935916" w:rsidRPr="0003611B">
        <w:rPr>
          <w:rFonts w:ascii="Times New Roman" w:hAnsi="Times New Roman" w:cs="Times New Roman"/>
        </w:rPr>
        <w:t xml:space="preserve"> and interest rate</w:t>
      </w:r>
      <w:r w:rsidR="00935916" w:rsidRPr="0003611B">
        <w:rPr>
          <w:rFonts w:ascii="Times New Roman" w:hAnsi="Times New Roman" w:cs="Times New Roman"/>
          <w:position w:val="-10"/>
        </w:rPr>
        <w:object w:dxaOrig="380" w:dyaOrig="340">
          <v:shape id="_x0000_i1034" type="#_x0000_t75" style="width:18pt;height:18pt" o:ole="">
            <v:imagedata r:id="rId27" o:title=""/>
          </v:shape>
          <o:OLEObject Type="Embed" ProgID="Equation.3" ShapeID="_x0000_i1034" DrawAspect="Content" ObjectID="_1564908182" r:id="rId28"/>
        </w:object>
      </w:r>
      <w:r w:rsidRPr="0003611B">
        <w:rPr>
          <w:rFonts w:ascii="Times New Roman" w:hAnsi="Times New Roman" w:cs="Times New Roman"/>
        </w:rPr>
        <w:t>. Thus,</w:t>
      </w: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tab/>
      </w:r>
      <w:r w:rsidRPr="0003611B">
        <w:rPr>
          <w:rFonts w:ascii="Times New Roman" w:hAnsi="Times New Roman" w:cs="Times New Roman"/>
        </w:rPr>
        <w:tab/>
      </w:r>
      <w:r w:rsidR="00711399" w:rsidRPr="0003611B">
        <w:rPr>
          <w:rFonts w:ascii="Times New Roman" w:hAnsi="Times New Roman" w:cs="Times New Roman"/>
          <w:position w:val="-10"/>
        </w:rPr>
        <w:object w:dxaOrig="2140" w:dyaOrig="440">
          <v:shape id="_x0000_i1035" type="#_x0000_t75" style="width:114pt;height:24pt" o:ole="">
            <v:imagedata r:id="rId29" o:title=""/>
          </v:shape>
          <o:OLEObject Type="Embed" ProgID="Equation.3" ShapeID="_x0000_i1035" DrawAspect="Content" ObjectID="_1564908183" r:id="rId30"/>
        </w:object>
      </w:r>
      <w:r w:rsidR="00BD2E64" w:rsidRPr="0003611B">
        <w:rPr>
          <w:rFonts w:ascii="Times New Roman" w:hAnsi="Times New Roman" w:cs="Times New Roman"/>
        </w:rPr>
        <w:tab/>
      </w:r>
      <w:r w:rsidR="00BD2E64" w:rsidRPr="0003611B">
        <w:rPr>
          <w:rFonts w:ascii="Times New Roman" w:hAnsi="Times New Roman" w:cs="Times New Roman"/>
        </w:rPr>
        <w:tab/>
      </w:r>
      <w:r w:rsidR="00BD2E64" w:rsidRPr="0003611B">
        <w:rPr>
          <w:rFonts w:ascii="Times New Roman" w:hAnsi="Times New Roman" w:cs="Times New Roman"/>
        </w:rPr>
        <w:tab/>
      </w:r>
      <w:r w:rsidR="00BD2E64" w:rsidRPr="0003611B">
        <w:rPr>
          <w:rFonts w:ascii="Times New Roman" w:hAnsi="Times New Roman" w:cs="Times New Roman"/>
        </w:rPr>
        <w:tab/>
      </w:r>
      <w:r w:rsidR="00BD2E64" w:rsidRPr="0003611B">
        <w:rPr>
          <w:rFonts w:ascii="Times New Roman" w:hAnsi="Times New Roman" w:cs="Times New Roman"/>
        </w:rPr>
        <w:tab/>
      </w:r>
      <w:r w:rsidR="00BD2E64" w:rsidRPr="0003611B">
        <w:rPr>
          <w:rFonts w:ascii="Times New Roman" w:hAnsi="Times New Roman" w:cs="Times New Roman"/>
        </w:rPr>
        <w:tab/>
        <w:t>(2</w:t>
      </w:r>
      <w:r w:rsidRPr="0003611B">
        <w:rPr>
          <w:rFonts w:ascii="Times New Roman" w:hAnsi="Times New Roman" w:cs="Times New Roman"/>
        </w:rPr>
        <w:t>)</w:t>
      </w:r>
    </w:p>
    <w:p w:rsidR="00ED7EFF" w:rsidRPr="0003611B" w:rsidRDefault="00ED7EFF" w:rsidP="00C2344B">
      <w:pPr>
        <w:autoSpaceDE w:val="0"/>
        <w:autoSpaceDN w:val="0"/>
        <w:adjustRightInd w:val="0"/>
        <w:jc w:val="both"/>
        <w:rPr>
          <w:rFonts w:ascii="Times New Roman" w:hAnsi="Times New Roman" w:cs="Times New Roman"/>
        </w:rPr>
      </w:pPr>
      <w:r w:rsidRPr="0003611B">
        <w:rPr>
          <w:rFonts w:ascii="Times New Roman" w:hAnsi="Times New Roman" w:cs="Times New Roman"/>
        </w:rPr>
        <w:t xml:space="preserve">The output gap is derived from the difference between actual and potential output. Potential output is estimated by applying the </w:t>
      </w:r>
      <w:proofErr w:type="spellStart"/>
      <w:r w:rsidRPr="0003611B">
        <w:rPr>
          <w:rFonts w:ascii="Times New Roman" w:hAnsi="Times New Roman" w:cs="Times New Roman"/>
        </w:rPr>
        <w:t>Hodrick</w:t>
      </w:r>
      <w:proofErr w:type="spellEnd"/>
      <w:r w:rsidRPr="0003611B">
        <w:rPr>
          <w:rFonts w:ascii="Times New Roman" w:hAnsi="Times New Roman" w:cs="Times New Roman"/>
        </w:rPr>
        <w:t>-Prescott (HP) filter to the manufacturing production index. Import price (</w:t>
      </w:r>
      <w:r w:rsidRPr="0003611B">
        <w:rPr>
          <w:rFonts w:ascii="Times New Roman" w:hAnsi="Times New Roman" w:cs="Times New Roman"/>
          <w:i/>
          <w:iCs/>
        </w:rPr>
        <w:t>imp</w:t>
      </w:r>
      <w:r w:rsidRPr="0003611B">
        <w:rPr>
          <w:rFonts w:ascii="Times New Roman" w:hAnsi="Times New Roman" w:cs="Times New Roman"/>
        </w:rPr>
        <w:t xml:space="preserve">) is included to capture the impact of changes in foreign producer costs on the local currency price of imports, see </w:t>
      </w:r>
      <w:proofErr w:type="spellStart"/>
      <w:r w:rsidRPr="0003611B">
        <w:rPr>
          <w:rFonts w:ascii="Times New Roman" w:hAnsi="Times New Roman" w:cs="Times New Roman"/>
        </w:rPr>
        <w:t>Campa</w:t>
      </w:r>
      <w:proofErr w:type="spellEnd"/>
      <w:r w:rsidRPr="0003611B">
        <w:rPr>
          <w:rFonts w:ascii="Times New Roman" w:hAnsi="Times New Roman" w:cs="Times New Roman"/>
        </w:rPr>
        <w:t xml:space="preserve"> and Goldberg (2005). Another rationale for the inclusion of this variable is that the price of imports in the local currency depends basically on the price in the foreign currency and the exchange rate. Therefore, controlling for changes in the producer costs allows the isolation of the exchange rate effect. The relationship to be estimated between the reduced-form VAR residuals </w:t>
      </w:r>
      <w:r w:rsidRPr="0003611B">
        <w:rPr>
          <w:rFonts w:ascii="Times New Roman" w:hAnsi="Times New Roman" w:cs="Times New Roman"/>
          <w:position w:val="-12"/>
        </w:rPr>
        <w:object w:dxaOrig="440" w:dyaOrig="360">
          <v:shape id="_x0000_i1036" type="#_x0000_t75" style="width:24pt;height:18.75pt" o:ole="">
            <v:imagedata r:id="rId31" o:title=""/>
          </v:shape>
          <o:OLEObject Type="Embed" ProgID="Equation.3" ShapeID="_x0000_i1036" DrawAspect="Content" ObjectID="_1564908184" r:id="rId32"/>
        </w:object>
      </w:r>
      <w:r w:rsidRPr="0003611B">
        <w:rPr>
          <w:rFonts w:ascii="Times New Roman" w:hAnsi="Times New Roman" w:cs="Times New Roman"/>
        </w:rPr>
        <w:t xml:space="preserve"> and the structural shocks </w:t>
      </w:r>
      <w:r w:rsidRPr="0003611B">
        <w:rPr>
          <w:rFonts w:ascii="Times New Roman" w:hAnsi="Times New Roman" w:cs="Times New Roman"/>
          <w:position w:val="-12"/>
        </w:rPr>
        <w:object w:dxaOrig="420" w:dyaOrig="360">
          <v:shape id="_x0000_i1037" type="#_x0000_t75" style="width:18pt;height:18.75pt" o:ole="">
            <v:imagedata r:id="rId33" o:title=""/>
          </v:shape>
          <o:OLEObject Type="Embed" ProgID="Equation.3" ShapeID="_x0000_i1037" DrawAspect="Content" ObjectID="_1564908185" r:id="rId34"/>
        </w:object>
      </w:r>
      <w:r w:rsidRPr="0003611B">
        <w:rPr>
          <w:rFonts w:ascii="Times New Roman" w:hAnsi="Times New Roman" w:cs="Times New Roman"/>
        </w:rPr>
        <w:t xml:space="preserve"> of the model is:</w:t>
      </w:r>
    </w:p>
    <w:p w:rsidR="00ED7EFF" w:rsidRPr="0003611B" w:rsidRDefault="00ED7EFF" w:rsidP="00C2344B">
      <w:pPr>
        <w:jc w:val="both"/>
        <w:rPr>
          <w:rFonts w:ascii="Times New Roman" w:hAnsi="Times New Roman" w:cs="Times New Roman"/>
        </w:rPr>
      </w:pP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lastRenderedPageBreak/>
        <w:tab/>
      </w:r>
      <w:r w:rsidRPr="0003611B">
        <w:rPr>
          <w:rFonts w:ascii="Times New Roman" w:hAnsi="Times New Roman" w:cs="Times New Roman"/>
        </w:rPr>
        <w:tab/>
      </w:r>
      <w:r w:rsidR="00711399" w:rsidRPr="0003611B">
        <w:rPr>
          <w:rFonts w:ascii="Times New Roman" w:hAnsi="Times New Roman" w:cs="Times New Roman"/>
          <w:position w:val="-100"/>
        </w:rPr>
        <w:object w:dxaOrig="3739" w:dyaOrig="2120">
          <v:shape id="_x0000_i1038" type="#_x0000_t75" style="width:168pt;height:96pt" o:ole="">
            <v:imagedata r:id="rId35" o:title=""/>
          </v:shape>
          <o:OLEObject Type="Embed" ProgID="Equation.3" ShapeID="_x0000_i1038" DrawAspect="Content" ObjectID="_1564908186" r:id="rId36"/>
        </w:object>
      </w:r>
      <w:r w:rsidRPr="0003611B">
        <w:rPr>
          <w:rFonts w:ascii="Times New Roman" w:hAnsi="Times New Roman" w:cs="Times New Roman"/>
        </w:rPr>
        <w:tab/>
      </w:r>
      <w:r w:rsidRPr="0003611B">
        <w:rPr>
          <w:rFonts w:ascii="Times New Roman" w:hAnsi="Times New Roman" w:cs="Times New Roman"/>
        </w:rPr>
        <w:tab/>
      </w:r>
      <w:r w:rsidRPr="0003611B">
        <w:rPr>
          <w:rFonts w:ascii="Times New Roman" w:hAnsi="Times New Roman" w:cs="Times New Roman"/>
        </w:rPr>
        <w:tab/>
      </w:r>
      <w:r w:rsidRPr="0003611B">
        <w:rPr>
          <w:rFonts w:ascii="Times New Roman" w:hAnsi="Times New Roman" w:cs="Times New Roman"/>
        </w:rPr>
        <w:tab/>
      </w:r>
      <w:r w:rsidR="00BD2E64" w:rsidRPr="0003611B">
        <w:rPr>
          <w:rFonts w:ascii="Times New Roman" w:hAnsi="Times New Roman" w:cs="Times New Roman"/>
        </w:rPr>
        <w:tab/>
        <w:t>(3</w:t>
      </w:r>
      <w:r w:rsidRPr="0003611B">
        <w:rPr>
          <w:rFonts w:ascii="Times New Roman" w:hAnsi="Times New Roman" w:cs="Times New Roman"/>
        </w:rPr>
        <w:t>)</w:t>
      </w: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t xml:space="preserve">The </w:t>
      </w:r>
      <m:oMath>
        <m:r>
          <w:rPr>
            <w:rFonts w:ascii="Cambria Math" w:hAnsi="Cambria Math" w:cs="Times New Roman"/>
          </w:rPr>
          <m:t>ε</m:t>
        </m:r>
      </m:oMath>
      <w:r w:rsidRPr="0003611B">
        <w:rPr>
          <w:rFonts w:ascii="Times New Roman" w:hAnsi="Times New Roman" w:cs="Times New Roman"/>
        </w:rPr>
        <w:t xml:space="preserve">s are contemporaneously uncorrelated, otherwise </w:t>
      </w:r>
      <m:oMath>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ij</m:t>
            </m:r>
            <m:r>
              <w:rPr>
                <w:rFonts w:ascii="Cambria Math" w:hAnsi="Times New Roman" w:cs="Times New Roman"/>
              </w:rPr>
              <m:t xml:space="preserve"> </m:t>
            </m:r>
          </m:sub>
        </m:sSub>
      </m:oMath>
      <w:r w:rsidRPr="0003611B">
        <w:rPr>
          <w:rFonts w:ascii="Times New Roman" w:hAnsi="Times New Roman" w:cs="Times New Roman"/>
        </w:rPr>
        <w:t>cannot be identified. The ordered variables are meant to examine the identified shocks contemporaneously, affect their corresponding variable, and those variables that are ordered at a later stage, but have no impact on those that are ordered before</w:t>
      </w:r>
      <w:r w:rsidR="006E0D46" w:rsidRPr="0003611B">
        <w:rPr>
          <w:rStyle w:val="FootnoteReference"/>
          <w:rFonts w:ascii="Times New Roman" w:hAnsi="Times New Roman" w:cs="Times New Roman"/>
        </w:rPr>
        <w:footnoteReference w:customMarkFollows="1" w:id="4"/>
        <w:t>20</w:t>
      </w:r>
      <w:r w:rsidRPr="0003611B">
        <w:rPr>
          <w:rFonts w:ascii="Times New Roman" w:hAnsi="Times New Roman" w:cs="Times New Roman"/>
        </w:rPr>
        <w:t xml:space="preserve">. </w:t>
      </w:r>
    </w:p>
    <w:p w:rsidR="00861C39" w:rsidRPr="00C2344B" w:rsidRDefault="00861C39" w:rsidP="00C2344B">
      <w:pPr>
        <w:jc w:val="both"/>
        <w:rPr>
          <w:rFonts w:ascii="Times New Roman" w:hAnsi="Times New Roman" w:cs="Times New Roman"/>
          <w:sz w:val="22"/>
          <w:szCs w:val="22"/>
        </w:rPr>
      </w:pPr>
    </w:p>
    <w:p w:rsidR="00ED7EFF" w:rsidRDefault="00ED7EFF" w:rsidP="00BD2E64">
      <w:pPr>
        <w:jc w:val="both"/>
        <w:rPr>
          <w:rFonts w:ascii="Times New Roman" w:hAnsi="Times New Roman" w:cs="Times New Roman"/>
        </w:rPr>
      </w:pPr>
      <w:r w:rsidRPr="0003611B">
        <w:rPr>
          <w:rFonts w:ascii="Times New Roman" w:hAnsi="Times New Roman" w:cs="Times New Roman"/>
        </w:rPr>
        <w:t xml:space="preserve">The industrial output reflects the real sector of the economy while the interest rate is included to examine the impact of monetary policy. </w:t>
      </w:r>
      <w:r w:rsidR="00711399" w:rsidRPr="0003611B">
        <w:rPr>
          <w:rFonts w:ascii="Times New Roman" w:hAnsi="Times New Roman" w:cs="Times New Roman"/>
        </w:rPr>
        <w:t xml:space="preserve">The output variable is ordered prior to the exchange rate and domestic prices to allow the exchange rate to respond contemporaneously to the demand shocks in the system. </w:t>
      </w:r>
      <w:r w:rsidRPr="0003611B">
        <w:rPr>
          <w:rFonts w:ascii="Times New Roman" w:hAnsi="Times New Roman" w:cs="Times New Roman"/>
        </w:rPr>
        <w:t>The monetary shock is captured by the change in interest rate and ordered next to allow for a contemporaneous impact of monetary policy shocks on the industrial output and the exchange rate. This ordering is also motivated by the theory that a monetary policy shock would affect prices at different stages contemporaneously and is the main contributing factor to domestic inflation</w:t>
      </w:r>
      <w:r w:rsidR="00711399" w:rsidRPr="0003611B">
        <w:rPr>
          <w:rFonts w:ascii="Times New Roman" w:hAnsi="Times New Roman" w:cs="Times New Roman"/>
        </w:rPr>
        <w:t xml:space="preserve">. </w:t>
      </w:r>
      <w:r w:rsidR="00041E3E" w:rsidRPr="0003611B">
        <w:rPr>
          <w:rFonts w:ascii="Times New Roman" w:hAnsi="Times New Roman" w:cs="Times New Roman"/>
        </w:rPr>
        <w:t>Thus, t</w:t>
      </w:r>
      <w:r w:rsidRPr="0003611B">
        <w:rPr>
          <w:rFonts w:ascii="Times New Roman" w:hAnsi="Times New Roman" w:cs="Times New Roman"/>
        </w:rPr>
        <w:t>he framework is based on the following variable ordering:</w:t>
      </w:r>
    </w:p>
    <w:p w:rsidR="0003611B" w:rsidRPr="0003611B" w:rsidRDefault="0003611B" w:rsidP="00BD2E64">
      <w:pPr>
        <w:jc w:val="both"/>
        <w:rPr>
          <w:rFonts w:ascii="Times New Roman" w:hAnsi="Times New Roman" w:cs="Times New Roman"/>
        </w:rPr>
      </w:pPr>
    </w:p>
    <w:p w:rsidR="00ED7EFF" w:rsidRPr="0003611B" w:rsidRDefault="00711399" w:rsidP="00C2344B">
      <w:pPr>
        <w:ind w:left="2160" w:firstLine="720"/>
        <w:jc w:val="both"/>
        <w:rPr>
          <w:rFonts w:ascii="Times New Roman" w:hAnsi="Times New Roman" w:cs="Times New Roman"/>
        </w:rPr>
      </w:pPr>
      <w:r w:rsidRPr="0003611B">
        <w:rPr>
          <w:rFonts w:ascii="Times New Roman" w:hAnsi="Times New Roman" w:cs="Times New Roman"/>
          <w:position w:val="-10"/>
        </w:rPr>
        <w:object w:dxaOrig="3519" w:dyaOrig="320">
          <v:shape id="_x0000_i1039" type="#_x0000_t75" style="width:168pt;height:18pt" o:ole="">
            <v:imagedata r:id="rId37" o:title=""/>
          </v:shape>
          <o:OLEObject Type="Embed" ProgID="Equation.3" ShapeID="_x0000_i1039" DrawAspect="Content" ObjectID="_1564908187" r:id="rId38"/>
        </w:object>
      </w:r>
    </w:p>
    <w:p w:rsidR="00ED7EFF" w:rsidRPr="0003611B" w:rsidRDefault="00ED7EFF" w:rsidP="00BD2E64">
      <w:pPr>
        <w:jc w:val="both"/>
        <w:rPr>
          <w:rFonts w:ascii="Times New Roman" w:hAnsi="Times New Roman" w:cs="Times New Roman"/>
        </w:rPr>
      </w:pPr>
    </w:p>
    <w:p w:rsidR="00ED7EFF" w:rsidRPr="0003611B" w:rsidRDefault="00ED7EFF" w:rsidP="00C2344B">
      <w:pPr>
        <w:pStyle w:val="BodyText"/>
      </w:pPr>
      <w:r w:rsidRPr="0003611B">
        <w:t xml:space="preserve">This ordering is based on a progression from the variable that is </w:t>
      </w:r>
      <w:r w:rsidR="00711399" w:rsidRPr="0003611B">
        <w:t>least</w:t>
      </w:r>
      <w:r w:rsidRPr="0003611B">
        <w:t xml:space="preserve"> exogenous to that which is </w:t>
      </w:r>
      <w:r w:rsidR="00711399" w:rsidRPr="0003611B">
        <w:t>most</w:t>
      </w:r>
      <w:r w:rsidRPr="0003611B">
        <w:t xml:space="preserve"> exogenous, and is consistent with that in a number of other studies that have used these or similar variables in estimating impulse responses, see McCarthy (2007) and </w:t>
      </w:r>
      <w:proofErr w:type="spellStart"/>
      <w:r w:rsidRPr="0003611B">
        <w:t>Odria</w:t>
      </w:r>
      <w:proofErr w:type="spellEnd"/>
      <w:r w:rsidRPr="0003611B">
        <w:t xml:space="preserve"> et al. (2012)</w:t>
      </w:r>
      <w:r w:rsidR="00CB165B" w:rsidRPr="0003611B">
        <w:t>.</w:t>
      </w:r>
    </w:p>
    <w:p w:rsidR="00A85BDD" w:rsidRPr="0003611B" w:rsidRDefault="00A85BDD" w:rsidP="00C2344B">
      <w:pPr>
        <w:jc w:val="both"/>
        <w:rPr>
          <w:rFonts w:ascii="Times New Roman" w:hAnsi="Times New Roman" w:cs="Times New Roman"/>
          <w:bCs/>
        </w:rPr>
      </w:pPr>
    </w:p>
    <w:p w:rsidR="00ED7EFF" w:rsidRPr="0003611B" w:rsidRDefault="00ED7EFF" w:rsidP="00C2344B">
      <w:pPr>
        <w:jc w:val="both"/>
        <w:rPr>
          <w:rFonts w:ascii="Times New Roman" w:hAnsi="Times New Roman" w:cs="Times New Roman"/>
          <w:bCs/>
        </w:rPr>
      </w:pPr>
      <w:r w:rsidRPr="0003611B">
        <w:rPr>
          <w:rFonts w:ascii="Times New Roman" w:hAnsi="Times New Roman" w:cs="Times New Roman"/>
          <w:bCs/>
          <w:i/>
        </w:rPr>
        <w:t>Data and Data Sources</w:t>
      </w:r>
    </w:p>
    <w:p w:rsidR="00B00B56" w:rsidRDefault="00B00B56" w:rsidP="00C2344B">
      <w:pPr>
        <w:jc w:val="both"/>
        <w:rPr>
          <w:rFonts w:ascii="Times New Roman" w:hAnsi="Times New Roman" w:cs="Times New Roman"/>
        </w:rPr>
      </w:pP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t>This study uses quarterly time</w:t>
      </w:r>
      <w:r w:rsidR="00B00B56">
        <w:rPr>
          <w:rFonts w:ascii="Times New Roman" w:hAnsi="Times New Roman" w:cs="Times New Roman"/>
        </w:rPr>
        <w:t xml:space="preserve"> series data from 1970q1 to 2015</w:t>
      </w:r>
      <w:r w:rsidRPr="0003611B">
        <w:rPr>
          <w:rFonts w:ascii="Times New Roman" w:hAnsi="Times New Roman" w:cs="Times New Roman"/>
        </w:rPr>
        <w:t>q4, given the theory that monetary authorities are more interested in short run pass-through dynamics, which are relevant for short term in</w:t>
      </w:r>
      <w:r w:rsidR="007C4277" w:rsidRPr="0003611B">
        <w:rPr>
          <w:rFonts w:ascii="Times New Roman" w:hAnsi="Times New Roman" w:cs="Times New Roman"/>
        </w:rPr>
        <w:t>flation. This sample size of 1</w:t>
      </w:r>
      <w:r w:rsidR="00B00B56">
        <w:rPr>
          <w:rFonts w:ascii="Times New Roman" w:hAnsi="Times New Roman" w:cs="Times New Roman"/>
        </w:rPr>
        <w:t>80</w:t>
      </w:r>
      <w:r w:rsidRPr="0003611B">
        <w:rPr>
          <w:rFonts w:ascii="Times New Roman" w:hAnsi="Times New Roman" w:cs="Times New Roman"/>
        </w:rPr>
        <w:t xml:space="preserve"> observations is relatively large when compared with sample sizes in previous studies in this area of research. </w:t>
      </w:r>
      <w:r w:rsidR="00BD2E64" w:rsidRPr="0003611B">
        <w:rPr>
          <w:rFonts w:ascii="Times New Roman" w:hAnsi="Times New Roman" w:cs="Times New Roman"/>
        </w:rPr>
        <w:t xml:space="preserve">The </w:t>
      </w:r>
      <w:r w:rsidRPr="0003611B">
        <w:rPr>
          <w:rFonts w:ascii="Times New Roman" w:hAnsi="Times New Roman" w:cs="Times New Roman"/>
        </w:rPr>
        <w:t>sample period</w:t>
      </w:r>
      <w:r w:rsidR="00BD2E64" w:rsidRPr="0003611B">
        <w:rPr>
          <w:rFonts w:ascii="Times New Roman" w:hAnsi="Times New Roman" w:cs="Times New Roman"/>
        </w:rPr>
        <w:t xml:space="preserve"> is </w:t>
      </w:r>
      <w:r w:rsidR="00B00B56" w:rsidRPr="0003611B">
        <w:rPr>
          <w:rFonts w:ascii="Times New Roman" w:hAnsi="Times New Roman" w:cs="Times New Roman"/>
        </w:rPr>
        <w:t>divided into</w:t>
      </w:r>
      <w:r w:rsidRPr="0003611B">
        <w:rPr>
          <w:rFonts w:ascii="Times New Roman" w:hAnsi="Times New Roman" w:cs="Times New Roman"/>
        </w:rPr>
        <w:t xml:space="preserve"> pre- and post-inflation targeting periods. The former spans 1970q1 to 1999</w:t>
      </w:r>
      <w:r w:rsidR="00B00B56">
        <w:rPr>
          <w:rFonts w:ascii="Times New Roman" w:hAnsi="Times New Roman" w:cs="Times New Roman"/>
        </w:rPr>
        <w:t>q4 and the latter 2000q1 to 2015</w:t>
      </w:r>
      <w:r w:rsidRPr="0003611B">
        <w:rPr>
          <w:rFonts w:ascii="Times New Roman" w:hAnsi="Times New Roman" w:cs="Times New Roman"/>
        </w:rPr>
        <w:t>q4. The data were obtained from South African Reserve Bank</w:t>
      </w:r>
      <w:r w:rsidR="00400A9F" w:rsidRPr="0003611B">
        <w:rPr>
          <w:rFonts w:ascii="Times New Roman" w:hAnsi="Times New Roman" w:cs="Times New Roman"/>
        </w:rPr>
        <w:t xml:space="preserve"> website</w:t>
      </w:r>
      <w:r w:rsidRPr="0003611B">
        <w:rPr>
          <w:rFonts w:ascii="Times New Roman" w:hAnsi="Times New Roman" w:cs="Times New Roman"/>
        </w:rPr>
        <w:t>, and International Financial Statistics</w:t>
      </w:r>
      <w:r w:rsidR="00B00B56">
        <w:rPr>
          <w:rFonts w:ascii="Times New Roman" w:hAnsi="Times New Roman" w:cs="Times New Roman"/>
        </w:rPr>
        <w:t xml:space="preserve"> (2016</w:t>
      </w:r>
      <w:r w:rsidR="001C3E9E" w:rsidRPr="0003611B">
        <w:rPr>
          <w:rFonts w:ascii="Times New Roman" w:hAnsi="Times New Roman" w:cs="Times New Roman"/>
        </w:rPr>
        <w:t>)</w:t>
      </w:r>
      <w:r w:rsidRPr="0003611B">
        <w:rPr>
          <w:rFonts w:ascii="Times New Roman" w:hAnsi="Times New Roman" w:cs="Times New Roman"/>
        </w:rPr>
        <w:t>, a publication of the International Monetary Fund. All variables are in real terms.</w:t>
      </w:r>
    </w:p>
    <w:p w:rsidR="00ED7EFF" w:rsidRPr="0003611B" w:rsidRDefault="00ED7EFF" w:rsidP="00C2344B">
      <w:pPr>
        <w:jc w:val="both"/>
        <w:rPr>
          <w:rFonts w:ascii="Times New Roman" w:hAnsi="Times New Roman" w:cs="Times New Roman"/>
          <w:b/>
          <w:spacing w:val="-2"/>
        </w:rPr>
      </w:pPr>
    </w:p>
    <w:p w:rsidR="00ED7EFF" w:rsidRPr="0003611B" w:rsidRDefault="00270EC3" w:rsidP="00C2344B">
      <w:pPr>
        <w:pStyle w:val="Heading2"/>
        <w:spacing w:before="0" w:beforeAutospacing="0" w:after="0" w:afterAutospacing="0"/>
        <w:rPr>
          <w:sz w:val="24"/>
          <w:szCs w:val="24"/>
        </w:rPr>
      </w:pPr>
      <w:bookmarkStart w:id="5" w:name="_Toc449580284"/>
      <w:r w:rsidRPr="0003611B">
        <w:rPr>
          <w:sz w:val="24"/>
          <w:szCs w:val="24"/>
        </w:rPr>
        <w:t>VI</w:t>
      </w:r>
      <w:r w:rsidR="00ED7EFF" w:rsidRPr="0003611B">
        <w:rPr>
          <w:sz w:val="24"/>
          <w:szCs w:val="24"/>
        </w:rPr>
        <w:tab/>
      </w:r>
      <w:r w:rsidR="006462BE" w:rsidRPr="0003611B">
        <w:rPr>
          <w:sz w:val="24"/>
          <w:szCs w:val="24"/>
        </w:rPr>
        <w:t xml:space="preserve">Estimation </w:t>
      </w:r>
      <w:r w:rsidR="00ED7EFF" w:rsidRPr="0003611B">
        <w:rPr>
          <w:sz w:val="24"/>
          <w:szCs w:val="24"/>
        </w:rPr>
        <w:t>Results</w:t>
      </w:r>
      <w:bookmarkEnd w:id="5"/>
    </w:p>
    <w:p w:rsidR="0003611B" w:rsidRDefault="0003611B" w:rsidP="00C2344B">
      <w:pPr>
        <w:jc w:val="both"/>
        <w:rPr>
          <w:rFonts w:ascii="Times New Roman" w:hAnsi="Times New Roman" w:cs="Times New Roman"/>
        </w:rPr>
      </w:pPr>
    </w:p>
    <w:p w:rsidR="00ED7EFF" w:rsidRPr="0003611B" w:rsidRDefault="00ED7EFF" w:rsidP="00C2344B">
      <w:pPr>
        <w:jc w:val="both"/>
        <w:rPr>
          <w:rFonts w:ascii="Times New Roman" w:hAnsi="Times New Roman" w:cs="Times New Roman"/>
          <w:lang w:val="en-GB"/>
        </w:rPr>
      </w:pPr>
      <w:r w:rsidRPr="0003611B">
        <w:rPr>
          <w:rFonts w:ascii="Times New Roman" w:hAnsi="Times New Roman" w:cs="Times New Roman"/>
        </w:rPr>
        <w:t xml:space="preserve">Using both the Augmented </w:t>
      </w:r>
      <w:r w:rsidR="00A35957" w:rsidRPr="0003611B">
        <w:rPr>
          <w:rFonts w:ascii="Times New Roman" w:hAnsi="Times New Roman" w:cs="Times New Roman"/>
        </w:rPr>
        <w:t>Dickey-Fuller (ADF) and Phillip-</w:t>
      </w:r>
      <w:proofErr w:type="spellStart"/>
      <w:r w:rsidRPr="0003611B">
        <w:rPr>
          <w:rFonts w:ascii="Times New Roman" w:hAnsi="Times New Roman" w:cs="Times New Roman"/>
        </w:rPr>
        <w:t>Perron</w:t>
      </w:r>
      <w:proofErr w:type="spellEnd"/>
      <w:r w:rsidRPr="0003611B">
        <w:rPr>
          <w:rFonts w:ascii="Times New Roman" w:hAnsi="Times New Roman" w:cs="Times New Roman"/>
        </w:rPr>
        <w:t xml:space="preserve"> (PP) tests, the null hypothesis of </w:t>
      </w:r>
      <w:r w:rsidR="00A35957" w:rsidRPr="0003611B">
        <w:rPr>
          <w:rFonts w:ascii="Times New Roman" w:hAnsi="Times New Roman" w:cs="Times New Roman"/>
        </w:rPr>
        <w:t xml:space="preserve">the existence of a </w:t>
      </w:r>
      <w:r w:rsidRPr="0003611B">
        <w:rPr>
          <w:rFonts w:ascii="Times New Roman" w:hAnsi="Times New Roman" w:cs="Times New Roman"/>
        </w:rPr>
        <w:t>unit root was not rejected for the variables in their levels but was rejected in their first differences, providing evidence that</w:t>
      </w:r>
      <w:r w:rsidRPr="0003611B">
        <w:rPr>
          <w:rFonts w:ascii="Times New Roman" w:hAnsi="Times New Roman" w:cs="Times New Roman"/>
          <w:lang w:val="en-GB"/>
        </w:rPr>
        <w:t xml:space="preserve"> the series are integrated of order one</w:t>
      </w:r>
      <w:r w:rsidR="00A35957" w:rsidRPr="0003611B">
        <w:rPr>
          <w:rFonts w:ascii="Times New Roman" w:hAnsi="Times New Roman" w:cs="Times New Roman"/>
          <w:lang w:val="en-GB"/>
        </w:rPr>
        <w:t>,</w:t>
      </w:r>
      <w:r w:rsidRPr="0003611B">
        <w:rPr>
          <w:rFonts w:ascii="Times New Roman" w:hAnsi="Times New Roman" w:cs="Times New Roman"/>
          <w:lang w:val="en-GB"/>
        </w:rPr>
        <w:t xml:space="preserve"> </w:t>
      </w:r>
      <w:r w:rsidR="00A35957" w:rsidRPr="0003611B">
        <w:rPr>
          <w:rFonts w:ascii="Times New Roman" w:hAnsi="Times New Roman" w:cs="Times New Roman"/>
          <w:lang w:val="en-GB"/>
        </w:rPr>
        <w:t xml:space="preserve">i.e. </w:t>
      </w:r>
      <w:r w:rsidR="00A35957" w:rsidRPr="0003611B">
        <w:rPr>
          <w:rFonts w:ascii="Times New Roman" w:hAnsi="Times New Roman" w:cs="Times New Roman"/>
          <w:position w:val="-10"/>
          <w:lang w:val="en-GB"/>
        </w:rPr>
        <w:object w:dxaOrig="420" w:dyaOrig="340">
          <v:shape id="_x0000_i1040" type="#_x0000_t75" style="width:18pt;height:18pt" o:ole="" fillcolor="window">
            <v:imagedata r:id="rId39" o:title=""/>
          </v:shape>
          <o:OLEObject Type="Embed" ProgID="Equation.3" ShapeID="_x0000_i1040" DrawAspect="Content" ObjectID="_1564908188" r:id="rId40"/>
        </w:object>
      </w:r>
      <w:r w:rsidR="00A35957" w:rsidRPr="0003611B">
        <w:rPr>
          <w:rFonts w:ascii="Times New Roman" w:hAnsi="Times New Roman" w:cs="Times New Roman"/>
          <w:lang w:val="en-GB"/>
        </w:rPr>
        <w:t xml:space="preserve">, </w:t>
      </w:r>
      <w:r w:rsidRPr="0003611B">
        <w:rPr>
          <w:rFonts w:ascii="Times New Roman" w:hAnsi="Times New Roman" w:cs="Times New Roman"/>
          <w:lang w:val="en-GB"/>
        </w:rPr>
        <w:t>at the 5%</w:t>
      </w:r>
      <w:r w:rsidR="00B00B56">
        <w:rPr>
          <w:rFonts w:ascii="Times New Roman" w:hAnsi="Times New Roman" w:cs="Times New Roman"/>
          <w:lang w:val="en-GB"/>
        </w:rPr>
        <w:t xml:space="preserve"> significance level, see Table 1</w:t>
      </w:r>
      <w:r w:rsidRPr="0003611B">
        <w:rPr>
          <w:rFonts w:ascii="Times New Roman" w:hAnsi="Times New Roman" w:cs="Times New Roman"/>
          <w:lang w:val="en-GB"/>
        </w:rPr>
        <w:t xml:space="preserve">. </w:t>
      </w:r>
    </w:p>
    <w:p w:rsidR="00A85BDD" w:rsidRPr="0003611B" w:rsidRDefault="00A85BDD" w:rsidP="00C2344B">
      <w:pPr>
        <w:jc w:val="both"/>
        <w:rPr>
          <w:rFonts w:ascii="Times New Roman" w:hAnsi="Times New Roman" w:cs="Times New Roman"/>
          <w:lang w:val="en-GB"/>
        </w:rPr>
      </w:pPr>
    </w:p>
    <w:p w:rsidR="00ED7EFF" w:rsidRPr="0003611B" w:rsidRDefault="00B00B56" w:rsidP="00C2344B">
      <w:pPr>
        <w:jc w:val="both"/>
        <w:rPr>
          <w:rFonts w:ascii="Times New Roman" w:hAnsi="Times New Roman" w:cs="Times New Roman"/>
        </w:rPr>
      </w:pPr>
      <w:r>
        <w:rPr>
          <w:rFonts w:ascii="Times New Roman" w:hAnsi="Times New Roman" w:cs="Times New Roman"/>
        </w:rPr>
        <w:t>Table 1</w:t>
      </w:r>
      <w:r w:rsidR="004F2D3C" w:rsidRPr="0003611B">
        <w:rPr>
          <w:rFonts w:ascii="Times New Roman" w:hAnsi="Times New Roman" w:cs="Times New Roman"/>
        </w:rPr>
        <w:t>: Unit Root Test</w:t>
      </w:r>
      <w:r w:rsidR="00ED7EFF" w:rsidRPr="0003611B">
        <w:rPr>
          <w:rFonts w:ascii="Times New Roman" w:hAnsi="Times New Roman" w:cs="Times New Roman"/>
        </w:rPr>
        <w:t xml:space="preserve"> Results</w:t>
      </w:r>
    </w:p>
    <w:p w:rsidR="00ED7EFF" w:rsidRPr="00C2344B" w:rsidRDefault="00ED7EFF" w:rsidP="00C2344B">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834"/>
        <w:gridCol w:w="977"/>
        <w:gridCol w:w="977"/>
        <w:gridCol w:w="978"/>
        <w:gridCol w:w="978"/>
        <w:gridCol w:w="978"/>
        <w:gridCol w:w="978"/>
        <w:gridCol w:w="978"/>
      </w:tblGrid>
      <w:tr w:rsidR="00ED7EFF" w:rsidRPr="00C2344B" w:rsidTr="00CA6C3C">
        <w:trPr>
          <w:trHeight w:val="70"/>
        </w:trPr>
        <w:tc>
          <w:tcPr>
            <w:tcW w:w="1178" w:type="dxa"/>
            <w:tcBorders>
              <w:bottom w:val="nil"/>
            </w:tcBorders>
            <w:shd w:val="clear" w:color="auto" w:fill="F3F3F3"/>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Variable</w:t>
            </w:r>
          </w:p>
        </w:tc>
        <w:tc>
          <w:tcPr>
            <w:tcW w:w="3766" w:type="dxa"/>
            <w:gridSpan w:val="4"/>
            <w:shd w:val="clear" w:color="auto" w:fill="F3F3F3"/>
          </w:tcPr>
          <w:p w:rsidR="00ED7EFF" w:rsidRPr="00C2344B" w:rsidRDefault="00ED7EFF" w:rsidP="00C2344B">
            <w:pPr>
              <w:jc w:val="center"/>
              <w:rPr>
                <w:rFonts w:ascii="Times New Roman" w:hAnsi="Times New Roman" w:cs="Times New Roman"/>
                <w:bCs/>
                <w:sz w:val="22"/>
                <w:szCs w:val="22"/>
              </w:rPr>
            </w:pPr>
            <w:r w:rsidRPr="00C2344B">
              <w:rPr>
                <w:rFonts w:ascii="Times New Roman" w:hAnsi="Times New Roman" w:cs="Times New Roman"/>
                <w:bCs/>
                <w:sz w:val="22"/>
                <w:szCs w:val="22"/>
              </w:rPr>
              <w:t>Augmented Dickey Fuller (ADF) Tests</w:t>
            </w:r>
          </w:p>
        </w:tc>
        <w:tc>
          <w:tcPr>
            <w:tcW w:w="3912" w:type="dxa"/>
            <w:gridSpan w:val="4"/>
            <w:shd w:val="clear" w:color="auto" w:fill="F3F3F3"/>
          </w:tcPr>
          <w:p w:rsidR="00ED7EFF" w:rsidRPr="00C2344B" w:rsidRDefault="00ED7EFF" w:rsidP="00C2344B">
            <w:pPr>
              <w:jc w:val="center"/>
              <w:rPr>
                <w:rFonts w:ascii="Times New Roman" w:hAnsi="Times New Roman" w:cs="Times New Roman"/>
                <w:bCs/>
                <w:sz w:val="22"/>
                <w:szCs w:val="22"/>
              </w:rPr>
            </w:pPr>
            <w:r w:rsidRPr="00C2344B">
              <w:rPr>
                <w:rFonts w:ascii="Times New Roman" w:hAnsi="Times New Roman" w:cs="Times New Roman"/>
                <w:bCs/>
                <w:sz w:val="22"/>
                <w:szCs w:val="22"/>
              </w:rPr>
              <w:t>Phillips-</w:t>
            </w:r>
            <w:proofErr w:type="spellStart"/>
            <w:r w:rsidRPr="00C2344B">
              <w:rPr>
                <w:rFonts w:ascii="Times New Roman" w:hAnsi="Times New Roman" w:cs="Times New Roman"/>
                <w:bCs/>
                <w:sz w:val="22"/>
                <w:szCs w:val="22"/>
              </w:rPr>
              <w:t>Perron</w:t>
            </w:r>
            <w:proofErr w:type="spellEnd"/>
            <w:r w:rsidRPr="00C2344B">
              <w:rPr>
                <w:rFonts w:ascii="Times New Roman" w:hAnsi="Times New Roman" w:cs="Times New Roman"/>
                <w:bCs/>
                <w:sz w:val="22"/>
                <w:szCs w:val="22"/>
              </w:rPr>
              <w:t xml:space="preserve"> (PP) Tests</w:t>
            </w:r>
          </w:p>
        </w:tc>
      </w:tr>
      <w:tr w:rsidR="00ED7EFF" w:rsidRPr="00C2344B" w:rsidTr="00CA6C3C">
        <w:trPr>
          <w:trHeight w:val="359"/>
        </w:trPr>
        <w:tc>
          <w:tcPr>
            <w:tcW w:w="1178" w:type="dxa"/>
            <w:tcBorders>
              <w:top w:val="nil"/>
              <w:left w:val="single" w:sz="4" w:space="0" w:color="auto"/>
              <w:bottom w:val="nil"/>
              <w:right w:val="single" w:sz="4" w:space="0" w:color="auto"/>
            </w:tcBorders>
            <w:shd w:val="clear" w:color="auto" w:fill="F3F3F3"/>
          </w:tcPr>
          <w:p w:rsidR="00ED7EFF" w:rsidRPr="00C2344B" w:rsidRDefault="00ED7EFF" w:rsidP="00C2344B">
            <w:pPr>
              <w:jc w:val="both"/>
              <w:rPr>
                <w:rFonts w:ascii="Times New Roman" w:hAnsi="Times New Roman" w:cs="Times New Roman"/>
                <w:bCs/>
                <w:sz w:val="22"/>
                <w:szCs w:val="22"/>
              </w:rPr>
            </w:pPr>
          </w:p>
        </w:tc>
        <w:tc>
          <w:tcPr>
            <w:tcW w:w="1811" w:type="dxa"/>
            <w:gridSpan w:val="2"/>
            <w:tcBorders>
              <w:left w:val="single" w:sz="4" w:space="0" w:color="auto"/>
              <w:bottom w:val="nil"/>
            </w:tcBorders>
            <w:shd w:val="clear" w:color="auto" w:fill="F3F3F3"/>
          </w:tcPr>
          <w:p w:rsidR="00ED7EFF" w:rsidRPr="00C2344B" w:rsidRDefault="00ED7EFF" w:rsidP="00C2344B">
            <w:pPr>
              <w:jc w:val="center"/>
              <w:rPr>
                <w:rFonts w:ascii="Times New Roman" w:hAnsi="Times New Roman" w:cs="Times New Roman"/>
                <w:bCs/>
                <w:sz w:val="22"/>
                <w:szCs w:val="22"/>
              </w:rPr>
            </w:pPr>
            <w:r w:rsidRPr="00C2344B">
              <w:rPr>
                <w:rFonts w:ascii="Times New Roman" w:hAnsi="Times New Roman" w:cs="Times New Roman"/>
                <w:bCs/>
                <w:sz w:val="22"/>
                <w:szCs w:val="22"/>
              </w:rPr>
              <w:t>Without Trend</w:t>
            </w:r>
          </w:p>
        </w:tc>
        <w:tc>
          <w:tcPr>
            <w:tcW w:w="1955" w:type="dxa"/>
            <w:gridSpan w:val="2"/>
            <w:tcBorders>
              <w:bottom w:val="nil"/>
            </w:tcBorders>
            <w:shd w:val="clear" w:color="auto" w:fill="F3F3F3"/>
          </w:tcPr>
          <w:p w:rsidR="00ED7EFF" w:rsidRPr="00C2344B" w:rsidRDefault="00ED7EFF" w:rsidP="00C2344B">
            <w:pPr>
              <w:jc w:val="center"/>
              <w:rPr>
                <w:rFonts w:ascii="Times New Roman" w:hAnsi="Times New Roman" w:cs="Times New Roman"/>
                <w:bCs/>
                <w:sz w:val="22"/>
                <w:szCs w:val="22"/>
              </w:rPr>
            </w:pPr>
            <w:r w:rsidRPr="00C2344B">
              <w:rPr>
                <w:rFonts w:ascii="Times New Roman" w:hAnsi="Times New Roman" w:cs="Times New Roman"/>
                <w:bCs/>
                <w:sz w:val="22"/>
                <w:szCs w:val="22"/>
              </w:rPr>
              <w:t>With Trend</w:t>
            </w:r>
          </w:p>
        </w:tc>
        <w:tc>
          <w:tcPr>
            <w:tcW w:w="1956" w:type="dxa"/>
            <w:gridSpan w:val="2"/>
            <w:tcBorders>
              <w:bottom w:val="nil"/>
            </w:tcBorders>
            <w:shd w:val="clear" w:color="auto" w:fill="F3F3F3"/>
          </w:tcPr>
          <w:p w:rsidR="00ED7EFF" w:rsidRPr="00C2344B" w:rsidRDefault="00ED7EFF" w:rsidP="00C2344B">
            <w:pPr>
              <w:jc w:val="center"/>
              <w:rPr>
                <w:rFonts w:ascii="Times New Roman" w:hAnsi="Times New Roman" w:cs="Times New Roman"/>
                <w:bCs/>
                <w:sz w:val="22"/>
                <w:szCs w:val="22"/>
              </w:rPr>
            </w:pPr>
            <w:r w:rsidRPr="00C2344B">
              <w:rPr>
                <w:rFonts w:ascii="Times New Roman" w:hAnsi="Times New Roman" w:cs="Times New Roman"/>
                <w:bCs/>
                <w:sz w:val="22"/>
                <w:szCs w:val="22"/>
              </w:rPr>
              <w:t>Without Trend</w:t>
            </w:r>
          </w:p>
        </w:tc>
        <w:tc>
          <w:tcPr>
            <w:tcW w:w="1956" w:type="dxa"/>
            <w:gridSpan w:val="2"/>
            <w:tcBorders>
              <w:bottom w:val="nil"/>
            </w:tcBorders>
            <w:shd w:val="clear" w:color="auto" w:fill="F3F3F3"/>
          </w:tcPr>
          <w:p w:rsidR="00ED7EFF" w:rsidRPr="00C2344B" w:rsidRDefault="00ED7EFF" w:rsidP="00C2344B">
            <w:pPr>
              <w:jc w:val="center"/>
              <w:rPr>
                <w:rFonts w:ascii="Times New Roman" w:hAnsi="Times New Roman" w:cs="Times New Roman"/>
                <w:bCs/>
                <w:sz w:val="22"/>
                <w:szCs w:val="22"/>
              </w:rPr>
            </w:pPr>
            <w:r w:rsidRPr="00C2344B">
              <w:rPr>
                <w:rFonts w:ascii="Times New Roman" w:hAnsi="Times New Roman" w:cs="Times New Roman"/>
                <w:bCs/>
                <w:sz w:val="22"/>
                <w:szCs w:val="22"/>
              </w:rPr>
              <w:t>With Trend</w:t>
            </w:r>
          </w:p>
        </w:tc>
      </w:tr>
      <w:tr w:rsidR="00CA6C3C" w:rsidRPr="00C2344B" w:rsidTr="00CA6C3C">
        <w:tc>
          <w:tcPr>
            <w:tcW w:w="1178" w:type="dxa"/>
            <w:tcBorders>
              <w:top w:val="nil"/>
              <w:left w:val="single" w:sz="4" w:space="0" w:color="auto"/>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p>
        </w:tc>
        <w:tc>
          <w:tcPr>
            <w:tcW w:w="834" w:type="dxa"/>
            <w:tcBorders>
              <w:top w:val="nil"/>
              <w:left w:val="single" w:sz="4" w:space="0" w:color="auto"/>
              <w:bottom w:val="nil"/>
              <w:right w:val="nil"/>
            </w:tcBorders>
          </w:tcPr>
          <w:p w:rsidR="009D13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Level</w:t>
            </w:r>
          </w:p>
        </w:tc>
        <w:tc>
          <w:tcPr>
            <w:tcW w:w="977" w:type="dxa"/>
            <w:tcBorders>
              <w:top w:val="nil"/>
              <w:left w:val="nil"/>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FD</w:t>
            </w:r>
          </w:p>
        </w:tc>
        <w:tc>
          <w:tcPr>
            <w:tcW w:w="977" w:type="dxa"/>
            <w:tcBorders>
              <w:top w:val="nil"/>
              <w:left w:val="single" w:sz="4" w:space="0" w:color="auto"/>
              <w:bottom w:val="nil"/>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Level</w:t>
            </w:r>
          </w:p>
        </w:tc>
        <w:tc>
          <w:tcPr>
            <w:tcW w:w="978" w:type="dxa"/>
            <w:tcBorders>
              <w:top w:val="nil"/>
              <w:left w:val="nil"/>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FD</w:t>
            </w:r>
          </w:p>
        </w:tc>
        <w:tc>
          <w:tcPr>
            <w:tcW w:w="978" w:type="dxa"/>
            <w:tcBorders>
              <w:top w:val="nil"/>
              <w:left w:val="single" w:sz="4" w:space="0" w:color="auto"/>
              <w:bottom w:val="nil"/>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Level</w:t>
            </w:r>
          </w:p>
        </w:tc>
        <w:tc>
          <w:tcPr>
            <w:tcW w:w="978" w:type="dxa"/>
            <w:tcBorders>
              <w:top w:val="nil"/>
              <w:left w:val="nil"/>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FD</w:t>
            </w:r>
          </w:p>
        </w:tc>
        <w:tc>
          <w:tcPr>
            <w:tcW w:w="978" w:type="dxa"/>
            <w:tcBorders>
              <w:top w:val="nil"/>
              <w:left w:val="single" w:sz="4" w:space="0" w:color="auto"/>
              <w:bottom w:val="nil"/>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Level</w:t>
            </w:r>
          </w:p>
        </w:tc>
        <w:tc>
          <w:tcPr>
            <w:tcW w:w="978" w:type="dxa"/>
            <w:tcBorders>
              <w:top w:val="nil"/>
              <w:left w:val="nil"/>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FD</w:t>
            </w:r>
          </w:p>
        </w:tc>
      </w:tr>
      <w:tr w:rsidR="00CA6C3C" w:rsidRPr="00C2344B" w:rsidTr="00CA6C3C">
        <w:tc>
          <w:tcPr>
            <w:tcW w:w="1178" w:type="dxa"/>
            <w:tcBorders>
              <w:top w:val="nil"/>
              <w:left w:val="single" w:sz="4" w:space="0" w:color="auto"/>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w:t>
            </w:r>
            <w:r w:rsidR="00CA6C3C" w:rsidRPr="00C2344B">
              <w:rPr>
                <w:rFonts w:ascii="Times New Roman" w:hAnsi="Times New Roman" w:cs="Times New Roman"/>
                <w:bCs/>
                <w:sz w:val="22"/>
                <w:szCs w:val="22"/>
              </w:rPr>
              <w:t xml:space="preserve">og of </w:t>
            </w:r>
            <w:r w:rsidRPr="00C2344B">
              <w:rPr>
                <w:rFonts w:ascii="Times New Roman" w:hAnsi="Times New Roman" w:cs="Times New Roman"/>
                <w:bCs/>
                <w:sz w:val="22"/>
                <w:szCs w:val="22"/>
              </w:rPr>
              <w:t>CPI</w:t>
            </w:r>
          </w:p>
        </w:tc>
        <w:tc>
          <w:tcPr>
            <w:tcW w:w="834" w:type="dxa"/>
            <w:tcBorders>
              <w:top w:val="nil"/>
              <w:left w:val="single" w:sz="4" w:space="0" w:color="auto"/>
              <w:bottom w:val="nil"/>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w:t>
            </w:r>
            <w:r w:rsidR="00E32836" w:rsidRPr="00C2344B">
              <w:rPr>
                <w:rFonts w:ascii="Times New Roman" w:hAnsi="Times New Roman" w:cs="Times New Roman"/>
                <w:bCs/>
                <w:sz w:val="22"/>
                <w:szCs w:val="22"/>
              </w:rPr>
              <w:t>30</w:t>
            </w:r>
          </w:p>
        </w:tc>
        <w:tc>
          <w:tcPr>
            <w:tcW w:w="977"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-6.54</w:t>
            </w:r>
            <w:r w:rsidR="00ED7EFF" w:rsidRPr="00C2344B">
              <w:rPr>
                <w:rFonts w:ascii="Times New Roman" w:hAnsi="Times New Roman" w:cs="Times New Roman"/>
                <w:bCs/>
                <w:sz w:val="22"/>
                <w:szCs w:val="22"/>
              </w:rPr>
              <w:t>*</w:t>
            </w:r>
          </w:p>
        </w:tc>
        <w:tc>
          <w:tcPr>
            <w:tcW w:w="977" w:type="dxa"/>
            <w:tcBorders>
              <w:top w:val="nil"/>
              <w:left w:val="single" w:sz="4" w:space="0" w:color="auto"/>
              <w:bottom w:val="nil"/>
              <w:right w:val="nil"/>
            </w:tcBorders>
          </w:tcPr>
          <w:p w:rsidR="00ED7EFF" w:rsidRPr="00C2344B" w:rsidRDefault="00D64CCB"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w:t>
            </w:r>
            <w:r w:rsidR="00E32836" w:rsidRPr="00C2344B">
              <w:rPr>
                <w:rFonts w:ascii="Times New Roman" w:hAnsi="Times New Roman" w:cs="Times New Roman"/>
                <w:bCs/>
                <w:sz w:val="22"/>
                <w:szCs w:val="22"/>
              </w:rPr>
              <w:t>2.31</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-6.57</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D64CCB"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w:t>
            </w:r>
            <w:r w:rsidR="00E32836" w:rsidRPr="00C2344B">
              <w:rPr>
                <w:rFonts w:ascii="Times New Roman" w:hAnsi="Times New Roman" w:cs="Times New Roman"/>
                <w:bCs/>
                <w:sz w:val="22"/>
                <w:szCs w:val="22"/>
              </w:rPr>
              <w:t>42</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-6.57</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BD0679"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w:t>
            </w:r>
            <w:r w:rsidR="00E32836" w:rsidRPr="00C2344B">
              <w:rPr>
                <w:rFonts w:ascii="Times New Roman" w:hAnsi="Times New Roman" w:cs="Times New Roman"/>
                <w:bCs/>
                <w:sz w:val="22"/>
                <w:szCs w:val="22"/>
              </w:rPr>
              <w:t>47</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-6.60</w:t>
            </w:r>
            <w:r w:rsidR="00ED7EFF" w:rsidRPr="00C2344B">
              <w:rPr>
                <w:rFonts w:ascii="Times New Roman" w:hAnsi="Times New Roman" w:cs="Times New Roman"/>
                <w:bCs/>
                <w:sz w:val="22"/>
                <w:szCs w:val="22"/>
              </w:rPr>
              <w:t>*</w:t>
            </w:r>
          </w:p>
        </w:tc>
      </w:tr>
      <w:tr w:rsidR="00CA6C3C" w:rsidRPr="00C2344B" w:rsidTr="00CA6C3C">
        <w:tc>
          <w:tcPr>
            <w:tcW w:w="1178" w:type="dxa"/>
            <w:tcBorders>
              <w:top w:val="nil"/>
              <w:left w:val="single" w:sz="4" w:space="0" w:color="auto"/>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w:t>
            </w:r>
            <w:r w:rsidR="00CA6C3C" w:rsidRPr="00C2344B">
              <w:rPr>
                <w:rFonts w:ascii="Times New Roman" w:hAnsi="Times New Roman" w:cs="Times New Roman"/>
                <w:bCs/>
                <w:sz w:val="22"/>
                <w:szCs w:val="22"/>
              </w:rPr>
              <w:t xml:space="preserve">og of </w:t>
            </w:r>
            <w:r w:rsidRPr="00C2344B">
              <w:rPr>
                <w:rFonts w:ascii="Times New Roman" w:hAnsi="Times New Roman" w:cs="Times New Roman"/>
                <w:bCs/>
                <w:sz w:val="22"/>
                <w:szCs w:val="22"/>
              </w:rPr>
              <w:t>IR</w:t>
            </w:r>
          </w:p>
        </w:tc>
        <w:tc>
          <w:tcPr>
            <w:tcW w:w="834" w:type="dxa"/>
            <w:tcBorders>
              <w:top w:val="nil"/>
              <w:left w:val="single" w:sz="4" w:space="0" w:color="auto"/>
              <w:bottom w:val="nil"/>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-2.23</w:t>
            </w:r>
          </w:p>
        </w:tc>
        <w:tc>
          <w:tcPr>
            <w:tcW w:w="977"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-4.37</w:t>
            </w:r>
            <w:r w:rsidR="00ED7EFF" w:rsidRPr="00C2344B">
              <w:rPr>
                <w:rFonts w:ascii="Times New Roman" w:hAnsi="Times New Roman" w:cs="Times New Roman"/>
                <w:bCs/>
                <w:sz w:val="22"/>
                <w:szCs w:val="22"/>
              </w:rPr>
              <w:t>*</w:t>
            </w:r>
          </w:p>
        </w:tc>
        <w:tc>
          <w:tcPr>
            <w:tcW w:w="977" w:type="dxa"/>
            <w:tcBorders>
              <w:top w:val="nil"/>
              <w:left w:val="single" w:sz="4" w:space="0" w:color="auto"/>
              <w:bottom w:val="nil"/>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w:t>
            </w:r>
            <w:r w:rsidR="00E32836" w:rsidRPr="00C2344B">
              <w:rPr>
                <w:rFonts w:ascii="Times New Roman" w:hAnsi="Times New Roman" w:cs="Times New Roman"/>
                <w:bCs/>
                <w:sz w:val="22"/>
                <w:szCs w:val="22"/>
              </w:rPr>
              <w:t>37</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-4.46</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D64CCB"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w:t>
            </w:r>
            <w:r w:rsidR="00E32836" w:rsidRPr="00C2344B">
              <w:rPr>
                <w:rFonts w:ascii="Times New Roman" w:hAnsi="Times New Roman" w:cs="Times New Roman"/>
                <w:bCs/>
                <w:sz w:val="22"/>
                <w:szCs w:val="22"/>
              </w:rPr>
              <w:t>26</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-4.52</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D64CCB"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w:t>
            </w:r>
            <w:r w:rsidR="00E32836" w:rsidRPr="00C2344B">
              <w:rPr>
                <w:rFonts w:ascii="Times New Roman" w:hAnsi="Times New Roman" w:cs="Times New Roman"/>
                <w:bCs/>
                <w:sz w:val="22"/>
                <w:szCs w:val="22"/>
              </w:rPr>
              <w:t>34</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-4.60</w:t>
            </w:r>
            <w:r w:rsidR="00ED7EFF" w:rsidRPr="00C2344B">
              <w:rPr>
                <w:rFonts w:ascii="Times New Roman" w:hAnsi="Times New Roman" w:cs="Times New Roman"/>
                <w:bCs/>
                <w:sz w:val="22"/>
                <w:szCs w:val="22"/>
              </w:rPr>
              <w:t>*</w:t>
            </w:r>
          </w:p>
        </w:tc>
      </w:tr>
      <w:tr w:rsidR="00CA6C3C" w:rsidRPr="00C2344B" w:rsidTr="00CA6C3C">
        <w:tc>
          <w:tcPr>
            <w:tcW w:w="1178" w:type="dxa"/>
            <w:tcBorders>
              <w:top w:val="nil"/>
              <w:left w:val="single" w:sz="4" w:space="0" w:color="auto"/>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w:t>
            </w:r>
            <w:r w:rsidR="00CA6C3C" w:rsidRPr="00C2344B">
              <w:rPr>
                <w:rFonts w:ascii="Times New Roman" w:hAnsi="Times New Roman" w:cs="Times New Roman"/>
                <w:bCs/>
                <w:sz w:val="22"/>
                <w:szCs w:val="22"/>
              </w:rPr>
              <w:t xml:space="preserve">og of </w:t>
            </w:r>
            <w:r w:rsidRPr="00C2344B">
              <w:rPr>
                <w:rFonts w:ascii="Times New Roman" w:hAnsi="Times New Roman" w:cs="Times New Roman"/>
                <w:bCs/>
                <w:sz w:val="22"/>
                <w:szCs w:val="22"/>
              </w:rPr>
              <w:t>ER</w:t>
            </w:r>
          </w:p>
        </w:tc>
        <w:tc>
          <w:tcPr>
            <w:tcW w:w="834" w:type="dxa"/>
            <w:tcBorders>
              <w:top w:val="nil"/>
              <w:left w:val="single" w:sz="4" w:space="0" w:color="auto"/>
              <w:bottom w:val="nil"/>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1</w:t>
            </w:r>
            <w:r w:rsidR="00ED7EFF" w:rsidRPr="00C2344B">
              <w:rPr>
                <w:rFonts w:ascii="Times New Roman" w:hAnsi="Times New Roman" w:cs="Times New Roman"/>
                <w:bCs/>
                <w:sz w:val="22"/>
                <w:szCs w:val="22"/>
              </w:rPr>
              <w:t>.2</w:t>
            </w:r>
            <w:r w:rsidR="00D64CCB" w:rsidRPr="00C2344B">
              <w:rPr>
                <w:rFonts w:ascii="Times New Roman" w:hAnsi="Times New Roman" w:cs="Times New Roman"/>
                <w:bCs/>
                <w:sz w:val="22"/>
                <w:szCs w:val="22"/>
              </w:rPr>
              <w:t>7</w:t>
            </w:r>
          </w:p>
        </w:tc>
        <w:tc>
          <w:tcPr>
            <w:tcW w:w="977"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-3.24</w:t>
            </w:r>
            <w:r w:rsidR="00ED7EFF" w:rsidRPr="00C2344B">
              <w:rPr>
                <w:rFonts w:ascii="Times New Roman" w:hAnsi="Times New Roman" w:cs="Times New Roman"/>
                <w:bCs/>
                <w:sz w:val="22"/>
                <w:szCs w:val="22"/>
              </w:rPr>
              <w:t>*</w:t>
            </w:r>
          </w:p>
        </w:tc>
        <w:tc>
          <w:tcPr>
            <w:tcW w:w="977" w:type="dxa"/>
            <w:tcBorders>
              <w:top w:val="nil"/>
              <w:left w:val="single" w:sz="4" w:space="0" w:color="auto"/>
              <w:bottom w:val="nil"/>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-1.31</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-3.23</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1.68</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-4.56</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2.21</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-4.55</w:t>
            </w:r>
            <w:r w:rsidR="00ED7EFF" w:rsidRPr="00C2344B">
              <w:rPr>
                <w:rFonts w:ascii="Times New Roman" w:hAnsi="Times New Roman" w:cs="Times New Roman"/>
                <w:bCs/>
                <w:sz w:val="22"/>
                <w:szCs w:val="22"/>
              </w:rPr>
              <w:t>*</w:t>
            </w:r>
          </w:p>
        </w:tc>
      </w:tr>
      <w:tr w:rsidR="00CA6C3C" w:rsidRPr="00C2344B" w:rsidTr="00CA6C3C">
        <w:trPr>
          <w:trHeight w:val="306"/>
        </w:trPr>
        <w:tc>
          <w:tcPr>
            <w:tcW w:w="1178" w:type="dxa"/>
            <w:tcBorders>
              <w:top w:val="nil"/>
              <w:left w:val="single" w:sz="4" w:space="0" w:color="auto"/>
              <w:bottom w:val="nil"/>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w:t>
            </w:r>
            <w:r w:rsidR="00CA6C3C" w:rsidRPr="00C2344B">
              <w:rPr>
                <w:rFonts w:ascii="Times New Roman" w:hAnsi="Times New Roman" w:cs="Times New Roman"/>
                <w:bCs/>
                <w:sz w:val="22"/>
                <w:szCs w:val="22"/>
              </w:rPr>
              <w:t xml:space="preserve">og of </w:t>
            </w:r>
            <w:r w:rsidRPr="00C2344B">
              <w:rPr>
                <w:rFonts w:ascii="Times New Roman" w:hAnsi="Times New Roman" w:cs="Times New Roman"/>
                <w:bCs/>
                <w:sz w:val="22"/>
                <w:szCs w:val="22"/>
              </w:rPr>
              <w:t>IP</w:t>
            </w:r>
          </w:p>
        </w:tc>
        <w:tc>
          <w:tcPr>
            <w:tcW w:w="834" w:type="dxa"/>
            <w:tcBorders>
              <w:top w:val="nil"/>
              <w:left w:val="single" w:sz="4" w:space="0" w:color="auto"/>
              <w:bottom w:val="nil"/>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w:t>
            </w:r>
            <w:r w:rsidR="00E32836" w:rsidRPr="00C2344B">
              <w:rPr>
                <w:rFonts w:ascii="Times New Roman" w:hAnsi="Times New Roman" w:cs="Times New Roman"/>
                <w:bCs/>
                <w:sz w:val="22"/>
                <w:szCs w:val="22"/>
              </w:rPr>
              <w:t>0.63</w:t>
            </w:r>
          </w:p>
        </w:tc>
        <w:tc>
          <w:tcPr>
            <w:tcW w:w="977"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-3.90</w:t>
            </w:r>
            <w:r w:rsidR="00ED7EFF" w:rsidRPr="00C2344B">
              <w:rPr>
                <w:rFonts w:ascii="Times New Roman" w:hAnsi="Times New Roman" w:cs="Times New Roman"/>
                <w:bCs/>
                <w:sz w:val="22"/>
                <w:szCs w:val="22"/>
              </w:rPr>
              <w:t>*</w:t>
            </w:r>
          </w:p>
        </w:tc>
        <w:tc>
          <w:tcPr>
            <w:tcW w:w="977" w:type="dxa"/>
            <w:tcBorders>
              <w:top w:val="nil"/>
              <w:left w:val="single" w:sz="4" w:space="0" w:color="auto"/>
              <w:bottom w:val="nil"/>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-0.62</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-3.88</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w:t>
            </w:r>
            <w:r w:rsidR="00E32836" w:rsidRPr="00C2344B">
              <w:rPr>
                <w:rFonts w:ascii="Times New Roman" w:hAnsi="Times New Roman" w:cs="Times New Roman"/>
                <w:bCs/>
                <w:sz w:val="22"/>
                <w:szCs w:val="22"/>
              </w:rPr>
              <w:t>0.75</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-4.72</w:t>
            </w:r>
            <w:r w:rsidR="00ED7EFF" w:rsidRPr="00C2344B">
              <w:rPr>
                <w:rFonts w:ascii="Times New Roman" w:hAnsi="Times New Roman" w:cs="Times New Roman"/>
                <w:bCs/>
                <w:sz w:val="22"/>
                <w:szCs w:val="22"/>
              </w:rPr>
              <w:t>*</w:t>
            </w:r>
          </w:p>
        </w:tc>
        <w:tc>
          <w:tcPr>
            <w:tcW w:w="978" w:type="dxa"/>
            <w:tcBorders>
              <w:top w:val="nil"/>
              <w:left w:val="single" w:sz="4" w:space="0" w:color="auto"/>
              <w:bottom w:val="nil"/>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-0.82</w:t>
            </w:r>
          </w:p>
        </w:tc>
        <w:tc>
          <w:tcPr>
            <w:tcW w:w="978" w:type="dxa"/>
            <w:tcBorders>
              <w:top w:val="nil"/>
              <w:left w:val="nil"/>
              <w:bottom w:val="nil"/>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-4.70</w:t>
            </w:r>
            <w:r w:rsidR="00ED7EFF" w:rsidRPr="00C2344B">
              <w:rPr>
                <w:rFonts w:ascii="Times New Roman" w:hAnsi="Times New Roman" w:cs="Times New Roman"/>
                <w:bCs/>
                <w:sz w:val="22"/>
                <w:szCs w:val="22"/>
              </w:rPr>
              <w:t>*</w:t>
            </w:r>
          </w:p>
        </w:tc>
      </w:tr>
      <w:tr w:rsidR="00CA6C3C" w:rsidRPr="00C2344B" w:rsidTr="00CA6C3C">
        <w:trPr>
          <w:trHeight w:val="102"/>
        </w:trPr>
        <w:tc>
          <w:tcPr>
            <w:tcW w:w="1178" w:type="dxa"/>
            <w:tcBorders>
              <w:top w:val="nil"/>
              <w:left w:val="single" w:sz="4" w:space="0" w:color="auto"/>
              <w:bottom w:val="single" w:sz="4" w:space="0" w:color="auto"/>
              <w:right w:val="single" w:sz="4" w:space="0" w:color="auto"/>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L</w:t>
            </w:r>
            <w:r w:rsidR="00CA6C3C" w:rsidRPr="00C2344B">
              <w:rPr>
                <w:rFonts w:ascii="Times New Roman" w:hAnsi="Times New Roman" w:cs="Times New Roman"/>
                <w:bCs/>
                <w:sz w:val="22"/>
                <w:szCs w:val="22"/>
              </w:rPr>
              <w:t xml:space="preserve">og of </w:t>
            </w:r>
            <w:r w:rsidRPr="00C2344B">
              <w:rPr>
                <w:rFonts w:ascii="Times New Roman" w:hAnsi="Times New Roman" w:cs="Times New Roman"/>
                <w:bCs/>
                <w:sz w:val="22"/>
                <w:szCs w:val="22"/>
              </w:rPr>
              <w:t>IMP</w:t>
            </w:r>
          </w:p>
        </w:tc>
        <w:tc>
          <w:tcPr>
            <w:tcW w:w="834" w:type="dxa"/>
            <w:tcBorders>
              <w:top w:val="nil"/>
              <w:left w:val="single" w:sz="4" w:space="0" w:color="auto"/>
              <w:bottom w:val="single" w:sz="4" w:space="0" w:color="auto"/>
              <w:right w:val="nil"/>
            </w:tcBorders>
          </w:tcPr>
          <w:p w:rsidR="00ED7EFF" w:rsidRPr="00C2344B" w:rsidRDefault="00ED7EFF"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w:t>
            </w:r>
            <w:r w:rsidR="00E32836" w:rsidRPr="00C2344B">
              <w:rPr>
                <w:rFonts w:ascii="Times New Roman" w:hAnsi="Times New Roman" w:cs="Times New Roman"/>
                <w:bCs/>
                <w:sz w:val="22"/>
                <w:szCs w:val="22"/>
              </w:rPr>
              <w:t>1.37</w:t>
            </w:r>
          </w:p>
        </w:tc>
        <w:tc>
          <w:tcPr>
            <w:tcW w:w="977" w:type="dxa"/>
            <w:tcBorders>
              <w:top w:val="nil"/>
              <w:left w:val="nil"/>
              <w:bottom w:val="single" w:sz="4" w:space="0" w:color="auto"/>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-3.51</w:t>
            </w:r>
            <w:r w:rsidR="00ED7EFF" w:rsidRPr="00C2344B">
              <w:rPr>
                <w:rFonts w:ascii="Times New Roman" w:hAnsi="Times New Roman" w:cs="Times New Roman"/>
                <w:bCs/>
                <w:sz w:val="22"/>
                <w:szCs w:val="22"/>
              </w:rPr>
              <w:t>*</w:t>
            </w:r>
          </w:p>
        </w:tc>
        <w:tc>
          <w:tcPr>
            <w:tcW w:w="977" w:type="dxa"/>
            <w:tcBorders>
              <w:top w:val="nil"/>
              <w:left w:val="single" w:sz="4" w:space="0" w:color="auto"/>
              <w:bottom w:val="single" w:sz="4" w:space="0" w:color="auto"/>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-1.48</w:t>
            </w:r>
          </w:p>
        </w:tc>
        <w:tc>
          <w:tcPr>
            <w:tcW w:w="978" w:type="dxa"/>
            <w:tcBorders>
              <w:top w:val="nil"/>
              <w:left w:val="nil"/>
              <w:bottom w:val="single" w:sz="4" w:space="0" w:color="auto"/>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-4.12</w:t>
            </w:r>
            <w:r w:rsidR="00ED7EFF" w:rsidRPr="00C2344B">
              <w:rPr>
                <w:rFonts w:ascii="Times New Roman" w:hAnsi="Times New Roman" w:cs="Times New Roman"/>
                <w:bCs/>
                <w:sz w:val="22"/>
                <w:szCs w:val="22"/>
              </w:rPr>
              <w:t>*</w:t>
            </w:r>
          </w:p>
        </w:tc>
        <w:tc>
          <w:tcPr>
            <w:tcW w:w="978" w:type="dxa"/>
            <w:tcBorders>
              <w:top w:val="nil"/>
              <w:left w:val="single" w:sz="4" w:space="0" w:color="auto"/>
              <w:bottom w:val="single" w:sz="4" w:space="0" w:color="auto"/>
              <w:right w:val="nil"/>
            </w:tcBorders>
          </w:tcPr>
          <w:p w:rsidR="00ED7EFF" w:rsidRPr="00C2344B" w:rsidRDefault="00D64CCB"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w:t>
            </w:r>
            <w:r w:rsidR="00E32836" w:rsidRPr="00C2344B">
              <w:rPr>
                <w:rFonts w:ascii="Times New Roman" w:hAnsi="Times New Roman" w:cs="Times New Roman"/>
                <w:bCs/>
                <w:sz w:val="22"/>
                <w:szCs w:val="22"/>
              </w:rPr>
              <w:t>03</w:t>
            </w:r>
          </w:p>
        </w:tc>
        <w:tc>
          <w:tcPr>
            <w:tcW w:w="978" w:type="dxa"/>
            <w:tcBorders>
              <w:top w:val="nil"/>
              <w:left w:val="nil"/>
              <w:bottom w:val="single" w:sz="4" w:space="0" w:color="auto"/>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-4.26</w:t>
            </w:r>
            <w:r w:rsidR="00ED7EFF" w:rsidRPr="00C2344B">
              <w:rPr>
                <w:rFonts w:ascii="Times New Roman" w:hAnsi="Times New Roman" w:cs="Times New Roman"/>
                <w:bCs/>
                <w:sz w:val="22"/>
                <w:szCs w:val="22"/>
              </w:rPr>
              <w:t>*</w:t>
            </w:r>
          </w:p>
        </w:tc>
        <w:tc>
          <w:tcPr>
            <w:tcW w:w="978" w:type="dxa"/>
            <w:tcBorders>
              <w:top w:val="nil"/>
              <w:left w:val="single" w:sz="4" w:space="0" w:color="auto"/>
              <w:bottom w:val="single" w:sz="4" w:space="0" w:color="auto"/>
              <w:right w:val="nil"/>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-2.14</w:t>
            </w:r>
          </w:p>
        </w:tc>
        <w:tc>
          <w:tcPr>
            <w:tcW w:w="978" w:type="dxa"/>
            <w:tcBorders>
              <w:top w:val="nil"/>
              <w:left w:val="nil"/>
              <w:bottom w:val="single" w:sz="4" w:space="0" w:color="auto"/>
              <w:right w:val="single" w:sz="4" w:space="0" w:color="auto"/>
            </w:tcBorders>
          </w:tcPr>
          <w:p w:rsidR="00ED7EFF" w:rsidRPr="00C2344B" w:rsidRDefault="00E32836" w:rsidP="00C2344B">
            <w:pPr>
              <w:jc w:val="both"/>
              <w:rPr>
                <w:rFonts w:ascii="Times New Roman" w:hAnsi="Times New Roman" w:cs="Times New Roman"/>
                <w:bCs/>
                <w:sz w:val="22"/>
                <w:szCs w:val="22"/>
              </w:rPr>
            </w:pPr>
            <w:r w:rsidRPr="00C2344B">
              <w:rPr>
                <w:rFonts w:ascii="Times New Roman" w:hAnsi="Times New Roman" w:cs="Times New Roman"/>
                <w:bCs/>
                <w:sz w:val="22"/>
                <w:szCs w:val="22"/>
              </w:rPr>
              <w:t>-4.44</w:t>
            </w:r>
            <w:r w:rsidR="00ED7EFF" w:rsidRPr="00C2344B">
              <w:rPr>
                <w:rFonts w:ascii="Times New Roman" w:hAnsi="Times New Roman" w:cs="Times New Roman"/>
                <w:bCs/>
                <w:sz w:val="22"/>
                <w:szCs w:val="22"/>
              </w:rPr>
              <w:t>*</w:t>
            </w:r>
          </w:p>
        </w:tc>
      </w:tr>
    </w:tbl>
    <w:p w:rsidR="00ED7EFF" w:rsidRPr="00C2344B" w:rsidRDefault="00ED7EFF" w:rsidP="00C2344B">
      <w:pPr>
        <w:jc w:val="both"/>
        <w:rPr>
          <w:rFonts w:ascii="Times New Roman" w:hAnsi="Times New Roman" w:cs="Times New Roman"/>
          <w:sz w:val="22"/>
          <w:szCs w:val="22"/>
        </w:rPr>
      </w:pPr>
    </w:p>
    <w:p w:rsidR="00ED7EFF" w:rsidRPr="00C2344B" w:rsidRDefault="00ED7EFF" w:rsidP="00C2344B">
      <w:pPr>
        <w:jc w:val="both"/>
        <w:rPr>
          <w:rFonts w:ascii="Times New Roman" w:hAnsi="Times New Roman" w:cs="Times New Roman"/>
          <w:sz w:val="22"/>
          <w:szCs w:val="22"/>
        </w:rPr>
      </w:pPr>
      <w:r w:rsidRPr="00A2071A">
        <w:rPr>
          <w:rFonts w:ascii="Times New Roman" w:hAnsi="Times New Roman" w:cs="Times New Roman"/>
          <w:sz w:val="18"/>
          <w:szCs w:val="18"/>
        </w:rPr>
        <w:t>Note: * denotes significance at the 5 percent level. Numbers in the Table are the pseudo t- statistics for testing the null hypothesis that the series is nonstationary. The critical values of the ADF and PP statistics with a constant but no trend are -3.47, -2.88, and -2.57 at the 1, 5 and 10 percent significant levels respectively, while the test statistics with a constant and trend are -4.01, -3.43, and -3.14 at the 1, 5 and 10 percent significance levels respectively</w:t>
      </w:r>
      <w:r w:rsidRPr="00C2344B">
        <w:rPr>
          <w:rFonts w:ascii="Times New Roman" w:hAnsi="Times New Roman" w:cs="Times New Roman"/>
          <w:sz w:val="22"/>
          <w:szCs w:val="22"/>
        </w:rPr>
        <w:t>.</w:t>
      </w:r>
    </w:p>
    <w:p w:rsidR="00ED7EFF" w:rsidRPr="00C2344B" w:rsidRDefault="00ED7EFF" w:rsidP="00C2344B">
      <w:pPr>
        <w:jc w:val="both"/>
        <w:rPr>
          <w:rFonts w:ascii="Times New Roman" w:hAnsi="Times New Roman" w:cs="Times New Roman"/>
          <w:sz w:val="22"/>
          <w:szCs w:val="22"/>
        </w:rPr>
      </w:pP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t xml:space="preserve">To ensure that there is no autocorrelation and heteroskedasticity in the residuals, I selected the optimal lag length using the Akaike Information Criterion (AIC) and Hannan-Quinn Information Criterion (HQIC). Table </w:t>
      </w:r>
      <w:r w:rsidR="00B00B56">
        <w:rPr>
          <w:rFonts w:ascii="Times New Roman" w:hAnsi="Times New Roman" w:cs="Times New Roman"/>
        </w:rPr>
        <w:t>2</w:t>
      </w:r>
      <w:r w:rsidRPr="0003611B">
        <w:rPr>
          <w:rFonts w:ascii="Times New Roman" w:hAnsi="Times New Roman" w:cs="Times New Roman"/>
        </w:rPr>
        <w:t xml:space="preserve"> reflects that the optimum lag length is 4. </w:t>
      </w:r>
    </w:p>
    <w:p w:rsidR="007A699E" w:rsidRPr="00C2344B" w:rsidRDefault="007A699E" w:rsidP="00C2344B">
      <w:pPr>
        <w:jc w:val="both"/>
        <w:rPr>
          <w:rFonts w:ascii="Times New Roman" w:hAnsi="Times New Roman" w:cs="Times New Roman"/>
          <w:b/>
          <w:sz w:val="22"/>
          <w:szCs w:val="22"/>
        </w:rPr>
      </w:pPr>
    </w:p>
    <w:p w:rsidR="00270EC3" w:rsidRPr="003E5B17" w:rsidRDefault="00D232C8" w:rsidP="00C2344B">
      <w:pPr>
        <w:jc w:val="both"/>
        <w:rPr>
          <w:rFonts w:ascii="Times New Roman" w:hAnsi="Times New Roman" w:cs="Times New Roman"/>
        </w:rPr>
      </w:pPr>
      <w:r w:rsidRPr="003E5B17">
        <w:rPr>
          <w:rFonts w:ascii="Times New Roman" w:hAnsi="Times New Roman" w:cs="Times New Roman"/>
        </w:rPr>
        <w:t xml:space="preserve">Table </w:t>
      </w:r>
      <w:r w:rsidR="00B00B56">
        <w:rPr>
          <w:rFonts w:ascii="Times New Roman" w:hAnsi="Times New Roman" w:cs="Times New Roman"/>
        </w:rPr>
        <w:t>2</w:t>
      </w:r>
      <w:r w:rsidR="00270EC3" w:rsidRPr="003E5B17">
        <w:rPr>
          <w:rFonts w:ascii="Times New Roman" w:hAnsi="Times New Roman" w:cs="Times New Roman"/>
        </w:rPr>
        <w:t>: Lag Length Selection</w:t>
      </w:r>
    </w:p>
    <w:p w:rsidR="00270EC3" w:rsidRPr="00C2344B" w:rsidRDefault="00270EC3" w:rsidP="00C2344B">
      <w:pPr>
        <w:jc w:val="both"/>
        <w:rPr>
          <w:rFonts w:ascii="Times New Roman" w:hAnsi="Times New Roman" w:cs="Times New Roman"/>
          <w:sz w:val="22"/>
          <w:szCs w:val="22"/>
        </w:rPr>
      </w:pPr>
    </w:p>
    <w:p w:rsidR="00270EC3" w:rsidRPr="003E5B17" w:rsidRDefault="00270EC3" w:rsidP="00C2344B">
      <w:pPr>
        <w:pBdr>
          <w:top w:val="single" w:sz="4" w:space="1" w:color="auto"/>
        </w:pBdr>
        <w:jc w:val="both"/>
        <w:rPr>
          <w:rFonts w:ascii="Times New Roman" w:hAnsi="Times New Roman" w:cs="Times New Roman"/>
        </w:rPr>
      </w:pPr>
      <w:r w:rsidRPr="003E5B17">
        <w:rPr>
          <w:rFonts w:ascii="Times New Roman" w:hAnsi="Times New Roman" w:cs="Times New Roman"/>
        </w:rPr>
        <w:t>Lag order</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HQIC</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AIC</w:t>
      </w:r>
    </w:p>
    <w:p w:rsidR="00270EC3" w:rsidRPr="003E5B17" w:rsidRDefault="00270EC3" w:rsidP="00C2344B">
      <w:pPr>
        <w:jc w:val="both"/>
        <w:rPr>
          <w:rFonts w:ascii="Times New Roman" w:hAnsi="Times New Roman" w:cs="Times New Roman"/>
        </w:rPr>
      </w:pPr>
    </w:p>
    <w:p w:rsidR="00270EC3" w:rsidRPr="003E5B17" w:rsidRDefault="00270EC3" w:rsidP="00C2344B">
      <w:pPr>
        <w:pBdr>
          <w:top w:val="single" w:sz="4" w:space="1" w:color="auto"/>
        </w:pBdr>
        <w:jc w:val="both"/>
        <w:rPr>
          <w:rFonts w:ascii="Times New Roman" w:hAnsi="Times New Roman" w:cs="Times New Roman"/>
        </w:rPr>
      </w:pPr>
      <w:r w:rsidRPr="003E5B17">
        <w:rPr>
          <w:rFonts w:ascii="Times New Roman" w:hAnsi="Times New Roman" w:cs="Times New Roman"/>
        </w:rPr>
        <w:t>0</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3.26980</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3.34564</w:t>
      </w:r>
      <w:r w:rsidRPr="003E5B17">
        <w:rPr>
          <w:rFonts w:ascii="Times New Roman" w:hAnsi="Times New Roman" w:cs="Times New Roman"/>
        </w:rPr>
        <w:tab/>
      </w:r>
    </w:p>
    <w:p w:rsidR="00270EC3" w:rsidRPr="003E5B17" w:rsidRDefault="00270EC3" w:rsidP="00C2344B">
      <w:pPr>
        <w:jc w:val="both"/>
        <w:rPr>
          <w:rFonts w:ascii="Times New Roman" w:hAnsi="Times New Roman" w:cs="Times New Roman"/>
        </w:rPr>
      </w:pPr>
      <w:r w:rsidRPr="003E5B17">
        <w:rPr>
          <w:rFonts w:ascii="Times New Roman" w:hAnsi="Times New Roman" w:cs="Times New Roman"/>
        </w:rPr>
        <w:t>1</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3.35781</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3.56453</w:t>
      </w:r>
    </w:p>
    <w:p w:rsidR="00270EC3" w:rsidRPr="003E5B17" w:rsidRDefault="00270EC3" w:rsidP="00C2344B">
      <w:pPr>
        <w:jc w:val="both"/>
        <w:rPr>
          <w:rFonts w:ascii="Times New Roman" w:hAnsi="Times New Roman" w:cs="Times New Roman"/>
        </w:rPr>
      </w:pPr>
      <w:r w:rsidRPr="003E5B17">
        <w:rPr>
          <w:rFonts w:ascii="Times New Roman" w:hAnsi="Times New Roman" w:cs="Times New Roman"/>
        </w:rPr>
        <w:t>2</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3.26667</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3.32334</w:t>
      </w:r>
    </w:p>
    <w:p w:rsidR="00270EC3" w:rsidRPr="003E5B17" w:rsidRDefault="00270EC3" w:rsidP="00C2344B">
      <w:pPr>
        <w:jc w:val="both"/>
        <w:rPr>
          <w:rFonts w:ascii="Times New Roman" w:hAnsi="Times New Roman" w:cs="Times New Roman"/>
        </w:rPr>
      </w:pPr>
      <w:r w:rsidRPr="003E5B17">
        <w:rPr>
          <w:rFonts w:ascii="Times New Roman" w:hAnsi="Times New Roman" w:cs="Times New Roman"/>
        </w:rPr>
        <w:t>3</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3.17871</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3.29668</w:t>
      </w:r>
    </w:p>
    <w:p w:rsidR="00270EC3" w:rsidRPr="003E5B17" w:rsidRDefault="00270EC3" w:rsidP="00C2344B">
      <w:pPr>
        <w:jc w:val="both"/>
        <w:rPr>
          <w:rFonts w:ascii="Times New Roman" w:hAnsi="Times New Roman" w:cs="Times New Roman"/>
        </w:rPr>
      </w:pPr>
      <w:r w:rsidRPr="003E5B17">
        <w:rPr>
          <w:rFonts w:ascii="Times New Roman" w:hAnsi="Times New Roman" w:cs="Times New Roman"/>
        </w:rPr>
        <w:t>4</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2.78967</w:t>
      </w:r>
      <w:r w:rsidR="00512A15" w:rsidRPr="003E5B17">
        <w:rPr>
          <w:rFonts w:ascii="Times New Roman" w:hAnsi="Times New Roman" w:cs="Times New Roman"/>
        </w:rPr>
        <w:t>*</w:t>
      </w:r>
      <w:r w:rsidR="00512A15" w:rsidRPr="003E5B17">
        <w:rPr>
          <w:rFonts w:ascii="Times New Roman" w:hAnsi="Times New Roman" w:cs="Times New Roman"/>
        </w:rPr>
        <w:tab/>
      </w:r>
      <w:r w:rsidR="00512A15" w:rsidRPr="003E5B17">
        <w:rPr>
          <w:rFonts w:ascii="Times New Roman" w:hAnsi="Times New Roman" w:cs="Times New Roman"/>
        </w:rPr>
        <w:tab/>
      </w:r>
      <w:r w:rsidR="00512A15" w:rsidRPr="003E5B17">
        <w:rPr>
          <w:rFonts w:ascii="Times New Roman" w:hAnsi="Times New Roman" w:cs="Times New Roman"/>
        </w:rPr>
        <w:tab/>
      </w:r>
      <w:r w:rsidR="003E5B17">
        <w:rPr>
          <w:rFonts w:ascii="Times New Roman" w:hAnsi="Times New Roman" w:cs="Times New Roman"/>
        </w:rPr>
        <w:tab/>
      </w:r>
      <w:r w:rsidRPr="003E5B17">
        <w:rPr>
          <w:rFonts w:ascii="Times New Roman" w:hAnsi="Times New Roman" w:cs="Times New Roman"/>
        </w:rPr>
        <w:t>3.01432*</w:t>
      </w:r>
    </w:p>
    <w:p w:rsidR="00270EC3" w:rsidRPr="003E5B17" w:rsidRDefault="00270EC3" w:rsidP="00C2344B">
      <w:pPr>
        <w:jc w:val="both"/>
        <w:rPr>
          <w:rFonts w:ascii="Times New Roman" w:hAnsi="Times New Roman" w:cs="Times New Roman"/>
        </w:rPr>
      </w:pPr>
      <w:r w:rsidRPr="003E5B17">
        <w:rPr>
          <w:rFonts w:ascii="Times New Roman" w:hAnsi="Times New Roman" w:cs="Times New Roman"/>
        </w:rPr>
        <w:t>5</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2.99868</w:t>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r>
      <w:r w:rsidRPr="003E5B17">
        <w:rPr>
          <w:rFonts w:ascii="Times New Roman" w:hAnsi="Times New Roman" w:cs="Times New Roman"/>
        </w:rPr>
        <w:tab/>
        <w:t>3.27846</w:t>
      </w:r>
    </w:p>
    <w:p w:rsidR="00ED7EFF" w:rsidRPr="00C2344B" w:rsidRDefault="00ED7EFF" w:rsidP="00C2344B">
      <w:pPr>
        <w:jc w:val="both"/>
        <w:rPr>
          <w:rFonts w:ascii="Times New Roman" w:hAnsi="Times New Roman" w:cs="Times New Roman"/>
          <w:sz w:val="22"/>
          <w:szCs w:val="22"/>
        </w:rPr>
      </w:pPr>
    </w:p>
    <w:p w:rsidR="00ED7EFF" w:rsidRPr="0003611B" w:rsidRDefault="00DE297A" w:rsidP="00C2344B">
      <w:pPr>
        <w:jc w:val="both"/>
        <w:rPr>
          <w:rFonts w:ascii="Times New Roman" w:hAnsi="Times New Roman" w:cs="Times New Roman"/>
        </w:rPr>
      </w:pPr>
      <w:r w:rsidRPr="0003611B">
        <w:rPr>
          <w:rFonts w:ascii="Times New Roman" w:hAnsi="Times New Roman" w:cs="Times New Roman"/>
        </w:rPr>
        <w:t xml:space="preserve">The existence of a </w:t>
      </w:r>
      <w:r w:rsidR="00ED7EFF" w:rsidRPr="0003611B">
        <w:rPr>
          <w:rFonts w:ascii="Times New Roman" w:hAnsi="Times New Roman" w:cs="Times New Roman"/>
        </w:rPr>
        <w:t>long run relation</w:t>
      </w:r>
      <w:r w:rsidRPr="0003611B">
        <w:rPr>
          <w:rFonts w:ascii="Times New Roman" w:hAnsi="Times New Roman" w:cs="Times New Roman"/>
        </w:rPr>
        <w:t xml:space="preserve">ship exists among the variables is investigated next and both the </w:t>
      </w:r>
      <w:r w:rsidR="00ED7EFF" w:rsidRPr="0003611B">
        <w:rPr>
          <w:rFonts w:ascii="Times New Roman" w:hAnsi="Times New Roman" w:cs="Times New Roman"/>
        </w:rPr>
        <w:t>trace and maximum eigenvalue statistics for the cointegration tests</w:t>
      </w:r>
      <w:r w:rsidR="00B00B56">
        <w:rPr>
          <w:rFonts w:ascii="Times New Roman" w:hAnsi="Times New Roman" w:cs="Times New Roman"/>
        </w:rPr>
        <w:t xml:space="preserve"> are presented in Table 3</w:t>
      </w:r>
      <w:r w:rsidRPr="0003611B">
        <w:rPr>
          <w:rFonts w:ascii="Times New Roman" w:hAnsi="Times New Roman" w:cs="Times New Roman"/>
        </w:rPr>
        <w:t xml:space="preserve"> below</w:t>
      </w:r>
      <w:r w:rsidR="00ED7EFF" w:rsidRPr="0003611B">
        <w:rPr>
          <w:rFonts w:ascii="Times New Roman" w:hAnsi="Times New Roman" w:cs="Times New Roman"/>
        </w:rPr>
        <w:t xml:space="preserve">. The null hypothesis of no cointegration among the variables is rejected using both the </w:t>
      </w:r>
      <w:r w:rsidR="00ED7EFF" w:rsidRPr="0003611B">
        <w:rPr>
          <w:rFonts w:ascii="Times New Roman" w:hAnsi="Times New Roman" w:cs="Times New Roman"/>
          <w:position w:val="-6"/>
        </w:rPr>
        <w:object w:dxaOrig="220" w:dyaOrig="279">
          <v:shape id="_x0000_i1041" type="#_x0000_t75" style="width:12pt;height:18pt" o:ole="">
            <v:imagedata r:id="rId41" o:title=""/>
          </v:shape>
          <o:OLEObject Type="Embed" ProgID="Equation.3" ShapeID="_x0000_i1041" DrawAspect="Content" ObjectID="_1564908189" r:id="rId42"/>
        </w:object>
      </w:r>
      <w:r w:rsidR="00ED7EFF" w:rsidRPr="0003611B">
        <w:rPr>
          <w:rFonts w:ascii="Times New Roman" w:hAnsi="Times New Roman" w:cs="Times New Roman"/>
        </w:rPr>
        <w:t xml:space="preserve">-max and the trace statistics, as the eigenvalue and trace test statistics of </w:t>
      </w:r>
      <w:r w:rsidR="00270EC3" w:rsidRPr="0003611B">
        <w:rPr>
          <w:rFonts w:ascii="Times New Roman" w:hAnsi="Times New Roman" w:cs="Times New Roman"/>
        </w:rPr>
        <w:t>34.036</w:t>
      </w:r>
      <w:r w:rsidR="00ED7EFF" w:rsidRPr="0003611B">
        <w:rPr>
          <w:rFonts w:ascii="Times New Roman" w:hAnsi="Times New Roman" w:cs="Times New Roman"/>
        </w:rPr>
        <w:t xml:space="preserve"> and </w:t>
      </w:r>
      <w:r w:rsidR="00270EC3" w:rsidRPr="0003611B">
        <w:rPr>
          <w:rFonts w:ascii="Times New Roman" w:hAnsi="Times New Roman" w:cs="Times New Roman"/>
        </w:rPr>
        <w:t>71.088</w:t>
      </w:r>
      <w:r w:rsidR="00ED7EFF" w:rsidRPr="0003611B">
        <w:rPr>
          <w:rFonts w:ascii="Times New Roman" w:hAnsi="Times New Roman" w:cs="Times New Roman"/>
        </w:rPr>
        <w:t xml:space="preserve"> are greater than the critical values of </w:t>
      </w:r>
      <w:r w:rsidR="00270EC3" w:rsidRPr="0003611B">
        <w:rPr>
          <w:rFonts w:ascii="Times New Roman" w:hAnsi="Times New Roman" w:cs="Times New Roman"/>
        </w:rPr>
        <w:t>33.876</w:t>
      </w:r>
      <w:r w:rsidR="00ED7EFF" w:rsidRPr="0003611B">
        <w:rPr>
          <w:rFonts w:ascii="Times New Roman" w:hAnsi="Times New Roman" w:cs="Times New Roman"/>
        </w:rPr>
        <w:t xml:space="preserve"> and </w:t>
      </w:r>
      <w:r w:rsidR="00270EC3" w:rsidRPr="0003611B">
        <w:rPr>
          <w:rFonts w:ascii="Times New Roman" w:hAnsi="Times New Roman" w:cs="Times New Roman"/>
        </w:rPr>
        <w:t>69.819</w:t>
      </w:r>
      <w:r w:rsidR="00ED7EFF" w:rsidRPr="0003611B">
        <w:rPr>
          <w:rFonts w:ascii="Times New Roman" w:hAnsi="Times New Roman" w:cs="Times New Roman"/>
        </w:rPr>
        <w:t xml:space="preserve"> </w:t>
      </w:r>
      <w:r w:rsidR="00ED7EFF" w:rsidRPr="0003611B">
        <w:rPr>
          <w:rFonts w:ascii="Times New Roman" w:hAnsi="Times New Roman" w:cs="Times New Roman"/>
        </w:rPr>
        <w:lastRenderedPageBreak/>
        <w:t xml:space="preserve">respectively at the 5 percent level. This implies that there exists a unique cointegrating vector among the variables involved, and thus, the variables have a finite variance. </w:t>
      </w:r>
      <w:r w:rsidRPr="0003611B">
        <w:rPr>
          <w:rFonts w:ascii="Times New Roman" w:hAnsi="Times New Roman" w:cs="Times New Roman"/>
        </w:rPr>
        <w:t>D</w:t>
      </w:r>
      <w:r w:rsidR="00ED7EFF" w:rsidRPr="0003611B">
        <w:rPr>
          <w:rFonts w:ascii="Times New Roman" w:hAnsi="Times New Roman" w:cs="Times New Roman"/>
        </w:rPr>
        <w:t xml:space="preserve">ummy variables </w:t>
      </w:r>
      <w:r w:rsidRPr="0003611B">
        <w:rPr>
          <w:rFonts w:ascii="Times New Roman" w:hAnsi="Times New Roman" w:cs="Times New Roman"/>
        </w:rPr>
        <w:t xml:space="preserve">are included </w:t>
      </w:r>
      <w:r w:rsidR="00ED7EFF" w:rsidRPr="0003611B">
        <w:rPr>
          <w:rFonts w:ascii="Times New Roman" w:hAnsi="Times New Roman" w:cs="Times New Roman"/>
        </w:rPr>
        <w:t>in the VAR to correct for outliers and to reflect the adoption of the structural adjustment program in South Africa in 1990.</w:t>
      </w:r>
    </w:p>
    <w:p w:rsidR="00ED7EFF" w:rsidRPr="0003611B" w:rsidRDefault="00ED7EFF" w:rsidP="00C2344B">
      <w:pPr>
        <w:jc w:val="both"/>
        <w:rPr>
          <w:rFonts w:ascii="Times New Roman" w:hAnsi="Times New Roman" w:cs="Times New Roman"/>
          <w:b/>
        </w:rPr>
      </w:pP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t>Ta</w:t>
      </w:r>
      <w:r w:rsidR="00B00B56">
        <w:rPr>
          <w:rFonts w:ascii="Times New Roman" w:hAnsi="Times New Roman" w:cs="Times New Roman"/>
        </w:rPr>
        <w:t>ble 3</w:t>
      </w:r>
      <w:r w:rsidRPr="0003611B">
        <w:rPr>
          <w:rFonts w:ascii="Times New Roman" w:hAnsi="Times New Roman" w:cs="Times New Roman"/>
        </w:rPr>
        <w:t xml:space="preserve">: Johansen Cointegration Test Results </w:t>
      </w:r>
    </w:p>
    <w:p w:rsidR="00DE297A" w:rsidRPr="00C2344B" w:rsidRDefault="00DE297A" w:rsidP="00C2344B">
      <w:pPr>
        <w:jc w:val="both"/>
        <w:rPr>
          <w:rFonts w:ascii="Times New Roman" w:hAnsi="Times New Roman" w:cs="Times New Roman"/>
          <w:color w:val="000000"/>
          <w:sz w:val="22"/>
          <w:szCs w:val="22"/>
        </w:rPr>
      </w:pPr>
    </w:p>
    <w:tbl>
      <w:tblPr>
        <w:tblStyle w:val="TableGrid"/>
        <w:tblW w:w="8958" w:type="dxa"/>
        <w:tblInd w:w="-82" w:type="dxa"/>
        <w:tblLook w:val="04A0" w:firstRow="1" w:lastRow="0" w:firstColumn="1" w:lastColumn="0" w:noHBand="0" w:noVBand="1"/>
      </w:tblPr>
      <w:tblGrid>
        <w:gridCol w:w="1426"/>
        <w:gridCol w:w="1249"/>
        <w:gridCol w:w="1101"/>
        <w:gridCol w:w="1101"/>
        <w:gridCol w:w="865"/>
        <w:gridCol w:w="1250"/>
        <w:gridCol w:w="1101"/>
        <w:gridCol w:w="865"/>
      </w:tblGrid>
      <w:tr w:rsidR="00DE297A" w:rsidRPr="00C2344B" w:rsidTr="00DE297A">
        <w:tc>
          <w:tcPr>
            <w:tcW w:w="2530" w:type="dxa"/>
            <w:gridSpan w:val="2"/>
          </w:tcPr>
          <w:p w:rsidR="00DE297A" w:rsidRPr="00C2344B" w:rsidRDefault="00DE297A" w:rsidP="00C2344B">
            <w:pPr>
              <w:jc w:val="center"/>
              <w:rPr>
                <w:sz w:val="22"/>
                <w:szCs w:val="22"/>
              </w:rPr>
            </w:pPr>
          </w:p>
        </w:tc>
        <w:tc>
          <w:tcPr>
            <w:tcW w:w="3143" w:type="dxa"/>
            <w:gridSpan w:val="3"/>
          </w:tcPr>
          <w:p w:rsidR="00DE297A" w:rsidRPr="00C2344B" w:rsidRDefault="00DE297A" w:rsidP="00C2344B">
            <w:pPr>
              <w:jc w:val="center"/>
              <w:rPr>
                <w:sz w:val="22"/>
                <w:szCs w:val="22"/>
              </w:rPr>
            </w:pPr>
            <w:r w:rsidRPr="00C2344B">
              <w:rPr>
                <w:sz w:val="22"/>
                <w:szCs w:val="22"/>
              </w:rPr>
              <w:t>Trace Test</w:t>
            </w:r>
          </w:p>
        </w:tc>
        <w:tc>
          <w:tcPr>
            <w:tcW w:w="3285" w:type="dxa"/>
            <w:gridSpan w:val="3"/>
          </w:tcPr>
          <w:p w:rsidR="00DE297A" w:rsidRPr="00C2344B" w:rsidRDefault="00DE297A" w:rsidP="00C2344B">
            <w:pPr>
              <w:jc w:val="center"/>
              <w:rPr>
                <w:sz w:val="22"/>
                <w:szCs w:val="22"/>
              </w:rPr>
            </w:pPr>
            <w:r w:rsidRPr="00C2344B">
              <w:rPr>
                <w:sz w:val="22"/>
                <w:szCs w:val="22"/>
              </w:rPr>
              <w:t>Maximum Eigenvalue Test</w:t>
            </w:r>
          </w:p>
        </w:tc>
      </w:tr>
      <w:tr w:rsidR="00DE297A" w:rsidRPr="00C2344B" w:rsidTr="001712FA">
        <w:trPr>
          <w:trHeight w:val="890"/>
        </w:trPr>
        <w:tc>
          <w:tcPr>
            <w:tcW w:w="1259" w:type="dxa"/>
            <w:tcBorders>
              <w:bottom w:val="single" w:sz="4" w:space="0" w:color="auto"/>
            </w:tcBorders>
          </w:tcPr>
          <w:p w:rsidR="00DE297A" w:rsidRPr="00C2344B" w:rsidRDefault="00DE297A" w:rsidP="00C2344B">
            <w:pPr>
              <w:jc w:val="center"/>
              <w:rPr>
                <w:sz w:val="22"/>
                <w:szCs w:val="22"/>
              </w:rPr>
            </w:pPr>
            <w:r w:rsidRPr="00C2344B">
              <w:rPr>
                <w:sz w:val="22"/>
                <w:szCs w:val="22"/>
              </w:rPr>
              <w:t>Hypothesized</w:t>
            </w:r>
          </w:p>
          <w:p w:rsidR="00DE297A" w:rsidRPr="00C2344B" w:rsidRDefault="00DE297A" w:rsidP="00C2344B">
            <w:pPr>
              <w:jc w:val="center"/>
              <w:rPr>
                <w:sz w:val="22"/>
                <w:szCs w:val="22"/>
              </w:rPr>
            </w:pPr>
            <w:r w:rsidRPr="00C2344B">
              <w:rPr>
                <w:sz w:val="22"/>
                <w:szCs w:val="22"/>
              </w:rPr>
              <w:t>No. of CE(s)</w:t>
            </w:r>
          </w:p>
        </w:tc>
        <w:tc>
          <w:tcPr>
            <w:tcW w:w="1271" w:type="dxa"/>
            <w:tcBorders>
              <w:bottom w:val="single" w:sz="4" w:space="0" w:color="auto"/>
            </w:tcBorders>
          </w:tcPr>
          <w:p w:rsidR="00DE297A" w:rsidRPr="00C2344B" w:rsidRDefault="00DE297A" w:rsidP="00C2344B">
            <w:pPr>
              <w:jc w:val="center"/>
              <w:rPr>
                <w:sz w:val="22"/>
                <w:szCs w:val="22"/>
              </w:rPr>
            </w:pPr>
            <w:r w:rsidRPr="00C2344B">
              <w:rPr>
                <w:sz w:val="22"/>
                <w:szCs w:val="22"/>
              </w:rPr>
              <w:t>Eigenvalue</w:t>
            </w:r>
          </w:p>
        </w:tc>
        <w:tc>
          <w:tcPr>
            <w:tcW w:w="1129" w:type="dxa"/>
            <w:tcBorders>
              <w:bottom w:val="single" w:sz="4" w:space="0" w:color="auto"/>
            </w:tcBorders>
          </w:tcPr>
          <w:p w:rsidR="00DE297A" w:rsidRPr="00C2344B" w:rsidRDefault="00DE297A" w:rsidP="00C2344B">
            <w:pPr>
              <w:jc w:val="center"/>
              <w:rPr>
                <w:sz w:val="22"/>
                <w:szCs w:val="22"/>
              </w:rPr>
            </w:pPr>
            <w:r w:rsidRPr="00C2344B">
              <w:rPr>
                <w:sz w:val="22"/>
                <w:szCs w:val="22"/>
              </w:rPr>
              <w:t>Trace</w:t>
            </w:r>
          </w:p>
          <w:p w:rsidR="00DE297A" w:rsidRPr="00C2344B" w:rsidRDefault="00DE297A" w:rsidP="00C2344B">
            <w:pPr>
              <w:jc w:val="center"/>
              <w:rPr>
                <w:sz w:val="22"/>
                <w:szCs w:val="22"/>
              </w:rPr>
            </w:pPr>
            <w:r w:rsidRPr="00C2344B">
              <w:rPr>
                <w:sz w:val="22"/>
                <w:szCs w:val="22"/>
              </w:rPr>
              <w:t>Statistic</w:t>
            </w:r>
          </w:p>
        </w:tc>
        <w:tc>
          <w:tcPr>
            <w:tcW w:w="1129" w:type="dxa"/>
            <w:tcBorders>
              <w:bottom w:val="single" w:sz="4" w:space="0" w:color="auto"/>
            </w:tcBorders>
          </w:tcPr>
          <w:p w:rsidR="00DE297A" w:rsidRPr="00C2344B" w:rsidRDefault="00DE297A" w:rsidP="00C2344B">
            <w:pPr>
              <w:jc w:val="center"/>
              <w:rPr>
                <w:sz w:val="22"/>
                <w:szCs w:val="22"/>
              </w:rPr>
            </w:pPr>
            <w:r w:rsidRPr="00C2344B">
              <w:rPr>
                <w:sz w:val="22"/>
                <w:szCs w:val="22"/>
              </w:rPr>
              <w:t>0.05 Critical Value</w:t>
            </w:r>
          </w:p>
        </w:tc>
        <w:tc>
          <w:tcPr>
            <w:tcW w:w="885" w:type="dxa"/>
            <w:tcBorders>
              <w:bottom w:val="single" w:sz="4" w:space="0" w:color="auto"/>
            </w:tcBorders>
          </w:tcPr>
          <w:p w:rsidR="00DE297A" w:rsidRPr="00C2344B" w:rsidRDefault="00DE297A" w:rsidP="00C2344B">
            <w:pPr>
              <w:jc w:val="center"/>
              <w:rPr>
                <w:sz w:val="22"/>
                <w:szCs w:val="22"/>
              </w:rPr>
            </w:pPr>
            <w:r w:rsidRPr="00C2344B">
              <w:rPr>
                <w:sz w:val="22"/>
                <w:szCs w:val="22"/>
              </w:rPr>
              <w:t>P-value</w:t>
            </w:r>
          </w:p>
        </w:tc>
        <w:tc>
          <w:tcPr>
            <w:tcW w:w="1271" w:type="dxa"/>
            <w:tcBorders>
              <w:bottom w:val="single" w:sz="4" w:space="0" w:color="auto"/>
            </w:tcBorders>
          </w:tcPr>
          <w:p w:rsidR="00DE297A" w:rsidRPr="00C2344B" w:rsidRDefault="00DE297A" w:rsidP="00C2344B">
            <w:pPr>
              <w:jc w:val="center"/>
              <w:rPr>
                <w:sz w:val="22"/>
                <w:szCs w:val="22"/>
              </w:rPr>
            </w:pPr>
            <w:r w:rsidRPr="00C2344B">
              <w:rPr>
                <w:sz w:val="22"/>
                <w:szCs w:val="22"/>
              </w:rPr>
              <w:t>Maximum</w:t>
            </w:r>
          </w:p>
          <w:p w:rsidR="00DE297A" w:rsidRPr="00C2344B" w:rsidRDefault="00DE297A" w:rsidP="00C2344B">
            <w:pPr>
              <w:jc w:val="center"/>
              <w:rPr>
                <w:sz w:val="22"/>
                <w:szCs w:val="22"/>
              </w:rPr>
            </w:pPr>
            <w:r w:rsidRPr="00C2344B">
              <w:rPr>
                <w:sz w:val="22"/>
                <w:szCs w:val="22"/>
              </w:rPr>
              <w:t>Eigenvalue</w:t>
            </w:r>
          </w:p>
          <w:p w:rsidR="00DE297A" w:rsidRPr="00C2344B" w:rsidRDefault="00DE297A" w:rsidP="00C2344B">
            <w:pPr>
              <w:jc w:val="center"/>
              <w:rPr>
                <w:sz w:val="22"/>
                <w:szCs w:val="22"/>
              </w:rPr>
            </w:pPr>
            <w:r w:rsidRPr="00C2344B">
              <w:rPr>
                <w:sz w:val="22"/>
                <w:szCs w:val="22"/>
              </w:rPr>
              <w:t>Statistic</w:t>
            </w:r>
          </w:p>
        </w:tc>
        <w:tc>
          <w:tcPr>
            <w:tcW w:w="1129" w:type="dxa"/>
            <w:tcBorders>
              <w:bottom w:val="single" w:sz="4" w:space="0" w:color="auto"/>
            </w:tcBorders>
          </w:tcPr>
          <w:p w:rsidR="00DE297A" w:rsidRPr="00C2344B" w:rsidRDefault="00DE297A" w:rsidP="00C2344B">
            <w:pPr>
              <w:jc w:val="center"/>
              <w:rPr>
                <w:sz w:val="22"/>
                <w:szCs w:val="22"/>
              </w:rPr>
            </w:pPr>
            <w:r w:rsidRPr="00C2344B">
              <w:rPr>
                <w:sz w:val="22"/>
                <w:szCs w:val="22"/>
              </w:rPr>
              <w:t>0.05 Critical Value</w:t>
            </w:r>
          </w:p>
        </w:tc>
        <w:tc>
          <w:tcPr>
            <w:tcW w:w="885" w:type="dxa"/>
            <w:tcBorders>
              <w:bottom w:val="single" w:sz="4" w:space="0" w:color="auto"/>
            </w:tcBorders>
          </w:tcPr>
          <w:p w:rsidR="00DE297A" w:rsidRPr="00C2344B" w:rsidRDefault="00DE297A" w:rsidP="00C2344B">
            <w:pPr>
              <w:jc w:val="center"/>
              <w:rPr>
                <w:sz w:val="22"/>
                <w:szCs w:val="22"/>
              </w:rPr>
            </w:pPr>
            <w:r w:rsidRPr="00C2344B">
              <w:rPr>
                <w:sz w:val="22"/>
                <w:szCs w:val="22"/>
              </w:rPr>
              <w:t>P-value</w:t>
            </w:r>
          </w:p>
        </w:tc>
      </w:tr>
      <w:tr w:rsidR="00DE297A" w:rsidRPr="00C2344B" w:rsidTr="00DE297A">
        <w:tc>
          <w:tcPr>
            <w:tcW w:w="1259" w:type="dxa"/>
            <w:tcBorders>
              <w:top w:val="single" w:sz="4" w:space="0" w:color="auto"/>
              <w:left w:val="single" w:sz="4" w:space="0" w:color="auto"/>
              <w:bottom w:val="nil"/>
              <w:right w:val="single" w:sz="4" w:space="0" w:color="auto"/>
            </w:tcBorders>
          </w:tcPr>
          <w:p w:rsidR="00DE297A" w:rsidRPr="00C2344B" w:rsidRDefault="00DE297A" w:rsidP="00C2344B">
            <w:pPr>
              <w:jc w:val="center"/>
              <w:rPr>
                <w:sz w:val="22"/>
                <w:szCs w:val="22"/>
              </w:rPr>
            </w:pPr>
            <w:r w:rsidRPr="00C2344B">
              <w:rPr>
                <w:sz w:val="22"/>
                <w:szCs w:val="22"/>
              </w:rPr>
              <w:t>None*</w:t>
            </w:r>
          </w:p>
        </w:tc>
        <w:tc>
          <w:tcPr>
            <w:tcW w:w="1271" w:type="dxa"/>
            <w:tcBorders>
              <w:top w:val="single" w:sz="4" w:space="0" w:color="auto"/>
              <w:left w:val="single" w:sz="4" w:space="0" w:color="auto"/>
              <w:bottom w:val="nil"/>
              <w:right w:val="single" w:sz="4" w:space="0" w:color="auto"/>
            </w:tcBorders>
          </w:tcPr>
          <w:p w:rsidR="00DE297A" w:rsidRPr="00C2344B" w:rsidRDefault="00297168" w:rsidP="00C2344B">
            <w:pPr>
              <w:jc w:val="center"/>
              <w:rPr>
                <w:sz w:val="22"/>
                <w:szCs w:val="22"/>
              </w:rPr>
            </w:pPr>
            <w:r w:rsidRPr="00C2344B">
              <w:rPr>
                <w:sz w:val="22"/>
                <w:szCs w:val="22"/>
              </w:rPr>
              <w:t>0.178596</w:t>
            </w:r>
          </w:p>
        </w:tc>
        <w:tc>
          <w:tcPr>
            <w:tcW w:w="1129" w:type="dxa"/>
            <w:tcBorders>
              <w:top w:val="single" w:sz="4" w:space="0" w:color="auto"/>
              <w:left w:val="single" w:sz="4" w:space="0" w:color="auto"/>
              <w:bottom w:val="nil"/>
              <w:right w:val="nil"/>
            </w:tcBorders>
          </w:tcPr>
          <w:p w:rsidR="00DE297A" w:rsidRPr="00C2344B" w:rsidRDefault="00297168" w:rsidP="00C2344B">
            <w:pPr>
              <w:jc w:val="center"/>
              <w:rPr>
                <w:sz w:val="22"/>
                <w:szCs w:val="22"/>
              </w:rPr>
            </w:pPr>
            <w:r w:rsidRPr="00C2344B">
              <w:rPr>
                <w:sz w:val="22"/>
                <w:szCs w:val="22"/>
              </w:rPr>
              <w:t>71.08843</w:t>
            </w:r>
          </w:p>
        </w:tc>
        <w:tc>
          <w:tcPr>
            <w:tcW w:w="1129" w:type="dxa"/>
            <w:tcBorders>
              <w:top w:val="single" w:sz="4" w:space="0" w:color="auto"/>
              <w:left w:val="nil"/>
              <w:bottom w:val="nil"/>
              <w:right w:val="nil"/>
            </w:tcBorders>
          </w:tcPr>
          <w:p w:rsidR="00DE297A" w:rsidRPr="00C2344B" w:rsidRDefault="00297168" w:rsidP="00C2344B">
            <w:pPr>
              <w:jc w:val="center"/>
              <w:rPr>
                <w:sz w:val="22"/>
                <w:szCs w:val="22"/>
              </w:rPr>
            </w:pPr>
            <w:r w:rsidRPr="00C2344B">
              <w:rPr>
                <w:sz w:val="22"/>
                <w:szCs w:val="22"/>
              </w:rPr>
              <w:t>69.</w:t>
            </w:r>
            <w:r w:rsidR="001712FA" w:rsidRPr="00C2344B">
              <w:rPr>
                <w:sz w:val="22"/>
                <w:szCs w:val="22"/>
              </w:rPr>
              <w:t>81889</w:t>
            </w:r>
          </w:p>
        </w:tc>
        <w:tc>
          <w:tcPr>
            <w:tcW w:w="885" w:type="dxa"/>
            <w:tcBorders>
              <w:top w:val="single" w:sz="4" w:space="0" w:color="auto"/>
              <w:left w:val="nil"/>
              <w:bottom w:val="nil"/>
              <w:right w:val="single" w:sz="4" w:space="0" w:color="auto"/>
            </w:tcBorders>
          </w:tcPr>
          <w:p w:rsidR="00DE297A" w:rsidRPr="00C2344B" w:rsidRDefault="001712FA" w:rsidP="00C2344B">
            <w:pPr>
              <w:jc w:val="center"/>
              <w:rPr>
                <w:sz w:val="22"/>
                <w:szCs w:val="22"/>
              </w:rPr>
            </w:pPr>
            <w:r w:rsidRPr="00C2344B">
              <w:rPr>
                <w:sz w:val="22"/>
                <w:szCs w:val="22"/>
              </w:rPr>
              <w:t>0.0395</w:t>
            </w:r>
          </w:p>
        </w:tc>
        <w:tc>
          <w:tcPr>
            <w:tcW w:w="1271" w:type="dxa"/>
            <w:tcBorders>
              <w:top w:val="single" w:sz="4" w:space="0" w:color="auto"/>
              <w:left w:val="single" w:sz="4" w:space="0" w:color="auto"/>
              <w:bottom w:val="nil"/>
              <w:right w:val="nil"/>
            </w:tcBorders>
          </w:tcPr>
          <w:p w:rsidR="00DE297A" w:rsidRPr="00C2344B" w:rsidRDefault="001712FA" w:rsidP="00C2344B">
            <w:pPr>
              <w:jc w:val="center"/>
              <w:rPr>
                <w:sz w:val="22"/>
                <w:szCs w:val="22"/>
              </w:rPr>
            </w:pPr>
            <w:r w:rsidRPr="00C2344B">
              <w:rPr>
                <w:sz w:val="22"/>
                <w:szCs w:val="22"/>
              </w:rPr>
              <w:t>34.03610</w:t>
            </w:r>
          </w:p>
        </w:tc>
        <w:tc>
          <w:tcPr>
            <w:tcW w:w="1129" w:type="dxa"/>
            <w:tcBorders>
              <w:top w:val="single" w:sz="4" w:space="0" w:color="auto"/>
              <w:left w:val="nil"/>
              <w:bottom w:val="nil"/>
              <w:right w:val="nil"/>
            </w:tcBorders>
          </w:tcPr>
          <w:p w:rsidR="00DE297A" w:rsidRPr="00C2344B" w:rsidRDefault="001712FA" w:rsidP="00C2344B">
            <w:pPr>
              <w:jc w:val="center"/>
              <w:rPr>
                <w:sz w:val="22"/>
                <w:szCs w:val="22"/>
              </w:rPr>
            </w:pPr>
            <w:r w:rsidRPr="00C2344B">
              <w:rPr>
                <w:sz w:val="22"/>
                <w:szCs w:val="22"/>
              </w:rPr>
              <w:t>33.87687</w:t>
            </w:r>
          </w:p>
        </w:tc>
        <w:tc>
          <w:tcPr>
            <w:tcW w:w="885" w:type="dxa"/>
            <w:tcBorders>
              <w:top w:val="single" w:sz="4" w:space="0" w:color="auto"/>
              <w:left w:val="nil"/>
              <w:bottom w:val="nil"/>
              <w:right w:val="single" w:sz="4" w:space="0" w:color="auto"/>
            </w:tcBorders>
          </w:tcPr>
          <w:p w:rsidR="00DE297A" w:rsidRPr="00C2344B" w:rsidRDefault="001712FA" w:rsidP="00C2344B">
            <w:pPr>
              <w:jc w:val="center"/>
              <w:rPr>
                <w:sz w:val="22"/>
                <w:szCs w:val="22"/>
              </w:rPr>
            </w:pPr>
            <w:r w:rsidRPr="00C2344B">
              <w:rPr>
                <w:sz w:val="22"/>
                <w:szCs w:val="22"/>
              </w:rPr>
              <w:t>0.0479</w:t>
            </w:r>
          </w:p>
        </w:tc>
      </w:tr>
      <w:tr w:rsidR="00DE297A" w:rsidRPr="00C2344B" w:rsidTr="00DE297A">
        <w:tc>
          <w:tcPr>
            <w:tcW w:w="1259" w:type="dxa"/>
            <w:tcBorders>
              <w:top w:val="nil"/>
              <w:left w:val="single" w:sz="4" w:space="0" w:color="auto"/>
              <w:bottom w:val="nil"/>
              <w:right w:val="single" w:sz="4" w:space="0" w:color="auto"/>
            </w:tcBorders>
          </w:tcPr>
          <w:p w:rsidR="00DE297A" w:rsidRPr="00C2344B" w:rsidRDefault="00DE297A" w:rsidP="00C2344B">
            <w:pPr>
              <w:jc w:val="center"/>
              <w:rPr>
                <w:sz w:val="22"/>
                <w:szCs w:val="22"/>
              </w:rPr>
            </w:pPr>
            <w:r w:rsidRPr="00C2344B">
              <w:rPr>
                <w:sz w:val="22"/>
                <w:szCs w:val="22"/>
              </w:rPr>
              <w:t>At most 1</w:t>
            </w:r>
          </w:p>
        </w:tc>
        <w:tc>
          <w:tcPr>
            <w:tcW w:w="1271" w:type="dxa"/>
            <w:tcBorders>
              <w:top w:val="nil"/>
              <w:left w:val="single" w:sz="4" w:space="0" w:color="auto"/>
              <w:bottom w:val="nil"/>
              <w:right w:val="single" w:sz="4" w:space="0" w:color="auto"/>
            </w:tcBorders>
          </w:tcPr>
          <w:p w:rsidR="00DE297A" w:rsidRPr="00C2344B" w:rsidRDefault="00297168" w:rsidP="00C2344B">
            <w:pPr>
              <w:jc w:val="center"/>
              <w:rPr>
                <w:sz w:val="22"/>
                <w:szCs w:val="22"/>
              </w:rPr>
            </w:pPr>
            <w:r w:rsidRPr="00C2344B">
              <w:rPr>
                <w:sz w:val="22"/>
                <w:szCs w:val="22"/>
              </w:rPr>
              <w:t>0.120971</w:t>
            </w:r>
          </w:p>
        </w:tc>
        <w:tc>
          <w:tcPr>
            <w:tcW w:w="1129" w:type="dxa"/>
            <w:tcBorders>
              <w:top w:val="nil"/>
              <w:left w:val="single" w:sz="4" w:space="0" w:color="auto"/>
              <w:bottom w:val="nil"/>
              <w:right w:val="nil"/>
            </w:tcBorders>
          </w:tcPr>
          <w:p w:rsidR="00DE297A" w:rsidRPr="00C2344B" w:rsidRDefault="00297168" w:rsidP="00C2344B">
            <w:pPr>
              <w:jc w:val="center"/>
              <w:rPr>
                <w:sz w:val="22"/>
                <w:szCs w:val="22"/>
              </w:rPr>
            </w:pPr>
            <w:r w:rsidRPr="00C2344B">
              <w:rPr>
                <w:sz w:val="22"/>
                <w:szCs w:val="22"/>
              </w:rPr>
              <w:t>37.05233</w:t>
            </w:r>
          </w:p>
        </w:tc>
        <w:tc>
          <w:tcPr>
            <w:tcW w:w="1129" w:type="dxa"/>
            <w:tcBorders>
              <w:top w:val="nil"/>
              <w:left w:val="nil"/>
              <w:bottom w:val="nil"/>
              <w:right w:val="nil"/>
            </w:tcBorders>
          </w:tcPr>
          <w:p w:rsidR="00DE297A" w:rsidRPr="00C2344B" w:rsidRDefault="001712FA" w:rsidP="00C2344B">
            <w:pPr>
              <w:jc w:val="center"/>
              <w:rPr>
                <w:sz w:val="22"/>
                <w:szCs w:val="22"/>
              </w:rPr>
            </w:pPr>
            <w:r w:rsidRPr="00C2344B">
              <w:rPr>
                <w:sz w:val="22"/>
                <w:szCs w:val="22"/>
              </w:rPr>
              <w:t>47.85613</w:t>
            </w:r>
          </w:p>
        </w:tc>
        <w:tc>
          <w:tcPr>
            <w:tcW w:w="885" w:type="dxa"/>
            <w:tcBorders>
              <w:top w:val="nil"/>
              <w:left w:val="nil"/>
              <w:bottom w:val="nil"/>
              <w:right w:val="single" w:sz="4" w:space="0" w:color="auto"/>
            </w:tcBorders>
          </w:tcPr>
          <w:p w:rsidR="00DE297A" w:rsidRPr="00C2344B" w:rsidRDefault="001712FA" w:rsidP="00C2344B">
            <w:pPr>
              <w:jc w:val="center"/>
              <w:rPr>
                <w:sz w:val="22"/>
                <w:szCs w:val="22"/>
              </w:rPr>
            </w:pPr>
            <w:r w:rsidRPr="00C2344B">
              <w:rPr>
                <w:sz w:val="22"/>
                <w:szCs w:val="22"/>
              </w:rPr>
              <w:t>0.3451</w:t>
            </w:r>
          </w:p>
        </w:tc>
        <w:tc>
          <w:tcPr>
            <w:tcW w:w="1271" w:type="dxa"/>
            <w:tcBorders>
              <w:top w:val="nil"/>
              <w:left w:val="single" w:sz="4" w:space="0" w:color="auto"/>
              <w:bottom w:val="nil"/>
              <w:right w:val="nil"/>
            </w:tcBorders>
          </w:tcPr>
          <w:p w:rsidR="00DE297A" w:rsidRPr="00C2344B" w:rsidRDefault="001712FA" w:rsidP="00C2344B">
            <w:pPr>
              <w:jc w:val="center"/>
              <w:rPr>
                <w:sz w:val="22"/>
                <w:szCs w:val="22"/>
              </w:rPr>
            </w:pPr>
            <w:r w:rsidRPr="00C2344B">
              <w:rPr>
                <w:sz w:val="22"/>
                <w:szCs w:val="22"/>
              </w:rPr>
              <w:t>22.30613</w:t>
            </w:r>
          </w:p>
        </w:tc>
        <w:tc>
          <w:tcPr>
            <w:tcW w:w="1129" w:type="dxa"/>
            <w:tcBorders>
              <w:top w:val="nil"/>
              <w:left w:val="nil"/>
              <w:bottom w:val="nil"/>
              <w:right w:val="nil"/>
            </w:tcBorders>
          </w:tcPr>
          <w:p w:rsidR="00DE297A" w:rsidRPr="00C2344B" w:rsidRDefault="001712FA" w:rsidP="00C2344B">
            <w:pPr>
              <w:jc w:val="center"/>
              <w:rPr>
                <w:sz w:val="22"/>
                <w:szCs w:val="22"/>
              </w:rPr>
            </w:pPr>
            <w:r w:rsidRPr="00C2344B">
              <w:rPr>
                <w:sz w:val="22"/>
                <w:szCs w:val="22"/>
              </w:rPr>
              <w:t>27.58434</w:t>
            </w:r>
          </w:p>
        </w:tc>
        <w:tc>
          <w:tcPr>
            <w:tcW w:w="885" w:type="dxa"/>
            <w:tcBorders>
              <w:top w:val="nil"/>
              <w:left w:val="nil"/>
              <w:bottom w:val="nil"/>
              <w:right w:val="single" w:sz="4" w:space="0" w:color="auto"/>
            </w:tcBorders>
          </w:tcPr>
          <w:p w:rsidR="00DE297A" w:rsidRPr="00C2344B" w:rsidRDefault="001712FA" w:rsidP="00C2344B">
            <w:pPr>
              <w:jc w:val="center"/>
              <w:rPr>
                <w:sz w:val="22"/>
                <w:szCs w:val="22"/>
              </w:rPr>
            </w:pPr>
            <w:r w:rsidRPr="00C2344B">
              <w:rPr>
                <w:sz w:val="22"/>
                <w:szCs w:val="22"/>
              </w:rPr>
              <w:t>0.2051</w:t>
            </w:r>
          </w:p>
        </w:tc>
      </w:tr>
      <w:tr w:rsidR="00DE297A" w:rsidRPr="00C2344B" w:rsidTr="00DE297A">
        <w:tc>
          <w:tcPr>
            <w:tcW w:w="1259" w:type="dxa"/>
            <w:tcBorders>
              <w:top w:val="nil"/>
              <w:left w:val="single" w:sz="4" w:space="0" w:color="auto"/>
              <w:bottom w:val="nil"/>
              <w:right w:val="single" w:sz="4" w:space="0" w:color="auto"/>
            </w:tcBorders>
          </w:tcPr>
          <w:p w:rsidR="00DE297A" w:rsidRPr="00C2344B" w:rsidRDefault="00DE297A" w:rsidP="00C2344B">
            <w:pPr>
              <w:jc w:val="center"/>
              <w:rPr>
                <w:sz w:val="22"/>
                <w:szCs w:val="22"/>
              </w:rPr>
            </w:pPr>
            <w:r w:rsidRPr="00C2344B">
              <w:rPr>
                <w:sz w:val="22"/>
                <w:szCs w:val="22"/>
              </w:rPr>
              <w:t>At most 2</w:t>
            </w:r>
          </w:p>
        </w:tc>
        <w:tc>
          <w:tcPr>
            <w:tcW w:w="1271" w:type="dxa"/>
            <w:tcBorders>
              <w:top w:val="nil"/>
              <w:left w:val="single" w:sz="4" w:space="0" w:color="auto"/>
              <w:bottom w:val="nil"/>
              <w:right w:val="single" w:sz="4" w:space="0" w:color="auto"/>
            </w:tcBorders>
          </w:tcPr>
          <w:p w:rsidR="00DE297A" w:rsidRPr="00C2344B" w:rsidRDefault="00297168" w:rsidP="00C2344B">
            <w:pPr>
              <w:jc w:val="center"/>
              <w:rPr>
                <w:sz w:val="22"/>
                <w:szCs w:val="22"/>
              </w:rPr>
            </w:pPr>
            <w:r w:rsidRPr="00C2344B">
              <w:rPr>
                <w:sz w:val="22"/>
                <w:szCs w:val="22"/>
              </w:rPr>
              <w:t>0.049342</w:t>
            </w:r>
          </w:p>
        </w:tc>
        <w:tc>
          <w:tcPr>
            <w:tcW w:w="1129" w:type="dxa"/>
            <w:tcBorders>
              <w:top w:val="nil"/>
              <w:left w:val="single" w:sz="4" w:space="0" w:color="auto"/>
              <w:bottom w:val="nil"/>
              <w:right w:val="nil"/>
            </w:tcBorders>
          </w:tcPr>
          <w:p w:rsidR="00DE297A" w:rsidRPr="00C2344B" w:rsidRDefault="00297168" w:rsidP="00C2344B">
            <w:pPr>
              <w:jc w:val="center"/>
              <w:rPr>
                <w:sz w:val="22"/>
                <w:szCs w:val="22"/>
              </w:rPr>
            </w:pPr>
            <w:r w:rsidRPr="00C2344B">
              <w:rPr>
                <w:sz w:val="22"/>
                <w:szCs w:val="22"/>
              </w:rPr>
              <w:t>14.74620</w:t>
            </w:r>
          </w:p>
        </w:tc>
        <w:tc>
          <w:tcPr>
            <w:tcW w:w="1129" w:type="dxa"/>
            <w:tcBorders>
              <w:top w:val="nil"/>
              <w:left w:val="nil"/>
              <w:bottom w:val="nil"/>
              <w:right w:val="nil"/>
            </w:tcBorders>
          </w:tcPr>
          <w:p w:rsidR="00DE297A" w:rsidRPr="00C2344B" w:rsidRDefault="001712FA" w:rsidP="00C2344B">
            <w:pPr>
              <w:jc w:val="center"/>
              <w:rPr>
                <w:sz w:val="22"/>
                <w:szCs w:val="22"/>
              </w:rPr>
            </w:pPr>
            <w:r w:rsidRPr="00C2344B">
              <w:rPr>
                <w:sz w:val="22"/>
                <w:szCs w:val="22"/>
              </w:rPr>
              <w:t>29.79707</w:t>
            </w:r>
          </w:p>
        </w:tc>
        <w:tc>
          <w:tcPr>
            <w:tcW w:w="885" w:type="dxa"/>
            <w:tcBorders>
              <w:top w:val="nil"/>
              <w:left w:val="nil"/>
              <w:bottom w:val="nil"/>
              <w:right w:val="single" w:sz="4" w:space="0" w:color="auto"/>
            </w:tcBorders>
          </w:tcPr>
          <w:p w:rsidR="00DE297A" w:rsidRPr="00C2344B" w:rsidRDefault="001712FA" w:rsidP="00C2344B">
            <w:pPr>
              <w:jc w:val="center"/>
              <w:rPr>
                <w:sz w:val="22"/>
                <w:szCs w:val="22"/>
              </w:rPr>
            </w:pPr>
            <w:r w:rsidRPr="00C2344B">
              <w:rPr>
                <w:sz w:val="22"/>
                <w:szCs w:val="22"/>
              </w:rPr>
              <w:t>0.7963</w:t>
            </w:r>
          </w:p>
        </w:tc>
        <w:tc>
          <w:tcPr>
            <w:tcW w:w="1271" w:type="dxa"/>
            <w:tcBorders>
              <w:top w:val="nil"/>
              <w:left w:val="single" w:sz="4" w:space="0" w:color="auto"/>
              <w:bottom w:val="nil"/>
              <w:right w:val="nil"/>
            </w:tcBorders>
          </w:tcPr>
          <w:p w:rsidR="00DE297A" w:rsidRPr="00C2344B" w:rsidRDefault="001712FA" w:rsidP="00C2344B">
            <w:pPr>
              <w:jc w:val="center"/>
              <w:rPr>
                <w:sz w:val="22"/>
                <w:szCs w:val="22"/>
              </w:rPr>
            </w:pPr>
            <w:r w:rsidRPr="00C2344B">
              <w:rPr>
                <w:sz w:val="22"/>
                <w:szCs w:val="22"/>
              </w:rPr>
              <w:t>8.753886</w:t>
            </w:r>
          </w:p>
        </w:tc>
        <w:tc>
          <w:tcPr>
            <w:tcW w:w="1129" w:type="dxa"/>
            <w:tcBorders>
              <w:top w:val="nil"/>
              <w:left w:val="nil"/>
              <w:bottom w:val="nil"/>
              <w:right w:val="nil"/>
            </w:tcBorders>
          </w:tcPr>
          <w:p w:rsidR="00DE297A" w:rsidRPr="00C2344B" w:rsidRDefault="001712FA" w:rsidP="00C2344B">
            <w:pPr>
              <w:jc w:val="center"/>
              <w:rPr>
                <w:sz w:val="22"/>
                <w:szCs w:val="22"/>
              </w:rPr>
            </w:pPr>
            <w:r w:rsidRPr="00C2344B">
              <w:rPr>
                <w:sz w:val="22"/>
                <w:szCs w:val="22"/>
              </w:rPr>
              <w:t>21.13162</w:t>
            </w:r>
          </w:p>
        </w:tc>
        <w:tc>
          <w:tcPr>
            <w:tcW w:w="885" w:type="dxa"/>
            <w:tcBorders>
              <w:top w:val="nil"/>
              <w:left w:val="nil"/>
              <w:bottom w:val="nil"/>
              <w:right w:val="single" w:sz="4" w:space="0" w:color="auto"/>
            </w:tcBorders>
          </w:tcPr>
          <w:p w:rsidR="00DE297A" w:rsidRPr="00C2344B" w:rsidRDefault="001712FA" w:rsidP="00C2344B">
            <w:pPr>
              <w:jc w:val="center"/>
              <w:rPr>
                <w:sz w:val="22"/>
                <w:szCs w:val="22"/>
              </w:rPr>
            </w:pPr>
            <w:r w:rsidRPr="00C2344B">
              <w:rPr>
                <w:sz w:val="22"/>
                <w:szCs w:val="22"/>
              </w:rPr>
              <w:t>0.8518</w:t>
            </w:r>
          </w:p>
        </w:tc>
      </w:tr>
      <w:tr w:rsidR="00DE297A" w:rsidRPr="00C2344B" w:rsidTr="00DE297A">
        <w:tc>
          <w:tcPr>
            <w:tcW w:w="1259" w:type="dxa"/>
            <w:tcBorders>
              <w:top w:val="nil"/>
              <w:left w:val="single" w:sz="4" w:space="0" w:color="auto"/>
              <w:bottom w:val="nil"/>
              <w:right w:val="single" w:sz="4" w:space="0" w:color="auto"/>
            </w:tcBorders>
          </w:tcPr>
          <w:p w:rsidR="00DE297A" w:rsidRPr="00C2344B" w:rsidRDefault="00DE297A" w:rsidP="00C2344B">
            <w:pPr>
              <w:jc w:val="center"/>
              <w:rPr>
                <w:sz w:val="22"/>
                <w:szCs w:val="22"/>
              </w:rPr>
            </w:pPr>
            <w:r w:rsidRPr="00C2344B">
              <w:rPr>
                <w:sz w:val="22"/>
                <w:szCs w:val="22"/>
              </w:rPr>
              <w:t>At most 3</w:t>
            </w:r>
          </w:p>
        </w:tc>
        <w:tc>
          <w:tcPr>
            <w:tcW w:w="1271" w:type="dxa"/>
            <w:tcBorders>
              <w:top w:val="nil"/>
              <w:left w:val="single" w:sz="4" w:space="0" w:color="auto"/>
              <w:bottom w:val="nil"/>
              <w:right w:val="single" w:sz="4" w:space="0" w:color="auto"/>
            </w:tcBorders>
          </w:tcPr>
          <w:p w:rsidR="00DE297A" w:rsidRPr="00C2344B" w:rsidRDefault="00DE297A" w:rsidP="00C2344B">
            <w:pPr>
              <w:jc w:val="center"/>
              <w:rPr>
                <w:sz w:val="22"/>
                <w:szCs w:val="22"/>
              </w:rPr>
            </w:pPr>
            <w:r w:rsidRPr="00C2344B">
              <w:rPr>
                <w:sz w:val="22"/>
                <w:szCs w:val="22"/>
              </w:rPr>
              <w:t>0.0</w:t>
            </w:r>
            <w:r w:rsidR="00297168" w:rsidRPr="00C2344B">
              <w:rPr>
                <w:sz w:val="22"/>
                <w:szCs w:val="22"/>
              </w:rPr>
              <w:t>33215</w:t>
            </w:r>
          </w:p>
        </w:tc>
        <w:tc>
          <w:tcPr>
            <w:tcW w:w="1129" w:type="dxa"/>
            <w:tcBorders>
              <w:top w:val="nil"/>
              <w:left w:val="single" w:sz="4" w:space="0" w:color="auto"/>
              <w:bottom w:val="nil"/>
              <w:right w:val="nil"/>
            </w:tcBorders>
          </w:tcPr>
          <w:p w:rsidR="00DE297A" w:rsidRPr="00C2344B" w:rsidRDefault="00297168" w:rsidP="00C2344B">
            <w:pPr>
              <w:jc w:val="center"/>
              <w:rPr>
                <w:sz w:val="22"/>
                <w:szCs w:val="22"/>
              </w:rPr>
            </w:pPr>
            <w:r w:rsidRPr="00C2344B">
              <w:rPr>
                <w:sz w:val="22"/>
                <w:szCs w:val="22"/>
              </w:rPr>
              <w:t>5.992314</w:t>
            </w:r>
          </w:p>
        </w:tc>
        <w:tc>
          <w:tcPr>
            <w:tcW w:w="1129" w:type="dxa"/>
            <w:tcBorders>
              <w:top w:val="nil"/>
              <w:left w:val="nil"/>
              <w:bottom w:val="nil"/>
              <w:right w:val="nil"/>
            </w:tcBorders>
          </w:tcPr>
          <w:p w:rsidR="00DE297A" w:rsidRPr="00C2344B" w:rsidRDefault="001712FA" w:rsidP="00C2344B">
            <w:pPr>
              <w:jc w:val="center"/>
              <w:rPr>
                <w:sz w:val="22"/>
                <w:szCs w:val="22"/>
              </w:rPr>
            </w:pPr>
            <w:r w:rsidRPr="00C2344B">
              <w:rPr>
                <w:sz w:val="22"/>
                <w:szCs w:val="22"/>
              </w:rPr>
              <w:t>15.49471</w:t>
            </w:r>
          </w:p>
        </w:tc>
        <w:tc>
          <w:tcPr>
            <w:tcW w:w="885" w:type="dxa"/>
            <w:tcBorders>
              <w:top w:val="nil"/>
              <w:left w:val="nil"/>
              <w:bottom w:val="nil"/>
              <w:right w:val="single" w:sz="4" w:space="0" w:color="auto"/>
            </w:tcBorders>
          </w:tcPr>
          <w:p w:rsidR="00DE297A" w:rsidRPr="00C2344B" w:rsidRDefault="001712FA" w:rsidP="00C2344B">
            <w:pPr>
              <w:jc w:val="center"/>
              <w:rPr>
                <w:sz w:val="22"/>
                <w:szCs w:val="22"/>
              </w:rPr>
            </w:pPr>
            <w:r w:rsidRPr="00C2344B">
              <w:rPr>
                <w:sz w:val="22"/>
                <w:szCs w:val="22"/>
              </w:rPr>
              <w:t>0.6965</w:t>
            </w:r>
          </w:p>
        </w:tc>
        <w:tc>
          <w:tcPr>
            <w:tcW w:w="1271" w:type="dxa"/>
            <w:tcBorders>
              <w:top w:val="nil"/>
              <w:left w:val="single" w:sz="4" w:space="0" w:color="auto"/>
              <w:bottom w:val="nil"/>
              <w:right w:val="nil"/>
            </w:tcBorders>
          </w:tcPr>
          <w:p w:rsidR="00DE297A" w:rsidRPr="00C2344B" w:rsidRDefault="001712FA" w:rsidP="00C2344B">
            <w:pPr>
              <w:jc w:val="center"/>
              <w:rPr>
                <w:sz w:val="22"/>
                <w:szCs w:val="22"/>
              </w:rPr>
            </w:pPr>
            <w:r w:rsidRPr="00C2344B">
              <w:rPr>
                <w:sz w:val="22"/>
                <w:szCs w:val="22"/>
              </w:rPr>
              <w:t>5.843779</w:t>
            </w:r>
          </w:p>
        </w:tc>
        <w:tc>
          <w:tcPr>
            <w:tcW w:w="1129" w:type="dxa"/>
            <w:tcBorders>
              <w:top w:val="nil"/>
              <w:left w:val="nil"/>
              <w:bottom w:val="nil"/>
              <w:right w:val="nil"/>
            </w:tcBorders>
          </w:tcPr>
          <w:p w:rsidR="00DE297A" w:rsidRPr="00C2344B" w:rsidRDefault="001712FA" w:rsidP="00C2344B">
            <w:pPr>
              <w:jc w:val="center"/>
              <w:rPr>
                <w:sz w:val="22"/>
                <w:szCs w:val="22"/>
              </w:rPr>
            </w:pPr>
            <w:r w:rsidRPr="00C2344B">
              <w:rPr>
                <w:sz w:val="22"/>
                <w:szCs w:val="22"/>
              </w:rPr>
              <w:t>14.26460</w:t>
            </w:r>
          </w:p>
        </w:tc>
        <w:tc>
          <w:tcPr>
            <w:tcW w:w="885" w:type="dxa"/>
            <w:tcBorders>
              <w:top w:val="nil"/>
              <w:left w:val="nil"/>
              <w:bottom w:val="nil"/>
              <w:right w:val="single" w:sz="4" w:space="0" w:color="auto"/>
            </w:tcBorders>
          </w:tcPr>
          <w:p w:rsidR="00DE297A" w:rsidRPr="00C2344B" w:rsidRDefault="001712FA" w:rsidP="00C2344B">
            <w:pPr>
              <w:jc w:val="center"/>
              <w:rPr>
                <w:sz w:val="22"/>
                <w:szCs w:val="22"/>
              </w:rPr>
            </w:pPr>
            <w:r w:rsidRPr="00C2344B">
              <w:rPr>
                <w:sz w:val="22"/>
                <w:szCs w:val="22"/>
              </w:rPr>
              <w:t>0.6334</w:t>
            </w:r>
          </w:p>
        </w:tc>
      </w:tr>
      <w:tr w:rsidR="00DE297A" w:rsidRPr="00C2344B" w:rsidTr="001712FA">
        <w:tc>
          <w:tcPr>
            <w:tcW w:w="1259" w:type="dxa"/>
            <w:tcBorders>
              <w:top w:val="nil"/>
              <w:left w:val="single" w:sz="4" w:space="0" w:color="auto"/>
              <w:bottom w:val="single" w:sz="4" w:space="0" w:color="auto"/>
              <w:right w:val="single" w:sz="4" w:space="0" w:color="auto"/>
            </w:tcBorders>
          </w:tcPr>
          <w:p w:rsidR="00DE297A" w:rsidRPr="00C2344B" w:rsidRDefault="00DE297A" w:rsidP="00C2344B">
            <w:pPr>
              <w:jc w:val="center"/>
              <w:rPr>
                <w:sz w:val="22"/>
                <w:szCs w:val="22"/>
              </w:rPr>
            </w:pPr>
            <w:r w:rsidRPr="00C2344B">
              <w:rPr>
                <w:sz w:val="22"/>
                <w:szCs w:val="22"/>
              </w:rPr>
              <w:t>At most 4</w:t>
            </w:r>
          </w:p>
        </w:tc>
        <w:tc>
          <w:tcPr>
            <w:tcW w:w="1271" w:type="dxa"/>
            <w:tcBorders>
              <w:top w:val="nil"/>
              <w:left w:val="single" w:sz="4" w:space="0" w:color="auto"/>
              <w:bottom w:val="single" w:sz="4" w:space="0" w:color="auto"/>
              <w:right w:val="single" w:sz="4" w:space="0" w:color="auto"/>
            </w:tcBorders>
          </w:tcPr>
          <w:p w:rsidR="00DE297A" w:rsidRPr="00C2344B" w:rsidRDefault="00DE297A" w:rsidP="00C2344B">
            <w:pPr>
              <w:jc w:val="center"/>
              <w:rPr>
                <w:sz w:val="22"/>
                <w:szCs w:val="22"/>
              </w:rPr>
            </w:pPr>
            <w:r w:rsidRPr="00C2344B">
              <w:rPr>
                <w:sz w:val="22"/>
                <w:szCs w:val="22"/>
              </w:rPr>
              <w:t>0.0</w:t>
            </w:r>
            <w:r w:rsidR="00297168" w:rsidRPr="00C2344B">
              <w:rPr>
                <w:sz w:val="22"/>
                <w:szCs w:val="22"/>
              </w:rPr>
              <w:t>00858</w:t>
            </w:r>
          </w:p>
        </w:tc>
        <w:tc>
          <w:tcPr>
            <w:tcW w:w="1129" w:type="dxa"/>
            <w:tcBorders>
              <w:top w:val="nil"/>
              <w:left w:val="single" w:sz="4" w:space="0" w:color="auto"/>
              <w:bottom w:val="single" w:sz="4" w:space="0" w:color="auto"/>
              <w:right w:val="nil"/>
            </w:tcBorders>
          </w:tcPr>
          <w:p w:rsidR="00DE297A" w:rsidRPr="00C2344B" w:rsidRDefault="00297168" w:rsidP="00C2344B">
            <w:pPr>
              <w:jc w:val="center"/>
              <w:rPr>
                <w:sz w:val="22"/>
                <w:szCs w:val="22"/>
              </w:rPr>
            </w:pPr>
            <w:r w:rsidRPr="00C2344B">
              <w:rPr>
                <w:sz w:val="22"/>
                <w:szCs w:val="22"/>
              </w:rPr>
              <w:t>0.148535</w:t>
            </w:r>
          </w:p>
        </w:tc>
        <w:tc>
          <w:tcPr>
            <w:tcW w:w="1129" w:type="dxa"/>
            <w:tcBorders>
              <w:top w:val="nil"/>
              <w:left w:val="nil"/>
              <w:bottom w:val="single" w:sz="4" w:space="0" w:color="auto"/>
              <w:right w:val="nil"/>
            </w:tcBorders>
          </w:tcPr>
          <w:p w:rsidR="00DE297A" w:rsidRPr="00C2344B" w:rsidRDefault="001712FA" w:rsidP="00C2344B">
            <w:pPr>
              <w:jc w:val="center"/>
              <w:rPr>
                <w:sz w:val="22"/>
                <w:szCs w:val="22"/>
              </w:rPr>
            </w:pPr>
            <w:r w:rsidRPr="00C2344B">
              <w:rPr>
                <w:sz w:val="22"/>
                <w:szCs w:val="22"/>
              </w:rPr>
              <w:t>3.841466</w:t>
            </w:r>
          </w:p>
        </w:tc>
        <w:tc>
          <w:tcPr>
            <w:tcW w:w="885" w:type="dxa"/>
            <w:tcBorders>
              <w:top w:val="nil"/>
              <w:left w:val="nil"/>
              <w:bottom w:val="single" w:sz="4" w:space="0" w:color="auto"/>
              <w:right w:val="single" w:sz="4" w:space="0" w:color="auto"/>
            </w:tcBorders>
          </w:tcPr>
          <w:p w:rsidR="00DE297A" w:rsidRPr="00C2344B" w:rsidRDefault="001712FA" w:rsidP="00C2344B">
            <w:pPr>
              <w:jc w:val="center"/>
              <w:rPr>
                <w:sz w:val="22"/>
                <w:szCs w:val="22"/>
              </w:rPr>
            </w:pPr>
            <w:r w:rsidRPr="00C2344B">
              <w:rPr>
                <w:sz w:val="22"/>
                <w:szCs w:val="22"/>
              </w:rPr>
              <w:t>0.6999</w:t>
            </w:r>
          </w:p>
        </w:tc>
        <w:tc>
          <w:tcPr>
            <w:tcW w:w="1271" w:type="dxa"/>
            <w:tcBorders>
              <w:top w:val="nil"/>
              <w:left w:val="single" w:sz="4" w:space="0" w:color="auto"/>
              <w:bottom w:val="single" w:sz="4" w:space="0" w:color="auto"/>
              <w:right w:val="nil"/>
            </w:tcBorders>
          </w:tcPr>
          <w:p w:rsidR="00DE297A" w:rsidRPr="00C2344B" w:rsidRDefault="001712FA" w:rsidP="00C2344B">
            <w:pPr>
              <w:jc w:val="center"/>
              <w:rPr>
                <w:sz w:val="22"/>
                <w:szCs w:val="22"/>
              </w:rPr>
            </w:pPr>
            <w:r w:rsidRPr="00C2344B">
              <w:rPr>
                <w:sz w:val="22"/>
                <w:szCs w:val="22"/>
              </w:rPr>
              <w:t>0.148535</w:t>
            </w:r>
          </w:p>
        </w:tc>
        <w:tc>
          <w:tcPr>
            <w:tcW w:w="1129" w:type="dxa"/>
            <w:tcBorders>
              <w:top w:val="nil"/>
              <w:left w:val="nil"/>
              <w:bottom w:val="single" w:sz="4" w:space="0" w:color="auto"/>
              <w:right w:val="nil"/>
            </w:tcBorders>
          </w:tcPr>
          <w:p w:rsidR="00DE297A" w:rsidRPr="00C2344B" w:rsidRDefault="001712FA" w:rsidP="00C2344B">
            <w:pPr>
              <w:rPr>
                <w:sz w:val="22"/>
                <w:szCs w:val="22"/>
              </w:rPr>
            </w:pPr>
            <w:r w:rsidRPr="00C2344B">
              <w:rPr>
                <w:sz w:val="22"/>
                <w:szCs w:val="22"/>
              </w:rPr>
              <w:t xml:space="preserve"> 3.841466</w:t>
            </w:r>
          </w:p>
        </w:tc>
        <w:tc>
          <w:tcPr>
            <w:tcW w:w="885" w:type="dxa"/>
            <w:tcBorders>
              <w:top w:val="nil"/>
              <w:left w:val="nil"/>
              <w:bottom w:val="single" w:sz="4" w:space="0" w:color="auto"/>
              <w:right w:val="single" w:sz="4" w:space="0" w:color="auto"/>
            </w:tcBorders>
          </w:tcPr>
          <w:p w:rsidR="00DE297A" w:rsidRPr="00C2344B" w:rsidRDefault="00DE297A" w:rsidP="00C2344B">
            <w:pPr>
              <w:jc w:val="center"/>
              <w:rPr>
                <w:sz w:val="22"/>
                <w:szCs w:val="22"/>
              </w:rPr>
            </w:pPr>
            <w:r w:rsidRPr="00C2344B">
              <w:rPr>
                <w:sz w:val="22"/>
                <w:szCs w:val="22"/>
              </w:rPr>
              <w:t>0.</w:t>
            </w:r>
            <w:r w:rsidR="001712FA" w:rsidRPr="00C2344B">
              <w:rPr>
                <w:sz w:val="22"/>
                <w:szCs w:val="22"/>
              </w:rPr>
              <w:t>6999</w:t>
            </w:r>
          </w:p>
        </w:tc>
      </w:tr>
    </w:tbl>
    <w:tbl>
      <w:tblPr>
        <w:tblW w:w="0" w:type="auto"/>
        <w:tblInd w:w="11" w:type="dxa"/>
        <w:tblCellMar>
          <w:left w:w="0" w:type="dxa"/>
          <w:right w:w="0" w:type="dxa"/>
        </w:tblCellMar>
        <w:tblLook w:val="0000" w:firstRow="0" w:lastRow="0" w:firstColumn="0" w:lastColumn="0" w:noHBand="0" w:noVBand="0"/>
      </w:tblPr>
      <w:tblGrid>
        <w:gridCol w:w="1406"/>
        <w:gridCol w:w="1418"/>
        <w:gridCol w:w="1417"/>
        <w:gridCol w:w="1418"/>
        <w:gridCol w:w="1417"/>
      </w:tblGrid>
      <w:tr w:rsidR="00A0458E" w:rsidRPr="00C2344B" w:rsidTr="00DE297A">
        <w:trPr>
          <w:trHeight w:hRule="exact" w:val="135"/>
        </w:trPr>
        <w:tc>
          <w:tcPr>
            <w:tcW w:w="1406" w:type="dxa"/>
            <w:tcBorders>
              <w:top w:val="nil"/>
              <w:left w:val="nil"/>
              <w:bottom w:val="nil"/>
              <w:right w:val="nil"/>
            </w:tcBorders>
            <w:vAlign w:val="bottom"/>
          </w:tcPr>
          <w:p w:rsidR="00A0458E" w:rsidRPr="00C2344B" w:rsidRDefault="00A0458E" w:rsidP="00C2344B">
            <w:pPr>
              <w:autoSpaceDE w:val="0"/>
              <w:autoSpaceDN w:val="0"/>
              <w:adjustRightInd w:val="0"/>
              <w:rPr>
                <w:rFonts w:ascii="Times New Roman" w:hAnsi="Times New Roman" w:cs="Times New Roman"/>
                <w:color w:val="000000"/>
                <w:sz w:val="22"/>
                <w:szCs w:val="22"/>
              </w:rPr>
            </w:pPr>
          </w:p>
        </w:tc>
        <w:tc>
          <w:tcPr>
            <w:tcW w:w="1418" w:type="dxa"/>
            <w:tcBorders>
              <w:top w:val="nil"/>
              <w:left w:val="nil"/>
              <w:bottom w:val="nil"/>
              <w:right w:val="nil"/>
            </w:tcBorders>
            <w:vAlign w:val="bottom"/>
          </w:tcPr>
          <w:p w:rsidR="00A0458E" w:rsidRPr="00C2344B" w:rsidRDefault="00A0458E" w:rsidP="00C2344B">
            <w:pPr>
              <w:autoSpaceDE w:val="0"/>
              <w:autoSpaceDN w:val="0"/>
              <w:adjustRightInd w:val="0"/>
              <w:rPr>
                <w:rFonts w:ascii="Times New Roman" w:hAnsi="Times New Roman" w:cs="Times New Roman"/>
                <w:color w:val="000000"/>
                <w:sz w:val="22"/>
                <w:szCs w:val="22"/>
              </w:rPr>
            </w:pPr>
          </w:p>
        </w:tc>
        <w:tc>
          <w:tcPr>
            <w:tcW w:w="1417" w:type="dxa"/>
            <w:tcBorders>
              <w:top w:val="nil"/>
              <w:left w:val="nil"/>
              <w:bottom w:val="nil"/>
              <w:right w:val="nil"/>
            </w:tcBorders>
            <w:vAlign w:val="bottom"/>
          </w:tcPr>
          <w:p w:rsidR="00A0458E" w:rsidRPr="00C2344B" w:rsidRDefault="00A0458E" w:rsidP="00C2344B">
            <w:pPr>
              <w:autoSpaceDE w:val="0"/>
              <w:autoSpaceDN w:val="0"/>
              <w:adjustRightInd w:val="0"/>
              <w:rPr>
                <w:rFonts w:ascii="Times New Roman" w:hAnsi="Times New Roman" w:cs="Times New Roman"/>
                <w:color w:val="000000"/>
                <w:sz w:val="22"/>
                <w:szCs w:val="22"/>
              </w:rPr>
            </w:pPr>
          </w:p>
        </w:tc>
        <w:tc>
          <w:tcPr>
            <w:tcW w:w="1418" w:type="dxa"/>
            <w:tcBorders>
              <w:top w:val="nil"/>
              <w:left w:val="nil"/>
              <w:bottom w:val="nil"/>
              <w:right w:val="nil"/>
            </w:tcBorders>
            <w:vAlign w:val="bottom"/>
          </w:tcPr>
          <w:p w:rsidR="00A0458E" w:rsidRPr="00C2344B" w:rsidRDefault="00A0458E" w:rsidP="00C2344B">
            <w:pPr>
              <w:autoSpaceDE w:val="0"/>
              <w:autoSpaceDN w:val="0"/>
              <w:adjustRightInd w:val="0"/>
              <w:rPr>
                <w:rFonts w:ascii="Times New Roman" w:hAnsi="Times New Roman" w:cs="Times New Roman"/>
                <w:color w:val="000000"/>
                <w:sz w:val="22"/>
                <w:szCs w:val="22"/>
              </w:rPr>
            </w:pPr>
          </w:p>
        </w:tc>
        <w:tc>
          <w:tcPr>
            <w:tcW w:w="1417" w:type="dxa"/>
            <w:tcBorders>
              <w:top w:val="nil"/>
              <w:left w:val="nil"/>
              <w:bottom w:val="nil"/>
              <w:right w:val="nil"/>
            </w:tcBorders>
            <w:vAlign w:val="bottom"/>
          </w:tcPr>
          <w:p w:rsidR="00A0458E" w:rsidRPr="00C2344B" w:rsidRDefault="00A0458E" w:rsidP="00C2344B">
            <w:pPr>
              <w:autoSpaceDE w:val="0"/>
              <w:autoSpaceDN w:val="0"/>
              <w:adjustRightInd w:val="0"/>
              <w:rPr>
                <w:rFonts w:ascii="Times New Roman" w:hAnsi="Times New Roman" w:cs="Times New Roman"/>
                <w:color w:val="000000"/>
                <w:sz w:val="22"/>
                <w:szCs w:val="22"/>
              </w:rPr>
            </w:pPr>
          </w:p>
        </w:tc>
      </w:tr>
      <w:tr w:rsidR="00A0458E" w:rsidRPr="00C2344B" w:rsidTr="00DE297A">
        <w:trPr>
          <w:trHeight w:val="225"/>
        </w:trPr>
        <w:tc>
          <w:tcPr>
            <w:tcW w:w="7076" w:type="dxa"/>
            <w:gridSpan w:val="5"/>
            <w:tcBorders>
              <w:top w:val="nil"/>
              <w:left w:val="nil"/>
              <w:bottom w:val="nil"/>
              <w:right w:val="nil"/>
            </w:tcBorders>
            <w:vAlign w:val="bottom"/>
          </w:tcPr>
          <w:p w:rsidR="00A0458E" w:rsidRPr="00C2344B" w:rsidRDefault="00A0458E" w:rsidP="00C2344B">
            <w:pPr>
              <w:autoSpaceDE w:val="0"/>
              <w:autoSpaceDN w:val="0"/>
              <w:adjustRightInd w:val="0"/>
              <w:rPr>
                <w:rFonts w:ascii="Times New Roman" w:hAnsi="Times New Roman" w:cs="Times New Roman"/>
                <w:color w:val="000000"/>
                <w:sz w:val="22"/>
                <w:szCs w:val="22"/>
              </w:rPr>
            </w:pPr>
            <w:r w:rsidRPr="00C2344B">
              <w:rPr>
                <w:rFonts w:ascii="Times New Roman" w:hAnsi="Times New Roman" w:cs="Times New Roman"/>
                <w:color w:val="000000"/>
                <w:sz w:val="22"/>
                <w:szCs w:val="22"/>
              </w:rPr>
              <w:t> </w:t>
            </w:r>
            <w:r w:rsidR="00957AEF" w:rsidRPr="00C2344B">
              <w:rPr>
                <w:rFonts w:ascii="Times New Roman" w:hAnsi="Times New Roman" w:cs="Times New Roman"/>
                <w:color w:val="000000"/>
                <w:sz w:val="22"/>
                <w:szCs w:val="22"/>
              </w:rPr>
              <w:t>* denotes rejection of the hypothesis at the 5 percent significance level.</w:t>
            </w:r>
          </w:p>
        </w:tc>
      </w:tr>
    </w:tbl>
    <w:p w:rsidR="004E1FF0" w:rsidRPr="00C2344B" w:rsidRDefault="004E1FF0" w:rsidP="00C2344B">
      <w:pPr>
        <w:jc w:val="both"/>
        <w:rPr>
          <w:rFonts w:ascii="Times New Roman" w:hAnsi="Times New Roman" w:cs="Times New Roman"/>
          <w:sz w:val="22"/>
          <w:szCs w:val="22"/>
        </w:rPr>
      </w:pPr>
    </w:p>
    <w:p w:rsidR="001930B2" w:rsidRPr="0003611B" w:rsidRDefault="004E1FF0" w:rsidP="00C2344B">
      <w:pPr>
        <w:jc w:val="both"/>
        <w:rPr>
          <w:rFonts w:ascii="Times New Roman" w:hAnsi="Times New Roman" w:cs="Times New Roman"/>
        </w:rPr>
      </w:pPr>
      <w:r w:rsidRPr="0003611B">
        <w:rPr>
          <w:rFonts w:ascii="Times New Roman" w:hAnsi="Times New Roman" w:cs="Times New Roman"/>
        </w:rPr>
        <w:t xml:space="preserve">Having established the existence of a unique cointegrating vector, </w:t>
      </w:r>
      <w:r w:rsidR="00D232C8" w:rsidRPr="0003611B">
        <w:rPr>
          <w:rFonts w:ascii="Times New Roman" w:hAnsi="Times New Roman" w:cs="Times New Roman"/>
        </w:rPr>
        <w:t>the paper examined the long run relationship among the variables of interest. T</w:t>
      </w:r>
      <w:r w:rsidR="00ED7EFF" w:rsidRPr="0003611B">
        <w:rPr>
          <w:rFonts w:ascii="Times New Roman" w:hAnsi="Times New Roman" w:cs="Times New Roman"/>
        </w:rPr>
        <w:t xml:space="preserve">he dynamics of the long run equilibrium are presented in Tables </w:t>
      </w:r>
      <w:r w:rsidR="00B00B56">
        <w:rPr>
          <w:rFonts w:ascii="Times New Roman" w:hAnsi="Times New Roman" w:cs="Times New Roman"/>
        </w:rPr>
        <w:t>4</w:t>
      </w:r>
      <w:r w:rsidR="00D232C8" w:rsidRPr="0003611B">
        <w:rPr>
          <w:rFonts w:ascii="Times New Roman" w:hAnsi="Times New Roman" w:cs="Times New Roman"/>
        </w:rPr>
        <w:t>a,</w:t>
      </w:r>
      <w:r w:rsidR="00420B00" w:rsidRPr="0003611B">
        <w:rPr>
          <w:rFonts w:ascii="Times New Roman" w:hAnsi="Times New Roman" w:cs="Times New Roman"/>
        </w:rPr>
        <w:t xml:space="preserve"> </w:t>
      </w:r>
      <w:r w:rsidR="00B00B56">
        <w:rPr>
          <w:rFonts w:ascii="Times New Roman" w:hAnsi="Times New Roman" w:cs="Times New Roman"/>
        </w:rPr>
        <w:t>4b, and 4</w:t>
      </w:r>
      <w:r w:rsidR="00D232C8" w:rsidRPr="0003611B">
        <w:rPr>
          <w:rFonts w:ascii="Times New Roman" w:hAnsi="Times New Roman" w:cs="Times New Roman"/>
        </w:rPr>
        <w:t>c</w:t>
      </w:r>
      <w:r w:rsidR="00ED7EFF" w:rsidRPr="0003611B">
        <w:rPr>
          <w:rFonts w:ascii="Times New Roman" w:hAnsi="Times New Roman" w:cs="Times New Roman"/>
        </w:rPr>
        <w:t xml:space="preserve">. This is of interest because it indicates the behavior of the changes in import prices over time, providing additional information on pass-through. </w:t>
      </w:r>
      <w:r w:rsidR="007E2598" w:rsidRPr="0003611B">
        <w:rPr>
          <w:rFonts w:ascii="Times New Roman" w:hAnsi="Times New Roman" w:cs="Times New Roman"/>
        </w:rPr>
        <w:t>F</w:t>
      </w:r>
      <w:r w:rsidR="00ED7EFF" w:rsidRPr="0003611B">
        <w:rPr>
          <w:rFonts w:ascii="Times New Roman" w:hAnsi="Times New Roman" w:cs="Times New Roman"/>
        </w:rPr>
        <w:t>our lags of each variable</w:t>
      </w:r>
      <w:r w:rsidR="007E2598" w:rsidRPr="0003611B">
        <w:rPr>
          <w:rFonts w:ascii="Times New Roman" w:hAnsi="Times New Roman" w:cs="Times New Roman"/>
        </w:rPr>
        <w:t xml:space="preserve"> are included</w:t>
      </w:r>
      <w:r w:rsidR="00ED7EFF" w:rsidRPr="0003611B">
        <w:rPr>
          <w:rFonts w:ascii="Times New Roman" w:hAnsi="Times New Roman" w:cs="Times New Roman"/>
        </w:rPr>
        <w:t xml:space="preserve">. </w:t>
      </w:r>
      <w:r w:rsidR="001930B2" w:rsidRPr="0003611B">
        <w:rPr>
          <w:rFonts w:ascii="Times New Roman" w:hAnsi="Times New Roman" w:cs="Times New Roman"/>
        </w:rPr>
        <w:t>The estimated model is specified as:</w:t>
      </w:r>
    </w:p>
    <w:p w:rsidR="001930B2" w:rsidRPr="0003611B" w:rsidRDefault="001930B2" w:rsidP="00C2344B">
      <w:pPr>
        <w:jc w:val="both"/>
        <w:rPr>
          <w:rFonts w:ascii="Times New Roman" w:hAnsi="Times New Roman" w:cs="Times New Roman"/>
        </w:rPr>
      </w:pPr>
    </w:p>
    <w:p w:rsidR="001930B2" w:rsidRPr="0003611B" w:rsidRDefault="00444DC0" w:rsidP="00C2344B">
      <w:pPr>
        <w:jc w:val="both"/>
        <w:rPr>
          <w:rFonts w:ascii="Times New Roman" w:hAnsi="Times New Roman" w:cs="Times New Roman"/>
          <w:i/>
        </w:rPr>
      </w:pPr>
      <m:oMathPara>
        <m:oMath>
          <m:r>
            <w:rPr>
              <w:rFonts w:ascii="Times New Roman" w:hAnsi="Times New Roman" w:cs="Times New Roman"/>
            </w:rPr>
            <m:t>∆</m:t>
          </m:r>
          <m:r>
            <w:rPr>
              <w:rFonts w:ascii="Cambria Math" w:hAnsi="Cambria Math" w:cs="Times New Roman"/>
            </w:rPr>
            <m:t>ln</m:t>
          </m:r>
          <m:sSub>
            <m:sSubPr>
              <m:ctrlPr>
                <w:rPr>
                  <w:rFonts w:ascii="Cambria Math" w:hAnsi="Times New Roman" w:cs="Times New Roman"/>
                  <w:i/>
                </w:rPr>
              </m:ctrlPr>
            </m:sSubPr>
            <m:e>
              <m:r>
                <w:rPr>
                  <w:rFonts w:ascii="Cambria Math" w:hAnsi="Cambria Math" w:cs="Times New Roman"/>
                </w:rPr>
                <m:t>IMP</m:t>
              </m:r>
            </m:e>
            <m:sub>
              <m:r>
                <w:rPr>
                  <w:rFonts w:ascii="Cambria Math" w:hAnsi="Cambria Math" w:cs="Times New Roman"/>
                </w:rPr>
                <m:t>t</m:t>
              </m:r>
            </m:sub>
          </m:sSub>
          <m:r>
            <w:rPr>
              <w:rFonts w:ascii="Cambria Math" w:hAnsi="Times New Roman" w:cs="Times New Roman"/>
            </w:rPr>
            <m:t xml:space="preserve"> =  </m:t>
          </m:r>
          <m:r>
            <w:rPr>
              <w:rFonts w:ascii="Cambria Math" w:hAnsi="Cambria Math" w:cs="Times New Roman"/>
            </w:rPr>
            <m:t>∝</m:t>
          </m:r>
          <m:r>
            <w:rPr>
              <w:rFonts w:ascii="Cambria Math" w:hAnsi="Times New Roman" w:cs="Times New Roman"/>
            </w:rPr>
            <m:t xml:space="preserve"> +  </m:t>
          </m:r>
          <m:nary>
            <m:naryPr>
              <m:chr m:val="∑"/>
              <m:limLoc m:val="undOvr"/>
              <m:ctrlPr>
                <w:rPr>
                  <w:rFonts w:ascii="Cambria Math" w:hAnsi="Times New Roman" w:cs="Times New Roman"/>
                  <w:i/>
                </w:rPr>
              </m:ctrlPr>
            </m:naryPr>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up>
              <m:r>
                <w:rPr>
                  <w:rFonts w:ascii="Cambria Math" w:hAnsi="Times New Roman" w:cs="Times New Roman"/>
                </w:rPr>
                <m:t>4</m:t>
              </m:r>
            </m:sup>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r>
                <w:rPr>
                  <w:rFonts w:ascii="Times New Roman" w:hAnsi="Times New Roman" w:cs="Times New Roman"/>
                </w:rPr>
                <m:t>∆</m:t>
              </m:r>
            </m:e>
          </m:nary>
          <m:sSub>
            <m:sSubPr>
              <m:ctrlPr>
                <w:rPr>
                  <w:rFonts w:ascii="Cambria Math" w:hAnsi="Times New Roman" w:cs="Times New Roman"/>
                  <w:i/>
                </w:rPr>
              </m:ctrlPr>
            </m:sSubPr>
            <m:e>
              <m:r>
                <w:rPr>
                  <w:rFonts w:ascii="Cambria Math" w:hAnsi="Cambria Math" w:cs="Times New Roman"/>
                </w:rPr>
                <m:t>lnIMP</m:t>
              </m:r>
            </m:e>
            <m:sub>
              <m:r>
                <w:rPr>
                  <w:rFonts w:ascii="Cambria Math" w:hAnsi="Cambria Math" w:cs="Times New Roman"/>
                </w:rPr>
                <m:t>t</m:t>
              </m:r>
              <m:r>
                <w:rPr>
                  <w:rFonts w:ascii="Times New Roman" w:hAnsi="Times New Roman" w:cs="Times New Roman"/>
                </w:rPr>
                <m:t>-</m:t>
              </m:r>
              <m:r>
                <w:rPr>
                  <w:rFonts w:ascii="Cambria Math" w:hAnsi="Times New Roman" w:cs="Times New Roman"/>
                </w:rPr>
                <m:t xml:space="preserve">1 </m:t>
              </m:r>
            </m:sub>
          </m:sSub>
          <m:r>
            <w:rPr>
              <w:rFonts w:ascii="Cambria Math" w:hAnsi="Times New Roman" w:cs="Times New Roman"/>
            </w:rPr>
            <m:t xml:space="preserve">+ </m:t>
          </m:r>
          <m:nary>
            <m:naryPr>
              <m:chr m:val="∑"/>
              <m:limLoc m:val="undOvr"/>
              <m:ctrlPr>
                <w:rPr>
                  <w:rFonts w:ascii="Cambria Math" w:hAnsi="Times New Roman" w:cs="Times New Roman"/>
                  <w:i/>
                </w:rPr>
              </m:ctrlPr>
            </m:naryPr>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up>
              <m:r>
                <w:rPr>
                  <w:rFonts w:ascii="Cambria Math" w:hAnsi="Times New Roman" w:cs="Times New Roman"/>
                </w:rPr>
                <m:t>4</m:t>
              </m:r>
            </m:sup>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sub>
              </m:sSub>
            </m:e>
          </m:nary>
          <m:r>
            <w:rPr>
              <w:rFonts w:ascii="Cambria Math" w:hAnsi="Times New Roman" w:cs="Times New Roman"/>
            </w:rPr>
            <m:t xml:space="preserve"> </m:t>
          </m:r>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lnCPI</m:t>
              </m:r>
            </m:e>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Sub>
          <m:r>
            <w:rPr>
              <w:rFonts w:ascii="Cambria Math" w:hAnsi="Times New Roman" w:cs="Times New Roman"/>
            </w:rPr>
            <m:t xml:space="preserve">+ </m:t>
          </m:r>
          <m:nary>
            <m:naryPr>
              <m:chr m:val="∑"/>
              <m:limLoc m:val="undOvr"/>
              <m:ctrlPr>
                <w:rPr>
                  <w:rFonts w:ascii="Cambria Math" w:hAnsi="Times New Roman" w:cs="Times New Roman"/>
                  <w:i/>
                </w:rPr>
              </m:ctrlPr>
            </m:naryPr>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up>
              <m:r>
                <w:rPr>
                  <w:rFonts w:ascii="Cambria Math" w:hAnsi="Times New Roman" w:cs="Times New Roman"/>
                </w:rPr>
                <m:t>4</m:t>
              </m:r>
            </m:sup>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3</m:t>
                  </m:r>
                </m:sub>
              </m:sSub>
            </m:e>
          </m:nary>
          <m:r>
            <w:rPr>
              <w:rFonts w:ascii="Cambria Math" w:hAnsi="Times New Roman" w:cs="Times New Roman"/>
            </w:rPr>
            <m:t xml:space="preserve"> </m:t>
          </m:r>
          <m:sSub>
            <m:sSubPr>
              <m:ctrlPr>
                <w:rPr>
                  <w:rFonts w:ascii="Cambria Math" w:hAnsi="Times New Roman" w:cs="Times New Roman"/>
                  <w:i/>
                </w:rPr>
              </m:ctrlPr>
            </m:sSubPr>
            <m:e>
              <m:r>
                <w:rPr>
                  <w:rFonts w:ascii="Times New Roman" w:hAnsi="Times New Roman" w:cs="Times New Roman"/>
                </w:rPr>
                <m:t>∆</m:t>
              </m:r>
              <m:r>
                <w:rPr>
                  <w:rFonts w:ascii="Cambria Math" w:hAnsi="Cambria Math" w:cs="Times New Roman"/>
                </w:rPr>
                <m:t>lnER</m:t>
              </m:r>
            </m:e>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Sub>
          <m:r>
            <w:rPr>
              <w:rFonts w:ascii="Cambria Math" w:hAnsi="Times New Roman" w:cs="Times New Roman"/>
            </w:rPr>
            <m:t xml:space="preserve">+ </m:t>
          </m:r>
          <m:nary>
            <m:naryPr>
              <m:chr m:val="∑"/>
              <m:limLoc m:val="undOvr"/>
              <m:ctrlPr>
                <w:rPr>
                  <w:rFonts w:ascii="Cambria Math" w:hAnsi="Times New Roman" w:cs="Times New Roman"/>
                  <w:i/>
                </w:rPr>
              </m:ctrlPr>
            </m:naryPr>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up>
              <m:r>
                <w:rPr>
                  <w:rFonts w:ascii="Cambria Math" w:hAnsi="Times New Roman" w:cs="Times New Roman"/>
                </w:rPr>
                <m:t>4</m:t>
              </m:r>
            </m:sup>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4</m:t>
                  </m:r>
                </m:sub>
              </m:sSub>
            </m:e>
          </m:nary>
          <m:sSub>
            <m:sSubPr>
              <m:ctrlPr>
                <w:rPr>
                  <w:rFonts w:ascii="Cambria Math" w:hAnsi="Times New Roman" w:cs="Times New Roman"/>
                  <w:i/>
                </w:rPr>
              </m:ctrlPr>
            </m:sSubPr>
            <m:e>
              <m:r>
                <w:rPr>
                  <w:rFonts w:ascii="Times New Roman" w:hAnsi="Times New Roman" w:cs="Times New Roman"/>
                </w:rPr>
                <m:t>∆</m:t>
              </m:r>
              <m:r>
                <w:rPr>
                  <w:rFonts w:ascii="Cambria Math" w:hAnsi="Cambria Math" w:cs="Times New Roman"/>
                </w:rPr>
                <m:t>lnIP</m:t>
              </m:r>
            </m:e>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Sub>
          <m:r>
            <w:rPr>
              <w:rFonts w:ascii="Cambria Math" w:hAnsi="Times New Roman" w:cs="Times New Roman"/>
            </w:rPr>
            <m:t xml:space="preserve">+ </m:t>
          </m:r>
          <m:nary>
            <m:naryPr>
              <m:chr m:val="∑"/>
              <m:limLoc m:val="undOvr"/>
              <m:ctrlPr>
                <w:rPr>
                  <w:rFonts w:ascii="Cambria Math" w:hAnsi="Times New Roman" w:cs="Times New Roman"/>
                  <w:i/>
                </w:rPr>
              </m:ctrlPr>
            </m:naryPr>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up>
              <m:r>
                <w:rPr>
                  <w:rFonts w:ascii="Cambria Math" w:hAnsi="Times New Roman" w:cs="Times New Roman"/>
                </w:rPr>
                <m:t>4</m:t>
              </m:r>
            </m:sup>
            <m:e>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5</m:t>
                  </m:r>
                </m:sub>
              </m:sSub>
            </m:e>
          </m:nary>
          <m:sSub>
            <m:sSubPr>
              <m:ctrlPr>
                <w:rPr>
                  <w:rFonts w:ascii="Cambria Math" w:hAnsi="Times New Roman" w:cs="Times New Roman"/>
                  <w:i/>
                </w:rPr>
              </m:ctrlPr>
            </m:sSubPr>
            <m:e>
              <m:r>
                <w:rPr>
                  <w:rFonts w:ascii="Cambria Math" w:hAnsi="Cambria Math" w:cs="Times New Roman"/>
                </w:rPr>
                <m:t>lnIR</m:t>
              </m:r>
            </m:e>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6</m:t>
              </m:r>
            </m:sub>
          </m:sSub>
          <m:sSub>
            <m:sSubPr>
              <m:ctrlPr>
                <w:rPr>
                  <w:rFonts w:ascii="Cambria Math" w:hAnsi="Times New Roman" w:cs="Times New Roman"/>
                  <w:i/>
                </w:rPr>
              </m:ctrlPr>
            </m:sSubPr>
            <m:e>
              <m:r>
                <w:rPr>
                  <w:rFonts w:ascii="Cambria Math" w:hAnsi="Cambria Math" w:cs="Times New Roman"/>
                </w:rPr>
                <m:t>ECM</m:t>
              </m:r>
            </m:e>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Times New Roman" w:cs="Times New Roman"/>
            </w:rPr>
            <m:t xml:space="preserve"> </m:t>
          </m:r>
        </m:oMath>
      </m:oMathPara>
    </w:p>
    <w:p w:rsidR="00444DC0" w:rsidRPr="0003611B" w:rsidRDefault="00444DC0" w:rsidP="00C2344B">
      <w:pPr>
        <w:jc w:val="both"/>
        <w:rPr>
          <w:rFonts w:ascii="Times New Roman" w:hAnsi="Times New Roman" w:cs="Times New Roman"/>
        </w:rPr>
      </w:pPr>
    </w:p>
    <w:p w:rsidR="00ED7EFF" w:rsidRPr="0003611B" w:rsidRDefault="00ED7EFF" w:rsidP="00C2344B">
      <w:pPr>
        <w:jc w:val="both"/>
        <w:rPr>
          <w:rFonts w:ascii="Times New Roman" w:hAnsi="Times New Roman" w:cs="Times New Roman"/>
        </w:rPr>
      </w:pPr>
      <w:r w:rsidRPr="0003611B">
        <w:rPr>
          <w:rFonts w:ascii="Times New Roman" w:hAnsi="Times New Roman" w:cs="Times New Roman"/>
        </w:rPr>
        <w:t>The equilibrium correction term (</w:t>
      </w:r>
      <w:r w:rsidR="00BA0D79" w:rsidRPr="0003611B">
        <w:rPr>
          <w:rFonts w:ascii="Times New Roman" w:hAnsi="Times New Roman" w:cs="Times New Roman"/>
          <w:position w:val="-12"/>
        </w:rPr>
        <w:object w:dxaOrig="800" w:dyaOrig="360">
          <v:shape id="_x0000_i1042" type="#_x0000_t75" style="width:36.75pt;height:18.75pt" o:ole="">
            <v:imagedata r:id="rId43" o:title=""/>
          </v:shape>
          <o:OLEObject Type="Embed" ProgID="Equation.3" ShapeID="_x0000_i1042" DrawAspect="Content" ObjectID="_1564908190" r:id="rId44"/>
        </w:object>
      </w:r>
      <w:r w:rsidRPr="0003611B">
        <w:rPr>
          <w:rFonts w:ascii="Times New Roman" w:hAnsi="Times New Roman" w:cs="Times New Roman"/>
        </w:rPr>
        <w:t xml:space="preserve">) generated from the cointegration equation </w:t>
      </w:r>
      <w:r w:rsidR="00A35957" w:rsidRPr="0003611B">
        <w:rPr>
          <w:rFonts w:ascii="Times New Roman" w:hAnsi="Times New Roman" w:cs="Times New Roman"/>
        </w:rPr>
        <w:t>i</w:t>
      </w:r>
      <w:r w:rsidRPr="0003611B">
        <w:rPr>
          <w:rFonts w:ascii="Times New Roman" w:hAnsi="Times New Roman" w:cs="Times New Roman"/>
        </w:rPr>
        <w:t xml:space="preserve">s included as an additional channel through which the speed of pass-through can be estimated. </w:t>
      </w:r>
    </w:p>
    <w:p w:rsidR="00BB3FE7" w:rsidRPr="0003611B" w:rsidRDefault="00BB3FE7" w:rsidP="00C2344B">
      <w:pPr>
        <w:jc w:val="both"/>
        <w:rPr>
          <w:rFonts w:ascii="Times New Roman" w:hAnsi="Times New Roman" w:cs="Times New Roman"/>
        </w:rPr>
      </w:pPr>
    </w:p>
    <w:p w:rsidR="00D232C8" w:rsidRPr="0003611B" w:rsidRDefault="00D232C8" w:rsidP="00D232C8">
      <w:pPr>
        <w:jc w:val="both"/>
        <w:rPr>
          <w:rFonts w:ascii="Times New Roman" w:hAnsi="Times New Roman" w:cs="Times New Roman"/>
          <w:b/>
          <w:bCs/>
        </w:rPr>
      </w:pPr>
      <w:r w:rsidRPr="0003611B">
        <w:rPr>
          <w:rFonts w:ascii="Times New Roman" w:hAnsi="Times New Roman" w:cs="Times New Roman"/>
        </w:rPr>
        <w:t xml:space="preserve">Parsimony was achieved by removing the insignificant regressors and testing the validity of the reduction with an </w:t>
      </w:r>
      <w:r w:rsidRPr="0003611B">
        <w:rPr>
          <w:rFonts w:ascii="Times New Roman" w:hAnsi="Times New Roman" w:cs="Times New Roman"/>
          <w:position w:val="-4"/>
        </w:rPr>
        <w:object w:dxaOrig="260" w:dyaOrig="260">
          <v:shape id="_x0000_i1043" type="#_x0000_t75" style="width:12pt;height:12pt" o:ole="">
            <v:imagedata r:id="rId45" o:title=""/>
          </v:shape>
          <o:OLEObject Type="Embed" ProgID="Equation.3" ShapeID="_x0000_i1043" DrawAspect="Content" ObjectID="_1564908191" r:id="rId46"/>
        </w:object>
      </w:r>
      <w:r w:rsidRPr="0003611B">
        <w:rPr>
          <w:rFonts w:ascii="Times New Roman" w:hAnsi="Times New Roman" w:cs="Times New Roman"/>
        </w:rPr>
        <w:t xml:space="preserve">- test. The parsimonious vector error correction (VECM) was subjected to </w:t>
      </w:r>
      <w:r w:rsidR="00B00B56" w:rsidRPr="0003611B">
        <w:rPr>
          <w:rFonts w:ascii="Times New Roman" w:hAnsi="Times New Roman" w:cs="Times New Roman"/>
        </w:rPr>
        <w:t>many</w:t>
      </w:r>
      <w:r w:rsidRPr="0003611B">
        <w:rPr>
          <w:rFonts w:ascii="Times New Roman" w:hAnsi="Times New Roman" w:cs="Times New Roman"/>
        </w:rPr>
        <w:t xml:space="preserve"> diagnostic checks which include stability, within equation residual correlation, heteroskedasticity and normality tests. The serial correlation LM test which can test for higher order ARMA errors show that the residuals do not exhibit autocorrelation. Also, the ARCH LM test for autoregressive conditional heteroskedasticity shows that there is no ARCH in the residuals. For the White’s test, the null hypothesis of no heteroskedasticity is accepted.  Ramsey’s Regression Specification Error Test (RESET) shows that the model is of the correct functional form and that the disturbance vector has the multivariate normal distribution</w:t>
      </w:r>
      <w:r w:rsidRPr="0003611B">
        <w:rPr>
          <w:rFonts w:ascii="Times New Roman" w:hAnsi="Times New Roman" w:cs="Times New Roman"/>
          <w:position w:val="-10"/>
        </w:rPr>
        <w:object w:dxaOrig="1080" w:dyaOrig="360">
          <v:shape id="_x0000_i1044" type="#_x0000_t75" style="width:53.25pt;height:18pt" o:ole="">
            <v:imagedata r:id="rId47" o:title=""/>
          </v:shape>
          <o:OLEObject Type="Embed" ProgID="Equation.3" ShapeID="_x0000_i1044" DrawAspect="Content" ObjectID="_1564908192" r:id="rId48"/>
        </w:object>
      </w:r>
      <w:r w:rsidRPr="0003611B">
        <w:rPr>
          <w:rFonts w:ascii="Times New Roman" w:hAnsi="Times New Roman" w:cs="Times New Roman"/>
        </w:rPr>
        <w:t xml:space="preserve">.  A plot of the </w:t>
      </w:r>
      <w:r w:rsidRPr="0003611B">
        <w:rPr>
          <w:rFonts w:ascii="Times New Roman" w:hAnsi="Times New Roman" w:cs="Times New Roman"/>
        </w:rPr>
        <w:lastRenderedPageBreak/>
        <w:t>recursive residuals shows that the residuals are inside the standard error bands suggesting stability in the parameters of the model.</w:t>
      </w:r>
    </w:p>
    <w:p w:rsidR="007A699E" w:rsidRPr="0003611B" w:rsidRDefault="007A699E" w:rsidP="00C2344B">
      <w:pPr>
        <w:jc w:val="both"/>
        <w:rPr>
          <w:rFonts w:ascii="Times New Roman" w:hAnsi="Times New Roman" w:cs="Times New Roman"/>
          <w:b/>
        </w:rPr>
      </w:pPr>
    </w:p>
    <w:p w:rsidR="003E5017" w:rsidRPr="0003611B" w:rsidRDefault="003E5017" w:rsidP="00C2344B">
      <w:pPr>
        <w:rPr>
          <w:rFonts w:ascii="Times New Roman" w:hAnsi="Times New Roman" w:cs="Times New Roman"/>
        </w:rPr>
      </w:pPr>
    </w:p>
    <w:p w:rsidR="00546E6E" w:rsidRPr="0003611B" w:rsidRDefault="004E1FF0" w:rsidP="00C2344B">
      <w:pPr>
        <w:rPr>
          <w:rFonts w:ascii="Times New Roman" w:hAnsi="Times New Roman" w:cs="Times New Roman"/>
        </w:rPr>
      </w:pPr>
      <w:r w:rsidRPr="0003611B">
        <w:rPr>
          <w:rFonts w:ascii="Times New Roman" w:hAnsi="Times New Roman" w:cs="Times New Roman"/>
        </w:rPr>
        <w:t xml:space="preserve">Table </w:t>
      </w:r>
      <w:r w:rsidR="00B00B56">
        <w:rPr>
          <w:rFonts w:ascii="Times New Roman" w:hAnsi="Times New Roman" w:cs="Times New Roman"/>
        </w:rPr>
        <w:t>4</w:t>
      </w:r>
      <w:r w:rsidR="00420B00" w:rsidRPr="0003611B">
        <w:rPr>
          <w:rFonts w:ascii="Times New Roman" w:hAnsi="Times New Roman" w:cs="Times New Roman"/>
        </w:rPr>
        <w:t>a</w:t>
      </w:r>
      <w:r w:rsidR="00546E6E" w:rsidRPr="0003611B">
        <w:rPr>
          <w:rFonts w:ascii="Times New Roman" w:hAnsi="Times New Roman" w:cs="Times New Roman"/>
        </w:rPr>
        <w:t>: Estimates of the Adjustment to Long Run Equilibrium Relationships</w:t>
      </w:r>
      <w:r w:rsidR="00B45626" w:rsidRPr="0003611B">
        <w:rPr>
          <w:rFonts w:ascii="Times New Roman" w:hAnsi="Times New Roman" w:cs="Times New Roman"/>
        </w:rPr>
        <w:t xml:space="preserve">—1970q1 to </w:t>
      </w:r>
      <w:r w:rsidR="00B00B56">
        <w:rPr>
          <w:rFonts w:ascii="Times New Roman" w:hAnsi="Times New Roman" w:cs="Times New Roman"/>
        </w:rPr>
        <w:t>2015</w:t>
      </w:r>
      <w:r w:rsidR="00546E6E" w:rsidRPr="0003611B">
        <w:rPr>
          <w:rFonts w:ascii="Times New Roman" w:hAnsi="Times New Roman" w:cs="Times New Roman"/>
        </w:rPr>
        <w:t>q4)</w:t>
      </w:r>
    </w:p>
    <w:p w:rsidR="00546E6E" w:rsidRPr="0003611B" w:rsidRDefault="000A038A" w:rsidP="00C2344B">
      <w:pPr>
        <w:jc w:val="center"/>
        <w:rPr>
          <w:rFonts w:ascii="Times New Roman" w:hAnsi="Times New Roman" w:cs="Times New Roman"/>
        </w:rPr>
      </w:pPr>
      <w:r w:rsidRPr="0003611B">
        <w:rPr>
          <w:rFonts w:ascii="Times New Roman" w:hAnsi="Times New Roman" w:cs="Times New Roman"/>
        </w:rPr>
        <w:t>(Dependent V</w:t>
      </w:r>
      <w:r w:rsidR="00546E6E" w:rsidRPr="0003611B">
        <w:rPr>
          <w:rFonts w:ascii="Times New Roman" w:hAnsi="Times New Roman" w:cs="Times New Roman"/>
        </w:rPr>
        <w:t>ariable</w:t>
      </w:r>
      <w:r w:rsidR="007A699E" w:rsidRPr="0003611B">
        <w:rPr>
          <w:rFonts w:ascii="Times New Roman" w:hAnsi="Times New Roman" w:cs="Times New Roman"/>
        </w:rPr>
        <w:t xml:space="preserve">: </w:t>
      </w:r>
      <w:r w:rsidR="00B45626" w:rsidRPr="0003611B">
        <w:rPr>
          <w:rFonts w:ascii="Times New Roman" w:hAnsi="Times New Roman" w:cs="Times New Roman"/>
        </w:rPr>
        <w:t>Change in L</w:t>
      </w:r>
      <w:r w:rsidR="00546E6E" w:rsidRPr="0003611B">
        <w:rPr>
          <w:rFonts w:ascii="Times New Roman" w:hAnsi="Times New Roman" w:cs="Times New Roman"/>
        </w:rPr>
        <w:t>og of CPI)</w:t>
      </w:r>
    </w:p>
    <w:p w:rsidR="00546E6E" w:rsidRPr="00C2344B" w:rsidRDefault="00546E6E" w:rsidP="00C2344B">
      <w:pPr>
        <w:jc w:val="center"/>
        <w:rPr>
          <w:rFonts w:ascii="Times New Roman" w:hAnsi="Times New Roman" w:cs="Times New Roman"/>
          <w:b/>
          <w:bCs/>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46E6E" w:rsidRPr="00C2344B" w:rsidTr="00BE7E92">
        <w:trPr>
          <w:trHeight w:val="270"/>
        </w:trPr>
        <w:tc>
          <w:tcPr>
            <w:tcW w:w="8528" w:type="dxa"/>
          </w:tcPr>
          <w:p w:rsidR="00546E6E" w:rsidRPr="00C2344B" w:rsidRDefault="00B45626" w:rsidP="00C2344B">
            <w:pPr>
              <w:jc w:val="center"/>
              <w:rPr>
                <w:rFonts w:ascii="Times New Roman" w:hAnsi="Times New Roman" w:cs="Times New Roman"/>
                <w:b/>
                <w:sz w:val="22"/>
                <w:szCs w:val="22"/>
              </w:rPr>
            </w:pPr>
            <w:r w:rsidRPr="00C2344B">
              <w:rPr>
                <w:rFonts w:ascii="Times New Roman" w:hAnsi="Times New Roman" w:cs="Times New Roman"/>
                <w:b/>
                <w:sz w:val="22"/>
                <w:szCs w:val="22"/>
              </w:rPr>
              <w:t>Data: 1970q1 to</w:t>
            </w:r>
            <w:r w:rsidR="00B00B56">
              <w:rPr>
                <w:rFonts w:ascii="Times New Roman" w:hAnsi="Times New Roman" w:cs="Times New Roman"/>
                <w:b/>
                <w:sz w:val="22"/>
                <w:szCs w:val="22"/>
              </w:rPr>
              <w:t xml:space="preserve"> 2015</w:t>
            </w:r>
            <w:r w:rsidR="00546E6E" w:rsidRPr="00C2344B">
              <w:rPr>
                <w:rFonts w:ascii="Times New Roman" w:hAnsi="Times New Roman" w:cs="Times New Roman"/>
                <w:b/>
                <w:sz w:val="22"/>
                <w:szCs w:val="22"/>
              </w:rPr>
              <w:t>q4</w:t>
            </w:r>
          </w:p>
        </w:tc>
      </w:tr>
      <w:tr w:rsidR="00546E6E" w:rsidRPr="00C2344B" w:rsidTr="00C862FE">
        <w:tc>
          <w:tcPr>
            <w:tcW w:w="8528" w:type="dxa"/>
          </w:tcPr>
          <w:p w:rsidR="00546E6E" w:rsidRPr="0003611B" w:rsidRDefault="00BE7E92" w:rsidP="00C2344B">
            <w:pPr>
              <w:autoSpaceDE w:val="0"/>
              <w:autoSpaceDN w:val="0"/>
              <w:adjustRightInd w:val="0"/>
              <w:rPr>
                <w:rFonts w:ascii="Times New Roman" w:hAnsi="Times New Roman" w:cs="Times New Roman"/>
                <w:b/>
                <w:sz w:val="20"/>
                <w:szCs w:val="20"/>
              </w:rPr>
            </w:pPr>
            <w:r w:rsidRPr="0003611B">
              <w:rPr>
                <w:rFonts w:ascii="Times New Roman" w:hAnsi="Times New Roman" w:cs="Times New Roman"/>
                <w:b/>
                <w:sz w:val="20"/>
                <w:szCs w:val="20"/>
              </w:rPr>
              <w:t xml:space="preserve">Variable                        </w:t>
            </w:r>
            <w:r w:rsidR="00546E6E" w:rsidRPr="0003611B">
              <w:rPr>
                <w:rFonts w:ascii="Times New Roman" w:hAnsi="Times New Roman" w:cs="Times New Roman"/>
                <w:b/>
                <w:sz w:val="20"/>
                <w:szCs w:val="20"/>
              </w:rPr>
              <w:t xml:space="preserve">Coefficient            </w:t>
            </w:r>
            <w:r w:rsidRPr="0003611B">
              <w:rPr>
                <w:rFonts w:ascii="Times New Roman" w:hAnsi="Times New Roman" w:cs="Times New Roman"/>
                <w:b/>
                <w:sz w:val="20"/>
                <w:szCs w:val="20"/>
              </w:rPr>
              <w:t xml:space="preserve"> </w:t>
            </w:r>
            <w:r w:rsidR="00546E6E" w:rsidRPr="0003611B">
              <w:rPr>
                <w:rFonts w:ascii="Times New Roman" w:hAnsi="Times New Roman" w:cs="Times New Roman"/>
                <w:b/>
                <w:sz w:val="20"/>
                <w:szCs w:val="20"/>
              </w:rPr>
              <w:t xml:space="preserve"> </w:t>
            </w:r>
            <w:r w:rsidRPr="0003611B">
              <w:rPr>
                <w:rFonts w:ascii="Times New Roman" w:hAnsi="Times New Roman" w:cs="Times New Roman"/>
                <w:b/>
                <w:sz w:val="20"/>
                <w:szCs w:val="20"/>
              </w:rPr>
              <w:t xml:space="preserve">     </w:t>
            </w:r>
            <w:r w:rsidR="00546E6E" w:rsidRPr="0003611B">
              <w:rPr>
                <w:rFonts w:ascii="Times New Roman" w:hAnsi="Times New Roman" w:cs="Times New Roman"/>
                <w:b/>
                <w:sz w:val="20"/>
                <w:szCs w:val="20"/>
              </w:rPr>
              <w:t xml:space="preserve">  </w:t>
            </w:r>
            <w:proofErr w:type="spellStart"/>
            <w:r w:rsidR="00546E6E" w:rsidRPr="0003611B">
              <w:rPr>
                <w:rFonts w:ascii="Times New Roman" w:hAnsi="Times New Roman" w:cs="Times New Roman"/>
                <w:b/>
                <w:sz w:val="20"/>
                <w:szCs w:val="20"/>
              </w:rPr>
              <w:t>Std.Error</w:t>
            </w:r>
            <w:proofErr w:type="spellEnd"/>
            <w:r w:rsidR="00546E6E" w:rsidRPr="0003611B">
              <w:rPr>
                <w:rFonts w:ascii="Times New Roman" w:hAnsi="Times New Roman" w:cs="Times New Roman"/>
                <w:b/>
                <w:sz w:val="20"/>
                <w:szCs w:val="20"/>
              </w:rPr>
              <w:t xml:space="preserve">          </w:t>
            </w:r>
            <w:r w:rsidRPr="0003611B">
              <w:rPr>
                <w:rFonts w:ascii="Times New Roman" w:hAnsi="Times New Roman" w:cs="Times New Roman"/>
                <w:b/>
                <w:sz w:val="20"/>
                <w:szCs w:val="20"/>
              </w:rPr>
              <w:t xml:space="preserve">            </w:t>
            </w:r>
            <w:r w:rsidR="00546E6E" w:rsidRPr="0003611B">
              <w:rPr>
                <w:rFonts w:ascii="Times New Roman" w:hAnsi="Times New Roman" w:cs="Times New Roman"/>
                <w:b/>
                <w:sz w:val="20"/>
                <w:szCs w:val="20"/>
              </w:rPr>
              <w:t xml:space="preserve"> t-value             </w:t>
            </w:r>
            <w:r w:rsidRPr="0003611B">
              <w:rPr>
                <w:rFonts w:ascii="Times New Roman" w:hAnsi="Times New Roman" w:cs="Times New Roman"/>
                <w:b/>
                <w:sz w:val="20"/>
                <w:szCs w:val="20"/>
              </w:rPr>
              <w:t xml:space="preserve"> </w:t>
            </w:r>
            <w:r w:rsidR="00DC1748" w:rsidRPr="0003611B">
              <w:rPr>
                <w:rFonts w:ascii="Times New Roman" w:hAnsi="Times New Roman" w:cs="Times New Roman"/>
                <w:b/>
                <w:sz w:val="20"/>
                <w:szCs w:val="20"/>
              </w:rPr>
              <w:t xml:space="preserve"> </w:t>
            </w:r>
            <w:r w:rsidR="00546E6E" w:rsidRPr="0003611B">
              <w:rPr>
                <w:rFonts w:ascii="Times New Roman" w:hAnsi="Times New Roman" w:cs="Times New Roman"/>
                <w:b/>
                <w:sz w:val="20"/>
                <w:szCs w:val="20"/>
              </w:rPr>
              <w:t xml:space="preserve"> t-</w:t>
            </w:r>
            <w:proofErr w:type="spellStart"/>
            <w:r w:rsidR="00546E6E" w:rsidRPr="0003611B">
              <w:rPr>
                <w:rFonts w:ascii="Times New Roman" w:hAnsi="Times New Roman" w:cs="Times New Roman"/>
                <w:b/>
                <w:sz w:val="20"/>
                <w:szCs w:val="20"/>
              </w:rPr>
              <w:t>prob</w:t>
            </w:r>
            <w:proofErr w:type="spellEnd"/>
          </w:p>
          <w:p w:rsidR="00546E6E" w:rsidRPr="0003611B" w:rsidRDefault="00546E6E" w:rsidP="00C2344B">
            <w:pPr>
              <w:autoSpaceDE w:val="0"/>
              <w:autoSpaceDN w:val="0"/>
              <w:adjustRightInd w:val="0"/>
              <w:rPr>
                <w:rFonts w:ascii="Times New Roman" w:hAnsi="Times New Roman" w:cs="Times New Roman"/>
                <w:sz w:val="20"/>
                <w:szCs w:val="20"/>
              </w:rPr>
            </w:pP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DLIMP_2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-0.3</w:t>
            </w:r>
            <w:r w:rsidR="00C862FE" w:rsidRPr="0003611B">
              <w:rPr>
                <w:rFonts w:ascii="Times New Roman" w:hAnsi="Times New Roman" w:cs="Times New Roman"/>
                <w:sz w:val="20"/>
                <w:szCs w:val="20"/>
              </w:rPr>
              <w:t>8</w:t>
            </w:r>
            <w:r w:rsidRPr="0003611B">
              <w:rPr>
                <w:rFonts w:ascii="Times New Roman" w:hAnsi="Times New Roman" w:cs="Times New Roman"/>
                <w:sz w:val="20"/>
                <w:szCs w:val="20"/>
              </w:rPr>
              <w:t xml:space="preserve">75                      </w:t>
            </w:r>
            <w:r w:rsidR="00DC1748" w:rsidRPr="0003611B">
              <w:rPr>
                <w:rFonts w:ascii="Times New Roman" w:hAnsi="Times New Roman" w:cs="Times New Roman"/>
                <w:sz w:val="20"/>
                <w:szCs w:val="20"/>
              </w:rPr>
              <w:t xml:space="preserve">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0.23251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-2.301           </w:t>
            </w:r>
            <w:r w:rsidR="00BE7E92"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0.0122</w:t>
            </w: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DLIR_2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-0.0298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0.00642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-4.645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0.0001</w:t>
            </w: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DLER_2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0.43365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0.03652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2.671           </w:t>
            </w:r>
            <w:r w:rsidR="00BE7E92"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0.0036</w:t>
            </w: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DLIP_3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0.21237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0.01453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2.276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0.02538</w:t>
            </w: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DLCPI_3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0.13766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0.06035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2.1762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0.0276</w:t>
            </w: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ECM_1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-0.14</w:t>
            </w:r>
            <w:r w:rsidR="00C862FE" w:rsidRPr="0003611B">
              <w:rPr>
                <w:rFonts w:ascii="Times New Roman" w:hAnsi="Times New Roman" w:cs="Times New Roman"/>
                <w:sz w:val="20"/>
                <w:szCs w:val="20"/>
              </w:rPr>
              <w:t>567</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0.02363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-5.978             </w:t>
            </w:r>
            <w:r w:rsidR="00B45626"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0.0000</w:t>
            </w: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Constant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-0.01822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0.0068654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-2.577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B45626"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0.0015</w:t>
            </w:r>
          </w:p>
          <w:p w:rsidR="00546E6E" w:rsidRPr="0003611B" w:rsidRDefault="00546E6E" w:rsidP="00C2344B">
            <w:pPr>
              <w:rPr>
                <w:rFonts w:ascii="Times New Roman" w:hAnsi="Times New Roman" w:cs="Times New Roman"/>
                <w:sz w:val="20"/>
                <w:szCs w:val="20"/>
              </w:rPr>
            </w:pPr>
            <w:r w:rsidRPr="0003611B">
              <w:rPr>
                <w:rFonts w:ascii="Times New Roman" w:hAnsi="Times New Roman" w:cs="Times New Roman"/>
                <w:sz w:val="20"/>
                <w:szCs w:val="20"/>
              </w:rPr>
              <w:t xml:space="preserve">Seasonal (q1)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0.0442640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0.006942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4.313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0.0000</w:t>
            </w:r>
          </w:p>
          <w:p w:rsidR="00546E6E" w:rsidRPr="0003611B" w:rsidRDefault="00546E6E"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Seasonal (q2)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0.040532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0.022789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2.0654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0.03576</w:t>
            </w:r>
          </w:p>
          <w:p w:rsidR="00546E6E" w:rsidRPr="0003611B" w:rsidRDefault="00546E6E" w:rsidP="00C2344B">
            <w:pPr>
              <w:rPr>
                <w:rFonts w:ascii="Times New Roman" w:hAnsi="Times New Roman" w:cs="Times New Roman"/>
                <w:sz w:val="20"/>
                <w:szCs w:val="20"/>
              </w:rPr>
            </w:pPr>
            <w:r w:rsidRPr="0003611B">
              <w:rPr>
                <w:rFonts w:ascii="Times New Roman" w:hAnsi="Times New Roman" w:cs="Times New Roman"/>
                <w:sz w:val="20"/>
                <w:szCs w:val="20"/>
              </w:rPr>
              <w:t xml:space="preserve">Seasonal (q3)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-0.022349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0.011876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-2.019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0.00879</w:t>
            </w:r>
          </w:p>
        </w:tc>
      </w:tr>
      <w:tr w:rsidR="00546E6E" w:rsidRPr="00C2344B" w:rsidTr="00C862FE">
        <w:tc>
          <w:tcPr>
            <w:tcW w:w="8528" w:type="dxa"/>
          </w:tcPr>
          <w:p w:rsidR="00546E6E" w:rsidRPr="0003611B" w:rsidRDefault="00546E6E" w:rsidP="00C2344B">
            <w:pPr>
              <w:jc w:val="both"/>
              <w:rPr>
                <w:rFonts w:ascii="Times New Roman" w:hAnsi="Times New Roman" w:cs="Times New Roman"/>
                <w:sz w:val="20"/>
                <w:szCs w:val="20"/>
              </w:rPr>
            </w:pPr>
          </w:p>
        </w:tc>
      </w:tr>
      <w:tr w:rsidR="00546E6E" w:rsidRPr="00C2344B" w:rsidTr="00C862FE">
        <w:tc>
          <w:tcPr>
            <w:tcW w:w="8528" w:type="dxa"/>
          </w:tcPr>
          <w:p w:rsidR="00546E6E" w:rsidRPr="0003611B" w:rsidRDefault="00546E6E" w:rsidP="00C2344B">
            <w:pPr>
              <w:jc w:val="both"/>
              <w:rPr>
                <w:rFonts w:ascii="Times New Roman" w:hAnsi="Times New Roman" w:cs="Times New Roman"/>
                <w:b/>
                <w:sz w:val="20"/>
                <w:szCs w:val="20"/>
              </w:rPr>
            </w:pPr>
            <w:r w:rsidRPr="0003611B">
              <w:rPr>
                <w:rFonts w:ascii="Times New Roman" w:hAnsi="Times New Roman" w:cs="Times New Roman"/>
                <w:b/>
                <w:sz w:val="20"/>
                <w:szCs w:val="20"/>
                <w:u w:val="single"/>
              </w:rPr>
              <w:t>Single Equations Diagnostic Tests (p -values in parenthesis)</w:t>
            </w:r>
            <w:r w:rsidRPr="0003611B">
              <w:rPr>
                <w:rFonts w:ascii="Times New Roman" w:hAnsi="Times New Roman" w:cs="Times New Roman"/>
                <w:b/>
                <w:sz w:val="20"/>
                <w:szCs w:val="20"/>
              </w:rPr>
              <w:t>:</w:t>
            </w:r>
          </w:p>
          <w:p w:rsidR="00546E6E" w:rsidRPr="0003611B" w:rsidRDefault="00546E6E" w:rsidP="00C2344B">
            <w:pPr>
              <w:jc w:val="both"/>
              <w:rPr>
                <w:rFonts w:ascii="Times New Roman" w:hAnsi="Times New Roman" w:cs="Times New Roman"/>
                <w:sz w:val="20"/>
                <w:szCs w:val="20"/>
              </w:rPr>
            </w:pPr>
            <w:r w:rsidRPr="0003611B">
              <w:rPr>
                <w:rFonts w:ascii="Times New Roman" w:hAnsi="Times New Roman" w:cs="Times New Roman"/>
                <w:sz w:val="20"/>
                <w:szCs w:val="20"/>
              </w:rPr>
              <w:t>Error auto-correlation = 1280788 [0.265877]</w:t>
            </w:r>
          </w:p>
          <w:p w:rsidR="00546E6E" w:rsidRPr="0003611B" w:rsidRDefault="00546E6E" w:rsidP="00C2344B">
            <w:pPr>
              <w:jc w:val="both"/>
              <w:rPr>
                <w:rFonts w:ascii="Times New Roman" w:hAnsi="Times New Roman" w:cs="Times New Roman"/>
                <w:sz w:val="20"/>
                <w:szCs w:val="20"/>
              </w:rPr>
            </w:pPr>
            <w:r w:rsidRPr="0003611B">
              <w:rPr>
                <w:rFonts w:ascii="Times New Roman" w:hAnsi="Times New Roman" w:cs="Times New Roman"/>
                <w:sz w:val="20"/>
                <w:szCs w:val="20"/>
              </w:rPr>
              <w:t>ARCH = 1.2327 [0.26675406]; Heteroskedasticity = 1.15644500 [0.1878797]</w:t>
            </w:r>
          </w:p>
          <w:p w:rsidR="00546E6E" w:rsidRPr="0003611B" w:rsidRDefault="00546E6E" w:rsidP="00C2344B">
            <w:pPr>
              <w:jc w:val="both"/>
              <w:rPr>
                <w:rFonts w:ascii="Times New Roman" w:hAnsi="Times New Roman" w:cs="Times New Roman"/>
                <w:b/>
                <w:sz w:val="20"/>
                <w:szCs w:val="20"/>
                <w:u w:val="single"/>
              </w:rPr>
            </w:pPr>
            <w:r w:rsidRPr="0003611B">
              <w:rPr>
                <w:rFonts w:ascii="Times New Roman" w:hAnsi="Times New Roman" w:cs="Times New Roman"/>
                <w:b/>
                <w:sz w:val="20"/>
                <w:szCs w:val="20"/>
                <w:u w:val="single"/>
              </w:rPr>
              <w:t>Systems Tests (p -values in parenthesis)</w:t>
            </w:r>
            <w:r w:rsidRPr="0003611B">
              <w:rPr>
                <w:rFonts w:ascii="Times New Roman" w:hAnsi="Times New Roman" w:cs="Times New Roman"/>
                <w:b/>
                <w:sz w:val="20"/>
                <w:szCs w:val="20"/>
              </w:rPr>
              <w:t>:</w:t>
            </w:r>
          </w:p>
          <w:p w:rsidR="00546E6E" w:rsidRPr="0003611B" w:rsidRDefault="00546E6E" w:rsidP="00C2344B">
            <w:pPr>
              <w:jc w:val="both"/>
              <w:rPr>
                <w:rFonts w:ascii="Times New Roman" w:hAnsi="Times New Roman" w:cs="Times New Roman"/>
                <w:sz w:val="20"/>
                <w:szCs w:val="20"/>
              </w:rPr>
            </w:pPr>
            <w:r w:rsidRPr="0003611B">
              <w:rPr>
                <w:rFonts w:ascii="Times New Roman" w:hAnsi="Times New Roman" w:cs="Times New Roman"/>
                <w:sz w:val="20"/>
                <w:szCs w:val="20"/>
              </w:rPr>
              <w:t>Error auto-correlation = 1.1325468 [0.226734]</w:t>
            </w:r>
          </w:p>
          <w:p w:rsidR="00546E6E" w:rsidRPr="0003611B" w:rsidRDefault="00546E6E" w:rsidP="00C2344B">
            <w:pPr>
              <w:jc w:val="both"/>
              <w:rPr>
                <w:rFonts w:ascii="Times New Roman" w:hAnsi="Times New Roman" w:cs="Times New Roman"/>
                <w:sz w:val="20"/>
                <w:szCs w:val="20"/>
              </w:rPr>
            </w:pPr>
            <w:r w:rsidRPr="0003611B">
              <w:rPr>
                <w:rFonts w:ascii="Times New Roman" w:hAnsi="Times New Roman" w:cs="Times New Roman"/>
                <w:sz w:val="20"/>
                <w:szCs w:val="20"/>
              </w:rPr>
              <w:t xml:space="preserve">ARCH =  1.0598706[0.2547340]; Heteroskedasticity  = 1.3657987 [0.0834532] </w:t>
            </w:r>
          </w:p>
        </w:tc>
      </w:tr>
    </w:tbl>
    <w:p w:rsidR="006844BF" w:rsidRPr="00C2344B" w:rsidRDefault="006844BF" w:rsidP="00C2344B">
      <w:pPr>
        <w:jc w:val="both"/>
        <w:rPr>
          <w:rFonts w:ascii="Times New Roman" w:hAnsi="Times New Roman" w:cs="Times New Roman"/>
          <w:sz w:val="22"/>
          <w:szCs w:val="22"/>
        </w:rPr>
      </w:pPr>
    </w:p>
    <w:p w:rsidR="003E5017" w:rsidRPr="00C2344B" w:rsidRDefault="003E5017" w:rsidP="00C2344B">
      <w:pPr>
        <w:jc w:val="both"/>
        <w:rPr>
          <w:rFonts w:ascii="Times New Roman" w:hAnsi="Times New Roman" w:cs="Times New Roman"/>
          <w:sz w:val="22"/>
          <w:szCs w:val="22"/>
        </w:rPr>
      </w:pPr>
    </w:p>
    <w:p w:rsidR="006844BF" w:rsidRPr="0003611B" w:rsidRDefault="004E1FF0" w:rsidP="00C2344B">
      <w:pPr>
        <w:jc w:val="both"/>
        <w:rPr>
          <w:rFonts w:ascii="Times New Roman" w:hAnsi="Times New Roman" w:cs="Times New Roman"/>
        </w:rPr>
      </w:pPr>
      <w:r w:rsidRPr="0003611B">
        <w:rPr>
          <w:rFonts w:ascii="Times New Roman" w:hAnsi="Times New Roman" w:cs="Times New Roman"/>
        </w:rPr>
        <w:t xml:space="preserve">Table </w:t>
      </w:r>
      <w:r w:rsidR="00B00B56">
        <w:rPr>
          <w:rFonts w:ascii="Times New Roman" w:hAnsi="Times New Roman" w:cs="Times New Roman"/>
        </w:rPr>
        <w:t>4</w:t>
      </w:r>
      <w:r w:rsidR="00420B00" w:rsidRPr="0003611B">
        <w:rPr>
          <w:rFonts w:ascii="Times New Roman" w:hAnsi="Times New Roman" w:cs="Times New Roman"/>
        </w:rPr>
        <w:t>b</w:t>
      </w:r>
      <w:r w:rsidR="006844BF" w:rsidRPr="0003611B">
        <w:rPr>
          <w:rFonts w:ascii="Times New Roman" w:hAnsi="Times New Roman" w:cs="Times New Roman"/>
        </w:rPr>
        <w:t>: Estimates of the Adjustment to Long Run Equili</w:t>
      </w:r>
      <w:r w:rsidR="00B45626" w:rsidRPr="0003611B">
        <w:rPr>
          <w:rFonts w:ascii="Times New Roman" w:hAnsi="Times New Roman" w:cs="Times New Roman"/>
        </w:rPr>
        <w:t>brium Relationships—</w:t>
      </w:r>
      <w:r w:rsidR="006E322A" w:rsidRPr="0003611B">
        <w:rPr>
          <w:rFonts w:ascii="Times New Roman" w:hAnsi="Times New Roman" w:cs="Times New Roman"/>
        </w:rPr>
        <w:t>1970</w:t>
      </w:r>
      <w:r w:rsidR="00B45626" w:rsidRPr="0003611B">
        <w:rPr>
          <w:rFonts w:ascii="Times New Roman" w:hAnsi="Times New Roman" w:cs="Times New Roman"/>
        </w:rPr>
        <w:t xml:space="preserve">q1 to </w:t>
      </w:r>
      <w:r w:rsidR="006E322A" w:rsidRPr="0003611B">
        <w:rPr>
          <w:rFonts w:ascii="Times New Roman" w:hAnsi="Times New Roman" w:cs="Times New Roman"/>
        </w:rPr>
        <w:t>1999</w:t>
      </w:r>
      <w:r w:rsidR="00B45626" w:rsidRPr="0003611B">
        <w:rPr>
          <w:rFonts w:ascii="Times New Roman" w:hAnsi="Times New Roman" w:cs="Times New Roman"/>
        </w:rPr>
        <w:t>q4</w:t>
      </w:r>
    </w:p>
    <w:p w:rsidR="006844BF" w:rsidRPr="0003611B" w:rsidRDefault="00B45626" w:rsidP="00C2344B">
      <w:pPr>
        <w:jc w:val="center"/>
        <w:rPr>
          <w:rFonts w:ascii="Times New Roman" w:hAnsi="Times New Roman" w:cs="Times New Roman"/>
        </w:rPr>
      </w:pPr>
      <w:r w:rsidRPr="0003611B">
        <w:rPr>
          <w:rFonts w:ascii="Times New Roman" w:hAnsi="Times New Roman" w:cs="Times New Roman"/>
        </w:rPr>
        <w:t>(Dependent V</w:t>
      </w:r>
      <w:r w:rsidR="000A038A" w:rsidRPr="0003611B">
        <w:rPr>
          <w:rFonts w:ascii="Times New Roman" w:hAnsi="Times New Roman" w:cs="Times New Roman"/>
        </w:rPr>
        <w:t xml:space="preserve">ariable: </w:t>
      </w:r>
      <w:r w:rsidRPr="0003611B">
        <w:rPr>
          <w:rFonts w:ascii="Times New Roman" w:hAnsi="Times New Roman" w:cs="Times New Roman"/>
        </w:rPr>
        <w:t>Change in L</w:t>
      </w:r>
      <w:r w:rsidR="006844BF" w:rsidRPr="0003611B">
        <w:rPr>
          <w:rFonts w:ascii="Times New Roman" w:hAnsi="Times New Roman" w:cs="Times New Roman"/>
        </w:rPr>
        <w:t>og of CPI)</w:t>
      </w:r>
    </w:p>
    <w:p w:rsidR="003E5017" w:rsidRPr="00C2344B" w:rsidRDefault="003E5017" w:rsidP="00C2344B">
      <w:pPr>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844BF" w:rsidRPr="00C2344B" w:rsidTr="00B11B94">
        <w:tc>
          <w:tcPr>
            <w:tcW w:w="8528" w:type="dxa"/>
          </w:tcPr>
          <w:p w:rsidR="006844BF" w:rsidRPr="00C2344B" w:rsidRDefault="004E1FF0" w:rsidP="00C2344B">
            <w:pPr>
              <w:jc w:val="center"/>
              <w:rPr>
                <w:rFonts w:ascii="Times New Roman" w:hAnsi="Times New Roman" w:cs="Times New Roman"/>
                <w:b/>
                <w:sz w:val="22"/>
                <w:szCs w:val="22"/>
              </w:rPr>
            </w:pPr>
            <w:r w:rsidRPr="00C2344B">
              <w:rPr>
                <w:rFonts w:ascii="Times New Roman" w:hAnsi="Times New Roman" w:cs="Times New Roman"/>
                <w:b/>
                <w:sz w:val="22"/>
                <w:szCs w:val="22"/>
              </w:rPr>
              <w:t>Data: 1970</w:t>
            </w:r>
            <w:r w:rsidR="00B45626" w:rsidRPr="00C2344B">
              <w:rPr>
                <w:rFonts w:ascii="Times New Roman" w:hAnsi="Times New Roman" w:cs="Times New Roman"/>
                <w:b/>
                <w:sz w:val="22"/>
                <w:szCs w:val="22"/>
              </w:rPr>
              <w:t>q1 to</w:t>
            </w:r>
            <w:r w:rsidR="006844BF" w:rsidRPr="00C2344B">
              <w:rPr>
                <w:rFonts w:ascii="Times New Roman" w:hAnsi="Times New Roman" w:cs="Times New Roman"/>
                <w:b/>
                <w:sz w:val="22"/>
                <w:szCs w:val="22"/>
              </w:rPr>
              <w:t xml:space="preserve"> </w:t>
            </w:r>
            <w:r w:rsidRPr="00C2344B">
              <w:rPr>
                <w:rFonts w:ascii="Times New Roman" w:hAnsi="Times New Roman" w:cs="Times New Roman"/>
                <w:b/>
                <w:sz w:val="22"/>
                <w:szCs w:val="22"/>
              </w:rPr>
              <w:t>1999</w:t>
            </w:r>
            <w:r w:rsidR="006844BF" w:rsidRPr="00C2344B">
              <w:rPr>
                <w:rFonts w:ascii="Times New Roman" w:hAnsi="Times New Roman" w:cs="Times New Roman"/>
                <w:b/>
                <w:sz w:val="22"/>
                <w:szCs w:val="22"/>
              </w:rPr>
              <w:t>q4</w:t>
            </w:r>
          </w:p>
        </w:tc>
      </w:tr>
      <w:tr w:rsidR="006844BF" w:rsidRPr="00C2344B" w:rsidTr="00B11B94">
        <w:tc>
          <w:tcPr>
            <w:tcW w:w="8528" w:type="dxa"/>
          </w:tcPr>
          <w:p w:rsidR="006844BF" w:rsidRPr="00A17AED" w:rsidRDefault="006844BF" w:rsidP="00C2344B">
            <w:pPr>
              <w:jc w:val="both"/>
              <w:rPr>
                <w:rFonts w:ascii="Times New Roman" w:hAnsi="Times New Roman" w:cs="Times New Roman"/>
                <w:sz w:val="18"/>
                <w:szCs w:val="18"/>
              </w:rPr>
            </w:pPr>
          </w:p>
          <w:p w:rsidR="006844BF" w:rsidRPr="0003611B" w:rsidRDefault="006844BF" w:rsidP="00C2344B">
            <w:pPr>
              <w:autoSpaceDE w:val="0"/>
              <w:autoSpaceDN w:val="0"/>
              <w:adjustRightInd w:val="0"/>
              <w:rPr>
                <w:rFonts w:ascii="Times New Roman" w:hAnsi="Times New Roman" w:cs="Times New Roman"/>
                <w:b/>
                <w:sz w:val="20"/>
                <w:szCs w:val="20"/>
              </w:rPr>
            </w:pPr>
            <w:r w:rsidRPr="0003611B">
              <w:rPr>
                <w:rFonts w:ascii="Times New Roman" w:hAnsi="Times New Roman" w:cs="Times New Roman"/>
                <w:b/>
                <w:sz w:val="20"/>
                <w:szCs w:val="20"/>
              </w:rPr>
              <w:t xml:space="preserve">Variable                      Coefficient    </w:t>
            </w:r>
            <w:r w:rsidR="00DC1748" w:rsidRPr="0003611B">
              <w:rPr>
                <w:rFonts w:ascii="Times New Roman" w:hAnsi="Times New Roman" w:cs="Times New Roman"/>
                <w:b/>
                <w:sz w:val="20"/>
                <w:szCs w:val="20"/>
              </w:rPr>
              <w:t xml:space="preserve">         </w:t>
            </w:r>
            <w:r w:rsidRPr="0003611B">
              <w:rPr>
                <w:rFonts w:ascii="Times New Roman" w:hAnsi="Times New Roman" w:cs="Times New Roman"/>
                <w:b/>
                <w:sz w:val="20"/>
                <w:szCs w:val="20"/>
              </w:rPr>
              <w:t xml:space="preserve">          </w:t>
            </w:r>
            <w:proofErr w:type="spellStart"/>
            <w:r w:rsidRPr="0003611B">
              <w:rPr>
                <w:rFonts w:ascii="Times New Roman" w:hAnsi="Times New Roman" w:cs="Times New Roman"/>
                <w:b/>
                <w:sz w:val="20"/>
                <w:szCs w:val="20"/>
              </w:rPr>
              <w:t>Std.Error</w:t>
            </w:r>
            <w:proofErr w:type="spellEnd"/>
            <w:r w:rsidRPr="0003611B">
              <w:rPr>
                <w:rFonts w:ascii="Times New Roman" w:hAnsi="Times New Roman" w:cs="Times New Roman"/>
                <w:b/>
                <w:sz w:val="20"/>
                <w:szCs w:val="20"/>
              </w:rPr>
              <w:t xml:space="preserve">       </w:t>
            </w:r>
            <w:r w:rsidR="00DC1748" w:rsidRPr="0003611B">
              <w:rPr>
                <w:rFonts w:ascii="Times New Roman" w:hAnsi="Times New Roman" w:cs="Times New Roman"/>
                <w:b/>
                <w:sz w:val="20"/>
                <w:szCs w:val="20"/>
              </w:rPr>
              <w:t xml:space="preserve">         </w:t>
            </w:r>
            <w:r w:rsidRPr="0003611B">
              <w:rPr>
                <w:rFonts w:ascii="Times New Roman" w:hAnsi="Times New Roman" w:cs="Times New Roman"/>
                <w:b/>
                <w:sz w:val="20"/>
                <w:szCs w:val="20"/>
              </w:rPr>
              <w:t xml:space="preserve">         t-value     </w:t>
            </w:r>
            <w:r w:rsidR="00DC1748" w:rsidRPr="0003611B">
              <w:rPr>
                <w:rFonts w:ascii="Times New Roman" w:hAnsi="Times New Roman" w:cs="Times New Roman"/>
                <w:b/>
                <w:sz w:val="20"/>
                <w:szCs w:val="20"/>
              </w:rPr>
              <w:t xml:space="preserve">    </w:t>
            </w:r>
            <w:r w:rsidRPr="0003611B">
              <w:rPr>
                <w:rFonts w:ascii="Times New Roman" w:hAnsi="Times New Roman" w:cs="Times New Roman"/>
                <w:b/>
                <w:sz w:val="20"/>
                <w:szCs w:val="20"/>
              </w:rPr>
              <w:t xml:space="preserve">         t-</w:t>
            </w:r>
            <w:proofErr w:type="spellStart"/>
            <w:r w:rsidRPr="0003611B">
              <w:rPr>
                <w:rFonts w:ascii="Times New Roman" w:hAnsi="Times New Roman" w:cs="Times New Roman"/>
                <w:b/>
                <w:sz w:val="20"/>
                <w:szCs w:val="20"/>
              </w:rPr>
              <w:t>prob</w:t>
            </w:r>
            <w:proofErr w:type="spellEnd"/>
          </w:p>
          <w:p w:rsidR="006844BF" w:rsidRPr="0003611B" w:rsidRDefault="006844BF" w:rsidP="00C2344B">
            <w:pPr>
              <w:autoSpaceDE w:val="0"/>
              <w:autoSpaceDN w:val="0"/>
              <w:adjustRightInd w:val="0"/>
              <w:rPr>
                <w:rFonts w:ascii="Times New Roman" w:hAnsi="Times New Roman" w:cs="Times New Roman"/>
                <w:sz w:val="20"/>
                <w:szCs w:val="20"/>
              </w:rPr>
            </w:pPr>
          </w:p>
          <w:p w:rsidR="006844BF" w:rsidRPr="0003611B" w:rsidRDefault="006844BF"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DLIMP_2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-0.32953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0.15362                 </w:t>
            </w:r>
            <w:r w:rsidR="00DC1748" w:rsidRPr="0003611B">
              <w:rPr>
                <w:rFonts w:ascii="Times New Roman" w:hAnsi="Times New Roman" w:cs="Times New Roman"/>
                <w:sz w:val="20"/>
                <w:szCs w:val="20"/>
              </w:rPr>
              <w:t xml:space="preserve">        </w:t>
            </w:r>
            <w:r w:rsidR="00A73FB2" w:rsidRPr="0003611B">
              <w:rPr>
                <w:rFonts w:ascii="Times New Roman" w:hAnsi="Times New Roman" w:cs="Times New Roman"/>
                <w:sz w:val="20"/>
                <w:szCs w:val="20"/>
              </w:rPr>
              <w:t>-</w:t>
            </w:r>
            <w:r w:rsidRPr="0003611B">
              <w:rPr>
                <w:rFonts w:ascii="Times New Roman" w:hAnsi="Times New Roman" w:cs="Times New Roman"/>
                <w:sz w:val="20"/>
                <w:szCs w:val="20"/>
              </w:rPr>
              <w:t xml:space="preserve">2.145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0.0343</w:t>
            </w:r>
          </w:p>
          <w:p w:rsidR="006844BF" w:rsidRPr="0003611B" w:rsidRDefault="006844BF"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DLIR_2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-0.41538                   </w:t>
            </w:r>
            <w:r w:rsidR="003E5017"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0.13479                </w:t>
            </w:r>
            <w:r w:rsidR="00DC1748"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A73FB2" w:rsidRPr="0003611B">
              <w:rPr>
                <w:rFonts w:ascii="Times New Roman" w:hAnsi="Times New Roman" w:cs="Times New Roman"/>
                <w:sz w:val="20"/>
                <w:szCs w:val="20"/>
              </w:rPr>
              <w:t>-</w:t>
            </w:r>
            <w:r w:rsidRPr="0003611B">
              <w:rPr>
                <w:rFonts w:ascii="Times New Roman" w:hAnsi="Times New Roman" w:cs="Times New Roman"/>
                <w:sz w:val="20"/>
                <w:szCs w:val="20"/>
              </w:rPr>
              <w:t xml:space="preserve">3.082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0.0026</w:t>
            </w:r>
          </w:p>
          <w:p w:rsidR="006844BF" w:rsidRPr="0003611B" w:rsidRDefault="006844BF"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DLER_3                    </w:t>
            </w:r>
            <w:r w:rsidR="0014319C"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0.42026                 </w:t>
            </w:r>
            <w:r w:rsidR="003E5017"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0.13319                 </w:t>
            </w:r>
            <w:r w:rsidR="0014319C"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3.155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14319C" w:rsidRPr="0003611B">
              <w:rPr>
                <w:rFonts w:ascii="Times New Roman" w:hAnsi="Times New Roman" w:cs="Times New Roman"/>
                <w:sz w:val="20"/>
                <w:szCs w:val="20"/>
              </w:rPr>
              <w:t xml:space="preserve"> </w:t>
            </w:r>
            <w:r w:rsidRPr="0003611B">
              <w:rPr>
                <w:rFonts w:ascii="Times New Roman" w:hAnsi="Times New Roman" w:cs="Times New Roman"/>
                <w:sz w:val="20"/>
                <w:szCs w:val="20"/>
              </w:rPr>
              <w:t>0.0021</w:t>
            </w:r>
          </w:p>
          <w:p w:rsidR="006844BF" w:rsidRPr="0003611B" w:rsidRDefault="006844BF"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DLIP_1                         0.15007               </w:t>
            </w:r>
            <w:r w:rsidR="003E5017"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14319C"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0.078364       </w:t>
            </w:r>
            <w:r w:rsidR="0014319C"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2.193                 </w:t>
            </w:r>
            <w:r w:rsidR="00DC1748" w:rsidRPr="0003611B">
              <w:rPr>
                <w:rFonts w:ascii="Times New Roman" w:hAnsi="Times New Roman" w:cs="Times New Roman"/>
                <w:sz w:val="20"/>
                <w:szCs w:val="20"/>
              </w:rPr>
              <w:t xml:space="preserve">  </w:t>
            </w:r>
            <w:r w:rsidR="0014319C" w:rsidRPr="0003611B">
              <w:rPr>
                <w:rFonts w:ascii="Times New Roman" w:hAnsi="Times New Roman" w:cs="Times New Roman"/>
                <w:sz w:val="20"/>
                <w:szCs w:val="20"/>
              </w:rPr>
              <w:t xml:space="preserve"> </w:t>
            </w:r>
            <w:r w:rsidRPr="0003611B">
              <w:rPr>
                <w:rFonts w:ascii="Times New Roman" w:hAnsi="Times New Roman" w:cs="Times New Roman"/>
                <w:sz w:val="20"/>
                <w:szCs w:val="20"/>
              </w:rPr>
              <w:t>0.0579</w:t>
            </w:r>
          </w:p>
          <w:p w:rsidR="006844BF" w:rsidRPr="0003611B" w:rsidRDefault="0014319C"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DLCPI_1                </w:t>
            </w:r>
            <w:r w:rsidR="006844BF" w:rsidRPr="0003611B">
              <w:rPr>
                <w:rFonts w:ascii="Times New Roman" w:hAnsi="Times New Roman" w:cs="Times New Roman"/>
                <w:sz w:val="20"/>
                <w:szCs w:val="20"/>
              </w:rPr>
              <w:t xml:space="preserve">       0.21653                </w:t>
            </w:r>
            <w:r w:rsidR="00DC1748"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0.095376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2.270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0.0252</w:t>
            </w:r>
          </w:p>
          <w:p w:rsidR="006844BF" w:rsidRPr="0003611B" w:rsidRDefault="006844BF"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ECM_1                        -0.17507                     </w:t>
            </w:r>
            <w:r w:rsidR="0014319C"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0.03</w:t>
            </w:r>
            <w:r w:rsidR="00A73FB2" w:rsidRPr="0003611B">
              <w:rPr>
                <w:rFonts w:ascii="Times New Roman" w:hAnsi="Times New Roman" w:cs="Times New Roman"/>
                <w:sz w:val="20"/>
                <w:szCs w:val="20"/>
              </w:rPr>
              <w:t xml:space="preserve">1251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14319C"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A73FB2" w:rsidRPr="0003611B">
              <w:rPr>
                <w:rFonts w:ascii="Times New Roman" w:hAnsi="Times New Roman" w:cs="Times New Roman"/>
                <w:sz w:val="20"/>
                <w:szCs w:val="20"/>
              </w:rPr>
              <w:t>-</w:t>
            </w:r>
            <w:r w:rsidRPr="0003611B">
              <w:rPr>
                <w:rFonts w:ascii="Times New Roman" w:hAnsi="Times New Roman" w:cs="Times New Roman"/>
                <w:sz w:val="20"/>
                <w:szCs w:val="20"/>
              </w:rPr>
              <w:t xml:space="preserve">2.831               </w:t>
            </w:r>
            <w:r w:rsidR="00DC1748" w:rsidRPr="0003611B">
              <w:rPr>
                <w:rFonts w:ascii="Times New Roman" w:hAnsi="Times New Roman" w:cs="Times New Roman"/>
                <w:sz w:val="20"/>
                <w:szCs w:val="20"/>
              </w:rPr>
              <w:t xml:space="preserve"> </w:t>
            </w:r>
            <w:r w:rsidR="0014319C"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0.0056</w:t>
            </w:r>
          </w:p>
          <w:p w:rsidR="006844BF" w:rsidRPr="0003611B" w:rsidRDefault="0014319C"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Constant                     </w:t>
            </w:r>
            <w:r w:rsidR="006844BF" w:rsidRPr="0003611B">
              <w:rPr>
                <w:rFonts w:ascii="Times New Roman" w:hAnsi="Times New Roman" w:cs="Times New Roman"/>
                <w:sz w:val="20"/>
                <w:szCs w:val="20"/>
              </w:rPr>
              <w:t xml:space="preserve"> 0.0065817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0.0021683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3.035                </w:t>
            </w:r>
            <w:r w:rsidR="003E5017"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0.0030</w:t>
            </w:r>
          </w:p>
          <w:p w:rsidR="006844BF" w:rsidRPr="0003611B" w:rsidRDefault="0014319C"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Seasonal(q1)              </w:t>
            </w:r>
            <w:r w:rsidR="006844BF" w:rsidRPr="0003611B">
              <w:rPr>
                <w:rFonts w:ascii="Times New Roman" w:hAnsi="Times New Roman" w:cs="Times New Roman"/>
                <w:sz w:val="20"/>
                <w:szCs w:val="20"/>
              </w:rPr>
              <w:t xml:space="preserve">-0.11957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0.061757          </w:t>
            </w:r>
            <w:r w:rsidR="003E5017"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00A73FB2" w:rsidRPr="0003611B">
              <w:rPr>
                <w:rFonts w:ascii="Times New Roman" w:hAnsi="Times New Roman" w:cs="Times New Roman"/>
                <w:sz w:val="20"/>
                <w:szCs w:val="20"/>
              </w:rPr>
              <w:t>-</w:t>
            </w:r>
            <w:r w:rsidR="006844BF" w:rsidRPr="0003611B">
              <w:rPr>
                <w:rFonts w:ascii="Times New Roman" w:hAnsi="Times New Roman" w:cs="Times New Roman"/>
                <w:sz w:val="20"/>
                <w:szCs w:val="20"/>
              </w:rPr>
              <w:t xml:space="preserve">1.936                  </w:t>
            </w:r>
            <w:r w:rsidR="003E5017"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0.0556</w:t>
            </w:r>
          </w:p>
          <w:p w:rsidR="006844BF" w:rsidRPr="0003611B" w:rsidRDefault="0014319C" w:rsidP="00C2344B">
            <w:pPr>
              <w:autoSpaceDE w:val="0"/>
              <w:autoSpaceDN w:val="0"/>
              <w:adjustRightInd w:val="0"/>
              <w:rPr>
                <w:rFonts w:ascii="Times New Roman" w:hAnsi="Times New Roman" w:cs="Times New Roman"/>
                <w:sz w:val="20"/>
                <w:szCs w:val="20"/>
              </w:rPr>
            </w:pPr>
            <w:r w:rsidRPr="0003611B">
              <w:rPr>
                <w:rFonts w:ascii="Times New Roman" w:hAnsi="Times New Roman" w:cs="Times New Roman"/>
                <w:sz w:val="20"/>
                <w:szCs w:val="20"/>
              </w:rPr>
              <w:t xml:space="preserve">Seasonal(q2)              </w:t>
            </w:r>
            <w:r w:rsidR="006844BF" w:rsidRPr="0003611B">
              <w:rPr>
                <w:rFonts w:ascii="Times New Roman" w:hAnsi="Times New Roman" w:cs="Times New Roman"/>
                <w:sz w:val="20"/>
                <w:szCs w:val="20"/>
              </w:rPr>
              <w:t xml:space="preserve"> 0.0052192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0.0023792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2.194                 </w:t>
            </w:r>
            <w:r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0.0306</w:t>
            </w:r>
          </w:p>
          <w:p w:rsidR="006844BF" w:rsidRPr="00A17AED" w:rsidRDefault="0014319C" w:rsidP="00C2344B">
            <w:pPr>
              <w:autoSpaceDE w:val="0"/>
              <w:autoSpaceDN w:val="0"/>
              <w:adjustRightInd w:val="0"/>
              <w:rPr>
                <w:rFonts w:ascii="Times New Roman" w:hAnsi="Times New Roman" w:cs="Times New Roman"/>
                <w:sz w:val="18"/>
                <w:szCs w:val="18"/>
              </w:rPr>
            </w:pPr>
            <w:r w:rsidRPr="0003611B">
              <w:rPr>
                <w:rFonts w:ascii="Times New Roman" w:hAnsi="Times New Roman" w:cs="Times New Roman"/>
                <w:sz w:val="20"/>
                <w:szCs w:val="20"/>
              </w:rPr>
              <w:t xml:space="preserve">Seasonal(q3)             </w:t>
            </w:r>
            <w:r w:rsidR="006844BF" w:rsidRPr="0003611B">
              <w:rPr>
                <w:rFonts w:ascii="Times New Roman" w:hAnsi="Times New Roman" w:cs="Times New Roman"/>
                <w:sz w:val="20"/>
                <w:szCs w:val="20"/>
              </w:rPr>
              <w:t xml:space="preserve">  0.0016100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DC1748"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0.0056014             </w:t>
            </w:r>
            <w:r w:rsidR="003E5017" w:rsidRPr="0003611B">
              <w:rPr>
                <w:rFonts w:ascii="Times New Roman" w:hAnsi="Times New Roman" w:cs="Times New Roman"/>
                <w:sz w:val="20"/>
                <w:szCs w:val="20"/>
              </w:rPr>
              <w:t xml:space="preserve">     </w:t>
            </w:r>
            <w:r w:rsidRPr="0003611B">
              <w:rPr>
                <w:rFonts w:ascii="Times New Roman" w:hAnsi="Times New Roman" w:cs="Times New Roman"/>
                <w:sz w:val="20"/>
                <w:szCs w:val="20"/>
              </w:rPr>
              <w:t xml:space="preserve">  </w:t>
            </w:r>
            <w:r w:rsidR="003E5017"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 xml:space="preserve">0.287                  </w:t>
            </w:r>
            <w:r w:rsidRPr="0003611B">
              <w:rPr>
                <w:rFonts w:ascii="Times New Roman" w:hAnsi="Times New Roman" w:cs="Times New Roman"/>
                <w:sz w:val="20"/>
                <w:szCs w:val="20"/>
              </w:rPr>
              <w:t xml:space="preserve"> </w:t>
            </w:r>
            <w:r w:rsidR="006844BF" w:rsidRPr="0003611B">
              <w:rPr>
                <w:rFonts w:ascii="Times New Roman" w:hAnsi="Times New Roman" w:cs="Times New Roman"/>
                <w:sz w:val="20"/>
                <w:szCs w:val="20"/>
              </w:rPr>
              <w:t>0.7743</w:t>
            </w:r>
          </w:p>
        </w:tc>
      </w:tr>
      <w:tr w:rsidR="006844BF" w:rsidRPr="00C2344B" w:rsidTr="00B11B94">
        <w:tc>
          <w:tcPr>
            <w:tcW w:w="8528" w:type="dxa"/>
          </w:tcPr>
          <w:p w:rsidR="006844BF" w:rsidRPr="00A17AED" w:rsidRDefault="006844BF" w:rsidP="00C2344B">
            <w:pPr>
              <w:jc w:val="both"/>
              <w:rPr>
                <w:rFonts w:ascii="Times New Roman" w:hAnsi="Times New Roman" w:cs="Times New Roman"/>
                <w:sz w:val="18"/>
                <w:szCs w:val="18"/>
              </w:rPr>
            </w:pPr>
          </w:p>
        </w:tc>
      </w:tr>
      <w:tr w:rsidR="006844BF" w:rsidRPr="00C2344B" w:rsidTr="00B11B94">
        <w:tc>
          <w:tcPr>
            <w:tcW w:w="8528" w:type="dxa"/>
          </w:tcPr>
          <w:p w:rsidR="006844BF" w:rsidRPr="00A17AED" w:rsidRDefault="006844BF" w:rsidP="00C2344B">
            <w:pPr>
              <w:jc w:val="both"/>
              <w:rPr>
                <w:rFonts w:ascii="Times New Roman" w:hAnsi="Times New Roman" w:cs="Times New Roman"/>
                <w:b/>
                <w:sz w:val="18"/>
                <w:szCs w:val="18"/>
              </w:rPr>
            </w:pPr>
            <w:r w:rsidRPr="00A17AED">
              <w:rPr>
                <w:rFonts w:ascii="Times New Roman" w:hAnsi="Times New Roman" w:cs="Times New Roman"/>
                <w:b/>
                <w:sz w:val="18"/>
                <w:szCs w:val="18"/>
                <w:u w:val="single"/>
              </w:rPr>
              <w:t>Single Equations Diagnostic Tests (p -values in parenthesis)</w:t>
            </w:r>
            <w:r w:rsidRPr="00A17AED">
              <w:rPr>
                <w:rFonts w:ascii="Times New Roman" w:hAnsi="Times New Roman" w:cs="Times New Roman"/>
                <w:b/>
                <w:sz w:val="18"/>
                <w:szCs w:val="18"/>
              </w:rPr>
              <w:t>:</w:t>
            </w:r>
          </w:p>
          <w:p w:rsidR="006844BF" w:rsidRPr="00A17AED" w:rsidRDefault="006844BF" w:rsidP="00C2344B">
            <w:pPr>
              <w:jc w:val="both"/>
              <w:rPr>
                <w:rFonts w:ascii="Times New Roman" w:hAnsi="Times New Roman" w:cs="Times New Roman"/>
                <w:sz w:val="18"/>
                <w:szCs w:val="18"/>
              </w:rPr>
            </w:pPr>
            <w:r w:rsidRPr="00A17AED">
              <w:rPr>
                <w:rFonts w:ascii="Times New Roman" w:hAnsi="Times New Roman" w:cs="Times New Roman"/>
                <w:sz w:val="18"/>
                <w:szCs w:val="18"/>
              </w:rPr>
              <w:t xml:space="preserve">Error auto-correlation = 1.410556 [0.225945]; </w:t>
            </w:r>
          </w:p>
          <w:p w:rsidR="006844BF" w:rsidRPr="00A17AED" w:rsidRDefault="006844BF" w:rsidP="00C2344B">
            <w:pPr>
              <w:jc w:val="both"/>
              <w:rPr>
                <w:rFonts w:ascii="Times New Roman" w:hAnsi="Times New Roman" w:cs="Times New Roman"/>
                <w:sz w:val="18"/>
                <w:szCs w:val="18"/>
              </w:rPr>
            </w:pPr>
            <w:r w:rsidRPr="00A17AED">
              <w:rPr>
                <w:rFonts w:ascii="Times New Roman" w:hAnsi="Times New Roman" w:cs="Times New Roman"/>
                <w:sz w:val="18"/>
                <w:szCs w:val="18"/>
              </w:rPr>
              <w:t>ARCH = 1.112056 [0.3512487];  Heteroskedasticity = 1.928751 [01105687]</w:t>
            </w:r>
          </w:p>
          <w:p w:rsidR="006844BF" w:rsidRPr="00A17AED" w:rsidRDefault="006844BF" w:rsidP="00C2344B">
            <w:pPr>
              <w:jc w:val="both"/>
              <w:rPr>
                <w:rFonts w:ascii="Times New Roman" w:hAnsi="Times New Roman" w:cs="Times New Roman"/>
                <w:b/>
                <w:sz w:val="18"/>
                <w:szCs w:val="18"/>
                <w:u w:val="single"/>
              </w:rPr>
            </w:pPr>
            <w:r w:rsidRPr="00A17AED">
              <w:rPr>
                <w:rFonts w:ascii="Times New Roman" w:hAnsi="Times New Roman" w:cs="Times New Roman"/>
                <w:b/>
                <w:sz w:val="18"/>
                <w:szCs w:val="18"/>
                <w:u w:val="single"/>
              </w:rPr>
              <w:t>Systems Tests (p -values in parenthesis)</w:t>
            </w:r>
            <w:r w:rsidRPr="00A17AED">
              <w:rPr>
                <w:rFonts w:ascii="Times New Roman" w:hAnsi="Times New Roman" w:cs="Times New Roman"/>
                <w:b/>
                <w:sz w:val="18"/>
                <w:szCs w:val="18"/>
              </w:rPr>
              <w:t>:</w:t>
            </w:r>
          </w:p>
          <w:p w:rsidR="006844BF" w:rsidRPr="00A17AED" w:rsidRDefault="006844BF" w:rsidP="00C2344B">
            <w:pPr>
              <w:jc w:val="both"/>
              <w:rPr>
                <w:rFonts w:ascii="Times New Roman" w:hAnsi="Times New Roman" w:cs="Times New Roman"/>
                <w:sz w:val="18"/>
                <w:szCs w:val="18"/>
              </w:rPr>
            </w:pPr>
            <w:r w:rsidRPr="00A17AED">
              <w:rPr>
                <w:rFonts w:ascii="Times New Roman" w:hAnsi="Times New Roman" w:cs="Times New Roman"/>
                <w:sz w:val="18"/>
                <w:szCs w:val="18"/>
              </w:rPr>
              <w:lastRenderedPageBreak/>
              <w:t xml:space="preserve">Error auto-correlation = 0.60462587 [0.69652784]; </w:t>
            </w:r>
          </w:p>
          <w:p w:rsidR="006844BF" w:rsidRPr="00A17AED" w:rsidRDefault="006844BF" w:rsidP="00C2344B">
            <w:pPr>
              <w:jc w:val="both"/>
              <w:rPr>
                <w:rFonts w:ascii="Times New Roman" w:hAnsi="Times New Roman" w:cs="Times New Roman"/>
                <w:sz w:val="18"/>
                <w:szCs w:val="18"/>
              </w:rPr>
            </w:pPr>
            <w:r w:rsidRPr="00A17AED">
              <w:rPr>
                <w:rFonts w:ascii="Times New Roman" w:hAnsi="Times New Roman" w:cs="Times New Roman"/>
                <w:sz w:val="18"/>
                <w:szCs w:val="18"/>
              </w:rPr>
              <w:t>ARCH = 1394587524 [0.233358974];  Heteroskedasticity = 1.232225687 [0.30052845671]</w:t>
            </w:r>
          </w:p>
        </w:tc>
      </w:tr>
    </w:tbl>
    <w:p w:rsidR="006844BF" w:rsidRPr="00C2344B" w:rsidRDefault="006844BF" w:rsidP="00C2344B">
      <w:pPr>
        <w:jc w:val="both"/>
        <w:rPr>
          <w:rFonts w:ascii="Times New Roman" w:hAnsi="Times New Roman" w:cs="Times New Roman"/>
          <w:sz w:val="22"/>
          <w:szCs w:val="22"/>
        </w:rPr>
      </w:pPr>
    </w:p>
    <w:p w:rsidR="00546E6E" w:rsidRPr="003E5B17" w:rsidRDefault="00546E6E" w:rsidP="00C2344B">
      <w:pPr>
        <w:jc w:val="both"/>
        <w:rPr>
          <w:rFonts w:ascii="Times New Roman" w:hAnsi="Times New Roman" w:cs="Times New Roman"/>
        </w:rPr>
      </w:pPr>
      <w:r w:rsidRPr="003E5B17">
        <w:rPr>
          <w:rFonts w:ascii="Times New Roman" w:hAnsi="Times New Roman" w:cs="Times New Roman"/>
        </w:rPr>
        <w:t xml:space="preserve">Table </w:t>
      </w:r>
      <w:r w:rsidR="00B00B56">
        <w:rPr>
          <w:rFonts w:ascii="Times New Roman" w:hAnsi="Times New Roman" w:cs="Times New Roman"/>
        </w:rPr>
        <w:t>4</w:t>
      </w:r>
      <w:r w:rsidR="00420B00" w:rsidRPr="003E5B17">
        <w:rPr>
          <w:rFonts w:ascii="Times New Roman" w:hAnsi="Times New Roman" w:cs="Times New Roman"/>
        </w:rPr>
        <w:t>c</w:t>
      </w:r>
      <w:r w:rsidRPr="003E5B17">
        <w:rPr>
          <w:rFonts w:ascii="Times New Roman" w:hAnsi="Times New Roman" w:cs="Times New Roman"/>
        </w:rPr>
        <w:t>: Estimates of the Adjustment to Long Run Equilibrium Relationships</w:t>
      </w:r>
      <w:r w:rsidR="00B00B56">
        <w:rPr>
          <w:rFonts w:ascii="Times New Roman" w:hAnsi="Times New Roman" w:cs="Times New Roman"/>
        </w:rPr>
        <w:t>— 2000q1 to 2015</w:t>
      </w:r>
      <w:r w:rsidR="00B45626" w:rsidRPr="003E5B17">
        <w:rPr>
          <w:rFonts w:ascii="Times New Roman" w:hAnsi="Times New Roman" w:cs="Times New Roman"/>
        </w:rPr>
        <w:t>q4</w:t>
      </w:r>
    </w:p>
    <w:p w:rsidR="00546E6E" w:rsidRPr="003E5B17" w:rsidRDefault="00546E6E" w:rsidP="00C2344B">
      <w:pPr>
        <w:jc w:val="center"/>
        <w:rPr>
          <w:rFonts w:ascii="Times New Roman" w:hAnsi="Times New Roman" w:cs="Times New Roman"/>
        </w:rPr>
      </w:pPr>
      <w:r w:rsidRPr="003E5B17">
        <w:rPr>
          <w:rFonts w:ascii="Times New Roman" w:hAnsi="Times New Roman" w:cs="Times New Roman"/>
        </w:rPr>
        <w:t>(Depe</w:t>
      </w:r>
      <w:r w:rsidR="00B45626" w:rsidRPr="003E5B17">
        <w:rPr>
          <w:rFonts w:ascii="Times New Roman" w:hAnsi="Times New Roman" w:cs="Times New Roman"/>
        </w:rPr>
        <w:t>ndent Variable: Change in L</w:t>
      </w:r>
      <w:r w:rsidRPr="003E5B17">
        <w:rPr>
          <w:rFonts w:ascii="Times New Roman" w:hAnsi="Times New Roman" w:cs="Times New Roman"/>
        </w:rPr>
        <w:t>og of CPI)</w:t>
      </w:r>
    </w:p>
    <w:p w:rsidR="00546E6E" w:rsidRPr="00C2344B" w:rsidRDefault="00546E6E" w:rsidP="00C2344B">
      <w:pPr>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46E6E" w:rsidRPr="00C2344B" w:rsidTr="00C862FE">
        <w:tc>
          <w:tcPr>
            <w:tcW w:w="8528" w:type="dxa"/>
          </w:tcPr>
          <w:p w:rsidR="00546E6E" w:rsidRPr="003E5B17" w:rsidRDefault="00B45626" w:rsidP="00C2344B">
            <w:pPr>
              <w:jc w:val="center"/>
              <w:rPr>
                <w:rFonts w:ascii="Times New Roman" w:hAnsi="Times New Roman" w:cs="Times New Roman"/>
                <w:b/>
                <w:sz w:val="20"/>
                <w:szCs w:val="20"/>
              </w:rPr>
            </w:pPr>
            <w:r w:rsidRPr="003E5B17">
              <w:rPr>
                <w:rFonts w:ascii="Times New Roman" w:hAnsi="Times New Roman" w:cs="Times New Roman"/>
                <w:b/>
                <w:sz w:val="20"/>
                <w:szCs w:val="20"/>
              </w:rPr>
              <w:t>Data: 2000q1 to</w:t>
            </w:r>
            <w:r w:rsidR="00B00B56">
              <w:rPr>
                <w:rFonts w:ascii="Times New Roman" w:hAnsi="Times New Roman" w:cs="Times New Roman"/>
                <w:b/>
                <w:sz w:val="20"/>
                <w:szCs w:val="20"/>
              </w:rPr>
              <w:t xml:space="preserve"> 2015</w:t>
            </w:r>
            <w:r w:rsidR="00546E6E" w:rsidRPr="003E5B17">
              <w:rPr>
                <w:rFonts w:ascii="Times New Roman" w:hAnsi="Times New Roman" w:cs="Times New Roman"/>
                <w:b/>
                <w:sz w:val="20"/>
                <w:szCs w:val="20"/>
              </w:rPr>
              <w:t>q4</w:t>
            </w:r>
          </w:p>
        </w:tc>
      </w:tr>
      <w:tr w:rsidR="00546E6E" w:rsidRPr="00C2344B" w:rsidTr="00C862FE">
        <w:tc>
          <w:tcPr>
            <w:tcW w:w="8528" w:type="dxa"/>
          </w:tcPr>
          <w:p w:rsidR="00546E6E" w:rsidRPr="003E5B17" w:rsidRDefault="00546E6E" w:rsidP="00C2344B">
            <w:pPr>
              <w:jc w:val="both"/>
              <w:rPr>
                <w:rFonts w:ascii="Times New Roman" w:hAnsi="Times New Roman" w:cs="Times New Roman"/>
                <w:sz w:val="20"/>
                <w:szCs w:val="20"/>
              </w:rPr>
            </w:pPr>
          </w:p>
          <w:p w:rsidR="00546E6E" w:rsidRPr="003E5B17" w:rsidRDefault="00546E6E" w:rsidP="00C2344B">
            <w:pPr>
              <w:autoSpaceDE w:val="0"/>
              <w:autoSpaceDN w:val="0"/>
              <w:adjustRightInd w:val="0"/>
              <w:rPr>
                <w:rFonts w:ascii="Times New Roman" w:hAnsi="Times New Roman" w:cs="Times New Roman"/>
                <w:b/>
                <w:sz w:val="20"/>
                <w:szCs w:val="20"/>
              </w:rPr>
            </w:pPr>
            <w:r w:rsidRPr="003E5B17">
              <w:rPr>
                <w:rFonts w:ascii="Times New Roman" w:hAnsi="Times New Roman" w:cs="Times New Roman"/>
                <w:b/>
                <w:sz w:val="20"/>
                <w:szCs w:val="20"/>
              </w:rPr>
              <w:t xml:space="preserve">Variable                      Coefficient            </w:t>
            </w:r>
            <w:r w:rsidR="0014319C" w:rsidRPr="003E5B17">
              <w:rPr>
                <w:rFonts w:ascii="Times New Roman" w:hAnsi="Times New Roman" w:cs="Times New Roman"/>
                <w:b/>
                <w:sz w:val="20"/>
                <w:szCs w:val="20"/>
              </w:rPr>
              <w:t xml:space="preserve">    </w:t>
            </w:r>
            <w:r w:rsidRPr="003E5B17">
              <w:rPr>
                <w:rFonts w:ascii="Times New Roman" w:hAnsi="Times New Roman" w:cs="Times New Roman"/>
                <w:b/>
                <w:sz w:val="20"/>
                <w:szCs w:val="20"/>
              </w:rPr>
              <w:t xml:space="preserve">  </w:t>
            </w:r>
            <w:proofErr w:type="spellStart"/>
            <w:r w:rsidRPr="003E5B17">
              <w:rPr>
                <w:rFonts w:ascii="Times New Roman" w:hAnsi="Times New Roman" w:cs="Times New Roman"/>
                <w:b/>
                <w:sz w:val="20"/>
                <w:szCs w:val="20"/>
              </w:rPr>
              <w:t>Std.Error</w:t>
            </w:r>
            <w:proofErr w:type="spellEnd"/>
            <w:r w:rsidRPr="003E5B17">
              <w:rPr>
                <w:rFonts w:ascii="Times New Roman" w:hAnsi="Times New Roman" w:cs="Times New Roman"/>
                <w:b/>
                <w:sz w:val="20"/>
                <w:szCs w:val="20"/>
              </w:rPr>
              <w:t xml:space="preserve">         </w:t>
            </w:r>
            <w:r w:rsidR="0014319C" w:rsidRPr="003E5B17">
              <w:rPr>
                <w:rFonts w:ascii="Times New Roman" w:hAnsi="Times New Roman" w:cs="Times New Roman"/>
                <w:b/>
                <w:sz w:val="20"/>
                <w:szCs w:val="20"/>
              </w:rPr>
              <w:t xml:space="preserve">          </w:t>
            </w:r>
            <w:r w:rsidRPr="003E5B17">
              <w:rPr>
                <w:rFonts w:ascii="Times New Roman" w:hAnsi="Times New Roman" w:cs="Times New Roman"/>
                <w:b/>
                <w:sz w:val="20"/>
                <w:szCs w:val="20"/>
              </w:rPr>
              <w:t xml:space="preserve">        t-value        </w:t>
            </w:r>
            <w:r w:rsidR="0014319C" w:rsidRPr="003E5B17">
              <w:rPr>
                <w:rFonts w:ascii="Times New Roman" w:hAnsi="Times New Roman" w:cs="Times New Roman"/>
                <w:b/>
                <w:sz w:val="20"/>
                <w:szCs w:val="20"/>
              </w:rPr>
              <w:t xml:space="preserve">   </w:t>
            </w:r>
            <w:r w:rsidRPr="003E5B17">
              <w:rPr>
                <w:rFonts w:ascii="Times New Roman" w:hAnsi="Times New Roman" w:cs="Times New Roman"/>
                <w:b/>
                <w:sz w:val="20"/>
                <w:szCs w:val="20"/>
              </w:rPr>
              <w:t xml:space="preserve">      t-</w:t>
            </w:r>
            <w:proofErr w:type="spellStart"/>
            <w:r w:rsidRPr="003E5B17">
              <w:rPr>
                <w:rFonts w:ascii="Times New Roman" w:hAnsi="Times New Roman" w:cs="Times New Roman"/>
                <w:b/>
                <w:sz w:val="20"/>
                <w:szCs w:val="20"/>
              </w:rPr>
              <w:t>prob</w:t>
            </w:r>
            <w:proofErr w:type="spellEnd"/>
          </w:p>
          <w:p w:rsidR="00546E6E" w:rsidRPr="003E5B17" w:rsidRDefault="00546E6E" w:rsidP="00C2344B">
            <w:pPr>
              <w:autoSpaceDE w:val="0"/>
              <w:autoSpaceDN w:val="0"/>
              <w:adjustRightInd w:val="0"/>
              <w:rPr>
                <w:rFonts w:ascii="Times New Roman" w:hAnsi="Times New Roman" w:cs="Times New Roman"/>
                <w:sz w:val="20"/>
                <w:szCs w:val="20"/>
              </w:rPr>
            </w:pP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DLIMP_1                     0.144678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0.067549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3.0120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0.0026590</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DLIR_2                       -0.373456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0.058976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-4.12089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0.002675</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DLER_3                       0.317865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0.056898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2.06759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0.006758</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DLIP_1                         0.17132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0.05098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2.1788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0.005466</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DLCPI_3                         0.097856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0.026678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4.30908                0.001328</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ECM_1                        -0.196768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0.0367589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-3.65784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0.0033433</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Constant                       0.06564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0.0117958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4.6884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0.0000001</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Seasonal(q1)               -0.022356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0.034744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-1</w:t>
            </w:r>
            <w:r w:rsidR="00BB1DB8" w:rsidRPr="003E5B17">
              <w:rPr>
                <w:rFonts w:ascii="Times New Roman" w:hAnsi="Times New Roman" w:cs="Times New Roman"/>
                <w:sz w:val="20"/>
                <w:szCs w:val="20"/>
              </w:rPr>
              <w:t>.</w:t>
            </w:r>
            <w:r w:rsidRPr="003E5B17">
              <w:rPr>
                <w:rFonts w:ascii="Times New Roman" w:hAnsi="Times New Roman" w:cs="Times New Roman"/>
                <w:sz w:val="20"/>
                <w:szCs w:val="20"/>
              </w:rPr>
              <w:t xml:space="preserve">98932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0.0365780</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Seasonal(q2)                0.035879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0.032922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2.07812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0.0277652</w:t>
            </w:r>
          </w:p>
          <w:p w:rsidR="00546E6E" w:rsidRPr="003E5B17" w:rsidRDefault="00546E6E" w:rsidP="00C2344B">
            <w:pPr>
              <w:autoSpaceDE w:val="0"/>
              <w:autoSpaceDN w:val="0"/>
              <w:adjustRightInd w:val="0"/>
              <w:rPr>
                <w:rFonts w:ascii="Times New Roman" w:hAnsi="Times New Roman" w:cs="Times New Roman"/>
                <w:sz w:val="20"/>
                <w:szCs w:val="20"/>
              </w:rPr>
            </w:pPr>
            <w:r w:rsidRPr="003E5B17">
              <w:rPr>
                <w:rFonts w:ascii="Times New Roman" w:hAnsi="Times New Roman" w:cs="Times New Roman"/>
                <w:sz w:val="20"/>
                <w:szCs w:val="20"/>
              </w:rPr>
              <w:t xml:space="preserve">Seasonal(q3)                0.0026168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0.0602340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1.98714           </w:t>
            </w:r>
            <w:r w:rsidR="0014319C" w:rsidRPr="003E5B17">
              <w:rPr>
                <w:rFonts w:ascii="Times New Roman" w:hAnsi="Times New Roman" w:cs="Times New Roman"/>
                <w:sz w:val="20"/>
                <w:szCs w:val="20"/>
              </w:rPr>
              <w:t xml:space="preserve">  </w:t>
            </w:r>
            <w:r w:rsidRPr="003E5B17">
              <w:rPr>
                <w:rFonts w:ascii="Times New Roman" w:hAnsi="Times New Roman" w:cs="Times New Roman"/>
                <w:sz w:val="20"/>
                <w:szCs w:val="20"/>
              </w:rPr>
              <w:t xml:space="preserve">   0.0545327</w:t>
            </w:r>
          </w:p>
        </w:tc>
      </w:tr>
      <w:tr w:rsidR="00546E6E" w:rsidRPr="00C2344B" w:rsidTr="00C862FE">
        <w:tc>
          <w:tcPr>
            <w:tcW w:w="8528" w:type="dxa"/>
          </w:tcPr>
          <w:p w:rsidR="00546E6E" w:rsidRPr="003E5B17" w:rsidRDefault="00546E6E" w:rsidP="00C2344B">
            <w:pPr>
              <w:jc w:val="both"/>
              <w:rPr>
                <w:rFonts w:ascii="Times New Roman" w:hAnsi="Times New Roman" w:cs="Times New Roman"/>
                <w:sz w:val="20"/>
                <w:szCs w:val="20"/>
              </w:rPr>
            </w:pPr>
          </w:p>
        </w:tc>
      </w:tr>
      <w:tr w:rsidR="00546E6E" w:rsidRPr="00C2344B" w:rsidTr="00C862FE">
        <w:tc>
          <w:tcPr>
            <w:tcW w:w="8528" w:type="dxa"/>
          </w:tcPr>
          <w:p w:rsidR="00546E6E" w:rsidRPr="003E5B17" w:rsidRDefault="00546E6E" w:rsidP="00C2344B">
            <w:pPr>
              <w:jc w:val="both"/>
              <w:rPr>
                <w:rFonts w:ascii="Times New Roman" w:hAnsi="Times New Roman" w:cs="Times New Roman"/>
                <w:b/>
                <w:sz w:val="20"/>
                <w:szCs w:val="20"/>
              </w:rPr>
            </w:pPr>
            <w:r w:rsidRPr="003E5B17">
              <w:rPr>
                <w:rFonts w:ascii="Times New Roman" w:hAnsi="Times New Roman" w:cs="Times New Roman"/>
                <w:b/>
                <w:sz w:val="20"/>
                <w:szCs w:val="20"/>
                <w:u w:val="single"/>
              </w:rPr>
              <w:t>Single Equations Diagnostic Tests (p -values in parenthesis)</w:t>
            </w:r>
            <w:r w:rsidRPr="003E5B17">
              <w:rPr>
                <w:rFonts w:ascii="Times New Roman" w:hAnsi="Times New Roman" w:cs="Times New Roman"/>
                <w:b/>
                <w:sz w:val="20"/>
                <w:szCs w:val="20"/>
              </w:rPr>
              <w:t>:</w:t>
            </w:r>
          </w:p>
          <w:p w:rsidR="00546E6E" w:rsidRPr="003E5B17" w:rsidRDefault="00546E6E" w:rsidP="00C2344B">
            <w:pPr>
              <w:jc w:val="both"/>
              <w:rPr>
                <w:rFonts w:ascii="Times New Roman" w:hAnsi="Times New Roman" w:cs="Times New Roman"/>
                <w:sz w:val="20"/>
                <w:szCs w:val="20"/>
              </w:rPr>
            </w:pPr>
            <w:r w:rsidRPr="003E5B17">
              <w:rPr>
                <w:rFonts w:ascii="Times New Roman" w:hAnsi="Times New Roman" w:cs="Times New Roman"/>
                <w:sz w:val="20"/>
                <w:szCs w:val="20"/>
              </w:rPr>
              <w:t xml:space="preserve">Error auto-correlation = 1.1673354 [0.232286761]; </w:t>
            </w:r>
          </w:p>
          <w:p w:rsidR="00546E6E" w:rsidRPr="003E5B17" w:rsidRDefault="00546E6E" w:rsidP="00C2344B">
            <w:pPr>
              <w:jc w:val="both"/>
              <w:rPr>
                <w:rFonts w:ascii="Times New Roman" w:hAnsi="Times New Roman" w:cs="Times New Roman"/>
                <w:sz w:val="20"/>
                <w:szCs w:val="20"/>
              </w:rPr>
            </w:pPr>
            <w:r w:rsidRPr="003E5B17">
              <w:rPr>
                <w:rFonts w:ascii="Times New Roman" w:hAnsi="Times New Roman" w:cs="Times New Roman"/>
                <w:sz w:val="20"/>
                <w:szCs w:val="20"/>
              </w:rPr>
              <w:t>ARCH = 1.9196679 [0.11132684];  Heteroskedasticity = 0.90569867 [0.62470291]</w:t>
            </w:r>
          </w:p>
          <w:p w:rsidR="00546E6E" w:rsidRPr="003E5B17" w:rsidRDefault="00546E6E" w:rsidP="00C2344B">
            <w:pPr>
              <w:jc w:val="both"/>
              <w:rPr>
                <w:rFonts w:ascii="Times New Roman" w:hAnsi="Times New Roman" w:cs="Times New Roman"/>
                <w:b/>
                <w:sz w:val="20"/>
                <w:szCs w:val="20"/>
                <w:u w:val="single"/>
              </w:rPr>
            </w:pPr>
            <w:r w:rsidRPr="003E5B17">
              <w:rPr>
                <w:rFonts w:ascii="Times New Roman" w:hAnsi="Times New Roman" w:cs="Times New Roman"/>
                <w:b/>
                <w:sz w:val="20"/>
                <w:szCs w:val="20"/>
                <w:u w:val="single"/>
              </w:rPr>
              <w:t>Systems Tests (p -values in parenthesis)</w:t>
            </w:r>
            <w:r w:rsidRPr="003E5B17">
              <w:rPr>
                <w:rFonts w:ascii="Times New Roman" w:hAnsi="Times New Roman" w:cs="Times New Roman"/>
                <w:b/>
                <w:sz w:val="20"/>
                <w:szCs w:val="20"/>
              </w:rPr>
              <w:t>:</w:t>
            </w:r>
          </w:p>
          <w:p w:rsidR="00546E6E" w:rsidRPr="003E5B17" w:rsidRDefault="00546E6E" w:rsidP="00C2344B">
            <w:pPr>
              <w:jc w:val="both"/>
              <w:rPr>
                <w:rFonts w:ascii="Times New Roman" w:hAnsi="Times New Roman" w:cs="Times New Roman"/>
                <w:sz w:val="20"/>
                <w:szCs w:val="20"/>
              </w:rPr>
            </w:pPr>
            <w:r w:rsidRPr="003E5B17">
              <w:rPr>
                <w:rFonts w:ascii="Times New Roman" w:hAnsi="Times New Roman" w:cs="Times New Roman"/>
                <w:sz w:val="20"/>
                <w:szCs w:val="20"/>
              </w:rPr>
              <w:t xml:space="preserve">Error auto-correlation = 1.56354904 [0.236796247]; </w:t>
            </w:r>
          </w:p>
          <w:p w:rsidR="00546E6E" w:rsidRPr="003E5B17" w:rsidRDefault="00546E6E" w:rsidP="00C2344B">
            <w:pPr>
              <w:jc w:val="both"/>
              <w:rPr>
                <w:rFonts w:ascii="Times New Roman" w:hAnsi="Times New Roman" w:cs="Times New Roman"/>
                <w:sz w:val="20"/>
                <w:szCs w:val="20"/>
              </w:rPr>
            </w:pPr>
            <w:r w:rsidRPr="003E5B17">
              <w:rPr>
                <w:rFonts w:ascii="Times New Roman" w:hAnsi="Times New Roman" w:cs="Times New Roman"/>
                <w:sz w:val="20"/>
                <w:szCs w:val="20"/>
              </w:rPr>
              <w:t>ARCH = 1.27652510 [0.08896846];  Heteroskedasticity = 1.202425798 [0.0786418091]</w:t>
            </w:r>
          </w:p>
        </w:tc>
      </w:tr>
    </w:tbl>
    <w:p w:rsidR="00546E6E" w:rsidRPr="00C2344B" w:rsidRDefault="00546E6E" w:rsidP="00C2344B">
      <w:pPr>
        <w:jc w:val="both"/>
        <w:rPr>
          <w:rFonts w:ascii="Times New Roman" w:hAnsi="Times New Roman" w:cs="Times New Roman"/>
          <w:sz w:val="22"/>
          <w:szCs w:val="22"/>
        </w:rPr>
      </w:pPr>
    </w:p>
    <w:p w:rsidR="00A35957" w:rsidRPr="003E5B17" w:rsidRDefault="00ED7EFF" w:rsidP="00C2344B">
      <w:pPr>
        <w:jc w:val="both"/>
        <w:rPr>
          <w:rFonts w:ascii="Times New Roman" w:hAnsi="Times New Roman" w:cs="Times New Roman"/>
        </w:rPr>
      </w:pPr>
      <w:r w:rsidRPr="003E5B17">
        <w:rPr>
          <w:rFonts w:ascii="Times New Roman" w:hAnsi="Times New Roman" w:cs="Times New Roman"/>
        </w:rPr>
        <w:t xml:space="preserve">In each ECM equation, the coefficient of the own error correction term should be negative, that is, the dependent variable should vary in the opposite direction of the error, the deviation from equilibrium.  This ensures that the model will correct the deviation from equilibrium; otherwise the system would never converge to equilibrium following a shock. The deviations from the cointegrating relationships measured by </w:t>
      </w:r>
      <w:r w:rsidRPr="003E5B17">
        <w:rPr>
          <w:rFonts w:ascii="Times New Roman" w:hAnsi="Times New Roman" w:cs="Times New Roman"/>
          <w:position w:val="-12"/>
        </w:rPr>
        <w:object w:dxaOrig="680" w:dyaOrig="360">
          <v:shape id="_x0000_i1045" type="#_x0000_t75" style="width:30pt;height:18.75pt" o:ole="">
            <v:imagedata r:id="rId49" o:title=""/>
          </v:shape>
          <o:OLEObject Type="Embed" ProgID="Equation.3" ShapeID="_x0000_i1045" DrawAspect="Content" ObjectID="_1564908193" r:id="rId50"/>
        </w:object>
      </w:r>
      <w:r w:rsidRPr="003E5B17">
        <w:rPr>
          <w:rFonts w:ascii="Times New Roman" w:hAnsi="Times New Roman" w:cs="Times New Roman"/>
        </w:rPr>
        <w:t xml:space="preserve"> are statistically significant, see Tables </w:t>
      </w:r>
      <w:r w:rsidR="00B00B56">
        <w:rPr>
          <w:rFonts w:ascii="Times New Roman" w:hAnsi="Times New Roman" w:cs="Times New Roman"/>
        </w:rPr>
        <w:t>4</w:t>
      </w:r>
      <w:r w:rsidR="006844BF" w:rsidRPr="003E5B17">
        <w:rPr>
          <w:rFonts w:ascii="Times New Roman" w:hAnsi="Times New Roman" w:cs="Times New Roman"/>
        </w:rPr>
        <w:t>a,</w:t>
      </w:r>
      <w:r w:rsidRPr="003E5B17">
        <w:rPr>
          <w:rFonts w:ascii="Times New Roman" w:hAnsi="Times New Roman" w:cs="Times New Roman"/>
        </w:rPr>
        <w:t xml:space="preserve"> </w:t>
      </w:r>
      <w:r w:rsidR="00B00B56">
        <w:rPr>
          <w:rFonts w:ascii="Times New Roman" w:hAnsi="Times New Roman" w:cs="Times New Roman"/>
        </w:rPr>
        <w:t>4</w:t>
      </w:r>
      <w:r w:rsidRPr="003E5B17">
        <w:rPr>
          <w:rFonts w:ascii="Times New Roman" w:hAnsi="Times New Roman" w:cs="Times New Roman"/>
        </w:rPr>
        <w:t>b</w:t>
      </w:r>
      <w:r w:rsidR="006844BF" w:rsidRPr="003E5B17">
        <w:rPr>
          <w:rFonts w:ascii="Times New Roman" w:hAnsi="Times New Roman" w:cs="Times New Roman"/>
        </w:rPr>
        <w:t xml:space="preserve"> a</w:t>
      </w:r>
      <w:r w:rsidR="004E1FF0" w:rsidRPr="003E5B17">
        <w:rPr>
          <w:rFonts w:ascii="Times New Roman" w:hAnsi="Times New Roman" w:cs="Times New Roman"/>
        </w:rPr>
        <w:t xml:space="preserve">nd </w:t>
      </w:r>
      <w:r w:rsidR="00B00B56">
        <w:rPr>
          <w:rFonts w:ascii="Times New Roman" w:hAnsi="Times New Roman" w:cs="Times New Roman"/>
        </w:rPr>
        <w:t>4</w:t>
      </w:r>
      <w:r w:rsidR="006844BF" w:rsidRPr="003E5B17">
        <w:rPr>
          <w:rFonts w:ascii="Times New Roman" w:hAnsi="Times New Roman" w:cs="Times New Roman"/>
        </w:rPr>
        <w:t>c</w:t>
      </w:r>
      <w:r w:rsidRPr="003E5B17">
        <w:rPr>
          <w:rFonts w:ascii="Times New Roman" w:hAnsi="Times New Roman" w:cs="Times New Roman"/>
        </w:rPr>
        <w:t>.  The coefficients are correctly signed and therefore provide support for the validity of the cointegrating relationship estimated, which lies between 1</w:t>
      </w:r>
      <w:r w:rsidR="00C862FE" w:rsidRPr="003E5B17">
        <w:rPr>
          <w:rFonts w:ascii="Times New Roman" w:hAnsi="Times New Roman" w:cs="Times New Roman"/>
        </w:rPr>
        <w:t>5</w:t>
      </w:r>
      <w:r w:rsidRPr="003E5B17">
        <w:rPr>
          <w:rFonts w:ascii="Times New Roman" w:hAnsi="Times New Roman" w:cs="Times New Roman"/>
        </w:rPr>
        <w:t xml:space="preserve"> percent and </w:t>
      </w:r>
      <w:r w:rsidR="008A6AF9" w:rsidRPr="003E5B17">
        <w:rPr>
          <w:rFonts w:ascii="Times New Roman" w:hAnsi="Times New Roman" w:cs="Times New Roman"/>
        </w:rPr>
        <w:t>20</w:t>
      </w:r>
      <w:r w:rsidRPr="003E5B17">
        <w:rPr>
          <w:rFonts w:ascii="Times New Roman" w:hAnsi="Times New Roman" w:cs="Times New Roman"/>
        </w:rPr>
        <w:t xml:space="preserve"> percent</w:t>
      </w:r>
      <w:r w:rsidR="00A35957" w:rsidRPr="003E5B17">
        <w:rPr>
          <w:rFonts w:ascii="Times New Roman" w:hAnsi="Times New Roman" w:cs="Times New Roman"/>
        </w:rPr>
        <w:t xml:space="preserve"> f</w:t>
      </w:r>
      <w:r w:rsidR="00D31A38" w:rsidRPr="003E5B17">
        <w:rPr>
          <w:rFonts w:ascii="Times New Roman" w:hAnsi="Times New Roman" w:cs="Times New Roman"/>
        </w:rPr>
        <w:t>or sample 1970</w:t>
      </w:r>
      <w:r w:rsidR="00250C91" w:rsidRPr="003E5B17">
        <w:rPr>
          <w:rFonts w:ascii="Times New Roman" w:hAnsi="Times New Roman" w:cs="Times New Roman"/>
        </w:rPr>
        <w:t>q1-</w:t>
      </w:r>
      <w:r w:rsidR="00B00B56">
        <w:rPr>
          <w:rFonts w:ascii="Times New Roman" w:hAnsi="Times New Roman" w:cs="Times New Roman"/>
        </w:rPr>
        <w:t>2015</w:t>
      </w:r>
      <w:r w:rsidR="00250C91" w:rsidRPr="003E5B17">
        <w:rPr>
          <w:rFonts w:ascii="Times New Roman" w:hAnsi="Times New Roman" w:cs="Times New Roman"/>
        </w:rPr>
        <w:t>q4 and sub-sample 2000q1-</w:t>
      </w:r>
      <w:r w:rsidR="00B00B56">
        <w:rPr>
          <w:rFonts w:ascii="Times New Roman" w:hAnsi="Times New Roman" w:cs="Times New Roman"/>
        </w:rPr>
        <w:t>2015</w:t>
      </w:r>
      <w:r w:rsidR="00A35957" w:rsidRPr="003E5B17">
        <w:rPr>
          <w:rFonts w:ascii="Times New Roman" w:hAnsi="Times New Roman" w:cs="Times New Roman"/>
        </w:rPr>
        <w:t xml:space="preserve">q4.  </w:t>
      </w:r>
      <w:r w:rsidRPr="003E5B17">
        <w:rPr>
          <w:rFonts w:ascii="Times New Roman" w:hAnsi="Times New Roman" w:cs="Times New Roman"/>
        </w:rPr>
        <w:t>For the post-inflation targ</w:t>
      </w:r>
      <w:r w:rsidR="00B00B56">
        <w:rPr>
          <w:rFonts w:ascii="Times New Roman" w:hAnsi="Times New Roman" w:cs="Times New Roman"/>
        </w:rPr>
        <w:t>eting sub-period (2000q1 to 2015</w:t>
      </w:r>
      <w:r w:rsidRPr="003E5B17">
        <w:rPr>
          <w:rFonts w:ascii="Times New Roman" w:hAnsi="Times New Roman" w:cs="Times New Roman"/>
        </w:rPr>
        <w:t xml:space="preserve">q4), approximately </w:t>
      </w:r>
      <w:r w:rsidR="008A6AF9" w:rsidRPr="003E5B17">
        <w:rPr>
          <w:rFonts w:ascii="Times New Roman" w:hAnsi="Times New Roman" w:cs="Times New Roman"/>
        </w:rPr>
        <w:t>20</w:t>
      </w:r>
      <w:r w:rsidRPr="003E5B17">
        <w:rPr>
          <w:rFonts w:ascii="Times New Roman" w:hAnsi="Times New Roman" w:cs="Times New Roman"/>
        </w:rPr>
        <w:t xml:space="preserve"> percent of the previous disequilibrium in import prices is corrected each quarter, while for the </w:t>
      </w:r>
      <w:r w:rsidR="006844BF" w:rsidRPr="003E5B17">
        <w:rPr>
          <w:rFonts w:ascii="Times New Roman" w:hAnsi="Times New Roman" w:cs="Times New Roman"/>
        </w:rPr>
        <w:t>pre-inflation targeting period</w:t>
      </w:r>
      <w:r w:rsidR="00250C91" w:rsidRPr="003E5B17">
        <w:rPr>
          <w:rFonts w:ascii="Times New Roman" w:hAnsi="Times New Roman" w:cs="Times New Roman"/>
        </w:rPr>
        <w:t xml:space="preserve"> (1970q1-</w:t>
      </w:r>
      <w:r w:rsidR="00716660" w:rsidRPr="003E5B17">
        <w:rPr>
          <w:rFonts w:ascii="Times New Roman" w:hAnsi="Times New Roman" w:cs="Times New Roman"/>
        </w:rPr>
        <w:t>1999q4)</w:t>
      </w:r>
      <w:r w:rsidRPr="003E5B17">
        <w:rPr>
          <w:rFonts w:ascii="Times New Roman" w:hAnsi="Times New Roman" w:cs="Times New Roman"/>
        </w:rPr>
        <w:t>, only approximately 1</w:t>
      </w:r>
      <w:r w:rsidR="00250C91" w:rsidRPr="003E5B17">
        <w:rPr>
          <w:rFonts w:ascii="Times New Roman" w:hAnsi="Times New Roman" w:cs="Times New Roman"/>
        </w:rPr>
        <w:t>8</w:t>
      </w:r>
      <w:r w:rsidRPr="003E5B17">
        <w:rPr>
          <w:rFonts w:ascii="Times New Roman" w:hAnsi="Times New Roman" w:cs="Times New Roman"/>
        </w:rPr>
        <w:t xml:space="preserve"> percent of previous disequilibrium is eliminated each quarter.  Thus, the speed of </w:t>
      </w:r>
      <w:r w:rsidR="008304AC" w:rsidRPr="003E5B17">
        <w:rPr>
          <w:rFonts w:ascii="Times New Roman" w:hAnsi="Times New Roman" w:cs="Times New Roman"/>
        </w:rPr>
        <w:t>adjustment is higher for the post</w:t>
      </w:r>
      <w:r w:rsidRPr="003E5B17">
        <w:rPr>
          <w:rFonts w:ascii="Times New Roman" w:hAnsi="Times New Roman" w:cs="Times New Roman"/>
        </w:rPr>
        <w:t>-inflation targeting sub-period.</w:t>
      </w:r>
    </w:p>
    <w:p w:rsidR="00071922" w:rsidRPr="003E5B17" w:rsidRDefault="00071922"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b/>
        </w:rPr>
      </w:pPr>
      <w:r w:rsidRPr="003E5B17">
        <w:rPr>
          <w:rFonts w:ascii="Times New Roman" w:hAnsi="Times New Roman" w:cs="Times New Roman"/>
        </w:rPr>
        <w:t>Therefor</w:t>
      </w:r>
      <w:r w:rsidR="001F10E5" w:rsidRPr="003E5B17">
        <w:rPr>
          <w:rFonts w:ascii="Times New Roman" w:hAnsi="Times New Roman" w:cs="Times New Roman"/>
        </w:rPr>
        <w:t>e, based on the coefficient of -</w:t>
      </w:r>
      <w:r w:rsidRPr="003E5B17">
        <w:rPr>
          <w:rFonts w:ascii="Times New Roman" w:hAnsi="Times New Roman" w:cs="Times New Roman"/>
        </w:rPr>
        <w:t>0.</w:t>
      </w:r>
      <w:r w:rsidR="00C862FE" w:rsidRPr="003E5B17">
        <w:rPr>
          <w:rFonts w:ascii="Times New Roman" w:hAnsi="Times New Roman" w:cs="Times New Roman"/>
        </w:rPr>
        <w:t>38</w:t>
      </w:r>
      <w:r w:rsidRPr="003E5B17">
        <w:rPr>
          <w:rFonts w:ascii="Times New Roman" w:hAnsi="Times New Roman" w:cs="Times New Roman"/>
        </w:rPr>
        <w:t xml:space="preserve"> for subsample import prices</w:t>
      </w:r>
      <w:r w:rsidR="008304AC" w:rsidRPr="003E5B17">
        <w:rPr>
          <w:rFonts w:ascii="Times New Roman" w:hAnsi="Times New Roman" w:cs="Times New Roman"/>
        </w:rPr>
        <w:t xml:space="preserve"> shown in Table </w:t>
      </w:r>
      <w:r w:rsidR="00071922" w:rsidRPr="003E5B17">
        <w:rPr>
          <w:rFonts w:ascii="Times New Roman" w:hAnsi="Times New Roman" w:cs="Times New Roman"/>
        </w:rPr>
        <w:t>5a</w:t>
      </w:r>
      <w:r w:rsidRPr="003E5B17">
        <w:rPr>
          <w:rFonts w:ascii="Times New Roman" w:hAnsi="Times New Roman" w:cs="Times New Roman"/>
        </w:rPr>
        <w:t xml:space="preserve">, when import prices exceed their long run relationship with the trading partners’ production costs and the exchange rate, they adjust downwards at a rate of </w:t>
      </w:r>
      <w:r w:rsidR="00C862FE" w:rsidRPr="003E5B17">
        <w:rPr>
          <w:rFonts w:ascii="Times New Roman" w:hAnsi="Times New Roman" w:cs="Times New Roman"/>
        </w:rPr>
        <w:t>38</w:t>
      </w:r>
      <w:r w:rsidRPr="003E5B17">
        <w:rPr>
          <w:rFonts w:ascii="Times New Roman" w:hAnsi="Times New Roman" w:cs="Times New Roman"/>
        </w:rPr>
        <w:t xml:space="preserve"> percent each quarter.  The lower the coefficient, the longer it takes for import prices to adjust to their long run equilibrium level and vice versa. Also, the contemporaneous response of domestic prices to the ex</w:t>
      </w:r>
      <w:r w:rsidR="001F10E5" w:rsidRPr="003E5B17">
        <w:rPr>
          <w:rFonts w:ascii="Times New Roman" w:hAnsi="Times New Roman" w:cs="Times New Roman"/>
        </w:rPr>
        <w:t>change rate shocks in the post-</w:t>
      </w:r>
      <w:r w:rsidRPr="003E5B17">
        <w:rPr>
          <w:rFonts w:ascii="Times New Roman" w:hAnsi="Times New Roman" w:cs="Times New Roman"/>
        </w:rPr>
        <w:t xml:space="preserve">inflation targeting period is positive and significant which means that the depreciation of exchange rate leads to an </w:t>
      </w:r>
      <w:r w:rsidRPr="003E5B17">
        <w:rPr>
          <w:rFonts w:ascii="Times New Roman" w:hAnsi="Times New Roman" w:cs="Times New Roman"/>
        </w:rPr>
        <w:lastRenderedPageBreak/>
        <w:t xml:space="preserve">increase in the rate of inflation. </w:t>
      </w:r>
      <w:r w:rsidR="00FB2745" w:rsidRPr="003E5B17">
        <w:rPr>
          <w:rFonts w:ascii="Times New Roman" w:hAnsi="Times New Roman" w:cs="Times New Roman"/>
        </w:rPr>
        <w:t>The results in Table</w:t>
      </w:r>
      <w:r w:rsidR="00C813A3" w:rsidRPr="003E5B17">
        <w:rPr>
          <w:rFonts w:ascii="Times New Roman" w:hAnsi="Times New Roman" w:cs="Times New Roman"/>
        </w:rPr>
        <w:t>s</w:t>
      </w:r>
      <w:r w:rsidR="004E1FF0" w:rsidRPr="003E5B17">
        <w:rPr>
          <w:rFonts w:ascii="Times New Roman" w:hAnsi="Times New Roman" w:cs="Times New Roman"/>
        </w:rPr>
        <w:t xml:space="preserve"> </w:t>
      </w:r>
      <w:r w:rsidR="00B00B56">
        <w:rPr>
          <w:rFonts w:ascii="Times New Roman" w:hAnsi="Times New Roman" w:cs="Times New Roman"/>
        </w:rPr>
        <w:t>4</w:t>
      </w:r>
      <w:r w:rsidR="004E1FF0" w:rsidRPr="003E5B17">
        <w:rPr>
          <w:rFonts w:ascii="Times New Roman" w:hAnsi="Times New Roman" w:cs="Times New Roman"/>
        </w:rPr>
        <w:t xml:space="preserve">a and </w:t>
      </w:r>
      <w:r w:rsidR="00B00B56">
        <w:rPr>
          <w:rFonts w:ascii="Times New Roman" w:hAnsi="Times New Roman" w:cs="Times New Roman"/>
        </w:rPr>
        <w:t>4</w:t>
      </w:r>
      <w:r w:rsidR="00C813A3" w:rsidRPr="003E5B17">
        <w:rPr>
          <w:rFonts w:ascii="Times New Roman" w:hAnsi="Times New Roman" w:cs="Times New Roman"/>
        </w:rPr>
        <w:t>b</w:t>
      </w:r>
      <w:r w:rsidR="00FB2745" w:rsidRPr="003E5B17">
        <w:rPr>
          <w:rFonts w:ascii="Times New Roman" w:hAnsi="Times New Roman" w:cs="Times New Roman"/>
        </w:rPr>
        <w:t xml:space="preserve"> suggest that a 10 percent depreciation of the exchange rate will increase the inflation rate by 4.</w:t>
      </w:r>
      <w:r w:rsidR="00C813A3" w:rsidRPr="003E5B17">
        <w:rPr>
          <w:rFonts w:ascii="Times New Roman" w:hAnsi="Times New Roman" w:cs="Times New Roman"/>
        </w:rPr>
        <w:t>3</w:t>
      </w:r>
      <w:r w:rsidR="00FB2745" w:rsidRPr="003E5B17">
        <w:rPr>
          <w:rFonts w:ascii="Times New Roman" w:hAnsi="Times New Roman" w:cs="Times New Roman"/>
        </w:rPr>
        <w:t xml:space="preserve"> percent</w:t>
      </w:r>
      <w:r w:rsidR="00C813A3" w:rsidRPr="003E5B17">
        <w:rPr>
          <w:rFonts w:ascii="Times New Roman" w:hAnsi="Times New Roman" w:cs="Times New Roman"/>
        </w:rPr>
        <w:t xml:space="preserve"> and 4.2 percent</w:t>
      </w:r>
      <w:r w:rsidR="009B3D47" w:rsidRPr="003E5B17">
        <w:rPr>
          <w:rFonts w:ascii="Times New Roman" w:hAnsi="Times New Roman" w:cs="Times New Roman"/>
        </w:rPr>
        <w:t xml:space="preserve"> respectively</w:t>
      </w:r>
      <w:r w:rsidR="00FB2745" w:rsidRPr="003E5B17">
        <w:rPr>
          <w:rFonts w:ascii="Times New Roman" w:hAnsi="Times New Roman" w:cs="Times New Roman"/>
        </w:rPr>
        <w:t xml:space="preserve">, which is higher than the </w:t>
      </w:r>
      <w:r w:rsidR="00342B46" w:rsidRPr="003E5B17">
        <w:rPr>
          <w:rFonts w:ascii="Times New Roman" w:hAnsi="Times New Roman" w:cs="Times New Roman"/>
        </w:rPr>
        <w:t xml:space="preserve">3.2 percent for the post </w:t>
      </w:r>
      <w:r w:rsidR="00AD0A89" w:rsidRPr="003E5B17">
        <w:rPr>
          <w:rFonts w:ascii="Times New Roman" w:hAnsi="Times New Roman" w:cs="Times New Roman"/>
        </w:rPr>
        <w:t>inflation-targeting</w:t>
      </w:r>
      <w:r w:rsidR="00342B46" w:rsidRPr="003E5B17">
        <w:rPr>
          <w:rFonts w:ascii="Times New Roman" w:hAnsi="Times New Roman" w:cs="Times New Roman"/>
        </w:rPr>
        <w:t xml:space="preserve"> period.</w:t>
      </w:r>
      <w:r w:rsidR="008A57D6" w:rsidRPr="003E5B17">
        <w:rPr>
          <w:rFonts w:ascii="Times New Roman" w:hAnsi="Times New Roman" w:cs="Times New Roman"/>
        </w:rPr>
        <w:t xml:space="preserve"> This implies that South Africa experienced higher inflation rates before the introduction of inflation targeting by the South African Reserve Bank. </w:t>
      </w:r>
      <w:r w:rsidRPr="003E5B17">
        <w:rPr>
          <w:rFonts w:ascii="Times New Roman" w:hAnsi="Times New Roman" w:cs="Times New Roman"/>
        </w:rPr>
        <w:t xml:space="preserve"> As also discussed in Section 3, strategic behavior in the form of pricing-to-market may explain why exchange rate fluctuations are not fully reflected in domestic prices</w:t>
      </w:r>
      <w:r w:rsidR="006E0D46" w:rsidRPr="003E5B17">
        <w:rPr>
          <w:rStyle w:val="FootnoteReference"/>
          <w:rFonts w:ascii="Times New Roman" w:hAnsi="Times New Roman" w:cs="Times New Roman"/>
        </w:rPr>
        <w:footnoteReference w:customMarkFollows="1" w:id="5"/>
        <w:t>22</w:t>
      </w:r>
      <w:r w:rsidRPr="003E5B17">
        <w:rPr>
          <w:rFonts w:ascii="Times New Roman" w:hAnsi="Times New Roman" w:cs="Times New Roman"/>
        </w:rPr>
        <w:t>. Further, the results show that the impact of foreign prices on domestic prices is positive as well as significant, but higher for the entire period than for the sub-periods.  Also, the producers’ prices seem to influence the local currency prices of imports in South Africa.</w:t>
      </w:r>
    </w:p>
    <w:p w:rsidR="00A23CA5" w:rsidRPr="003E5B17" w:rsidRDefault="00A23CA5" w:rsidP="00C2344B">
      <w:pPr>
        <w:jc w:val="both"/>
        <w:rPr>
          <w:rFonts w:ascii="Times New Roman" w:hAnsi="Times New Roman" w:cs="Times New Roman"/>
        </w:rPr>
      </w:pPr>
    </w:p>
    <w:p w:rsidR="00C242D9" w:rsidRPr="003E5B17" w:rsidRDefault="00C242D9" w:rsidP="00C2344B">
      <w:pPr>
        <w:jc w:val="both"/>
        <w:rPr>
          <w:rFonts w:ascii="Times New Roman" w:hAnsi="Times New Roman" w:cs="Times New Roman"/>
        </w:rPr>
      </w:pPr>
      <w:r w:rsidRPr="003E5B17">
        <w:rPr>
          <w:rFonts w:ascii="Times New Roman" w:hAnsi="Times New Roman" w:cs="Times New Roman"/>
        </w:rPr>
        <w:t>The paper explores the Impulse Response Function (IRF) and the Variance Decomposition (VDC). In general, the IFR refers to the reaction of the dynamic system in response to some external change while the VDC refers to the breakdown of the forecast error variance for a specific time horizon. It shows which variable has short term or long-term impacts on another variable of interest, especially the percentage of the fluctuation in a time series that is attributable to other variables at select time horizons.</w:t>
      </w:r>
    </w:p>
    <w:p w:rsidR="00C242D9" w:rsidRPr="003E5B17" w:rsidRDefault="00C242D9" w:rsidP="00C2344B">
      <w:pPr>
        <w:jc w:val="both"/>
        <w:rPr>
          <w:rFonts w:ascii="Times New Roman" w:hAnsi="Times New Roman" w:cs="Times New Roman"/>
        </w:rPr>
      </w:pPr>
    </w:p>
    <w:p w:rsidR="00ED7EFF" w:rsidRPr="003E5B17" w:rsidRDefault="0044175B" w:rsidP="00C2344B">
      <w:pPr>
        <w:jc w:val="both"/>
        <w:rPr>
          <w:rFonts w:ascii="Times New Roman" w:hAnsi="Times New Roman" w:cs="Times New Roman"/>
        </w:rPr>
      </w:pPr>
      <w:r w:rsidRPr="003E5B17">
        <w:rPr>
          <w:rFonts w:ascii="Times New Roman" w:hAnsi="Times New Roman" w:cs="Times New Roman"/>
        </w:rPr>
        <w:t xml:space="preserve">The results in Table </w:t>
      </w:r>
      <w:r w:rsidR="00B00B56">
        <w:rPr>
          <w:rFonts w:ascii="Times New Roman" w:hAnsi="Times New Roman" w:cs="Times New Roman"/>
        </w:rPr>
        <w:t>5</w:t>
      </w:r>
      <w:r w:rsidRPr="003E5B17">
        <w:rPr>
          <w:rFonts w:ascii="Times New Roman" w:hAnsi="Times New Roman" w:cs="Times New Roman"/>
        </w:rPr>
        <w:t xml:space="preserve"> show</w:t>
      </w:r>
      <w:r w:rsidR="00ED7EFF" w:rsidRPr="003E5B17">
        <w:rPr>
          <w:rFonts w:ascii="Times New Roman" w:hAnsi="Times New Roman" w:cs="Times New Roman"/>
        </w:rPr>
        <w:t xml:space="preserve"> the responses of domestic prices to a one percent shock in the exchange rate after 3, 6, 12 and 24 months. It is apparent that import prices respond quickly to an exchange rate shock. </w:t>
      </w:r>
    </w:p>
    <w:p w:rsidR="00733C5C" w:rsidRPr="003E5B17" w:rsidRDefault="00733C5C" w:rsidP="00C2344B">
      <w:pPr>
        <w:jc w:val="both"/>
        <w:rPr>
          <w:rFonts w:ascii="Times New Roman" w:hAnsi="Times New Roman" w:cs="Times New Roman"/>
        </w:rPr>
      </w:pPr>
    </w:p>
    <w:p w:rsidR="003329B5" w:rsidRPr="003E5B17" w:rsidRDefault="003329B5" w:rsidP="00C2344B">
      <w:pPr>
        <w:jc w:val="both"/>
        <w:rPr>
          <w:rFonts w:ascii="Times New Roman" w:hAnsi="Times New Roman" w:cs="Times New Roman"/>
        </w:rPr>
      </w:pPr>
      <w:r w:rsidRPr="003E5B17">
        <w:rPr>
          <w:rFonts w:ascii="Times New Roman" w:hAnsi="Times New Roman" w:cs="Times New Roman"/>
        </w:rPr>
        <w:t xml:space="preserve">Table </w:t>
      </w:r>
      <w:r w:rsidR="00B00B56">
        <w:rPr>
          <w:rFonts w:ascii="Times New Roman" w:hAnsi="Times New Roman" w:cs="Times New Roman"/>
        </w:rPr>
        <w:t>5</w:t>
      </w:r>
      <w:r w:rsidRPr="003E5B17">
        <w:rPr>
          <w:rFonts w:ascii="Times New Roman" w:hAnsi="Times New Roman" w:cs="Times New Roman"/>
        </w:rPr>
        <w:t xml:space="preserve">: </w:t>
      </w:r>
      <w:r w:rsidR="00903326" w:rsidRPr="003E5B17">
        <w:rPr>
          <w:rFonts w:ascii="Times New Roman" w:hAnsi="Times New Roman" w:cs="Times New Roman"/>
        </w:rPr>
        <w:t>Effect</w:t>
      </w:r>
      <w:r w:rsidRPr="003E5B17">
        <w:rPr>
          <w:rFonts w:ascii="Times New Roman" w:hAnsi="Times New Roman" w:cs="Times New Roman"/>
        </w:rPr>
        <w:t xml:space="preserve"> of </w:t>
      </w:r>
      <w:r w:rsidR="00903326" w:rsidRPr="003E5B17">
        <w:rPr>
          <w:rFonts w:ascii="Times New Roman" w:hAnsi="Times New Roman" w:cs="Times New Roman"/>
        </w:rPr>
        <w:t>a One Percent Change in Exchange Rate on Domestic Price Indices</w:t>
      </w:r>
    </w:p>
    <w:p w:rsidR="00903326" w:rsidRPr="003E5B17" w:rsidRDefault="00903326" w:rsidP="00C2344B">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605"/>
        <w:gridCol w:w="1771"/>
        <w:gridCol w:w="1772"/>
      </w:tblGrid>
      <w:tr w:rsidR="003329B5" w:rsidRPr="003E5B17" w:rsidTr="00903326">
        <w:tc>
          <w:tcPr>
            <w:tcW w:w="2088" w:type="dxa"/>
            <w:tcBorders>
              <w:bottom w:val="single" w:sz="4" w:space="0" w:color="auto"/>
            </w:tcBorders>
            <w:shd w:val="clear" w:color="auto" w:fill="F3F3F3"/>
          </w:tcPr>
          <w:p w:rsidR="003329B5" w:rsidRPr="003E5B17" w:rsidRDefault="003329B5" w:rsidP="00C2344B">
            <w:pPr>
              <w:jc w:val="both"/>
              <w:rPr>
                <w:rFonts w:ascii="Times New Roman" w:hAnsi="Times New Roman" w:cs="Times New Roman"/>
              </w:rPr>
            </w:pPr>
          </w:p>
        </w:tc>
        <w:tc>
          <w:tcPr>
            <w:tcW w:w="1620" w:type="dxa"/>
            <w:tcBorders>
              <w:bottom w:val="single" w:sz="4" w:space="0" w:color="auto"/>
            </w:tcBorders>
            <w:shd w:val="clear" w:color="auto" w:fill="F3F3F3"/>
          </w:tcPr>
          <w:p w:rsidR="003329B5" w:rsidRPr="003E5B17" w:rsidRDefault="003329B5" w:rsidP="00C2344B">
            <w:pPr>
              <w:jc w:val="both"/>
              <w:rPr>
                <w:rFonts w:ascii="Times New Roman" w:hAnsi="Times New Roman" w:cs="Times New Roman"/>
                <w:b/>
              </w:rPr>
            </w:pPr>
            <w:r w:rsidRPr="003E5B17">
              <w:rPr>
                <w:rFonts w:ascii="Times New Roman" w:hAnsi="Times New Roman" w:cs="Times New Roman"/>
                <w:b/>
              </w:rPr>
              <w:t>After 3 Months</w:t>
            </w:r>
          </w:p>
        </w:tc>
        <w:tc>
          <w:tcPr>
            <w:tcW w:w="1605" w:type="dxa"/>
            <w:tcBorders>
              <w:bottom w:val="single" w:sz="4" w:space="0" w:color="auto"/>
            </w:tcBorders>
            <w:shd w:val="clear" w:color="auto" w:fill="F3F3F3"/>
          </w:tcPr>
          <w:p w:rsidR="003329B5" w:rsidRPr="003E5B17" w:rsidRDefault="003329B5" w:rsidP="00C2344B">
            <w:pPr>
              <w:jc w:val="both"/>
              <w:rPr>
                <w:rFonts w:ascii="Times New Roman" w:hAnsi="Times New Roman" w:cs="Times New Roman"/>
                <w:b/>
              </w:rPr>
            </w:pPr>
            <w:r w:rsidRPr="003E5B17">
              <w:rPr>
                <w:rFonts w:ascii="Times New Roman" w:hAnsi="Times New Roman" w:cs="Times New Roman"/>
                <w:b/>
              </w:rPr>
              <w:t>After 6 Months</w:t>
            </w:r>
          </w:p>
        </w:tc>
        <w:tc>
          <w:tcPr>
            <w:tcW w:w="1771" w:type="dxa"/>
            <w:tcBorders>
              <w:bottom w:val="single" w:sz="4" w:space="0" w:color="auto"/>
            </w:tcBorders>
            <w:shd w:val="clear" w:color="auto" w:fill="F3F3F3"/>
          </w:tcPr>
          <w:p w:rsidR="003329B5" w:rsidRPr="003E5B17" w:rsidRDefault="003329B5" w:rsidP="00C2344B">
            <w:pPr>
              <w:jc w:val="both"/>
              <w:rPr>
                <w:rFonts w:ascii="Times New Roman" w:hAnsi="Times New Roman" w:cs="Times New Roman"/>
                <w:b/>
              </w:rPr>
            </w:pPr>
            <w:r w:rsidRPr="003E5B17">
              <w:rPr>
                <w:rFonts w:ascii="Times New Roman" w:hAnsi="Times New Roman" w:cs="Times New Roman"/>
                <w:b/>
              </w:rPr>
              <w:t>After 12 Months</w:t>
            </w:r>
          </w:p>
        </w:tc>
        <w:tc>
          <w:tcPr>
            <w:tcW w:w="1772" w:type="dxa"/>
            <w:tcBorders>
              <w:bottom w:val="single" w:sz="4" w:space="0" w:color="auto"/>
            </w:tcBorders>
            <w:shd w:val="clear" w:color="auto" w:fill="F3F3F3"/>
          </w:tcPr>
          <w:p w:rsidR="003329B5" w:rsidRPr="003E5B17" w:rsidRDefault="003329B5" w:rsidP="00C2344B">
            <w:pPr>
              <w:jc w:val="both"/>
              <w:rPr>
                <w:rFonts w:ascii="Times New Roman" w:hAnsi="Times New Roman" w:cs="Times New Roman"/>
                <w:b/>
              </w:rPr>
            </w:pPr>
            <w:r w:rsidRPr="003E5B17">
              <w:rPr>
                <w:rFonts w:ascii="Times New Roman" w:hAnsi="Times New Roman" w:cs="Times New Roman"/>
                <w:b/>
              </w:rPr>
              <w:t>After 24 Months</w:t>
            </w:r>
          </w:p>
        </w:tc>
      </w:tr>
      <w:tr w:rsidR="003329B5" w:rsidRPr="003E5B17" w:rsidTr="005457CC">
        <w:trPr>
          <w:trHeight w:val="269"/>
        </w:trPr>
        <w:tc>
          <w:tcPr>
            <w:tcW w:w="2088" w:type="dxa"/>
            <w:tcBorders>
              <w:top w:val="single" w:sz="4" w:space="0" w:color="auto"/>
              <w:bottom w:val="nil"/>
              <w:right w:val="single" w:sz="4" w:space="0" w:color="auto"/>
            </w:tcBorders>
          </w:tcPr>
          <w:p w:rsidR="003329B5" w:rsidRPr="003E5B17" w:rsidRDefault="003329B5" w:rsidP="00C2344B">
            <w:pPr>
              <w:jc w:val="both"/>
              <w:rPr>
                <w:rFonts w:ascii="Times New Roman" w:hAnsi="Times New Roman" w:cs="Times New Roman"/>
                <w:b/>
              </w:rPr>
            </w:pPr>
            <w:r w:rsidRPr="003E5B17">
              <w:rPr>
                <w:rFonts w:ascii="Times New Roman" w:hAnsi="Times New Roman" w:cs="Times New Roman"/>
                <w:b/>
              </w:rPr>
              <w:t>Import prices</w:t>
            </w:r>
          </w:p>
        </w:tc>
        <w:tc>
          <w:tcPr>
            <w:tcW w:w="1620" w:type="dxa"/>
            <w:tcBorders>
              <w:top w:val="single" w:sz="4" w:space="0" w:color="auto"/>
              <w:left w:val="single" w:sz="4" w:space="0" w:color="auto"/>
              <w:bottom w:val="nil"/>
              <w:right w:val="nil"/>
            </w:tcBorders>
          </w:tcPr>
          <w:p w:rsidR="003329B5" w:rsidRPr="003E5B17" w:rsidRDefault="003329B5" w:rsidP="00C2344B">
            <w:pPr>
              <w:jc w:val="center"/>
              <w:rPr>
                <w:rFonts w:ascii="Times New Roman" w:hAnsi="Times New Roman" w:cs="Times New Roman"/>
              </w:rPr>
            </w:pPr>
            <w:r w:rsidRPr="003E5B17">
              <w:rPr>
                <w:rFonts w:ascii="Times New Roman" w:hAnsi="Times New Roman" w:cs="Times New Roman"/>
              </w:rPr>
              <w:t>0.1</w:t>
            </w:r>
            <w:r w:rsidR="00546E6E" w:rsidRPr="003E5B17">
              <w:rPr>
                <w:rFonts w:ascii="Times New Roman" w:hAnsi="Times New Roman" w:cs="Times New Roman"/>
              </w:rPr>
              <w:t>9</w:t>
            </w:r>
            <w:r w:rsidR="000E0437" w:rsidRPr="003E5B17">
              <w:rPr>
                <w:rFonts w:ascii="Times New Roman" w:hAnsi="Times New Roman" w:cs="Times New Roman"/>
              </w:rPr>
              <w:t>9</w:t>
            </w:r>
          </w:p>
        </w:tc>
        <w:tc>
          <w:tcPr>
            <w:tcW w:w="1605" w:type="dxa"/>
            <w:tcBorders>
              <w:top w:val="single" w:sz="4" w:space="0" w:color="auto"/>
              <w:left w:val="nil"/>
              <w:bottom w:val="nil"/>
              <w:right w:val="single" w:sz="4" w:space="0" w:color="auto"/>
            </w:tcBorders>
          </w:tcPr>
          <w:p w:rsidR="003329B5" w:rsidRPr="003E5B17" w:rsidRDefault="000E0437" w:rsidP="00C2344B">
            <w:pPr>
              <w:jc w:val="center"/>
              <w:rPr>
                <w:rFonts w:ascii="Times New Roman" w:hAnsi="Times New Roman" w:cs="Times New Roman"/>
              </w:rPr>
            </w:pPr>
            <w:r w:rsidRPr="003E5B17">
              <w:rPr>
                <w:rFonts w:ascii="Times New Roman" w:hAnsi="Times New Roman" w:cs="Times New Roman"/>
              </w:rPr>
              <w:t>0.445</w:t>
            </w:r>
          </w:p>
        </w:tc>
        <w:tc>
          <w:tcPr>
            <w:tcW w:w="1771" w:type="dxa"/>
            <w:tcBorders>
              <w:top w:val="single" w:sz="4" w:space="0" w:color="auto"/>
              <w:left w:val="single" w:sz="4" w:space="0" w:color="auto"/>
              <w:bottom w:val="nil"/>
              <w:right w:val="nil"/>
            </w:tcBorders>
          </w:tcPr>
          <w:p w:rsidR="003329B5" w:rsidRPr="003E5B17" w:rsidRDefault="003329B5" w:rsidP="00C2344B">
            <w:pPr>
              <w:jc w:val="center"/>
              <w:rPr>
                <w:rFonts w:ascii="Times New Roman" w:hAnsi="Times New Roman" w:cs="Times New Roman"/>
              </w:rPr>
            </w:pPr>
            <w:r w:rsidRPr="003E5B17">
              <w:rPr>
                <w:rFonts w:ascii="Times New Roman" w:hAnsi="Times New Roman" w:cs="Times New Roman"/>
              </w:rPr>
              <w:t>0.5</w:t>
            </w:r>
            <w:r w:rsidR="00EF047E" w:rsidRPr="003E5B17">
              <w:rPr>
                <w:rFonts w:ascii="Times New Roman" w:hAnsi="Times New Roman" w:cs="Times New Roman"/>
              </w:rPr>
              <w:t>2</w:t>
            </w:r>
            <w:r w:rsidR="000E0437" w:rsidRPr="003E5B17">
              <w:rPr>
                <w:rFonts w:ascii="Times New Roman" w:hAnsi="Times New Roman" w:cs="Times New Roman"/>
              </w:rPr>
              <w:t>3</w:t>
            </w:r>
          </w:p>
        </w:tc>
        <w:tc>
          <w:tcPr>
            <w:tcW w:w="1772" w:type="dxa"/>
            <w:tcBorders>
              <w:top w:val="single" w:sz="4" w:space="0" w:color="auto"/>
              <w:left w:val="nil"/>
              <w:bottom w:val="nil"/>
            </w:tcBorders>
          </w:tcPr>
          <w:p w:rsidR="003329B5" w:rsidRPr="003E5B17" w:rsidRDefault="003329B5" w:rsidP="00C2344B">
            <w:pPr>
              <w:jc w:val="center"/>
              <w:rPr>
                <w:rFonts w:ascii="Times New Roman" w:hAnsi="Times New Roman" w:cs="Times New Roman"/>
              </w:rPr>
            </w:pPr>
            <w:r w:rsidRPr="003E5B17">
              <w:rPr>
                <w:rFonts w:ascii="Times New Roman" w:hAnsi="Times New Roman" w:cs="Times New Roman"/>
              </w:rPr>
              <w:t>0.</w:t>
            </w:r>
            <w:r w:rsidR="00EF047E" w:rsidRPr="003E5B17">
              <w:rPr>
                <w:rFonts w:ascii="Times New Roman" w:hAnsi="Times New Roman" w:cs="Times New Roman"/>
              </w:rPr>
              <w:t>575</w:t>
            </w:r>
          </w:p>
        </w:tc>
      </w:tr>
      <w:tr w:rsidR="003329B5" w:rsidRPr="003E5B17" w:rsidTr="00903326">
        <w:tc>
          <w:tcPr>
            <w:tcW w:w="2088" w:type="dxa"/>
            <w:tcBorders>
              <w:top w:val="nil"/>
              <w:right w:val="single" w:sz="4" w:space="0" w:color="auto"/>
            </w:tcBorders>
          </w:tcPr>
          <w:p w:rsidR="003329B5" w:rsidRPr="003E5B17" w:rsidRDefault="003329B5" w:rsidP="00C2344B">
            <w:pPr>
              <w:jc w:val="both"/>
              <w:rPr>
                <w:rFonts w:ascii="Times New Roman" w:hAnsi="Times New Roman" w:cs="Times New Roman"/>
                <w:b/>
              </w:rPr>
            </w:pPr>
            <w:r w:rsidRPr="003E5B17">
              <w:rPr>
                <w:rFonts w:ascii="Times New Roman" w:hAnsi="Times New Roman" w:cs="Times New Roman"/>
                <w:b/>
              </w:rPr>
              <w:t>Consumer prices</w:t>
            </w:r>
          </w:p>
        </w:tc>
        <w:tc>
          <w:tcPr>
            <w:tcW w:w="1620" w:type="dxa"/>
            <w:tcBorders>
              <w:top w:val="nil"/>
              <w:left w:val="single" w:sz="4" w:space="0" w:color="auto"/>
              <w:right w:val="nil"/>
            </w:tcBorders>
          </w:tcPr>
          <w:p w:rsidR="003329B5" w:rsidRPr="003E5B17" w:rsidRDefault="003329B5" w:rsidP="00C2344B">
            <w:pPr>
              <w:jc w:val="center"/>
              <w:rPr>
                <w:rFonts w:ascii="Times New Roman" w:hAnsi="Times New Roman" w:cs="Times New Roman"/>
              </w:rPr>
            </w:pPr>
            <w:r w:rsidRPr="003E5B17">
              <w:rPr>
                <w:rFonts w:ascii="Times New Roman" w:hAnsi="Times New Roman" w:cs="Times New Roman"/>
              </w:rPr>
              <w:t>0.05</w:t>
            </w:r>
            <w:r w:rsidR="000E0437" w:rsidRPr="003E5B17">
              <w:rPr>
                <w:rFonts w:ascii="Times New Roman" w:hAnsi="Times New Roman" w:cs="Times New Roman"/>
              </w:rPr>
              <w:t>9</w:t>
            </w:r>
          </w:p>
        </w:tc>
        <w:tc>
          <w:tcPr>
            <w:tcW w:w="1605" w:type="dxa"/>
            <w:tcBorders>
              <w:top w:val="nil"/>
              <w:left w:val="nil"/>
              <w:right w:val="single" w:sz="4" w:space="0" w:color="auto"/>
            </w:tcBorders>
          </w:tcPr>
          <w:p w:rsidR="003329B5" w:rsidRPr="003E5B17" w:rsidRDefault="000E0437" w:rsidP="00C2344B">
            <w:pPr>
              <w:jc w:val="center"/>
              <w:rPr>
                <w:rFonts w:ascii="Times New Roman" w:hAnsi="Times New Roman" w:cs="Times New Roman"/>
              </w:rPr>
            </w:pPr>
            <w:r w:rsidRPr="003E5B17">
              <w:rPr>
                <w:rFonts w:ascii="Times New Roman" w:hAnsi="Times New Roman" w:cs="Times New Roman"/>
              </w:rPr>
              <w:t>0.161</w:t>
            </w:r>
          </w:p>
        </w:tc>
        <w:tc>
          <w:tcPr>
            <w:tcW w:w="1771" w:type="dxa"/>
            <w:tcBorders>
              <w:top w:val="nil"/>
              <w:left w:val="single" w:sz="4" w:space="0" w:color="auto"/>
              <w:right w:val="nil"/>
            </w:tcBorders>
          </w:tcPr>
          <w:p w:rsidR="003329B5" w:rsidRPr="003E5B17" w:rsidRDefault="003329B5" w:rsidP="00C2344B">
            <w:pPr>
              <w:jc w:val="center"/>
              <w:rPr>
                <w:rFonts w:ascii="Times New Roman" w:hAnsi="Times New Roman" w:cs="Times New Roman"/>
              </w:rPr>
            </w:pPr>
            <w:r w:rsidRPr="003E5B17">
              <w:rPr>
                <w:rFonts w:ascii="Times New Roman" w:hAnsi="Times New Roman" w:cs="Times New Roman"/>
              </w:rPr>
              <w:t>0.2</w:t>
            </w:r>
            <w:r w:rsidR="00D6487F" w:rsidRPr="003E5B17">
              <w:rPr>
                <w:rFonts w:ascii="Times New Roman" w:hAnsi="Times New Roman" w:cs="Times New Roman"/>
              </w:rPr>
              <w:t>4</w:t>
            </w:r>
            <w:r w:rsidR="000E0437" w:rsidRPr="003E5B17">
              <w:rPr>
                <w:rFonts w:ascii="Times New Roman" w:hAnsi="Times New Roman" w:cs="Times New Roman"/>
              </w:rPr>
              <w:t>6</w:t>
            </w:r>
          </w:p>
        </w:tc>
        <w:tc>
          <w:tcPr>
            <w:tcW w:w="1772" w:type="dxa"/>
            <w:tcBorders>
              <w:top w:val="nil"/>
              <w:left w:val="nil"/>
            </w:tcBorders>
          </w:tcPr>
          <w:p w:rsidR="003329B5" w:rsidRPr="003E5B17" w:rsidRDefault="003329B5" w:rsidP="00C2344B">
            <w:pPr>
              <w:jc w:val="center"/>
              <w:rPr>
                <w:rFonts w:ascii="Times New Roman" w:hAnsi="Times New Roman" w:cs="Times New Roman"/>
              </w:rPr>
            </w:pPr>
            <w:r w:rsidRPr="003E5B17">
              <w:rPr>
                <w:rFonts w:ascii="Times New Roman" w:hAnsi="Times New Roman" w:cs="Times New Roman"/>
              </w:rPr>
              <w:t>0.</w:t>
            </w:r>
            <w:r w:rsidR="000E0437" w:rsidRPr="003E5B17">
              <w:rPr>
                <w:rFonts w:ascii="Times New Roman" w:hAnsi="Times New Roman" w:cs="Times New Roman"/>
              </w:rPr>
              <w:t>24</w:t>
            </w:r>
            <w:r w:rsidR="00EF047E" w:rsidRPr="003E5B17">
              <w:rPr>
                <w:rFonts w:ascii="Times New Roman" w:hAnsi="Times New Roman" w:cs="Times New Roman"/>
              </w:rPr>
              <w:t>9</w:t>
            </w:r>
          </w:p>
        </w:tc>
      </w:tr>
    </w:tbl>
    <w:p w:rsidR="00733C5C" w:rsidRPr="003E5B17" w:rsidRDefault="00733C5C" w:rsidP="00C2344B">
      <w:pPr>
        <w:jc w:val="both"/>
        <w:rPr>
          <w:rFonts w:ascii="Times New Roman" w:hAnsi="Times New Roman" w:cs="Times New Roman"/>
        </w:rPr>
      </w:pPr>
    </w:p>
    <w:p w:rsidR="00D23358" w:rsidRPr="003E5B17" w:rsidRDefault="00ED7EFF" w:rsidP="00C2344B">
      <w:pPr>
        <w:jc w:val="both"/>
        <w:rPr>
          <w:rFonts w:ascii="Times New Roman" w:hAnsi="Times New Roman" w:cs="Times New Roman"/>
        </w:rPr>
      </w:pPr>
      <w:r w:rsidRPr="003E5B17">
        <w:rPr>
          <w:rFonts w:ascii="Times New Roman" w:hAnsi="Times New Roman" w:cs="Times New Roman"/>
        </w:rPr>
        <w:t>After one quarter, about 20 percent of an exchange rate shock had been passed on to import pri</w:t>
      </w:r>
      <w:r w:rsidR="00FA00B4" w:rsidRPr="003E5B17">
        <w:rPr>
          <w:rFonts w:ascii="Times New Roman" w:hAnsi="Times New Roman" w:cs="Times New Roman"/>
        </w:rPr>
        <w:t>ces, and after four quarters, 5</w:t>
      </w:r>
      <w:r w:rsidR="000E0437" w:rsidRPr="003E5B17">
        <w:rPr>
          <w:rFonts w:ascii="Times New Roman" w:hAnsi="Times New Roman" w:cs="Times New Roman"/>
        </w:rPr>
        <w:t>6</w:t>
      </w:r>
      <w:r w:rsidRPr="003E5B17">
        <w:rPr>
          <w:rFonts w:ascii="Times New Roman" w:hAnsi="Times New Roman" w:cs="Times New Roman"/>
        </w:rPr>
        <w:t xml:space="preserve"> percent had been passed on. On the other ha</w:t>
      </w:r>
      <w:r w:rsidR="000E0437" w:rsidRPr="003E5B17">
        <w:rPr>
          <w:rFonts w:ascii="Times New Roman" w:hAnsi="Times New Roman" w:cs="Times New Roman"/>
        </w:rPr>
        <w:t>nd, after four quarters, only 23</w:t>
      </w:r>
      <w:r w:rsidRPr="003E5B17">
        <w:rPr>
          <w:rFonts w:ascii="Times New Roman" w:hAnsi="Times New Roman" w:cs="Times New Roman"/>
        </w:rPr>
        <w:t xml:space="preserve"> percent of an exchange rate change had been passed on to domestic prices in South Africa. </w:t>
      </w:r>
      <w:r w:rsidR="00FA00B4" w:rsidRPr="003E5B17">
        <w:rPr>
          <w:rFonts w:ascii="Times New Roman" w:hAnsi="Times New Roman" w:cs="Times New Roman"/>
        </w:rPr>
        <w:t xml:space="preserve">In the short run, consumer prices respond only gradually to exchange rate changes and </w:t>
      </w:r>
      <w:r w:rsidR="000E0437" w:rsidRPr="003E5B17">
        <w:rPr>
          <w:rFonts w:ascii="Times New Roman" w:hAnsi="Times New Roman" w:cs="Times New Roman"/>
        </w:rPr>
        <w:t>It is observed that less than 24</w:t>
      </w:r>
      <w:r w:rsidRPr="003E5B17">
        <w:rPr>
          <w:rFonts w:ascii="Times New Roman" w:hAnsi="Times New Roman" w:cs="Times New Roman"/>
        </w:rPr>
        <w:t xml:space="preserve"> percent of an exchange rate shock is passed on to consumer prices in the long run. </w:t>
      </w:r>
    </w:p>
    <w:p w:rsidR="00D23358" w:rsidRPr="003E5B17" w:rsidRDefault="00D23358" w:rsidP="00C2344B">
      <w:pPr>
        <w:jc w:val="both"/>
        <w:rPr>
          <w:rFonts w:ascii="Times New Roman" w:hAnsi="Times New Roman" w:cs="Times New Roman"/>
          <w:b/>
        </w:rPr>
      </w:pPr>
    </w:p>
    <w:p w:rsidR="00FA00B4" w:rsidRPr="003E5B17" w:rsidRDefault="00FA00B4" w:rsidP="00C2344B">
      <w:pPr>
        <w:jc w:val="both"/>
        <w:rPr>
          <w:rFonts w:ascii="Times New Roman" w:hAnsi="Times New Roman" w:cs="Times New Roman"/>
        </w:rPr>
      </w:pPr>
      <w:r w:rsidRPr="003E5B17">
        <w:rPr>
          <w:rFonts w:ascii="Times New Roman" w:hAnsi="Times New Roman" w:cs="Times New Roman"/>
        </w:rPr>
        <w:t>Figure 2: Response of Domestic Price Indices to a One Percent Exchange Rate Shock</w:t>
      </w:r>
    </w:p>
    <w:p w:rsidR="00733C5C" w:rsidRPr="00C2344B" w:rsidRDefault="00EF047E" w:rsidP="00C2344B">
      <w:pPr>
        <w:jc w:val="both"/>
        <w:rPr>
          <w:rFonts w:ascii="Times New Roman" w:hAnsi="Times New Roman" w:cs="Times New Roman"/>
          <w:sz w:val="22"/>
          <w:szCs w:val="22"/>
        </w:rPr>
      </w:pPr>
      <w:r w:rsidRPr="00C2344B">
        <w:rPr>
          <w:rFonts w:ascii="Times New Roman" w:hAnsi="Times New Roman" w:cs="Times New Roman"/>
          <w:noProof/>
          <w:sz w:val="22"/>
          <w:szCs w:val="22"/>
        </w:rPr>
        <w:lastRenderedPageBreak/>
        <w:drawing>
          <wp:inline distT="0" distB="0" distL="0" distR="0">
            <wp:extent cx="5486400" cy="2809671"/>
            <wp:effectExtent l="0" t="0" r="0" b="1016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bookmarkStart w:id="6" w:name="_Toc449580285"/>
    </w:p>
    <w:p w:rsidR="00071922" w:rsidRDefault="00071922" w:rsidP="00C2344B">
      <w:pPr>
        <w:pStyle w:val="Heading2"/>
        <w:spacing w:before="0" w:beforeAutospacing="0" w:after="0" w:afterAutospacing="0"/>
        <w:rPr>
          <w:sz w:val="22"/>
          <w:szCs w:val="22"/>
        </w:rPr>
      </w:pPr>
    </w:p>
    <w:p w:rsidR="003E5B17" w:rsidRDefault="003E5B17" w:rsidP="00C2344B">
      <w:pPr>
        <w:pStyle w:val="Heading2"/>
        <w:spacing w:before="0" w:beforeAutospacing="0" w:after="0" w:afterAutospacing="0"/>
        <w:rPr>
          <w:sz w:val="22"/>
          <w:szCs w:val="22"/>
        </w:rPr>
      </w:pPr>
    </w:p>
    <w:p w:rsidR="00F64FCE" w:rsidRPr="003E5B17" w:rsidRDefault="0090184F" w:rsidP="00C2344B">
      <w:pPr>
        <w:pStyle w:val="Heading2"/>
        <w:spacing w:before="0" w:beforeAutospacing="0" w:after="0" w:afterAutospacing="0"/>
        <w:rPr>
          <w:sz w:val="24"/>
          <w:szCs w:val="24"/>
        </w:rPr>
      </w:pPr>
      <w:r w:rsidRPr="003E5B17">
        <w:rPr>
          <w:sz w:val="24"/>
          <w:szCs w:val="24"/>
        </w:rPr>
        <w:t>VII.</w:t>
      </w:r>
      <w:r w:rsidRPr="003E5B17">
        <w:rPr>
          <w:sz w:val="24"/>
          <w:szCs w:val="24"/>
        </w:rPr>
        <w:tab/>
      </w:r>
      <w:r w:rsidR="00ED7EFF" w:rsidRPr="003E5B17">
        <w:rPr>
          <w:sz w:val="24"/>
          <w:szCs w:val="24"/>
        </w:rPr>
        <w:t>Conclusion</w:t>
      </w:r>
      <w:bookmarkEnd w:id="6"/>
    </w:p>
    <w:p w:rsidR="003E5B17" w:rsidRPr="003E5B17" w:rsidRDefault="003E5B17" w:rsidP="00C2344B">
      <w:pPr>
        <w:jc w:val="both"/>
        <w:rPr>
          <w:rFonts w:ascii="Times New Roman" w:hAnsi="Times New Roman" w:cs="Times New Roman"/>
        </w:rPr>
      </w:pPr>
    </w:p>
    <w:p w:rsidR="00AB7110" w:rsidRPr="003E5B17" w:rsidRDefault="00AB7110" w:rsidP="00C2344B">
      <w:pPr>
        <w:jc w:val="both"/>
        <w:rPr>
          <w:rFonts w:ascii="Times New Roman" w:hAnsi="Times New Roman" w:cs="Times New Roman"/>
          <w:lang w:bidi="he-IL"/>
        </w:rPr>
      </w:pPr>
      <w:r w:rsidRPr="003E5B17">
        <w:rPr>
          <w:rFonts w:ascii="Times New Roman" w:hAnsi="Times New Roman" w:cs="Times New Roman"/>
        </w:rPr>
        <w:t>This paper researched the impact of inflation targeting on exchange rate pass-through to domestic prices in South Africa using qu</w:t>
      </w:r>
      <w:r w:rsidR="00B00B56">
        <w:rPr>
          <w:rFonts w:ascii="Times New Roman" w:hAnsi="Times New Roman" w:cs="Times New Roman"/>
        </w:rPr>
        <w:t>arterly data from 1970q1 to 2015</w:t>
      </w:r>
      <w:r w:rsidRPr="003E5B17">
        <w:rPr>
          <w:rFonts w:ascii="Times New Roman" w:hAnsi="Times New Roman" w:cs="Times New Roman"/>
        </w:rPr>
        <w:t xml:space="preserve">q4.  Applying a VAR model, the results show that inflation targeting has significant impacts on the movements of inflation, output and the exchange rate. The pass-through to consumer prices decreased and there also was a reduction in the influence of foreign producer costs on imports prices after the adoption of inflation targeting. </w:t>
      </w:r>
      <w:r w:rsidRPr="003E5B17">
        <w:rPr>
          <w:rFonts w:ascii="Times New Roman" w:hAnsi="Times New Roman" w:cs="Times New Roman"/>
          <w:lang w:bidi="he-IL"/>
        </w:rPr>
        <w:t>The decrease in pass-through effect may imply that after the adoption of inflation targeting in South Africa, retailing firms that import goods from abroad absorb a larger fraction of an exchange rate shock through a smaller variation in their selling prices. So also, firms that import their inputs from abroad absorb a larger fraction of an exchange rate shock through a smaller variation in the prices of their final products.</w:t>
      </w:r>
    </w:p>
    <w:p w:rsidR="00733C5C" w:rsidRPr="003E5B17" w:rsidRDefault="00733C5C" w:rsidP="00C2344B">
      <w:pPr>
        <w:jc w:val="both"/>
        <w:rPr>
          <w:rFonts w:ascii="Times New Roman" w:hAnsi="Times New Roman" w:cs="Times New Roman"/>
          <w:lang w:bidi="he-IL"/>
        </w:rPr>
      </w:pPr>
    </w:p>
    <w:p w:rsidR="00ED7EFF" w:rsidRPr="003E5B17" w:rsidRDefault="00ED7EFF" w:rsidP="00C2344B">
      <w:pPr>
        <w:jc w:val="both"/>
        <w:rPr>
          <w:rFonts w:ascii="Times New Roman" w:hAnsi="Times New Roman" w:cs="Times New Roman"/>
        </w:rPr>
      </w:pPr>
      <w:r w:rsidRPr="003E5B17">
        <w:rPr>
          <w:rFonts w:ascii="Times New Roman" w:hAnsi="Times New Roman" w:cs="Times New Roman"/>
        </w:rPr>
        <w:t xml:space="preserve">Further, the results suggest that the South African Reserve Bank's commitment to low inflation is an important factor in achieving desired levels of exchange rate pass-through and volatility. In fact, the adoption of the IT framework continues to strengthen the SARB's mandate to focus on price stability. To achieve its objective, the Bank may also have to resort to foreign exchange intervention and capital controls in response to exchange rate shocks </w:t>
      </w:r>
      <w:proofErr w:type="gramStart"/>
      <w:r w:rsidRPr="003E5B17">
        <w:rPr>
          <w:rFonts w:ascii="Times New Roman" w:hAnsi="Times New Roman" w:cs="Times New Roman"/>
        </w:rPr>
        <w:t>so as to</w:t>
      </w:r>
      <w:proofErr w:type="gramEnd"/>
      <w:r w:rsidRPr="003E5B17">
        <w:rPr>
          <w:rFonts w:ascii="Times New Roman" w:hAnsi="Times New Roman" w:cs="Times New Roman"/>
        </w:rPr>
        <w:t xml:space="preserve"> mitigate the impact of exchange rate pass-through effects on inflation and also to reduce exchange rate volatility. The recent increase in the inflation rate may suggest that the SARB has become more tolerant toward higher levels of inflation to better support economic activity in the face of an extremely challenging global environment.</w:t>
      </w:r>
    </w:p>
    <w:p w:rsidR="00ED7EFF" w:rsidRDefault="00ED7EFF" w:rsidP="00C2344B">
      <w:pPr>
        <w:pStyle w:val="Heading2"/>
        <w:spacing w:before="0" w:beforeAutospacing="0" w:after="0" w:afterAutospacing="0"/>
        <w:rPr>
          <w:b w:val="0"/>
          <w:bCs w:val="0"/>
          <w:sz w:val="22"/>
          <w:szCs w:val="22"/>
          <w:u w:val="single"/>
          <w:lang w:bidi="he-IL"/>
        </w:rPr>
      </w:pPr>
    </w:p>
    <w:p w:rsidR="00204215" w:rsidRDefault="00204215">
      <w:pPr>
        <w:rPr>
          <w:rFonts w:ascii="Times New Roman" w:eastAsia="Times New Roman" w:hAnsi="Times New Roman" w:cs="Times New Roman"/>
          <w:sz w:val="22"/>
          <w:szCs w:val="22"/>
          <w:u w:val="single"/>
          <w:lang w:bidi="he-IL"/>
        </w:rPr>
      </w:pPr>
      <w:r>
        <w:rPr>
          <w:b/>
          <w:bCs/>
          <w:sz w:val="22"/>
          <w:szCs w:val="22"/>
          <w:u w:val="single"/>
          <w:lang w:bidi="he-IL"/>
        </w:rPr>
        <w:br w:type="page"/>
      </w:r>
    </w:p>
    <w:p w:rsidR="00204215" w:rsidRPr="00C2344B" w:rsidRDefault="00204215" w:rsidP="00C2344B">
      <w:pPr>
        <w:pStyle w:val="Heading2"/>
        <w:spacing w:before="0" w:beforeAutospacing="0" w:after="0" w:afterAutospacing="0"/>
        <w:rPr>
          <w:b w:val="0"/>
          <w:bCs w:val="0"/>
          <w:sz w:val="22"/>
          <w:szCs w:val="22"/>
          <w:u w:val="single"/>
          <w:lang w:bidi="he-IL"/>
        </w:rPr>
      </w:pPr>
    </w:p>
    <w:p w:rsidR="00ED7EFF" w:rsidRPr="003E5B17" w:rsidRDefault="00ED7EFF" w:rsidP="00C2344B">
      <w:pPr>
        <w:pStyle w:val="Heading2"/>
        <w:spacing w:before="0" w:beforeAutospacing="0" w:after="0" w:afterAutospacing="0"/>
        <w:rPr>
          <w:b w:val="0"/>
          <w:bCs w:val="0"/>
          <w:sz w:val="24"/>
          <w:szCs w:val="24"/>
          <w:u w:val="single"/>
        </w:rPr>
      </w:pPr>
      <w:bookmarkStart w:id="7" w:name="_Toc449580290"/>
      <w:r w:rsidRPr="003E5B17">
        <w:rPr>
          <w:sz w:val="24"/>
          <w:szCs w:val="24"/>
        </w:rPr>
        <w:t>References</w:t>
      </w:r>
      <w:bookmarkEnd w:id="7"/>
    </w:p>
    <w:p w:rsidR="003E5B17" w:rsidRPr="003E5B17" w:rsidRDefault="003E5B17" w:rsidP="00C2344B">
      <w:pPr>
        <w:autoSpaceDE w:val="0"/>
        <w:autoSpaceDN w:val="0"/>
        <w:adjustRightInd w:val="0"/>
        <w:jc w:val="both"/>
        <w:rPr>
          <w:rFonts w:ascii="Times New Roman" w:hAnsi="Times New Roman" w:cs="Times New Roman"/>
          <w:lang w:bidi="he-IL"/>
        </w:rPr>
      </w:pPr>
    </w:p>
    <w:p w:rsidR="00ED7EFF" w:rsidRPr="003E5B17" w:rsidRDefault="00D834B8" w:rsidP="00C2344B">
      <w:pPr>
        <w:autoSpaceDE w:val="0"/>
        <w:autoSpaceDN w:val="0"/>
        <w:adjustRightInd w:val="0"/>
        <w:jc w:val="both"/>
        <w:rPr>
          <w:rFonts w:ascii="Times New Roman" w:hAnsi="Times New Roman" w:cs="Times New Roman"/>
        </w:rPr>
      </w:pPr>
      <w:proofErr w:type="spellStart"/>
      <w:r w:rsidRPr="003E5B17">
        <w:rPr>
          <w:rFonts w:ascii="Times New Roman" w:hAnsi="Times New Roman" w:cs="Times New Roman"/>
          <w:lang w:bidi="he-IL"/>
        </w:rPr>
        <w:t>Akofio-Sowah</w:t>
      </w:r>
      <w:proofErr w:type="spellEnd"/>
      <w:r w:rsidRPr="003E5B17">
        <w:rPr>
          <w:rFonts w:ascii="Times New Roman" w:hAnsi="Times New Roman" w:cs="Times New Roman"/>
          <w:lang w:bidi="he-IL"/>
        </w:rPr>
        <w:t xml:space="preserve">, </w:t>
      </w:r>
      <w:proofErr w:type="spellStart"/>
      <w:r w:rsidRPr="003E5B17">
        <w:rPr>
          <w:rFonts w:ascii="Times New Roman" w:hAnsi="Times New Roman" w:cs="Times New Roman"/>
          <w:lang w:bidi="he-IL"/>
        </w:rPr>
        <w:t>Naa</w:t>
      </w:r>
      <w:proofErr w:type="spellEnd"/>
      <w:r w:rsidRPr="003E5B17">
        <w:rPr>
          <w:rFonts w:ascii="Times New Roman" w:hAnsi="Times New Roman" w:cs="Times New Roman"/>
          <w:lang w:bidi="he-IL"/>
        </w:rPr>
        <w:t xml:space="preserve"> A.</w:t>
      </w:r>
      <w:r w:rsidR="00ED7EFF" w:rsidRPr="003E5B17">
        <w:rPr>
          <w:rFonts w:ascii="Times New Roman" w:hAnsi="Times New Roman" w:cs="Times New Roman"/>
          <w:lang w:bidi="he-IL"/>
        </w:rPr>
        <w:t xml:space="preserve"> (2009) Is There a Link Between Exchange Rate Pass-Through and the Monetary Regime: Evidence from Sub-Saharan Africa and Latin America </w:t>
      </w:r>
      <w:r w:rsidR="00ED7EFF" w:rsidRPr="003E5B17">
        <w:rPr>
          <w:rFonts w:ascii="Times New Roman" w:hAnsi="Times New Roman" w:cs="Times New Roman"/>
          <w:i/>
          <w:iCs/>
          <w:lang w:bidi="he-IL"/>
        </w:rPr>
        <w:t>International Advances in Economic Research</w:t>
      </w:r>
      <w:r w:rsidR="000C672C" w:rsidRPr="003E5B17">
        <w:rPr>
          <w:rFonts w:ascii="Times New Roman" w:hAnsi="Times New Roman" w:cs="Times New Roman"/>
          <w:lang w:bidi="he-IL"/>
        </w:rPr>
        <w:t xml:space="preserve"> 15:3, 296-</w:t>
      </w:r>
      <w:r w:rsidR="00ED7EFF" w:rsidRPr="003E5B17">
        <w:rPr>
          <w:rFonts w:ascii="Times New Roman" w:hAnsi="Times New Roman" w:cs="Times New Roman"/>
          <w:lang w:bidi="he-IL"/>
        </w:rPr>
        <w:t>309.</w:t>
      </w:r>
    </w:p>
    <w:p w:rsidR="00ED7EFF" w:rsidRPr="003E5B17" w:rsidRDefault="00ED7EFF" w:rsidP="00C2344B">
      <w:pPr>
        <w:jc w:val="both"/>
        <w:outlineLvl w:val="0"/>
        <w:rPr>
          <w:rFonts w:ascii="Times New Roman" w:hAnsi="Times New Roman" w:cs="Times New Roman"/>
        </w:rPr>
      </w:pPr>
    </w:p>
    <w:p w:rsidR="00ED7EFF" w:rsidRPr="003E5B17" w:rsidRDefault="00ED7EFF" w:rsidP="00C2344B">
      <w:pPr>
        <w:jc w:val="both"/>
        <w:rPr>
          <w:rFonts w:ascii="Times New Roman" w:hAnsi="Times New Roman" w:cs="Times New Roman"/>
        </w:rPr>
      </w:pPr>
      <w:proofErr w:type="spellStart"/>
      <w:r w:rsidRPr="003E5B17">
        <w:rPr>
          <w:rFonts w:ascii="Times New Roman" w:hAnsi="Times New Roman" w:cs="Times New Roman"/>
        </w:rPr>
        <w:t>Athukorala</w:t>
      </w:r>
      <w:proofErr w:type="spellEnd"/>
      <w:r w:rsidRPr="003E5B17">
        <w:rPr>
          <w:rFonts w:ascii="Times New Roman" w:hAnsi="Times New Roman" w:cs="Times New Roman"/>
        </w:rPr>
        <w:t xml:space="preserve">, P. and Menon, J. (1994) Pricing to Market Behavior and Exchange Rate Pass-Through in Japanese Exports </w:t>
      </w:r>
      <w:r w:rsidRPr="003E5B17">
        <w:rPr>
          <w:rFonts w:ascii="Times New Roman" w:hAnsi="Times New Roman" w:cs="Times New Roman"/>
          <w:i/>
        </w:rPr>
        <w:t>Economic Journal</w:t>
      </w:r>
      <w:r w:rsidRPr="003E5B17">
        <w:rPr>
          <w:rFonts w:ascii="Times New Roman" w:hAnsi="Times New Roman" w:cs="Times New Roman"/>
        </w:rPr>
        <w:t xml:space="preserve"> 104:423</w:t>
      </w:r>
      <w:r w:rsidR="000C672C" w:rsidRPr="003E5B17">
        <w:rPr>
          <w:rFonts w:ascii="Times New Roman" w:hAnsi="Times New Roman" w:cs="Times New Roman"/>
        </w:rPr>
        <w:t>, 271-</w:t>
      </w:r>
      <w:r w:rsidRPr="003E5B17">
        <w:rPr>
          <w:rFonts w:ascii="Times New Roman" w:hAnsi="Times New Roman" w:cs="Times New Roman"/>
        </w:rPr>
        <w:t>281.</w:t>
      </w:r>
    </w:p>
    <w:p w:rsidR="00ED7EFF" w:rsidRPr="003E5B17" w:rsidRDefault="00ED7EFF" w:rsidP="00C2344B">
      <w:pPr>
        <w:jc w:val="both"/>
        <w:rPr>
          <w:rFonts w:ascii="Times New Roman" w:hAnsi="Times New Roman" w:cs="Times New Roman"/>
        </w:rPr>
      </w:pPr>
    </w:p>
    <w:p w:rsidR="00ED7EFF" w:rsidRPr="003E5B17" w:rsidRDefault="00D834B8" w:rsidP="00C2344B">
      <w:pPr>
        <w:autoSpaceDE w:val="0"/>
        <w:autoSpaceDN w:val="0"/>
        <w:adjustRightInd w:val="0"/>
        <w:jc w:val="both"/>
        <w:rPr>
          <w:rFonts w:ascii="Times New Roman" w:hAnsi="Times New Roman" w:cs="Times New Roman"/>
        </w:rPr>
      </w:pPr>
      <w:r w:rsidRPr="003E5B17">
        <w:rPr>
          <w:rFonts w:ascii="Times New Roman" w:hAnsi="Times New Roman" w:cs="Times New Roman"/>
          <w:lang w:bidi="he-IL"/>
        </w:rPr>
        <w:t>Atta, J.</w:t>
      </w:r>
      <w:r w:rsidR="00ED7EFF" w:rsidRPr="003E5B17">
        <w:rPr>
          <w:rFonts w:ascii="Times New Roman" w:hAnsi="Times New Roman" w:cs="Times New Roman"/>
          <w:lang w:bidi="he-IL"/>
        </w:rPr>
        <w:t>K</w:t>
      </w:r>
      <w:r w:rsidRPr="003E5B17">
        <w:rPr>
          <w:rFonts w:ascii="Times New Roman" w:hAnsi="Times New Roman" w:cs="Times New Roman"/>
          <w:lang w:bidi="he-IL"/>
        </w:rPr>
        <w:t>.</w:t>
      </w:r>
      <w:r w:rsidR="00ED7EFF" w:rsidRPr="003E5B17">
        <w:rPr>
          <w:rFonts w:ascii="Times New Roman" w:hAnsi="Times New Roman" w:cs="Times New Roman"/>
          <w:lang w:bidi="he-IL"/>
        </w:rPr>
        <w:t xml:space="preserve">, </w:t>
      </w:r>
      <w:proofErr w:type="spellStart"/>
      <w:r w:rsidR="00ED7EFF" w:rsidRPr="003E5B17">
        <w:rPr>
          <w:rFonts w:ascii="Times New Roman" w:hAnsi="Times New Roman" w:cs="Times New Roman"/>
          <w:lang w:bidi="he-IL"/>
        </w:rPr>
        <w:t>Jefferis</w:t>
      </w:r>
      <w:proofErr w:type="spellEnd"/>
      <w:r w:rsidR="00ED7EFF" w:rsidRPr="003E5B17">
        <w:rPr>
          <w:rFonts w:ascii="Times New Roman" w:hAnsi="Times New Roman" w:cs="Times New Roman"/>
          <w:lang w:bidi="he-IL"/>
        </w:rPr>
        <w:t xml:space="preserve">, K.R and </w:t>
      </w:r>
      <w:proofErr w:type="spellStart"/>
      <w:r w:rsidR="00ED7EFF" w:rsidRPr="003E5B17">
        <w:rPr>
          <w:rFonts w:ascii="Times New Roman" w:hAnsi="Times New Roman" w:cs="Times New Roman"/>
          <w:lang w:bidi="he-IL"/>
        </w:rPr>
        <w:t>Mannathoko</w:t>
      </w:r>
      <w:proofErr w:type="spellEnd"/>
      <w:r w:rsidR="00ED7EFF" w:rsidRPr="003E5B17">
        <w:rPr>
          <w:rFonts w:ascii="Times New Roman" w:hAnsi="Times New Roman" w:cs="Times New Roman"/>
          <w:lang w:bidi="he-IL"/>
        </w:rPr>
        <w:t xml:space="preserve">, I. (1996) Small Country Experiences with Exchange Rates and Inflation: The Case of Botswana. </w:t>
      </w:r>
      <w:r w:rsidR="00ED7EFF" w:rsidRPr="003E5B17">
        <w:rPr>
          <w:rFonts w:ascii="Times New Roman" w:hAnsi="Times New Roman" w:cs="Times New Roman"/>
          <w:i/>
          <w:iCs/>
          <w:lang w:bidi="he-IL"/>
        </w:rPr>
        <w:t xml:space="preserve">Journal of African Economies </w:t>
      </w:r>
      <w:r w:rsidR="000C672C" w:rsidRPr="003E5B17">
        <w:rPr>
          <w:rFonts w:ascii="Times New Roman" w:hAnsi="Times New Roman" w:cs="Times New Roman"/>
          <w:iCs/>
          <w:lang w:bidi="he-IL"/>
        </w:rPr>
        <w:t>5:2, 293-</w:t>
      </w:r>
      <w:r w:rsidR="00ED7EFF" w:rsidRPr="003E5B17">
        <w:rPr>
          <w:rFonts w:ascii="Times New Roman" w:hAnsi="Times New Roman" w:cs="Times New Roman"/>
          <w:iCs/>
          <w:lang w:bidi="he-IL"/>
        </w:rPr>
        <w:t xml:space="preserve">326. </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 xml:space="preserve">Ball, L. and Sheridan, N. (2005) Does Inflation Targeting Matter? In </w:t>
      </w:r>
      <w:proofErr w:type="gramStart"/>
      <w:r w:rsidRPr="003E5B17">
        <w:rPr>
          <w:rFonts w:ascii="Times New Roman" w:hAnsi="Times New Roman" w:cs="Times New Roman"/>
          <w:i/>
          <w:iCs/>
          <w:lang w:bidi="he-IL"/>
        </w:rPr>
        <w:t>The</w:t>
      </w:r>
      <w:proofErr w:type="gramEnd"/>
      <w:r w:rsidRPr="003E5B17">
        <w:rPr>
          <w:rFonts w:ascii="Times New Roman" w:hAnsi="Times New Roman" w:cs="Times New Roman"/>
          <w:i/>
          <w:iCs/>
          <w:lang w:bidi="he-IL"/>
        </w:rPr>
        <w:t xml:space="preserve"> Inflation-Targeting Debate</w:t>
      </w:r>
      <w:r w:rsidRPr="003E5B17">
        <w:rPr>
          <w:rFonts w:ascii="Times New Roman" w:hAnsi="Times New Roman" w:cs="Times New Roman"/>
          <w:lang w:bidi="he-IL"/>
        </w:rPr>
        <w:t>, edited by B. S</w:t>
      </w:r>
      <w:r w:rsidR="000C672C" w:rsidRPr="003E5B17">
        <w:rPr>
          <w:rFonts w:ascii="Times New Roman" w:hAnsi="Times New Roman" w:cs="Times New Roman"/>
          <w:lang w:bidi="he-IL"/>
        </w:rPr>
        <w:t>. Bernanke and M. Woodford, pp. 249-</w:t>
      </w:r>
      <w:r w:rsidRPr="003E5B17">
        <w:rPr>
          <w:rFonts w:ascii="Times New Roman" w:hAnsi="Times New Roman" w:cs="Times New Roman"/>
          <w:lang w:bidi="he-IL"/>
        </w:rPr>
        <w:t>276. University of Chicago Press.</w:t>
      </w:r>
    </w:p>
    <w:p w:rsidR="00FA00B4" w:rsidRPr="003E5B17" w:rsidRDefault="00FA00B4" w:rsidP="00C2344B">
      <w:pPr>
        <w:autoSpaceDE w:val="0"/>
        <w:autoSpaceDN w:val="0"/>
        <w:adjustRightInd w:val="0"/>
        <w:jc w:val="both"/>
        <w:rPr>
          <w:rFonts w:ascii="Times New Roman" w:hAnsi="Times New Roman" w:cs="Times New Roman"/>
          <w:lang w:bidi="he-IL"/>
        </w:rPr>
      </w:pPr>
    </w:p>
    <w:p w:rsidR="00ED7EFF" w:rsidRPr="003E5B17" w:rsidRDefault="00031D22"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Bernanke, Ben S.</w:t>
      </w:r>
      <w:r w:rsidR="00ED7EFF" w:rsidRPr="003E5B17">
        <w:rPr>
          <w:rFonts w:ascii="Times New Roman" w:hAnsi="Times New Roman" w:cs="Times New Roman"/>
          <w:lang w:bidi="he-IL"/>
        </w:rPr>
        <w:t xml:space="preserve"> and Mishkin, Frederic S. (1997) Inflation Targeting: A New Framework for Monetary Policy? </w:t>
      </w:r>
      <w:r w:rsidR="00ED7EFF" w:rsidRPr="003E5B17">
        <w:rPr>
          <w:rFonts w:ascii="Times New Roman" w:hAnsi="Times New Roman" w:cs="Times New Roman"/>
          <w:i/>
          <w:iCs/>
          <w:lang w:bidi="he-IL"/>
        </w:rPr>
        <w:t xml:space="preserve">Journal of Economic Perspectives </w:t>
      </w:r>
      <w:r w:rsidR="000C672C" w:rsidRPr="003E5B17">
        <w:rPr>
          <w:rFonts w:ascii="Times New Roman" w:hAnsi="Times New Roman" w:cs="Times New Roman"/>
          <w:lang w:bidi="he-IL"/>
        </w:rPr>
        <w:t>11:2, 97-</w:t>
      </w:r>
      <w:r w:rsidR="00ED7EFF" w:rsidRPr="003E5B17">
        <w:rPr>
          <w:rFonts w:ascii="Times New Roman" w:hAnsi="Times New Roman" w:cs="Times New Roman"/>
          <w:lang w:bidi="he-IL"/>
        </w:rPr>
        <w:t xml:space="preserve">116. </w:t>
      </w:r>
    </w:p>
    <w:p w:rsidR="00FA00B4" w:rsidRPr="003E5B17" w:rsidRDefault="00FA00B4" w:rsidP="00C2344B">
      <w:pPr>
        <w:autoSpaceDE w:val="0"/>
        <w:autoSpaceDN w:val="0"/>
        <w:adjustRightInd w:val="0"/>
        <w:jc w:val="both"/>
        <w:rPr>
          <w:rFonts w:ascii="Times New Roman" w:hAnsi="Times New Roman" w:cs="Times New Roman"/>
          <w:lang w:bidi="he-IL"/>
        </w:rPr>
      </w:pPr>
    </w:p>
    <w:p w:rsidR="00ED7EFF" w:rsidRPr="003E5B17" w:rsidRDefault="00ED7EFF" w:rsidP="00C2344B">
      <w:pPr>
        <w:autoSpaceDE w:val="0"/>
        <w:autoSpaceDN w:val="0"/>
        <w:adjustRightInd w:val="0"/>
        <w:jc w:val="both"/>
        <w:rPr>
          <w:rFonts w:ascii="Times New Roman" w:hAnsi="Times New Roman" w:cs="Times New Roman"/>
          <w:lang w:bidi="he-IL"/>
        </w:rPr>
      </w:pPr>
      <w:proofErr w:type="spellStart"/>
      <w:r w:rsidRPr="003E5B17">
        <w:rPr>
          <w:rFonts w:ascii="Times New Roman" w:hAnsi="Times New Roman" w:cs="Times New Roman"/>
          <w:lang w:bidi="he-IL"/>
        </w:rPr>
        <w:t>Bhundia</w:t>
      </w:r>
      <w:proofErr w:type="spellEnd"/>
      <w:r w:rsidRPr="003E5B17">
        <w:rPr>
          <w:rFonts w:ascii="Times New Roman" w:hAnsi="Times New Roman" w:cs="Times New Roman"/>
          <w:lang w:bidi="he-IL"/>
        </w:rPr>
        <w:t xml:space="preserve">, Ashok (2002) An Empirical Investigation of Exchange Rate Pass-Through in South Africa. </w:t>
      </w:r>
      <w:r w:rsidRPr="003E5B17">
        <w:rPr>
          <w:rFonts w:ascii="Times New Roman" w:hAnsi="Times New Roman" w:cs="Times New Roman"/>
          <w:i/>
          <w:lang w:bidi="he-IL"/>
        </w:rPr>
        <w:t>Working Paper</w:t>
      </w:r>
      <w:r w:rsidRPr="003E5B17">
        <w:rPr>
          <w:rFonts w:ascii="Times New Roman" w:hAnsi="Times New Roman" w:cs="Times New Roman"/>
          <w:lang w:bidi="he-IL"/>
        </w:rPr>
        <w:t xml:space="preserve"> 02/165, International Monetary Fund.</w:t>
      </w:r>
    </w:p>
    <w:p w:rsidR="00FA00B4" w:rsidRPr="003E5B17" w:rsidRDefault="00FA00B4" w:rsidP="00C2344B">
      <w:pPr>
        <w:autoSpaceDE w:val="0"/>
        <w:autoSpaceDN w:val="0"/>
        <w:adjustRightInd w:val="0"/>
        <w:jc w:val="both"/>
        <w:rPr>
          <w:rFonts w:ascii="Times New Roman" w:hAnsi="Times New Roman" w:cs="Times New Roman"/>
          <w:lang w:bidi="he-IL"/>
        </w:rPr>
      </w:pPr>
    </w:p>
    <w:p w:rsidR="00ED7EFF" w:rsidRPr="003E5B17" w:rsidRDefault="00ED7EFF" w:rsidP="00C2344B">
      <w:pPr>
        <w:autoSpaceDE w:val="0"/>
        <w:autoSpaceDN w:val="0"/>
        <w:adjustRightInd w:val="0"/>
        <w:jc w:val="both"/>
        <w:rPr>
          <w:rFonts w:ascii="Times New Roman" w:hAnsi="Times New Roman" w:cs="Times New Roman"/>
          <w:lang w:bidi="he-IL"/>
        </w:rPr>
      </w:pPr>
      <w:proofErr w:type="spellStart"/>
      <w:r w:rsidRPr="003E5B17">
        <w:rPr>
          <w:rFonts w:ascii="Times New Roman" w:hAnsi="Times New Roman" w:cs="Times New Roman"/>
          <w:lang w:bidi="he-IL"/>
        </w:rPr>
        <w:t>Campa</w:t>
      </w:r>
      <w:proofErr w:type="spellEnd"/>
      <w:r w:rsidRPr="003E5B17">
        <w:rPr>
          <w:rFonts w:ascii="Times New Roman" w:hAnsi="Times New Roman" w:cs="Times New Roman"/>
          <w:lang w:bidi="he-IL"/>
        </w:rPr>
        <w:t xml:space="preserve">, Jose and Goldberg, Linda (2005) Exchange Rate Pass-Through into Imports Prices. </w:t>
      </w:r>
      <w:r w:rsidRPr="003E5B17">
        <w:rPr>
          <w:rFonts w:ascii="Times New Roman" w:hAnsi="Times New Roman" w:cs="Times New Roman"/>
          <w:i/>
          <w:lang w:bidi="he-IL"/>
        </w:rPr>
        <w:t>Review of Economics and Statistics</w:t>
      </w:r>
      <w:r w:rsidR="000C672C" w:rsidRPr="003E5B17">
        <w:rPr>
          <w:rFonts w:ascii="Times New Roman" w:hAnsi="Times New Roman" w:cs="Times New Roman"/>
          <w:lang w:bidi="he-IL"/>
        </w:rPr>
        <w:t xml:space="preserve"> 87:4, 679-</w:t>
      </w:r>
      <w:r w:rsidRPr="003E5B17">
        <w:rPr>
          <w:rFonts w:ascii="Times New Roman" w:hAnsi="Times New Roman" w:cs="Times New Roman"/>
          <w:lang w:bidi="he-IL"/>
        </w:rPr>
        <w:t xml:space="preserve">690.  </w:t>
      </w:r>
    </w:p>
    <w:p w:rsidR="00FA00B4" w:rsidRPr="003E5B17" w:rsidRDefault="00FA00B4" w:rsidP="00C2344B">
      <w:pPr>
        <w:autoSpaceDE w:val="0"/>
        <w:autoSpaceDN w:val="0"/>
        <w:adjustRightInd w:val="0"/>
        <w:jc w:val="both"/>
        <w:rPr>
          <w:rFonts w:ascii="Times New Roman" w:hAnsi="Times New Roman" w:cs="Times New Roman"/>
          <w:lang w:bidi="he-IL"/>
        </w:rPr>
      </w:pPr>
    </w:p>
    <w:p w:rsidR="00ED7EFF" w:rsidRPr="003E5B17" w:rsidRDefault="00031D22"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 xml:space="preserve">Choi, </w:t>
      </w:r>
      <w:proofErr w:type="spellStart"/>
      <w:r w:rsidRPr="003E5B17">
        <w:rPr>
          <w:rFonts w:ascii="Times New Roman" w:hAnsi="Times New Roman" w:cs="Times New Roman"/>
          <w:lang w:bidi="he-IL"/>
        </w:rPr>
        <w:t>Woon</w:t>
      </w:r>
      <w:proofErr w:type="spellEnd"/>
      <w:r w:rsidRPr="003E5B17">
        <w:rPr>
          <w:rFonts w:ascii="Times New Roman" w:hAnsi="Times New Roman" w:cs="Times New Roman"/>
          <w:lang w:bidi="he-IL"/>
        </w:rPr>
        <w:t xml:space="preserve"> G.</w:t>
      </w:r>
      <w:r w:rsidR="00ED7EFF" w:rsidRPr="003E5B17">
        <w:rPr>
          <w:rFonts w:ascii="Times New Roman" w:hAnsi="Times New Roman" w:cs="Times New Roman"/>
          <w:lang w:bidi="he-IL"/>
        </w:rPr>
        <w:t xml:space="preserve"> and Cook, David (2008) New Keynesian Exchange Rate Pass-Through </w:t>
      </w:r>
      <w:r w:rsidR="00ED7EFF" w:rsidRPr="003E5B17">
        <w:rPr>
          <w:rFonts w:ascii="Times New Roman" w:hAnsi="Times New Roman" w:cs="Times New Roman"/>
          <w:i/>
          <w:lang w:bidi="he-IL"/>
        </w:rPr>
        <w:t xml:space="preserve">Working Paper </w:t>
      </w:r>
      <w:r w:rsidR="00ED7EFF" w:rsidRPr="003E5B17">
        <w:rPr>
          <w:rFonts w:ascii="Times New Roman" w:hAnsi="Times New Roman" w:cs="Times New Roman"/>
          <w:lang w:bidi="he-IL"/>
        </w:rPr>
        <w:t>08/213</w:t>
      </w:r>
      <w:r w:rsidR="00ED7EFF" w:rsidRPr="003E5B17">
        <w:rPr>
          <w:rFonts w:ascii="Times New Roman" w:hAnsi="Times New Roman" w:cs="Times New Roman"/>
          <w:i/>
          <w:lang w:bidi="he-IL"/>
        </w:rPr>
        <w:t>,</w:t>
      </w:r>
      <w:r w:rsidR="00ED7EFF" w:rsidRPr="003E5B17">
        <w:rPr>
          <w:rFonts w:ascii="Times New Roman" w:hAnsi="Times New Roman" w:cs="Times New Roman"/>
          <w:lang w:bidi="he-IL"/>
        </w:rPr>
        <w:t xml:space="preserve"> International Monetary Fund.</w:t>
      </w:r>
    </w:p>
    <w:p w:rsidR="00ED7EFF" w:rsidRPr="003E5B17" w:rsidRDefault="00ED7EFF" w:rsidP="00C2344B">
      <w:pPr>
        <w:autoSpaceDE w:val="0"/>
        <w:autoSpaceDN w:val="0"/>
        <w:adjustRightInd w:val="0"/>
        <w:jc w:val="both"/>
        <w:rPr>
          <w:rFonts w:ascii="Times New Roman" w:hAnsi="Times New Roman" w:cs="Times New Roman"/>
          <w:lang w:bidi="he-IL"/>
        </w:rPr>
      </w:pPr>
    </w:p>
    <w:p w:rsidR="00031D22" w:rsidRPr="003E5B17" w:rsidRDefault="00ED7EFF" w:rsidP="00C2344B">
      <w:pPr>
        <w:autoSpaceDE w:val="0"/>
        <w:autoSpaceDN w:val="0"/>
        <w:adjustRightInd w:val="0"/>
        <w:jc w:val="both"/>
        <w:rPr>
          <w:rFonts w:ascii="Times New Roman" w:hAnsi="Times New Roman" w:cs="Times New Roman"/>
          <w:lang w:val="es-US" w:bidi="he-IL"/>
        </w:rPr>
      </w:pPr>
      <w:proofErr w:type="spellStart"/>
      <w:r w:rsidRPr="003E5B17">
        <w:rPr>
          <w:rFonts w:ascii="Times New Roman" w:hAnsi="Times New Roman" w:cs="Times New Roman"/>
          <w:lang w:bidi="he-IL"/>
        </w:rPr>
        <w:t>Coulibaly</w:t>
      </w:r>
      <w:proofErr w:type="spellEnd"/>
      <w:r w:rsidRPr="003E5B17">
        <w:rPr>
          <w:rFonts w:ascii="Times New Roman" w:hAnsi="Times New Roman" w:cs="Times New Roman"/>
          <w:lang w:bidi="he-IL"/>
        </w:rPr>
        <w:t xml:space="preserve">, D. and </w:t>
      </w:r>
      <w:proofErr w:type="spellStart"/>
      <w:r w:rsidRPr="003E5B17">
        <w:rPr>
          <w:rFonts w:ascii="Times New Roman" w:hAnsi="Times New Roman" w:cs="Times New Roman"/>
          <w:lang w:bidi="he-IL"/>
        </w:rPr>
        <w:t>Kempf</w:t>
      </w:r>
      <w:proofErr w:type="spellEnd"/>
      <w:r w:rsidRPr="003E5B17">
        <w:rPr>
          <w:rFonts w:ascii="Times New Roman" w:hAnsi="Times New Roman" w:cs="Times New Roman"/>
          <w:lang w:bidi="he-IL"/>
        </w:rPr>
        <w:t>, H. (2010) Does Inflation Targeting Decrease Exchange Rate Pass-Through in Emerging Countries</w:t>
      </w:r>
      <w:r w:rsidRPr="003E5B17">
        <w:rPr>
          <w:rFonts w:ascii="Times New Roman" w:hAnsi="Times New Roman" w:cs="Times New Roman"/>
          <w:i/>
          <w:iCs/>
          <w:lang w:bidi="he-IL"/>
        </w:rPr>
        <w:t xml:space="preserve">? </w:t>
      </w:r>
      <w:proofErr w:type="spellStart"/>
      <w:r w:rsidR="00031D22" w:rsidRPr="003E5B17">
        <w:rPr>
          <w:rFonts w:ascii="Times New Roman" w:hAnsi="Times New Roman" w:cs="Times New Roman"/>
          <w:i/>
          <w:iCs/>
          <w:lang w:val="es-US" w:bidi="he-IL"/>
        </w:rPr>
        <w:t>Documents</w:t>
      </w:r>
      <w:proofErr w:type="spellEnd"/>
      <w:r w:rsidR="00031D22" w:rsidRPr="003E5B17">
        <w:rPr>
          <w:rFonts w:ascii="Times New Roman" w:hAnsi="Times New Roman" w:cs="Times New Roman"/>
          <w:i/>
          <w:iCs/>
          <w:lang w:val="es-US" w:bidi="he-IL"/>
        </w:rPr>
        <w:t xml:space="preserve"> de </w:t>
      </w:r>
      <w:proofErr w:type="spellStart"/>
      <w:r w:rsidR="00031D22" w:rsidRPr="003E5B17">
        <w:rPr>
          <w:rFonts w:ascii="Times New Roman" w:hAnsi="Times New Roman" w:cs="Times New Roman"/>
          <w:i/>
          <w:iCs/>
          <w:lang w:val="es-US" w:bidi="he-IL"/>
        </w:rPr>
        <w:t>travail</w:t>
      </w:r>
      <w:proofErr w:type="spellEnd"/>
      <w:r w:rsidR="00031D22" w:rsidRPr="003E5B17">
        <w:rPr>
          <w:rFonts w:ascii="Times New Roman" w:hAnsi="Times New Roman" w:cs="Times New Roman"/>
          <w:i/>
          <w:iCs/>
          <w:lang w:val="es-US" w:bidi="he-IL"/>
        </w:rPr>
        <w:t xml:space="preserve"> du Centre </w:t>
      </w:r>
      <w:proofErr w:type="spellStart"/>
      <w:r w:rsidR="00031D22" w:rsidRPr="003E5B17">
        <w:rPr>
          <w:rFonts w:ascii="Times New Roman" w:hAnsi="Times New Roman" w:cs="Times New Roman"/>
          <w:i/>
          <w:iCs/>
          <w:lang w:val="es-US" w:bidi="he-IL"/>
        </w:rPr>
        <w:t>d'Economie</w:t>
      </w:r>
      <w:proofErr w:type="spellEnd"/>
      <w:r w:rsidR="00031D22" w:rsidRPr="003E5B17">
        <w:rPr>
          <w:rFonts w:ascii="Times New Roman" w:hAnsi="Times New Roman" w:cs="Times New Roman"/>
          <w:i/>
          <w:iCs/>
          <w:lang w:val="es-US" w:bidi="he-IL"/>
        </w:rPr>
        <w:t xml:space="preserve"> de la </w:t>
      </w:r>
      <w:proofErr w:type="spellStart"/>
      <w:r w:rsidR="00031D22" w:rsidRPr="003E5B17">
        <w:rPr>
          <w:rFonts w:ascii="Times New Roman" w:hAnsi="Times New Roman" w:cs="Times New Roman"/>
          <w:i/>
          <w:iCs/>
          <w:lang w:val="es-US" w:bidi="he-IL"/>
        </w:rPr>
        <w:t>Sorbonne</w:t>
      </w:r>
      <w:proofErr w:type="spellEnd"/>
      <w:r w:rsidR="00031D22" w:rsidRPr="003E5B17">
        <w:rPr>
          <w:rFonts w:ascii="Times New Roman" w:hAnsi="Times New Roman" w:cs="Times New Roman"/>
          <w:i/>
          <w:iCs/>
          <w:lang w:val="es-US" w:bidi="he-IL"/>
        </w:rPr>
        <w:t xml:space="preserve"> 10049</w:t>
      </w:r>
      <w:r w:rsidR="00031D22" w:rsidRPr="003E5B17">
        <w:rPr>
          <w:rFonts w:ascii="Times New Roman" w:hAnsi="Times New Roman" w:cs="Times New Roman"/>
          <w:lang w:val="es-US" w:bidi="he-IL"/>
        </w:rPr>
        <w:t xml:space="preserve">, </w:t>
      </w:r>
      <w:proofErr w:type="spellStart"/>
      <w:r w:rsidR="00031D22" w:rsidRPr="003E5B17">
        <w:rPr>
          <w:rFonts w:ascii="Times New Roman" w:hAnsi="Times New Roman" w:cs="Times New Roman"/>
          <w:lang w:val="es-US" w:bidi="he-IL"/>
        </w:rPr>
        <w:t>Université</w:t>
      </w:r>
      <w:proofErr w:type="spellEnd"/>
      <w:r w:rsidR="00031D22" w:rsidRPr="003E5B17">
        <w:rPr>
          <w:rFonts w:ascii="Times New Roman" w:hAnsi="Times New Roman" w:cs="Times New Roman"/>
          <w:lang w:val="es-US" w:bidi="he-IL"/>
        </w:rPr>
        <w:t xml:space="preserve"> </w:t>
      </w:r>
      <w:proofErr w:type="spellStart"/>
      <w:r w:rsidR="00031D22" w:rsidRPr="003E5B17">
        <w:rPr>
          <w:rFonts w:ascii="Times New Roman" w:hAnsi="Times New Roman" w:cs="Times New Roman"/>
          <w:lang w:val="es-US" w:bidi="he-IL"/>
        </w:rPr>
        <w:t>Panthéon-Sorbonne</w:t>
      </w:r>
      <w:proofErr w:type="spellEnd"/>
      <w:r w:rsidR="00031D22" w:rsidRPr="003E5B17">
        <w:rPr>
          <w:rFonts w:ascii="Times New Roman" w:hAnsi="Times New Roman" w:cs="Times New Roman"/>
          <w:lang w:val="es-US" w:bidi="he-IL"/>
        </w:rPr>
        <w:t xml:space="preserve"> (Paris 1), Centre </w:t>
      </w:r>
      <w:proofErr w:type="spellStart"/>
      <w:r w:rsidR="00031D22" w:rsidRPr="003E5B17">
        <w:rPr>
          <w:rFonts w:ascii="Times New Roman" w:hAnsi="Times New Roman" w:cs="Times New Roman"/>
          <w:lang w:val="es-US" w:bidi="he-IL"/>
        </w:rPr>
        <w:t>d'Economie</w:t>
      </w:r>
      <w:proofErr w:type="spellEnd"/>
      <w:r w:rsidR="00031D22" w:rsidRPr="003E5B17">
        <w:rPr>
          <w:rFonts w:ascii="Times New Roman" w:hAnsi="Times New Roman" w:cs="Times New Roman"/>
          <w:lang w:val="es-US" w:bidi="he-IL"/>
        </w:rPr>
        <w:t xml:space="preserve"> de la </w:t>
      </w:r>
      <w:proofErr w:type="spellStart"/>
      <w:r w:rsidR="00031D22" w:rsidRPr="003E5B17">
        <w:rPr>
          <w:rFonts w:ascii="Times New Roman" w:hAnsi="Times New Roman" w:cs="Times New Roman"/>
          <w:lang w:val="es-US" w:bidi="he-IL"/>
        </w:rPr>
        <w:t>Sorbonne</w:t>
      </w:r>
      <w:proofErr w:type="spellEnd"/>
      <w:r w:rsidR="00031D22" w:rsidRPr="003E5B17">
        <w:rPr>
          <w:rFonts w:ascii="Times New Roman" w:hAnsi="Times New Roman" w:cs="Times New Roman"/>
          <w:lang w:val="es-US" w:bidi="he-IL"/>
        </w:rPr>
        <w:t>.</w:t>
      </w:r>
    </w:p>
    <w:p w:rsidR="00031D22" w:rsidRPr="003E5B17" w:rsidRDefault="00031D22" w:rsidP="00C2344B">
      <w:pPr>
        <w:autoSpaceDE w:val="0"/>
        <w:autoSpaceDN w:val="0"/>
        <w:adjustRightInd w:val="0"/>
        <w:jc w:val="both"/>
        <w:rPr>
          <w:rFonts w:ascii="Times New Roman" w:hAnsi="Times New Roman" w:cs="Times New Roman"/>
          <w:lang w:val="es-US" w:bidi="he-IL"/>
        </w:rPr>
      </w:pPr>
    </w:p>
    <w:p w:rsidR="00ED7EFF" w:rsidRPr="003E5B17" w:rsidRDefault="00031D22"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Devereux, M.</w:t>
      </w:r>
      <w:r w:rsidR="00ED7EFF" w:rsidRPr="003E5B17">
        <w:rPr>
          <w:rFonts w:ascii="Times New Roman" w:hAnsi="Times New Roman" w:cs="Times New Roman"/>
          <w:lang w:bidi="he-IL"/>
        </w:rPr>
        <w:t>B. an</w:t>
      </w:r>
      <w:r w:rsidRPr="003E5B17">
        <w:rPr>
          <w:rFonts w:ascii="Times New Roman" w:hAnsi="Times New Roman" w:cs="Times New Roman"/>
          <w:lang w:bidi="he-IL"/>
        </w:rPr>
        <w:t xml:space="preserve">d </w:t>
      </w:r>
      <w:proofErr w:type="spellStart"/>
      <w:r w:rsidRPr="003E5B17">
        <w:rPr>
          <w:rFonts w:ascii="Times New Roman" w:hAnsi="Times New Roman" w:cs="Times New Roman"/>
          <w:lang w:bidi="he-IL"/>
        </w:rPr>
        <w:t>Yetman</w:t>
      </w:r>
      <w:proofErr w:type="spellEnd"/>
      <w:r w:rsidRPr="003E5B17">
        <w:rPr>
          <w:rFonts w:ascii="Times New Roman" w:hAnsi="Times New Roman" w:cs="Times New Roman"/>
          <w:lang w:bidi="he-IL"/>
        </w:rPr>
        <w:t>, J.</w:t>
      </w:r>
      <w:r w:rsidR="00ED7EFF" w:rsidRPr="003E5B17">
        <w:rPr>
          <w:rFonts w:ascii="Times New Roman" w:hAnsi="Times New Roman" w:cs="Times New Roman"/>
          <w:lang w:bidi="he-IL"/>
        </w:rPr>
        <w:t xml:space="preserve"> (2003) Price Setting and Exchange Rate Pass-Through: Theory and Evidence. </w:t>
      </w:r>
      <w:r w:rsidR="00ED7EFF" w:rsidRPr="003E5B17">
        <w:rPr>
          <w:rFonts w:ascii="Times New Roman" w:hAnsi="Times New Roman" w:cs="Times New Roman"/>
          <w:i/>
          <w:lang w:bidi="he-IL"/>
        </w:rPr>
        <w:t>Price Adjustment and Monetary Policy</w:t>
      </w:r>
      <w:r w:rsidR="00ED7EFF" w:rsidRPr="003E5B17">
        <w:rPr>
          <w:rFonts w:ascii="Times New Roman" w:hAnsi="Times New Roman" w:cs="Times New Roman"/>
          <w:lang w:bidi="he-IL"/>
        </w:rPr>
        <w:t xml:space="preserve">. Bank of Canada. </w:t>
      </w:r>
    </w:p>
    <w:p w:rsidR="00ED7EFF" w:rsidRPr="003E5B17" w:rsidRDefault="00ED7EFF"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proofErr w:type="spellStart"/>
      <w:r w:rsidRPr="003E5B17">
        <w:rPr>
          <w:rFonts w:ascii="Times New Roman" w:hAnsi="Times New Roman" w:cs="Times New Roman"/>
        </w:rPr>
        <w:t>Dornbusch</w:t>
      </w:r>
      <w:proofErr w:type="spellEnd"/>
      <w:r w:rsidRPr="003E5B17">
        <w:rPr>
          <w:rFonts w:ascii="Times New Roman" w:hAnsi="Times New Roman" w:cs="Times New Roman"/>
        </w:rPr>
        <w:t xml:space="preserve">, R. (1987) Exchange Rate and Prices.  </w:t>
      </w:r>
      <w:r w:rsidRPr="003E5B17">
        <w:rPr>
          <w:rFonts w:ascii="Times New Roman" w:hAnsi="Times New Roman" w:cs="Times New Roman"/>
          <w:i/>
        </w:rPr>
        <w:t>American Economic Review</w:t>
      </w:r>
      <w:r w:rsidR="00A02FEB" w:rsidRPr="003E5B17">
        <w:rPr>
          <w:rFonts w:ascii="Times New Roman" w:hAnsi="Times New Roman" w:cs="Times New Roman"/>
        </w:rPr>
        <w:t xml:space="preserve"> 77:1, 93-</w:t>
      </w:r>
      <w:r w:rsidRPr="003E5B17">
        <w:rPr>
          <w:rFonts w:ascii="Times New Roman" w:hAnsi="Times New Roman" w:cs="Times New Roman"/>
        </w:rPr>
        <w:t>106.</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r w:rsidRPr="003E5B17">
        <w:rPr>
          <w:rFonts w:ascii="Times New Roman" w:hAnsi="Times New Roman" w:cs="Times New Roman"/>
        </w:rPr>
        <w:t xml:space="preserve">Ecevit, </w:t>
      </w:r>
      <w:proofErr w:type="spellStart"/>
      <w:r w:rsidRPr="003E5B17">
        <w:rPr>
          <w:rFonts w:ascii="Times New Roman" w:hAnsi="Times New Roman" w:cs="Times New Roman"/>
        </w:rPr>
        <w:t>Eyyup</w:t>
      </w:r>
      <w:proofErr w:type="spellEnd"/>
      <w:r w:rsidRPr="003E5B17">
        <w:rPr>
          <w:rFonts w:ascii="Times New Roman" w:hAnsi="Times New Roman" w:cs="Times New Roman"/>
        </w:rPr>
        <w:t xml:space="preserve"> and </w:t>
      </w:r>
      <w:proofErr w:type="spellStart"/>
      <w:r w:rsidRPr="003E5B17">
        <w:rPr>
          <w:rFonts w:ascii="Times New Roman" w:hAnsi="Times New Roman" w:cs="Times New Roman"/>
        </w:rPr>
        <w:t>Kayhan</w:t>
      </w:r>
      <w:proofErr w:type="spellEnd"/>
      <w:r w:rsidRPr="003E5B17">
        <w:rPr>
          <w:rFonts w:ascii="Times New Roman" w:hAnsi="Times New Roman" w:cs="Times New Roman"/>
        </w:rPr>
        <w:t xml:space="preserve">, Selim (2011) Impact of Exchange Rate on Monetary Policy Decisions in An Inflation Targeting Regime: SVAR Analysis, </w:t>
      </w:r>
      <w:r w:rsidRPr="003E5B17">
        <w:rPr>
          <w:rFonts w:ascii="Times New Roman" w:hAnsi="Times New Roman" w:cs="Times New Roman"/>
          <w:i/>
        </w:rPr>
        <w:t>Journal of Money, Investment and Banking</w:t>
      </w:r>
      <w:r w:rsidR="00A02FEB" w:rsidRPr="003E5B17">
        <w:rPr>
          <w:rFonts w:ascii="Times New Roman" w:hAnsi="Times New Roman" w:cs="Times New Roman"/>
        </w:rPr>
        <w:t xml:space="preserve"> 19, 114-</w:t>
      </w:r>
      <w:r w:rsidRPr="003E5B17">
        <w:rPr>
          <w:rFonts w:ascii="Times New Roman" w:hAnsi="Times New Roman" w:cs="Times New Roman"/>
        </w:rPr>
        <w:t>123.</w:t>
      </w:r>
    </w:p>
    <w:p w:rsidR="00ED7EFF" w:rsidRPr="003E5B17" w:rsidRDefault="00ED7EFF" w:rsidP="00C2344B">
      <w:pPr>
        <w:jc w:val="both"/>
        <w:rPr>
          <w:rFonts w:ascii="Times New Roman" w:hAnsi="Times New Roman" w:cs="Times New Roman"/>
        </w:rPr>
      </w:pPr>
    </w:p>
    <w:p w:rsidR="00ED7EFF" w:rsidRPr="003E5B17" w:rsidRDefault="00031D22" w:rsidP="00C2344B">
      <w:pPr>
        <w:jc w:val="both"/>
        <w:rPr>
          <w:rFonts w:ascii="Times New Roman" w:hAnsi="Times New Roman" w:cs="Times New Roman"/>
        </w:rPr>
      </w:pPr>
      <w:proofErr w:type="spellStart"/>
      <w:r w:rsidRPr="003E5B17">
        <w:rPr>
          <w:rFonts w:ascii="Times New Roman" w:hAnsi="Times New Roman" w:cs="Times New Roman"/>
        </w:rPr>
        <w:lastRenderedPageBreak/>
        <w:t>Feenstra</w:t>
      </w:r>
      <w:proofErr w:type="spellEnd"/>
      <w:r w:rsidRPr="003E5B17">
        <w:rPr>
          <w:rFonts w:ascii="Times New Roman" w:hAnsi="Times New Roman" w:cs="Times New Roman"/>
        </w:rPr>
        <w:t>, R.</w:t>
      </w:r>
      <w:r w:rsidR="00ED7EFF" w:rsidRPr="003E5B17">
        <w:rPr>
          <w:rFonts w:ascii="Times New Roman" w:hAnsi="Times New Roman" w:cs="Times New Roman"/>
        </w:rPr>
        <w:t xml:space="preserve">C. (1989) Symmetric Pass-Through of Tariffs and Exchange Rates </w:t>
      </w:r>
      <w:r w:rsidRPr="003E5B17">
        <w:rPr>
          <w:rFonts w:ascii="Times New Roman" w:hAnsi="Times New Roman" w:cs="Times New Roman"/>
        </w:rPr>
        <w:t>under</w:t>
      </w:r>
      <w:r w:rsidR="00ED7EFF" w:rsidRPr="003E5B17">
        <w:rPr>
          <w:rFonts w:ascii="Times New Roman" w:hAnsi="Times New Roman" w:cs="Times New Roman"/>
        </w:rPr>
        <w:t xml:space="preserve"> Imperfect Competition: An Empirical Test.  </w:t>
      </w:r>
      <w:r w:rsidR="00ED7EFF" w:rsidRPr="003E5B17">
        <w:rPr>
          <w:rFonts w:ascii="Times New Roman" w:hAnsi="Times New Roman" w:cs="Times New Roman"/>
          <w:i/>
        </w:rPr>
        <w:t>Journal of International Economics</w:t>
      </w:r>
      <w:r w:rsidR="00733B55" w:rsidRPr="003E5B17">
        <w:rPr>
          <w:rFonts w:ascii="Times New Roman" w:hAnsi="Times New Roman" w:cs="Times New Roman"/>
        </w:rPr>
        <w:t xml:space="preserve"> 27:1-</w:t>
      </w:r>
      <w:r w:rsidR="00ED7EFF" w:rsidRPr="003E5B17">
        <w:rPr>
          <w:rFonts w:ascii="Times New Roman" w:hAnsi="Times New Roman" w:cs="Times New Roman"/>
        </w:rPr>
        <w:t>2</w:t>
      </w:r>
      <w:r w:rsidR="00733B55" w:rsidRPr="003E5B17">
        <w:rPr>
          <w:rFonts w:ascii="Times New Roman" w:hAnsi="Times New Roman" w:cs="Times New Roman"/>
        </w:rPr>
        <w:t>, 25-</w:t>
      </w:r>
      <w:r w:rsidR="00ED7EFF" w:rsidRPr="003E5B17">
        <w:rPr>
          <w:rFonts w:ascii="Times New Roman" w:hAnsi="Times New Roman" w:cs="Times New Roman"/>
        </w:rPr>
        <w:t>45.</w:t>
      </w:r>
    </w:p>
    <w:p w:rsidR="00ED7EFF" w:rsidRPr="003E5B17" w:rsidRDefault="00ED7EFF" w:rsidP="00C2344B">
      <w:pPr>
        <w:jc w:val="both"/>
        <w:rPr>
          <w:rFonts w:ascii="Times New Roman" w:hAnsi="Times New Roman" w:cs="Times New Roman"/>
        </w:rPr>
      </w:pPr>
    </w:p>
    <w:p w:rsidR="00ED7EFF" w:rsidRPr="003E5B17" w:rsidRDefault="00031D22" w:rsidP="00C2344B">
      <w:pPr>
        <w:autoSpaceDE w:val="0"/>
        <w:autoSpaceDN w:val="0"/>
        <w:adjustRightInd w:val="0"/>
        <w:jc w:val="both"/>
        <w:rPr>
          <w:rFonts w:ascii="Times New Roman" w:hAnsi="Times New Roman" w:cs="Times New Roman"/>
        </w:rPr>
      </w:pPr>
      <w:r w:rsidRPr="003E5B17">
        <w:rPr>
          <w:rFonts w:ascii="Times New Roman" w:hAnsi="Times New Roman" w:cs="Times New Roman"/>
        </w:rPr>
        <w:t>Feinberg, R.</w:t>
      </w:r>
      <w:r w:rsidR="00ED7EFF" w:rsidRPr="003E5B17">
        <w:rPr>
          <w:rFonts w:ascii="Times New Roman" w:hAnsi="Times New Roman" w:cs="Times New Roman"/>
        </w:rPr>
        <w:t>M. (1989) The Effects of Foreign Exchange Movements on US Domestic Prices</w:t>
      </w:r>
      <w:r w:rsidR="00FA00B4" w:rsidRPr="003E5B17">
        <w:rPr>
          <w:rFonts w:ascii="Times New Roman" w:hAnsi="Times New Roman" w:cs="Times New Roman"/>
        </w:rPr>
        <w:t xml:space="preserve">. </w:t>
      </w:r>
      <w:r w:rsidR="00ED7EFF" w:rsidRPr="003E5B17">
        <w:rPr>
          <w:rFonts w:ascii="Times New Roman" w:hAnsi="Times New Roman" w:cs="Times New Roman"/>
          <w:i/>
        </w:rPr>
        <w:t>Review of Economics and Statistics</w:t>
      </w:r>
      <w:r w:rsidR="00733B55" w:rsidRPr="003E5B17">
        <w:rPr>
          <w:rFonts w:ascii="Times New Roman" w:hAnsi="Times New Roman" w:cs="Times New Roman"/>
        </w:rPr>
        <w:t xml:space="preserve"> 71:3, 505-</w:t>
      </w:r>
      <w:r w:rsidR="00ED7EFF" w:rsidRPr="003E5B17">
        <w:rPr>
          <w:rFonts w:ascii="Times New Roman" w:hAnsi="Times New Roman" w:cs="Times New Roman"/>
        </w:rPr>
        <w:t>511.</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r w:rsidRPr="003E5B17">
        <w:rPr>
          <w:rFonts w:ascii="Times New Roman" w:hAnsi="Times New Roman" w:cs="Times New Roman"/>
          <w:lang w:bidi="he-IL"/>
        </w:rPr>
        <w:t xml:space="preserve">Gagnon, J. and </w:t>
      </w:r>
      <w:proofErr w:type="spellStart"/>
      <w:r w:rsidRPr="003E5B17">
        <w:rPr>
          <w:rFonts w:ascii="Times New Roman" w:hAnsi="Times New Roman" w:cs="Times New Roman"/>
          <w:lang w:bidi="he-IL"/>
        </w:rPr>
        <w:t>Ihrig</w:t>
      </w:r>
      <w:proofErr w:type="spellEnd"/>
      <w:r w:rsidRPr="003E5B17">
        <w:rPr>
          <w:rFonts w:ascii="Times New Roman" w:hAnsi="Times New Roman" w:cs="Times New Roman"/>
          <w:lang w:bidi="he-IL"/>
        </w:rPr>
        <w:t xml:space="preserve">, J. (2004) Monetary Policy </w:t>
      </w:r>
      <w:r w:rsidR="00FA00B4" w:rsidRPr="003E5B17">
        <w:rPr>
          <w:rFonts w:ascii="Times New Roman" w:hAnsi="Times New Roman" w:cs="Times New Roman"/>
          <w:lang w:bidi="he-IL"/>
        </w:rPr>
        <w:t xml:space="preserve">and Exchange Rate Pass-Through.  </w:t>
      </w:r>
      <w:r w:rsidRPr="003E5B17">
        <w:rPr>
          <w:rFonts w:ascii="Times New Roman" w:hAnsi="Times New Roman" w:cs="Times New Roman"/>
          <w:i/>
          <w:lang w:bidi="he-IL"/>
        </w:rPr>
        <w:t xml:space="preserve">International Journal of Finance and </w:t>
      </w:r>
      <w:r w:rsidR="00FA00B4" w:rsidRPr="003E5B17">
        <w:rPr>
          <w:rFonts w:ascii="Times New Roman" w:hAnsi="Times New Roman" w:cs="Times New Roman"/>
          <w:i/>
          <w:lang w:bidi="he-IL"/>
        </w:rPr>
        <w:t xml:space="preserve">Economics </w:t>
      </w:r>
      <w:r w:rsidR="00FA00B4" w:rsidRPr="003E5B17">
        <w:rPr>
          <w:rFonts w:ascii="Times New Roman" w:hAnsi="Times New Roman" w:cs="Times New Roman"/>
          <w:lang w:bidi="he-IL"/>
        </w:rPr>
        <w:t>9:4</w:t>
      </w:r>
      <w:r w:rsidR="00733B55" w:rsidRPr="003E5B17">
        <w:rPr>
          <w:rFonts w:ascii="Times New Roman" w:hAnsi="Times New Roman" w:cs="Times New Roman"/>
          <w:lang w:bidi="he-IL"/>
        </w:rPr>
        <w:t>, 315-</w:t>
      </w:r>
      <w:r w:rsidRPr="003E5B17">
        <w:rPr>
          <w:rFonts w:ascii="Times New Roman" w:hAnsi="Times New Roman" w:cs="Times New Roman"/>
          <w:lang w:bidi="he-IL"/>
        </w:rPr>
        <w:t>338.</w:t>
      </w:r>
    </w:p>
    <w:p w:rsidR="00FA00B4" w:rsidRPr="003E5B17" w:rsidRDefault="00FA00B4" w:rsidP="00C2344B">
      <w:pPr>
        <w:autoSpaceDE w:val="0"/>
        <w:autoSpaceDN w:val="0"/>
        <w:adjustRightInd w:val="0"/>
        <w:jc w:val="both"/>
        <w:rPr>
          <w:rFonts w:ascii="Times New Roman" w:hAnsi="Times New Roman" w:cs="Times New Roman"/>
          <w:lang w:bidi="he-IL"/>
        </w:rPr>
      </w:pPr>
    </w:p>
    <w:p w:rsidR="00ED7EFF" w:rsidRPr="003E5B17" w:rsidRDefault="00ED7EFF" w:rsidP="00C2344B">
      <w:pPr>
        <w:autoSpaceDE w:val="0"/>
        <w:autoSpaceDN w:val="0"/>
        <w:adjustRightInd w:val="0"/>
        <w:jc w:val="both"/>
        <w:rPr>
          <w:rFonts w:ascii="Times New Roman" w:hAnsi="Times New Roman" w:cs="Times New Roman"/>
        </w:rPr>
      </w:pPr>
      <w:r w:rsidRPr="003E5B17">
        <w:rPr>
          <w:rFonts w:ascii="Times New Roman" w:hAnsi="Times New Roman" w:cs="Times New Roman"/>
          <w:lang w:bidi="he-IL"/>
        </w:rPr>
        <w:t xml:space="preserve">Gagnon, J. and </w:t>
      </w:r>
      <w:proofErr w:type="spellStart"/>
      <w:r w:rsidRPr="003E5B17">
        <w:rPr>
          <w:rFonts w:ascii="Times New Roman" w:hAnsi="Times New Roman" w:cs="Times New Roman"/>
          <w:lang w:bidi="he-IL"/>
        </w:rPr>
        <w:t>Knetter</w:t>
      </w:r>
      <w:proofErr w:type="spellEnd"/>
      <w:r w:rsidRPr="003E5B17">
        <w:rPr>
          <w:rFonts w:ascii="Times New Roman" w:hAnsi="Times New Roman" w:cs="Times New Roman"/>
          <w:lang w:bidi="he-IL"/>
        </w:rPr>
        <w:t>, M. (1991) Pricing to Market in Response to Unobservable and Observable Shocks</w:t>
      </w:r>
      <w:r w:rsidR="00031D22" w:rsidRPr="003E5B17">
        <w:rPr>
          <w:rFonts w:ascii="Times New Roman" w:hAnsi="Times New Roman" w:cs="Times New Roman"/>
          <w:lang w:bidi="he-IL"/>
        </w:rPr>
        <w:t>.</w:t>
      </w:r>
      <w:r w:rsidRPr="003E5B17">
        <w:rPr>
          <w:rFonts w:ascii="Times New Roman" w:hAnsi="Times New Roman" w:cs="Times New Roman"/>
          <w:lang w:bidi="he-IL"/>
        </w:rPr>
        <w:t xml:space="preserve"> </w:t>
      </w:r>
      <w:proofErr w:type="spellStart"/>
      <w:r w:rsidRPr="003E5B17">
        <w:rPr>
          <w:rFonts w:ascii="Times New Roman" w:hAnsi="Times New Roman" w:cs="Times New Roman"/>
          <w:i/>
          <w:lang w:bidi="he-IL"/>
        </w:rPr>
        <w:t>Darthmouth</w:t>
      </w:r>
      <w:proofErr w:type="spellEnd"/>
      <w:r w:rsidRPr="003E5B17">
        <w:rPr>
          <w:rFonts w:ascii="Times New Roman" w:hAnsi="Times New Roman" w:cs="Times New Roman"/>
          <w:i/>
          <w:lang w:bidi="he-IL"/>
        </w:rPr>
        <w:t xml:space="preserve"> College WP </w:t>
      </w:r>
      <w:r w:rsidRPr="003E5B17">
        <w:rPr>
          <w:rFonts w:ascii="Times New Roman" w:hAnsi="Times New Roman" w:cs="Times New Roman"/>
          <w:lang w:bidi="he-IL"/>
        </w:rPr>
        <w:t>89:16.</w:t>
      </w:r>
    </w:p>
    <w:p w:rsidR="00FA00B4" w:rsidRPr="003E5B17" w:rsidRDefault="00FA00B4"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proofErr w:type="spellStart"/>
      <w:r w:rsidRPr="003E5B17">
        <w:rPr>
          <w:rFonts w:ascii="Times New Roman" w:hAnsi="Times New Roman" w:cs="Times New Roman"/>
        </w:rPr>
        <w:t>Giovannini</w:t>
      </w:r>
      <w:proofErr w:type="spellEnd"/>
      <w:r w:rsidRPr="003E5B17">
        <w:rPr>
          <w:rFonts w:ascii="Times New Roman" w:hAnsi="Times New Roman" w:cs="Times New Roman"/>
        </w:rPr>
        <w:t xml:space="preserve">, A. (1988) Exchange Rate and Goods Prices </w:t>
      </w:r>
      <w:r w:rsidRPr="003E5B17">
        <w:rPr>
          <w:rFonts w:ascii="Times New Roman" w:hAnsi="Times New Roman" w:cs="Times New Roman"/>
          <w:i/>
        </w:rPr>
        <w:t>Journal of International Economics</w:t>
      </w:r>
      <w:r w:rsidR="00733B55" w:rsidRPr="003E5B17">
        <w:rPr>
          <w:rFonts w:ascii="Times New Roman" w:hAnsi="Times New Roman" w:cs="Times New Roman"/>
        </w:rPr>
        <w:t xml:space="preserve"> 24:1-2, 45-</w:t>
      </w:r>
      <w:r w:rsidRPr="003E5B17">
        <w:rPr>
          <w:rFonts w:ascii="Times New Roman" w:hAnsi="Times New Roman" w:cs="Times New Roman"/>
        </w:rPr>
        <w:t>68.</w:t>
      </w:r>
    </w:p>
    <w:p w:rsidR="00ED7EFF" w:rsidRPr="003E5B17" w:rsidRDefault="00ED7EFF" w:rsidP="00C2344B">
      <w:pPr>
        <w:pStyle w:val="BodyText"/>
        <w:rPr>
          <w:lang w:val="en-US"/>
        </w:rPr>
      </w:pPr>
    </w:p>
    <w:p w:rsidR="00ED7EFF" w:rsidRPr="003E5B17" w:rsidRDefault="00ED7EFF" w:rsidP="00C2344B">
      <w:pPr>
        <w:jc w:val="both"/>
        <w:rPr>
          <w:rFonts w:ascii="Times New Roman" w:hAnsi="Times New Roman" w:cs="Times New Roman"/>
        </w:rPr>
      </w:pPr>
      <w:r w:rsidRPr="003E5B17">
        <w:rPr>
          <w:rFonts w:ascii="Times New Roman" w:hAnsi="Times New Roman" w:cs="Times New Roman"/>
        </w:rPr>
        <w:t xml:space="preserve">Goldberg, P. K. and </w:t>
      </w:r>
      <w:proofErr w:type="spellStart"/>
      <w:r w:rsidRPr="003E5B17">
        <w:rPr>
          <w:rFonts w:ascii="Times New Roman" w:hAnsi="Times New Roman" w:cs="Times New Roman"/>
        </w:rPr>
        <w:t>Knetter</w:t>
      </w:r>
      <w:proofErr w:type="spellEnd"/>
      <w:r w:rsidRPr="003E5B17">
        <w:rPr>
          <w:rFonts w:ascii="Times New Roman" w:hAnsi="Times New Roman" w:cs="Times New Roman"/>
        </w:rPr>
        <w:t xml:space="preserve">, M. (1997) Goods Prices and Exchange Rate: What Have We Learned? </w:t>
      </w:r>
      <w:r w:rsidRPr="003E5B17">
        <w:rPr>
          <w:rFonts w:ascii="Times New Roman" w:hAnsi="Times New Roman" w:cs="Times New Roman"/>
          <w:i/>
        </w:rPr>
        <w:t>Journal of Economic Literature</w:t>
      </w:r>
      <w:r w:rsidR="00733B55" w:rsidRPr="003E5B17">
        <w:rPr>
          <w:rFonts w:ascii="Times New Roman" w:hAnsi="Times New Roman" w:cs="Times New Roman"/>
        </w:rPr>
        <w:t xml:space="preserve"> 35:3, 1243-</w:t>
      </w:r>
      <w:r w:rsidRPr="003E5B17">
        <w:rPr>
          <w:rFonts w:ascii="Times New Roman" w:hAnsi="Times New Roman" w:cs="Times New Roman"/>
        </w:rPr>
        <w:t>1272.</w:t>
      </w:r>
    </w:p>
    <w:p w:rsidR="00ED7EFF" w:rsidRPr="003E5B17" w:rsidRDefault="00ED7EFF" w:rsidP="00C2344B">
      <w:pPr>
        <w:jc w:val="both"/>
        <w:rPr>
          <w:rFonts w:ascii="Times New Roman" w:hAnsi="Times New Roman" w:cs="Times New Roman"/>
        </w:rPr>
      </w:pPr>
    </w:p>
    <w:p w:rsidR="00ED7EFF" w:rsidRPr="003E5B17" w:rsidRDefault="00031D22" w:rsidP="00C2344B">
      <w:pPr>
        <w:autoSpaceDE w:val="0"/>
        <w:autoSpaceDN w:val="0"/>
        <w:adjustRightInd w:val="0"/>
        <w:jc w:val="both"/>
        <w:rPr>
          <w:rFonts w:ascii="Times New Roman" w:hAnsi="Times New Roman" w:cs="Times New Roman"/>
          <w:i/>
        </w:rPr>
      </w:pPr>
      <w:r w:rsidRPr="003E5B17">
        <w:rPr>
          <w:rFonts w:ascii="Times New Roman" w:hAnsi="Times New Roman" w:cs="Times New Roman"/>
        </w:rPr>
        <w:t>Hahn, E.</w:t>
      </w:r>
      <w:r w:rsidR="00ED7EFF" w:rsidRPr="003E5B17">
        <w:rPr>
          <w:rFonts w:ascii="Times New Roman" w:hAnsi="Times New Roman" w:cs="Times New Roman"/>
        </w:rPr>
        <w:t xml:space="preserve"> (2003) Pass-Through of External Shocks to Euro Area Inflation </w:t>
      </w:r>
      <w:r w:rsidR="00ED7EFF" w:rsidRPr="003E5B17">
        <w:rPr>
          <w:rFonts w:ascii="Times New Roman" w:hAnsi="Times New Roman" w:cs="Times New Roman"/>
          <w:i/>
        </w:rPr>
        <w:t xml:space="preserve">Working Paper 243, </w:t>
      </w:r>
      <w:r w:rsidR="00ED7EFF" w:rsidRPr="003E5B17">
        <w:rPr>
          <w:rFonts w:ascii="Times New Roman" w:hAnsi="Times New Roman" w:cs="Times New Roman"/>
          <w:iCs/>
        </w:rPr>
        <w:t>European Central Bank</w:t>
      </w:r>
      <w:r w:rsidR="00ED7EFF" w:rsidRPr="003E5B17">
        <w:rPr>
          <w:rFonts w:ascii="Times New Roman" w:hAnsi="Times New Roman" w:cs="Times New Roman"/>
          <w:i/>
        </w:rPr>
        <w:t>.</w:t>
      </w:r>
    </w:p>
    <w:p w:rsidR="00ED7EFF" w:rsidRPr="003E5B17" w:rsidRDefault="00ED7EFF" w:rsidP="00C2344B">
      <w:pPr>
        <w:jc w:val="both"/>
        <w:rPr>
          <w:rFonts w:ascii="Times New Roman" w:hAnsi="Times New Roman" w:cs="Times New Roman"/>
        </w:rPr>
      </w:pPr>
    </w:p>
    <w:p w:rsidR="00ED7EFF" w:rsidRPr="003E5B17" w:rsidRDefault="00031D22" w:rsidP="00C2344B">
      <w:pPr>
        <w:jc w:val="both"/>
        <w:rPr>
          <w:rFonts w:ascii="Times New Roman" w:hAnsi="Times New Roman" w:cs="Times New Roman"/>
        </w:rPr>
      </w:pPr>
      <w:proofErr w:type="spellStart"/>
      <w:r w:rsidRPr="003E5B17">
        <w:rPr>
          <w:rFonts w:ascii="Times New Roman" w:hAnsi="Times New Roman" w:cs="Times New Roman"/>
        </w:rPr>
        <w:t>Helpman</w:t>
      </w:r>
      <w:proofErr w:type="spellEnd"/>
      <w:r w:rsidRPr="003E5B17">
        <w:rPr>
          <w:rFonts w:ascii="Times New Roman" w:hAnsi="Times New Roman" w:cs="Times New Roman"/>
        </w:rPr>
        <w:t>, E.</w:t>
      </w:r>
      <w:r w:rsidR="00ED7EFF" w:rsidRPr="003E5B17">
        <w:rPr>
          <w:rFonts w:ascii="Times New Roman" w:hAnsi="Times New Roman" w:cs="Times New Roman"/>
        </w:rPr>
        <w:t xml:space="preserve"> (1981) An Exploration in the Theory of Exchange Rate Regimes. </w:t>
      </w:r>
      <w:r w:rsidR="00ED7EFF" w:rsidRPr="003E5B17">
        <w:rPr>
          <w:rFonts w:ascii="Times New Roman" w:hAnsi="Times New Roman" w:cs="Times New Roman"/>
          <w:i/>
        </w:rPr>
        <w:t>Journal of Political Economy</w:t>
      </w:r>
      <w:r w:rsidR="00733B55" w:rsidRPr="003E5B17">
        <w:rPr>
          <w:rFonts w:ascii="Times New Roman" w:hAnsi="Times New Roman" w:cs="Times New Roman"/>
        </w:rPr>
        <w:t xml:space="preserve"> 89:5, 865-</w:t>
      </w:r>
      <w:r w:rsidR="00ED7EFF" w:rsidRPr="003E5B17">
        <w:rPr>
          <w:rFonts w:ascii="Times New Roman" w:hAnsi="Times New Roman" w:cs="Times New Roman"/>
        </w:rPr>
        <w:t>890.</w:t>
      </w:r>
    </w:p>
    <w:p w:rsidR="00FA00B4" w:rsidRPr="003E5B17" w:rsidRDefault="00FA00B4" w:rsidP="00C2344B">
      <w:pPr>
        <w:jc w:val="both"/>
        <w:rPr>
          <w:rFonts w:ascii="Times New Roman" w:hAnsi="Times New Roman" w:cs="Times New Roman"/>
        </w:rPr>
      </w:pPr>
    </w:p>
    <w:p w:rsidR="00ED7EFF" w:rsidRPr="003E5B17" w:rsidRDefault="00031D22" w:rsidP="00C2344B">
      <w:pPr>
        <w:jc w:val="both"/>
        <w:rPr>
          <w:rFonts w:ascii="Times New Roman" w:hAnsi="Times New Roman" w:cs="Times New Roman"/>
        </w:rPr>
      </w:pPr>
      <w:r w:rsidRPr="003E5B17">
        <w:rPr>
          <w:rFonts w:ascii="Times New Roman" w:hAnsi="Times New Roman" w:cs="Times New Roman"/>
        </w:rPr>
        <w:t>Hooper, P. and Mann, C.</w:t>
      </w:r>
      <w:r w:rsidR="00ED7EFF" w:rsidRPr="003E5B17">
        <w:rPr>
          <w:rFonts w:ascii="Times New Roman" w:hAnsi="Times New Roman" w:cs="Times New Roman"/>
        </w:rPr>
        <w:t xml:space="preserve">L. (1989) Exchange Rate Pass-Through in the 1980s:  The Case of U.S. Imports of Manufactures.  </w:t>
      </w:r>
      <w:r w:rsidR="00733B55" w:rsidRPr="003E5B17">
        <w:rPr>
          <w:rFonts w:ascii="Times New Roman" w:hAnsi="Times New Roman" w:cs="Times New Roman"/>
          <w:i/>
        </w:rPr>
        <w:t>Brookings Papers on Economic</w:t>
      </w:r>
      <w:r w:rsidR="00ED7EFF" w:rsidRPr="003E5B17">
        <w:rPr>
          <w:rFonts w:ascii="Times New Roman" w:hAnsi="Times New Roman" w:cs="Times New Roman"/>
          <w:i/>
        </w:rPr>
        <w:t xml:space="preserve"> Activity</w:t>
      </w:r>
      <w:r w:rsidR="00ED7EFF" w:rsidRPr="003E5B17">
        <w:rPr>
          <w:rFonts w:ascii="Times New Roman" w:hAnsi="Times New Roman" w:cs="Times New Roman"/>
        </w:rPr>
        <w:t xml:space="preserve"> 198</w:t>
      </w:r>
      <w:r w:rsidR="00733B55" w:rsidRPr="003E5B17">
        <w:rPr>
          <w:rFonts w:ascii="Times New Roman" w:hAnsi="Times New Roman" w:cs="Times New Roman"/>
        </w:rPr>
        <w:t>9:1, 297-</w:t>
      </w:r>
      <w:r w:rsidR="00ED7EFF" w:rsidRPr="003E5B17">
        <w:rPr>
          <w:rFonts w:ascii="Times New Roman" w:hAnsi="Times New Roman" w:cs="Times New Roman"/>
        </w:rPr>
        <w:t>337.</w:t>
      </w:r>
    </w:p>
    <w:p w:rsidR="00ED7EFF" w:rsidRPr="003E5B17" w:rsidRDefault="00ED7EFF" w:rsidP="00C2344B">
      <w:pPr>
        <w:jc w:val="both"/>
        <w:rPr>
          <w:rFonts w:ascii="Times New Roman" w:hAnsi="Times New Roman" w:cs="Times New Roman"/>
        </w:rPr>
      </w:pPr>
    </w:p>
    <w:p w:rsidR="002008A7" w:rsidRPr="003E5B17" w:rsidRDefault="002008A7" w:rsidP="00C2344B">
      <w:pPr>
        <w:jc w:val="both"/>
        <w:rPr>
          <w:rFonts w:ascii="Times New Roman" w:hAnsi="Times New Roman" w:cs="Times New Roman"/>
        </w:rPr>
      </w:pPr>
      <w:r w:rsidRPr="003E5B17">
        <w:rPr>
          <w:rFonts w:ascii="Times New Roman" w:hAnsi="Times New Roman" w:cs="Times New Roman"/>
          <w:iCs/>
        </w:rPr>
        <w:t>International Financial Statistics</w:t>
      </w:r>
      <w:r w:rsidR="001C3E9E" w:rsidRPr="003E5B17">
        <w:rPr>
          <w:rFonts w:ascii="Times New Roman" w:hAnsi="Times New Roman" w:cs="Times New Roman"/>
          <w:iCs/>
        </w:rPr>
        <w:t xml:space="preserve"> (2015)</w:t>
      </w:r>
      <w:r w:rsidR="001C3E9E" w:rsidRPr="003E5B17">
        <w:rPr>
          <w:rFonts w:ascii="Times New Roman" w:hAnsi="Times New Roman" w:cs="Times New Roman"/>
        </w:rPr>
        <w:t xml:space="preserve"> A</w:t>
      </w:r>
      <w:r w:rsidRPr="003E5B17">
        <w:rPr>
          <w:rFonts w:ascii="Times New Roman" w:hAnsi="Times New Roman" w:cs="Times New Roman"/>
        </w:rPr>
        <w:t xml:space="preserve"> publication of the International Monetary Fund</w:t>
      </w:r>
      <w:r w:rsidR="001C3E9E" w:rsidRPr="003E5B17">
        <w:rPr>
          <w:rFonts w:ascii="Times New Roman" w:hAnsi="Times New Roman" w:cs="Times New Roman"/>
        </w:rPr>
        <w:t xml:space="preserve">, </w:t>
      </w:r>
      <w:proofErr w:type="spellStart"/>
      <w:r w:rsidR="001C3E9E" w:rsidRPr="003E5B17">
        <w:rPr>
          <w:rFonts w:ascii="Times New Roman" w:hAnsi="Times New Roman" w:cs="Times New Roman"/>
        </w:rPr>
        <w:t>Washinton</w:t>
      </w:r>
      <w:proofErr w:type="spellEnd"/>
      <w:r w:rsidR="001C3E9E" w:rsidRPr="003E5B17">
        <w:rPr>
          <w:rFonts w:ascii="Times New Roman" w:hAnsi="Times New Roman" w:cs="Times New Roman"/>
        </w:rPr>
        <w:t>, DC.</w:t>
      </w:r>
    </w:p>
    <w:p w:rsidR="002008A7" w:rsidRPr="003E5B17" w:rsidRDefault="002008A7"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proofErr w:type="spellStart"/>
      <w:r w:rsidRPr="003E5B17">
        <w:rPr>
          <w:rFonts w:ascii="Times New Roman" w:hAnsi="Times New Roman" w:cs="Times New Roman"/>
        </w:rPr>
        <w:t>Isard</w:t>
      </w:r>
      <w:proofErr w:type="spellEnd"/>
      <w:r w:rsidRPr="003E5B17">
        <w:rPr>
          <w:rFonts w:ascii="Times New Roman" w:hAnsi="Times New Roman" w:cs="Times New Roman"/>
        </w:rPr>
        <w:t xml:space="preserve">, P. (1977) How Far Can We Push the Law of One Price? </w:t>
      </w:r>
      <w:r w:rsidRPr="003E5B17">
        <w:rPr>
          <w:rFonts w:ascii="Times New Roman" w:hAnsi="Times New Roman" w:cs="Times New Roman"/>
          <w:i/>
        </w:rPr>
        <w:t>American Economic Review</w:t>
      </w:r>
      <w:r w:rsidR="00031D22" w:rsidRPr="003E5B17">
        <w:rPr>
          <w:rFonts w:ascii="Times New Roman" w:hAnsi="Times New Roman" w:cs="Times New Roman"/>
        </w:rPr>
        <w:t xml:space="preserve"> 67:5, 942-</w:t>
      </w:r>
      <w:r w:rsidRPr="003E5B17">
        <w:rPr>
          <w:rFonts w:ascii="Times New Roman" w:hAnsi="Times New Roman" w:cs="Times New Roman"/>
        </w:rPr>
        <w:t>948.</w:t>
      </w:r>
    </w:p>
    <w:p w:rsidR="00FA00B4" w:rsidRPr="003E5B17" w:rsidRDefault="00FA00B4"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i/>
        </w:rPr>
      </w:pPr>
      <w:r w:rsidRPr="003E5B17">
        <w:rPr>
          <w:rFonts w:ascii="Times New Roman" w:hAnsi="Times New Roman" w:cs="Times New Roman"/>
        </w:rPr>
        <w:t xml:space="preserve">Ito, </w:t>
      </w:r>
      <w:proofErr w:type="spellStart"/>
      <w:r w:rsidRPr="003E5B17">
        <w:rPr>
          <w:rFonts w:ascii="Times New Roman" w:hAnsi="Times New Roman" w:cs="Times New Roman"/>
        </w:rPr>
        <w:t>Takatoshi</w:t>
      </w:r>
      <w:proofErr w:type="spellEnd"/>
      <w:r w:rsidRPr="003E5B17">
        <w:rPr>
          <w:rFonts w:ascii="Times New Roman" w:hAnsi="Times New Roman" w:cs="Times New Roman"/>
        </w:rPr>
        <w:t xml:space="preserve"> and Sato, </w:t>
      </w:r>
      <w:proofErr w:type="spellStart"/>
      <w:r w:rsidRPr="003E5B17">
        <w:rPr>
          <w:rFonts w:ascii="Times New Roman" w:hAnsi="Times New Roman" w:cs="Times New Roman"/>
        </w:rPr>
        <w:t>Kiyotaka</w:t>
      </w:r>
      <w:proofErr w:type="spellEnd"/>
      <w:r w:rsidRPr="003E5B17">
        <w:rPr>
          <w:rFonts w:ascii="Times New Roman" w:hAnsi="Times New Roman" w:cs="Times New Roman"/>
        </w:rPr>
        <w:t xml:space="preserve"> (2007) </w:t>
      </w:r>
      <w:hyperlink r:id="rId52" w:history="1">
        <w:r w:rsidRPr="003E5B17">
          <w:rPr>
            <w:rFonts w:ascii="Times New Roman" w:hAnsi="Times New Roman" w:cs="Times New Roman"/>
          </w:rPr>
          <w:t>Exchange Rate Pass-Through and Domestic Inflation: A Comparison Between East Asia and Latin American Countries</w:t>
        </w:r>
      </w:hyperlink>
      <w:r w:rsidRPr="003E5B17">
        <w:rPr>
          <w:rFonts w:ascii="Times New Roman" w:hAnsi="Times New Roman" w:cs="Times New Roman"/>
        </w:rPr>
        <w:t xml:space="preserve"> </w:t>
      </w:r>
      <w:hyperlink r:id="rId53" w:history="1">
        <w:r w:rsidRPr="003E5B17">
          <w:rPr>
            <w:rFonts w:ascii="Times New Roman" w:hAnsi="Times New Roman" w:cs="Times New Roman"/>
            <w:i/>
          </w:rPr>
          <w:t>Discussion Papers</w:t>
        </w:r>
      </w:hyperlink>
      <w:r w:rsidRPr="003E5B17">
        <w:rPr>
          <w:rFonts w:ascii="Times New Roman" w:hAnsi="Times New Roman" w:cs="Times New Roman"/>
          <w:i/>
        </w:rPr>
        <w:t xml:space="preserve"> 07040, Research Institute of Economy, Trade and Industry (RIETI).</w:t>
      </w:r>
    </w:p>
    <w:p w:rsidR="00FA00B4" w:rsidRPr="003E5B17" w:rsidRDefault="00FA00B4" w:rsidP="00C2344B">
      <w:pPr>
        <w:autoSpaceDE w:val="0"/>
        <w:autoSpaceDN w:val="0"/>
        <w:adjustRightInd w:val="0"/>
        <w:jc w:val="both"/>
        <w:rPr>
          <w:rFonts w:ascii="Times New Roman" w:hAnsi="Times New Roman" w:cs="Times New Roman"/>
          <w:lang w:bidi="he-IL"/>
        </w:rPr>
      </w:pPr>
    </w:p>
    <w:p w:rsidR="00FD3CE2" w:rsidRPr="003E5B17" w:rsidRDefault="00FD3CE2" w:rsidP="00C2344B">
      <w:pPr>
        <w:autoSpaceDE w:val="0"/>
        <w:autoSpaceDN w:val="0"/>
        <w:adjustRightInd w:val="0"/>
        <w:jc w:val="both"/>
        <w:rPr>
          <w:rFonts w:ascii="Times New Roman" w:hAnsi="Times New Roman" w:cs="Times New Roman"/>
          <w:lang w:bidi="he-IL"/>
        </w:rPr>
      </w:pPr>
      <w:proofErr w:type="spellStart"/>
      <w:r w:rsidRPr="003E5B17">
        <w:rPr>
          <w:rFonts w:ascii="Times New Roman" w:hAnsi="Times New Roman" w:cs="Times New Roman"/>
          <w:lang w:bidi="he-IL"/>
        </w:rPr>
        <w:t>Karagoz</w:t>
      </w:r>
      <w:proofErr w:type="spellEnd"/>
      <w:r w:rsidRPr="003E5B17">
        <w:rPr>
          <w:rFonts w:ascii="Times New Roman" w:hAnsi="Times New Roman" w:cs="Times New Roman"/>
          <w:lang w:bidi="he-IL"/>
        </w:rPr>
        <w:t xml:space="preserve">, </w:t>
      </w:r>
      <w:proofErr w:type="spellStart"/>
      <w:r w:rsidRPr="003E5B17">
        <w:rPr>
          <w:rFonts w:ascii="Times New Roman" w:hAnsi="Times New Roman" w:cs="Times New Roman"/>
          <w:lang w:bidi="he-IL"/>
        </w:rPr>
        <w:t>Demirel</w:t>
      </w:r>
      <w:proofErr w:type="spellEnd"/>
      <w:r w:rsidRPr="003E5B17">
        <w:rPr>
          <w:rFonts w:ascii="Times New Roman" w:hAnsi="Times New Roman" w:cs="Times New Roman"/>
          <w:lang w:bidi="he-IL"/>
        </w:rPr>
        <w:t xml:space="preserve"> and </w:t>
      </w:r>
      <w:proofErr w:type="spellStart"/>
      <w:r w:rsidRPr="003E5B17">
        <w:rPr>
          <w:rFonts w:ascii="Times New Roman" w:hAnsi="Times New Roman" w:cs="Times New Roman"/>
          <w:lang w:bidi="he-IL"/>
        </w:rPr>
        <w:t>Bozdag</w:t>
      </w:r>
      <w:proofErr w:type="spellEnd"/>
      <w:r w:rsidRPr="003E5B17">
        <w:rPr>
          <w:rFonts w:ascii="Times New Roman" w:hAnsi="Times New Roman" w:cs="Times New Roman"/>
          <w:lang w:bidi="he-IL"/>
        </w:rPr>
        <w:t xml:space="preserve"> (2016) Pass-through effect from </w:t>
      </w:r>
      <w:r w:rsidR="00F5317A" w:rsidRPr="003E5B17">
        <w:rPr>
          <w:rFonts w:ascii="Times New Roman" w:hAnsi="Times New Roman" w:cs="Times New Roman"/>
          <w:lang w:bidi="he-IL"/>
        </w:rPr>
        <w:t>Exchange</w:t>
      </w:r>
      <w:r w:rsidRPr="003E5B17">
        <w:rPr>
          <w:rFonts w:ascii="Times New Roman" w:hAnsi="Times New Roman" w:cs="Times New Roman"/>
          <w:lang w:bidi="he-IL"/>
        </w:rPr>
        <w:t xml:space="preserve"> rate to the prices in the Framework of Inflation Targeting Policy: A Comparison of Asia-Pacific</w:t>
      </w:r>
      <w:r w:rsidR="00F5317A" w:rsidRPr="003E5B17">
        <w:rPr>
          <w:rFonts w:ascii="Times New Roman" w:hAnsi="Times New Roman" w:cs="Times New Roman"/>
          <w:lang w:bidi="he-IL"/>
        </w:rPr>
        <w:t>, South American and Turkish Economies</w:t>
      </w:r>
    </w:p>
    <w:p w:rsidR="00FD3CE2" w:rsidRPr="003E5B17" w:rsidRDefault="00FD3CE2" w:rsidP="00C2344B">
      <w:pPr>
        <w:autoSpaceDE w:val="0"/>
        <w:autoSpaceDN w:val="0"/>
        <w:adjustRightInd w:val="0"/>
        <w:jc w:val="both"/>
        <w:rPr>
          <w:rFonts w:ascii="Times New Roman" w:hAnsi="Times New Roman" w:cs="Times New Roman"/>
          <w:lang w:bidi="he-IL"/>
        </w:rPr>
      </w:pPr>
    </w:p>
    <w:p w:rsidR="00ED7EFF" w:rsidRPr="003E5B17" w:rsidRDefault="00031D22" w:rsidP="00C2344B">
      <w:pPr>
        <w:autoSpaceDE w:val="0"/>
        <w:autoSpaceDN w:val="0"/>
        <w:adjustRightInd w:val="0"/>
        <w:jc w:val="both"/>
        <w:rPr>
          <w:rFonts w:ascii="Times New Roman" w:hAnsi="Times New Roman" w:cs="Times New Roman"/>
        </w:rPr>
      </w:pPr>
      <w:proofErr w:type="spellStart"/>
      <w:r w:rsidRPr="003E5B17">
        <w:rPr>
          <w:rFonts w:ascii="Times New Roman" w:hAnsi="Times New Roman" w:cs="Times New Roman"/>
          <w:lang w:bidi="he-IL"/>
        </w:rPr>
        <w:t>Karoro</w:t>
      </w:r>
      <w:proofErr w:type="spellEnd"/>
      <w:r w:rsidRPr="003E5B17">
        <w:rPr>
          <w:rFonts w:ascii="Times New Roman" w:hAnsi="Times New Roman" w:cs="Times New Roman"/>
          <w:lang w:bidi="he-IL"/>
        </w:rPr>
        <w:t>, T.</w:t>
      </w:r>
      <w:r w:rsidR="001C3E9E" w:rsidRPr="003E5B17">
        <w:rPr>
          <w:rFonts w:ascii="Times New Roman" w:hAnsi="Times New Roman" w:cs="Times New Roman"/>
          <w:lang w:bidi="he-IL"/>
        </w:rPr>
        <w:t>D.,</w:t>
      </w:r>
      <w:r w:rsidR="00ED7EFF" w:rsidRPr="003E5B17">
        <w:rPr>
          <w:rFonts w:ascii="Times New Roman" w:hAnsi="Times New Roman" w:cs="Times New Roman"/>
          <w:lang w:bidi="he-IL"/>
        </w:rPr>
        <w:t xml:space="preserve"> </w:t>
      </w:r>
      <w:proofErr w:type="spellStart"/>
      <w:r w:rsidR="00ED7EFF" w:rsidRPr="003E5B17">
        <w:rPr>
          <w:rFonts w:ascii="Times New Roman" w:hAnsi="Times New Roman" w:cs="Times New Roman"/>
          <w:lang w:bidi="he-IL"/>
        </w:rPr>
        <w:t>Aziakpono</w:t>
      </w:r>
      <w:proofErr w:type="spellEnd"/>
      <w:r w:rsidR="00ED7EFF" w:rsidRPr="003E5B17">
        <w:rPr>
          <w:rFonts w:ascii="Times New Roman" w:hAnsi="Times New Roman" w:cs="Times New Roman"/>
          <w:lang w:bidi="he-IL"/>
        </w:rPr>
        <w:t xml:space="preserve">, M.J. and </w:t>
      </w:r>
      <w:proofErr w:type="spellStart"/>
      <w:r w:rsidR="00ED7EFF" w:rsidRPr="003E5B17">
        <w:rPr>
          <w:rFonts w:ascii="Times New Roman" w:hAnsi="Times New Roman" w:cs="Times New Roman"/>
          <w:lang w:bidi="he-IL"/>
        </w:rPr>
        <w:t>Cattaneo</w:t>
      </w:r>
      <w:proofErr w:type="spellEnd"/>
      <w:r w:rsidR="00ED7EFF" w:rsidRPr="003E5B17">
        <w:rPr>
          <w:rFonts w:ascii="Times New Roman" w:hAnsi="Times New Roman" w:cs="Times New Roman"/>
          <w:lang w:bidi="he-IL"/>
        </w:rPr>
        <w:t xml:space="preserve">, N. (2009) Exchange Rate Pass-through to Import Prices in South Africa: Is There Asymmetry? </w:t>
      </w:r>
      <w:r w:rsidR="00ED7EFF" w:rsidRPr="003E5B17">
        <w:rPr>
          <w:rFonts w:ascii="Times New Roman" w:hAnsi="Times New Roman" w:cs="Times New Roman"/>
          <w:i/>
          <w:iCs/>
          <w:lang w:bidi="he-IL"/>
        </w:rPr>
        <w:t xml:space="preserve">South African Journal of Economics </w:t>
      </w:r>
      <w:r w:rsidRPr="003E5B17">
        <w:rPr>
          <w:rFonts w:ascii="Times New Roman" w:hAnsi="Times New Roman" w:cs="Times New Roman"/>
          <w:lang w:bidi="he-IL"/>
        </w:rPr>
        <w:t>773:3, 380-</w:t>
      </w:r>
      <w:r w:rsidR="00ED7EFF" w:rsidRPr="003E5B17">
        <w:rPr>
          <w:rFonts w:ascii="Times New Roman" w:hAnsi="Times New Roman" w:cs="Times New Roman"/>
          <w:lang w:bidi="he-IL"/>
        </w:rPr>
        <w:t>398.</w:t>
      </w:r>
    </w:p>
    <w:p w:rsidR="00FA00B4" w:rsidRPr="003E5B17" w:rsidRDefault="00FA00B4" w:rsidP="00C2344B">
      <w:pPr>
        <w:autoSpaceDE w:val="0"/>
        <w:autoSpaceDN w:val="0"/>
        <w:adjustRightInd w:val="0"/>
        <w:jc w:val="both"/>
        <w:rPr>
          <w:rFonts w:ascii="Times New Roman" w:hAnsi="Times New Roman" w:cs="Times New Roman"/>
          <w:lang w:bidi="he-IL"/>
        </w:rPr>
      </w:pPr>
    </w:p>
    <w:p w:rsidR="00ED7EFF" w:rsidRPr="003E5B17" w:rsidRDefault="00ED7EFF" w:rsidP="00C2344B">
      <w:pPr>
        <w:autoSpaceDE w:val="0"/>
        <w:autoSpaceDN w:val="0"/>
        <w:adjustRightInd w:val="0"/>
        <w:jc w:val="both"/>
        <w:rPr>
          <w:rFonts w:ascii="Times New Roman" w:hAnsi="Times New Roman" w:cs="Times New Roman"/>
          <w:lang w:bidi="he-IL"/>
        </w:rPr>
      </w:pPr>
      <w:proofErr w:type="spellStart"/>
      <w:r w:rsidRPr="003E5B17">
        <w:rPr>
          <w:rFonts w:ascii="Times New Roman" w:hAnsi="Times New Roman" w:cs="Times New Roman"/>
          <w:lang w:bidi="he-IL"/>
        </w:rPr>
        <w:t>Khemiri</w:t>
      </w:r>
      <w:proofErr w:type="spellEnd"/>
      <w:r w:rsidRPr="003E5B17">
        <w:rPr>
          <w:rFonts w:ascii="Times New Roman" w:hAnsi="Times New Roman" w:cs="Times New Roman"/>
          <w:lang w:bidi="he-IL"/>
        </w:rPr>
        <w:t xml:space="preserve">, R. and Ali, M.S.B. (2012) Exchange Rate Pass-Through and Inflation Dynamics in Tunisia: A Markov-Switching Approach </w:t>
      </w:r>
      <w:r w:rsidRPr="003E5B17">
        <w:rPr>
          <w:rFonts w:ascii="Times New Roman" w:hAnsi="Times New Roman" w:cs="Times New Roman"/>
          <w:i/>
          <w:lang w:bidi="he-IL"/>
        </w:rPr>
        <w:t>Discussion Paper</w:t>
      </w:r>
      <w:r w:rsidR="00A72C43" w:rsidRPr="003E5B17">
        <w:rPr>
          <w:rFonts w:ascii="Times New Roman" w:hAnsi="Times New Roman" w:cs="Times New Roman"/>
          <w:i/>
          <w:lang w:bidi="he-IL"/>
        </w:rPr>
        <w:t>,</w:t>
      </w:r>
      <w:r w:rsidRPr="003E5B17">
        <w:rPr>
          <w:rFonts w:ascii="Times New Roman" w:hAnsi="Times New Roman" w:cs="Times New Roman"/>
          <w:lang w:bidi="he-IL"/>
        </w:rPr>
        <w:t xml:space="preserve"> </w:t>
      </w:r>
      <w:r w:rsidRPr="003E5B17">
        <w:rPr>
          <w:rFonts w:ascii="Times New Roman" w:hAnsi="Times New Roman" w:cs="Times New Roman"/>
          <w:i/>
          <w:iCs/>
          <w:lang w:bidi="he-IL"/>
        </w:rPr>
        <w:t>Kiel Institute for the World Economy</w:t>
      </w:r>
      <w:r w:rsidRPr="003E5B17">
        <w:rPr>
          <w:rFonts w:ascii="Times New Roman" w:hAnsi="Times New Roman" w:cs="Times New Roman"/>
          <w:lang w:bidi="he-IL"/>
        </w:rPr>
        <w:t>, No. 2012-39</w:t>
      </w:r>
      <w:r w:rsidR="00A72C43" w:rsidRPr="003E5B17">
        <w:rPr>
          <w:rFonts w:ascii="Times New Roman" w:hAnsi="Times New Roman" w:cs="Times New Roman"/>
          <w:lang w:bidi="he-IL"/>
        </w:rPr>
        <w:t>.</w:t>
      </w:r>
    </w:p>
    <w:p w:rsidR="00455F8E" w:rsidRPr="003E5B17" w:rsidRDefault="00455F8E"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proofErr w:type="spellStart"/>
      <w:r w:rsidRPr="003E5B17">
        <w:rPr>
          <w:rFonts w:ascii="Times New Roman" w:hAnsi="Times New Roman" w:cs="Times New Roman"/>
        </w:rPr>
        <w:t>Khodeir</w:t>
      </w:r>
      <w:proofErr w:type="spellEnd"/>
      <w:r w:rsidRPr="003E5B17">
        <w:rPr>
          <w:rFonts w:ascii="Times New Roman" w:hAnsi="Times New Roman" w:cs="Times New Roman"/>
        </w:rPr>
        <w:t xml:space="preserve">, Aliaa N. (2012) Towards Inflation Targeting in Egypt: The Relationship </w:t>
      </w:r>
      <w:r w:rsidR="00A72C43" w:rsidRPr="003E5B17">
        <w:rPr>
          <w:rFonts w:ascii="Times New Roman" w:hAnsi="Times New Roman" w:cs="Times New Roman"/>
        </w:rPr>
        <w:t>between</w:t>
      </w:r>
      <w:r w:rsidRPr="003E5B17">
        <w:rPr>
          <w:rFonts w:ascii="Times New Roman" w:hAnsi="Times New Roman" w:cs="Times New Roman"/>
        </w:rPr>
        <w:t xml:space="preserve"> Exchange Rate and Inflation. </w:t>
      </w:r>
      <w:r w:rsidRPr="003E5B17">
        <w:rPr>
          <w:rFonts w:ascii="Times New Roman" w:hAnsi="Times New Roman" w:cs="Times New Roman"/>
          <w:i/>
        </w:rPr>
        <w:t xml:space="preserve">South African Journal of Economics and Management Sciences </w:t>
      </w:r>
      <w:r w:rsidR="00031D22" w:rsidRPr="003E5B17">
        <w:rPr>
          <w:rFonts w:ascii="Times New Roman" w:hAnsi="Times New Roman" w:cs="Times New Roman"/>
        </w:rPr>
        <w:t>15:3, 325-</w:t>
      </w:r>
      <w:r w:rsidRPr="003E5B17">
        <w:rPr>
          <w:rFonts w:ascii="Times New Roman" w:hAnsi="Times New Roman" w:cs="Times New Roman"/>
        </w:rPr>
        <w:t>332.</w:t>
      </w:r>
    </w:p>
    <w:p w:rsidR="00FA00B4" w:rsidRPr="003E5B17" w:rsidRDefault="00FA00B4"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r w:rsidRPr="003E5B17">
        <w:rPr>
          <w:rFonts w:ascii="Times New Roman" w:hAnsi="Times New Roman" w:cs="Times New Roman"/>
        </w:rPr>
        <w:t xml:space="preserve">Kim, Y. (1990) Exchange Rates and Import Prices in the U.S.: A Varying Parameter Estimation of Exchange Rate Pass-Through. </w:t>
      </w:r>
      <w:r w:rsidRPr="003E5B17">
        <w:rPr>
          <w:rFonts w:ascii="Times New Roman" w:hAnsi="Times New Roman" w:cs="Times New Roman"/>
          <w:i/>
        </w:rPr>
        <w:t>Journal of Business and Economic Statistics</w:t>
      </w:r>
      <w:r w:rsidR="00031D22" w:rsidRPr="003E5B17">
        <w:rPr>
          <w:rFonts w:ascii="Times New Roman" w:hAnsi="Times New Roman" w:cs="Times New Roman"/>
        </w:rPr>
        <w:t xml:space="preserve"> 8:3, 305-</w:t>
      </w:r>
      <w:r w:rsidRPr="003E5B17">
        <w:rPr>
          <w:rFonts w:ascii="Times New Roman" w:hAnsi="Times New Roman" w:cs="Times New Roman"/>
        </w:rPr>
        <w:t>315.</w:t>
      </w:r>
    </w:p>
    <w:p w:rsidR="00ED7EFF" w:rsidRPr="003E5B17" w:rsidRDefault="00ED7EFF"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proofErr w:type="spellStart"/>
      <w:r w:rsidRPr="003E5B17">
        <w:rPr>
          <w:rFonts w:ascii="Times New Roman" w:hAnsi="Times New Roman" w:cs="Times New Roman"/>
        </w:rPr>
        <w:t>Knetter</w:t>
      </w:r>
      <w:proofErr w:type="spellEnd"/>
      <w:r w:rsidRPr="003E5B17">
        <w:rPr>
          <w:rFonts w:ascii="Times New Roman" w:hAnsi="Times New Roman" w:cs="Times New Roman"/>
        </w:rPr>
        <w:t>, M.</w:t>
      </w:r>
      <w:r w:rsidR="00031D22" w:rsidRPr="003E5B17">
        <w:rPr>
          <w:rFonts w:ascii="Times New Roman" w:hAnsi="Times New Roman" w:cs="Times New Roman"/>
        </w:rPr>
        <w:t xml:space="preserve"> </w:t>
      </w:r>
      <w:r w:rsidRPr="003E5B17">
        <w:rPr>
          <w:rFonts w:ascii="Times New Roman" w:hAnsi="Times New Roman" w:cs="Times New Roman"/>
        </w:rPr>
        <w:t>(1989) Price Discrimina</w:t>
      </w:r>
      <w:r w:rsidR="00A72C43" w:rsidRPr="003E5B17">
        <w:rPr>
          <w:rFonts w:ascii="Times New Roman" w:hAnsi="Times New Roman" w:cs="Times New Roman"/>
        </w:rPr>
        <w:t>tion by US and German Exporters</w:t>
      </w:r>
      <w:r w:rsidRPr="003E5B17">
        <w:rPr>
          <w:rFonts w:ascii="Times New Roman" w:hAnsi="Times New Roman" w:cs="Times New Roman"/>
        </w:rPr>
        <w:t xml:space="preserve"> </w:t>
      </w:r>
      <w:r w:rsidRPr="003E5B17">
        <w:rPr>
          <w:rFonts w:ascii="Times New Roman" w:hAnsi="Times New Roman" w:cs="Times New Roman"/>
          <w:i/>
        </w:rPr>
        <w:t>American Economic Review</w:t>
      </w:r>
      <w:r w:rsidR="00031D22" w:rsidRPr="003E5B17">
        <w:rPr>
          <w:rFonts w:ascii="Times New Roman" w:hAnsi="Times New Roman" w:cs="Times New Roman"/>
        </w:rPr>
        <w:t xml:space="preserve"> 79:1, 198-</w:t>
      </w:r>
      <w:r w:rsidRPr="003E5B17">
        <w:rPr>
          <w:rFonts w:ascii="Times New Roman" w:hAnsi="Times New Roman" w:cs="Times New Roman"/>
        </w:rPr>
        <w:t>210.</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proofErr w:type="spellStart"/>
      <w:r w:rsidRPr="003E5B17">
        <w:rPr>
          <w:rFonts w:ascii="Times New Roman" w:hAnsi="Times New Roman" w:cs="Times New Roman"/>
          <w:lang w:bidi="he-IL"/>
        </w:rPr>
        <w:t>Knetter</w:t>
      </w:r>
      <w:proofErr w:type="spellEnd"/>
      <w:r w:rsidRPr="003E5B17">
        <w:rPr>
          <w:rFonts w:ascii="Times New Roman" w:hAnsi="Times New Roman" w:cs="Times New Roman"/>
          <w:lang w:bidi="he-IL"/>
        </w:rPr>
        <w:t xml:space="preserve">, M. (1993) International Comparisons of Pricing-to-Market Behavior. </w:t>
      </w:r>
      <w:r w:rsidRPr="003E5B17">
        <w:rPr>
          <w:rFonts w:ascii="Times New Roman" w:hAnsi="Times New Roman" w:cs="Times New Roman"/>
          <w:i/>
          <w:lang w:bidi="he-IL"/>
        </w:rPr>
        <w:t>American Economic Review</w:t>
      </w:r>
      <w:r w:rsidR="00031D22" w:rsidRPr="003E5B17">
        <w:rPr>
          <w:rFonts w:ascii="Times New Roman" w:hAnsi="Times New Roman" w:cs="Times New Roman"/>
          <w:lang w:bidi="he-IL"/>
        </w:rPr>
        <w:t xml:space="preserve"> 83:3, 423-</w:t>
      </w:r>
      <w:r w:rsidRPr="003E5B17">
        <w:rPr>
          <w:rFonts w:ascii="Times New Roman" w:hAnsi="Times New Roman" w:cs="Times New Roman"/>
          <w:lang w:bidi="he-IL"/>
        </w:rPr>
        <w:t>436.</w:t>
      </w:r>
    </w:p>
    <w:p w:rsidR="00FA00B4" w:rsidRPr="003E5B17" w:rsidRDefault="00FA00B4"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lang w:bidi="he-IL"/>
        </w:rPr>
      </w:pPr>
      <w:r w:rsidRPr="003E5B17">
        <w:rPr>
          <w:rFonts w:ascii="Times New Roman" w:hAnsi="Times New Roman" w:cs="Times New Roman"/>
        </w:rPr>
        <w:t>Kravis, R.B</w:t>
      </w:r>
      <w:r w:rsidR="00A72C43" w:rsidRPr="003E5B17">
        <w:rPr>
          <w:rFonts w:ascii="Times New Roman" w:hAnsi="Times New Roman" w:cs="Times New Roman"/>
        </w:rPr>
        <w:t>.</w:t>
      </w:r>
      <w:r w:rsidRPr="003E5B17">
        <w:rPr>
          <w:rFonts w:ascii="Times New Roman" w:hAnsi="Times New Roman" w:cs="Times New Roman"/>
        </w:rPr>
        <w:t xml:space="preserve"> and </w:t>
      </w:r>
      <w:r w:rsidR="00A72C43" w:rsidRPr="003E5B17">
        <w:rPr>
          <w:rFonts w:ascii="Times New Roman" w:hAnsi="Times New Roman" w:cs="Times New Roman"/>
        </w:rPr>
        <w:t xml:space="preserve">Lipsey, </w:t>
      </w:r>
      <w:r w:rsidRPr="003E5B17">
        <w:rPr>
          <w:rFonts w:ascii="Times New Roman" w:hAnsi="Times New Roman" w:cs="Times New Roman"/>
        </w:rPr>
        <w:t>R.</w:t>
      </w:r>
      <w:r w:rsidR="00A72C43" w:rsidRPr="003E5B17">
        <w:rPr>
          <w:rFonts w:ascii="Times New Roman" w:hAnsi="Times New Roman" w:cs="Times New Roman"/>
        </w:rPr>
        <w:t>E.</w:t>
      </w:r>
      <w:r w:rsidRPr="003E5B17">
        <w:rPr>
          <w:rFonts w:ascii="Times New Roman" w:hAnsi="Times New Roman" w:cs="Times New Roman"/>
        </w:rPr>
        <w:t xml:space="preserve"> (1977) </w:t>
      </w:r>
      <w:r w:rsidRPr="003E5B17">
        <w:rPr>
          <w:rFonts w:ascii="Times New Roman" w:hAnsi="Times New Roman" w:cs="Times New Roman"/>
          <w:lang w:bidi="he-IL"/>
        </w:rPr>
        <w:t xml:space="preserve">Export Prices and the Transmission of Inflation </w:t>
      </w:r>
      <w:r w:rsidRPr="003E5B17">
        <w:rPr>
          <w:rFonts w:ascii="Times New Roman" w:hAnsi="Times New Roman" w:cs="Times New Roman"/>
          <w:i/>
          <w:lang w:bidi="he-IL"/>
        </w:rPr>
        <w:t xml:space="preserve">American Economic Review </w:t>
      </w:r>
      <w:r w:rsidR="00031D22" w:rsidRPr="003E5B17">
        <w:rPr>
          <w:rFonts w:ascii="Times New Roman" w:hAnsi="Times New Roman" w:cs="Times New Roman"/>
          <w:lang w:bidi="he-IL"/>
        </w:rPr>
        <w:t>67:1, 155-</w:t>
      </w:r>
      <w:r w:rsidRPr="003E5B17">
        <w:rPr>
          <w:rFonts w:ascii="Times New Roman" w:hAnsi="Times New Roman" w:cs="Times New Roman"/>
          <w:lang w:bidi="he-IL"/>
        </w:rPr>
        <w:t>163.</w:t>
      </w:r>
    </w:p>
    <w:p w:rsidR="004270D8" w:rsidRPr="003E5B17" w:rsidRDefault="004270D8" w:rsidP="00C2344B">
      <w:pPr>
        <w:jc w:val="both"/>
        <w:rPr>
          <w:rFonts w:ascii="Times New Roman" w:hAnsi="Times New Roman" w:cs="Times New Roman"/>
          <w:lang w:bidi="he-IL"/>
        </w:rPr>
      </w:pPr>
    </w:p>
    <w:p w:rsidR="00ED7EFF" w:rsidRPr="003E5B17" w:rsidRDefault="00ED7EFF"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 xml:space="preserve">Krugman, Paul, (1979) A Model of Balance-of-Payments Crises </w:t>
      </w:r>
      <w:r w:rsidRPr="003E5B17">
        <w:rPr>
          <w:rFonts w:ascii="Times New Roman" w:hAnsi="Times New Roman" w:cs="Times New Roman"/>
          <w:i/>
          <w:iCs/>
          <w:lang w:bidi="he-IL"/>
        </w:rPr>
        <w:t>Journal of Money</w:t>
      </w:r>
      <w:r w:rsidR="00236028" w:rsidRPr="003E5B17">
        <w:rPr>
          <w:rFonts w:ascii="Times New Roman" w:hAnsi="Times New Roman" w:cs="Times New Roman"/>
          <w:i/>
          <w:iCs/>
          <w:lang w:bidi="he-IL"/>
        </w:rPr>
        <w:t>,</w:t>
      </w:r>
      <w:r w:rsidRPr="003E5B17">
        <w:rPr>
          <w:rFonts w:ascii="Times New Roman" w:hAnsi="Times New Roman" w:cs="Times New Roman"/>
          <w:i/>
          <w:iCs/>
          <w:lang w:bidi="he-IL"/>
        </w:rPr>
        <w:t xml:space="preserve"> Credit and Banking</w:t>
      </w:r>
      <w:r w:rsidR="00031D22" w:rsidRPr="003E5B17">
        <w:rPr>
          <w:rFonts w:ascii="Times New Roman" w:hAnsi="Times New Roman" w:cs="Times New Roman"/>
          <w:lang w:bidi="he-IL"/>
        </w:rPr>
        <w:t xml:space="preserve"> 11:3, 311-</w:t>
      </w:r>
      <w:r w:rsidRPr="003E5B17">
        <w:rPr>
          <w:rFonts w:ascii="Times New Roman" w:hAnsi="Times New Roman" w:cs="Times New Roman"/>
          <w:lang w:bidi="he-IL"/>
        </w:rPr>
        <w:t>325.</w:t>
      </w:r>
    </w:p>
    <w:p w:rsidR="004270D8" w:rsidRPr="003E5B17" w:rsidRDefault="004270D8" w:rsidP="00C2344B">
      <w:pPr>
        <w:autoSpaceDE w:val="0"/>
        <w:autoSpaceDN w:val="0"/>
        <w:adjustRightInd w:val="0"/>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r w:rsidRPr="003E5B17">
        <w:rPr>
          <w:rFonts w:ascii="Times New Roman" w:hAnsi="Times New Roman" w:cs="Times New Roman"/>
        </w:rPr>
        <w:t xml:space="preserve">Krugman, P. (1987) Pricing to Market when the Exchange Rate Changes, in </w:t>
      </w:r>
      <w:r w:rsidR="00FA00B4" w:rsidRPr="003E5B17">
        <w:rPr>
          <w:rFonts w:ascii="Times New Roman" w:hAnsi="Times New Roman" w:cs="Times New Roman"/>
          <w:i/>
        </w:rPr>
        <w:t>Real-</w:t>
      </w:r>
      <w:r w:rsidRPr="003E5B17">
        <w:rPr>
          <w:rFonts w:ascii="Times New Roman" w:hAnsi="Times New Roman" w:cs="Times New Roman"/>
          <w:i/>
        </w:rPr>
        <w:t>Financial Linkages among Open Economies,</w:t>
      </w:r>
      <w:r w:rsidRPr="003E5B17">
        <w:rPr>
          <w:rFonts w:ascii="Times New Roman" w:hAnsi="Times New Roman" w:cs="Times New Roman"/>
        </w:rPr>
        <w:t xml:space="preserve"> ed</w:t>
      </w:r>
      <w:r w:rsidR="00031D22" w:rsidRPr="003E5B17">
        <w:rPr>
          <w:rFonts w:ascii="Times New Roman" w:hAnsi="Times New Roman" w:cs="Times New Roman"/>
        </w:rPr>
        <w:t>s.: Sven, W. and Richardson, J.D. MIT Press, 49-</w:t>
      </w:r>
      <w:r w:rsidRPr="003E5B17">
        <w:rPr>
          <w:rFonts w:ascii="Times New Roman" w:hAnsi="Times New Roman" w:cs="Times New Roman"/>
        </w:rPr>
        <w:t>70.</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r w:rsidRPr="003E5B17">
        <w:rPr>
          <w:rFonts w:ascii="Times New Roman" w:hAnsi="Times New Roman" w:cs="Times New Roman"/>
          <w:lang w:bidi="he-IL"/>
        </w:rPr>
        <w:t xml:space="preserve">Krugman, P. and Obstfeld, M. (1994) </w:t>
      </w:r>
      <w:r w:rsidRPr="003E5B17">
        <w:rPr>
          <w:rFonts w:ascii="Times New Roman" w:hAnsi="Times New Roman" w:cs="Times New Roman"/>
          <w:i/>
          <w:iCs/>
          <w:lang w:bidi="he-IL"/>
        </w:rPr>
        <w:t>International Economics</w:t>
      </w:r>
      <w:r w:rsidRPr="003E5B17">
        <w:rPr>
          <w:rFonts w:ascii="Times New Roman" w:hAnsi="Times New Roman" w:cs="Times New Roman"/>
          <w:lang w:bidi="he-IL"/>
        </w:rPr>
        <w:t>. Boston: Scott, Foresman/Little Brown.</w:t>
      </w:r>
    </w:p>
    <w:p w:rsidR="00FA00B4" w:rsidRPr="003E5B17" w:rsidRDefault="00FA00B4" w:rsidP="00C2344B">
      <w:pPr>
        <w:autoSpaceDE w:val="0"/>
        <w:autoSpaceDN w:val="0"/>
        <w:adjustRightInd w:val="0"/>
        <w:jc w:val="both"/>
        <w:rPr>
          <w:rFonts w:ascii="Times New Roman" w:hAnsi="Times New Roman" w:cs="Times New Roman"/>
          <w:lang w:bidi="he-IL"/>
        </w:rPr>
      </w:pPr>
    </w:p>
    <w:p w:rsidR="00ED7EFF" w:rsidRPr="003E5B17" w:rsidRDefault="00ED7EFF"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 xml:space="preserve">Lancaster, Kelvin (1980) Intra-industry Trade </w:t>
      </w:r>
      <w:r w:rsidR="00A72C43" w:rsidRPr="003E5B17">
        <w:rPr>
          <w:rFonts w:ascii="Times New Roman" w:hAnsi="Times New Roman" w:cs="Times New Roman"/>
          <w:lang w:bidi="he-IL"/>
        </w:rPr>
        <w:t>under</w:t>
      </w:r>
      <w:r w:rsidRPr="003E5B17">
        <w:rPr>
          <w:rFonts w:ascii="Times New Roman" w:hAnsi="Times New Roman" w:cs="Times New Roman"/>
          <w:lang w:bidi="he-IL"/>
        </w:rPr>
        <w:t xml:space="preserve"> Perfect Monopolistic Competition </w:t>
      </w:r>
      <w:r w:rsidRPr="003E5B17">
        <w:rPr>
          <w:rFonts w:ascii="Times New Roman" w:hAnsi="Times New Roman" w:cs="Times New Roman"/>
          <w:i/>
          <w:iCs/>
          <w:lang w:bidi="he-IL"/>
        </w:rPr>
        <w:t>Journal of International Economics</w:t>
      </w:r>
      <w:r w:rsidR="00031D22" w:rsidRPr="003E5B17">
        <w:rPr>
          <w:rFonts w:ascii="Times New Roman" w:hAnsi="Times New Roman" w:cs="Times New Roman"/>
          <w:lang w:bidi="he-IL"/>
        </w:rPr>
        <w:t xml:space="preserve"> 10:2, 151-1</w:t>
      </w:r>
      <w:r w:rsidRPr="003E5B17">
        <w:rPr>
          <w:rFonts w:ascii="Times New Roman" w:hAnsi="Times New Roman" w:cs="Times New Roman"/>
          <w:lang w:bidi="he-IL"/>
        </w:rPr>
        <w:t>75.</w:t>
      </w:r>
    </w:p>
    <w:p w:rsidR="004270D8" w:rsidRPr="003E5B17" w:rsidRDefault="004270D8" w:rsidP="00C2344B">
      <w:pPr>
        <w:autoSpaceDE w:val="0"/>
        <w:autoSpaceDN w:val="0"/>
        <w:adjustRightInd w:val="0"/>
        <w:jc w:val="both"/>
        <w:rPr>
          <w:rFonts w:ascii="Times New Roman" w:hAnsi="Times New Roman" w:cs="Times New Roman"/>
        </w:rPr>
      </w:pPr>
    </w:p>
    <w:p w:rsidR="00F325E7" w:rsidRPr="003E5B17" w:rsidRDefault="00F325E7" w:rsidP="00C2344B">
      <w:pPr>
        <w:autoSpaceDE w:val="0"/>
        <w:autoSpaceDN w:val="0"/>
        <w:adjustRightInd w:val="0"/>
        <w:jc w:val="both"/>
        <w:rPr>
          <w:rFonts w:ascii="Times New Roman" w:hAnsi="Times New Roman" w:cs="Times New Roman"/>
        </w:rPr>
      </w:pPr>
      <w:r w:rsidRPr="003E5B17">
        <w:rPr>
          <w:rFonts w:ascii="Times New Roman" w:hAnsi="Times New Roman" w:cs="Times New Roman"/>
        </w:rPr>
        <w:t>Liu, H. Y and Chen, X. L (2017) The Imported Price, Inflation and Exchange rate pass-through in China, Cogent Economic and Finance, Vol. 5</w:t>
      </w:r>
    </w:p>
    <w:p w:rsidR="00F325E7" w:rsidRPr="003E5B17" w:rsidRDefault="00F325E7" w:rsidP="00C2344B">
      <w:pPr>
        <w:autoSpaceDE w:val="0"/>
        <w:autoSpaceDN w:val="0"/>
        <w:adjustRightInd w:val="0"/>
        <w:jc w:val="both"/>
        <w:rPr>
          <w:rFonts w:ascii="Times New Roman" w:hAnsi="Times New Roman" w:cs="Times New Roman"/>
        </w:rPr>
      </w:pPr>
    </w:p>
    <w:p w:rsidR="00ED7EFF" w:rsidRPr="003E5B17" w:rsidRDefault="00031D22" w:rsidP="00C2344B">
      <w:pPr>
        <w:jc w:val="both"/>
        <w:rPr>
          <w:rFonts w:ascii="Times New Roman" w:hAnsi="Times New Roman" w:cs="Times New Roman"/>
        </w:rPr>
      </w:pPr>
      <w:r w:rsidRPr="003E5B17">
        <w:rPr>
          <w:rFonts w:ascii="Times New Roman" w:hAnsi="Times New Roman" w:cs="Times New Roman"/>
        </w:rPr>
        <w:t>Marston, R.</w:t>
      </w:r>
      <w:r w:rsidR="00ED7EFF" w:rsidRPr="003E5B17">
        <w:rPr>
          <w:rFonts w:ascii="Times New Roman" w:hAnsi="Times New Roman" w:cs="Times New Roman"/>
        </w:rPr>
        <w:t xml:space="preserve">C. (1990) Pricing to Market in Japanese Manufacturing </w:t>
      </w:r>
      <w:r w:rsidR="00ED7EFF" w:rsidRPr="003E5B17">
        <w:rPr>
          <w:rFonts w:ascii="Times New Roman" w:hAnsi="Times New Roman" w:cs="Times New Roman"/>
          <w:i/>
        </w:rPr>
        <w:t>Journal of International Economics</w:t>
      </w:r>
      <w:r w:rsidRPr="003E5B17">
        <w:rPr>
          <w:rFonts w:ascii="Times New Roman" w:hAnsi="Times New Roman" w:cs="Times New Roman"/>
        </w:rPr>
        <w:t xml:space="preserve"> 29, 217-</w:t>
      </w:r>
      <w:r w:rsidR="00ED7EFF" w:rsidRPr="003E5B17">
        <w:rPr>
          <w:rFonts w:ascii="Times New Roman" w:hAnsi="Times New Roman" w:cs="Times New Roman"/>
        </w:rPr>
        <w:t>236.</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r w:rsidRPr="003E5B17">
        <w:rPr>
          <w:rFonts w:ascii="Times New Roman" w:hAnsi="Times New Roman" w:cs="Times New Roman"/>
        </w:rPr>
        <w:t xml:space="preserve">McCarthy J. (2007) Pass-Through of Exchange Rates and Import Prices to Domestic Inflation in Some Industrialized Economies </w:t>
      </w:r>
      <w:r w:rsidRPr="003E5B17">
        <w:rPr>
          <w:rFonts w:ascii="Times New Roman" w:hAnsi="Times New Roman" w:cs="Times New Roman"/>
          <w:i/>
          <w:iCs/>
        </w:rPr>
        <w:t>Eastern Economic Journal</w:t>
      </w:r>
      <w:r w:rsidRPr="003E5B17">
        <w:rPr>
          <w:rFonts w:ascii="Times New Roman" w:hAnsi="Times New Roman" w:cs="Times New Roman"/>
        </w:rPr>
        <w:t xml:space="preserve"> </w:t>
      </w:r>
      <w:r w:rsidR="00031D22" w:rsidRPr="003E5B17">
        <w:rPr>
          <w:rFonts w:ascii="Times New Roman" w:hAnsi="Times New Roman" w:cs="Times New Roman"/>
          <w:iCs/>
        </w:rPr>
        <w:t>33:4, 511-</w:t>
      </w:r>
      <w:r w:rsidRPr="003E5B17">
        <w:rPr>
          <w:rFonts w:ascii="Times New Roman" w:hAnsi="Times New Roman" w:cs="Times New Roman"/>
          <w:iCs/>
        </w:rPr>
        <w:t>537</w:t>
      </w:r>
      <w:r w:rsidRPr="003E5B17">
        <w:rPr>
          <w:rFonts w:ascii="Times New Roman" w:hAnsi="Times New Roman" w:cs="Times New Roman"/>
        </w:rPr>
        <w:t>.</w:t>
      </w:r>
    </w:p>
    <w:p w:rsidR="004270D8" w:rsidRPr="003E5B17" w:rsidRDefault="004270D8" w:rsidP="00C2344B">
      <w:pPr>
        <w:autoSpaceDE w:val="0"/>
        <w:autoSpaceDN w:val="0"/>
        <w:adjustRightInd w:val="0"/>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r w:rsidRPr="003E5B17">
        <w:rPr>
          <w:rFonts w:ascii="Times New Roman" w:hAnsi="Times New Roman" w:cs="Times New Roman"/>
        </w:rPr>
        <w:t xml:space="preserve">Menon, J. (1995a) Exchange Rate and Import prices for a Small Open Economy. </w:t>
      </w:r>
      <w:r w:rsidRPr="003E5B17">
        <w:rPr>
          <w:rFonts w:ascii="Times New Roman" w:hAnsi="Times New Roman" w:cs="Times New Roman"/>
          <w:i/>
        </w:rPr>
        <w:t>Applied Economics</w:t>
      </w:r>
      <w:r w:rsidR="00031D22" w:rsidRPr="003E5B17">
        <w:rPr>
          <w:rFonts w:ascii="Times New Roman" w:hAnsi="Times New Roman" w:cs="Times New Roman"/>
        </w:rPr>
        <w:t xml:space="preserve"> 27:3, 297-</w:t>
      </w:r>
      <w:r w:rsidRPr="003E5B17">
        <w:rPr>
          <w:rFonts w:ascii="Times New Roman" w:hAnsi="Times New Roman" w:cs="Times New Roman"/>
        </w:rPr>
        <w:t xml:space="preserve">301.  </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r w:rsidRPr="003E5B17">
        <w:rPr>
          <w:rFonts w:ascii="Times New Roman" w:hAnsi="Times New Roman" w:cs="Times New Roman"/>
        </w:rPr>
        <w:t>Menon</w:t>
      </w:r>
      <w:r w:rsidR="00031D22" w:rsidRPr="003E5B17">
        <w:rPr>
          <w:rFonts w:ascii="Times New Roman" w:hAnsi="Times New Roman" w:cs="Times New Roman"/>
        </w:rPr>
        <w:t>, J</w:t>
      </w:r>
      <w:r w:rsidRPr="003E5B17">
        <w:rPr>
          <w:rFonts w:ascii="Times New Roman" w:hAnsi="Times New Roman" w:cs="Times New Roman"/>
        </w:rPr>
        <w:t xml:space="preserve">. (1995b) Exchange Rate Pass-Through. </w:t>
      </w:r>
      <w:r w:rsidRPr="003E5B17">
        <w:rPr>
          <w:rFonts w:ascii="Times New Roman" w:hAnsi="Times New Roman" w:cs="Times New Roman"/>
          <w:i/>
          <w:iCs/>
        </w:rPr>
        <w:t>Journal of Economic Surveys</w:t>
      </w:r>
      <w:r w:rsidRPr="003E5B17">
        <w:rPr>
          <w:rFonts w:ascii="Times New Roman" w:hAnsi="Times New Roman" w:cs="Times New Roman"/>
        </w:rPr>
        <w:t xml:space="preserve"> 9:</w:t>
      </w:r>
      <w:r w:rsidR="00A72C43" w:rsidRPr="003E5B17">
        <w:rPr>
          <w:rFonts w:ascii="Times New Roman" w:hAnsi="Times New Roman" w:cs="Times New Roman"/>
        </w:rPr>
        <w:t>2, 197-</w:t>
      </w:r>
      <w:r w:rsidRPr="003E5B17">
        <w:rPr>
          <w:rFonts w:ascii="Times New Roman" w:hAnsi="Times New Roman" w:cs="Times New Roman"/>
        </w:rPr>
        <w:t xml:space="preserve">231. </w:t>
      </w:r>
    </w:p>
    <w:p w:rsidR="00ED7EFF" w:rsidRPr="003E5B17" w:rsidRDefault="00ED7EFF"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r w:rsidRPr="003E5B17">
        <w:rPr>
          <w:rFonts w:ascii="Times New Roman" w:hAnsi="Times New Roman" w:cs="Times New Roman"/>
        </w:rPr>
        <w:t xml:space="preserve">Menon, J. (1996) The Degree and Determinants of Exchange Rate Pass-through: Market Structure, Non-tariff Barriers and Multinational Corporations, </w:t>
      </w:r>
      <w:r w:rsidRPr="003E5B17">
        <w:rPr>
          <w:rFonts w:ascii="Times New Roman" w:hAnsi="Times New Roman" w:cs="Times New Roman"/>
          <w:i/>
        </w:rPr>
        <w:t>Economic Journal</w:t>
      </w:r>
      <w:r w:rsidR="00A72C43" w:rsidRPr="003E5B17">
        <w:rPr>
          <w:rFonts w:ascii="Times New Roman" w:hAnsi="Times New Roman" w:cs="Times New Roman"/>
        </w:rPr>
        <w:t xml:space="preserve"> 106:435, 434-</w:t>
      </w:r>
      <w:r w:rsidRPr="003E5B17">
        <w:rPr>
          <w:rFonts w:ascii="Times New Roman" w:hAnsi="Times New Roman" w:cs="Times New Roman"/>
        </w:rPr>
        <w:t xml:space="preserve">444.  </w:t>
      </w:r>
    </w:p>
    <w:p w:rsidR="00ED7EFF" w:rsidRPr="003E5B17" w:rsidRDefault="00ED7EFF" w:rsidP="00C2344B">
      <w:pPr>
        <w:jc w:val="both"/>
        <w:rPr>
          <w:rFonts w:ascii="Times New Roman" w:hAnsi="Times New Roman" w:cs="Times New Roman"/>
        </w:rPr>
      </w:pPr>
    </w:p>
    <w:p w:rsidR="00ED7EFF" w:rsidRPr="003E5B17" w:rsidRDefault="00A72C43" w:rsidP="00C2344B">
      <w:pPr>
        <w:jc w:val="both"/>
        <w:rPr>
          <w:rFonts w:ascii="Times New Roman" w:hAnsi="Times New Roman" w:cs="Times New Roman"/>
        </w:rPr>
      </w:pPr>
      <w:proofErr w:type="spellStart"/>
      <w:r w:rsidRPr="003E5B17">
        <w:rPr>
          <w:rFonts w:ascii="Times New Roman" w:hAnsi="Times New Roman" w:cs="Times New Roman"/>
        </w:rPr>
        <w:t>Mihaljek</w:t>
      </w:r>
      <w:proofErr w:type="spellEnd"/>
      <w:r w:rsidRPr="003E5B17">
        <w:rPr>
          <w:rFonts w:ascii="Times New Roman" w:hAnsi="Times New Roman" w:cs="Times New Roman"/>
        </w:rPr>
        <w:t xml:space="preserve">, D. and </w:t>
      </w:r>
      <w:proofErr w:type="spellStart"/>
      <w:r w:rsidRPr="003E5B17">
        <w:rPr>
          <w:rFonts w:ascii="Times New Roman" w:hAnsi="Times New Roman" w:cs="Times New Roman"/>
        </w:rPr>
        <w:t>Klau</w:t>
      </w:r>
      <w:proofErr w:type="spellEnd"/>
      <w:r w:rsidRPr="003E5B17">
        <w:rPr>
          <w:rFonts w:ascii="Times New Roman" w:hAnsi="Times New Roman" w:cs="Times New Roman"/>
        </w:rPr>
        <w:t>, M. (2007)</w:t>
      </w:r>
      <w:r w:rsidR="00ED7EFF" w:rsidRPr="003E5B17">
        <w:rPr>
          <w:rFonts w:ascii="Times New Roman" w:hAnsi="Times New Roman" w:cs="Times New Roman"/>
        </w:rPr>
        <w:t xml:space="preserve"> The Balassa-Samuelson Effect and the Maastricht </w:t>
      </w:r>
      <w:r w:rsidR="00060E7E" w:rsidRPr="003E5B17">
        <w:rPr>
          <w:rFonts w:ascii="Times New Roman" w:hAnsi="Times New Roman" w:cs="Times New Roman"/>
        </w:rPr>
        <w:t>Criteria: Revisiting the Debate.</w:t>
      </w:r>
      <w:r w:rsidR="00ED7EFF" w:rsidRPr="003E5B17">
        <w:rPr>
          <w:rFonts w:ascii="Times New Roman" w:hAnsi="Times New Roman" w:cs="Times New Roman"/>
        </w:rPr>
        <w:t xml:space="preserve"> </w:t>
      </w:r>
      <w:r w:rsidR="00060E7E" w:rsidRPr="003E5B17">
        <w:rPr>
          <w:rFonts w:ascii="Times New Roman" w:hAnsi="Times New Roman" w:cs="Times New Roman"/>
        </w:rPr>
        <w:t>In</w:t>
      </w:r>
      <w:r w:rsidR="00ED7EFF" w:rsidRPr="003E5B17">
        <w:rPr>
          <w:rFonts w:ascii="Times New Roman" w:hAnsi="Times New Roman" w:cs="Times New Roman"/>
        </w:rPr>
        <w:t xml:space="preserve"> </w:t>
      </w:r>
      <w:r w:rsidR="00ED7EFF" w:rsidRPr="003E5B17">
        <w:rPr>
          <w:rFonts w:ascii="Times New Roman" w:hAnsi="Times New Roman" w:cs="Times New Roman"/>
          <w:i/>
          <w:iCs/>
        </w:rPr>
        <w:t xml:space="preserve">N. </w:t>
      </w:r>
      <w:proofErr w:type="spellStart"/>
      <w:r w:rsidR="00ED7EFF" w:rsidRPr="003E5B17">
        <w:rPr>
          <w:rFonts w:ascii="Times New Roman" w:hAnsi="Times New Roman" w:cs="Times New Roman"/>
          <w:i/>
          <w:iCs/>
        </w:rPr>
        <w:t>Batini</w:t>
      </w:r>
      <w:proofErr w:type="spellEnd"/>
      <w:r w:rsidR="00ED7EFF" w:rsidRPr="003E5B17">
        <w:rPr>
          <w:rFonts w:ascii="Times New Roman" w:hAnsi="Times New Roman" w:cs="Times New Roman"/>
          <w:i/>
          <w:iCs/>
        </w:rPr>
        <w:t xml:space="preserve"> (</w:t>
      </w:r>
      <w:proofErr w:type="spellStart"/>
      <w:r w:rsidR="00ED7EFF" w:rsidRPr="003E5B17">
        <w:rPr>
          <w:rFonts w:ascii="Times New Roman" w:hAnsi="Times New Roman" w:cs="Times New Roman"/>
          <w:i/>
          <w:iCs/>
        </w:rPr>
        <w:t>ed</w:t>
      </w:r>
      <w:proofErr w:type="spellEnd"/>
      <w:r w:rsidR="00ED7EFF" w:rsidRPr="003E5B17">
        <w:rPr>
          <w:rFonts w:ascii="Times New Roman" w:hAnsi="Times New Roman" w:cs="Times New Roman"/>
          <w:i/>
          <w:iCs/>
        </w:rPr>
        <w:t>),</w:t>
      </w:r>
      <w:r w:rsidR="00ED7EFF" w:rsidRPr="003E5B17">
        <w:rPr>
          <w:rFonts w:ascii="Times New Roman" w:hAnsi="Times New Roman" w:cs="Times New Roman"/>
        </w:rPr>
        <w:t xml:space="preserve"> </w:t>
      </w:r>
      <w:r w:rsidR="00ED7EFF" w:rsidRPr="003E5B17">
        <w:rPr>
          <w:rFonts w:ascii="Times New Roman" w:hAnsi="Times New Roman" w:cs="Times New Roman"/>
          <w:i/>
          <w:iCs/>
        </w:rPr>
        <w:t>Monetary Policy in Emerging Markets and Other Developing Countries</w:t>
      </w:r>
      <w:r w:rsidR="00ED7EFF" w:rsidRPr="003E5B17">
        <w:rPr>
          <w:rFonts w:ascii="Times New Roman" w:hAnsi="Times New Roman" w:cs="Times New Roman"/>
        </w:rPr>
        <w:t xml:space="preserve"> New York: Nova Science Publishers</w:t>
      </w:r>
      <w:r w:rsidRPr="003E5B17">
        <w:rPr>
          <w:rFonts w:ascii="Times New Roman" w:hAnsi="Times New Roman" w:cs="Times New Roman"/>
        </w:rPr>
        <w:t>.</w:t>
      </w:r>
    </w:p>
    <w:p w:rsidR="004270D8" w:rsidRPr="003E5B17" w:rsidRDefault="004270D8"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rPr>
      </w:pPr>
      <w:r w:rsidRPr="003E5B17">
        <w:rPr>
          <w:rFonts w:ascii="Times New Roman" w:hAnsi="Times New Roman" w:cs="Times New Roman"/>
        </w:rPr>
        <w:t xml:space="preserve">Mishkin, F.S. and Schmidt-Hebbel, K. (2007) A Decade of Inflation Targeting in the World: What Do We Know and What Do We Need to Know? </w:t>
      </w:r>
      <w:r w:rsidR="00060E7E" w:rsidRPr="003E5B17">
        <w:rPr>
          <w:rFonts w:ascii="Times New Roman" w:hAnsi="Times New Roman" w:cs="Times New Roman"/>
        </w:rPr>
        <w:t>In</w:t>
      </w:r>
      <w:r w:rsidRPr="003E5B17">
        <w:rPr>
          <w:rFonts w:ascii="Times New Roman" w:hAnsi="Times New Roman" w:cs="Times New Roman"/>
          <w:i/>
          <w:iCs/>
        </w:rPr>
        <w:t xml:space="preserve"> F.S. Mishkin:</w:t>
      </w:r>
      <w:r w:rsidRPr="003E5B17">
        <w:rPr>
          <w:rFonts w:ascii="Times New Roman" w:hAnsi="Times New Roman" w:cs="Times New Roman"/>
        </w:rPr>
        <w:t xml:space="preserve"> </w:t>
      </w:r>
      <w:r w:rsidRPr="003E5B17">
        <w:rPr>
          <w:rFonts w:ascii="Times New Roman" w:hAnsi="Times New Roman" w:cs="Times New Roman"/>
          <w:i/>
          <w:iCs/>
        </w:rPr>
        <w:t xml:space="preserve">Monetary Policy </w:t>
      </w:r>
      <w:r w:rsidRPr="003E5B17">
        <w:rPr>
          <w:rFonts w:ascii="Times New Roman" w:hAnsi="Times New Roman" w:cs="Times New Roman"/>
          <w:i/>
        </w:rPr>
        <w:t>Strategy</w:t>
      </w:r>
      <w:r w:rsidRPr="003E5B17">
        <w:rPr>
          <w:rFonts w:ascii="Times New Roman" w:hAnsi="Times New Roman" w:cs="Times New Roman"/>
        </w:rPr>
        <w:t>, M.I.T. Press, Cambridge, MA</w:t>
      </w:r>
      <w:r w:rsidR="00A72C43" w:rsidRPr="003E5B17">
        <w:rPr>
          <w:rFonts w:ascii="Times New Roman" w:hAnsi="Times New Roman" w:cs="Times New Roman"/>
        </w:rPr>
        <w:t>.</w:t>
      </w:r>
    </w:p>
    <w:p w:rsidR="004270D8" w:rsidRPr="003E5B17" w:rsidRDefault="004270D8"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lang w:bidi="he-IL"/>
        </w:rPr>
      </w:pPr>
      <w:proofErr w:type="spellStart"/>
      <w:r w:rsidRPr="003E5B17">
        <w:rPr>
          <w:rFonts w:ascii="Times New Roman" w:hAnsi="Times New Roman" w:cs="Times New Roman"/>
        </w:rPr>
        <w:t>Mwase</w:t>
      </w:r>
      <w:proofErr w:type="spellEnd"/>
      <w:r w:rsidRPr="003E5B17">
        <w:rPr>
          <w:rFonts w:ascii="Times New Roman" w:hAnsi="Times New Roman" w:cs="Times New Roman"/>
        </w:rPr>
        <w:t>, N.</w:t>
      </w:r>
      <w:r w:rsidRPr="003E5B17">
        <w:rPr>
          <w:rFonts w:ascii="Times New Roman" w:hAnsi="Times New Roman" w:cs="Times New Roman"/>
          <w:lang w:bidi="he-IL"/>
        </w:rPr>
        <w:t xml:space="preserve"> (2006) An Empirical Investigation of the Exchange Rate Pass-Through to Inflation in Tanzania, </w:t>
      </w:r>
      <w:r w:rsidRPr="003E5B17">
        <w:rPr>
          <w:rFonts w:ascii="Times New Roman" w:hAnsi="Times New Roman" w:cs="Times New Roman"/>
          <w:i/>
          <w:lang w:bidi="he-IL"/>
        </w:rPr>
        <w:t>Working Paper</w:t>
      </w:r>
      <w:r w:rsidRPr="003E5B17">
        <w:rPr>
          <w:rFonts w:ascii="Times New Roman" w:hAnsi="Times New Roman" w:cs="Times New Roman"/>
          <w:lang w:bidi="he-IL"/>
        </w:rPr>
        <w:t xml:space="preserve"> No. 06/150, International Monetary Fund.</w:t>
      </w:r>
    </w:p>
    <w:p w:rsidR="004270D8" w:rsidRPr="003E5B17" w:rsidRDefault="004270D8" w:rsidP="00C2344B">
      <w:pPr>
        <w:jc w:val="both"/>
        <w:rPr>
          <w:rFonts w:ascii="Times New Roman" w:hAnsi="Times New Roman" w:cs="Times New Roman"/>
          <w:lang w:bidi="he-IL"/>
        </w:rPr>
      </w:pPr>
    </w:p>
    <w:p w:rsidR="00ED7EFF" w:rsidRPr="003E5B17" w:rsidRDefault="00ED7EFF" w:rsidP="00C2344B">
      <w:pPr>
        <w:contextualSpacing/>
        <w:jc w:val="both"/>
        <w:rPr>
          <w:rFonts w:ascii="Times New Roman" w:hAnsi="Times New Roman" w:cs="Times New Roman"/>
        </w:rPr>
      </w:pPr>
      <w:r w:rsidRPr="003E5B17">
        <w:rPr>
          <w:rFonts w:ascii="Times New Roman" w:hAnsi="Times New Roman" w:cs="Times New Roman"/>
        </w:rPr>
        <w:t xml:space="preserve">Naqvi, Bushra and Rizvi, Syed K. A. (2012) What Does Pakistan Have to Join </w:t>
      </w:r>
      <w:r w:rsidR="00A72C43" w:rsidRPr="003E5B17">
        <w:rPr>
          <w:rFonts w:ascii="Times New Roman" w:hAnsi="Times New Roman" w:cs="Times New Roman"/>
        </w:rPr>
        <w:t xml:space="preserve">the Inflation </w:t>
      </w:r>
      <w:proofErr w:type="spellStart"/>
      <w:r w:rsidR="00A72C43" w:rsidRPr="003E5B17">
        <w:rPr>
          <w:rFonts w:ascii="Times New Roman" w:hAnsi="Times New Roman" w:cs="Times New Roman"/>
        </w:rPr>
        <w:t>Targeters</w:t>
      </w:r>
      <w:proofErr w:type="spellEnd"/>
      <w:r w:rsidR="00A72C43" w:rsidRPr="003E5B17">
        <w:rPr>
          <w:rFonts w:ascii="Times New Roman" w:hAnsi="Times New Roman" w:cs="Times New Roman"/>
        </w:rPr>
        <w:t>’ Club—</w:t>
      </w:r>
      <w:r w:rsidRPr="003E5B17">
        <w:rPr>
          <w:rFonts w:ascii="Times New Roman" w:hAnsi="Times New Roman" w:cs="Times New Roman"/>
        </w:rPr>
        <w:t xml:space="preserve">A Royal Flush or a Seven-Deuce </w:t>
      </w:r>
      <w:proofErr w:type="spellStart"/>
      <w:r w:rsidRPr="003E5B17">
        <w:rPr>
          <w:rFonts w:ascii="Times New Roman" w:hAnsi="Times New Roman" w:cs="Times New Roman"/>
        </w:rPr>
        <w:t>Offsuit</w:t>
      </w:r>
      <w:proofErr w:type="spellEnd"/>
      <w:r w:rsidRPr="003E5B17">
        <w:rPr>
          <w:rFonts w:ascii="Times New Roman" w:hAnsi="Times New Roman" w:cs="Times New Roman"/>
        </w:rPr>
        <w:t xml:space="preserve">? </w:t>
      </w:r>
      <w:r w:rsidRPr="003E5B17">
        <w:rPr>
          <w:rFonts w:ascii="Times New Roman" w:hAnsi="Times New Roman" w:cs="Times New Roman"/>
          <w:i/>
          <w:iCs/>
        </w:rPr>
        <w:t xml:space="preserve">The Lahore Journal of Economics </w:t>
      </w:r>
      <w:r w:rsidR="00A72C43" w:rsidRPr="003E5B17">
        <w:rPr>
          <w:rFonts w:ascii="Times New Roman" w:hAnsi="Times New Roman" w:cs="Times New Roman"/>
        </w:rPr>
        <w:t>17:2, 35-</w:t>
      </w:r>
      <w:r w:rsidRPr="003E5B17">
        <w:rPr>
          <w:rFonts w:ascii="Times New Roman" w:hAnsi="Times New Roman" w:cs="Times New Roman"/>
        </w:rPr>
        <w:t xml:space="preserve">62. </w:t>
      </w:r>
    </w:p>
    <w:p w:rsidR="00ED7EFF" w:rsidRPr="003E5B17" w:rsidRDefault="00ED7EFF" w:rsidP="00C2344B">
      <w:pPr>
        <w:contextualSpacing/>
        <w:jc w:val="both"/>
        <w:rPr>
          <w:rFonts w:ascii="Times New Roman" w:hAnsi="Times New Roman" w:cs="Times New Roman"/>
        </w:rPr>
      </w:pPr>
    </w:p>
    <w:p w:rsidR="00FA00B4" w:rsidRPr="003E5B17" w:rsidRDefault="00ED7EFF" w:rsidP="00C2344B">
      <w:pPr>
        <w:jc w:val="both"/>
        <w:rPr>
          <w:rFonts w:ascii="Times New Roman" w:hAnsi="Times New Roman" w:cs="Times New Roman"/>
          <w:iCs/>
          <w:lang w:bidi="he-IL"/>
        </w:rPr>
      </w:pPr>
      <w:r w:rsidRPr="003E5B17">
        <w:rPr>
          <w:rFonts w:ascii="Times New Roman" w:hAnsi="Times New Roman" w:cs="Times New Roman"/>
          <w:lang w:bidi="he-IL"/>
        </w:rPr>
        <w:t>Nell, K. (2000)</w:t>
      </w:r>
      <w:r w:rsidRPr="003E5B17">
        <w:rPr>
          <w:rFonts w:ascii="Times New Roman" w:hAnsi="Times New Roman" w:cs="Times New Roman"/>
          <w:i/>
          <w:lang w:bidi="he-IL"/>
        </w:rPr>
        <w:t xml:space="preserve"> </w:t>
      </w:r>
      <w:r w:rsidRPr="003E5B17">
        <w:rPr>
          <w:rFonts w:ascii="Times New Roman" w:hAnsi="Times New Roman" w:cs="Times New Roman"/>
          <w:iCs/>
          <w:lang w:bidi="he-IL"/>
        </w:rPr>
        <w:t xml:space="preserve">Imported Inflation in South Africa: An Empirical Study </w:t>
      </w:r>
      <w:r w:rsidRPr="003E5B17">
        <w:rPr>
          <w:rFonts w:ascii="Times New Roman" w:hAnsi="Times New Roman" w:cs="Times New Roman"/>
          <w:i/>
          <w:lang w:bidi="he-IL"/>
        </w:rPr>
        <w:t>Studies in Economics</w:t>
      </w:r>
      <w:r w:rsidRPr="003E5B17">
        <w:rPr>
          <w:rFonts w:ascii="Times New Roman" w:hAnsi="Times New Roman" w:cs="Times New Roman"/>
          <w:iCs/>
          <w:lang w:bidi="he-IL"/>
        </w:rPr>
        <w:t xml:space="preserve"> 0005, Department of Economics, University of Kent</w:t>
      </w:r>
      <w:r w:rsidR="00FA3E49" w:rsidRPr="003E5B17">
        <w:rPr>
          <w:rFonts w:ascii="Times New Roman" w:hAnsi="Times New Roman" w:cs="Times New Roman"/>
          <w:iCs/>
          <w:lang w:bidi="he-IL"/>
        </w:rPr>
        <w:t>.</w:t>
      </w:r>
    </w:p>
    <w:p w:rsidR="00ED7EFF" w:rsidRPr="003E5B17" w:rsidRDefault="00A72C43" w:rsidP="00C2344B">
      <w:pPr>
        <w:jc w:val="both"/>
        <w:rPr>
          <w:rFonts w:ascii="Times New Roman" w:hAnsi="Times New Roman" w:cs="Times New Roman"/>
          <w:lang w:bidi="he-IL"/>
        </w:rPr>
      </w:pPr>
      <w:proofErr w:type="spellStart"/>
      <w:r w:rsidRPr="003E5B17">
        <w:rPr>
          <w:rFonts w:ascii="Times New Roman" w:hAnsi="Times New Roman" w:cs="Times New Roman"/>
          <w:iCs/>
          <w:lang w:bidi="he-IL"/>
        </w:rPr>
        <w:t>Nogueira</w:t>
      </w:r>
      <w:proofErr w:type="spellEnd"/>
      <w:r w:rsidRPr="003E5B17">
        <w:rPr>
          <w:rFonts w:ascii="Times New Roman" w:hAnsi="Times New Roman" w:cs="Times New Roman"/>
          <w:iCs/>
          <w:lang w:bidi="he-IL"/>
        </w:rPr>
        <w:t xml:space="preserve"> Jr., </w:t>
      </w:r>
      <w:proofErr w:type="spellStart"/>
      <w:r w:rsidRPr="003E5B17">
        <w:rPr>
          <w:rFonts w:ascii="Times New Roman" w:hAnsi="Times New Roman" w:cs="Times New Roman"/>
          <w:iCs/>
          <w:lang w:bidi="he-IL"/>
        </w:rPr>
        <w:t>Reginaldo</w:t>
      </w:r>
      <w:proofErr w:type="spellEnd"/>
      <w:r w:rsidRPr="003E5B17">
        <w:rPr>
          <w:rFonts w:ascii="Times New Roman" w:hAnsi="Times New Roman" w:cs="Times New Roman"/>
          <w:iCs/>
          <w:lang w:bidi="he-IL"/>
        </w:rPr>
        <w:t xml:space="preserve"> P.</w:t>
      </w:r>
      <w:r w:rsidR="00ED7EFF" w:rsidRPr="003E5B17">
        <w:rPr>
          <w:rFonts w:ascii="Times New Roman" w:hAnsi="Times New Roman" w:cs="Times New Roman"/>
          <w:iCs/>
          <w:lang w:bidi="he-IL"/>
        </w:rPr>
        <w:t xml:space="preserve"> (2007) Inflation Targeting and Fear of Floating. </w:t>
      </w:r>
      <w:r w:rsidR="00ED7EFF" w:rsidRPr="003E5B17">
        <w:rPr>
          <w:rFonts w:ascii="Times New Roman" w:hAnsi="Times New Roman" w:cs="Times New Roman"/>
          <w:i/>
          <w:lang w:bidi="he-IL"/>
        </w:rPr>
        <w:t>Paper presented at Money Macro and Finance (MMF) Research Group Conference</w:t>
      </w:r>
      <w:r w:rsidR="00ED7EFF" w:rsidRPr="003E5B17">
        <w:rPr>
          <w:rFonts w:ascii="Times New Roman" w:hAnsi="Times New Roman" w:cs="Times New Roman"/>
          <w:iCs/>
          <w:lang w:bidi="he-IL"/>
        </w:rPr>
        <w:t xml:space="preserve"> </w:t>
      </w:r>
      <w:r w:rsidR="00ED7EFF" w:rsidRPr="003E5B17">
        <w:rPr>
          <w:rFonts w:ascii="Times New Roman" w:hAnsi="Times New Roman" w:cs="Times New Roman"/>
          <w:i/>
          <w:lang w:bidi="he-IL"/>
        </w:rPr>
        <w:t>2007</w:t>
      </w:r>
      <w:r w:rsidR="00ED7EFF" w:rsidRPr="003E5B17">
        <w:rPr>
          <w:rFonts w:ascii="Times New Roman" w:hAnsi="Times New Roman" w:cs="Times New Roman"/>
          <w:lang w:bidi="he-IL"/>
        </w:rPr>
        <w:t>.</w:t>
      </w:r>
    </w:p>
    <w:p w:rsidR="004270D8" w:rsidRPr="003E5B17" w:rsidRDefault="004270D8" w:rsidP="00C2344B">
      <w:pPr>
        <w:jc w:val="both"/>
        <w:rPr>
          <w:rFonts w:ascii="Times New Roman" w:hAnsi="Times New Roman" w:cs="Times New Roman"/>
          <w:lang w:bidi="he-IL"/>
        </w:rPr>
      </w:pPr>
    </w:p>
    <w:p w:rsidR="00ED7EFF" w:rsidRPr="003E5B17" w:rsidRDefault="00A72C43" w:rsidP="00C2344B">
      <w:pPr>
        <w:jc w:val="both"/>
        <w:rPr>
          <w:rFonts w:ascii="Times New Roman" w:hAnsi="Times New Roman" w:cs="Times New Roman"/>
        </w:rPr>
      </w:pPr>
      <w:proofErr w:type="spellStart"/>
      <w:r w:rsidRPr="003E5B17">
        <w:rPr>
          <w:rFonts w:ascii="Times New Roman" w:hAnsi="Times New Roman" w:cs="Times New Roman"/>
        </w:rPr>
        <w:t>Odria</w:t>
      </w:r>
      <w:proofErr w:type="spellEnd"/>
      <w:r w:rsidRPr="003E5B17">
        <w:rPr>
          <w:rFonts w:ascii="Times New Roman" w:hAnsi="Times New Roman" w:cs="Times New Roman"/>
        </w:rPr>
        <w:t>, L.</w:t>
      </w:r>
      <w:r w:rsidR="00ED7EFF" w:rsidRPr="003E5B17">
        <w:rPr>
          <w:rFonts w:ascii="Times New Roman" w:hAnsi="Times New Roman" w:cs="Times New Roman"/>
        </w:rPr>
        <w:t xml:space="preserve">R., Castillo P. and Rodriguez, G. (2012) Does the Exchange Rate Pass Through into Prices Change When Inflation Targeting is Adopted? The Peruvian Case Study </w:t>
      </w:r>
      <w:r w:rsidR="005C3CE1" w:rsidRPr="003E5B17">
        <w:rPr>
          <w:rFonts w:ascii="Times New Roman" w:hAnsi="Times New Roman" w:cs="Times New Roman"/>
        </w:rPr>
        <w:t>between</w:t>
      </w:r>
      <w:r w:rsidR="00ED7EFF" w:rsidRPr="003E5B17">
        <w:rPr>
          <w:rFonts w:ascii="Times New Roman" w:hAnsi="Times New Roman" w:cs="Times New Roman"/>
        </w:rPr>
        <w:t xml:space="preserve"> 1994 and 2007</w:t>
      </w:r>
      <w:r w:rsidR="005C3CE1" w:rsidRPr="003E5B17">
        <w:rPr>
          <w:rFonts w:ascii="Times New Roman" w:hAnsi="Times New Roman" w:cs="Times New Roman"/>
        </w:rPr>
        <w:t>.</w:t>
      </w:r>
      <w:r w:rsidR="00ED7EFF" w:rsidRPr="003E5B17">
        <w:rPr>
          <w:rFonts w:ascii="Times New Roman" w:hAnsi="Times New Roman" w:cs="Times New Roman"/>
        </w:rPr>
        <w:t xml:space="preserve"> </w:t>
      </w:r>
      <w:r w:rsidR="00ED7EFF" w:rsidRPr="003E5B17">
        <w:rPr>
          <w:rFonts w:ascii="Times New Roman" w:hAnsi="Times New Roman" w:cs="Times New Roman"/>
          <w:i/>
          <w:iCs/>
        </w:rPr>
        <w:t>Journal of Macroeconomics</w:t>
      </w:r>
      <w:r w:rsidRPr="003E5B17">
        <w:rPr>
          <w:rFonts w:ascii="Times New Roman" w:hAnsi="Times New Roman" w:cs="Times New Roman"/>
        </w:rPr>
        <w:t xml:space="preserve"> 34:4, 1154-</w:t>
      </w:r>
      <w:r w:rsidR="00ED7EFF" w:rsidRPr="003E5B17">
        <w:rPr>
          <w:rFonts w:ascii="Times New Roman" w:hAnsi="Times New Roman" w:cs="Times New Roman"/>
        </w:rPr>
        <w:t>1166.</w:t>
      </w:r>
    </w:p>
    <w:p w:rsidR="004270D8" w:rsidRPr="003E5B17" w:rsidRDefault="004270D8" w:rsidP="00C2344B">
      <w:pPr>
        <w:jc w:val="both"/>
        <w:rPr>
          <w:rFonts w:ascii="Times New Roman" w:hAnsi="Times New Roman" w:cs="Times New Roman"/>
        </w:rPr>
      </w:pPr>
    </w:p>
    <w:p w:rsidR="00ED7EFF" w:rsidRPr="003E5B17" w:rsidRDefault="00A72C43" w:rsidP="00C2344B">
      <w:pPr>
        <w:jc w:val="both"/>
        <w:rPr>
          <w:rFonts w:ascii="Times New Roman" w:hAnsi="Times New Roman" w:cs="Times New Roman"/>
        </w:rPr>
      </w:pPr>
      <w:r w:rsidRPr="003E5B17">
        <w:rPr>
          <w:rFonts w:ascii="Times New Roman" w:hAnsi="Times New Roman" w:cs="Times New Roman"/>
        </w:rPr>
        <w:t>Phillips, R.</w:t>
      </w:r>
      <w:r w:rsidR="00ED7EFF" w:rsidRPr="003E5B17">
        <w:rPr>
          <w:rFonts w:ascii="Times New Roman" w:hAnsi="Times New Roman" w:cs="Times New Roman"/>
        </w:rPr>
        <w:t xml:space="preserve">W. (1988) The Pass-Through of Exchange Rate Changes to Prices of Imported Manufactures. </w:t>
      </w:r>
      <w:r w:rsidR="00ED7EFF" w:rsidRPr="003E5B17">
        <w:rPr>
          <w:rFonts w:ascii="Times New Roman" w:hAnsi="Times New Roman" w:cs="Times New Roman"/>
          <w:i/>
        </w:rPr>
        <w:t>Discussion Paper 197, Centre for Economic Policy Research</w:t>
      </w:r>
      <w:r w:rsidR="00ED7EFF" w:rsidRPr="003E5B17">
        <w:rPr>
          <w:rFonts w:ascii="Times New Roman" w:hAnsi="Times New Roman" w:cs="Times New Roman"/>
        </w:rPr>
        <w:t>, Australian National University, Canberra.</w:t>
      </w:r>
    </w:p>
    <w:p w:rsidR="00ED7EFF" w:rsidRPr="003E5B17" w:rsidRDefault="00ED7EFF" w:rsidP="00C2344B">
      <w:pPr>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proofErr w:type="spellStart"/>
      <w:r w:rsidRPr="003E5B17">
        <w:rPr>
          <w:rFonts w:ascii="Times New Roman" w:hAnsi="Times New Roman" w:cs="Times New Roman"/>
        </w:rPr>
        <w:t>Prasertnukul</w:t>
      </w:r>
      <w:proofErr w:type="spellEnd"/>
      <w:r w:rsidRPr="003E5B17">
        <w:rPr>
          <w:rFonts w:ascii="Times New Roman" w:hAnsi="Times New Roman" w:cs="Times New Roman"/>
        </w:rPr>
        <w:t xml:space="preserve">, W., Kim, D. and </w:t>
      </w:r>
      <w:proofErr w:type="spellStart"/>
      <w:r w:rsidRPr="003E5B17">
        <w:rPr>
          <w:rFonts w:ascii="Times New Roman" w:hAnsi="Times New Roman" w:cs="Times New Roman"/>
        </w:rPr>
        <w:t>Kakinaka</w:t>
      </w:r>
      <w:proofErr w:type="spellEnd"/>
      <w:r w:rsidRPr="003E5B17">
        <w:rPr>
          <w:rFonts w:ascii="Times New Roman" w:hAnsi="Times New Roman" w:cs="Times New Roman"/>
        </w:rPr>
        <w:t xml:space="preserve">, M. (2010) Exchange Rates, Price Levels, and Inflation Targeting: Evidence from Asian Countries </w:t>
      </w:r>
      <w:r w:rsidRPr="003E5B17">
        <w:rPr>
          <w:rFonts w:ascii="Times New Roman" w:hAnsi="Times New Roman" w:cs="Times New Roman"/>
          <w:i/>
        </w:rPr>
        <w:t>Japan and the World Economy</w:t>
      </w:r>
      <w:r w:rsidR="00A72C43" w:rsidRPr="003E5B17">
        <w:rPr>
          <w:rFonts w:ascii="Times New Roman" w:hAnsi="Times New Roman" w:cs="Times New Roman"/>
        </w:rPr>
        <w:t xml:space="preserve"> 22:3, 173-</w:t>
      </w:r>
      <w:r w:rsidRPr="003E5B17">
        <w:rPr>
          <w:rFonts w:ascii="Times New Roman" w:hAnsi="Times New Roman" w:cs="Times New Roman"/>
        </w:rPr>
        <w:t>182.</w:t>
      </w:r>
    </w:p>
    <w:p w:rsidR="004270D8" w:rsidRPr="003E5B17" w:rsidRDefault="004270D8" w:rsidP="00C2344B">
      <w:pPr>
        <w:autoSpaceDE w:val="0"/>
        <w:autoSpaceDN w:val="0"/>
        <w:adjustRightInd w:val="0"/>
        <w:jc w:val="both"/>
        <w:rPr>
          <w:rFonts w:ascii="Times New Roman" w:hAnsi="Times New Roman" w:cs="Times New Roman"/>
        </w:rPr>
      </w:pPr>
    </w:p>
    <w:p w:rsidR="00ED7EFF" w:rsidRPr="003E5B17" w:rsidRDefault="00ED7EFF" w:rsidP="00C2344B">
      <w:pPr>
        <w:jc w:val="both"/>
        <w:rPr>
          <w:rFonts w:ascii="Times New Roman" w:hAnsi="Times New Roman" w:cs="Times New Roman"/>
          <w:lang w:bidi="he-IL"/>
        </w:rPr>
      </w:pPr>
      <w:proofErr w:type="spellStart"/>
      <w:r w:rsidRPr="003E5B17">
        <w:rPr>
          <w:rFonts w:ascii="Times New Roman" w:hAnsi="Times New Roman" w:cs="Times New Roman"/>
          <w:lang w:bidi="he-IL"/>
        </w:rPr>
        <w:t>Razafimahefa</w:t>
      </w:r>
      <w:proofErr w:type="spellEnd"/>
      <w:r w:rsidRPr="003E5B17">
        <w:rPr>
          <w:rFonts w:ascii="Times New Roman" w:hAnsi="Times New Roman" w:cs="Times New Roman"/>
          <w:lang w:bidi="he-IL"/>
        </w:rPr>
        <w:t xml:space="preserve">, </w:t>
      </w:r>
      <w:proofErr w:type="spellStart"/>
      <w:r w:rsidRPr="003E5B17">
        <w:rPr>
          <w:rFonts w:ascii="Times New Roman" w:hAnsi="Times New Roman" w:cs="Times New Roman"/>
          <w:lang w:bidi="he-IL"/>
        </w:rPr>
        <w:t>Ivohasina</w:t>
      </w:r>
      <w:proofErr w:type="spellEnd"/>
      <w:r w:rsidRPr="003E5B17">
        <w:rPr>
          <w:rFonts w:ascii="Times New Roman" w:hAnsi="Times New Roman" w:cs="Times New Roman"/>
          <w:lang w:bidi="he-IL"/>
        </w:rPr>
        <w:t xml:space="preserve"> F. (2012) Exchange Rate Pass-Through in Sub-Saharan African Economies and its Determinants. </w:t>
      </w:r>
      <w:r w:rsidRPr="003E5B17">
        <w:rPr>
          <w:rFonts w:ascii="Times New Roman" w:hAnsi="Times New Roman" w:cs="Times New Roman"/>
          <w:i/>
          <w:lang w:bidi="he-IL"/>
        </w:rPr>
        <w:t>Working Paper</w:t>
      </w:r>
      <w:r w:rsidRPr="003E5B17">
        <w:rPr>
          <w:rFonts w:ascii="Times New Roman" w:hAnsi="Times New Roman" w:cs="Times New Roman"/>
          <w:lang w:bidi="he-IL"/>
        </w:rPr>
        <w:t>, WP/12/2</w:t>
      </w:r>
      <w:r w:rsidR="00A72C43" w:rsidRPr="003E5B17">
        <w:rPr>
          <w:rFonts w:ascii="Times New Roman" w:hAnsi="Times New Roman" w:cs="Times New Roman"/>
          <w:lang w:bidi="he-IL"/>
        </w:rPr>
        <w:t>141 International Monetary Fund.</w:t>
      </w:r>
    </w:p>
    <w:p w:rsidR="004270D8" w:rsidRPr="003E5B17" w:rsidRDefault="004270D8" w:rsidP="00C2344B">
      <w:pPr>
        <w:jc w:val="both"/>
        <w:rPr>
          <w:rFonts w:ascii="Times New Roman" w:hAnsi="Times New Roman" w:cs="Times New Roman"/>
          <w:lang w:bidi="he-IL"/>
        </w:rPr>
      </w:pPr>
    </w:p>
    <w:p w:rsidR="00ED7EFF" w:rsidRPr="003E5B17" w:rsidRDefault="00ED7EFF"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lastRenderedPageBreak/>
        <w:t xml:space="preserve">Reyes, J. (2007) Exchange Rate Pass-Through Effect and Inflation Targeting in Emerging Economies: What is the Relationship? </w:t>
      </w:r>
      <w:r w:rsidRPr="003E5B17">
        <w:rPr>
          <w:rFonts w:ascii="Times New Roman" w:hAnsi="Times New Roman" w:cs="Times New Roman"/>
          <w:i/>
          <w:lang w:bidi="he-IL"/>
        </w:rPr>
        <w:t>Review of International Economics</w:t>
      </w:r>
      <w:r w:rsidR="00A72C43" w:rsidRPr="003E5B17">
        <w:rPr>
          <w:rFonts w:ascii="Times New Roman" w:hAnsi="Times New Roman" w:cs="Times New Roman"/>
          <w:lang w:bidi="he-IL"/>
        </w:rPr>
        <w:t xml:space="preserve"> 15:3, 538-</w:t>
      </w:r>
      <w:r w:rsidRPr="003E5B17">
        <w:rPr>
          <w:rFonts w:ascii="Times New Roman" w:hAnsi="Times New Roman" w:cs="Times New Roman"/>
          <w:lang w:bidi="he-IL"/>
        </w:rPr>
        <w:t>559.</w:t>
      </w:r>
    </w:p>
    <w:p w:rsidR="004270D8" w:rsidRPr="003E5B17" w:rsidRDefault="004270D8" w:rsidP="00C2344B">
      <w:pPr>
        <w:autoSpaceDE w:val="0"/>
        <w:autoSpaceDN w:val="0"/>
        <w:adjustRightInd w:val="0"/>
        <w:jc w:val="both"/>
        <w:rPr>
          <w:rFonts w:ascii="Times New Roman" w:hAnsi="Times New Roman" w:cs="Times New Roman"/>
          <w:lang w:bidi="he-IL"/>
        </w:rPr>
      </w:pPr>
    </w:p>
    <w:p w:rsidR="00ED7EFF" w:rsidRPr="003E5B17" w:rsidRDefault="00A72C43"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Richardson, J.</w:t>
      </w:r>
      <w:r w:rsidR="00ED7EFF" w:rsidRPr="003E5B17">
        <w:rPr>
          <w:rFonts w:ascii="Times New Roman" w:hAnsi="Times New Roman" w:cs="Times New Roman"/>
          <w:lang w:bidi="he-IL"/>
        </w:rPr>
        <w:t>D</w:t>
      </w:r>
      <w:r w:rsidRPr="003E5B17">
        <w:rPr>
          <w:rFonts w:ascii="Times New Roman" w:hAnsi="Times New Roman" w:cs="Times New Roman"/>
          <w:lang w:bidi="he-IL"/>
        </w:rPr>
        <w:t>.</w:t>
      </w:r>
      <w:r w:rsidR="00ED7EFF" w:rsidRPr="003E5B17">
        <w:rPr>
          <w:rFonts w:ascii="Times New Roman" w:hAnsi="Times New Roman" w:cs="Times New Roman"/>
          <w:lang w:bidi="he-IL"/>
        </w:rPr>
        <w:t xml:space="preserve"> (1978) Some Empirical Evidence on Commodity Arbitrage and the Law of One Price, </w:t>
      </w:r>
      <w:r w:rsidR="00ED7EFF" w:rsidRPr="003E5B17">
        <w:rPr>
          <w:rFonts w:ascii="Times New Roman" w:hAnsi="Times New Roman" w:cs="Times New Roman"/>
          <w:i/>
          <w:iCs/>
          <w:lang w:bidi="he-IL"/>
        </w:rPr>
        <w:t>Journal of International Economics</w:t>
      </w:r>
      <w:r w:rsidRPr="003E5B17">
        <w:rPr>
          <w:rFonts w:ascii="Times New Roman" w:hAnsi="Times New Roman" w:cs="Times New Roman"/>
          <w:lang w:bidi="he-IL"/>
        </w:rPr>
        <w:t xml:space="preserve"> 8:2, 341-</w:t>
      </w:r>
      <w:r w:rsidR="00ED7EFF" w:rsidRPr="003E5B17">
        <w:rPr>
          <w:rFonts w:ascii="Times New Roman" w:hAnsi="Times New Roman" w:cs="Times New Roman"/>
          <w:lang w:bidi="he-IL"/>
        </w:rPr>
        <w:t>351.</w:t>
      </w:r>
    </w:p>
    <w:p w:rsidR="004270D8" w:rsidRPr="003E5B17" w:rsidRDefault="004270D8" w:rsidP="00C2344B">
      <w:pPr>
        <w:autoSpaceDE w:val="0"/>
        <w:autoSpaceDN w:val="0"/>
        <w:adjustRightInd w:val="0"/>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lang w:bidi="he-IL"/>
        </w:rPr>
      </w:pPr>
      <w:r w:rsidRPr="003E5B17">
        <w:rPr>
          <w:rFonts w:ascii="Times New Roman" w:hAnsi="Times New Roman" w:cs="Times New Roman"/>
          <w:lang w:bidi="he-IL"/>
        </w:rPr>
        <w:t>Roger, S. and Stone</w:t>
      </w:r>
      <w:r w:rsidR="00A72C43" w:rsidRPr="003E5B17">
        <w:rPr>
          <w:rFonts w:ascii="Times New Roman" w:hAnsi="Times New Roman" w:cs="Times New Roman"/>
          <w:lang w:bidi="he-IL"/>
        </w:rPr>
        <w:t>, M.</w:t>
      </w:r>
      <w:r w:rsidRPr="003E5B17">
        <w:rPr>
          <w:rFonts w:ascii="Times New Roman" w:hAnsi="Times New Roman" w:cs="Times New Roman"/>
          <w:lang w:bidi="he-IL"/>
        </w:rPr>
        <w:t xml:space="preserve"> (2005) On Target? The International Experience with Achieving Inflation Targets. </w:t>
      </w:r>
      <w:r w:rsidRPr="003E5B17">
        <w:rPr>
          <w:rFonts w:ascii="Times New Roman" w:hAnsi="Times New Roman" w:cs="Times New Roman"/>
          <w:i/>
          <w:lang w:bidi="he-IL"/>
        </w:rPr>
        <w:t>Working Paper</w:t>
      </w:r>
      <w:r w:rsidRPr="003E5B17">
        <w:rPr>
          <w:rFonts w:ascii="Times New Roman" w:hAnsi="Times New Roman" w:cs="Times New Roman"/>
          <w:lang w:bidi="he-IL"/>
        </w:rPr>
        <w:t xml:space="preserve"> 05/163 International Monetary Fund.</w:t>
      </w:r>
    </w:p>
    <w:p w:rsidR="004270D8" w:rsidRPr="003E5B17" w:rsidRDefault="004270D8" w:rsidP="00C2344B">
      <w:pPr>
        <w:autoSpaceDE w:val="0"/>
        <w:autoSpaceDN w:val="0"/>
        <w:adjustRightInd w:val="0"/>
        <w:jc w:val="both"/>
        <w:rPr>
          <w:rFonts w:ascii="Times New Roman" w:hAnsi="Times New Roman" w:cs="Times New Roman"/>
          <w:lang w:bidi="he-IL"/>
        </w:rPr>
      </w:pPr>
    </w:p>
    <w:p w:rsidR="00ED7EFF" w:rsidRPr="003E5B17" w:rsidRDefault="00ED7EFF" w:rsidP="00C2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E5B17">
        <w:rPr>
          <w:rFonts w:ascii="Times New Roman" w:hAnsi="Times New Roman" w:cs="Times New Roman"/>
        </w:rPr>
        <w:t xml:space="preserve">Rogoff, Kenneth (1996) The Purchasing Power Parity Puzzle. </w:t>
      </w:r>
      <w:r w:rsidRPr="003E5B17">
        <w:rPr>
          <w:rFonts w:ascii="Times New Roman" w:hAnsi="Times New Roman" w:cs="Times New Roman"/>
          <w:i/>
        </w:rPr>
        <w:t xml:space="preserve">Journal of Economic Literature </w:t>
      </w:r>
      <w:r w:rsidR="00A72C43" w:rsidRPr="003E5B17">
        <w:rPr>
          <w:rFonts w:ascii="Times New Roman" w:hAnsi="Times New Roman" w:cs="Times New Roman"/>
        </w:rPr>
        <w:t>34:2, 647-</w:t>
      </w:r>
      <w:r w:rsidRPr="003E5B17">
        <w:rPr>
          <w:rFonts w:ascii="Times New Roman" w:hAnsi="Times New Roman" w:cs="Times New Roman"/>
        </w:rPr>
        <w:t>668.</w:t>
      </w:r>
    </w:p>
    <w:p w:rsidR="004270D8" w:rsidRPr="003E5B17" w:rsidRDefault="004270D8" w:rsidP="00C2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D7EFF" w:rsidRPr="003E5B17" w:rsidRDefault="00ED7EFF" w:rsidP="00C2344B">
      <w:pPr>
        <w:jc w:val="both"/>
        <w:rPr>
          <w:rFonts w:ascii="Times New Roman" w:hAnsi="Times New Roman" w:cs="Times New Roman"/>
          <w:i/>
        </w:rPr>
      </w:pPr>
      <w:proofErr w:type="spellStart"/>
      <w:r w:rsidRPr="003E5B17">
        <w:rPr>
          <w:rFonts w:ascii="Times New Roman" w:hAnsi="Times New Roman" w:cs="Times New Roman"/>
        </w:rPr>
        <w:t>Saha</w:t>
      </w:r>
      <w:proofErr w:type="spellEnd"/>
      <w:r w:rsidRPr="003E5B17">
        <w:rPr>
          <w:rFonts w:ascii="Times New Roman" w:hAnsi="Times New Roman" w:cs="Times New Roman"/>
        </w:rPr>
        <w:t xml:space="preserve">, </w:t>
      </w:r>
      <w:proofErr w:type="spellStart"/>
      <w:r w:rsidRPr="003E5B17">
        <w:rPr>
          <w:rFonts w:ascii="Times New Roman" w:hAnsi="Times New Roman" w:cs="Times New Roman"/>
        </w:rPr>
        <w:t>Shrabani</w:t>
      </w:r>
      <w:proofErr w:type="spellEnd"/>
      <w:r w:rsidRPr="003E5B17">
        <w:rPr>
          <w:rFonts w:ascii="Times New Roman" w:hAnsi="Times New Roman" w:cs="Times New Roman"/>
        </w:rPr>
        <w:t xml:space="preserve"> and Zhang, </w:t>
      </w:r>
      <w:proofErr w:type="spellStart"/>
      <w:r w:rsidRPr="003E5B17">
        <w:rPr>
          <w:rFonts w:ascii="Times New Roman" w:hAnsi="Times New Roman" w:cs="Times New Roman"/>
        </w:rPr>
        <w:t>Zhaoyong</w:t>
      </w:r>
      <w:proofErr w:type="spellEnd"/>
      <w:r w:rsidRPr="003E5B17">
        <w:rPr>
          <w:rFonts w:ascii="Times New Roman" w:hAnsi="Times New Roman" w:cs="Times New Roman"/>
        </w:rPr>
        <w:t xml:space="preserve"> (2012) Exchange Rate Pass-Through and Its Impact on Inflation: A Comparative Study for Australia, China and India with Disaggregated Data, </w:t>
      </w:r>
      <w:r w:rsidRPr="003E5B17">
        <w:rPr>
          <w:rFonts w:ascii="Times New Roman" w:hAnsi="Times New Roman" w:cs="Times New Roman"/>
          <w:i/>
        </w:rPr>
        <w:t>Edith Cowan University, School of Accounting, Finance and Economics</w:t>
      </w:r>
    </w:p>
    <w:p w:rsidR="004270D8" w:rsidRPr="003E5B17" w:rsidRDefault="004270D8" w:rsidP="00C2344B">
      <w:pPr>
        <w:jc w:val="both"/>
        <w:rPr>
          <w:rFonts w:ascii="Times New Roman" w:hAnsi="Times New Roman" w:cs="Times New Roman"/>
          <w:i/>
        </w:rPr>
      </w:pPr>
    </w:p>
    <w:p w:rsidR="00ED7EFF" w:rsidRPr="003E5B17" w:rsidRDefault="00ED7EFF" w:rsidP="00C2344B">
      <w:pPr>
        <w:jc w:val="both"/>
        <w:rPr>
          <w:rFonts w:ascii="Times New Roman" w:hAnsi="Times New Roman" w:cs="Times New Roman"/>
        </w:rPr>
      </w:pPr>
      <w:proofErr w:type="spellStart"/>
      <w:r w:rsidRPr="003E5B17">
        <w:rPr>
          <w:rFonts w:ascii="Times New Roman" w:hAnsi="Times New Roman" w:cs="Times New Roman"/>
        </w:rPr>
        <w:t>Sek</w:t>
      </w:r>
      <w:proofErr w:type="spellEnd"/>
      <w:r w:rsidRPr="003E5B17">
        <w:rPr>
          <w:rFonts w:ascii="Times New Roman" w:hAnsi="Times New Roman" w:cs="Times New Roman"/>
        </w:rPr>
        <w:t xml:space="preserve">, S.K, </w:t>
      </w:r>
      <w:proofErr w:type="spellStart"/>
      <w:r w:rsidRPr="003E5B17">
        <w:rPr>
          <w:rFonts w:ascii="Times New Roman" w:hAnsi="Times New Roman" w:cs="Times New Roman"/>
        </w:rPr>
        <w:t>Ooi</w:t>
      </w:r>
      <w:proofErr w:type="spellEnd"/>
      <w:r w:rsidRPr="003E5B17">
        <w:rPr>
          <w:rFonts w:ascii="Times New Roman" w:hAnsi="Times New Roman" w:cs="Times New Roman"/>
        </w:rPr>
        <w:t xml:space="preserve">, C.P. and Ismail, M.T (2012) </w:t>
      </w:r>
      <w:r w:rsidR="00236028" w:rsidRPr="003E5B17">
        <w:rPr>
          <w:rFonts w:ascii="Times New Roman" w:hAnsi="Times New Roman" w:cs="Times New Roman"/>
        </w:rPr>
        <w:t>Investigating the Relationship b</w:t>
      </w:r>
      <w:r w:rsidRPr="003E5B17">
        <w:rPr>
          <w:rFonts w:ascii="Times New Roman" w:hAnsi="Times New Roman" w:cs="Times New Roman"/>
        </w:rPr>
        <w:t xml:space="preserve">etween Exchange Rate and Inflation Targeting. </w:t>
      </w:r>
      <w:r w:rsidRPr="003E5B17">
        <w:rPr>
          <w:rFonts w:ascii="Times New Roman" w:hAnsi="Times New Roman" w:cs="Times New Roman"/>
          <w:i/>
        </w:rPr>
        <w:t>Applied Mathematical Sciences</w:t>
      </w:r>
      <w:r w:rsidRPr="003E5B17">
        <w:rPr>
          <w:rFonts w:ascii="Times New Roman" w:hAnsi="Times New Roman" w:cs="Times New Roman"/>
        </w:rPr>
        <w:t xml:space="preserve"> 6:32, 1571</w:t>
      </w:r>
      <w:r w:rsidR="00A72C43" w:rsidRPr="003E5B17">
        <w:rPr>
          <w:rFonts w:ascii="Times New Roman" w:hAnsi="Times New Roman" w:cs="Times New Roman"/>
        </w:rPr>
        <w:t>-</w:t>
      </w:r>
      <w:r w:rsidRPr="003E5B17">
        <w:rPr>
          <w:rFonts w:ascii="Times New Roman" w:hAnsi="Times New Roman" w:cs="Times New Roman"/>
        </w:rPr>
        <w:t>1583.</w:t>
      </w:r>
    </w:p>
    <w:p w:rsidR="00FA00B4" w:rsidRPr="003E5B17" w:rsidRDefault="00FA00B4" w:rsidP="00C2344B">
      <w:pPr>
        <w:autoSpaceDE w:val="0"/>
        <w:autoSpaceDN w:val="0"/>
        <w:adjustRightInd w:val="0"/>
        <w:jc w:val="both"/>
        <w:rPr>
          <w:rFonts w:ascii="Times New Roman" w:hAnsi="Times New Roman" w:cs="Times New Roman"/>
        </w:rPr>
      </w:pPr>
    </w:p>
    <w:p w:rsidR="00ED7EFF" w:rsidRPr="003E5B17" w:rsidRDefault="00ED7EFF" w:rsidP="00C2344B">
      <w:pPr>
        <w:autoSpaceDE w:val="0"/>
        <w:autoSpaceDN w:val="0"/>
        <w:adjustRightInd w:val="0"/>
        <w:jc w:val="both"/>
        <w:rPr>
          <w:rFonts w:ascii="Times New Roman" w:hAnsi="Times New Roman" w:cs="Times New Roman"/>
        </w:rPr>
      </w:pPr>
      <w:r w:rsidRPr="003E5B17">
        <w:rPr>
          <w:rFonts w:ascii="Times New Roman" w:hAnsi="Times New Roman" w:cs="Times New Roman"/>
        </w:rPr>
        <w:t>South African Reserve Bank, (2002) Exchange Rate Pass-Through and South African Import</w:t>
      </w:r>
      <w:r w:rsidR="004270D8" w:rsidRPr="003E5B17">
        <w:rPr>
          <w:rFonts w:ascii="Times New Roman" w:hAnsi="Times New Roman" w:cs="Times New Roman"/>
        </w:rPr>
        <w:t xml:space="preserve"> </w:t>
      </w:r>
      <w:r w:rsidRPr="003E5B17">
        <w:rPr>
          <w:rFonts w:ascii="Times New Roman" w:hAnsi="Times New Roman" w:cs="Times New Roman"/>
        </w:rPr>
        <w:t xml:space="preserve">Prices. </w:t>
      </w:r>
      <w:r w:rsidRPr="003E5B17">
        <w:rPr>
          <w:rFonts w:ascii="Times New Roman" w:hAnsi="Times New Roman" w:cs="Times New Roman"/>
          <w:i/>
          <w:iCs/>
        </w:rPr>
        <w:t>SARB Working Paper</w:t>
      </w:r>
      <w:r w:rsidRPr="003E5B17">
        <w:rPr>
          <w:rFonts w:ascii="Times New Roman" w:hAnsi="Times New Roman" w:cs="Times New Roman"/>
        </w:rPr>
        <w:t xml:space="preserve"> WP/02/03. Pretoria: South Africa.</w:t>
      </w:r>
    </w:p>
    <w:p w:rsidR="004270D8" w:rsidRPr="003E5B17" w:rsidRDefault="004270D8" w:rsidP="00C2344B">
      <w:pPr>
        <w:autoSpaceDE w:val="0"/>
        <w:autoSpaceDN w:val="0"/>
        <w:adjustRightInd w:val="0"/>
        <w:jc w:val="both"/>
        <w:rPr>
          <w:rFonts w:ascii="Times New Roman" w:hAnsi="Times New Roman" w:cs="Times New Roman"/>
          <w:lang w:bidi="he-IL"/>
        </w:rPr>
      </w:pPr>
    </w:p>
    <w:p w:rsidR="009A6102" w:rsidRPr="003E5B17" w:rsidRDefault="009A6102" w:rsidP="00C2344B">
      <w:pPr>
        <w:jc w:val="both"/>
        <w:rPr>
          <w:rFonts w:ascii="Times New Roman" w:hAnsi="Times New Roman" w:cs="Times New Roman"/>
        </w:rPr>
      </w:pPr>
      <w:r w:rsidRPr="003E5B17">
        <w:rPr>
          <w:rFonts w:ascii="Times New Roman" w:hAnsi="Times New Roman" w:cs="Times New Roman"/>
        </w:rPr>
        <w:t xml:space="preserve">Taguchi, H. and Sohn, W.-K. (2014), Inflation Targeting and the Pass-through Rate in East Asian Economies. </w:t>
      </w:r>
      <w:r w:rsidRPr="003E5B17">
        <w:rPr>
          <w:rFonts w:ascii="Times New Roman" w:hAnsi="Times New Roman" w:cs="Times New Roman"/>
          <w:i/>
          <w:iCs/>
        </w:rPr>
        <w:t>Asian Economic Journal</w:t>
      </w:r>
      <w:r w:rsidRPr="003E5B17">
        <w:rPr>
          <w:rFonts w:ascii="Times New Roman" w:hAnsi="Times New Roman" w:cs="Times New Roman"/>
        </w:rPr>
        <w:t xml:space="preserve">, 28:2, 139-159. </w:t>
      </w:r>
      <w:proofErr w:type="spellStart"/>
      <w:r w:rsidRPr="003E5B17">
        <w:rPr>
          <w:rFonts w:ascii="Times New Roman" w:hAnsi="Times New Roman" w:cs="Times New Roman"/>
        </w:rPr>
        <w:t>doi</w:t>
      </w:r>
      <w:proofErr w:type="spellEnd"/>
      <w:r w:rsidRPr="003E5B17">
        <w:rPr>
          <w:rFonts w:ascii="Times New Roman" w:hAnsi="Times New Roman" w:cs="Times New Roman"/>
        </w:rPr>
        <w:t>: 10.1111/asej.12029</w:t>
      </w:r>
      <w:r w:rsidR="00D474F7" w:rsidRPr="003E5B17">
        <w:rPr>
          <w:rFonts w:ascii="Times New Roman" w:hAnsi="Times New Roman" w:cs="Times New Roman"/>
        </w:rPr>
        <w:t>.</w:t>
      </w:r>
    </w:p>
    <w:p w:rsidR="009A6102" w:rsidRPr="003E5B17" w:rsidRDefault="009A6102" w:rsidP="00C2344B">
      <w:pPr>
        <w:jc w:val="both"/>
        <w:rPr>
          <w:rFonts w:ascii="Times New Roman" w:hAnsi="Times New Roman" w:cs="Times New Roman"/>
        </w:rPr>
      </w:pPr>
    </w:p>
    <w:p w:rsidR="00ED7EFF" w:rsidRPr="003E5B17" w:rsidRDefault="00ED7EFF" w:rsidP="00C2344B">
      <w:pPr>
        <w:jc w:val="both"/>
        <w:rPr>
          <w:rFonts w:ascii="Times New Roman" w:hAnsi="Times New Roman" w:cs="Times New Roman"/>
          <w:lang w:bidi="he-IL"/>
        </w:rPr>
      </w:pPr>
      <w:r w:rsidRPr="003E5B17">
        <w:rPr>
          <w:rFonts w:ascii="Times New Roman" w:hAnsi="Times New Roman" w:cs="Times New Roman"/>
          <w:lang w:bidi="he-IL"/>
        </w:rPr>
        <w:t>Taylor, J.B</w:t>
      </w:r>
      <w:r w:rsidR="00A72C43" w:rsidRPr="003E5B17">
        <w:rPr>
          <w:rFonts w:ascii="Times New Roman" w:hAnsi="Times New Roman" w:cs="Times New Roman"/>
          <w:lang w:bidi="he-IL"/>
        </w:rPr>
        <w:t>.</w:t>
      </w:r>
      <w:r w:rsidRPr="003E5B17">
        <w:rPr>
          <w:rFonts w:ascii="Times New Roman" w:hAnsi="Times New Roman" w:cs="Times New Roman"/>
          <w:lang w:bidi="he-IL"/>
        </w:rPr>
        <w:t xml:space="preserve"> (2000) Low Inflation, Pass-Through, and the Pricing Power of Firms. </w:t>
      </w:r>
      <w:r w:rsidRPr="003E5B17">
        <w:rPr>
          <w:rFonts w:ascii="Times New Roman" w:hAnsi="Times New Roman" w:cs="Times New Roman"/>
          <w:i/>
          <w:lang w:bidi="he-IL"/>
        </w:rPr>
        <w:t>European Economic Review</w:t>
      </w:r>
      <w:r w:rsidR="00FE3801" w:rsidRPr="003E5B17">
        <w:rPr>
          <w:rFonts w:ascii="Times New Roman" w:hAnsi="Times New Roman" w:cs="Times New Roman"/>
          <w:lang w:bidi="he-IL"/>
        </w:rPr>
        <w:t xml:space="preserve"> 44:7, 1389-</w:t>
      </w:r>
      <w:r w:rsidRPr="003E5B17">
        <w:rPr>
          <w:rFonts w:ascii="Times New Roman" w:hAnsi="Times New Roman" w:cs="Times New Roman"/>
          <w:lang w:bidi="he-IL"/>
        </w:rPr>
        <w:t>1408.</w:t>
      </w:r>
    </w:p>
    <w:p w:rsidR="00ED7EFF" w:rsidRPr="003E5B17" w:rsidRDefault="00ED7EFF" w:rsidP="00C2344B">
      <w:pPr>
        <w:jc w:val="both"/>
        <w:rPr>
          <w:rFonts w:ascii="Times New Roman" w:hAnsi="Times New Roman" w:cs="Times New Roman"/>
          <w:lang w:bidi="he-IL"/>
        </w:rPr>
      </w:pPr>
    </w:p>
    <w:p w:rsidR="00ED7EFF" w:rsidRPr="003E5B17" w:rsidRDefault="00AD3443" w:rsidP="00C2344B">
      <w:pPr>
        <w:jc w:val="both"/>
        <w:rPr>
          <w:rFonts w:ascii="Times New Roman" w:hAnsi="Times New Roman" w:cs="Times New Roman"/>
          <w:lang w:bidi="he-IL"/>
        </w:rPr>
      </w:pPr>
      <w:proofErr w:type="spellStart"/>
      <w:r w:rsidRPr="003E5B17">
        <w:rPr>
          <w:rFonts w:ascii="Times New Roman" w:hAnsi="Times New Roman" w:cs="Times New Roman"/>
          <w:lang w:bidi="he-IL"/>
        </w:rPr>
        <w:t>Winkelried</w:t>
      </w:r>
      <w:proofErr w:type="spellEnd"/>
      <w:r w:rsidRPr="003E5B17">
        <w:rPr>
          <w:rFonts w:ascii="Times New Roman" w:hAnsi="Times New Roman" w:cs="Times New Roman"/>
          <w:lang w:bidi="he-IL"/>
        </w:rPr>
        <w:t>, Diego (2014</w:t>
      </w:r>
      <w:r w:rsidR="00ED7EFF" w:rsidRPr="003E5B17">
        <w:rPr>
          <w:rFonts w:ascii="Times New Roman" w:hAnsi="Times New Roman" w:cs="Times New Roman"/>
          <w:lang w:bidi="he-IL"/>
        </w:rPr>
        <w:t xml:space="preserve">) Exchange Rate Pass-Through and Inflation Targeting in Peru </w:t>
      </w:r>
      <w:hyperlink r:id="rId54" w:history="1">
        <w:r w:rsidRPr="003E5B17">
          <w:rPr>
            <w:rFonts w:ascii="Times New Roman" w:hAnsi="Times New Roman" w:cs="Times New Roman"/>
            <w:i/>
            <w:lang w:bidi="he-IL"/>
          </w:rPr>
          <w:t>Empirical</w:t>
        </w:r>
      </w:hyperlink>
      <w:r w:rsidRPr="003E5B17">
        <w:rPr>
          <w:rFonts w:ascii="Times New Roman" w:hAnsi="Times New Roman" w:cs="Times New Roman"/>
          <w:i/>
          <w:lang w:bidi="he-IL"/>
        </w:rPr>
        <w:t xml:space="preserve"> Economics</w:t>
      </w:r>
      <w:r w:rsidRPr="003E5B17">
        <w:rPr>
          <w:rFonts w:ascii="Times New Roman" w:hAnsi="Times New Roman" w:cs="Times New Roman"/>
          <w:iCs/>
          <w:lang w:bidi="he-IL"/>
        </w:rPr>
        <w:t xml:space="preserve"> 46:4, 1181-1196.</w:t>
      </w:r>
      <w:r w:rsidR="00ED7EFF" w:rsidRPr="003E5B17">
        <w:rPr>
          <w:rFonts w:ascii="Times New Roman" w:hAnsi="Times New Roman" w:cs="Times New Roman"/>
          <w:lang w:bidi="he-IL"/>
        </w:rPr>
        <w:t xml:space="preserve"> </w:t>
      </w:r>
    </w:p>
    <w:p w:rsidR="00ED7EFF" w:rsidRPr="00C2344B" w:rsidRDefault="00ED7EFF" w:rsidP="00C2344B">
      <w:pPr>
        <w:rPr>
          <w:rFonts w:ascii="Times New Roman" w:hAnsi="Times New Roman" w:cs="Times New Roman"/>
          <w:sz w:val="22"/>
          <w:szCs w:val="22"/>
        </w:rPr>
      </w:pPr>
    </w:p>
    <w:p w:rsidR="00ED7EFF" w:rsidRPr="00C2344B" w:rsidRDefault="00ED7EFF" w:rsidP="00C2344B">
      <w:pPr>
        <w:rPr>
          <w:rFonts w:ascii="Times New Roman" w:hAnsi="Times New Roman" w:cs="Times New Roman"/>
          <w:sz w:val="22"/>
          <w:szCs w:val="22"/>
        </w:rPr>
      </w:pPr>
    </w:p>
    <w:p w:rsidR="00ED7EFF" w:rsidRPr="00C2344B" w:rsidRDefault="00ED7EFF" w:rsidP="00C2344B">
      <w:pPr>
        <w:rPr>
          <w:rFonts w:ascii="Times New Roman" w:hAnsi="Times New Roman" w:cs="Times New Roman"/>
          <w:sz w:val="22"/>
          <w:szCs w:val="22"/>
        </w:rPr>
      </w:pPr>
    </w:p>
    <w:p w:rsidR="00ED7EFF" w:rsidRPr="00C2344B" w:rsidRDefault="00ED7EFF" w:rsidP="00C2344B">
      <w:pPr>
        <w:rPr>
          <w:rFonts w:ascii="Times New Roman" w:hAnsi="Times New Roman" w:cs="Times New Roman"/>
          <w:sz w:val="22"/>
          <w:szCs w:val="22"/>
        </w:rPr>
      </w:pPr>
    </w:p>
    <w:p w:rsidR="00ED7EFF" w:rsidRPr="00C2344B" w:rsidRDefault="00ED7EFF" w:rsidP="00C2344B">
      <w:pPr>
        <w:rPr>
          <w:rFonts w:ascii="Times New Roman" w:hAnsi="Times New Roman" w:cs="Times New Roman"/>
          <w:sz w:val="22"/>
          <w:szCs w:val="22"/>
        </w:rPr>
      </w:pPr>
    </w:p>
    <w:p w:rsidR="00ED7EFF" w:rsidRPr="00C2344B" w:rsidRDefault="00ED7EFF" w:rsidP="00C2344B">
      <w:pPr>
        <w:rPr>
          <w:rFonts w:ascii="Times New Roman" w:hAnsi="Times New Roman" w:cs="Times New Roman"/>
          <w:sz w:val="22"/>
          <w:szCs w:val="22"/>
        </w:rPr>
      </w:pPr>
    </w:p>
    <w:sectPr w:rsidR="00ED7EFF" w:rsidRPr="00C2344B" w:rsidSect="00675983">
      <w:headerReference w:type="default" r:id="rId55"/>
      <w:foot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46A" w:rsidRDefault="0020046A" w:rsidP="00ED7EFF">
      <w:r>
        <w:separator/>
      </w:r>
    </w:p>
  </w:endnote>
  <w:endnote w:type="continuationSeparator" w:id="0">
    <w:p w:rsidR="0020046A" w:rsidRDefault="0020046A" w:rsidP="00ED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Rockwellcan-Ligh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81033"/>
      <w:docPartObj>
        <w:docPartGallery w:val="Page Numbers (Bottom of Page)"/>
        <w:docPartUnique/>
      </w:docPartObj>
    </w:sdtPr>
    <w:sdtEndPr/>
    <w:sdtContent>
      <w:p w:rsidR="0003611B" w:rsidRDefault="0020046A">
        <w:pPr>
          <w:pStyle w:val="Footer"/>
          <w:jc w:val="center"/>
        </w:pPr>
        <w:r>
          <w:fldChar w:fldCharType="begin"/>
        </w:r>
        <w:r>
          <w:instrText xml:space="preserve"> PAGE   \* MERGEFO</w:instrText>
        </w:r>
        <w:r>
          <w:instrText xml:space="preserve">RMAT </w:instrText>
        </w:r>
        <w:r>
          <w:fldChar w:fldCharType="separate"/>
        </w:r>
        <w:r w:rsidR="00FB4477">
          <w:rPr>
            <w:noProof/>
          </w:rPr>
          <w:t>2</w:t>
        </w:r>
        <w:r>
          <w:rPr>
            <w:noProof/>
          </w:rPr>
          <w:fldChar w:fldCharType="end"/>
        </w:r>
      </w:p>
    </w:sdtContent>
  </w:sdt>
  <w:p w:rsidR="0003611B" w:rsidRDefault="0003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46A" w:rsidRDefault="0020046A" w:rsidP="00ED7EFF">
      <w:r>
        <w:separator/>
      </w:r>
    </w:p>
  </w:footnote>
  <w:footnote w:type="continuationSeparator" w:id="0">
    <w:p w:rsidR="0020046A" w:rsidRDefault="0020046A" w:rsidP="00ED7EFF">
      <w:r>
        <w:continuationSeparator/>
      </w:r>
    </w:p>
  </w:footnote>
  <w:footnote w:id="1">
    <w:p w:rsidR="0003611B" w:rsidRDefault="0003611B" w:rsidP="00ED7EFF">
      <w:pPr>
        <w:jc w:val="both"/>
      </w:pPr>
      <w:r>
        <w:rPr>
          <w:rStyle w:val="FootnoteReference"/>
          <w:sz w:val="20"/>
          <w:szCs w:val="20"/>
        </w:rPr>
        <w:t>18</w:t>
      </w:r>
      <w:r w:rsidRPr="00C450DC">
        <w:rPr>
          <w:rFonts w:ascii="Times New Roman" w:hAnsi="Times New Roman"/>
          <w:sz w:val="20"/>
          <w:szCs w:val="20"/>
        </w:rPr>
        <w:t xml:space="preserve"> The conclusion </w:t>
      </w:r>
      <w:r>
        <w:rPr>
          <w:rFonts w:ascii="Times New Roman" w:hAnsi="Times New Roman"/>
          <w:sz w:val="20"/>
          <w:szCs w:val="20"/>
        </w:rPr>
        <w:t>of</w:t>
      </w:r>
      <w:r w:rsidRPr="00C450DC">
        <w:rPr>
          <w:rFonts w:ascii="Times New Roman" w:hAnsi="Times New Roman"/>
          <w:sz w:val="20"/>
          <w:szCs w:val="20"/>
        </w:rPr>
        <w:t xml:space="preserve"> a paper Roger and Stone (2005)</w:t>
      </w:r>
      <w:r>
        <w:rPr>
          <w:rFonts w:ascii="Times New Roman" w:hAnsi="Times New Roman"/>
          <w:sz w:val="20"/>
          <w:szCs w:val="20"/>
        </w:rPr>
        <w:t>, presented</w:t>
      </w:r>
      <w:r w:rsidRPr="00C450DC">
        <w:rPr>
          <w:rFonts w:ascii="Times New Roman" w:hAnsi="Times New Roman"/>
          <w:sz w:val="20"/>
          <w:szCs w:val="20"/>
        </w:rPr>
        <w:t xml:space="preserve"> to the Executive Board of International Monetary Fund (IMF). For fu</w:t>
      </w:r>
      <w:r>
        <w:rPr>
          <w:rFonts w:ascii="Times New Roman" w:hAnsi="Times New Roman"/>
          <w:sz w:val="20"/>
          <w:szCs w:val="20"/>
        </w:rPr>
        <w:t>r</w:t>
      </w:r>
      <w:r w:rsidRPr="00C450DC">
        <w:rPr>
          <w:rFonts w:ascii="Times New Roman" w:hAnsi="Times New Roman"/>
          <w:sz w:val="20"/>
          <w:szCs w:val="20"/>
        </w:rPr>
        <w:t xml:space="preserve">ther evidence, see </w:t>
      </w:r>
      <w:proofErr w:type="spellStart"/>
      <w:r w:rsidRPr="00C450DC">
        <w:rPr>
          <w:rFonts w:ascii="Times New Roman" w:hAnsi="Times New Roman"/>
          <w:sz w:val="20"/>
          <w:szCs w:val="20"/>
        </w:rPr>
        <w:t>Coulibaly</w:t>
      </w:r>
      <w:proofErr w:type="spellEnd"/>
      <w:r w:rsidRPr="00C450DC">
        <w:rPr>
          <w:rFonts w:ascii="Times New Roman" w:hAnsi="Times New Roman"/>
          <w:sz w:val="20"/>
          <w:szCs w:val="20"/>
        </w:rPr>
        <w:t xml:space="preserve"> and </w:t>
      </w:r>
      <w:proofErr w:type="spellStart"/>
      <w:r w:rsidRPr="00C450DC">
        <w:rPr>
          <w:rFonts w:ascii="Times New Roman" w:hAnsi="Times New Roman"/>
          <w:sz w:val="20"/>
          <w:szCs w:val="20"/>
        </w:rPr>
        <w:t>Kempf</w:t>
      </w:r>
      <w:proofErr w:type="spellEnd"/>
      <w:r w:rsidRPr="00C450DC">
        <w:rPr>
          <w:rFonts w:ascii="Times New Roman" w:hAnsi="Times New Roman"/>
          <w:sz w:val="20"/>
          <w:szCs w:val="20"/>
        </w:rPr>
        <w:t xml:space="preserve"> (2010).</w:t>
      </w:r>
    </w:p>
  </w:footnote>
  <w:footnote w:id="2">
    <w:p w:rsidR="0003611B" w:rsidRPr="00365288" w:rsidRDefault="0003611B" w:rsidP="009971A9">
      <w:pPr>
        <w:jc w:val="both"/>
        <w:rPr>
          <w:rFonts w:ascii="Times New Roman" w:hAnsi="Times New Roman"/>
          <w:sz w:val="20"/>
          <w:szCs w:val="20"/>
        </w:rPr>
      </w:pPr>
      <w:r>
        <w:rPr>
          <w:rStyle w:val="FootnoteReference"/>
          <w:sz w:val="20"/>
          <w:szCs w:val="20"/>
        </w:rPr>
        <w:t>15</w:t>
      </w:r>
      <w:r w:rsidRPr="00365288">
        <w:rPr>
          <w:rFonts w:ascii="Times New Roman" w:hAnsi="Times New Roman"/>
          <w:sz w:val="20"/>
          <w:szCs w:val="20"/>
        </w:rPr>
        <w:t xml:space="preserve"> At that time, the </w:t>
      </w:r>
      <w:r w:rsidRPr="00066C10">
        <w:rPr>
          <w:rFonts w:ascii="Times New Roman" w:hAnsi="Times New Roman"/>
          <w:sz w:val="20"/>
          <w:szCs w:val="20"/>
        </w:rPr>
        <w:t xml:space="preserve">CPIX inflation </w:t>
      </w:r>
      <w:r>
        <w:rPr>
          <w:rFonts w:ascii="Times New Roman" w:hAnsi="Times New Roman"/>
          <w:sz w:val="20"/>
          <w:szCs w:val="20"/>
        </w:rPr>
        <w:t>was</w:t>
      </w:r>
      <w:r w:rsidRPr="00066C10">
        <w:rPr>
          <w:rFonts w:ascii="Times New Roman" w:hAnsi="Times New Roman"/>
          <w:sz w:val="20"/>
          <w:szCs w:val="20"/>
        </w:rPr>
        <w:t xml:space="preserve"> 7 percent.  The CPIX is defined as CPI excluding the interest cost of mortgage bonds, for the historical metropolitan and other urban areas. </w:t>
      </w:r>
      <w:r>
        <w:rPr>
          <w:rFonts w:ascii="Times New Roman" w:hAnsi="Times New Roman"/>
          <w:sz w:val="20"/>
          <w:szCs w:val="20"/>
        </w:rPr>
        <w:t xml:space="preserve">For </w:t>
      </w:r>
      <w:r w:rsidRPr="00066C10">
        <w:rPr>
          <w:rFonts w:ascii="Times New Roman" w:hAnsi="Times New Roman"/>
          <w:sz w:val="20"/>
          <w:szCs w:val="20"/>
        </w:rPr>
        <w:t xml:space="preserve">the credibility of the SARB, as well as the management of expectations, </w:t>
      </w:r>
      <w:r>
        <w:rPr>
          <w:rFonts w:ascii="Times New Roman" w:hAnsi="Times New Roman"/>
          <w:sz w:val="20"/>
          <w:szCs w:val="20"/>
        </w:rPr>
        <w:t xml:space="preserve">the </w:t>
      </w:r>
      <w:r w:rsidRPr="00066C10">
        <w:rPr>
          <w:rFonts w:ascii="Times New Roman" w:hAnsi="Times New Roman"/>
          <w:sz w:val="20"/>
          <w:szCs w:val="20"/>
        </w:rPr>
        <w:t>target rate need</w:t>
      </w:r>
      <w:r>
        <w:rPr>
          <w:rFonts w:ascii="Times New Roman" w:hAnsi="Times New Roman"/>
          <w:sz w:val="20"/>
          <w:szCs w:val="20"/>
        </w:rPr>
        <w:t>s</w:t>
      </w:r>
      <w:r w:rsidRPr="00066C10">
        <w:rPr>
          <w:rFonts w:ascii="Times New Roman" w:hAnsi="Times New Roman"/>
          <w:sz w:val="20"/>
          <w:szCs w:val="20"/>
        </w:rPr>
        <w:t xml:space="preserve"> to be set at a level which properly demonstrate</w:t>
      </w:r>
      <w:r>
        <w:rPr>
          <w:rFonts w:ascii="Times New Roman" w:hAnsi="Times New Roman"/>
          <w:sz w:val="20"/>
          <w:szCs w:val="20"/>
        </w:rPr>
        <w:t>s</w:t>
      </w:r>
      <w:r w:rsidRPr="00066C10">
        <w:rPr>
          <w:rFonts w:ascii="Times New Roman" w:hAnsi="Times New Roman"/>
          <w:sz w:val="20"/>
          <w:szCs w:val="20"/>
        </w:rPr>
        <w:t xml:space="preserve"> </w:t>
      </w:r>
      <w:r>
        <w:rPr>
          <w:rFonts w:ascii="Times New Roman" w:hAnsi="Times New Roman"/>
          <w:sz w:val="20"/>
          <w:szCs w:val="20"/>
        </w:rPr>
        <w:t xml:space="preserve">a </w:t>
      </w:r>
      <w:r w:rsidRPr="00066C10">
        <w:rPr>
          <w:rFonts w:ascii="Times New Roman" w:hAnsi="Times New Roman"/>
          <w:sz w:val="20"/>
          <w:szCs w:val="20"/>
        </w:rPr>
        <w:t>co</w:t>
      </w:r>
      <w:r>
        <w:rPr>
          <w:rFonts w:ascii="Times New Roman" w:hAnsi="Times New Roman"/>
          <w:sz w:val="20"/>
          <w:szCs w:val="20"/>
        </w:rPr>
        <w:t>mmitment to lowering inflation.</w:t>
      </w:r>
    </w:p>
    <w:p w:rsidR="0003611B" w:rsidRDefault="0003611B" w:rsidP="009971A9">
      <w:pPr>
        <w:jc w:val="both"/>
      </w:pPr>
    </w:p>
  </w:footnote>
  <w:footnote w:id="3">
    <w:p w:rsidR="0003611B" w:rsidRDefault="0003611B" w:rsidP="00ED7EFF">
      <w:pPr>
        <w:pStyle w:val="FootnoteText"/>
        <w:jc w:val="both"/>
      </w:pPr>
      <w:r>
        <w:rPr>
          <w:rStyle w:val="FootnoteReference"/>
        </w:rPr>
        <w:t>19</w:t>
      </w:r>
      <w:r>
        <w:t xml:space="preserve"> For South Africa’s major trading partners. Because</w:t>
      </w:r>
      <w:r w:rsidRPr="00664C2E">
        <w:t xml:space="preserve"> pass-through elasticities may be sensitive to how the nominal exchange rate is defined</w:t>
      </w:r>
      <w:r>
        <w:t>, I also tried other measures of nominal exchange rate (bilateral versus nominal effective) and the results were similar.</w:t>
      </w:r>
    </w:p>
  </w:footnote>
  <w:footnote w:id="4">
    <w:p w:rsidR="0003611B" w:rsidRDefault="0003611B" w:rsidP="00ED7EFF">
      <w:pPr>
        <w:jc w:val="both"/>
      </w:pPr>
      <w:r>
        <w:rPr>
          <w:rStyle w:val="FootnoteReference"/>
          <w:sz w:val="20"/>
          <w:szCs w:val="20"/>
        </w:rPr>
        <w:t>20</w:t>
      </w:r>
      <w:r w:rsidRPr="005D5A95">
        <w:rPr>
          <w:rFonts w:ascii="Times New Roman" w:hAnsi="Times New Roman"/>
          <w:sz w:val="20"/>
          <w:szCs w:val="20"/>
        </w:rPr>
        <w:t xml:space="preserve"> Identification of the structural shock is achieved by appropriately ordering the variables of interest and applying </w:t>
      </w:r>
      <w:proofErr w:type="spellStart"/>
      <w:r w:rsidRPr="005D5A95">
        <w:rPr>
          <w:rFonts w:ascii="Times New Roman" w:hAnsi="Times New Roman"/>
          <w:sz w:val="20"/>
          <w:szCs w:val="20"/>
        </w:rPr>
        <w:t>Cholesk</w:t>
      </w:r>
      <w:r>
        <w:rPr>
          <w:rFonts w:ascii="Times New Roman" w:hAnsi="Times New Roman"/>
          <w:sz w:val="20"/>
          <w:szCs w:val="20"/>
        </w:rPr>
        <w:t>y</w:t>
      </w:r>
      <w:proofErr w:type="spellEnd"/>
      <w:r w:rsidRPr="005D5A95">
        <w:rPr>
          <w:rFonts w:ascii="Times New Roman" w:hAnsi="Times New Roman"/>
          <w:sz w:val="20"/>
          <w:szCs w:val="20"/>
        </w:rPr>
        <w:t xml:space="preserve"> decomposition to the variance matrix of the reduced</w:t>
      </w:r>
      <w:r>
        <w:rPr>
          <w:rFonts w:ascii="Times New Roman" w:hAnsi="Times New Roman"/>
          <w:sz w:val="20"/>
          <w:szCs w:val="20"/>
        </w:rPr>
        <w:t>-</w:t>
      </w:r>
      <w:r w:rsidRPr="005D5A95">
        <w:rPr>
          <w:rFonts w:ascii="Times New Roman" w:hAnsi="Times New Roman"/>
          <w:sz w:val="20"/>
          <w:szCs w:val="20"/>
        </w:rPr>
        <w:t>form residuals</w:t>
      </w:r>
      <w:r w:rsidRPr="005D5A95">
        <w:rPr>
          <w:rFonts w:ascii="Times New Roman" w:hAnsi="Times New Roman"/>
          <w:position w:val="-12"/>
          <w:sz w:val="20"/>
          <w:szCs w:val="20"/>
        </w:rPr>
        <w:object w:dxaOrig="279" w:dyaOrig="360">
          <v:shape id="_x0000_i1047" type="#_x0000_t75" style="width:18pt;height:18.75pt" o:ole="">
            <v:imagedata r:id="rId1" o:title=""/>
          </v:shape>
          <o:OLEObject Type="Embed" ProgID="Equation.3" ShapeID="_x0000_i1047" DrawAspect="Content" ObjectID="_1564908194" r:id="rId2"/>
        </w:object>
      </w:r>
      <w:r w:rsidRPr="005D5A95">
        <w:rPr>
          <w:rFonts w:ascii="Times New Roman" w:hAnsi="Times New Roman"/>
          <w:sz w:val="20"/>
          <w:szCs w:val="20"/>
        </w:rPr>
        <w:t xml:space="preserve">. The </w:t>
      </w:r>
      <w:proofErr w:type="spellStart"/>
      <w:r w:rsidRPr="005D5A95">
        <w:rPr>
          <w:rFonts w:ascii="Times New Roman" w:hAnsi="Times New Roman"/>
          <w:sz w:val="20"/>
          <w:szCs w:val="20"/>
        </w:rPr>
        <w:t>Cholesk</w:t>
      </w:r>
      <w:r>
        <w:rPr>
          <w:rFonts w:ascii="Times New Roman" w:hAnsi="Times New Roman"/>
          <w:sz w:val="20"/>
          <w:szCs w:val="20"/>
        </w:rPr>
        <w:t>y</w:t>
      </w:r>
      <w:proofErr w:type="spellEnd"/>
      <w:r w:rsidRPr="005D5A95">
        <w:rPr>
          <w:rFonts w:ascii="Times New Roman" w:hAnsi="Times New Roman"/>
          <w:sz w:val="20"/>
          <w:szCs w:val="20"/>
        </w:rPr>
        <w:t xml:space="preserve"> decomposition encompasses the decomposition of the variance covariance matrix </w:t>
      </w:r>
      <w:r w:rsidRPr="005D5A95">
        <w:rPr>
          <w:rFonts w:ascii="Times New Roman" w:hAnsi="Times New Roman"/>
          <w:position w:val="-4"/>
          <w:sz w:val="20"/>
          <w:szCs w:val="20"/>
        </w:rPr>
        <w:object w:dxaOrig="260" w:dyaOrig="260">
          <v:shape id="_x0000_i1049" type="#_x0000_t75" style="width:11.25pt;height:11.25pt" o:ole="">
            <v:imagedata r:id="rId3" o:title=""/>
          </v:shape>
          <o:OLEObject Type="Embed" ProgID="Equation.3" ShapeID="_x0000_i1049" DrawAspect="Content" ObjectID="_1564908195" r:id="rId4"/>
        </w:object>
      </w:r>
      <w:r w:rsidRPr="005D5A95">
        <w:rPr>
          <w:rFonts w:ascii="Times New Roman" w:hAnsi="Times New Roman"/>
          <w:sz w:val="20"/>
          <w:szCs w:val="20"/>
        </w:rPr>
        <w:t xml:space="preserve"> of the reduced</w:t>
      </w:r>
      <w:r>
        <w:rPr>
          <w:rFonts w:ascii="Times New Roman" w:hAnsi="Times New Roman"/>
          <w:sz w:val="20"/>
          <w:szCs w:val="20"/>
        </w:rPr>
        <w:t>-</w:t>
      </w:r>
      <w:r w:rsidRPr="005D5A95">
        <w:rPr>
          <w:rFonts w:ascii="Times New Roman" w:hAnsi="Times New Roman"/>
          <w:sz w:val="20"/>
          <w:szCs w:val="20"/>
        </w:rPr>
        <w:t>form residual</w:t>
      </w:r>
      <w:r>
        <w:rPr>
          <w:rFonts w:ascii="Times New Roman" w:hAnsi="Times New Roman"/>
          <w:sz w:val="20"/>
          <w:szCs w:val="20"/>
        </w:rPr>
        <w:t>s</w:t>
      </w:r>
      <w:r w:rsidRPr="005D5A95">
        <w:rPr>
          <w:rFonts w:ascii="Times New Roman" w:hAnsi="Times New Roman"/>
          <w:sz w:val="20"/>
          <w:szCs w:val="20"/>
        </w:rPr>
        <w:t xml:space="preserve"> in a lower triangular matrix</w:t>
      </w:r>
      <w:r w:rsidRPr="005D5A95">
        <w:rPr>
          <w:rFonts w:ascii="Times New Roman" w:hAnsi="Times New Roman"/>
          <w:position w:val="-6"/>
          <w:sz w:val="20"/>
          <w:szCs w:val="20"/>
        </w:rPr>
        <w:object w:dxaOrig="220" w:dyaOrig="279">
          <v:shape id="_x0000_i1051" type="#_x0000_t75" style="width:12pt;height:18pt" o:ole="">
            <v:imagedata r:id="rId5" o:title=""/>
          </v:shape>
          <o:OLEObject Type="Embed" ProgID="Equation.3" ShapeID="_x0000_i1051" DrawAspect="Content" ObjectID="_1564908196" r:id="rId6"/>
        </w:object>
      </w:r>
      <w:r w:rsidRPr="005D5A95">
        <w:rPr>
          <w:rFonts w:ascii="Times New Roman" w:hAnsi="Times New Roman"/>
          <w:sz w:val="20"/>
          <w:szCs w:val="20"/>
        </w:rPr>
        <w:t xml:space="preserve">. Thus, the </w:t>
      </w:r>
      <w:r w:rsidRPr="005D5A95">
        <w:rPr>
          <w:rFonts w:ascii="Times New Roman" w:hAnsi="Times New Roman"/>
          <w:position w:val="-10"/>
          <w:sz w:val="20"/>
          <w:szCs w:val="20"/>
        </w:rPr>
        <w:object w:dxaOrig="999" w:dyaOrig="340">
          <v:shape id="_x0000_i1053" type="#_x0000_t75" style="width:48pt;height:18pt" o:ole="">
            <v:imagedata r:id="rId7" o:title=""/>
          </v:shape>
          <o:OLEObject Type="Embed" ProgID="Equation.3" ShapeID="_x0000_i1053" DrawAspect="Content" ObjectID="_1564908197" r:id="rId8"/>
        </w:object>
      </w:r>
      <w:r w:rsidRPr="005D5A95">
        <w:rPr>
          <w:rFonts w:ascii="Times New Roman" w:hAnsi="Times New Roman"/>
          <w:sz w:val="20"/>
          <w:szCs w:val="20"/>
        </w:rPr>
        <w:t xml:space="preserve"> economic restrictions are imposed on the triangular matrix to identify the structural shocks</w:t>
      </w:r>
      <w:r>
        <w:rPr>
          <w:rFonts w:ascii="Times New Roman" w:hAnsi="Times New Roman"/>
          <w:sz w:val="20"/>
          <w:szCs w:val="20"/>
        </w:rPr>
        <w:t>,</w:t>
      </w:r>
      <w:r w:rsidRPr="005D5A95">
        <w:rPr>
          <w:rFonts w:ascii="Times New Roman" w:hAnsi="Times New Roman"/>
          <w:sz w:val="20"/>
          <w:szCs w:val="20"/>
        </w:rPr>
        <w:t xml:space="preserve"> where some of the structural shocks do not have contemporaneous impacts on other variables</w:t>
      </w:r>
      <w:r>
        <w:rPr>
          <w:rFonts w:ascii="Times New Roman" w:hAnsi="Times New Roman"/>
          <w:sz w:val="20"/>
          <w:szCs w:val="20"/>
        </w:rPr>
        <w:t>.</w:t>
      </w:r>
      <w:r w:rsidRPr="005D5A95">
        <w:rPr>
          <w:rFonts w:ascii="Times New Roman" w:hAnsi="Times New Roman"/>
          <w:sz w:val="20"/>
          <w:szCs w:val="20"/>
        </w:rPr>
        <w:t xml:space="preserve"> </w:t>
      </w:r>
      <w:r w:rsidRPr="005D5A95">
        <w:rPr>
          <w:rFonts w:ascii="Times New Roman" w:hAnsi="Times New Roman"/>
          <w:position w:val="-6"/>
          <w:sz w:val="20"/>
          <w:szCs w:val="20"/>
        </w:rPr>
        <w:object w:dxaOrig="200" w:dyaOrig="220">
          <v:shape id="_x0000_i1055" type="#_x0000_t75" style="width:6pt;height:12pt" o:ole="">
            <v:imagedata r:id="rId9" o:title=""/>
          </v:shape>
          <o:OLEObject Type="Embed" ProgID="Equation.3" ShapeID="_x0000_i1055" DrawAspect="Content" ObjectID="_1564908198" r:id="rId10"/>
        </w:object>
      </w:r>
      <w:r w:rsidRPr="005D5A95">
        <w:rPr>
          <w:rFonts w:ascii="Times New Roman" w:hAnsi="Times New Roman"/>
          <w:sz w:val="20"/>
          <w:szCs w:val="20"/>
        </w:rPr>
        <w:t xml:space="preserve"> denotes the number of endogenous variables.</w:t>
      </w:r>
    </w:p>
  </w:footnote>
  <w:footnote w:id="5">
    <w:p w:rsidR="0003611B" w:rsidRDefault="0003611B" w:rsidP="00ED7EFF">
      <w:pPr>
        <w:pStyle w:val="FootnoteText"/>
      </w:pPr>
      <w:r>
        <w:rPr>
          <w:rStyle w:val="FootnoteReference"/>
        </w:rPr>
        <w:t>22</w:t>
      </w:r>
      <w:r>
        <w:t xml:space="preserve"> Krugman (1987) and </w:t>
      </w:r>
      <w:proofErr w:type="spellStart"/>
      <w:r>
        <w:t>Dornbusch</w:t>
      </w:r>
      <w:proofErr w:type="spellEnd"/>
      <w:r>
        <w:t xml:space="preserve"> (1987) show that under imperfect competition ‘pricing-to-market’ may explain why fluctuations in the exchange rate are not reflected one-for-one in prices.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81021"/>
      <w:docPartObj>
        <w:docPartGallery w:val="Page Numbers (Margins)"/>
        <w:docPartUnique/>
      </w:docPartObj>
    </w:sdtPr>
    <w:sdtEndPr/>
    <w:sdtContent>
      <w:p w:rsidR="0003611B" w:rsidRDefault="0020046A">
        <w:pPr>
          <w:pStyle w:val="Header"/>
        </w:pPr>
        <w:r>
          <w:rPr>
            <w:noProof/>
            <w:lang w:eastAsia="zh-TW"/>
          </w:rPr>
          <w:pict>
            <v:rect id="_x0000_s2054" style="position:absolute;margin-left:0;margin-top:0;width:60pt;height:70.5pt;z-index:251664384;mso-position-horizontal:center;mso-position-horizontal-relative:left-margin-area;mso-position-vertical:center;mso-position-vertical-relative:page" o:allowincell="f" stroked="f">
              <v:textbox style="layout-flow:vertical;mso-next-textbox:#_x0000_s2054">
                <w:txbxContent>
                  <w:p w:rsidR="0003611B" w:rsidRDefault="0003611B">
                    <w:pPr>
                      <w:jc w:val="center"/>
                      <w:rPr>
                        <w:rFonts w:asciiTheme="majorHAnsi" w:hAnsiTheme="majorHAnsi"/>
                        <w:sz w:val="48"/>
                        <w:szCs w:val="44"/>
                      </w:rPr>
                    </w:pPr>
                  </w:p>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8231A"/>
    <w:multiLevelType w:val="multilevel"/>
    <w:tmpl w:val="8DF4606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30644"/>
    <w:multiLevelType w:val="hybridMultilevel"/>
    <w:tmpl w:val="FF58736E"/>
    <w:lvl w:ilvl="0" w:tplc="0C1E37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64577"/>
    <w:multiLevelType w:val="multilevel"/>
    <w:tmpl w:val="6B7006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E394D"/>
    <w:multiLevelType w:val="hybridMultilevel"/>
    <w:tmpl w:val="DFAE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A5820"/>
    <w:multiLevelType w:val="hybridMultilevel"/>
    <w:tmpl w:val="36D4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9509F"/>
    <w:multiLevelType w:val="hybridMultilevel"/>
    <w:tmpl w:val="BF9A1F7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35F70"/>
    <w:multiLevelType w:val="hybridMultilevel"/>
    <w:tmpl w:val="3FA4EEE4"/>
    <w:lvl w:ilvl="0" w:tplc="8A8C808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E24D62"/>
    <w:multiLevelType w:val="hybridMultilevel"/>
    <w:tmpl w:val="3A927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s-US"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7EFF"/>
    <w:rsid w:val="00004258"/>
    <w:rsid w:val="000042DA"/>
    <w:rsid w:val="00004440"/>
    <w:rsid w:val="00010100"/>
    <w:rsid w:val="0001246E"/>
    <w:rsid w:val="000164E0"/>
    <w:rsid w:val="000171B4"/>
    <w:rsid w:val="00020CA0"/>
    <w:rsid w:val="00020F4F"/>
    <w:rsid w:val="00022B5F"/>
    <w:rsid w:val="00023A55"/>
    <w:rsid w:val="000269C7"/>
    <w:rsid w:val="00031D22"/>
    <w:rsid w:val="0003274A"/>
    <w:rsid w:val="0003611B"/>
    <w:rsid w:val="00037574"/>
    <w:rsid w:val="00040BC5"/>
    <w:rsid w:val="0004118E"/>
    <w:rsid w:val="0004163F"/>
    <w:rsid w:val="00041DE0"/>
    <w:rsid w:val="00041E3E"/>
    <w:rsid w:val="00042D9E"/>
    <w:rsid w:val="00043136"/>
    <w:rsid w:val="000458A2"/>
    <w:rsid w:val="00050259"/>
    <w:rsid w:val="000506B4"/>
    <w:rsid w:val="00052334"/>
    <w:rsid w:val="00053999"/>
    <w:rsid w:val="00054823"/>
    <w:rsid w:val="000602D9"/>
    <w:rsid w:val="00060877"/>
    <w:rsid w:val="00060E7E"/>
    <w:rsid w:val="000622E4"/>
    <w:rsid w:val="00062949"/>
    <w:rsid w:val="000646AF"/>
    <w:rsid w:val="00070ECA"/>
    <w:rsid w:val="00071922"/>
    <w:rsid w:val="000726D2"/>
    <w:rsid w:val="000754F4"/>
    <w:rsid w:val="00084145"/>
    <w:rsid w:val="000849C3"/>
    <w:rsid w:val="0008500D"/>
    <w:rsid w:val="00086C72"/>
    <w:rsid w:val="000921C3"/>
    <w:rsid w:val="00097392"/>
    <w:rsid w:val="000975DC"/>
    <w:rsid w:val="00097622"/>
    <w:rsid w:val="000A038A"/>
    <w:rsid w:val="000A0657"/>
    <w:rsid w:val="000A2D7C"/>
    <w:rsid w:val="000A472E"/>
    <w:rsid w:val="000A4B96"/>
    <w:rsid w:val="000A56D4"/>
    <w:rsid w:val="000B011A"/>
    <w:rsid w:val="000B1D06"/>
    <w:rsid w:val="000B2391"/>
    <w:rsid w:val="000B3BFD"/>
    <w:rsid w:val="000B709D"/>
    <w:rsid w:val="000C4C54"/>
    <w:rsid w:val="000C6257"/>
    <w:rsid w:val="000C672C"/>
    <w:rsid w:val="000D1E24"/>
    <w:rsid w:val="000D4007"/>
    <w:rsid w:val="000D46B0"/>
    <w:rsid w:val="000E0437"/>
    <w:rsid w:val="000E1F0C"/>
    <w:rsid w:val="000E2B60"/>
    <w:rsid w:val="000E4DDA"/>
    <w:rsid w:val="000F215D"/>
    <w:rsid w:val="000F3668"/>
    <w:rsid w:val="000F4013"/>
    <w:rsid w:val="000F7D79"/>
    <w:rsid w:val="0010207D"/>
    <w:rsid w:val="001026A6"/>
    <w:rsid w:val="001026EC"/>
    <w:rsid w:val="00103125"/>
    <w:rsid w:val="00106F17"/>
    <w:rsid w:val="001110A3"/>
    <w:rsid w:val="00111F36"/>
    <w:rsid w:val="00112016"/>
    <w:rsid w:val="001153B4"/>
    <w:rsid w:val="001223D9"/>
    <w:rsid w:val="001225DE"/>
    <w:rsid w:val="0013050B"/>
    <w:rsid w:val="00131296"/>
    <w:rsid w:val="0014016F"/>
    <w:rsid w:val="001415F3"/>
    <w:rsid w:val="00142DC5"/>
    <w:rsid w:val="00142E55"/>
    <w:rsid w:val="0014319C"/>
    <w:rsid w:val="0014703D"/>
    <w:rsid w:val="00147F64"/>
    <w:rsid w:val="00150ACD"/>
    <w:rsid w:val="00151621"/>
    <w:rsid w:val="00152CAF"/>
    <w:rsid w:val="00153DDC"/>
    <w:rsid w:val="00155C72"/>
    <w:rsid w:val="00156BE2"/>
    <w:rsid w:val="001579D6"/>
    <w:rsid w:val="001628A7"/>
    <w:rsid w:val="0016484C"/>
    <w:rsid w:val="0016522B"/>
    <w:rsid w:val="00166E7A"/>
    <w:rsid w:val="001704B2"/>
    <w:rsid w:val="00170CAD"/>
    <w:rsid w:val="001712FA"/>
    <w:rsid w:val="00172028"/>
    <w:rsid w:val="001720CF"/>
    <w:rsid w:val="00172E92"/>
    <w:rsid w:val="00173873"/>
    <w:rsid w:val="0017793E"/>
    <w:rsid w:val="0018201E"/>
    <w:rsid w:val="00185E1F"/>
    <w:rsid w:val="001878C8"/>
    <w:rsid w:val="001878F5"/>
    <w:rsid w:val="001903EA"/>
    <w:rsid w:val="001930B2"/>
    <w:rsid w:val="0019456C"/>
    <w:rsid w:val="00194F1B"/>
    <w:rsid w:val="00195CB7"/>
    <w:rsid w:val="00196C52"/>
    <w:rsid w:val="001A0DFD"/>
    <w:rsid w:val="001A0F9D"/>
    <w:rsid w:val="001A1112"/>
    <w:rsid w:val="001A129B"/>
    <w:rsid w:val="001A1D47"/>
    <w:rsid w:val="001A4F5D"/>
    <w:rsid w:val="001A7056"/>
    <w:rsid w:val="001B2C06"/>
    <w:rsid w:val="001B727E"/>
    <w:rsid w:val="001C161D"/>
    <w:rsid w:val="001C1E09"/>
    <w:rsid w:val="001C3E9E"/>
    <w:rsid w:val="001C4391"/>
    <w:rsid w:val="001C4F3A"/>
    <w:rsid w:val="001D01A7"/>
    <w:rsid w:val="001D20E1"/>
    <w:rsid w:val="001D4E35"/>
    <w:rsid w:val="001D527D"/>
    <w:rsid w:val="001D7ED6"/>
    <w:rsid w:val="001E1C15"/>
    <w:rsid w:val="001E2764"/>
    <w:rsid w:val="001E2B16"/>
    <w:rsid w:val="001E6670"/>
    <w:rsid w:val="001F10E5"/>
    <w:rsid w:val="001F2DA3"/>
    <w:rsid w:val="001F3DEA"/>
    <w:rsid w:val="001F4B38"/>
    <w:rsid w:val="001F50D3"/>
    <w:rsid w:val="001F5E75"/>
    <w:rsid w:val="0020046A"/>
    <w:rsid w:val="002008A7"/>
    <w:rsid w:val="00200AFA"/>
    <w:rsid w:val="002014E9"/>
    <w:rsid w:val="00203BA9"/>
    <w:rsid w:val="00204215"/>
    <w:rsid w:val="00210531"/>
    <w:rsid w:val="00213E4A"/>
    <w:rsid w:val="00214F6D"/>
    <w:rsid w:val="002151B4"/>
    <w:rsid w:val="00216802"/>
    <w:rsid w:val="00216E03"/>
    <w:rsid w:val="00217F83"/>
    <w:rsid w:val="00217F9C"/>
    <w:rsid w:val="00221ECC"/>
    <w:rsid w:val="00223A84"/>
    <w:rsid w:val="002242EB"/>
    <w:rsid w:val="00224375"/>
    <w:rsid w:val="0023283C"/>
    <w:rsid w:val="00232A03"/>
    <w:rsid w:val="00234B90"/>
    <w:rsid w:val="00236028"/>
    <w:rsid w:val="00236BDB"/>
    <w:rsid w:val="002462AD"/>
    <w:rsid w:val="00246F74"/>
    <w:rsid w:val="00247615"/>
    <w:rsid w:val="00250C91"/>
    <w:rsid w:val="00250CC8"/>
    <w:rsid w:val="00254BAA"/>
    <w:rsid w:val="00254CE6"/>
    <w:rsid w:val="00260ADA"/>
    <w:rsid w:val="002620B5"/>
    <w:rsid w:val="00263BF5"/>
    <w:rsid w:val="00263EFD"/>
    <w:rsid w:val="00266416"/>
    <w:rsid w:val="00267DEC"/>
    <w:rsid w:val="00270EC3"/>
    <w:rsid w:val="00271C6E"/>
    <w:rsid w:val="00273543"/>
    <w:rsid w:val="00273A8F"/>
    <w:rsid w:val="0027602C"/>
    <w:rsid w:val="002822A2"/>
    <w:rsid w:val="00283616"/>
    <w:rsid w:val="002840DE"/>
    <w:rsid w:val="002866E2"/>
    <w:rsid w:val="00286A69"/>
    <w:rsid w:val="00287082"/>
    <w:rsid w:val="002874C5"/>
    <w:rsid w:val="002912C6"/>
    <w:rsid w:val="00291BF1"/>
    <w:rsid w:val="00292D71"/>
    <w:rsid w:val="00297168"/>
    <w:rsid w:val="002A118A"/>
    <w:rsid w:val="002A15E0"/>
    <w:rsid w:val="002A2654"/>
    <w:rsid w:val="002A2BE4"/>
    <w:rsid w:val="002A373C"/>
    <w:rsid w:val="002A5597"/>
    <w:rsid w:val="002A6AA4"/>
    <w:rsid w:val="002A78F7"/>
    <w:rsid w:val="002B396E"/>
    <w:rsid w:val="002B4E18"/>
    <w:rsid w:val="002C0AD5"/>
    <w:rsid w:val="002C7E58"/>
    <w:rsid w:val="002D0B67"/>
    <w:rsid w:val="002D1CFC"/>
    <w:rsid w:val="002D4187"/>
    <w:rsid w:val="002E08AF"/>
    <w:rsid w:val="002E1470"/>
    <w:rsid w:val="002E6BC4"/>
    <w:rsid w:val="002F0B78"/>
    <w:rsid w:val="002F110A"/>
    <w:rsid w:val="002F332A"/>
    <w:rsid w:val="002F387D"/>
    <w:rsid w:val="003027F5"/>
    <w:rsid w:val="0030411A"/>
    <w:rsid w:val="003061F6"/>
    <w:rsid w:val="00315604"/>
    <w:rsid w:val="003167A7"/>
    <w:rsid w:val="003179D9"/>
    <w:rsid w:val="00320D2F"/>
    <w:rsid w:val="003218BF"/>
    <w:rsid w:val="003227C5"/>
    <w:rsid w:val="00330B08"/>
    <w:rsid w:val="003314D7"/>
    <w:rsid w:val="003329B5"/>
    <w:rsid w:val="00332D06"/>
    <w:rsid w:val="0033314A"/>
    <w:rsid w:val="003339DD"/>
    <w:rsid w:val="0033432B"/>
    <w:rsid w:val="003362F0"/>
    <w:rsid w:val="0034076F"/>
    <w:rsid w:val="00342AE2"/>
    <w:rsid w:val="00342B46"/>
    <w:rsid w:val="00342DD3"/>
    <w:rsid w:val="00343F5E"/>
    <w:rsid w:val="003446BD"/>
    <w:rsid w:val="00345E8A"/>
    <w:rsid w:val="00346E10"/>
    <w:rsid w:val="0035065A"/>
    <w:rsid w:val="0035265B"/>
    <w:rsid w:val="00355C39"/>
    <w:rsid w:val="00357518"/>
    <w:rsid w:val="003613F0"/>
    <w:rsid w:val="0036657A"/>
    <w:rsid w:val="00370629"/>
    <w:rsid w:val="00382AF8"/>
    <w:rsid w:val="0038530C"/>
    <w:rsid w:val="0038568F"/>
    <w:rsid w:val="00385E52"/>
    <w:rsid w:val="003872C8"/>
    <w:rsid w:val="00395011"/>
    <w:rsid w:val="0039505F"/>
    <w:rsid w:val="003958C9"/>
    <w:rsid w:val="003962C4"/>
    <w:rsid w:val="003A384F"/>
    <w:rsid w:val="003B2431"/>
    <w:rsid w:val="003B2A4D"/>
    <w:rsid w:val="003C05AC"/>
    <w:rsid w:val="003C5917"/>
    <w:rsid w:val="003C7F08"/>
    <w:rsid w:val="003D2725"/>
    <w:rsid w:val="003D3385"/>
    <w:rsid w:val="003E05BD"/>
    <w:rsid w:val="003E0B10"/>
    <w:rsid w:val="003E1F3A"/>
    <w:rsid w:val="003E2CB4"/>
    <w:rsid w:val="003E5017"/>
    <w:rsid w:val="003E5B17"/>
    <w:rsid w:val="003F1D9F"/>
    <w:rsid w:val="003F3663"/>
    <w:rsid w:val="003F41D5"/>
    <w:rsid w:val="003F69D9"/>
    <w:rsid w:val="004002E2"/>
    <w:rsid w:val="00400A9F"/>
    <w:rsid w:val="0040583A"/>
    <w:rsid w:val="0041378A"/>
    <w:rsid w:val="00414692"/>
    <w:rsid w:val="00416023"/>
    <w:rsid w:val="00416BB6"/>
    <w:rsid w:val="00420B00"/>
    <w:rsid w:val="0042106E"/>
    <w:rsid w:val="00422D0B"/>
    <w:rsid w:val="004241A9"/>
    <w:rsid w:val="004270D8"/>
    <w:rsid w:val="00430779"/>
    <w:rsid w:val="00441416"/>
    <w:rsid w:val="0044175B"/>
    <w:rsid w:val="00443203"/>
    <w:rsid w:val="0044363B"/>
    <w:rsid w:val="00444DC0"/>
    <w:rsid w:val="00445C59"/>
    <w:rsid w:val="00446864"/>
    <w:rsid w:val="004469E7"/>
    <w:rsid w:val="0045032D"/>
    <w:rsid w:val="00452404"/>
    <w:rsid w:val="00452CCB"/>
    <w:rsid w:val="0045329D"/>
    <w:rsid w:val="00453718"/>
    <w:rsid w:val="00453815"/>
    <w:rsid w:val="004546CD"/>
    <w:rsid w:val="00455F8E"/>
    <w:rsid w:val="00456A58"/>
    <w:rsid w:val="00457521"/>
    <w:rsid w:val="00461365"/>
    <w:rsid w:val="004664C3"/>
    <w:rsid w:val="0046694B"/>
    <w:rsid w:val="00467F4C"/>
    <w:rsid w:val="00472B73"/>
    <w:rsid w:val="0047323E"/>
    <w:rsid w:val="004802AE"/>
    <w:rsid w:val="00482A43"/>
    <w:rsid w:val="00485490"/>
    <w:rsid w:val="00486BE2"/>
    <w:rsid w:val="0049105E"/>
    <w:rsid w:val="004912EA"/>
    <w:rsid w:val="0049507F"/>
    <w:rsid w:val="004A0795"/>
    <w:rsid w:val="004A17F0"/>
    <w:rsid w:val="004A512D"/>
    <w:rsid w:val="004A7D3E"/>
    <w:rsid w:val="004A7EA2"/>
    <w:rsid w:val="004B270D"/>
    <w:rsid w:val="004B55FC"/>
    <w:rsid w:val="004B7F82"/>
    <w:rsid w:val="004C21C9"/>
    <w:rsid w:val="004C4763"/>
    <w:rsid w:val="004C61BA"/>
    <w:rsid w:val="004C7093"/>
    <w:rsid w:val="004C75AA"/>
    <w:rsid w:val="004C7DFA"/>
    <w:rsid w:val="004D4A33"/>
    <w:rsid w:val="004E0087"/>
    <w:rsid w:val="004E1A37"/>
    <w:rsid w:val="004E1FF0"/>
    <w:rsid w:val="004E24D5"/>
    <w:rsid w:val="004E29C5"/>
    <w:rsid w:val="004E4BC7"/>
    <w:rsid w:val="004E722E"/>
    <w:rsid w:val="004F0D82"/>
    <w:rsid w:val="004F107C"/>
    <w:rsid w:val="004F1A98"/>
    <w:rsid w:val="004F2D3C"/>
    <w:rsid w:val="00502065"/>
    <w:rsid w:val="00502F44"/>
    <w:rsid w:val="00503117"/>
    <w:rsid w:val="00504B7B"/>
    <w:rsid w:val="00510784"/>
    <w:rsid w:val="00510DE0"/>
    <w:rsid w:val="005117B7"/>
    <w:rsid w:val="00511A2E"/>
    <w:rsid w:val="00512A15"/>
    <w:rsid w:val="00513E98"/>
    <w:rsid w:val="0052007F"/>
    <w:rsid w:val="0052044F"/>
    <w:rsid w:val="00522204"/>
    <w:rsid w:val="00525BBE"/>
    <w:rsid w:val="0052728F"/>
    <w:rsid w:val="005302EC"/>
    <w:rsid w:val="00531AA0"/>
    <w:rsid w:val="005350A0"/>
    <w:rsid w:val="005367DC"/>
    <w:rsid w:val="005379D7"/>
    <w:rsid w:val="00541147"/>
    <w:rsid w:val="00542EBA"/>
    <w:rsid w:val="005457CC"/>
    <w:rsid w:val="00546E6E"/>
    <w:rsid w:val="00553EDA"/>
    <w:rsid w:val="005550EA"/>
    <w:rsid w:val="0056039F"/>
    <w:rsid w:val="0056214D"/>
    <w:rsid w:val="00564C55"/>
    <w:rsid w:val="00565367"/>
    <w:rsid w:val="00566D1D"/>
    <w:rsid w:val="00567B44"/>
    <w:rsid w:val="00570A4A"/>
    <w:rsid w:val="00576E79"/>
    <w:rsid w:val="0058121B"/>
    <w:rsid w:val="0058468E"/>
    <w:rsid w:val="005846DD"/>
    <w:rsid w:val="0059067C"/>
    <w:rsid w:val="0059071D"/>
    <w:rsid w:val="005910E9"/>
    <w:rsid w:val="00593C89"/>
    <w:rsid w:val="005940A2"/>
    <w:rsid w:val="00595C09"/>
    <w:rsid w:val="005A0247"/>
    <w:rsid w:val="005A0F0C"/>
    <w:rsid w:val="005A3A09"/>
    <w:rsid w:val="005A3DFE"/>
    <w:rsid w:val="005B22E8"/>
    <w:rsid w:val="005B31F1"/>
    <w:rsid w:val="005B45B2"/>
    <w:rsid w:val="005B484C"/>
    <w:rsid w:val="005B5216"/>
    <w:rsid w:val="005B5814"/>
    <w:rsid w:val="005B6FA1"/>
    <w:rsid w:val="005B73A4"/>
    <w:rsid w:val="005C1942"/>
    <w:rsid w:val="005C2C30"/>
    <w:rsid w:val="005C304D"/>
    <w:rsid w:val="005C3092"/>
    <w:rsid w:val="005C3CE1"/>
    <w:rsid w:val="005C5B0E"/>
    <w:rsid w:val="005C66CD"/>
    <w:rsid w:val="005C7141"/>
    <w:rsid w:val="005D0A2D"/>
    <w:rsid w:val="005D32F4"/>
    <w:rsid w:val="005D354B"/>
    <w:rsid w:val="005D36FD"/>
    <w:rsid w:val="005D4A78"/>
    <w:rsid w:val="005D4A9C"/>
    <w:rsid w:val="005E0C73"/>
    <w:rsid w:val="005E1C2F"/>
    <w:rsid w:val="005E2692"/>
    <w:rsid w:val="005E2C75"/>
    <w:rsid w:val="005E35D7"/>
    <w:rsid w:val="005E4004"/>
    <w:rsid w:val="005E4A03"/>
    <w:rsid w:val="005E5178"/>
    <w:rsid w:val="005E5948"/>
    <w:rsid w:val="005E6565"/>
    <w:rsid w:val="005E6E0A"/>
    <w:rsid w:val="005F2313"/>
    <w:rsid w:val="005F2D33"/>
    <w:rsid w:val="005F3942"/>
    <w:rsid w:val="005F5053"/>
    <w:rsid w:val="005F5B3C"/>
    <w:rsid w:val="005F62E3"/>
    <w:rsid w:val="005F67CA"/>
    <w:rsid w:val="00602825"/>
    <w:rsid w:val="00603E55"/>
    <w:rsid w:val="0061010E"/>
    <w:rsid w:val="00610418"/>
    <w:rsid w:val="0061223D"/>
    <w:rsid w:val="00613A16"/>
    <w:rsid w:val="006159E3"/>
    <w:rsid w:val="00620F76"/>
    <w:rsid w:val="00621D78"/>
    <w:rsid w:val="006226EA"/>
    <w:rsid w:val="0063022B"/>
    <w:rsid w:val="006314B5"/>
    <w:rsid w:val="006316D9"/>
    <w:rsid w:val="00631A43"/>
    <w:rsid w:val="00636109"/>
    <w:rsid w:val="00636B0E"/>
    <w:rsid w:val="006378D7"/>
    <w:rsid w:val="00640193"/>
    <w:rsid w:val="00644796"/>
    <w:rsid w:val="00645CDC"/>
    <w:rsid w:val="006462BE"/>
    <w:rsid w:val="00646758"/>
    <w:rsid w:val="00652021"/>
    <w:rsid w:val="00652EB2"/>
    <w:rsid w:val="00653F99"/>
    <w:rsid w:val="0065521B"/>
    <w:rsid w:val="00657937"/>
    <w:rsid w:val="00657F17"/>
    <w:rsid w:val="0066156E"/>
    <w:rsid w:val="006631C5"/>
    <w:rsid w:val="0066391B"/>
    <w:rsid w:val="00667361"/>
    <w:rsid w:val="00670243"/>
    <w:rsid w:val="00674E4D"/>
    <w:rsid w:val="00675983"/>
    <w:rsid w:val="006770D7"/>
    <w:rsid w:val="0068025F"/>
    <w:rsid w:val="00680879"/>
    <w:rsid w:val="00681878"/>
    <w:rsid w:val="00681EE3"/>
    <w:rsid w:val="00683437"/>
    <w:rsid w:val="006844BF"/>
    <w:rsid w:val="00686F6A"/>
    <w:rsid w:val="006904B0"/>
    <w:rsid w:val="006905FF"/>
    <w:rsid w:val="00690CEB"/>
    <w:rsid w:val="0069152C"/>
    <w:rsid w:val="006921EC"/>
    <w:rsid w:val="006945CC"/>
    <w:rsid w:val="006A6704"/>
    <w:rsid w:val="006A7A6B"/>
    <w:rsid w:val="006A7D3B"/>
    <w:rsid w:val="006B3FC4"/>
    <w:rsid w:val="006B63B7"/>
    <w:rsid w:val="006B697A"/>
    <w:rsid w:val="006C13C6"/>
    <w:rsid w:val="006C2700"/>
    <w:rsid w:val="006C2F59"/>
    <w:rsid w:val="006C4B28"/>
    <w:rsid w:val="006C505D"/>
    <w:rsid w:val="006C50E5"/>
    <w:rsid w:val="006C547B"/>
    <w:rsid w:val="006C7090"/>
    <w:rsid w:val="006D0E0D"/>
    <w:rsid w:val="006D1E71"/>
    <w:rsid w:val="006D279D"/>
    <w:rsid w:val="006D2C71"/>
    <w:rsid w:val="006D5628"/>
    <w:rsid w:val="006E0D46"/>
    <w:rsid w:val="006E2507"/>
    <w:rsid w:val="006E322A"/>
    <w:rsid w:val="006E3342"/>
    <w:rsid w:val="006E5EC0"/>
    <w:rsid w:val="006E6E57"/>
    <w:rsid w:val="006E6F61"/>
    <w:rsid w:val="006F202D"/>
    <w:rsid w:val="006F267F"/>
    <w:rsid w:val="006F5128"/>
    <w:rsid w:val="006F611C"/>
    <w:rsid w:val="006F7B63"/>
    <w:rsid w:val="00704E40"/>
    <w:rsid w:val="00710523"/>
    <w:rsid w:val="00711399"/>
    <w:rsid w:val="00715416"/>
    <w:rsid w:val="0071562A"/>
    <w:rsid w:val="00716660"/>
    <w:rsid w:val="0072143D"/>
    <w:rsid w:val="007237C0"/>
    <w:rsid w:val="00723A55"/>
    <w:rsid w:val="00723CED"/>
    <w:rsid w:val="00724A71"/>
    <w:rsid w:val="007255C4"/>
    <w:rsid w:val="00731E91"/>
    <w:rsid w:val="00733B55"/>
    <w:rsid w:val="00733BA5"/>
    <w:rsid w:val="00733C5C"/>
    <w:rsid w:val="007353F3"/>
    <w:rsid w:val="007361BA"/>
    <w:rsid w:val="00736362"/>
    <w:rsid w:val="007410FD"/>
    <w:rsid w:val="007432D0"/>
    <w:rsid w:val="00743B6C"/>
    <w:rsid w:val="00744499"/>
    <w:rsid w:val="00761B06"/>
    <w:rsid w:val="00762942"/>
    <w:rsid w:val="00766034"/>
    <w:rsid w:val="0076773C"/>
    <w:rsid w:val="00773690"/>
    <w:rsid w:val="00774E98"/>
    <w:rsid w:val="00775728"/>
    <w:rsid w:val="0077768A"/>
    <w:rsid w:val="0077780D"/>
    <w:rsid w:val="00785F57"/>
    <w:rsid w:val="00786A18"/>
    <w:rsid w:val="00787BF4"/>
    <w:rsid w:val="00793475"/>
    <w:rsid w:val="00793E35"/>
    <w:rsid w:val="0079779A"/>
    <w:rsid w:val="007A356D"/>
    <w:rsid w:val="007A3696"/>
    <w:rsid w:val="007A5EC1"/>
    <w:rsid w:val="007A699E"/>
    <w:rsid w:val="007B0C4D"/>
    <w:rsid w:val="007B1399"/>
    <w:rsid w:val="007B27FF"/>
    <w:rsid w:val="007B7A63"/>
    <w:rsid w:val="007C4277"/>
    <w:rsid w:val="007C478E"/>
    <w:rsid w:val="007C55C3"/>
    <w:rsid w:val="007C5A5A"/>
    <w:rsid w:val="007C5FED"/>
    <w:rsid w:val="007D0F09"/>
    <w:rsid w:val="007D493E"/>
    <w:rsid w:val="007D6B46"/>
    <w:rsid w:val="007D7C99"/>
    <w:rsid w:val="007E1C55"/>
    <w:rsid w:val="007E2598"/>
    <w:rsid w:val="007E2C57"/>
    <w:rsid w:val="007E71E6"/>
    <w:rsid w:val="007F5311"/>
    <w:rsid w:val="007F5EF8"/>
    <w:rsid w:val="007F6B5E"/>
    <w:rsid w:val="007F7A1E"/>
    <w:rsid w:val="007F7BE0"/>
    <w:rsid w:val="0080006F"/>
    <w:rsid w:val="00802A12"/>
    <w:rsid w:val="0080325D"/>
    <w:rsid w:val="0080634F"/>
    <w:rsid w:val="008109FF"/>
    <w:rsid w:val="00810C5D"/>
    <w:rsid w:val="0081394F"/>
    <w:rsid w:val="00824391"/>
    <w:rsid w:val="00824673"/>
    <w:rsid w:val="00825424"/>
    <w:rsid w:val="0082580E"/>
    <w:rsid w:val="008304AC"/>
    <w:rsid w:val="008337E9"/>
    <w:rsid w:val="008349BB"/>
    <w:rsid w:val="00837308"/>
    <w:rsid w:val="00840548"/>
    <w:rsid w:val="008417B0"/>
    <w:rsid w:val="0085307A"/>
    <w:rsid w:val="0085399A"/>
    <w:rsid w:val="00855907"/>
    <w:rsid w:val="008566F4"/>
    <w:rsid w:val="00856F03"/>
    <w:rsid w:val="00861621"/>
    <w:rsid w:val="00861C39"/>
    <w:rsid w:val="008626D1"/>
    <w:rsid w:val="00863951"/>
    <w:rsid w:val="00864C1F"/>
    <w:rsid w:val="00867D3C"/>
    <w:rsid w:val="0087109F"/>
    <w:rsid w:val="00871983"/>
    <w:rsid w:val="0087357C"/>
    <w:rsid w:val="00875468"/>
    <w:rsid w:val="00876072"/>
    <w:rsid w:val="00877016"/>
    <w:rsid w:val="00880506"/>
    <w:rsid w:val="008828AA"/>
    <w:rsid w:val="0089085E"/>
    <w:rsid w:val="008928EF"/>
    <w:rsid w:val="008941C5"/>
    <w:rsid w:val="008A101D"/>
    <w:rsid w:val="008A2531"/>
    <w:rsid w:val="008A28B4"/>
    <w:rsid w:val="008A57D6"/>
    <w:rsid w:val="008A5A7D"/>
    <w:rsid w:val="008A6AF9"/>
    <w:rsid w:val="008A71E4"/>
    <w:rsid w:val="008A74E6"/>
    <w:rsid w:val="008B61F6"/>
    <w:rsid w:val="008B6649"/>
    <w:rsid w:val="008B6FEE"/>
    <w:rsid w:val="008B7325"/>
    <w:rsid w:val="008B73CA"/>
    <w:rsid w:val="008B770A"/>
    <w:rsid w:val="008B7C2F"/>
    <w:rsid w:val="008B7D0E"/>
    <w:rsid w:val="008D3AE2"/>
    <w:rsid w:val="008D4249"/>
    <w:rsid w:val="008D49D4"/>
    <w:rsid w:val="008E418E"/>
    <w:rsid w:val="008E42E2"/>
    <w:rsid w:val="008F13DA"/>
    <w:rsid w:val="008F5196"/>
    <w:rsid w:val="009004AF"/>
    <w:rsid w:val="0090146B"/>
    <w:rsid w:val="0090184F"/>
    <w:rsid w:val="009026CC"/>
    <w:rsid w:val="00902FA3"/>
    <w:rsid w:val="00903326"/>
    <w:rsid w:val="0090542C"/>
    <w:rsid w:val="0090563F"/>
    <w:rsid w:val="00906FA3"/>
    <w:rsid w:val="00907100"/>
    <w:rsid w:val="00912422"/>
    <w:rsid w:val="00912448"/>
    <w:rsid w:val="0091434F"/>
    <w:rsid w:val="009153EB"/>
    <w:rsid w:val="00915C27"/>
    <w:rsid w:val="0092180D"/>
    <w:rsid w:val="00921BA6"/>
    <w:rsid w:val="00923A3A"/>
    <w:rsid w:val="009247C7"/>
    <w:rsid w:val="0092494F"/>
    <w:rsid w:val="00924C7A"/>
    <w:rsid w:val="00925438"/>
    <w:rsid w:val="00925A6F"/>
    <w:rsid w:val="00931F11"/>
    <w:rsid w:val="009356CE"/>
    <w:rsid w:val="00935916"/>
    <w:rsid w:val="00937320"/>
    <w:rsid w:val="00937B3E"/>
    <w:rsid w:val="0094050F"/>
    <w:rsid w:val="009507E7"/>
    <w:rsid w:val="00951A81"/>
    <w:rsid w:val="009552A8"/>
    <w:rsid w:val="009555EF"/>
    <w:rsid w:val="00955735"/>
    <w:rsid w:val="00957AEF"/>
    <w:rsid w:val="00960EC9"/>
    <w:rsid w:val="00965A95"/>
    <w:rsid w:val="00965F78"/>
    <w:rsid w:val="009707FB"/>
    <w:rsid w:val="009737DC"/>
    <w:rsid w:val="00974A34"/>
    <w:rsid w:val="009847C7"/>
    <w:rsid w:val="0098707A"/>
    <w:rsid w:val="0099087C"/>
    <w:rsid w:val="009920D8"/>
    <w:rsid w:val="00993C8C"/>
    <w:rsid w:val="00994A4B"/>
    <w:rsid w:val="00996360"/>
    <w:rsid w:val="00996C22"/>
    <w:rsid w:val="009971A9"/>
    <w:rsid w:val="009A0524"/>
    <w:rsid w:val="009A24C5"/>
    <w:rsid w:val="009A3881"/>
    <w:rsid w:val="009A52AB"/>
    <w:rsid w:val="009A5A95"/>
    <w:rsid w:val="009A5B7F"/>
    <w:rsid w:val="009A60BB"/>
    <w:rsid w:val="009A6102"/>
    <w:rsid w:val="009A749F"/>
    <w:rsid w:val="009B1CEC"/>
    <w:rsid w:val="009B1F4E"/>
    <w:rsid w:val="009B21A7"/>
    <w:rsid w:val="009B3D47"/>
    <w:rsid w:val="009B6E4F"/>
    <w:rsid w:val="009B754B"/>
    <w:rsid w:val="009C0C35"/>
    <w:rsid w:val="009C1125"/>
    <w:rsid w:val="009C2AF9"/>
    <w:rsid w:val="009C2C52"/>
    <w:rsid w:val="009C4F19"/>
    <w:rsid w:val="009C4FB1"/>
    <w:rsid w:val="009C50EA"/>
    <w:rsid w:val="009C6735"/>
    <w:rsid w:val="009D13FF"/>
    <w:rsid w:val="009D1C87"/>
    <w:rsid w:val="009D4587"/>
    <w:rsid w:val="009D4B13"/>
    <w:rsid w:val="009E349A"/>
    <w:rsid w:val="009E56CC"/>
    <w:rsid w:val="009E6E40"/>
    <w:rsid w:val="009E77DE"/>
    <w:rsid w:val="009F2A24"/>
    <w:rsid w:val="009F304D"/>
    <w:rsid w:val="009F342D"/>
    <w:rsid w:val="009F3596"/>
    <w:rsid w:val="009F37C9"/>
    <w:rsid w:val="009F3A72"/>
    <w:rsid w:val="009F431A"/>
    <w:rsid w:val="009F43D7"/>
    <w:rsid w:val="00A008BE"/>
    <w:rsid w:val="00A01369"/>
    <w:rsid w:val="00A02219"/>
    <w:rsid w:val="00A025A0"/>
    <w:rsid w:val="00A02FEB"/>
    <w:rsid w:val="00A034AA"/>
    <w:rsid w:val="00A0458E"/>
    <w:rsid w:val="00A0747F"/>
    <w:rsid w:val="00A10151"/>
    <w:rsid w:val="00A11C76"/>
    <w:rsid w:val="00A16D6A"/>
    <w:rsid w:val="00A17AED"/>
    <w:rsid w:val="00A2071A"/>
    <w:rsid w:val="00A21252"/>
    <w:rsid w:val="00A21507"/>
    <w:rsid w:val="00A21F4A"/>
    <w:rsid w:val="00A23144"/>
    <w:rsid w:val="00A23CA5"/>
    <w:rsid w:val="00A253AA"/>
    <w:rsid w:val="00A2695D"/>
    <w:rsid w:val="00A26A41"/>
    <w:rsid w:val="00A3010F"/>
    <w:rsid w:val="00A30417"/>
    <w:rsid w:val="00A30B73"/>
    <w:rsid w:val="00A312F9"/>
    <w:rsid w:val="00A314BB"/>
    <w:rsid w:val="00A32A08"/>
    <w:rsid w:val="00A340CF"/>
    <w:rsid w:val="00A3517D"/>
    <w:rsid w:val="00A35957"/>
    <w:rsid w:val="00A360BC"/>
    <w:rsid w:val="00A36545"/>
    <w:rsid w:val="00A40432"/>
    <w:rsid w:val="00A40B7C"/>
    <w:rsid w:val="00A42E7D"/>
    <w:rsid w:val="00A43003"/>
    <w:rsid w:val="00A43A6A"/>
    <w:rsid w:val="00A45ADB"/>
    <w:rsid w:val="00A5253B"/>
    <w:rsid w:val="00A530CE"/>
    <w:rsid w:val="00A54E5E"/>
    <w:rsid w:val="00A56DA5"/>
    <w:rsid w:val="00A56F13"/>
    <w:rsid w:val="00A620B7"/>
    <w:rsid w:val="00A6456D"/>
    <w:rsid w:val="00A64A70"/>
    <w:rsid w:val="00A664AA"/>
    <w:rsid w:val="00A66A89"/>
    <w:rsid w:val="00A674CA"/>
    <w:rsid w:val="00A71876"/>
    <w:rsid w:val="00A72C43"/>
    <w:rsid w:val="00A73FB2"/>
    <w:rsid w:val="00A74F69"/>
    <w:rsid w:val="00A769CD"/>
    <w:rsid w:val="00A76F0A"/>
    <w:rsid w:val="00A8335D"/>
    <w:rsid w:val="00A84644"/>
    <w:rsid w:val="00A84D10"/>
    <w:rsid w:val="00A85BDD"/>
    <w:rsid w:val="00A87B0C"/>
    <w:rsid w:val="00A90641"/>
    <w:rsid w:val="00A91365"/>
    <w:rsid w:val="00A92553"/>
    <w:rsid w:val="00A934C6"/>
    <w:rsid w:val="00A9468F"/>
    <w:rsid w:val="00AA6B38"/>
    <w:rsid w:val="00AA6DCB"/>
    <w:rsid w:val="00AA74CD"/>
    <w:rsid w:val="00AB26C2"/>
    <w:rsid w:val="00AB4931"/>
    <w:rsid w:val="00AB7110"/>
    <w:rsid w:val="00AB7F08"/>
    <w:rsid w:val="00AC150B"/>
    <w:rsid w:val="00AC1A24"/>
    <w:rsid w:val="00AC41C8"/>
    <w:rsid w:val="00AC70DA"/>
    <w:rsid w:val="00AC7E98"/>
    <w:rsid w:val="00AD0A89"/>
    <w:rsid w:val="00AD1DA1"/>
    <w:rsid w:val="00AD3443"/>
    <w:rsid w:val="00AD4394"/>
    <w:rsid w:val="00AD576C"/>
    <w:rsid w:val="00AF0C8F"/>
    <w:rsid w:val="00AF1993"/>
    <w:rsid w:val="00AF21B2"/>
    <w:rsid w:val="00AF7966"/>
    <w:rsid w:val="00B008C3"/>
    <w:rsid w:val="00B00B56"/>
    <w:rsid w:val="00B02969"/>
    <w:rsid w:val="00B046E0"/>
    <w:rsid w:val="00B048D2"/>
    <w:rsid w:val="00B0493C"/>
    <w:rsid w:val="00B05B71"/>
    <w:rsid w:val="00B108FB"/>
    <w:rsid w:val="00B11512"/>
    <w:rsid w:val="00B11B94"/>
    <w:rsid w:val="00B11F56"/>
    <w:rsid w:val="00B15077"/>
    <w:rsid w:val="00B21EC6"/>
    <w:rsid w:val="00B22E18"/>
    <w:rsid w:val="00B254A9"/>
    <w:rsid w:val="00B256EF"/>
    <w:rsid w:val="00B30849"/>
    <w:rsid w:val="00B330F6"/>
    <w:rsid w:val="00B341C9"/>
    <w:rsid w:val="00B347DD"/>
    <w:rsid w:val="00B34F75"/>
    <w:rsid w:val="00B37E8C"/>
    <w:rsid w:val="00B41A9E"/>
    <w:rsid w:val="00B42076"/>
    <w:rsid w:val="00B43F05"/>
    <w:rsid w:val="00B45626"/>
    <w:rsid w:val="00B45CA8"/>
    <w:rsid w:val="00B465D3"/>
    <w:rsid w:val="00B476FC"/>
    <w:rsid w:val="00B51406"/>
    <w:rsid w:val="00B5187F"/>
    <w:rsid w:val="00B540D6"/>
    <w:rsid w:val="00B54FAD"/>
    <w:rsid w:val="00B54FFE"/>
    <w:rsid w:val="00B55354"/>
    <w:rsid w:val="00B55F12"/>
    <w:rsid w:val="00B62F8C"/>
    <w:rsid w:val="00B63E1D"/>
    <w:rsid w:val="00B716F7"/>
    <w:rsid w:val="00B72336"/>
    <w:rsid w:val="00B723F3"/>
    <w:rsid w:val="00B74A76"/>
    <w:rsid w:val="00B74F14"/>
    <w:rsid w:val="00B76E8A"/>
    <w:rsid w:val="00B770F1"/>
    <w:rsid w:val="00B83989"/>
    <w:rsid w:val="00B860EC"/>
    <w:rsid w:val="00B868B4"/>
    <w:rsid w:val="00B86B08"/>
    <w:rsid w:val="00B872B1"/>
    <w:rsid w:val="00B903BB"/>
    <w:rsid w:val="00B91AF1"/>
    <w:rsid w:val="00B920E5"/>
    <w:rsid w:val="00B933FB"/>
    <w:rsid w:val="00B93C5E"/>
    <w:rsid w:val="00B93F04"/>
    <w:rsid w:val="00B956C4"/>
    <w:rsid w:val="00B96ECB"/>
    <w:rsid w:val="00B97481"/>
    <w:rsid w:val="00BA0D79"/>
    <w:rsid w:val="00BA34E1"/>
    <w:rsid w:val="00BA5D9E"/>
    <w:rsid w:val="00BB0AA7"/>
    <w:rsid w:val="00BB0B57"/>
    <w:rsid w:val="00BB109E"/>
    <w:rsid w:val="00BB1DB8"/>
    <w:rsid w:val="00BB3FE7"/>
    <w:rsid w:val="00BB5239"/>
    <w:rsid w:val="00BB6A18"/>
    <w:rsid w:val="00BB6C27"/>
    <w:rsid w:val="00BC1864"/>
    <w:rsid w:val="00BC2AF0"/>
    <w:rsid w:val="00BC4496"/>
    <w:rsid w:val="00BC626A"/>
    <w:rsid w:val="00BC64EF"/>
    <w:rsid w:val="00BD0679"/>
    <w:rsid w:val="00BD2B69"/>
    <w:rsid w:val="00BD2E64"/>
    <w:rsid w:val="00BD6176"/>
    <w:rsid w:val="00BE198F"/>
    <w:rsid w:val="00BE4153"/>
    <w:rsid w:val="00BE7E92"/>
    <w:rsid w:val="00BF1798"/>
    <w:rsid w:val="00BF1A54"/>
    <w:rsid w:val="00BF2C40"/>
    <w:rsid w:val="00C07345"/>
    <w:rsid w:val="00C07390"/>
    <w:rsid w:val="00C07FA8"/>
    <w:rsid w:val="00C115AA"/>
    <w:rsid w:val="00C11FE4"/>
    <w:rsid w:val="00C123DD"/>
    <w:rsid w:val="00C15781"/>
    <w:rsid w:val="00C175BB"/>
    <w:rsid w:val="00C20299"/>
    <w:rsid w:val="00C20E1D"/>
    <w:rsid w:val="00C2180D"/>
    <w:rsid w:val="00C2215C"/>
    <w:rsid w:val="00C2344B"/>
    <w:rsid w:val="00C242D9"/>
    <w:rsid w:val="00C24683"/>
    <w:rsid w:val="00C26711"/>
    <w:rsid w:val="00C327F5"/>
    <w:rsid w:val="00C34D62"/>
    <w:rsid w:val="00C42D41"/>
    <w:rsid w:val="00C4303B"/>
    <w:rsid w:val="00C43E8F"/>
    <w:rsid w:val="00C4626D"/>
    <w:rsid w:val="00C46A3D"/>
    <w:rsid w:val="00C540D5"/>
    <w:rsid w:val="00C6183F"/>
    <w:rsid w:val="00C61964"/>
    <w:rsid w:val="00C6375A"/>
    <w:rsid w:val="00C6474E"/>
    <w:rsid w:val="00C652E1"/>
    <w:rsid w:val="00C713F5"/>
    <w:rsid w:val="00C728A1"/>
    <w:rsid w:val="00C72CA3"/>
    <w:rsid w:val="00C73BD2"/>
    <w:rsid w:val="00C73CDD"/>
    <w:rsid w:val="00C813A3"/>
    <w:rsid w:val="00C854AD"/>
    <w:rsid w:val="00C862FE"/>
    <w:rsid w:val="00C91AEC"/>
    <w:rsid w:val="00C959E2"/>
    <w:rsid w:val="00CA0D47"/>
    <w:rsid w:val="00CA0F31"/>
    <w:rsid w:val="00CA2A54"/>
    <w:rsid w:val="00CA5F1E"/>
    <w:rsid w:val="00CA60A9"/>
    <w:rsid w:val="00CA6C3C"/>
    <w:rsid w:val="00CA6FEC"/>
    <w:rsid w:val="00CB165B"/>
    <w:rsid w:val="00CB234B"/>
    <w:rsid w:val="00CB344A"/>
    <w:rsid w:val="00CB3B44"/>
    <w:rsid w:val="00CB3D6B"/>
    <w:rsid w:val="00CB4E21"/>
    <w:rsid w:val="00CB7DC2"/>
    <w:rsid w:val="00CC175B"/>
    <w:rsid w:val="00CC176A"/>
    <w:rsid w:val="00CC1A9D"/>
    <w:rsid w:val="00CC259D"/>
    <w:rsid w:val="00CC2FB9"/>
    <w:rsid w:val="00CC4391"/>
    <w:rsid w:val="00CC65C2"/>
    <w:rsid w:val="00CC6768"/>
    <w:rsid w:val="00CC71B8"/>
    <w:rsid w:val="00CD1259"/>
    <w:rsid w:val="00CD60A9"/>
    <w:rsid w:val="00CD6CF4"/>
    <w:rsid w:val="00CD6F7F"/>
    <w:rsid w:val="00CD751E"/>
    <w:rsid w:val="00CE04B4"/>
    <w:rsid w:val="00CE798D"/>
    <w:rsid w:val="00CF267B"/>
    <w:rsid w:val="00CF2869"/>
    <w:rsid w:val="00CF44DE"/>
    <w:rsid w:val="00CF4B86"/>
    <w:rsid w:val="00CF572E"/>
    <w:rsid w:val="00D037A0"/>
    <w:rsid w:val="00D04F42"/>
    <w:rsid w:val="00D05488"/>
    <w:rsid w:val="00D06DC8"/>
    <w:rsid w:val="00D10160"/>
    <w:rsid w:val="00D11BA1"/>
    <w:rsid w:val="00D15CAF"/>
    <w:rsid w:val="00D16EAE"/>
    <w:rsid w:val="00D232C8"/>
    <w:rsid w:val="00D23358"/>
    <w:rsid w:val="00D23B4D"/>
    <w:rsid w:val="00D2474F"/>
    <w:rsid w:val="00D24E94"/>
    <w:rsid w:val="00D3166A"/>
    <w:rsid w:val="00D31A38"/>
    <w:rsid w:val="00D35F13"/>
    <w:rsid w:val="00D474F7"/>
    <w:rsid w:val="00D479B3"/>
    <w:rsid w:val="00D5090B"/>
    <w:rsid w:val="00D6487F"/>
    <w:rsid w:val="00D64ABE"/>
    <w:rsid w:val="00D64CCB"/>
    <w:rsid w:val="00D70214"/>
    <w:rsid w:val="00D71A9D"/>
    <w:rsid w:val="00D724C4"/>
    <w:rsid w:val="00D72AB9"/>
    <w:rsid w:val="00D73459"/>
    <w:rsid w:val="00D77922"/>
    <w:rsid w:val="00D77A52"/>
    <w:rsid w:val="00D77D20"/>
    <w:rsid w:val="00D80903"/>
    <w:rsid w:val="00D813AB"/>
    <w:rsid w:val="00D81FFC"/>
    <w:rsid w:val="00D82633"/>
    <w:rsid w:val="00D834B8"/>
    <w:rsid w:val="00D83C67"/>
    <w:rsid w:val="00D85B5D"/>
    <w:rsid w:val="00D86699"/>
    <w:rsid w:val="00D9052A"/>
    <w:rsid w:val="00D91FEE"/>
    <w:rsid w:val="00D92146"/>
    <w:rsid w:val="00D964A6"/>
    <w:rsid w:val="00DA57FA"/>
    <w:rsid w:val="00DA6D0B"/>
    <w:rsid w:val="00DB23DB"/>
    <w:rsid w:val="00DB4270"/>
    <w:rsid w:val="00DB6023"/>
    <w:rsid w:val="00DB6489"/>
    <w:rsid w:val="00DB65E9"/>
    <w:rsid w:val="00DB75C3"/>
    <w:rsid w:val="00DB777E"/>
    <w:rsid w:val="00DB7970"/>
    <w:rsid w:val="00DC1748"/>
    <w:rsid w:val="00DC2237"/>
    <w:rsid w:val="00DC4352"/>
    <w:rsid w:val="00DC4A2F"/>
    <w:rsid w:val="00DC4E4E"/>
    <w:rsid w:val="00DD0003"/>
    <w:rsid w:val="00DD0250"/>
    <w:rsid w:val="00DD058E"/>
    <w:rsid w:val="00DD1124"/>
    <w:rsid w:val="00DD45A2"/>
    <w:rsid w:val="00DD6AEB"/>
    <w:rsid w:val="00DE118B"/>
    <w:rsid w:val="00DE1523"/>
    <w:rsid w:val="00DE297A"/>
    <w:rsid w:val="00DE7556"/>
    <w:rsid w:val="00DF0164"/>
    <w:rsid w:val="00DF1EA1"/>
    <w:rsid w:val="00DF1F7F"/>
    <w:rsid w:val="00DF357A"/>
    <w:rsid w:val="00DF481C"/>
    <w:rsid w:val="00DF5A22"/>
    <w:rsid w:val="00DF706D"/>
    <w:rsid w:val="00DF7E23"/>
    <w:rsid w:val="00E01737"/>
    <w:rsid w:val="00E01C8C"/>
    <w:rsid w:val="00E0241E"/>
    <w:rsid w:val="00E035C7"/>
    <w:rsid w:val="00E0432A"/>
    <w:rsid w:val="00E046D5"/>
    <w:rsid w:val="00E047D2"/>
    <w:rsid w:val="00E07632"/>
    <w:rsid w:val="00E111CC"/>
    <w:rsid w:val="00E13302"/>
    <w:rsid w:val="00E150C2"/>
    <w:rsid w:val="00E17687"/>
    <w:rsid w:val="00E23341"/>
    <w:rsid w:val="00E235AE"/>
    <w:rsid w:val="00E244A0"/>
    <w:rsid w:val="00E32353"/>
    <w:rsid w:val="00E32836"/>
    <w:rsid w:val="00E32A9F"/>
    <w:rsid w:val="00E336A7"/>
    <w:rsid w:val="00E33DA7"/>
    <w:rsid w:val="00E344A3"/>
    <w:rsid w:val="00E36254"/>
    <w:rsid w:val="00E36509"/>
    <w:rsid w:val="00E4157E"/>
    <w:rsid w:val="00E42C01"/>
    <w:rsid w:val="00E431F1"/>
    <w:rsid w:val="00E45806"/>
    <w:rsid w:val="00E45EDF"/>
    <w:rsid w:val="00E4631D"/>
    <w:rsid w:val="00E50DCE"/>
    <w:rsid w:val="00E51621"/>
    <w:rsid w:val="00E5260E"/>
    <w:rsid w:val="00E56093"/>
    <w:rsid w:val="00E610DC"/>
    <w:rsid w:val="00E612E8"/>
    <w:rsid w:val="00E63414"/>
    <w:rsid w:val="00E63C3B"/>
    <w:rsid w:val="00E64976"/>
    <w:rsid w:val="00E723A7"/>
    <w:rsid w:val="00E7262E"/>
    <w:rsid w:val="00E7452F"/>
    <w:rsid w:val="00E74A96"/>
    <w:rsid w:val="00E74F1A"/>
    <w:rsid w:val="00E81933"/>
    <w:rsid w:val="00E85F19"/>
    <w:rsid w:val="00E87869"/>
    <w:rsid w:val="00E87B95"/>
    <w:rsid w:val="00E914A7"/>
    <w:rsid w:val="00E962C2"/>
    <w:rsid w:val="00EA09B0"/>
    <w:rsid w:val="00EA399A"/>
    <w:rsid w:val="00EA4F21"/>
    <w:rsid w:val="00EA600D"/>
    <w:rsid w:val="00EA68F8"/>
    <w:rsid w:val="00EA6995"/>
    <w:rsid w:val="00EB1558"/>
    <w:rsid w:val="00EB15E1"/>
    <w:rsid w:val="00EB1FE3"/>
    <w:rsid w:val="00EB293A"/>
    <w:rsid w:val="00EB52C0"/>
    <w:rsid w:val="00EC499B"/>
    <w:rsid w:val="00EC635F"/>
    <w:rsid w:val="00EC64BC"/>
    <w:rsid w:val="00EC6AA6"/>
    <w:rsid w:val="00EC6D63"/>
    <w:rsid w:val="00ED0114"/>
    <w:rsid w:val="00ED04FF"/>
    <w:rsid w:val="00ED5AC8"/>
    <w:rsid w:val="00ED5B76"/>
    <w:rsid w:val="00ED71BE"/>
    <w:rsid w:val="00ED7EFF"/>
    <w:rsid w:val="00EE146C"/>
    <w:rsid w:val="00EE1B95"/>
    <w:rsid w:val="00EE6537"/>
    <w:rsid w:val="00EF047E"/>
    <w:rsid w:val="00EF04DE"/>
    <w:rsid w:val="00EF1192"/>
    <w:rsid w:val="00EF3765"/>
    <w:rsid w:val="00EF4D0F"/>
    <w:rsid w:val="00EF6297"/>
    <w:rsid w:val="00EF6348"/>
    <w:rsid w:val="00F01F5D"/>
    <w:rsid w:val="00F021C9"/>
    <w:rsid w:val="00F1049F"/>
    <w:rsid w:val="00F10EAC"/>
    <w:rsid w:val="00F11E4D"/>
    <w:rsid w:val="00F13580"/>
    <w:rsid w:val="00F210DD"/>
    <w:rsid w:val="00F21CED"/>
    <w:rsid w:val="00F24D44"/>
    <w:rsid w:val="00F30455"/>
    <w:rsid w:val="00F316D0"/>
    <w:rsid w:val="00F31E85"/>
    <w:rsid w:val="00F325E7"/>
    <w:rsid w:val="00F35308"/>
    <w:rsid w:val="00F35F88"/>
    <w:rsid w:val="00F404D5"/>
    <w:rsid w:val="00F40A2B"/>
    <w:rsid w:val="00F43586"/>
    <w:rsid w:val="00F44623"/>
    <w:rsid w:val="00F50DE7"/>
    <w:rsid w:val="00F517A1"/>
    <w:rsid w:val="00F5317A"/>
    <w:rsid w:val="00F545FB"/>
    <w:rsid w:val="00F56BDE"/>
    <w:rsid w:val="00F57C09"/>
    <w:rsid w:val="00F60EEB"/>
    <w:rsid w:val="00F64FCE"/>
    <w:rsid w:val="00F65142"/>
    <w:rsid w:val="00F666AD"/>
    <w:rsid w:val="00F6686B"/>
    <w:rsid w:val="00F703BE"/>
    <w:rsid w:val="00F72680"/>
    <w:rsid w:val="00F72FB9"/>
    <w:rsid w:val="00F73906"/>
    <w:rsid w:val="00F743AD"/>
    <w:rsid w:val="00F776CF"/>
    <w:rsid w:val="00F77D1D"/>
    <w:rsid w:val="00F77D54"/>
    <w:rsid w:val="00F816C8"/>
    <w:rsid w:val="00F81751"/>
    <w:rsid w:val="00F825DA"/>
    <w:rsid w:val="00F82C30"/>
    <w:rsid w:val="00F834CA"/>
    <w:rsid w:val="00F90661"/>
    <w:rsid w:val="00F906DC"/>
    <w:rsid w:val="00F913F0"/>
    <w:rsid w:val="00F92125"/>
    <w:rsid w:val="00F94169"/>
    <w:rsid w:val="00F94DC0"/>
    <w:rsid w:val="00F962F8"/>
    <w:rsid w:val="00F97D53"/>
    <w:rsid w:val="00FA00B4"/>
    <w:rsid w:val="00FA2538"/>
    <w:rsid w:val="00FA2828"/>
    <w:rsid w:val="00FA3E49"/>
    <w:rsid w:val="00FA5091"/>
    <w:rsid w:val="00FA796F"/>
    <w:rsid w:val="00FB09E9"/>
    <w:rsid w:val="00FB1670"/>
    <w:rsid w:val="00FB17E5"/>
    <w:rsid w:val="00FB2745"/>
    <w:rsid w:val="00FB4477"/>
    <w:rsid w:val="00FB5BCB"/>
    <w:rsid w:val="00FC08CF"/>
    <w:rsid w:val="00FC2434"/>
    <w:rsid w:val="00FC3D87"/>
    <w:rsid w:val="00FC6E9D"/>
    <w:rsid w:val="00FD3CE2"/>
    <w:rsid w:val="00FD3EE7"/>
    <w:rsid w:val="00FD6F5B"/>
    <w:rsid w:val="00FE0757"/>
    <w:rsid w:val="00FE2073"/>
    <w:rsid w:val="00FE3583"/>
    <w:rsid w:val="00FE3801"/>
    <w:rsid w:val="00FE4583"/>
    <w:rsid w:val="00FE6195"/>
    <w:rsid w:val="00FE62FD"/>
    <w:rsid w:val="00FE7618"/>
    <w:rsid w:val="00FF1CD8"/>
    <w:rsid w:val="00FF2529"/>
    <w:rsid w:val="00FF4B9B"/>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C8E7D3"/>
  <w15:docId w15:val="{F5F5A5B1-1183-49F9-86A0-E0D04B38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47"/>
  </w:style>
  <w:style w:type="paragraph" w:styleId="Heading1">
    <w:name w:val="heading 1"/>
    <w:basedOn w:val="Normal"/>
    <w:next w:val="Normal"/>
    <w:link w:val="Heading1Char"/>
    <w:qFormat/>
    <w:rsid w:val="00B308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A11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049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7EFF"/>
    <w:rPr>
      <w:sz w:val="20"/>
      <w:szCs w:val="20"/>
    </w:rPr>
  </w:style>
  <w:style w:type="character" w:customStyle="1" w:styleId="FootnoteTextChar">
    <w:name w:val="Footnote Text Char"/>
    <w:basedOn w:val="DefaultParagraphFont"/>
    <w:link w:val="FootnoteText"/>
    <w:uiPriority w:val="99"/>
    <w:rsid w:val="00ED7EFF"/>
    <w:rPr>
      <w:sz w:val="20"/>
      <w:szCs w:val="20"/>
    </w:rPr>
  </w:style>
  <w:style w:type="character" w:styleId="FootnoteReference">
    <w:name w:val="footnote reference"/>
    <w:basedOn w:val="DefaultParagraphFont"/>
    <w:uiPriority w:val="99"/>
    <w:unhideWhenUsed/>
    <w:rsid w:val="00ED7EFF"/>
    <w:rPr>
      <w:vertAlign w:val="superscript"/>
    </w:rPr>
  </w:style>
  <w:style w:type="paragraph" w:styleId="BalloonText">
    <w:name w:val="Balloon Text"/>
    <w:basedOn w:val="Normal"/>
    <w:link w:val="BalloonTextChar"/>
    <w:uiPriority w:val="99"/>
    <w:rsid w:val="00ED7EFF"/>
    <w:rPr>
      <w:rFonts w:ascii="Tahoma" w:hAnsi="Tahoma" w:cs="Tahoma"/>
      <w:sz w:val="16"/>
      <w:szCs w:val="16"/>
    </w:rPr>
  </w:style>
  <w:style w:type="character" w:customStyle="1" w:styleId="BalloonTextChar">
    <w:name w:val="Balloon Text Char"/>
    <w:basedOn w:val="DefaultParagraphFont"/>
    <w:link w:val="BalloonText"/>
    <w:uiPriority w:val="99"/>
    <w:rsid w:val="00ED7EFF"/>
    <w:rPr>
      <w:rFonts w:ascii="Tahoma" w:hAnsi="Tahoma" w:cs="Tahoma"/>
      <w:sz w:val="16"/>
      <w:szCs w:val="16"/>
    </w:rPr>
  </w:style>
  <w:style w:type="paragraph" w:styleId="Header">
    <w:name w:val="header"/>
    <w:basedOn w:val="Normal"/>
    <w:link w:val="HeaderChar"/>
    <w:uiPriority w:val="99"/>
    <w:rsid w:val="00ED7EFF"/>
    <w:pPr>
      <w:tabs>
        <w:tab w:val="center" w:pos="4680"/>
        <w:tab w:val="right" w:pos="9360"/>
      </w:tabs>
    </w:pPr>
    <w:rPr>
      <w:sz w:val="22"/>
      <w:szCs w:val="22"/>
    </w:rPr>
  </w:style>
  <w:style w:type="character" w:customStyle="1" w:styleId="HeaderChar">
    <w:name w:val="Header Char"/>
    <w:basedOn w:val="DefaultParagraphFont"/>
    <w:link w:val="Header"/>
    <w:uiPriority w:val="99"/>
    <w:rsid w:val="00ED7EFF"/>
    <w:rPr>
      <w:sz w:val="22"/>
      <w:szCs w:val="22"/>
    </w:rPr>
  </w:style>
  <w:style w:type="paragraph" w:styleId="Footer">
    <w:name w:val="footer"/>
    <w:basedOn w:val="Normal"/>
    <w:link w:val="FooterChar"/>
    <w:uiPriority w:val="99"/>
    <w:rsid w:val="00ED7EFF"/>
    <w:pPr>
      <w:tabs>
        <w:tab w:val="center" w:pos="4680"/>
        <w:tab w:val="right" w:pos="9360"/>
      </w:tabs>
    </w:pPr>
    <w:rPr>
      <w:sz w:val="22"/>
      <w:szCs w:val="22"/>
    </w:rPr>
  </w:style>
  <w:style w:type="character" w:customStyle="1" w:styleId="FooterChar">
    <w:name w:val="Footer Char"/>
    <w:basedOn w:val="DefaultParagraphFont"/>
    <w:link w:val="Footer"/>
    <w:uiPriority w:val="99"/>
    <w:rsid w:val="00ED7EFF"/>
    <w:rPr>
      <w:sz w:val="22"/>
      <w:szCs w:val="22"/>
    </w:rPr>
  </w:style>
  <w:style w:type="paragraph" w:styleId="BodyText">
    <w:name w:val="Body Text"/>
    <w:basedOn w:val="Normal"/>
    <w:link w:val="BodyTextChar"/>
    <w:uiPriority w:val="99"/>
    <w:rsid w:val="00ED7EFF"/>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ED7EFF"/>
    <w:rPr>
      <w:rFonts w:ascii="Times New Roman" w:eastAsia="Times New Roman" w:hAnsi="Times New Roman" w:cs="Times New Roman"/>
      <w:lang w:val="en-GB"/>
    </w:rPr>
  </w:style>
  <w:style w:type="character" w:styleId="PageNumber">
    <w:name w:val="page number"/>
    <w:basedOn w:val="DefaultParagraphFont"/>
    <w:uiPriority w:val="99"/>
    <w:rsid w:val="00ED7EFF"/>
    <w:rPr>
      <w:rFonts w:cs="Times New Roman"/>
    </w:rPr>
  </w:style>
  <w:style w:type="paragraph" w:styleId="EndnoteText">
    <w:name w:val="endnote text"/>
    <w:basedOn w:val="Normal"/>
    <w:link w:val="EndnoteTextChar"/>
    <w:rsid w:val="00ED7EFF"/>
    <w:rPr>
      <w:sz w:val="20"/>
      <w:szCs w:val="20"/>
    </w:rPr>
  </w:style>
  <w:style w:type="character" w:customStyle="1" w:styleId="EndnoteTextChar">
    <w:name w:val="Endnote Text Char"/>
    <w:basedOn w:val="DefaultParagraphFont"/>
    <w:link w:val="EndnoteText"/>
    <w:rsid w:val="00ED7EFF"/>
    <w:rPr>
      <w:sz w:val="20"/>
      <w:szCs w:val="20"/>
    </w:rPr>
  </w:style>
  <w:style w:type="character" w:styleId="EndnoteReference">
    <w:name w:val="endnote reference"/>
    <w:basedOn w:val="DefaultParagraphFont"/>
    <w:rsid w:val="00ED7EFF"/>
    <w:rPr>
      <w:vertAlign w:val="superscript"/>
    </w:rPr>
  </w:style>
  <w:style w:type="table" w:styleId="TableGrid">
    <w:name w:val="Table Grid"/>
    <w:basedOn w:val="TableNormal"/>
    <w:uiPriority w:val="39"/>
    <w:rsid w:val="00ED7E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D7EFF"/>
    <w:rPr>
      <w:rFonts w:ascii="Times New Roman" w:eastAsia="Times New Roman" w:hAnsi="Times New Roman" w:cs="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eClassic1">
    <w:name w:val="Table Classic 1"/>
    <w:basedOn w:val="TableNormal"/>
    <w:rsid w:val="00ED7EFF"/>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D7EFF"/>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ED7E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7EFF"/>
    <w:rPr>
      <w:color w:val="0563C1" w:themeColor="hyperlink"/>
      <w:u w:val="single"/>
    </w:rPr>
  </w:style>
  <w:style w:type="paragraph" w:styleId="Caption">
    <w:name w:val="caption"/>
    <w:basedOn w:val="Normal"/>
    <w:next w:val="Normal"/>
    <w:uiPriority w:val="35"/>
    <w:unhideWhenUsed/>
    <w:qFormat/>
    <w:rsid w:val="00ED7EFF"/>
    <w:pPr>
      <w:keepNext/>
      <w:jc w:val="both"/>
    </w:pPr>
    <w:rPr>
      <w:rFonts w:ascii="Trebuchet MS" w:eastAsia="Calibri" w:hAnsi="Trebuchet MS" w:cs="Times New Roman"/>
      <w:b/>
      <w:bCs/>
      <w:sz w:val="18"/>
      <w:szCs w:val="18"/>
      <w:lang w:val="en-ZA"/>
    </w:rPr>
  </w:style>
  <w:style w:type="table" w:customStyle="1" w:styleId="TableGrid1">
    <w:name w:val="Table Grid1"/>
    <w:basedOn w:val="TableNormal"/>
    <w:next w:val="TableGrid"/>
    <w:uiPriority w:val="59"/>
    <w:rsid w:val="00ED7EF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ED7EFF"/>
    <w:rPr>
      <w:color w:val="800080"/>
      <w:u w:val="single"/>
    </w:rPr>
  </w:style>
  <w:style w:type="paragraph" w:customStyle="1" w:styleId="xl65">
    <w:name w:val="xl65"/>
    <w:basedOn w:val="Normal"/>
    <w:rsid w:val="00ED7E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66">
    <w:name w:val="xl66"/>
    <w:basedOn w:val="Normal"/>
    <w:rsid w:val="00ED7E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styleId="BodyText2">
    <w:name w:val="Body Text 2"/>
    <w:basedOn w:val="Normal"/>
    <w:link w:val="BodyText2Char"/>
    <w:uiPriority w:val="99"/>
    <w:rsid w:val="00ED7EFF"/>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ED7EFF"/>
    <w:rPr>
      <w:rFonts w:ascii="Calibri" w:eastAsia="Calibri" w:hAnsi="Calibri" w:cs="Times New Roman"/>
      <w:sz w:val="22"/>
      <w:szCs w:val="22"/>
    </w:rPr>
  </w:style>
  <w:style w:type="paragraph" w:styleId="NoSpacing">
    <w:name w:val="No Spacing"/>
    <w:link w:val="NoSpacingChar"/>
    <w:uiPriority w:val="99"/>
    <w:qFormat/>
    <w:rsid w:val="00ED7EFF"/>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ED7EFF"/>
    <w:rPr>
      <w:rFonts w:ascii="Calibri" w:eastAsia="Times New Roman" w:hAnsi="Calibri" w:cs="Times New Roman"/>
      <w:sz w:val="22"/>
      <w:szCs w:val="22"/>
    </w:rPr>
  </w:style>
  <w:style w:type="character" w:customStyle="1" w:styleId="HTMLPreformattedChar">
    <w:name w:val="HTML Preformatted Char"/>
    <w:basedOn w:val="DefaultParagraphFont"/>
    <w:link w:val="HTMLPreformatted"/>
    <w:uiPriority w:val="99"/>
    <w:rsid w:val="00ED7EFF"/>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ED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table" w:styleId="MediumShading2-Accent5">
    <w:name w:val="Medium Shading 2 Accent 5"/>
    <w:basedOn w:val="TableNormal"/>
    <w:uiPriority w:val="64"/>
    <w:rsid w:val="000D1E2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TMLPreformattedChar1">
    <w:name w:val="HTML Preformatted Char1"/>
    <w:basedOn w:val="DefaultParagraphFont"/>
    <w:rsid w:val="00B93F04"/>
    <w:rPr>
      <w:rFonts w:ascii="Consolas" w:eastAsiaTheme="minorHAnsi" w:hAnsi="Consolas" w:cstheme="minorBidi"/>
    </w:rPr>
  </w:style>
  <w:style w:type="character" w:customStyle="1" w:styleId="Heading2Char">
    <w:name w:val="Heading 2 Char"/>
    <w:basedOn w:val="DefaultParagraphFont"/>
    <w:link w:val="Heading2"/>
    <w:uiPriority w:val="9"/>
    <w:rsid w:val="001A1112"/>
    <w:rPr>
      <w:rFonts w:ascii="Times New Roman" w:eastAsia="Times New Roman" w:hAnsi="Times New Roman" w:cs="Times New Roman"/>
      <w:b/>
      <w:bCs/>
      <w:sz w:val="36"/>
      <w:szCs w:val="36"/>
    </w:rPr>
  </w:style>
  <w:style w:type="character" w:customStyle="1" w:styleId="maintitle">
    <w:name w:val="maintitle"/>
    <w:basedOn w:val="DefaultParagraphFont"/>
    <w:rsid w:val="001A1112"/>
  </w:style>
  <w:style w:type="character" w:customStyle="1" w:styleId="Heading1Char">
    <w:name w:val="Heading 1 Char"/>
    <w:basedOn w:val="DefaultParagraphFont"/>
    <w:link w:val="Heading1"/>
    <w:rsid w:val="00B3084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1049F"/>
    <w:pPr>
      <w:spacing w:line="276" w:lineRule="auto"/>
      <w:outlineLvl w:val="9"/>
    </w:pPr>
    <w:rPr>
      <w:lang w:eastAsia="ja-JP"/>
    </w:rPr>
  </w:style>
  <w:style w:type="paragraph" w:styleId="TOC1">
    <w:name w:val="toc 1"/>
    <w:basedOn w:val="Normal"/>
    <w:next w:val="Normal"/>
    <w:autoRedefine/>
    <w:uiPriority w:val="39"/>
    <w:unhideWhenUsed/>
    <w:rsid w:val="00F1049F"/>
    <w:pPr>
      <w:spacing w:after="100"/>
    </w:pPr>
  </w:style>
  <w:style w:type="paragraph" w:styleId="TOC2">
    <w:name w:val="toc 2"/>
    <w:basedOn w:val="Normal"/>
    <w:next w:val="Normal"/>
    <w:autoRedefine/>
    <w:uiPriority w:val="39"/>
    <w:unhideWhenUsed/>
    <w:rsid w:val="00F1049F"/>
    <w:pPr>
      <w:spacing w:after="100"/>
      <w:ind w:left="240"/>
    </w:pPr>
  </w:style>
  <w:style w:type="character" w:customStyle="1" w:styleId="Heading3Char">
    <w:name w:val="Heading 3 Char"/>
    <w:basedOn w:val="DefaultParagraphFont"/>
    <w:link w:val="Heading3"/>
    <w:uiPriority w:val="9"/>
    <w:rsid w:val="00F1049F"/>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566D1D"/>
    <w:pPr>
      <w:spacing w:after="100"/>
      <w:ind w:left="480"/>
    </w:pPr>
  </w:style>
  <w:style w:type="paragraph" w:styleId="TableofFigures">
    <w:name w:val="table of figures"/>
    <w:basedOn w:val="Normal"/>
    <w:next w:val="Normal"/>
    <w:uiPriority w:val="99"/>
    <w:unhideWhenUsed/>
    <w:rsid w:val="0090184F"/>
  </w:style>
  <w:style w:type="table" w:customStyle="1" w:styleId="TableClassic11">
    <w:name w:val="Table Classic 11"/>
    <w:basedOn w:val="TableNormal"/>
    <w:next w:val="TableClassic1"/>
    <w:rsid w:val="007B1399"/>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444DC0"/>
    <w:rPr>
      <w:color w:val="808080"/>
    </w:rPr>
  </w:style>
  <w:style w:type="table" w:customStyle="1" w:styleId="TableClassic12">
    <w:name w:val="Table Classic 12"/>
    <w:basedOn w:val="TableNormal"/>
    <w:next w:val="TableClassic1"/>
    <w:rsid w:val="005F5B3C"/>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D8669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44363B"/>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3D2725"/>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rsid w:val="00FB09E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8456">
      <w:bodyDiv w:val="1"/>
      <w:marLeft w:val="0"/>
      <w:marRight w:val="0"/>
      <w:marTop w:val="0"/>
      <w:marBottom w:val="0"/>
      <w:divBdr>
        <w:top w:val="none" w:sz="0" w:space="0" w:color="auto"/>
        <w:left w:val="none" w:sz="0" w:space="0" w:color="auto"/>
        <w:bottom w:val="none" w:sz="0" w:space="0" w:color="auto"/>
        <w:right w:val="none" w:sz="0" w:space="0" w:color="auto"/>
      </w:divBdr>
      <w:divsChild>
        <w:div w:id="405960148">
          <w:marLeft w:val="0"/>
          <w:marRight w:val="0"/>
          <w:marTop w:val="0"/>
          <w:marBottom w:val="0"/>
          <w:divBdr>
            <w:top w:val="none" w:sz="0" w:space="0" w:color="auto"/>
            <w:left w:val="none" w:sz="0" w:space="0" w:color="auto"/>
            <w:bottom w:val="none" w:sz="0" w:space="0" w:color="auto"/>
            <w:right w:val="none" w:sz="0" w:space="0" w:color="auto"/>
          </w:divBdr>
          <w:divsChild>
            <w:div w:id="214658156">
              <w:marLeft w:val="0"/>
              <w:marRight w:val="0"/>
              <w:marTop w:val="0"/>
              <w:marBottom w:val="0"/>
              <w:divBdr>
                <w:top w:val="none" w:sz="0" w:space="0" w:color="auto"/>
                <w:left w:val="none" w:sz="0" w:space="0" w:color="auto"/>
                <w:bottom w:val="none" w:sz="0" w:space="0" w:color="auto"/>
                <w:right w:val="none" w:sz="0" w:space="0" w:color="auto"/>
              </w:divBdr>
              <w:divsChild>
                <w:div w:id="680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2704">
      <w:bodyDiv w:val="1"/>
      <w:marLeft w:val="0"/>
      <w:marRight w:val="0"/>
      <w:marTop w:val="0"/>
      <w:marBottom w:val="0"/>
      <w:divBdr>
        <w:top w:val="none" w:sz="0" w:space="0" w:color="auto"/>
        <w:left w:val="none" w:sz="0" w:space="0" w:color="auto"/>
        <w:bottom w:val="none" w:sz="0" w:space="0" w:color="auto"/>
        <w:right w:val="none" w:sz="0" w:space="0" w:color="auto"/>
      </w:divBdr>
      <w:divsChild>
        <w:div w:id="319503128">
          <w:marLeft w:val="0"/>
          <w:marRight w:val="0"/>
          <w:marTop w:val="0"/>
          <w:marBottom w:val="0"/>
          <w:divBdr>
            <w:top w:val="none" w:sz="0" w:space="0" w:color="auto"/>
            <w:left w:val="none" w:sz="0" w:space="0" w:color="auto"/>
            <w:bottom w:val="none" w:sz="0" w:space="0" w:color="auto"/>
            <w:right w:val="none" w:sz="0" w:space="0" w:color="auto"/>
          </w:divBdr>
          <w:divsChild>
            <w:div w:id="1146361825">
              <w:marLeft w:val="0"/>
              <w:marRight w:val="0"/>
              <w:marTop w:val="0"/>
              <w:marBottom w:val="0"/>
              <w:divBdr>
                <w:top w:val="none" w:sz="0" w:space="0" w:color="auto"/>
                <w:left w:val="none" w:sz="0" w:space="0" w:color="auto"/>
                <w:bottom w:val="none" w:sz="0" w:space="0" w:color="auto"/>
                <w:right w:val="none" w:sz="0" w:space="0" w:color="auto"/>
              </w:divBdr>
              <w:divsChild>
                <w:div w:id="8503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4264">
      <w:bodyDiv w:val="1"/>
      <w:marLeft w:val="0"/>
      <w:marRight w:val="0"/>
      <w:marTop w:val="0"/>
      <w:marBottom w:val="0"/>
      <w:divBdr>
        <w:top w:val="none" w:sz="0" w:space="0" w:color="auto"/>
        <w:left w:val="none" w:sz="0" w:space="0" w:color="auto"/>
        <w:bottom w:val="none" w:sz="0" w:space="0" w:color="auto"/>
        <w:right w:val="none" w:sz="0" w:space="0" w:color="auto"/>
      </w:divBdr>
    </w:div>
    <w:div w:id="1078552747">
      <w:bodyDiv w:val="1"/>
      <w:marLeft w:val="0"/>
      <w:marRight w:val="0"/>
      <w:marTop w:val="0"/>
      <w:marBottom w:val="0"/>
      <w:divBdr>
        <w:top w:val="none" w:sz="0" w:space="0" w:color="auto"/>
        <w:left w:val="none" w:sz="0" w:space="0" w:color="auto"/>
        <w:bottom w:val="none" w:sz="0" w:space="0" w:color="auto"/>
        <w:right w:val="none" w:sz="0" w:space="0" w:color="auto"/>
      </w:divBdr>
      <w:divsChild>
        <w:div w:id="394471452">
          <w:marLeft w:val="0"/>
          <w:marRight w:val="0"/>
          <w:marTop w:val="0"/>
          <w:marBottom w:val="0"/>
          <w:divBdr>
            <w:top w:val="none" w:sz="0" w:space="0" w:color="auto"/>
            <w:left w:val="none" w:sz="0" w:space="0" w:color="auto"/>
            <w:bottom w:val="none" w:sz="0" w:space="0" w:color="auto"/>
            <w:right w:val="none" w:sz="0" w:space="0" w:color="auto"/>
          </w:divBdr>
          <w:divsChild>
            <w:div w:id="1729919012">
              <w:marLeft w:val="0"/>
              <w:marRight w:val="0"/>
              <w:marTop w:val="0"/>
              <w:marBottom w:val="0"/>
              <w:divBdr>
                <w:top w:val="none" w:sz="0" w:space="0" w:color="auto"/>
                <w:left w:val="none" w:sz="0" w:space="0" w:color="auto"/>
                <w:bottom w:val="none" w:sz="0" w:space="0" w:color="auto"/>
                <w:right w:val="none" w:sz="0" w:space="0" w:color="auto"/>
              </w:divBdr>
              <w:divsChild>
                <w:div w:id="21421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7844">
      <w:bodyDiv w:val="1"/>
      <w:marLeft w:val="0"/>
      <w:marRight w:val="0"/>
      <w:marTop w:val="0"/>
      <w:marBottom w:val="0"/>
      <w:divBdr>
        <w:top w:val="none" w:sz="0" w:space="0" w:color="auto"/>
        <w:left w:val="none" w:sz="0" w:space="0" w:color="auto"/>
        <w:bottom w:val="none" w:sz="0" w:space="0" w:color="auto"/>
        <w:right w:val="none" w:sz="0" w:space="0" w:color="auto"/>
      </w:divBdr>
      <w:divsChild>
        <w:div w:id="2005892120">
          <w:marLeft w:val="0"/>
          <w:marRight w:val="0"/>
          <w:marTop w:val="0"/>
          <w:marBottom w:val="0"/>
          <w:divBdr>
            <w:top w:val="none" w:sz="0" w:space="0" w:color="auto"/>
            <w:left w:val="none" w:sz="0" w:space="0" w:color="auto"/>
            <w:bottom w:val="none" w:sz="0" w:space="0" w:color="auto"/>
            <w:right w:val="none" w:sz="0" w:space="0" w:color="auto"/>
          </w:divBdr>
          <w:divsChild>
            <w:div w:id="2083483982">
              <w:marLeft w:val="0"/>
              <w:marRight w:val="0"/>
              <w:marTop w:val="0"/>
              <w:marBottom w:val="0"/>
              <w:divBdr>
                <w:top w:val="none" w:sz="0" w:space="0" w:color="auto"/>
                <w:left w:val="none" w:sz="0" w:space="0" w:color="auto"/>
                <w:bottom w:val="none" w:sz="0" w:space="0" w:color="auto"/>
                <w:right w:val="none" w:sz="0" w:space="0" w:color="auto"/>
              </w:divBdr>
              <w:divsChild>
                <w:div w:id="994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09902">
      <w:bodyDiv w:val="1"/>
      <w:marLeft w:val="0"/>
      <w:marRight w:val="0"/>
      <w:marTop w:val="0"/>
      <w:marBottom w:val="0"/>
      <w:divBdr>
        <w:top w:val="none" w:sz="0" w:space="0" w:color="auto"/>
        <w:left w:val="none" w:sz="0" w:space="0" w:color="auto"/>
        <w:bottom w:val="none" w:sz="0" w:space="0" w:color="auto"/>
        <w:right w:val="none" w:sz="0" w:space="0" w:color="auto"/>
      </w:divBdr>
      <w:divsChild>
        <w:div w:id="1188056793">
          <w:marLeft w:val="0"/>
          <w:marRight w:val="0"/>
          <w:marTop w:val="0"/>
          <w:marBottom w:val="0"/>
          <w:divBdr>
            <w:top w:val="none" w:sz="0" w:space="0" w:color="auto"/>
            <w:left w:val="none" w:sz="0" w:space="0" w:color="auto"/>
            <w:bottom w:val="none" w:sz="0" w:space="0" w:color="auto"/>
            <w:right w:val="none" w:sz="0" w:space="0" w:color="auto"/>
          </w:divBdr>
          <w:divsChild>
            <w:div w:id="427897311">
              <w:marLeft w:val="0"/>
              <w:marRight w:val="0"/>
              <w:marTop w:val="0"/>
              <w:marBottom w:val="0"/>
              <w:divBdr>
                <w:top w:val="none" w:sz="0" w:space="0" w:color="auto"/>
                <w:left w:val="none" w:sz="0" w:space="0" w:color="auto"/>
                <w:bottom w:val="none" w:sz="0" w:space="0" w:color="auto"/>
                <w:right w:val="none" w:sz="0" w:space="0" w:color="auto"/>
              </w:divBdr>
              <w:divsChild>
                <w:div w:id="2005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9883">
      <w:bodyDiv w:val="1"/>
      <w:marLeft w:val="0"/>
      <w:marRight w:val="0"/>
      <w:marTop w:val="0"/>
      <w:marBottom w:val="0"/>
      <w:divBdr>
        <w:top w:val="none" w:sz="0" w:space="0" w:color="auto"/>
        <w:left w:val="none" w:sz="0" w:space="0" w:color="auto"/>
        <w:bottom w:val="none" w:sz="0" w:space="0" w:color="auto"/>
        <w:right w:val="none" w:sz="0" w:space="0" w:color="auto"/>
      </w:divBdr>
      <w:divsChild>
        <w:div w:id="1449083825">
          <w:marLeft w:val="0"/>
          <w:marRight w:val="0"/>
          <w:marTop w:val="0"/>
          <w:marBottom w:val="0"/>
          <w:divBdr>
            <w:top w:val="none" w:sz="0" w:space="0" w:color="auto"/>
            <w:left w:val="none" w:sz="0" w:space="0" w:color="auto"/>
            <w:bottom w:val="none" w:sz="0" w:space="0" w:color="auto"/>
            <w:right w:val="none" w:sz="0" w:space="0" w:color="auto"/>
          </w:divBdr>
          <w:divsChild>
            <w:div w:id="1422069153">
              <w:marLeft w:val="0"/>
              <w:marRight w:val="0"/>
              <w:marTop w:val="0"/>
              <w:marBottom w:val="0"/>
              <w:divBdr>
                <w:top w:val="none" w:sz="0" w:space="0" w:color="auto"/>
                <w:left w:val="none" w:sz="0" w:space="0" w:color="auto"/>
                <w:bottom w:val="none" w:sz="0" w:space="0" w:color="auto"/>
                <w:right w:val="none" w:sz="0" w:space="0" w:color="auto"/>
              </w:divBdr>
              <w:divsChild>
                <w:div w:id="75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0.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22.bin"/><Relationship Id="rId47" Type="http://schemas.openxmlformats.org/officeDocument/2006/relationships/image" Target="media/image24.wmf"/><Relationship Id="rId50" Type="http://schemas.openxmlformats.org/officeDocument/2006/relationships/oleObject" Target="embeddings/oleObject26.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20.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21.wmf"/><Relationship Id="rId54" Type="http://schemas.openxmlformats.org/officeDocument/2006/relationships/hyperlink" Target="http://ideas.repec.org/s/rbp/wpap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21.bin"/><Relationship Id="rId45" Type="http://schemas.openxmlformats.org/officeDocument/2006/relationships/image" Target="media/image23.wmf"/><Relationship Id="rId53" Type="http://schemas.openxmlformats.org/officeDocument/2006/relationships/hyperlink" Target="http://ideas.repec.org/s/eti/dpaper.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3.bin"/><Relationship Id="rId52" Type="http://schemas.openxmlformats.org/officeDocument/2006/relationships/hyperlink" Target="http://ideas.repec.org/p/eti/dpaper/07040.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oleObject" Target="embeddings/oleObject25.bin"/><Relationship Id="rId56"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chart" Target="charts/chart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8.bin"/><Relationship Id="rId3" Type="http://schemas.openxmlformats.org/officeDocument/2006/relationships/image" Target="media/image15.wmf"/><Relationship Id="rId7" Type="http://schemas.openxmlformats.org/officeDocument/2006/relationships/image" Target="media/image17.wmf"/><Relationship Id="rId2" Type="http://schemas.openxmlformats.org/officeDocument/2006/relationships/oleObject" Target="embeddings/oleObject15.bin"/><Relationship Id="rId1" Type="http://schemas.openxmlformats.org/officeDocument/2006/relationships/image" Target="media/image3.wmf"/><Relationship Id="rId6" Type="http://schemas.openxmlformats.org/officeDocument/2006/relationships/oleObject" Target="embeddings/oleObject17.bin"/><Relationship Id="rId5" Type="http://schemas.openxmlformats.org/officeDocument/2006/relationships/image" Target="media/image16.wmf"/><Relationship Id="rId10" Type="http://schemas.openxmlformats.org/officeDocument/2006/relationships/oleObject" Target="embeddings/oleObject19.bin"/><Relationship Id="rId4" Type="http://schemas.openxmlformats.org/officeDocument/2006/relationships/oleObject" Target="embeddings/oleObject16.bin"/><Relationship Id="rId9" Type="http://schemas.openxmlformats.org/officeDocument/2006/relationships/image" Target="media/image18.wmf"/></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Sheyi\Desktop\SA%20Inf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HEYI\CHAPTER%20THREE\INFLATION%20TARGETING\Consumer%20and%20Import%20Pric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t>Figure 1: Inflation in South Africa</a:t>
            </a:r>
            <a:r>
              <a:rPr lang="en-US" b="0" baseline="0"/>
              <a:t>: </a:t>
            </a:r>
            <a:r>
              <a:rPr lang="en-US" b="0"/>
              <a:t>2000m1 to 2016m1</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Sheet1!$C$26:$C$218</c:f>
              <c:strCache>
                <c:ptCount val="193"/>
                <c:pt idx="0">
                  <c:v>2000m1</c:v>
                </c:pt>
                <c:pt idx="1">
                  <c:v>2000m2</c:v>
                </c:pt>
                <c:pt idx="2">
                  <c:v>2000m3</c:v>
                </c:pt>
                <c:pt idx="3">
                  <c:v>2000m4</c:v>
                </c:pt>
                <c:pt idx="4">
                  <c:v>2000m5</c:v>
                </c:pt>
                <c:pt idx="5">
                  <c:v>2000m6</c:v>
                </c:pt>
                <c:pt idx="6">
                  <c:v>2000m7</c:v>
                </c:pt>
                <c:pt idx="7">
                  <c:v>2000m8</c:v>
                </c:pt>
                <c:pt idx="8">
                  <c:v>2000m9</c:v>
                </c:pt>
                <c:pt idx="9">
                  <c:v>2000m10</c:v>
                </c:pt>
                <c:pt idx="10">
                  <c:v>2000m11</c:v>
                </c:pt>
                <c:pt idx="11">
                  <c:v>2000m12</c:v>
                </c:pt>
                <c:pt idx="12">
                  <c:v>2001m1</c:v>
                </c:pt>
                <c:pt idx="13">
                  <c:v>2001m2</c:v>
                </c:pt>
                <c:pt idx="14">
                  <c:v>2001m3</c:v>
                </c:pt>
                <c:pt idx="15">
                  <c:v>2001m4</c:v>
                </c:pt>
                <c:pt idx="16">
                  <c:v>2001m5</c:v>
                </c:pt>
                <c:pt idx="17">
                  <c:v>2001m6</c:v>
                </c:pt>
                <c:pt idx="18">
                  <c:v>2001m7</c:v>
                </c:pt>
                <c:pt idx="19">
                  <c:v>2001m8</c:v>
                </c:pt>
                <c:pt idx="20">
                  <c:v>2001m9</c:v>
                </c:pt>
                <c:pt idx="21">
                  <c:v>2001m10</c:v>
                </c:pt>
                <c:pt idx="22">
                  <c:v>2001m11</c:v>
                </c:pt>
                <c:pt idx="23">
                  <c:v>2001m12</c:v>
                </c:pt>
                <c:pt idx="24">
                  <c:v>2002m1</c:v>
                </c:pt>
                <c:pt idx="25">
                  <c:v>2002m2</c:v>
                </c:pt>
                <c:pt idx="26">
                  <c:v>2002m3</c:v>
                </c:pt>
                <c:pt idx="27">
                  <c:v>2002m4</c:v>
                </c:pt>
                <c:pt idx="28">
                  <c:v>2002m5</c:v>
                </c:pt>
                <c:pt idx="29">
                  <c:v>2002m6</c:v>
                </c:pt>
                <c:pt idx="30">
                  <c:v>2002m7</c:v>
                </c:pt>
                <c:pt idx="31">
                  <c:v>2002m8</c:v>
                </c:pt>
                <c:pt idx="32">
                  <c:v>2002m9</c:v>
                </c:pt>
                <c:pt idx="33">
                  <c:v>2002m10</c:v>
                </c:pt>
                <c:pt idx="34">
                  <c:v>2002m11</c:v>
                </c:pt>
                <c:pt idx="35">
                  <c:v>2002m12</c:v>
                </c:pt>
                <c:pt idx="36">
                  <c:v>2003m1</c:v>
                </c:pt>
                <c:pt idx="37">
                  <c:v>2003m2</c:v>
                </c:pt>
                <c:pt idx="38">
                  <c:v>2003m3</c:v>
                </c:pt>
                <c:pt idx="39">
                  <c:v>2003m4</c:v>
                </c:pt>
                <c:pt idx="40">
                  <c:v>2003m5</c:v>
                </c:pt>
                <c:pt idx="41">
                  <c:v>2003m6</c:v>
                </c:pt>
                <c:pt idx="42">
                  <c:v>2003m7</c:v>
                </c:pt>
                <c:pt idx="43">
                  <c:v>2003m8</c:v>
                </c:pt>
                <c:pt idx="44">
                  <c:v>2003m9</c:v>
                </c:pt>
                <c:pt idx="45">
                  <c:v>2003m10</c:v>
                </c:pt>
                <c:pt idx="46">
                  <c:v>2003m11</c:v>
                </c:pt>
                <c:pt idx="47">
                  <c:v>2003m12</c:v>
                </c:pt>
                <c:pt idx="48">
                  <c:v>2004m1</c:v>
                </c:pt>
                <c:pt idx="49">
                  <c:v>2004m2</c:v>
                </c:pt>
                <c:pt idx="50">
                  <c:v>2004m3</c:v>
                </c:pt>
                <c:pt idx="51">
                  <c:v>2004m4</c:v>
                </c:pt>
                <c:pt idx="52">
                  <c:v>2004m5</c:v>
                </c:pt>
                <c:pt idx="53">
                  <c:v>2004m6</c:v>
                </c:pt>
                <c:pt idx="54">
                  <c:v>2004m7</c:v>
                </c:pt>
                <c:pt idx="55">
                  <c:v>2004m8</c:v>
                </c:pt>
                <c:pt idx="56">
                  <c:v>2004m9</c:v>
                </c:pt>
                <c:pt idx="57">
                  <c:v>2004m10</c:v>
                </c:pt>
                <c:pt idx="58">
                  <c:v>2004m11</c:v>
                </c:pt>
                <c:pt idx="59">
                  <c:v>2004m12</c:v>
                </c:pt>
                <c:pt idx="60">
                  <c:v>2005m1</c:v>
                </c:pt>
                <c:pt idx="61">
                  <c:v>2005m2</c:v>
                </c:pt>
                <c:pt idx="62">
                  <c:v>2005m3</c:v>
                </c:pt>
                <c:pt idx="63">
                  <c:v>2005m4</c:v>
                </c:pt>
                <c:pt idx="64">
                  <c:v>2005m5</c:v>
                </c:pt>
                <c:pt idx="65">
                  <c:v>2005m6</c:v>
                </c:pt>
                <c:pt idx="66">
                  <c:v>2005m7</c:v>
                </c:pt>
                <c:pt idx="67">
                  <c:v>2005m8</c:v>
                </c:pt>
                <c:pt idx="68">
                  <c:v>2005m9</c:v>
                </c:pt>
                <c:pt idx="69">
                  <c:v>2005m10</c:v>
                </c:pt>
                <c:pt idx="70">
                  <c:v>2005m11</c:v>
                </c:pt>
                <c:pt idx="71">
                  <c:v>2005m12</c:v>
                </c:pt>
                <c:pt idx="72">
                  <c:v>2006m1</c:v>
                </c:pt>
                <c:pt idx="73">
                  <c:v>2006m2</c:v>
                </c:pt>
                <c:pt idx="74">
                  <c:v>2006m3</c:v>
                </c:pt>
                <c:pt idx="75">
                  <c:v>2006m4</c:v>
                </c:pt>
                <c:pt idx="76">
                  <c:v>2006m5</c:v>
                </c:pt>
                <c:pt idx="77">
                  <c:v>2006m6</c:v>
                </c:pt>
                <c:pt idx="78">
                  <c:v>2006m7</c:v>
                </c:pt>
                <c:pt idx="79">
                  <c:v>2006m8</c:v>
                </c:pt>
                <c:pt idx="80">
                  <c:v>2006m9</c:v>
                </c:pt>
                <c:pt idx="81">
                  <c:v>2006m10</c:v>
                </c:pt>
                <c:pt idx="82">
                  <c:v>2006m11</c:v>
                </c:pt>
                <c:pt idx="83">
                  <c:v>2006m12</c:v>
                </c:pt>
                <c:pt idx="84">
                  <c:v>2007m1</c:v>
                </c:pt>
                <c:pt idx="85">
                  <c:v>2007m2</c:v>
                </c:pt>
                <c:pt idx="86">
                  <c:v>2007m3</c:v>
                </c:pt>
                <c:pt idx="87">
                  <c:v>2007m4</c:v>
                </c:pt>
                <c:pt idx="88">
                  <c:v>2007m5</c:v>
                </c:pt>
                <c:pt idx="89">
                  <c:v>2007m6</c:v>
                </c:pt>
                <c:pt idx="90">
                  <c:v>2007m7</c:v>
                </c:pt>
                <c:pt idx="91">
                  <c:v>2007m8</c:v>
                </c:pt>
                <c:pt idx="92">
                  <c:v>2007m9</c:v>
                </c:pt>
                <c:pt idx="93">
                  <c:v>2007m10</c:v>
                </c:pt>
                <c:pt idx="94">
                  <c:v>2007m11</c:v>
                </c:pt>
                <c:pt idx="95">
                  <c:v>2007m12</c:v>
                </c:pt>
                <c:pt idx="96">
                  <c:v>2008m1</c:v>
                </c:pt>
                <c:pt idx="97">
                  <c:v>2008m2</c:v>
                </c:pt>
                <c:pt idx="98">
                  <c:v>2008m3</c:v>
                </c:pt>
                <c:pt idx="99">
                  <c:v>2008m4</c:v>
                </c:pt>
                <c:pt idx="100">
                  <c:v>2008m5</c:v>
                </c:pt>
                <c:pt idx="101">
                  <c:v>2008m6</c:v>
                </c:pt>
                <c:pt idx="102">
                  <c:v>2008m7</c:v>
                </c:pt>
                <c:pt idx="103">
                  <c:v>2008m8</c:v>
                </c:pt>
                <c:pt idx="104">
                  <c:v>2008m9</c:v>
                </c:pt>
                <c:pt idx="105">
                  <c:v>2008m10</c:v>
                </c:pt>
                <c:pt idx="106">
                  <c:v>2008m11</c:v>
                </c:pt>
                <c:pt idx="107">
                  <c:v>2008m12</c:v>
                </c:pt>
                <c:pt idx="108">
                  <c:v>2009m1</c:v>
                </c:pt>
                <c:pt idx="109">
                  <c:v>2009m2</c:v>
                </c:pt>
                <c:pt idx="110">
                  <c:v>2009m3</c:v>
                </c:pt>
                <c:pt idx="111">
                  <c:v>2009m4</c:v>
                </c:pt>
                <c:pt idx="112">
                  <c:v>2009m5</c:v>
                </c:pt>
                <c:pt idx="113">
                  <c:v>2009m6</c:v>
                </c:pt>
                <c:pt idx="114">
                  <c:v>2009m7</c:v>
                </c:pt>
                <c:pt idx="115">
                  <c:v>2009m8</c:v>
                </c:pt>
                <c:pt idx="116">
                  <c:v>2009m9</c:v>
                </c:pt>
                <c:pt idx="117">
                  <c:v>2009m10</c:v>
                </c:pt>
                <c:pt idx="118">
                  <c:v>2009m11</c:v>
                </c:pt>
                <c:pt idx="119">
                  <c:v>2009m12</c:v>
                </c:pt>
                <c:pt idx="120">
                  <c:v>2010m1</c:v>
                </c:pt>
                <c:pt idx="121">
                  <c:v>2010m2</c:v>
                </c:pt>
                <c:pt idx="122">
                  <c:v>2010m3</c:v>
                </c:pt>
                <c:pt idx="123">
                  <c:v>2010m4</c:v>
                </c:pt>
                <c:pt idx="124">
                  <c:v>2010m5</c:v>
                </c:pt>
                <c:pt idx="125">
                  <c:v>2010m6</c:v>
                </c:pt>
                <c:pt idx="126">
                  <c:v>2010m7</c:v>
                </c:pt>
                <c:pt idx="127">
                  <c:v>2010m8</c:v>
                </c:pt>
                <c:pt idx="128">
                  <c:v>2010m9</c:v>
                </c:pt>
                <c:pt idx="129">
                  <c:v>2010m10</c:v>
                </c:pt>
                <c:pt idx="130">
                  <c:v>2010m11</c:v>
                </c:pt>
                <c:pt idx="131">
                  <c:v>2010m12</c:v>
                </c:pt>
                <c:pt idx="132">
                  <c:v>2011m1</c:v>
                </c:pt>
                <c:pt idx="133">
                  <c:v>2011m2</c:v>
                </c:pt>
                <c:pt idx="134">
                  <c:v>2011m3</c:v>
                </c:pt>
                <c:pt idx="135">
                  <c:v>2011m4</c:v>
                </c:pt>
                <c:pt idx="136">
                  <c:v>2011m5</c:v>
                </c:pt>
                <c:pt idx="137">
                  <c:v>2011m6</c:v>
                </c:pt>
                <c:pt idx="138">
                  <c:v>2011m7</c:v>
                </c:pt>
                <c:pt idx="139">
                  <c:v>2011m8</c:v>
                </c:pt>
                <c:pt idx="140">
                  <c:v>2011m9</c:v>
                </c:pt>
                <c:pt idx="141">
                  <c:v>2011m10</c:v>
                </c:pt>
                <c:pt idx="142">
                  <c:v>2011m11</c:v>
                </c:pt>
                <c:pt idx="143">
                  <c:v>2011m12</c:v>
                </c:pt>
                <c:pt idx="144">
                  <c:v>2012m1</c:v>
                </c:pt>
                <c:pt idx="145">
                  <c:v>2012m2</c:v>
                </c:pt>
                <c:pt idx="146">
                  <c:v>2012m3</c:v>
                </c:pt>
                <c:pt idx="147">
                  <c:v>2012m4</c:v>
                </c:pt>
                <c:pt idx="148">
                  <c:v>2012m5</c:v>
                </c:pt>
                <c:pt idx="149">
                  <c:v>2012m6</c:v>
                </c:pt>
                <c:pt idx="150">
                  <c:v>2012m7</c:v>
                </c:pt>
                <c:pt idx="151">
                  <c:v>2012m8</c:v>
                </c:pt>
                <c:pt idx="152">
                  <c:v>2012m9</c:v>
                </c:pt>
                <c:pt idx="153">
                  <c:v>2012m10</c:v>
                </c:pt>
                <c:pt idx="154">
                  <c:v>2012m11</c:v>
                </c:pt>
                <c:pt idx="155">
                  <c:v>2012m12</c:v>
                </c:pt>
                <c:pt idx="156">
                  <c:v>2013m1</c:v>
                </c:pt>
                <c:pt idx="157">
                  <c:v>2013m2</c:v>
                </c:pt>
                <c:pt idx="158">
                  <c:v>2013m3</c:v>
                </c:pt>
                <c:pt idx="159">
                  <c:v>2013m4</c:v>
                </c:pt>
                <c:pt idx="160">
                  <c:v>2013m5</c:v>
                </c:pt>
                <c:pt idx="161">
                  <c:v>2013m6</c:v>
                </c:pt>
                <c:pt idx="162">
                  <c:v>2013m7</c:v>
                </c:pt>
                <c:pt idx="163">
                  <c:v>2013m8</c:v>
                </c:pt>
                <c:pt idx="164">
                  <c:v>2013m9</c:v>
                </c:pt>
                <c:pt idx="165">
                  <c:v>2013m10</c:v>
                </c:pt>
                <c:pt idx="166">
                  <c:v>2013m11</c:v>
                </c:pt>
                <c:pt idx="167">
                  <c:v>2013m12</c:v>
                </c:pt>
                <c:pt idx="168">
                  <c:v>2014m1</c:v>
                </c:pt>
                <c:pt idx="169">
                  <c:v>2014m2</c:v>
                </c:pt>
                <c:pt idx="170">
                  <c:v>2014m3</c:v>
                </c:pt>
                <c:pt idx="171">
                  <c:v>2014m4</c:v>
                </c:pt>
                <c:pt idx="172">
                  <c:v>2014m5</c:v>
                </c:pt>
                <c:pt idx="173">
                  <c:v>2014m6</c:v>
                </c:pt>
                <c:pt idx="174">
                  <c:v>2014m7</c:v>
                </c:pt>
                <c:pt idx="175">
                  <c:v>2014m8</c:v>
                </c:pt>
                <c:pt idx="176">
                  <c:v>2014m9</c:v>
                </c:pt>
                <c:pt idx="177">
                  <c:v>2014m10</c:v>
                </c:pt>
                <c:pt idx="178">
                  <c:v>2014m11</c:v>
                </c:pt>
                <c:pt idx="179">
                  <c:v>2014m12</c:v>
                </c:pt>
                <c:pt idx="180">
                  <c:v>2015m1</c:v>
                </c:pt>
                <c:pt idx="181">
                  <c:v>2015m2</c:v>
                </c:pt>
                <c:pt idx="182">
                  <c:v>2015m3</c:v>
                </c:pt>
                <c:pt idx="183">
                  <c:v>2015m4</c:v>
                </c:pt>
                <c:pt idx="184">
                  <c:v>2015m5</c:v>
                </c:pt>
                <c:pt idx="185">
                  <c:v>2015m6</c:v>
                </c:pt>
                <c:pt idx="186">
                  <c:v>2015m7</c:v>
                </c:pt>
                <c:pt idx="187">
                  <c:v>2015m8</c:v>
                </c:pt>
                <c:pt idx="188">
                  <c:v>2015m9</c:v>
                </c:pt>
                <c:pt idx="189">
                  <c:v>2015m10</c:v>
                </c:pt>
                <c:pt idx="190">
                  <c:v>2015m11</c:v>
                </c:pt>
                <c:pt idx="191">
                  <c:v>2015m12</c:v>
                </c:pt>
                <c:pt idx="192">
                  <c:v>2016m1</c:v>
                </c:pt>
              </c:strCache>
            </c:strRef>
          </c:cat>
          <c:val>
            <c:numRef>
              <c:f>Sheet1!$D$26:$D$218</c:f>
              <c:numCache>
                <c:formatCode>0.0</c:formatCode>
                <c:ptCount val="193"/>
                <c:pt idx="0">
                  <c:v>2.6</c:v>
                </c:pt>
                <c:pt idx="1">
                  <c:v>2.4</c:v>
                </c:pt>
                <c:pt idx="2">
                  <c:v>3.4</c:v>
                </c:pt>
                <c:pt idx="3">
                  <c:v>4.5999999999999996</c:v>
                </c:pt>
                <c:pt idx="4">
                  <c:v>5.0999999999999996</c:v>
                </c:pt>
                <c:pt idx="5">
                  <c:v>5.0999999999999996</c:v>
                </c:pt>
                <c:pt idx="6">
                  <c:v>5.9</c:v>
                </c:pt>
                <c:pt idx="7">
                  <c:v>6.8</c:v>
                </c:pt>
                <c:pt idx="8">
                  <c:v>6.8</c:v>
                </c:pt>
                <c:pt idx="9">
                  <c:v>7.1</c:v>
                </c:pt>
                <c:pt idx="10">
                  <c:v>7.1</c:v>
                </c:pt>
                <c:pt idx="11">
                  <c:v>7</c:v>
                </c:pt>
                <c:pt idx="12">
                  <c:v>7.1</c:v>
                </c:pt>
                <c:pt idx="13">
                  <c:v>7.8</c:v>
                </c:pt>
                <c:pt idx="14">
                  <c:v>7.4</c:v>
                </c:pt>
                <c:pt idx="15">
                  <c:v>6.5</c:v>
                </c:pt>
                <c:pt idx="16">
                  <c:v>6.4</c:v>
                </c:pt>
                <c:pt idx="17">
                  <c:v>6.3</c:v>
                </c:pt>
                <c:pt idx="18">
                  <c:v>5.3</c:v>
                </c:pt>
                <c:pt idx="19">
                  <c:v>4.5999999999999996</c:v>
                </c:pt>
                <c:pt idx="20">
                  <c:v>4.4000000000000004</c:v>
                </c:pt>
                <c:pt idx="21">
                  <c:v>4</c:v>
                </c:pt>
                <c:pt idx="22">
                  <c:v>4.3</c:v>
                </c:pt>
                <c:pt idx="23">
                  <c:v>4.5999999999999996</c:v>
                </c:pt>
                <c:pt idx="24">
                  <c:v>5</c:v>
                </c:pt>
                <c:pt idx="25">
                  <c:v>5.9</c:v>
                </c:pt>
                <c:pt idx="26">
                  <c:v>6.2</c:v>
                </c:pt>
                <c:pt idx="27">
                  <c:v>7.4</c:v>
                </c:pt>
                <c:pt idx="28">
                  <c:v>7.8</c:v>
                </c:pt>
                <c:pt idx="29">
                  <c:v>8</c:v>
                </c:pt>
                <c:pt idx="30">
                  <c:v>9.6</c:v>
                </c:pt>
                <c:pt idx="31">
                  <c:v>0.4</c:v>
                </c:pt>
                <c:pt idx="32">
                  <c:v>11.2</c:v>
                </c:pt>
                <c:pt idx="33">
                  <c:v>3</c:v>
                </c:pt>
                <c:pt idx="34">
                  <c:v>12.9</c:v>
                </c:pt>
                <c:pt idx="35">
                  <c:v>12.4</c:v>
                </c:pt>
                <c:pt idx="36">
                  <c:v>11.6</c:v>
                </c:pt>
                <c:pt idx="37">
                  <c:v>10.3</c:v>
                </c:pt>
                <c:pt idx="38">
                  <c:v>10.200000000000001</c:v>
                </c:pt>
                <c:pt idx="39">
                  <c:v>8.8000000000000007</c:v>
                </c:pt>
                <c:pt idx="40">
                  <c:v>7.8</c:v>
                </c:pt>
                <c:pt idx="41">
                  <c:v>6.7</c:v>
                </c:pt>
                <c:pt idx="42">
                  <c:v>5.2</c:v>
                </c:pt>
                <c:pt idx="43">
                  <c:v>5.0999999999999996</c:v>
                </c:pt>
                <c:pt idx="44">
                  <c:v>3.7</c:v>
                </c:pt>
                <c:pt idx="45">
                  <c:v>1.5</c:v>
                </c:pt>
                <c:pt idx="46">
                  <c:v>0.4</c:v>
                </c:pt>
                <c:pt idx="47">
                  <c:v>0.30000000000000032</c:v>
                </c:pt>
                <c:pt idx="48">
                  <c:v>0.2</c:v>
                </c:pt>
                <c:pt idx="49">
                  <c:v>0.70000000000000462</c:v>
                </c:pt>
                <c:pt idx="50">
                  <c:v>0.4</c:v>
                </c:pt>
                <c:pt idx="51">
                  <c:v>0.2</c:v>
                </c:pt>
                <c:pt idx="52">
                  <c:v>0</c:v>
                </c:pt>
                <c:pt idx="53">
                  <c:v>1.2</c:v>
                </c:pt>
                <c:pt idx="54">
                  <c:v>1.6</c:v>
                </c:pt>
                <c:pt idx="55">
                  <c:v>1</c:v>
                </c:pt>
                <c:pt idx="56">
                  <c:v>0.30000000000000032</c:v>
                </c:pt>
                <c:pt idx="57">
                  <c:v>2.4</c:v>
                </c:pt>
                <c:pt idx="58">
                  <c:v>3.7</c:v>
                </c:pt>
                <c:pt idx="59">
                  <c:v>3.4</c:v>
                </c:pt>
                <c:pt idx="60">
                  <c:v>3</c:v>
                </c:pt>
                <c:pt idx="61">
                  <c:v>2.6</c:v>
                </c:pt>
                <c:pt idx="62">
                  <c:v>3</c:v>
                </c:pt>
                <c:pt idx="63">
                  <c:v>3.4</c:v>
                </c:pt>
                <c:pt idx="64">
                  <c:v>3.3</c:v>
                </c:pt>
                <c:pt idx="65">
                  <c:v>2.8</c:v>
                </c:pt>
                <c:pt idx="66">
                  <c:v>3.4</c:v>
                </c:pt>
                <c:pt idx="67">
                  <c:v>3.9</c:v>
                </c:pt>
                <c:pt idx="68">
                  <c:v>4.4000000000000004</c:v>
                </c:pt>
                <c:pt idx="69">
                  <c:v>4</c:v>
                </c:pt>
                <c:pt idx="70">
                  <c:v>3.4</c:v>
                </c:pt>
                <c:pt idx="71">
                  <c:v>3.6</c:v>
                </c:pt>
                <c:pt idx="72">
                  <c:v>4</c:v>
                </c:pt>
                <c:pt idx="73">
                  <c:v>3.9</c:v>
                </c:pt>
                <c:pt idx="74">
                  <c:v>3.4</c:v>
                </c:pt>
                <c:pt idx="75">
                  <c:v>3.3</c:v>
                </c:pt>
                <c:pt idx="76">
                  <c:v>3.9</c:v>
                </c:pt>
                <c:pt idx="77">
                  <c:v>4.9000000000000004</c:v>
                </c:pt>
                <c:pt idx="78">
                  <c:v>5</c:v>
                </c:pt>
                <c:pt idx="79">
                  <c:v>5.4</c:v>
                </c:pt>
                <c:pt idx="80">
                  <c:v>5.3</c:v>
                </c:pt>
                <c:pt idx="81">
                  <c:v>5.4</c:v>
                </c:pt>
                <c:pt idx="82">
                  <c:v>5.4</c:v>
                </c:pt>
                <c:pt idx="83">
                  <c:v>5.8</c:v>
                </c:pt>
                <c:pt idx="84">
                  <c:v>6</c:v>
                </c:pt>
                <c:pt idx="85">
                  <c:v>5.7</c:v>
                </c:pt>
                <c:pt idx="86">
                  <c:v>6.1</c:v>
                </c:pt>
                <c:pt idx="87">
                  <c:v>7</c:v>
                </c:pt>
                <c:pt idx="88">
                  <c:v>6.9</c:v>
                </c:pt>
                <c:pt idx="89">
                  <c:v>7</c:v>
                </c:pt>
                <c:pt idx="90">
                  <c:v>7</c:v>
                </c:pt>
                <c:pt idx="91">
                  <c:v>6.7</c:v>
                </c:pt>
                <c:pt idx="92">
                  <c:v>7.2</c:v>
                </c:pt>
                <c:pt idx="93">
                  <c:v>7.9</c:v>
                </c:pt>
                <c:pt idx="94">
                  <c:v>8.4</c:v>
                </c:pt>
                <c:pt idx="95">
                  <c:v>9</c:v>
                </c:pt>
                <c:pt idx="96">
                  <c:v>9.3000000000000007</c:v>
                </c:pt>
                <c:pt idx="97">
                  <c:v>9.8000000000000007</c:v>
                </c:pt>
                <c:pt idx="98">
                  <c:v>10.6</c:v>
                </c:pt>
                <c:pt idx="99">
                  <c:v>11.1</c:v>
                </c:pt>
                <c:pt idx="100">
                  <c:v>11.7</c:v>
                </c:pt>
                <c:pt idx="101">
                  <c:v>12.2</c:v>
                </c:pt>
                <c:pt idx="102">
                  <c:v>13.4</c:v>
                </c:pt>
                <c:pt idx="103">
                  <c:v>13.7</c:v>
                </c:pt>
                <c:pt idx="104">
                  <c:v>13.1</c:v>
                </c:pt>
                <c:pt idx="105">
                  <c:v>12.1</c:v>
                </c:pt>
                <c:pt idx="106">
                  <c:v>11.8</c:v>
                </c:pt>
                <c:pt idx="107">
                  <c:v>9.5</c:v>
                </c:pt>
                <c:pt idx="108">
                  <c:v>8.1</c:v>
                </c:pt>
                <c:pt idx="109">
                  <c:v>8.6</c:v>
                </c:pt>
                <c:pt idx="110">
                  <c:v>8.5</c:v>
                </c:pt>
                <c:pt idx="111">
                  <c:v>8.4</c:v>
                </c:pt>
                <c:pt idx="112">
                  <c:v>8</c:v>
                </c:pt>
                <c:pt idx="113">
                  <c:v>6.9</c:v>
                </c:pt>
                <c:pt idx="114">
                  <c:v>6.7</c:v>
                </c:pt>
                <c:pt idx="115">
                  <c:v>6.4</c:v>
                </c:pt>
                <c:pt idx="116">
                  <c:v>6.1</c:v>
                </c:pt>
                <c:pt idx="117">
                  <c:v>5.9</c:v>
                </c:pt>
                <c:pt idx="118">
                  <c:v>5.8</c:v>
                </c:pt>
                <c:pt idx="119">
                  <c:v>6.3</c:v>
                </c:pt>
                <c:pt idx="120">
                  <c:v>6.2</c:v>
                </c:pt>
                <c:pt idx="121">
                  <c:v>5.7</c:v>
                </c:pt>
                <c:pt idx="122">
                  <c:v>5.0999999999999996</c:v>
                </c:pt>
                <c:pt idx="123">
                  <c:v>4.8</c:v>
                </c:pt>
                <c:pt idx="124">
                  <c:v>4.5999999999999996</c:v>
                </c:pt>
                <c:pt idx="125">
                  <c:v>4.0999999999999996</c:v>
                </c:pt>
                <c:pt idx="126">
                  <c:v>3.7</c:v>
                </c:pt>
                <c:pt idx="127">
                  <c:v>3.5</c:v>
                </c:pt>
                <c:pt idx="128">
                  <c:v>3.2</c:v>
                </c:pt>
                <c:pt idx="129">
                  <c:v>3.4</c:v>
                </c:pt>
                <c:pt idx="130">
                  <c:v>3.6</c:v>
                </c:pt>
                <c:pt idx="131">
                  <c:v>3.5</c:v>
                </c:pt>
                <c:pt idx="132">
                  <c:v>3.7</c:v>
                </c:pt>
                <c:pt idx="133">
                  <c:v>3.7</c:v>
                </c:pt>
                <c:pt idx="134">
                  <c:v>4.0999999999999996</c:v>
                </c:pt>
                <c:pt idx="135">
                  <c:v>4.2</c:v>
                </c:pt>
                <c:pt idx="136">
                  <c:v>0.60000000000000464</c:v>
                </c:pt>
                <c:pt idx="137">
                  <c:v>5</c:v>
                </c:pt>
                <c:pt idx="138">
                  <c:v>5.3</c:v>
                </c:pt>
                <c:pt idx="139">
                  <c:v>5.3</c:v>
                </c:pt>
                <c:pt idx="140">
                  <c:v>5.7</c:v>
                </c:pt>
                <c:pt idx="141">
                  <c:v>6</c:v>
                </c:pt>
                <c:pt idx="142">
                  <c:v>6.1</c:v>
                </c:pt>
                <c:pt idx="143">
                  <c:v>6.1</c:v>
                </c:pt>
                <c:pt idx="144">
                  <c:v>6.3</c:v>
                </c:pt>
                <c:pt idx="145">
                  <c:v>6.1</c:v>
                </c:pt>
                <c:pt idx="146">
                  <c:v>6</c:v>
                </c:pt>
                <c:pt idx="147">
                  <c:v>6.1</c:v>
                </c:pt>
                <c:pt idx="148">
                  <c:v>5.7</c:v>
                </c:pt>
                <c:pt idx="149">
                  <c:v>5.5</c:v>
                </c:pt>
                <c:pt idx="150">
                  <c:v>0.9</c:v>
                </c:pt>
                <c:pt idx="151">
                  <c:v>5</c:v>
                </c:pt>
                <c:pt idx="152">
                  <c:v>5.5</c:v>
                </c:pt>
                <c:pt idx="153">
                  <c:v>5.6</c:v>
                </c:pt>
                <c:pt idx="154">
                  <c:v>5.6</c:v>
                </c:pt>
                <c:pt idx="155">
                  <c:v>5.7</c:v>
                </c:pt>
                <c:pt idx="156">
                  <c:v>5.4</c:v>
                </c:pt>
                <c:pt idx="157">
                  <c:v>5.9</c:v>
                </c:pt>
                <c:pt idx="158">
                  <c:v>5.9</c:v>
                </c:pt>
                <c:pt idx="159">
                  <c:v>5.9</c:v>
                </c:pt>
                <c:pt idx="160">
                  <c:v>5.6</c:v>
                </c:pt>
                <c:pt idx="161">
                  <c:v>5.5</c:v>
                </c:pt>
                <c:pt idx="162">
                  <c:v>6.3</c:v>
                </c:pt>
                <c:pt idx="163">
                  <c:v>6.4</c:v>
                </c:pt>
                <c:pt idx="164">
                  <c:v>6</c:v>
                </c:pt>
                <c:pt idx="165">
                  <c:v>0.5</c:v>
                </c:pt>
                <c:pt idx="166">
                  <c:v>5.3</c:v>
                </c:pt>
                <c:pt idx="167">
                  <c:v>5.4</c:v>
                </c:pt>
                <c:pt idx="168">
                  <c:v>5.8</c:v>
                </c:pt>
                <c:pt idx="169">
                  <c:v>5.9</c:v>
                </c:pt>
                <c:pt idx="170">
                  <c:v>6</c:v>
                </c:pt>
                <c:pt idx="171">
                  <c:v>6.1</c:v>
                </c:pt>
                <c:pt idx="172">
                  <c:v>6.6</c:v>
                </c:pt>
                <c:pt idx="173">
                  <c:v>6.6</c:v>
                </c:pt>
                <c:pt idx="174">
                  <c:v>6.3</c:v>
                </c:pt>
                <c:pt idx="175">
                  <c:v>6.4</c:v>
                </c:pt>
                <c:pt idx="176">
                  <c:v>5.9</c:v>
                </c:pt>
                <c:pt idx="177">
                  <c:v>5.9</c:v>
                </c:pt>
                <c:pt idx="178">
                  <c:v>5.8</c:v>
                </c:pt>
                <c:pt idx="179">
                  <c:v>5.3</c:v>
                </c:pt>
                <c:pt idx="180">
                  <c:v>4.4000000000000004</c:v>
                </c:pt>
                <c:pt idx="181">
                  <c:v>3.9</c:v>
                </c:pt>
                <c:pt idx="182">
                  <c:v>4</c:v>
                </c:pt>
                <c:pt idx="183">
                  <c:v>4.5</c:v>
                </c:pt>
                <c:pt idx="184">
                  <c:v>4.5999999999999996</c:v>
                </c:pt>
                <c:pt idx="185">
                  <c:v>4.7</c:v>
                </c:pt>
                <c:pt idx="186">
                  <c:v>5</c:v>
                </c:pt>
                <c:pt idx="187">
                  <c:v>4.5999999999999996</c:v>
                </c:pt>
                <c:pt idx="188">
                  <c:v>4.5999999999999996</c:v>
                </c:pt>
                <c:pt idx="189">
                  <c:v>4.7</c:v>
                </c:pt>
                <c:pt idx="190">
                  <c:v>4.8</c:v>
                </c:pt>
                <c:pt idx="191">
                  <c:v>5.2</c:v>
                </c:pt>
                <c:pt idx="192">
                  <c:v>6.2</c:v>
                </c:pt>
              </c:numCache>
            </c:numRef>
          </c:val>
          <c:extLst>
            <c:ext xmlns:c16="http://schemas.microsoft.com/office/drawing/2014/chart" uri="{C3380CC4-5D6E-409C-BE32-E72D297353CC}">
              <c16:uniqueId val="{00000000-58CD-472A-A0AE-CAABA25226C3}"/>
            </c:ext>
          </c:extLst>
        </c:ser>
        <c:dLbls>
          <c:showLegendKey val="0"/>
          <c:showVal val="0"/>
          <c:showCatName val="0"/>
          <c:showSerName val="0"/>
          <c:showPercent val="0"/>
          <c:showBubbleSize val="0"/>
        </c:dLbls>
        <c:gapWidth val="150"/>
        <c:axId val="154451968"/>
        <c:axId val="154453504"/>
      </c:barChart>
      <c:catAx>
        <c:axId val="15445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53504"/>
        <c:crosses val="autoZero"/>
        <c:auto val="1"/>
        <c:lblAlgn val="ctr"/>
        <c:lblOffset val="100"/>
        <c:noMultiLvlLbl val="0"/>
      </c:catAx>
      <c:valAx>
        <c:axId val="154453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5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55661226592023E-2"/>
          <c:y val="6.4965197215777329E-2"/>
          <c:w val="0.91042840179828599"/>
          <c:h val="0.67749419953596302"/>
        </c:manualLayout>
      </c:layout>
      <c:lineChart>
        <c:grouping val="standard"/>
        <c:varyColors val="0"/>
        <c:ser>
          <c:idx val="0"/>
          <c:order val="0"/>
          <c:tx>
            <c:v>IMP</c:v>
          </c:tx>
          <c:val>
            <c:numRef>
              <c:f>Sheet1!$C$3:$C$26</c:f>
              <c:numCache>
                <c:formatCode>General</c:formatCode>
                <c:ptCount val="24"/>
                <c:pt idx="0">
                  <c:v>0.12480000000000002</c:v>
                </c:pt>
                <c:pt idx="1">
                  <c:v>0.15970000000000048</c:v>
                </c:pt>
                <c:pt idx="2">
                  <c:v>0.19940000000000024</c:v>
                </c:pt>
                <c:pt idx="3">
                  <c:v>0.255</c:v>
                </c:pt>
                <c:pt idx="4">
                  <c:v>0.33900000000000202</c:v>
                </c:pt>
                <c:pt idx="5">
                  <c:v>0.44500000000000001</c:v>
                </c:pt>
                <c:pt idx="6">
                  <c:v>0.45280000000000031</c:v>
                </c:pt>
                <c:pt idx="7">
                  <c:v>0.52200000000000002</c:v>
                </c:pt>
                <c:pt idx="8">
                  <c:v>0.51800000000000002</c:v>
                </c:pt>
                <c:pt idx="9">
                  <c:v>0.51600000000000001</c:v>
                </c:pt>
                <c:pt idx="10">
                  <c:v>0.51800000000000002</c:v>
                </c:pt>
                <c:pt idx="11">
                  <c:v>0.52300000000000002</c:v>
                </c:pt>
                <c:pt idx="12">
                  <c:v>0.53300000000000003</c:v>
                </c:pt>
                <c:pt idx="13">
                  <c:v>0.52700000000000002</c:v>
                </c:pt>
                <c:pt idx="14">
                  <c:v>0.52400000000000002</c:v>
                </c:pt>
                <c:pt idx="15">
                  <c:v>0.51900000000000002</c:v>
                </c:pt>
                <c:pt idx="16">
                  <c:v>0.49500000000000038</c:v>
                </c:pt>
                <c:pt idx="17">
                  <c:v>0.48300000000000032</c:v>
                </c:pt>
                <c:pt idx="18">
                  <c:v>0.47200000000000031</c:v>
                </c:pt>
                <c:pt idx="19">
                  <c:v>0.46200000000000002</c:v>
                </c:pt>
                <c:pt idx="20">
                  <c:v>0.46500000000000002</c:v>
                </c:pt>
                <c:pt idx="21">
                  <c:v>0.46800000000000008</c:v>
                </c:pt>
                <c:pt idx="22">
                  <c:v>0.47100000000000031</c:v>
                </c:pt>
                <c:pt idx="23">
                  <c:v>0.47500000000000031</c:v>
                </c:pt>
              </c:numCache>
            </c:numRef>
          </c:val>
          <c:smooth val="0"/>
          <c:extLst>
            <c:ext xmlns:c16="http://schemas.microsoft.com/office/drawing/2014/chart" uri="{C3380CC4-5D6E-409C-BE32-E72D297353CC}">
              <c16:uniqueId val="{00000000-5932-47F7-BDA6-0A6C6CCB7547}"/>
            </c:ext>
          </c:extLst>
        </c:ser>
        <c:ser>
          <c:idx val="1"/>
          <c:order val="1"/>
          <c:tx>
            <c:v>CPI</c:v>
          </c:tx>
          <c:val>
            <c:numRef>
              <c:f>Sheet1!$D$3:$D$26</c:f>
              <c:numCache>
                <c:formatCode>General</c:formatCode>
                <c:ptCount val="24"/>
                <c:pt idx="0">
                  <c:v>2.2000000000000016E-2</c:v>
                </c:pt>
                <c:pt idx="1">
                  <c:v>4.2000000000000023E-2</c:v>
                </c:pt>
                <c:pt idx="2">
                  <c:v>5.9000000000000385E-2</c:v>
                </c:pt>
                <c:pt idx="3">
                  <c:v>9.8000000000000226E-2</c:v>
                </c:pt>
                <c:pt idx="4">
                  <c:v>0.128</c:v>
                </c:pt>
                <c:pt idx="5">
                  <c:v>0.161</c:v>
                </c:pt>
                <c:pt idx="6">
                  <c:v>0.20900000000000021</c:v>
                </c:pt>
                <c:pt idx="7">
                  <c:v>0.21600000000000039</c:v>
                </c:pt>
                <c:pt idx="8">
                  <c:v>0.22900000000000001</c:v>
                </c:pt>
                <c:pt idx="9">
                  <c:v>0.23100000000000001</c:v>
                </c:pt>
                <c:pt idx="10">
                  <c:v>0.23500000000000001</c:v>
                </c:pt>
                <c:pt idx="11">
                  <c:v>0.24600000000000039</c:v>
                </c:pt>
                <c:pt idx="12">
                  <c:v>0.24800000000000039</c:v>
                </c:pt>
                <c:pt idx="13">
                  <c:v>0.24900000000000042</c:v>
                </c:pt>
                <c:pt idx="14">
                  <c:v>0.24900000000000042</c:v>
                </c:pt>
                <c:pt idx="15">
                  <c:v>0.251</c:v>
                </c:pt>
                <c:pt idx="16">
                  <c:v>0.251</c:v>
                </c:pt>
                <c:pt idx="17">
                  <c:v>0.24900000000000042</c:v>
                </c:pt>
                <c:pt idx="18">
                  <c:v>0.24600000000000039</c:v>
                </c:pt>
                <c:pt idx="19">
                  <c:v>0.24600000000000039</c:v>
                </c:pt>
                <c:pt idx="20">
                  <c:v>0.24500000000000038</c:v>
                </c:pt>
                <c:pt idx="21">
                  <c:v>0.24300000000000024</c:v>
                </c:pt>
                <c:pt idx="22">
                  <c:v>0.24700000000000039</c:v>
                </c:pt>
                <c:pt idx="23">
                  <c:v>0.24900000000000042</c:v>
                </c:pt>
              </c:numCache>
            </c:numRef>
          </c:val>
          <c:smooth val="0"/>
          <c:extLst>
            <c:ext xmlns:c16="http://schemas.microsoft.com/office/drawing/2014/chart" uri="{C3380CC4-5D6E-409C-BE32-E72D297353CC}">
              <c16:uniqueId val="{00000001-5932-47F7-BDA6-0A6C6CCB7547}"/>
            </c:ext>
          </c:extLst>
        </c:ser>
        <c:dLbls>
          <c:showLegendKey val="0"/>
          <c:showVal val="0"/>
          <c:showCatName val="0"/>
          <c:showSerName val="0"/>
          <c:showPercent val="0"/>
          <c:showBubbleSize val="0"/>
        </c:dLbls>
        <c:marker val="1"/>
        <c:smooth val="0"/>
        <c:axId val="154474752"/>
        <c:axId val="154476928"/>
      </c:lineChart>
      <c:catAx>
        <c:axId val="154474752"/>
        <c:scaling>
          <c:orientation val="minMax"/>
        </c:scaling>
        <c:delete val="0"/>
        <c:axPos val="b"/>
        <c:title>
          <c:tx>
            <c:rich>
              <a:bodyPr/>
              <a:lstStyle/>
              <a:p>
                <a:pPr>
                  <a:defRPr/>
                </a:pPr>
                <a:r>
                  <a:rPr lang="en-US"/>
                  <a:t>Months</a:t>
                </a:r>
              </a:p>
            </c:rich>
          </c:tx>
          <c:layout>
            <c:manualLayout>
              <c:xMode val="edge"/>
              <c:yMode val="edge"/>
              <c:x val="0.48395749996491544"/>
              <c:y val="0.82598607888631059"/>
            </c:manualLayout>
          </c:layout>
          <c:overlay val="0"/>
        </c:title>
        <c:numFmt formatCode="General" sourceLinked="1"/>
        <c:majorTickMark val="out"/>
        <c:minorTickMark val="none"/>
        <c:tickLblPos val="nextTo"/>
        <c:txPr>
          <a:bodyPr rot="0" vert="horz"/>
          <a:lstStyle/>
          <a:p>
            <a:pPr>
              <a:defRPr/>
            </a:pPr>
            <a:endParaRPr lang="en-US"/>
          </a:p>
        </c:txPr>
        <c:crossAx val="154476928"/>
        <c:crosses val="autoZero"/>
        <c:auto val="1"/>
        <c:lblAlgn val="ctr"/>
        <c:lblOffset val="100"/>
        <c:tickLblSkip val="1"/>
        <c:tickMarkSkip val="1"/>
        <c:noMultiLvlLbl val="0"/>
      </c:catAx>
      <c:valAx>
        <c:axId val="154476928"/>
        <c:scaling>
          <c:orientation val="minMax"/>
        </c:scaling>
        <c:delete val="0"/>
        <c:axPos val="l"/>
        <c:numFmt formatCode="General" sourceLinked="1"/>
        <c:majorTickMark val="out"/>
        <c:minorTickMark val="none"/>
        <c:tickLblPos val="nextTo"/>
        <c:txPr>
          <a:bodyPr rot="0" vert="horz"/>
          <a:lstStyle/>
          <a:p>
            <a:pPr>
              <a:defRPr/>
            </a:pPr>
            <a:endParaRPr lang="en-US"/>
          </a:p>
        </c:txPr>
        <c:crossAx val="154474752"/>
        <c:crosses val="autoZero"/>
        <c:crossBetween val="between"/>
      </c:valAx>
    </c:plotArea>
    <c:legend>
      <c:legendPos val="b"/>
      <c:layout>
        <c:manualLayout>
          <c:xMode val="edge"/>
          <c:yMode val="edge"/>
          <c:x val="0.43315536092748014"/>
          <c:y val="0.92111368909512759"/>
          <c:w val="0.18449211896641363"/>
          <c:h val="6.264501160092808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075B7-1AD7-4E48-91B9-79A02B91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6953</Words>
  <Characters>39634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Oladipo, Oluwasheyi</dc:creator>
  <cp:lastModifiedBy>Family</cp:lastModifiedBy>
  <cp:revision>8</cp:revision>
  <cp:lastPrinted>2016-05-10T16:21:00Z</cp:lastPrinted>
  <dcterms:created xsi:type="dcterms:W3CDTF">2017-08-21T23:39:00Z</dcterms:created>
  <dcterms:modified xsi:type="dcterms:W3CDTF">2017-08-22T15:55:00Z</dcterms:modified>
</cp:coreProperties>
</file>