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CC6" w:rsidRPr="00272F24" w:rsidRDefault="00B37CC6" w:rsidP="00B37CC6">
      <w:pPr>
        <w:autoSpaceDE w:val="0"/>
        <w:autoSpaceDN w:val="0"/>
        <w:adjustRightInd w:val="0"/>
        <w:spacing w:after="0" w:line="360" w:lineRule="auto"/>
        <w:jc w:val="center"/>
        <w:rPr>
          <w:b/>
          <w:bCs/>
          <w:color w:val="000000"/>
        </w:rPr>
      </w:pPr>
      <w:r w:rsidRPr="00272F24">
        <w:rPr>
          <w:b/>
          <w:bCs/>
          <w:color w:val="000000"/>
        </w:rPr>
        <w:t>Investment Intensity Risk, Investor Irrationality and Stock Returns in Kenya</w:t>
      </w:r>
    </w:p>
    <w:p w:rsidR="00223582" w:rsidRPr="007C5487" w:rsidRDefault="00EE1F16" w:rsidP="00B37CC6">
      <w:pPr>
        <w:autoSpaceDE w:val="0"/>
        <w:autoSpaceDN w:val="0"/>
        <w:adjustRightInd w:val="0"/>
        <w:spacing w:after="0" w:line="360" w:lineRule="auto"/>
        <w:jc w:val="center"/>
        <w:rPr>
          <w:color w:val="000000"/>
        </w:rPr>
      </w:pPr>
      <w:r>
        <w:rPr>
          <w:color w:val="000000"/>
        </w:rPr>
        <w:t xml:space="preserve">FA </w:t>
      </w:r>
      <w:proofErr w:type="spellStart"/>
      <w:r>
        <w:rPr>
          <w:color w:val="000000"/>
        </w:rPr>
        <w:t>Dr.</w:t>
      </w:r>
      <w:r w:rsidR="00F85BA7">
        <w:rPr>
          <w:color w:val="000000"/>
        </w:rPr>
        <w:t>Tobias</w:t>
      </w:r>
      <w:proofErr w:type="spellEnd"/>
      <w:r w:rsidR="00F85BA7">
        <w:rPr>
          <w:color w:val="000000"/>
        </w:rPr>
        <w:t xml:space="preserve"> </w:t>
      </w:r>
      <w:proofErr w:type="spellStart"/>
      <w:r>
        <w:rPr>
          <w:color w:val="000000"/>
        </w:rPr>
        <w:t>Olweny,Senior</w:t>
      </w:r>
      <w:proofErr w:type="spellEnd"/>
      <w:r>
        <w:rPr>
          <w:color w:val="000000"/>
        </w:rPr>
        <w:t xml:space="preserve"> Lecturer in Finance</w:t>
      </w:r>
      <w:r w:rsidR="0002351B">
        <w:rPr>
          <w:color w:val="000000"/>
        </w:rPr>
        <w:t>, JKUAT  -Kenya</w:t>
      </w:r>
    </w:p>
    <w:p w:rsidR="00B37CC6" w:rsidRPr="007C5487" w:rsidRDefault="00B37CC6" w:rsidP="00B37CC6">
      <w:pPr>
        <w:spacing w:after="0" w:line="360" w:lineRule="auto"/>
        <w:jc w:val="both"/>
        <w:rPr>
          <w:color w:val="000000" w:themeColor="text1"/>
        </w:rPr>
      </w:pPr>
    </w:p>
    <w:p w:rsidR="00B37CC6" w:rsidRPr="007C5487" w:rsidRDefault="00B37CC6" w:rsidP="00B37CC6">
      <w:pPr>
        <w:spacing w:after="0" w:line="360" w:lineRule="auto"/>
        <w:jc w:val="center"/>
        <w:rPr>
          <w:bCs/>
          <w:color w:val="000000" w:themeColor="text1"/>
        </w:rPr>
      </w:pPr>
      <w:r w:rsidRPr="007C5487">
        <w:rPr>
          <w:b/>
          <w:bCs/>
          <w:color w:val="000000" w:themeColor="text1"/>
        </w:rPr>
        <w:t>Key words</w:t>
      </w:r>
      <w:r w:rsidRPr="007C5487">
        <w:rPr>
          <w:bCs/>
          <w:color w:val="000000" w:themeColor="text1"/>
        </w:rPr>
        <w:t xml:space="preserve">: </w:t>
      </w:r>
      <w:r>
        <w:rPr>
          <w:iCs/>
        </w:rPr>
        <w:t>Investment Intensity</w:t>
      </w:r>
      <w:r w:rsidRPr="007C5487">
        <w:rPr>
          <w:iCs/>
        </w:rPr>
        <w:t xml:space="preserve">, </w:t>
      </w:r>
      <w:r>
        <w:rPr>
          <w:iCs/>
        </w:rPr>
        <w:t>Investor Irrationality, Stock</w:t>
      </w:r>
      <w:r w:rsidRPr="007C5487">
        <w:rPr>
          <w:iCs/>
        </w:rPr>
        <w:t xml:space="preserve"> Returns</w:t>
      </w:r>
      <w:r w:rsidRPr="007C5487">
        <w:t>.</w:t>
      </w:r>
    </w:p>
    <w:p w:rsidR="00F62E35" w:rsidRPr="00834F35" w:rsidRDefault="00B37CC6" w:rsidP="00EB4766">
      <w:pPr>
        <w:autoSpaceDE w:val="0"/>
        <w:autoSpaceDN w:val="0"/>
        <w:adjustRightInd w:val="0"/>
        <w:spacing w:after="0" w:line="360" w:lineRule="auto"/>
        <w:jc w:val="both"/>
        <w:rPr>
          <w:b/>
          <w:bCs/>
        </w:rPr>
      </w:pPr>
      <w:r w:rsidRPr="007C5487">
        <w:rPr>
          <w:color w:val="000000"/>
        </w:rPr>
        <w:tab/>
      </w:r>
      <w:r w:rsidRPr="007C5487">
        <w:rPr>
          <w:color w:val="000000"/>
        </w:rPr>
        <w:tab/>
      </w:r>
      <w:r w:rsidRPr="007C5487">
        <w:rPr>
          <w:color w:val="000000"/>
        </w:rPr>
        <w:tab/>
      </w:r>
      <w:r w:rsidRPr="007C5487">
        <w:rPr>
          <w:color w:val="000000"/>
        </w:rPr>
        <w:tab/>
      </w:r>
      <w:r w:rsidRPr="007C5487">
        <w:rPr>
          <w:color w:val="000000"/>
        </w:rPr>
        <w:tab/>
      </w:r>
      <w:r w:rsidRPr="007C5487">
        <w:rPr>
          <w:b/>
          <w:bCs/>
        </w:rPr>
        <w:t>Abstract</w:t>
      </w:r>
    </w:p>
    <w:p w:rsidR="00CA5494" w:rsidRPr="0085624B" w:rsidRDefault="00F62E35" w:rsidP="00720881">
      <w:pPr>
        <w:autoSpaceDE w:val="0"/>
        <w:autoSpaceDN w:val="0"/>
        <w:adjustRightInd w:val="0"/>
        <w:spacing w:after="0" w:line="240" w:lineRule="auto"/>
        <w:jc w:val="both"/>
        <w:rPr>
          <w:i/>
          <w:iCs/>
        </w:rPr>
      </w:pPr>
      <w:r w:rsidRPr="0085624B">
        <w:rPr>
          <w:i/>
          <w:iCs/>
        </w:rPr>
        <w:t xml:space="preserve">The purpose of this paper is to investigate the effect of investor irrationality on the relationship between investment intensity risk and stock returns in </w:t>
      </w:r>
      <w:proofErr w:type="spellStart"/>
      <w:r w:rsidRPr="0085624B">
        <w:rPr>
          <w:i/>
          <w:iCs/>
        </w:rPr>
        <w:t>Kenya.</w:t>
      </w:r>
      <w:r w:rsidR="00FF11DC" w:rsidRPr="0085624B">
        <w:rPr>
          <w:i/>
          <w:iCs/>
        </w:rPr>
        <w:t>The</w:t>
      </w:r>
      <w:proofErr w:type="spellEnd"/>
      <w:r w:rsidR="00CA5494" w:rsidRPr="0085624B">
        <w:rPr>
          <w:i/>
          <w:iCs/>
        </w:rPr>
        <w:t xml:space="preserve"> study utilized monthly time series data</w:t>
      </w:r>
      <w:r w:rsidR="00FF11DC" w:rsidRPr="0085624B">
        <w:rPr>
          <w:i/>
          <w:iCs/>
        </w:rPr>
        <w:t xml:space="preserve"> </w:t>
      </w:r>
      <w:r w:rsidR="0016244F" w:rsidRPr="0085624B">
        <w:rPr>
          <w:i/>
          <w:iCs/>
        </w:rPr>
        <w:t xml:space="preserve">for </w:t>
      </w:r>
      <w:r w:rsidR="00FF11DC" w:rsidRPr="0085624B">
        <w:rPr>
          <w:i/>
          <w:iCs/>
        </w:rPr>
        <w:t xml:space="preserve">60 companies listed at </w:t>
      </w:r>
      <w:r w:rsidR="00CA5494" w:rsidRPr="0085624B">
        <w:rPr>
          <w:i/>
          <w:iCs/>
        </w:rPr>
        <w:t>the NSE over</w:t>
      </w:r>
      <w:r w:rsidR="00FF11DC" w:rsidRPr="0085624B">
        <w:rPr>
          <w:i/>
          <w:iCs/>
        </w:rPr>
        <w:t xml:space="preserve"> the </w:t>
      </w:r>
      <w:r w:rsidR="0016244F" w:rsidRPr="0085624B">
        <w:rPr>
          <w:i/>
          <w:iCs/>
        </w:rPr>
        <w:t xml:space="preserve">recent 9 years from 2011-2019. </w:t>
      </w:r>
      <w:r w:rsidR="00FF11DC" w:rsidRPr="0085624B">
        <w:rPr>
          <w:i/>
          <w:iCs/>
        </w:rPr>
        <w:t xml:space="preserve">The </w:t>
      </w:r>
      <w:r w:rsidR="0016244F" w:rsidRPr="0085624B">
        <w:rPr>
          <w:i/>
          <w:iCs/>
        </w:rPr>
        <w:t>study</w:t>
      </w:r>
      <w:r w:rsidR="00FF11DC" w:rsidRPr="0085624B">
        <w:rPr>
          <w:i/>
          <w:iCs/>
        </w:rPr>
        <w:t xml:space="preserve"> employed time series regression using </w:t>
      </w:r>
      <w:r w:rsidR="005A6B36" w:rsidRPr="0085624B">
        <w:rPr>
          <w:i/>
          <w:iCs/>
        </w:rPr>
        <w:t>Auto-Regressive Distributed Lag (</w:t>
      </w:r>
      <w:r w:rsidR="00FF11DC" w:rsidRPr="0085624B">
        <w:rPr>
          <w:i/>
          <w:iCs/>
        </w:rPr>
        <w:t>ARDL</w:t>
      </w:r>
      <w:r w:rsidR="005A6B36" w:rsidRPr="0085624B">
        <w:rPr>
          <w:i/>
          <w:iCs/>
        </w:rPr>
        <w:t>)</w:t>
      </w:r>
      <w:r w:rsidR="00DF7F17" w:rsidRPr="0085624B">
        <w:rPr>
          <w:i/>
          <w:iCs/>
        </w:rPr>
        <w:t xml:space="preserve"> </w:t>
      </w:r>
      <w:proofErr w:type="spellStart"/>
      <w:r w:rsidR="00DF7F17" w:rsidRPr="0085624B">
        <w:rPr>
          <w:i/>
          <w:iCs/>
        </w:rPr>
        <w:t>cointegration</w:t>
      </w:r>
      <w:proofErr w:type="spellEnd"/>
      <w:r w:rsidR="00DF7F17" w:rsidRPr="0085624B">
        <w:rPr>
          <w:i/>
          <w:iCs/>
        </w:rPr>
        <w:t xml:space="preserve"> approach and </w:t>
      </w:r>
      <w:r w:rsidR="00FF11DC" w:rsidRPr="0085624B">
        <w:rPr>
          <w:i/>
          <w:iCs/>
        </w:rPr>
        <w:t>E</w:t>
      </w:r>
      <w:r w:rsidR="005A6B36" w:rsidRPr="0085624B">
        <w:rPr>
          <w:i/>
          <w:iCs/>
        </w:rPr>
        <w:t xml:space="preserve">rror </w:t>
      </w:r>
      <w:r w:rsidR="00FF11DC" w:rsidRPr="0085624B">
        <w:rPr>
          <w:i/>
          <w:iCs/>
        </w:rPr>
        <w:t>C</w:t>
      </w:r>
      <w:r w:rsidR="005A6B36" w:rsidRPr="0085624B">
        <w:rPr>
          <w:i/>
          <w:iCs/>
        </w:rPr>
        <w:t>orrection</w:t>
      </w:r>
      <w:r w:rsidR="00FF11DC" w:rsidRPr="0085624B">
        <w:rPr>
          <w:i/>
          <w:iCs/>
        </w:rPr>
        <w:t xml:space="preserve"> </w:t>
      </w:r>
      <w:r w:rsidR="00DF7F17" w:rsidRPr="0085624B">
        <w:rPr>
          <w:i/>
          <w:iCs/>
        </w:rPr>
        <w:t xml:space="preserve">(ECM) </w:t>
      </w:r>
      <w:r w:rsidR="00FF11DC" w:rsidRPr="0085624B">
        <w:rPr>
          <w:i/>
          <w:iCs/>
        </w:rPr>
        <w:t>estimation techniques to examine whether the effect of investment intensity risk on stock returns will vary with level of investor irrationality.</w:t>
      </w:r>
      <w:r w:rsidR="00791596" w:rsidRPr="0085624B">
        <w:rPr>
          <w:i/>
          <w:iCs/>
        </w:rPr>
        <w:t xml:space="preserve"> </w:t>
      </w:r>
      <w:r w:rsidR="00CA5494" w:rsidRPr="0085624B">
        <w:rPr>
          <w:i/>
          <w:iCs/>
        </w:rPr>
        <w:t xml:space="preserve">Consistent with theory, investment intensity variable had more positive loadings on small firms with conservative investment policy, implying they have high exposure to investment risk and tend to yield higher returns. The study did not find evidence to support investment intensity risk </w:t>
      </w:r>
      <w:r w:rsidR="00CA5494" w:rsidRPr="0085624B">
        <w:rPr>
          <w:rFonts w:eastAsia="CIDFont+F2"/>
          <w:i/>
          <w:iCs/>
        </w:rPr>
        <w:t xml:space="preserve">in Kenya. </w:t>
      </w:r>
      <w:r w:rsidR="00CA5494" w:rsidRPr="0085624B">
        <w:rPr>
          <w:i/>
          <w:iCs/>
        </w:rPr>
        <w:t xml:space="preserve">The Investor irrationality variable is however a significant source of systematic risk and can enhance the predictive power of asset pricing models. </w:t>
      </w:r>
      <w:r w:rsidR="00CA5494" w:rsidRPr="0085624B">
        <w:rPr>
          <w:rFonts w:eastAsia="CIDFont+F2"/>
          <w:i/>
          <w:iCs/>
        </w:rPr>
        <w:t>The interaction term between investor irrationality and investment intensity was insignificant suggesting lack of moderating effect.</w:t>
      </w:r>
      <w:r w:rsidR="00CA5494" w:rsidRPr="0085624B">
        <w:rPr>
          <w:i/>
          <w:iCs/>
        </w:rPr>
        <w:t xml:space="preserve">The </w:t>
      </w:r>
      <w:r w:rsidR="0016244F" w:rsidRPr="0085624B">
        <w:rPr>
          <w:i/>
          <w:iCs/>
        </w:rPr>
        <w:t xml:space="preserve">shorter </w:t>
      </w:r>
      <w:r w:rsidR="00CA5494" w:rsidRPr="0085624B">
        <w:rPr>
          <w:i/>
          <w:iCs/>
        </w:rPr>
        <w:t xml:space="preserve">nine year period considered by the study could </w:t>
      </w:r>
      <w:r w:rsidR="0016244F" w:rsidRPr="0085624B">
        <w:rPr>
          <w:i/>
          <w:iCs/>
        </w:rPr>
        <w:t>be a source of</w:t>
      </w:r>
      <w:r w:rsidR="00CA5494" w:rsidRPr="0085624B">
        <w:rPr>
          <w:i/>
          <w:iCs/>
        </w:rPr>
        <w:t xml:space="preserve"> small sample bias</w:t>
      </w:r>
      <w:r w:rsidR="0016244F" w:rsidRPr="0085624B">
        <w:rPr>
          <w:i/>
          <w:iCs/>
        </w:rPr>
        <w:t xml:space="preserve"> in the estimation</w:t>
      </w:r>
      <w:r w:rsidR="00CA5494" w:rsidRPr="0085624B">
        <w:rPr>
          <w:i/>
          <w:iCs/>
        </w:rPr>
        <w:t>. Sample periods for studies in mature markets span for over decades. In this light, making comparison of the findings in this thesis with those of other related studies may not be feasible.</w:t>
      </w:r>
      <w:r w:rsidR="00CA5494" w:rsidRPr="0085624B">
        <w:rPr>
          <w:b/>
          <w:i/>
          <w:iCs/>
        </w:rPr>
        <w:t xml:space="preserve"> </w:t>
      </w:r>
      <w:r w:rsidR="0016244F" w:rsidRPr="0085624B">
        <w:rPr>
          <w:i/>
          <w:iCs/>
        </w:rPr>
        <w:t xml:space="preserve">This study is first of its kind to analyze the moderating effect of investor behavior on asset pricing for an emerging market. The paper contributes to portfolio management and asset pricing literature for an emerging </w:t>
      </w:r>
      <w:proofErr w:type="spellStart"/>
      <w:r w:rsidR="0016244F" w:rsidRPr="0085624B">
        <w:rPr>
          <w:i/>
          <w:iCs/>
        </w:rPr>
        <w:t>market.</w:t>
      </w:r>
      <w:r w:rsidR="00CA5494" w:rsidRPr="0085624B">
        <w:rPr>
          <w:rFonts w:eastAsia="CIDFont+F2"/>
          <w:i/>
          <w:iCs/>
        </w:rPr>
        <w:t>Practical</w:t>
      </w:r>
      <w:proofErr w:type="spellEnd"/>
      <w:r w:rsidR="00CA5494" w:rsidRPr="0085624B">
        <w:rPr>
          <w:i/>
          <w:iCs/>
        </w:rPr>
        <w:t xml:space="preserve"> implication of the findings in this study is that investments at NSE will yield high returns in a bullish market and that portfolio managers can strategically build up their portfolios to allocate more funds in small firms following conservative investment policy to earn higher risk-adjusted returns.</w:t>
      </w:r>
    </w:p>
    <w:p w:rsidR="00CA5494" w:rsidRDefault="00CA5494" w:rsidP="00CA5494">
      <w:pPr>
        <w:autoSpaceDE w:val="0"/>
        <w:autoSpaceDN w:val="0"/>
        <w:adjustRightInd w:val="0"/>
        <w:spacing w:after="0" w:line="240" w:lineRule="auto"/>
      </w:pPr>
    </w:p>
    <w:p w:rsidR="000B235F" w:rsidRPr="007C5487" w:rsidRDefault="000B235F" w:rsidP="007C5487">
      <w:pPr>
        <w:autoSpaceDE w:val="0"/>
        <w:autoSpaceDN w:val="0"/>
        <w:adjustRightInd w:val="0"/>
        <w:spacing w:after="0" w:line="360" w:lineRule="auto"/>
        <w:jc w:val="both"/>
      </w:pPr>
    </w:p>
    <w:p w:rsidR="001901C9" w:rsidRPr="00FA0221" w:rsidRDefault="00F34753" w:rsidP="007C5487">
      <w:pPr>
        <w:pStyle w:val="ListParagraph"/>
        <w:numPr>
          <w:ilvl w:val="0"/>
          <w:numId w:val="25"/>
        </w:numPr>
        <w:autoSpaceDE w:val="0"/>
        <w:autoSpaceDN w:val="0"/>
        <w:adjustRightInd w:val="0"/>
        <w:spacing w:after="0" w:line="360" w:lineRule="auto"/>
        <w:jc w:val="both"/>
        <w:rPr>
          <w:rFonts w:ascii="Times New Roman" w:hAnsi="Times New Roman" w:cs="Times New Roman"/>
          <w:b/>
          <w:sz w:val="24"/>
          <w:szCs w:val="24"/>
        </w:rPr>
      </w:pPr>
      <w:r w:rsidRPr="007C5487">
        <w:rPr>
          <w:rFonts w:ascii="Times New Roman" w:hAnsi="Times New Roman" w:cs="Times New Roman"/>
          <w:b/>
          <w:sz w:val="24"/>
          <w:szCs w:val="24"/>
        </w:rPr>
        <w:t>Introduction</w:t>
      </w:r>
    </w:p>
    <w:p w:rsidR="00781DD8" w:rsidRPr="00FA0221" w:rsidRDefault="00781DD8" w:rsidP="00720881">
      <w:pPr>
        <w:autoSpaceDE w:val="0"/>
        <w:autoSpaceDN w:val="0"/>
        <w:adjustRightInd w:val="0"/>
        <w:spacing w:after="0" w:line="360" w:lineRule="auto"/>
        <w:jc w:val="both"/>
        <w:rPr>
          <w:color w:val="000000"/>
        </w:rPr>
      </w:pPr>
      <w:r w:rsidRPr="00FA0221">
        <w:t>In recent years, n</w:t>
      </w:r>
      <w:r w:rsidR="00B37CC6" w:rsidRPr="00FA0221">
        <w:t>um</w:t>
      </w:r>
      <w:r w:rsidR="009175F8" w:rsidRPr="00FA0221">
        <w:t>erous empirical</w:t>
      </w:r>
      <w:r w:rsidR="000A3E54" w:rsidRPr="00FA0221">
        <w:t xml:space="preserve"> studies have</w:t>
      </w:r>
      <w:r w:rsidR="001901C9" w:rsidRPr="00FA0221">
        <w:t xml:space="preserve"> </w:t>
      </w:r>
      <w:r w:rsidR="009175F8" w:rsidRPr="00FA0221">
        <w:t>ad</w:t>
      </w:r>
      <w:r w:rsidR="00F246BE">
        <w:t xml:space="preserve">vanced an argument that </w:t>
      </w:r>
      <w:r w:rsidR="009175F8" w:rsidRPr="00FA0221">
        <w:t>investment intensity m</w:t>
      </w:r>
      <w:r w:rsidR="00282A6F">
        <w:t xml:space="preserve">ay represent sensitivities to </w:t>
      </w:r>
      <w:r w:rsidR="009175F8" w:rsidRPr="00FA0221">
        <w:t xml:space="preserve">some risk factors in asset pricing models. </w:t>
      </w:r>
      <w:r w:rsidRPr="00FA0221">
        <w:t xml:space="preserve">A section of </w:t>
      </w:r>
      <w:r w:rsidR="00F246BE">
        <w:t xml:space="preserve">asset pricing </w:t>
      </w:r>
      <w:r w:rsidRPr="00FA0221">
        <w:t xml:space="preserve">literature attributes much variation in expected stock returns to </w:t>
      </w:r>
      <w:r w:rsidR="00FA0221" w:rsidRPr="00FA0221">
        <w:t xml:space="preserve">investment </w:t>
      </w:r>
      <w:r w:rsidRPr="00FA0221">
        <w:t xml:space="preserve">growth </w:t>
      </w:r>
      <w:r w:rsidR="00FA0221" w:rsidRPr="00FA0221">
        <w:t>factor</w:t>
      </w:r>
      <w:r w:rsidRPr="00FA0221">
        <w:t xml:space="preserve"> (</w:t>
      </w:r>
      <w:proofErr w:type="spellStart"/>
      <w:r w:rsidRPr="00FA0221">
        <w:t>Aharoni</w:t>
      </w:r>
      <w:proofErr w:type="spellEnd"/>
      <w:r w:rsidRPr="00FA0221">
        <w:t xml:space="preserve">, Grundy &amp; Zeng, 2013, </w:t>
      </w:r>
      <w:proofErr w:type="spellStart"/>
      <w:r w:rsidRPr="00FA0221">
        <w:t>Njogo</w:t>
      </w:r>
      <w:proofErr w:type="spellEnd"/>
      <w:r w:rsidRPr="00FA0221">
        <w:t xml:space="preserve"> </w:t>
      </w:r>
      <w:r w:rsidRPr="00FA0221">
        <w:rPr>
          <w:i/>
        </w:rPr>
        <w:t>et al</w:t>
      </w:r>
      <w:r w:rsidRPr="00FA0221">
        <w:t xml:space="preserve">., 2008). Other studies conclude </w:t>
      </w:r>
      <w:r w:rsidRPr="00FA0221">
        <w:lastRenderedPageBreak/>
        <w:t xml:space="preserve">that adding investment </w:t>
      </w:r>
      <w:r w:rsidR="00FA0221" w:rsidRPr="00FA0221">
        <w:t xml:space="preserve">factor to </w:t>
      </w:r>
      <w:r w:rsidRPr="00FA0221">
        <w:t xml:space="preserve">equilibrium models considerably worsens the Gibbons, Ross and </w:t>
      </w:r>
      <w:proofErr w:type="spellStart"/>
      <w:r w:rsidRPr="00FA0221">
        <w:t>Shanken</w:t>
      </w:r>
      <w:proofErr w:type="spellEnd"/>
      <w:r w:rsidRPr="00FA0221">
        <w:t xml:space="preserve"> (GRS) statistic suggesting that investment</w:t>
      </w:r>
      <w:r w:rsidR="00FA0221" w:rsidRPr="00FA0221">
        <w:t xml:space="preserve"> factor</w:t>
      </w:r>
      <w:r w:rsidRPr="00FA0221">
        <w:t xml:space="preserve"> does not add </w:t>
      </w:r>
      <w:r w:rsidR="00402D64">
        <w:t>predictive value</w:t>
      </w:r>
      <w:r w:rsidRPr="00FA0221">
        <w:t xml:space="preserve"> to asset pricing (Chan, Chen &amp; </w:t>
      </w:r>
      <w:proofErr w:type="spellStart"/>
      <w:r w:rsidRPr="00FA0221">
        <w:t>Lakonishok</w:t>
      </w:r>
      <w:proofErr w:type="spellEnd"/>
      <w:r w:rsidRPr="00FA0221">
        <w:t xml:space="preserve">, 2008; Cooper </w:t>
      </w:r>
      <w:r w:rsidRPr="00FA0221">
        <w:rPr>
          <w:i/>
        </w:rPr>
        <w:t>et al.,</w:t>
      </w:r>
      <w:r w:rsidRPr="00FA0221">
        <w:t xml:space="preserve"> 2008). Titman and </w:t>
      </w:r>
      <w:proofErr w:type="spellStart"/>
      <w:r w:rsidRPr="00FA0221">
        <w:t>Xie</w:t>
      </w:r>
      <w:proofErr w:type="spellEnd"/>
      <w:r w:rsidRPr="00FA0221">
        <w:t xml:space="preserve"> (2004) found that financing choices for US firms that are associated with increase in capital investments results in negative stock returns. </w:t>
      </w:r>
      <w:r w:rsidRPr="00FA0221">
        <w:rPr>
          <w:color w:val="000000"/>
        </w:rPr>
        <w:t xml:space="preserve">Consequently, another </w:t>
      </w:r>
      <w:r w:rsidR="00FA0221" w:rsidRPr="00FA0221">
        <w:rPr>
          <w:color w:val="000000"/>
        </w:rPr>
        <w:t>set</w:t>
      </w:r>
      <w:r w:rsidRPr="00FA0221">
        <w:rPr>
          <w:color w:val="000000"/>
        </w:rPr>
        <w:t xml:space="preserve"> of </w:t>
      </w:r>
      <w:r w:rsidR="00FA0221">
        <w:rPr>
          <w:color w:val="000000"/>
        </w:rPr>
        <w:t xml:space="preserve">asset pricing </w:t>
      </w:r>
      <w:r w:rsidRPr="00FA0221">
        <w:rPr>
          <w:color w:val="000000"/>
        </w:rPr>
        <w:t>studies</w:t>
      </w:r>
      <w:r w:rsidR="00FA0221" w:rsidRPr="00FA0221">
        <w:rPr>
          <w:color w:val="000000"/>
        </w:rPr>
        <w:t xml:space="preserve"> </w:t>
      </w:r>
      <w:r w:rsidR="00FA0221">
        <w:rPr>
          <w:color w:val="000000"/>
        </w:rPr>
        <w:t>have emerged, which focus</w:t>
      </w:r>
      <w:r w:rsidRPr="00FA0221">
        <w:rPr>
          <w:color w:val="000000"/>
        </w:rPr>
        <w:t xml:space="preserve"> on the link between</w:t>
      </w:r>
      <w:r w:rsidR="00FA0221" w:rsidRPr="00FA0221">
        <w:rPr>
          <w:color w:val="000000"/>
        </w:rPr>
        <w:t xml:space="preserve"> </w:t>
      </w:r>
      <w:r w:rsidRPr="00FA0221">
        <w:rPr>
          <w:color w:val="000000"/>
        </w:rPr>
        <w:t xml:space="preserve">investor irrationality and asset returns </w:t>
      </w:r>
      <w:r w:rsidR="00FA0221" w:rsidRPr="00FA0221">
        <w:rPr>
          <w:color w:val="000000"/>
        </w:rPr>
        <w:t>(</w:t>
      </w:r>
      <w:proofErr w:type="spellStart"/>
      <w:r w:rsidR="00FA0221" w:rsidRPr="00FA0221">
        <w:t>Bathia</w:t>
      </w:r>
      <w:proofErr w:type="spellEnd"/>
      <w:r w:rsidR="00FA0221" w:rsidRPr="00FA0221">
        <w:t xml:space="preserve"> and </w:t>
      </w:r>
      <w:proofErr w:type="spellStart"/>
      <w:r w:rsidR="00FA0221" w:rsidRPr="00FA0221">
        <w:t>Bredin</w:t>
      </w:r>
      <w:proofErr w:type="spellEnd"/>
      <w:r w:rsidR="00FA0221" w:rsidRPr="00FA0221">
        <w:t xml:space="preserve">, 2012; </w:t>
      </w:r>
      <w:proofErr w:type="spellStart"/>
      <w:r w:rsidR="00FA0221" w:rsidRPr="00FA0221">
        <w:t>Dalika</w:t>
      </w:r>
      <w:proofErr w:type="spellEnd"/>
      <w:r w:rsidR="00FA0221" w:rsidRPr="00FA0221">
        <w:t xml:space="preserve"> &amp; </w:t>
      </w:r>
      <w:proofErr w:type="spellStart"/>
      <w:r w:rsidR="00FA0221" w:rsidRPr="00FA0221">
        <w:t>Seetharam</w:t>
      </w:r>
      <w:proofErr w:type="spellEnd"/>
      <w:r w:rsidR="00FA0221" w:rsidRPr="00FA0221">
        <w:t>, 2015).</w:t>
      </w:r>
      <w:r w:rsidR="00FA0221" w:rsidRPr="00FA0221">
        <w:rPr>
          <w:color w:val="000000"/>
        </w:rPr>
        <w:t xml:space="preserve"> </w:t>
      </w:r>
      <w:r w:rsidR="00F246BE">
        <w:rPr>
          <w:color w:val="000000"/>
        </w:rPr>
        <w:t xml:space="preserve">These prior </w:t>
      </w:r>
      <w:r w:rsidR="005C0CD5">
        <w:rPr>
          <w:color w:val="000000"/>
        </w:rPr>
        <w:t xml:space="preserve">studies have focused </w:t>
      </w:r>
      <w:r w:rsidRPr="00FA0221">
        <w:rPr>
          <w:color w:val="000000"/>
        </w:rPr>
        <w:t>the</w:t>
      </w:r>
      <w:r w:rsidR="005C0CD5">
        <w:rPr>
          <w:color w:val="000000"/>
        </w:rPr>
        <w:t xml:space="preserve">ir analysis </w:t>
      </w:r>
      <w:r w:rsidR="00FA0221" w:rsidRPr="00FA0221">
        <w:rPr>
          <w:color w:val="000000"/>
        </w:rPr>
        <w:t>in developed markets but</w:t>
      </w:r>
      <w:r w:rsidRPr="00FA0221">
        <w:rPr>
          <w:color w:val="000000"/>
        </w:rPr>
        <w:t xml:space="preserve"> the evidence for tiny</w:t>
      </w:r>
      <w:r w:rsidR="00FA0221" w:rsidRPr="00FA0221">
        <w:rPr>
          <w:color w:val="000000"/>
        </w:rPr>
        <w:t xml:space="preserve"> emerging markets such as Kenya is</w:t>
      </w:r>
      <w:r w:rsidRPr="00FA0221">
        <w:rPr>
          <w:color w:val="000000"/>
        </w:rPr>
        <w:t xml:space="preserve"> limited.</w:t>
      </w:r>
      <w:r w:rsidR="00FA0221" w:rsidRPr="00FA0221">
        <w:rPr>
          <w:color w:val="000000"/>
        </w:rPr>
        <w:t xml:space="preserve"> </w:t>
      </w:r>
      <w:r w:rsidRPr="00FA0221">
        <w:t xml:space="preserve">In </w:t>
      </w:r>
      <w:r w:rsidR="00FA0221" w:rsidRPr="00FA0221">
        <w:t xml:space="preserve">this regard, </w:t>
      </w:r>
      <w:r w:rsidRPr="00FA0221">
        <w:t xml:space="preserve">further investigation on </w:t>
      </w:r>
      <w:r w:rsidR="00DF7F17">
        <w:t xml:space="preserve">the link between </w:t>
      </w:r>
      <w:r w:rsidRPr="00FA0221">
        <w:t>investment</w:t>
      </w:r>
      <w:r w:rsidR="00DF7F17">
        <w:t xml:space="preserve"> and stock returns </w:t>
      </w:r>
      <w:r w:rsidR="00F246BE">
        <w:t>is</w:t>
      </w:r>
      <w:r w:rsidRPr="00FA0221">
        <w:t xml:space="preserve"> necessary so as to offer solution to the conflicting results in prior literature.</w:t>
      </w:r>
    </w:p>
    <w:p w:rsidR="00781DD8" w:rsidRDefault="00781DD8" w:rsidP="00720881">
      <w:pPr>
        <w:autoSpaceDE w:val="0"/>
        <w:autoSpaceDN w:val="0"/>
        <w:adjustRightInd w:val="0"/>
        <w:spacing w:after="0" w:line="360" w:lineRule="auto"/>
        <w:jc w:val="both"/>
      </w:pPr>
    </w:p>
    <w:p w:rsidR="00DA2FB7" w:rsidRDefault="00FA0221" w:rsidP="00720881">
      <w:pPr>
        <w:autoSpaceDE w:val="0"/>
        <w:autoSpaceDN w:val="0"/>
        <w:adjustRightInd w:val="0"/>
        <w:spacing w:after="0" w:line="360" w:lineRule="auto"/>
        <w:jc w:val="both"/>
      </w:pPr>
      <w:r w:rsidRPr="00B74BD2">
        <w:rPr>
          <w:iCs/>
        </w:rPr>
        <w:t xml:space="preserve">Investment factor, commonly referred to as </w:t>
      </w:r>
      <w:r w:rsidR="00DA2FB7">
        <w:rPr>
          <w:iCs/>
        </w:rPr>
        <w:t>investment intensity</w:t>
      </w:r>
      <w:r w:rsidRPr="00B74BD2">
        <w:rPr>
          <w:iCs/>
        </w:rPr>
        <w:t xml:space="preserve"> anomaly</w:t>
      </w:r>
      <w:r w:rsidRPr="00B74BD2">
        <w:t xml:space="preserve"> (Yao, Yu, Zhang &amp; Chen, 2017) is </w:t>
      </w:r>
      <w:r w:rsidRPr="00B74BD2">
        <w:rPr>
          <w:iCs/>
        </w:rPr>
        <w:t>the persistent pattern in stock returns where corporate events associated with asset expansion (contraction) tend to be followed by periods of abnormally low (high) returns</w:t>
      </w:r>
      <w:r w:rsidR="00F5042F">
        <w:rPr>
          <w:iCs/>
        </w:rPr>
        <w:t>. According to</w:t>
      </w:r>
      <w:r w:rsidRPr="00B74BD2">
        <w:t xml:space="preserve"> </w:t>
      </w:r>
      <w:r w:rsidR="00F5042F">
        <w:t xml:space="preserve">the </w:t>
      </w:r>
      <w:r w:rsidRPr="00B74BD2">
        <w:t>fundamental valuation theory</w:t>
      </w:r>
      <w:r w:rsidR="00F5042F">
        <w:t>,</w:t>
      </w:r>
      <w:r w:rsidR="00F5042F" w:rsidRPr="00B74BD2">
        <w:t xml:space="preserve"> a higher expected growth in book equity (investment intensity) would imply a low expected return</w:t>
      </w:r>
      <w:r w:rsidR="00F5042F">
        <w:t xml:space="preserve">, </w:t>
      </w:r>
      <w:r w:rsidR="00F5042F" w:rsidRPr="00B74BD2">
        <w:t>holding book value of equity, current stock price and ex</w:t>
      </w:r>
      <w:r w:rsidR="00F5042F">
        <w:t>pected future earnings constant</w:t>
      </w:r>
      <w:r w:rsidR="00F5042F" w:rsidRPr="00B74BD2">
        <w:t xml:space="preserve">. </w:t>
      </w:r>
      <w:r w:rsidRPr="00B74BD2">
        <w:t xml:space="preserve">Cooper </w:t>
      </w:r>
      <w:r w:rsidRPr="00B74BD2">
        <w:rPr>
          <w:i/>
        </w:rPr>
        <w:t>et al</w:t>
      </w:r>
      <w:r w:rsidRPr="00B74BD2">
        <w:t xml:space="preserve">., (2008) finding show that firms with low asset growth rate outperform those with high asset growth rate. These findings have elicited new interest among researchers to seek explanation for why asset growth effect on stock returns occurs. </w:t>
      </w:r>
      <w:proofErr w:type="spellStart"/>
      <w:r w:rsidRPr="00B74BD2">
        <w:t>Constantinou</w:t>
      </w:r>
      <w:proofErr w:type="spellEnd"/>
      <w:r w:rsidRPr="00B74BD2">
        <w:t xml:space="preserve">, </w:t>
      </w:r>
      <w:proofErr w:type="spellStart"/>
      <w:r w:rsidRPr="00B74BD2">
        <w:t>Karali</w:t>
      </w:r>
      <w:proofErr w:type="spellEnd"/>
      <w:r w:rsidRPr="00B74BD2">
        <w:t xml:space="preserve"> and </w:t>
      </w:r>
      <w:proofErr w:type="spellStart"/>
      <w:r w:rsidRPr="00B74BD2">
        <w:t>Papanastasopoulos</w:t>
      </w:r>
      <w:proofErr w:type="spellEnd"/>
      <w:r w:rsidRPr="00B74BD2">
        <w:t xml:space="preserve"> (2017) argued that </w:t>
      </w:r>
      <w:r w:rsidR="005C0CD5">
        <w:t>investment</w:t>
      </w:r>
      <w:r w:rsidRPr="00B74BD2">
        <w:t xml:space="preserve"> effect is due to either the risk that investors take on when they invest in a firm or to mispricing by investors during the investment-making process. Other </w:t>
      </w:r>
      <w:proofErr w:type="spellStart"/>
      <w:r w:rsidRPr="00B74BD2">
        <w:t>premia</w:t>
      </w:r>
      <w:proofErr w:type="spellEnd"/>
      <w:r w:rsidRPr="00B74BD2">
        <w:t xml:space="preserve"> held constant, an increase in the cost of capital is likely to result in low level of investment because high cost of capital is associated with low accessibility to funding sources. A decrease in the cost of capital, on the other hand, tends to stimulate investment. It is therefore reasonable to conjecture an inverse relationship between a firm’s expected return (cost of capital) and its level of investment.</w:t>
      </w:r>
    </w:p>
    <w:p w:rsidR="003D0A8C" w:rsidRDefault="003D0A8C" w:rsidP="003D0A8C">
      <w:pPr>
        <w:pStyle w:val="Heading3"/>
        <w:spacing w:before="0" w:line="360" w:lineRule="auto"/>
        <w:jc w:val="both"/>
        <w:rPr>
          <w:rFonts w:ascii="Times New Roman" w:eastAsia="Calibri" w:hAnsi="Times New Roman" w:cs="Times New Roman"/>
          <w:b w:val="0"/>
          <w:bCs w:val="0"/>
          <w:color w:val="auto"/>
        </w:rPr>
      </w:pPr>
      <w:bookmarkStart w:id="0" w:name="_Toc78923866"/>
    </w:p>
    <w:p w:rsidR="003D0A8C" w:rsidRPr="00B74BD2" w:rsidRDefault="003D0A8C" w:rsidP="003D0A8C">
      <w:pPr>
        <w:pStyle w:val="Heading3"/>
        <w:spacing w:before="0" w:line="360" w:lineRule="auto"/>
        <w:jc w:val="both"/>
        <w:rPr>
          <w:rFonts w:ascii="Times New Roman" w:hAnsi="Times New Roman" w:cs="Times New Roman"/>
          <w:color w:val="auto"/>
        </w:rPr>
      </w:pPr>
      <w:r w:rsidRPr="00B74BD2">
        <w:rPr>
          <w:rFonts w:ascii="Times New Roman" w:hAnsi="Times New Roman" w:cs="Times New Roman"/>
          <w:color w:val="auto"/>
        </w:rPr>
        <w:t xml:space="preserve">Investor </w:t>
      </w:r>
      <w:bookmarkEnd w:id="0"/>
      <w:r>
        <w:rPr>
          <w:rFonts w:ascii="Times New Roman" w:hAnsi="Times New Roman" w:cs="Times New Roman"/>
          <w:color w:val="auto"/>
        </w:rPr>
        <w:t>Irrationality</w:t>
      </w:r>
    </w:p>
    <w:p w:rsidR="00440FB3" w:rsidRPr="007C5487" w:rsidRDefault="003D0A8C" w:rsidP="00F5042F">
      <w:pPr>
        <w:spacing w:after="0" w:line="360" w:lineRule="auto"/>
        <w:jc w:val="both"/>
      </w:pPr>
      <w:r>
        <w:t>Advancing their argument on investor irrationality,</w:t>
      </w:r>
      <w:r w:rsidRPr="00B74BD2">
        <w:t xml:space="preserve"> Baker and </w:t>
      </w:r>
      <w:proofErr w:type="spellStart"/>
      <w:r w:rsidRPr="00B74BD2">
        <w:t>Wurgler</w:t>
      </w:r>
      <w:proofErr w:type="spellEnd"/>
      <w:r w:rsidRPr="00B74BD2">
        <w:t xml:space="preserve"> (2007</w:t>
      </w:r>
      <w:r>
        <w:t>)</w:t>
      </w:r>
      <w:r w:rsidR="001735D6">
        <w:t xml:space="preserve"> he</w:t>
      </w:r>
      <w:r w:rsidRPr="00B74BD2">
        <w:t xml:space="preserve">ld the view that investors are not fully rational and that stock prices may be affected by </w:t>
      </w:r>
      <w:r w:rsidR="003415E7">
        <w:t xml:space="preserve">other factors apart from </w:t>
      </w:r>
      <w:r w:rsidRPr="00B74BD2">
        <w:t>fundamentals</w:t>
      </w:r>
      <w:r w:rsidR="00442F74">
        <w:t>. Schmeling &amp; Shiller (</w:t>
      </w:r>
      <w:r w:rsidR="009F4CFB">
        <w:t>2009</w:t>
      </w:r>
      <w:r w:rsidR="00442F74">
        <w:t xml:space="preserve">) </w:t>
      </w:r>
      <w:r>
        <w:t xml:space="preserve">opined that investors </w:t>
      </w:r>
      <w:r w:rsidRPr="00B74BD2">
        <w:t xml:space="preserve">have tendency to extrapolate previous experience into the future and thus make investment decisions based on their beliefs. When investors are pessimistic about stocks characterized by series of earnings lower than expected, they tend to avoid them and as a result, such stocks will command higher expected returns. Optimistic beliefs, on the other hand, drive investors to underestimate risk leading to low expected return. Thus, investor </w:t>
      </w:r>
      <w:r w:rsidR="00C577D3">
        <w:t>irrationality</w:t>
      </w:r>
      <w:r w:rsidRPr="00B74BD2">
        <w:t xml:space="preserve"> may induce systematic risk</w:t>
      </w:r>
      <w:r w:rsidRPr="00B74BD2">
        <w:rPr>
          <w:b/>
        </w:rPr>
        <w:t xml:space="preserve"> </w:t>
      </w:r>
      <w:r w:rsidRPr="00B74BD2">
        <w:t xml:space="preserve">which could impact the formation of stock prices and overall trading decisions (Lee &amp; </w:t>
      </w:r>
      <w:proofErr w:type="spellStart"/>
      <w:r w:rsidRPr="00B74BD2">
        <w:t>Swaminathan</w:t>
      </w:r>
      <w:proofErr w:type="spellEnd"/>
      <w:r w:rsidRPr="00B74BD2">
        <w:t xml:space="preserve">, 2002). </w:t>
      </w:r>
      <w:proofErr w:type="spellStart"/>
      <w:r w:rsidRPr="00B74BD2">
        <w:t>Bathia</w:t>
      </w:r>
      <w:proofErr w:type="spellEnd"/>
      <w:r w:rsidRPr="00B74BD2">
        <w:t xml:space="preserve"> and </w:t>
      </w:r>
      <w:proofErr w:type="spellStart"/>
      <w:r w:rsidRPr="00B74BD2">
        <w:t>Bredin</w:t>
      </w:r>
      <w:proofErr w:type="spellEnd"/>
      <w:r w:rsidRPr="00B74BD2">
        <w:t xml:space="preserve"> (2012) showed that </w:t>
      </w:r>
      <w:r w:rsidR="00C577D3">
        <w:t>investor irrationality</w:t>
      </w:r>
      <w:r w:rsidRPr="00B74BD2">
        <w:t xml:space="preserve"> help</w:t>
      </w:r>
      <w:r w:rsidR="00C577D3">
        <w:t>s</w:t>
      </w:r>
      <w:r w:rsidRPr="00B74BD2">
        <w:t xml:space="preserve"> to </w:t>
      </w:r>
      <w:r w:rsidR="00C577D3">
        <w:t>explain</w:t>
      </w:r>
      <w:r w:rsidRPr="00B74BD2">
        <w:t xml:space="preserve"> risk-adjusted returns of individual stocks at the New York Stock Exchange (NYSE). Tran and Nguyen (2013) observed inverse relationship between investor </w:t>
      </w:r>
      <w:proofErr w:type="spellStart"/>
      <w:r w:rsidR="00C577D3">
        <w:t>behavoiour</w:t>
      </w:r>
      <w:proofErr w:type="spellEnd"/>
      <w:r w:rsidRPr="00B74BD2">
        <w:t xml:space="preserve"> and stock returns in the Norwegian and Vietnamese stock markets in contrast with Chuang, Ouyang and Lo (2010) who observed a positive relationship. Regionally, </w:t>
      </w:r>
      <w:r w:rsidR="00C577D3">
        <w:t xml:space="preserve">In Africa, </w:t>
      </w:r>
      <w:proofErr w:type="spellStart"/>
      <w:r w:rsidRPr="00B74BD2">
        <w:t>Dalika</w:t>
      </w:r>
      <w:proofErr w:type="spellEnd"/>
      <w:r w:rsidRPr="00B74BD2">
        <w:t xml:space="preserve"> and </w:t>
      </w:r>
      <w:proofErr w:type="spellStart"/>
      <w:r w:rsidRPr="00B74BD2">
        <w:t>Seetharam</w:t>
      </w:r>
      <w:proofErr w:type="spellEnd"/>
      <w:r w:rsidRPr="00B74BD2">
        <w:t xml:space="preserve"> (2015) </w:t>
      </w:r>
      <w:r w:rsidR="00C577D3">
        <w:t>observed</w:t>
      </w:r>
      <w:r w:rsidRPr="00B74BD2">
        <w:t xml:space="preserve"> strong inverse relationship between investor sentiment and stock returns in South Africa on smaller, high volatility, growth and young stocks. This study</w:t>
      </w:r>
      <w:r w:rsidR="003E70C4">
        <w:t xml:space="preserve"> </w:t>
      </w:r>
      <w:r w:rsidRPr="00B74BD2">
        <w:t>sought to bridge research gap in asset pricing literature</w:t>
      </w:r>
      <w:r w:rsidR="003927A3">
        <w:t xml:space="preserve"> by analyzing the effect of in</w:t>
      </w:r>
      <w:r w:rsidR="003E70C4">
        <w:t>vestor irrationality on the relationship between investment intensity risk and stock returns in Kenya</w:t>
      </w:r>
      <w:r w:rsidRPr="00B74BD2">
        <w:t>.</w:t>
      </w:r>
    </w:p>
    <w:p w:rsidR="00467ED8" w:rsidRPr="007C5487" w:rsidRDefault="00467ED8" w:rsidP="007C5487">
      <w:pPr>
        <w:spacing w:after="0" w:line="360" w:lineRule="auto"/>
        <w:jc w:val="both"/>
      </w:pPr>
    </w:p>
    <w:p w:rsidR="00AA098A" w:rsidRPr="007C5487" w:rsidRDefault="00F15E62" w:rsidP="007C5487">
      <w:pPr>
        <w:spacing w:after="0" w:line="360" w:lineRule="auto"/>
        <w:jc w:val="both"/>
        <w:rPr>
          <w:b/>
        </w:rPr>
      </w:pPr>
      <w:r w:rsidRPr="007C5487">
        <w:rPr>
          <w:b/>
        </w:rPr>
        <w:t>3.</w:t>
      </w:r>
      <w:r w:rsidR="003D3143" w:rsidRPr="007C5487">
        <w:rPr>
          <w:b/>
        </w:rPr>
        <w:t xml:space="preserve"> </w:t>
      </w:r>
      <w:r w:rsidR="00475925" w:rsidRPr="007C5487">
        <w:rPr>
          <w:b/>
        </w:rPr>
        <w:t>Conceptual Framework</w:t>
      </w:r>
      <w:r w:rsidR="00B47061" w:rsidRPr="007C5487">
        <w:rPr>
          <w:b/>
        </w:rPr>
        <w:t xml:space="preserve"> </w:t>
      </w:r>
      <w:bookmarkStart w:id="1" w:name="_Toc24690913"/>
    </w:p>
    <w:p w:rsidR="00172BD6" w:rsidRDefault="00955C8D" w:rsidP="007C5487">
      <w:pPr>
        <w:spacing w:after="0" w:line="360" w:lineRule="auto"/>
        <w:jc w:val="both"/>
        <w:rPr>
          <w:b/>
        </w:rPr>
      </w:pPr>
      <w:r w:rsidRPr="007C5487">
        <w:rPr>
          <w:noProof/>
          <w:color w:val="000000" w:themeColor="text1"/>
        </w:rPr>
        <mc:AlternateContent>
          <mc:Choice Requires="wps">
            <w:drawing>
              <wp:anchor distT="0" distB="0" distL="114300" distR="114300" simplePos="0" relativeHeight="251655168" behindDoc="0" locked="0" layoutInCell="1" allowOverlap="1" wp14:anchorId="081207B8" wp14:editId="36BEDD62">
                <wp:simplePos x="0" y="0"/>
                <wp:positionH relativeFrom="column">
                  <wp:posOffset>2731770</wp:posOffset>
                </wp:positionH>
                <wp:positionV relativeFrom="paragraph">
                  <wp:posOffset>499110</wp:posOffset>
                </wp:positionV>
                <wp:extent cx="0" cy="603885"/>
                <wp:effectExtent l="76200" t="0" r="57150" b="62865"/>
                <wp:wrapNone/>
                <wp:docPr id="4" name="Straight Arrow Connector 4"/>
                <wp:cNvGraphicFramePr/>
                <a:graphic xmlns:a="http://schemas.openxmlformats.org/drawingml/2006/main">
                  <a:graphicData uri="http://schemas.microsoft.com/office/word/2010/wordprocessingShape">
                    <wps:wsp>
                      <wps:cNvCnPr/>
                      <wps:spPr>
                        <a:xfrm>
                          <a:off x="0" y="0"/>
                          <a:ext cx="0" cy="603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006736" id="_x0000_t32" coordsize="21600,21600" o:spt="32" o:oned="t" path="m,l21600,21600e" filled="f">
                <v:path arrowok="t" fillok="f" o:connecttype="none"/>
                <o:lock v:ext="edit" shapetype="t"/>
              </v:shapetype>
              <v:shape id="Straight Arrow Connector 4" o:spid="_x0000_s1026" type="#_x0000_t32" style="position:absolute;margin-left:215.1pt;margin-top:39.3pt;width:0;height:47.5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" strokecolor="black [3213]">
                <v:stroke endarrow="block"/>
              </v:shape>
            </w:pict>
          </mc:Fallback>
        </mc:AlternateContent>
      </w:r>
      <w:r w:rsidR="00B117A9" w:rsidRPr="007C5487">
        <w:rPr>
          <w:noProof/>
          <w:color w:val="000000" w:themeColor="text1"/>
        </w:rPr>
        <mc:AlternateContent>
          <mc:Choice Requires="wps">
            <w:drawing>
              <wp:anchor distT="0" distB="0" distL="114300" distR="114300" simplePos="0" relativeHeight="251659264" behindDoc="0" locked="0" layoutInCell="1" allowOverlap="1" wp14:anchorId="533FD3A3" wp14:editId="52A708A7">
                <wp:simplePos x="0" y="0"/>
                <wp:positionH relativeFrom="column">
                  <wp:posOffset>2731770</wp:posOffset>
                </wp:positionH>
                <wp:positionV relativeFrom="paragraph">
                  <wp:posOffset>493148</wp:posOffset>
                </wp:positionV>
                <wp:extent cx="1314744" cy="600967"/>
                <wp:effectExtent l="0" t="0" r="76200" b="66040"/>
                <wp:wrapNone/>
                <wp:docPr id="7" name="Straight Arrow Connector 7"/>
                <wp:cNvGraphicFramePr/>
                <a:graphic xmlns:a="http://schemas.openxmlformats.org/drawingml/2006/main">
                  <a:graphicData uri="http://schemas.microsoft.com/office/word/2010/wordprocessingShape">
                    <wps:wsp>
                      <wps:cNvCnPr/>
                      <wps:spPr>
                        <a:xfrm>
                          <a:off x="0" y="0"/>
                          <a:ext cx="1314744" cy="600967"/>
                        </a:xfrm>
                        <a:prstGeom prst="straightConnector1">
                          <a:avLst/>
                        </a:prstGeom>
                        <a:ln>
                          <a:solidFill>
                            <a:schemeClr val="tx1"/>
                          </a:solidFill>
                          <a:prstDash val="lgDashDot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DBD9D" id="Straight Arrow Connector 7" o:spid="_x0000_s1026" type="#_x0000_t32" style="position:absolute;margin-left:215.1pt;margin-top:38.85pt;width:103.5pt;height:47.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" strokecolor="black [3213]">
                <v:stroke dashstyle="longDashDotDot" endarrow="block"/>
              </v:shape>
            </w:pict>
          </mc:Fallback>
        </mc:AlternateContent>
      </w:r>
      <w:r w:rsidR="00172BD6" w:rsidRPr="007C5487">
        <w:rPr>
          <w:noProof/>
        </w:rPr>
        <mc:AlternateContent>
          <mc:Choice Requires="wpg">
            <w:drawing>
              <wp:inline distT="0" distB="0" distL="0" distR="0" wp14:anchorId="6D03D2D8" wp14:editId="46BCA30D">
                <wp:extent cx="5231130" cy="1788972"/>
                <wp:effectExtent l="0" t="0" r="26670" b="20955"/>
                <wp:docPr id="23" name="Group 23"/>
                <wp:cNvGraphicFramePr/>
                <a:graphic xmlns:a="http://schemas.openxmlformats.org/drawingml/2006/main">
                  <a:graphicData uri="http://schemas.microsoft.com/office/word/2010/wordprocessingGroup">
                    <wpg:wgp>
                      <wpg:cNvGrpSpPr/>
                      <wpg:grpSpPr>
                        <a:xfrm>
                          <a:off x="0" y="0"/>
                          <a:ext cx="5231130" cy="1788972"/>
                          <a:chOff x="-90844" y="936306"/>
                          <a:chExt cx="5648057" cy="1480503"/>
                        </a:xfrm>
                      </wpg:grpSpPr>
                      <wps:wsp>
                        <wps:cNvPr id="1" name="Rectangle 1"/>
                        <wps:cNvSpPr/>
                        <wps:spPr>
                          <a:xfrm>
                            <a:off x="4269637" y="967615"/>
                            <a:ext cx="1287576" cy="371884"/>
                          </a:xfrm>
                          <a:prstGeom prst="rect">
                            <a:avLst/>
                          </a:prstGeom>
                          <a:solidFill>
                            <a:srgbClr val="FFFFFF"/>
                          </a:solidFill>
                          <a:ln w="9525">
                            <a:noFill/>
                            <a:prstDash val="sysDot"/>
                          </a:ln>
                        </wps:spPr>
                        <wps:txbx>
                          <w:txbxContent>
                            <w:p w:rsidR="005A6B36" w:rsidRPr="00107527" w:rsidRDefault="005A6B36" w:rsidP="00172BD6">
                              <w:pPr>
                                <w:jc w:val="center"/>
                              </w:pPr>
                              <w:r w:rsidRPr="00107527">
                                <w:t>(Dependent Variable)</w:t>
                              </w:r>
                            </w:p>
                          </w:txbxContent>
                        </wps:txbx>
                        <wps:bodyPr vert="horz" wrap="square" lIns="91440" tIns="45720" rIns="91440" bIns="45720" anchor="t">
                          <a:prstTxWarp prst="textNoShape">
                            <a:avLst/>
                          </a:prstTxWarp>
                          <a:noAutofit/>
                        </wps:bodyPr>
                      </wps:wsp>
                      <wpg:grpSp>
                        <wpg:cNvPr id="22" name="Group 22"/>
                        <wpg:cNvGrpSpPr/>
                        <wpg:grpSpPr>
                          <a:xfrm>
                            <a:off x="-90844" y="936306"/>
                            <a:ext cx="5648057" cy="1480503"/>
                            <a:chOff x="-90844" y="936306"/>
                            <a:chExt cx="5648057" cy="1480503"/>
                          </a:xfrm>
                        </wpg:grpSpPr>
                        <wps:wsp>
                          <wps:cNvPr id="6" name="Rectangle 6"/>
                          <wps:cNvSpPr/>
                          <wps:spPr>
                            <a:xfrm>
                              <a:off x="-90842" y="1015675"/>
                              <a:ext cx="1964273" cy="322675"/>
                            </a:xfrm>
                            <a:prstGeom prst="rect">
                              <a:avLst/>
                            </a:prstGeom>
                            <a:solidFill>
                              <a:srgbClr val="FFFFFF"/>
                            </a:solidFill>
                            <a:ln w="9525">
                              <a:noFill/>
                              <a:prstDash val="sysDot"/>
                            </a:ln>
                          </wps:spPr>
                          <wps:txbx>
                            <w:txbxContent>
                              <w:p w:rsidR="005A6B36" w:rsidRPr="00107527" w:rsidRDefault="005A6B36" w:rsidP="00172BD6">
                                <w:pPr>
                                  <w:spacing w:after="0" w:line="240" w:lineRule="auto"/>
                                  <w:jc w:val="center"/>
                                </w:pPr>
                                <w:r>
                                  <w:t>(Independent Variable</w:t>
                                </w:r>
                                <w:r w:rsidRPr="00107527">
                                  <w:t>)</w:t>
                                </w:r>
                              </w:p>
                            </w:txbxContent>
                          </wps:txbx>
                          <wps:bodyPr vert="horz" wrap="square" lIns="91440" tIns="45720" rIns="91440" bIns="45720" anchor="t">
                            <a:prstTxWarp prst="textNoShape">
                              <a:avLst/>
                            </a:prstTxWarp>
                            <a:noAutofit/>
                          </wps:bodyPr>
                        </wps:wsp>
                        <wpg:grpSp>
                          <wpg:cNvPr id="1024" name="Group 1024"/>
                          <wpg:cNvGrpSpPr/>
                          <wpg:grpSpPr>
                            <a:xfrm>
                              <a:off x="-90844" y="936306"/>
                              <a:ext cx="5648057" cy="1480503"/>
                              <a:chOff x="-90850" y="307656"/>
                              <a:chExt cx="5648427" cy="1480503"/>
                            </a:xfrm>
                          </wpg:grpSpPr>
                          <wps:wsp>
                            <wps:cNvPr id="9" name="Rectangle 9"/>
                            <wps:cNvSpPr/>
                            <wps:spPr>
                              <a:xfrm>
                                <a:off x="4325958" y="842076"/>
                                <a:ext cx="1231619" cy="946083"/>
                              </a:xfrm>
                              <a:prstGeom prst="rect">
                                <a:avLst/>
                              </a:prstGeom>
                              <a:solidFill>
                                <a:srgbClr val="FFFFFF"/>
                              </a:solidFill>
                              <a:ln w="9525" cap="flat" cmpd="sng">
                                <a:solidFill>
                                  <a:schemeClr val="tx1"/>
                                </a:solidFill>
                                <a:prstDash val="sysDot"/>
                                <a:miter/>
                                <a:headEnd type="none" w="med" len="med"/>
                                <a:tailEnd type="none" w="med" len="med"/>
                              </a:ln>
                            </wps:spPr>
                            <wps:txbx>
                              <w:txbxContent>
                                <w:p w:rsidR="005A6B36" w:rsidRPr="00C22EAF" w:rsidRDefault="005A6B36" w:rsidP="00172BD6">
                                  <w:pPr>
                                    <w:spacing w:after="0" w:line="240" w:lineRule="auto"/>
                                    <w:jc w:val="center"/>
                                  </w:pPr>
                                  <w:r w:rsidRPr="00C22EAF">
                                    <w:rPr>
                                      <w:bCs/>
                                    </w:rPr>
                                    <w:t>Stock</w:t>
                                  </w:r>
                                </w:p>
                                <w:p w:rsidR="005A6B36" w:rsidRPr="00C22EAF" w:rsidRDefault="005A6B36" w:rsidP="00172BD6">
                                  <w:pPr>
                                    <w:spacing w:after="0" w:line="240" w:lineRule="auto"/>
                                    <w:jc w:val="center"/>
                                  </w:pPr>
                                  <w:r w:rsidRPr="00C22EAF">
                                    <w:rPr>
                                      <w:bCs/>
                                    </w:rPr>
                                    <w:t>Returns</w:t>
                                  </w:r>
                                </w:p>
                                <w:p w:rsidR="005A6B36" w:rsidRPr="000E2CA1" w:rsidRDefault="00A21C56" w:rsidP="00172BD6">
                                  <w:pPr>
                                    <w:spacing w:after="0" w:line="240" w:lineRule="auto"/>
                                    <w:jc w:val="center"/>
                                    <w:rPr>
                                      <w:rFonts w:eastAsia="SimSun"/>
                                    </w:rPr>
                                  </w:pPr>
                                  <m:oMathPara>
                                    <m:oMath>
                                      <m:sSub>
                                        <m:sSubPr>
                                          <m:ctrlPr>
                                            <w:rPr>
                                              <w:rFonts w:ascii="Cambria Math" w:hAnsi="Cambria Math"/>
                                              <w:b/>
                                              <w:i/>
                                              <w:iCs/>
                                            </w:rPr>
                                          </m:ctrlPr>
                                        </m:sSubPr>
                                        <m:e>
                                          <m:r>
                                            <m:rPr>
                                              <m:sty m:val="bi"/>
                                            </m:rPr>
                                            <w:rPr>
                                              <w:rFonts w:ascii="Cambria Math" w:hAnsi="Cambria Math"/>
                                            </w:rPr>
                                            <m:t>R</m:t>
                                          </m:r>
                                        </m:e>
                                        <m:sub>
                                          <m:r>
                                            <m:rPr>
                                              <m:sty m:val="bi"/>
                                            </m:rPr>
                                            <w:rPr>
                                              <w:rFonts w:ascii="Cambria Math" w:hAnsi="Cambria Math"/>
                                            </w:rPr>
                                            <m:t>j,t</m:t>
                                          </m:r>
                                        </m:sub>
                                      </m:sSub>
                                      <m:r>
                                        <m:rPr>
                                          <m:sty m:val="bi"/>
                                        </m:rPr>
                                        <w:rPr>
                                          <w:rFonts w:ascii="Cambria Math" w:hAnsi="Cambria Math"/>
                                        </w:rPr>
                                        <m:t>-</m:t>
                                      </m:r>
                                      <m:sSub>
                                        <m:sSubPr>
                                          <m:ctrlPr>
                                            <w:rPr>
                                              <w:rFonts w:ascii="Cambria Math" w:hAnsi="Cambria Math"/>
                                              <w:b/>
                                              <w:i/>
                                              <w:iCs/>
                                            </w:rPr>
                                          </m:ctrlPr>
                                        </m:sSubPr>
                                        <m:e>
                                          <m:r>
                                            <m:rPr>
                                              <m:sty m:val="bi"/>
                                            </m:rPr>
                                            <w:rPr>
                                              <w:rFonts w:ascii="Cambria Math" w:hAnsi="Cambria Math"/>
                                            </w:rPr>
                                            <m:t>r</m:t>
                                          </m:r>
                                        </m:e>
                                        <m:sub>
                                          <m:r>
                                            <m:rPr>
                                              <m:sty m:val="bi"/>
                                            </m:rPr>
                                            <w:rPr>
                                              <w:rFonts w:ascii="Cambria Math" w:hAnsi="Cambria Math"/>
                                            </w:rPr>
                                            <m:t>f,t</m:t>
                                          </m:r>
                                        </m:sub>
                                      </m:sSub>
                                    </m:oMath>
                                  </m:oMathPara>
                                </w:p>
                                <w:p w:rsidR="005A6B36" w:rsidRDefault="005A6B36" w:rsidP="00172BD6"/>
                              </w:txbxContent>
                            </wps:txbx>
                            <wps:bodyPr vert="horz" wrap="square" lIns="91440" tIns="45720" rIns="91440" bIns="45720" anchor="ctr">
                              <a:prstTxWarp prst="textNoShape">
                                <a:avLst/>
                              </a:prstTxWarp>
                              <a:noAutofit/>
                            </wps:bodyPr>
                          </wps:wsp>
                          <wps:wsp>
                            <wps:cNvPr id="12" name="Rectangle 12"/>
                            <wps:cNvSpPr/>
                            <wps:spPr>
                              <a:xfrm>
                                <a:off x="-90850" y="956361"/>
                                <a:ext cx="2113510" cy="493104"/>
                              </a:xfrm>
                              <a:prstGeom prst="rect">
                                <a:avLst/>
                              </a:prstGeom>
                              <a:solidFill>
                                <a:srgbClr val="FFFFFF"/>
                              </a:solidFill>
                              <a:ln w="9525" cap="flat" cmpd="sng">
                                <a:solidFill>
                                  <a:schemeClr val="tx1"/>
                                </a:solidFill>
                                <a:prstDash val="sysDot"/>
                                <a:miter/>
                                <a:headEnd type="none" w="med" len="med"/>
                                <a:tailEnd type="none" w="med" len="med"/>
                              </a:ln>
                            </wps:spPr>
                            <wps:txbx>
                              <w:txbxContent>
                                <w:p w:rsidR="005A6B36" w:rsidRPr="00C22EAF" w:rsidRDefault="005A6B36" w:rsidP="00172BD6">
                                  <w:pPr>
                                    <w:spacing w:after="0" w:line="240" w:lineRule="auto"/>
                                  </w:pPr>
                                  <w:r>
                                    <w:t>Investment Intensity Risk</w:t>
                                  </w:r>
                                </w:p>
                                <w:p w:rsidR="005A6B36" w:rsidRPr="00C22EAF" w:rsidRDefault="005A6B36" w:rsidP="00D671AC">
                                  <w:pPr>
                                    <w:tabs>
                                      <w:tab w:val="left" w:pos="720"/>
                                    </w:tabs>
                                    <w:spacing w:after="0" w:line="240" w:lineRule="auto"/>
                                    <w:ind w:left="360"/>
                                  </w:pPr>
                                  <w:r w:rsidRPr="00C22EAF">
                                    <w:t>(</w:t>
                                  </w:r>
                                  <w:r>
                                    <w:t>CMA</w:t>
                                  </w:r>
                                  <w:r w:rsidRPr="00C22EAF">
                                    <w:t>)</w:t>
                                  </w:r>
                                </w:p>
                                <w:p w:rsidR="005A6B36" w:rsidRPr="0091274D" w:rsidRDefault="005A6B36" w:rsidP="00172BD6">
                                  <w:pPr>
                                    <w:pStyle w:val="ListParagraph"/>
                                    <w:tabs>
                                      <w:tab w:val="left" w:pos="720"/>
                                    </w:tabs>
                                    <w:spacing w:after="0" w:line="240" w:lineRule="auto"/>
                                    <w:ind w:left="360"/>
                                    <w:rPr>
                                      <w:rFonts w:ascii="Times New Roman" w:hAnsi="Times New Roman" w:cs="Times New Roman"/>
                                      <w:sz w:val="24"/>
                                    </w:rPr>
                                  </w:pPr>
                                </w:p>
                              </w:txbxContent>
                            </wps:txbx>
                            <wps:bodyPr vert="horz" wrap="square" lIns="91440" tIns="45720" rIns="91440" bIns="45720" anchor="t">
                              <a:prstTxWarp prst="textNoShape">
                                <a:avLst/>
                              </a:prstTxWarp>
                              <a:noAutofit/>
                            </wps:bodyPr>
                          </wps:wsp>
                          <wps:wsp>
                            <wps:cNvPr id="14" name="Rectangle 14"/>
                            <wps:cNvSpPr/>
                            <wps:spPr>
                              <a:xfrm>
                                <a:off x="2028422" y="307656"/>
                                <a:ext cx="2049766" cy="403187"/>
                              </a:xfrm>
                              <a:prstGeom prst="rect">
                                <a:avLst/>
                              </a:prstGeom>
                              <a:solidFill>
                                <a:srgbClr val="FFFFFF"/>
                              </a:solidFill>
                              <a:ln w="9525" cap="flat" cmpd="sng">
                                <a:solidFill>
                                  <a:schemeClr val="tx1"/>
                                </a:solidFill>
                                <a:prstDash val="sysDot"/>
                                <a:round/>
                                <a:headEnd type="none" w="med" len="med"/>
                                <a:tailEnd type="none" w="med" len="med"/>
                              </a:ln>
                            </wps:spPr>
                            <wps:txbx>
                              <w:txbxContent>
                                <w:p w:rsidR="005A6B36" w:rsidRPr="009F5782" w:rsidRDefault="005A6B36" w:rsidP="00F5042F">
                                  <w:pPr>
                                    <w:spacing w:after="0" w:line="240" w:lineRule="auto"/>
                                  </w:pPr>
                                  <w:r w:rsidRPr="00C22EAF">
                                    <w:t xml:space="preserve">Investor </w:t>
                                  </w:r>
                                  <w:r>
                                    <w:t>Irrationality</w:t>
                                  </w:r>
                                </w:p>
                              </w:txbxContent>
                            </wps:txbx>
                            <wps:bodyPr vert="horz" wrap="square" lIns="91440" tIns="45720" rIns="91440" bIns="45720" anchor="t">
                              <a:prstTxWarp prst="textNoShape">
                                <a:avLst/>
                              </a:prstTxWarp>
                              <a:noAutofit/>
                            </wps:bodyPr>
                          </wps:wsp>
                          <wps:wsp>
                            <wps:cNvPr id="17" name="Straight Arrow Connector 17"/>
                            <wps:cNvCnPr/>
                            <wps:spPr>
                              <a:xfrm flipV="1">
                                <a:off x="2028394" y="1210820"/>
                                <a:ext cx="2303801" cy="60"/>
                              </a:xfrm>
                              <a:prstGeom prst="straightConnector1">
                                <a:avLst/>
                              </a:prstGeom>
                              <a:ln w="9525" cap="flat" cmpd="sng">
                                <a:solidFill>
                                  <a:schemeClr val="tx1"/>
                                </a:solidFill>
                                <a:prstDash val="sysDot"/>
                                <a:miter/>
                                <a:headEnd type="none" w="med" len="med"/>
                                <a:tailEnd type="triangle" w="med" len="med"/>
                              </a:ln>
                            </wps:spPr>
                            <wps:bodyPr/>
                          </wps:wsp>
                        </wpg:grpSp>
                      </wpg:grpSp>
                    </wpg:wgp>
                  </a:graphicData>
                </a:graphic>
              </wp:inline>
            </w:drawing>
          </mc:Choice>
          <mc:Fallback>
            <w:pict>
              <v:group w14:anchorId="6D03D2D8" id="Group 23" o:spid="_x0000_s1026" style="width:411.9pt;height:140.85pt;mso-position-horizontal-relative:char;mso-position-vertical-relative:line" coordorigin="-908,9363" coordsize="56480,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">
                <v:rect id="Rectangle 1" o:spid="_x0000_s1027" style="position:absolute;left:42696;top:9676;width:12876;height: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mFL8A&#10;AADaAAAADwAAAGRycy9kb3ducmV2LnhtbESPzQrCMBCE74LvEFbwpqkeRKtRRFB68ODfQW9Ls7bF&#10;ZlOaVOvbG0HwtCwzO/PtYtWaUjypdoVlBaNhBII4tbrgTMHlvB1MQTiPrLG0TAre5GC17HYWGGv7&#10;4iM9Tz4TIYRdjApy76tYSpfmZNANbUUctLutDfqw1pnUNb5CuCnlOIom0mDBoSHHijY5pY9TYxS4&#10;m9eHgLFrrvtk1uwP79s9KZTq99r1HISn1v/Nv+tEB3z4vvKd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eYUvwAAANoAAAAPAAAAAAAAAAAAAAAAAJgCAABkcnMvZG93bnJl&#10;di54bWxQSwUGAAAAAAQABAD1AAAAhAMAAAAA&#10;" stroked="f">
                  <v:stroke dashstyle="1 1"/>
                  <v:textbox>
                    <w:txbxContent>
                      <w:p w:rsidR="005A6B36" w:rsidRPr="00107527" w:rsidRDefault="005A6B36" w:rsidP="00172BD6">
                        <w:pPr>
                          <w:jc w:val="center"/>
                        </w:pPr>
                        <w:r w:rsidRPr="00107527">
                          <w:t>(Dependent Variable)</w:t>
                        </w:r>
                      </w:p>
                    </w:txbxContent>
                  </v:textbox>
                </v:rect>
                <v:group id="Group 22" o:spid="_x0000_s1028" style="position:absolute;left:-908;top:9363;width:56480;height:14805" coordorigin="-908,9363" coordsize="56480,14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6" o:spid="_x0000_s1029" style="position:absolute;left:-908;top:10156;width:19642;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x+YLwA&#10;AADaAAAADwAAAGRycy9kb3ducmV2LnhtbERPuwrCMBTdBf8hXMFNUx1Eq1FEUDo4+Bp0uzTXttjc&#10;lCbV+vdGEBwP571YtaYUT6pdYVnBaBiBIE6tLjhTcDlvB1MQziNrLC2Tgjc5WC27nQXG2r74SM+T&#10;z0QIYRejgtz7KpbSpTkZdENbEQfubmuDPsA6k7rGVwg3pRxH0UQaLDg05FjRJqf0cWqMAnfz+hBm&#10;7JrrPpk1+8P7dk8Kpfq9dj0H4an1f/HPnWgFE/heCTd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nH5gvAAAANoAAAAPAAAAAAAAAAAAAAAAAJgCAABkcnMvZG93bnJldi54&#10;bWxQSwUGAAAAAAQABAD1AAAAgQMAAAAA&#10;" stroked="f">
                    <v:stroke dashstyle="1 1"/>
                    <v:textbox>
                      <w:txbxContent>
                        <w:p w:rsidR="005A6B36" w:rsidRPr="00107527" w:rsidRDefault="005A6B36" w:rsidP="00172BD6">
                          <w:pPr>
                            <w:spacing w:after="0" w:line="240" w:lineRule="auto"/>
                            <w:jc w:val="center"/>
                          </w:pPr>
                          <w:r>
                            <w:t>(Independent Variable</w:t>
                          </w:r>
                          <w:r w:rsidRPr="00107527">
                            <w:t>)</w:t>
                          </w:r>
                        </w:p>
                      </w:txbxContent>
                    </v:textbox>
                  </v:rect>
                  <v:group id="Group 1024" o:spid="_x0000_s1030" style="position:absolute;left:-908;top:9363;width:56480;height:14805" coordorigin="-908,3076" coordsize="56484,14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rect id="Rectangle 9" o:spid="_x0000_s1031" style="position:absolute;left:43259;top:8420;width:12316;height:9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DsAA&#10;AADaAAAADwAAAGRycy9kb3ducmV2LnhtbESPQYvCMBSE7wv+h/AEb2uqiKzVKCIIelJrweuzebbF&#10;5qU0sdZ/bwRhj8PMfMMsVp2pREuNKy0rGA0jEMSZ1SXnCtLz9vcPhPPIGivLpOBFDlbL3s8CY22f&#10;fKI28bkIEHYxKii8r2MpXVaQQTe0NXHwbrYx6INscqkbfAa4qeQ4iqbSYMlhocCaNgVl9+RhFEy2&#10;xwu1+73Hw+Z6Tx9twrtrqdSg363nIDx1/j/8be+0ghl8roQb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WDsAAAADaAAAADwAAAAAAAAAAAAAAAACYAgAAZHJzL2Rvd25y&#10;ZXYueG1sUEsFBgAAAAAEAAQA9QAAAIUDAAAAAA==&#10;" strokecolor="black [3213]">
                      <v:stroke dashstyle="1 1"/>
                      <v:textbox>
                        <w:txbxContent>
                          <w:p w:rsidR="005A6B36" w:rsidRPr="00C22EAF" w:rsidRDefault="005A6B36" w:rsidP="00172BD6">
                            <w:pPr>
                              <w:spacing w:after="0" w:line="240" w:lineRule="auto"/>
                              <w:jc w:val="center"/>
                            </w:pPr>
                            <w:r w:rsidRPr="00C22EAF">
                              <w:rPr>
                                <w:bCs/>
                              </w:rPr>
                              <w:t>Stock</w:t>
                            </w:r>
                          </w:p>
                          <w:p w:rsidR="005A6B36" w:rsidRPr="00C22EAF" w:rsidRDefault="005A6B36" w:rsidP="00172BD6">
                            <w:pPr>
                              <w:spacing w:after="0" w:line="240" w:lineRule="auto"/>
                              <w:jc w:val="center"/>
                            </w:pPr>
                            <w:r w:rsidRPr="00C22EAF">
                              <w:rPr>
                                <w:bCs/>
                              </w:rPr>
                              <w:t>Returns</w:t>
                            </w:r>
                          </w:p>
                          <w:p w:rsidR="005A6B36" w:rsidRPr="000E2CA1" w:rsidRDefault="005A6B36" w:rsidP="00172BD6">
                            <w:pPr>
                              <w:spacing w:after="0" w:line="240" w:lineRule="auto"/>
                              <w:jc w:val="center"/>
                              <w:rPr>
                                <w:rFonts w:eastAsia="SimSun"/>
                              </w:rPr>
                            </w:pPr>
                            <m:oMathPara>
                              <m:oMath>
                                <m:sSub>
                                  <m:sSubPr>
                                    <m:ctrlPr>
                                      <w:rPr>
                                        <w:rFonts w:ascii="Cambria Math" w:hAnsi="Cambria Math"/>
                                        <w:b/>
                                        <w:i/>
                                        <w:iCs/>
                                      </w:rPr>
                                    </m:ctrlPr>
                                  </m:sSubPr>
                                  <m:e>
                                    <m:r>
                                      <m:rPr>
                                        <m:sty m:val="bi"/>
                                      </m:rPr>
                                      <w:rPr>
                                        <w:rFonts w:ascii="Cambria Math" w:hAnsi="Cambria Math"/>
                                      </w:rPr>
                                      <m:t>R</m:t>
                                    </m:r>
                                  </m:e>
                                  <m:sub>
                                    <m:r>
                                      <m:rPr>
                                        <m:sty m:val="bi"/>
                                      </m:rPr>
                                      <w:rPr>
                                        <w:rFonts w:ascii="Cambria Math" w:hAnsi="Cambria Math"/>
                                      </w:rPr>
                                      <m:t>j,t</m:t>
                                    </m:r>
                                  </m:sub>
                                </m:sSub>
                                <m:r>
                                  <m:rPr>
                                    <m:sty m:val="bi"/>
                                  </m:rPr>
                                  <w:rPr>
                                    <w:rFonts w:ascii="Cambria Math" w:hAnsi="Cambria Math"/>
                                  </w:rPr>
                                  <m:t>-</m:t>
                                </m:r>
                                <m:sSub>
                                  <m:sSubPr>
                                    <m:ctrlPr>
                                      <w:rPr>
                                        <w:rFonts w:ascii="Cambria Math" w:hAnsi="Cambria Math"/>
                                        <w:b/>
                                        <w:i/>
                                        <w:iCs/>
                                      </w:rPr>
                                    </m:ctrlPr>
                                  </m:sSubPr>
                                  <m:e>
                                    <m:r>
                                      <m:rPr>
                                        <m:sty m:val="bi"/>
                                      </m:rPr>
                                      <w:rPr>
                                        <w:rFonts w:ascii="Cambria Math" w:hAnsi="Cambria Math"/>
                                      </w:rPr>
                                      <m:t>r</m:t>
                                    </m:r>
                                  </m:e>
                                  <m:sub>
                                    <m:r>
                                      <m:rPr>
                                        <m:sty m:val="bi"/>
                                      </m:rPr>
                                      <w:rPr>
                                        <w:rFonts w:ascii="Cambria Math" w:hAnsi="Cambria Math"/>
                                      </w:rPr>
                                      <m:t>f,t</m:t>
                                    </m:r>
                                  </m:sub>
                                </m:sSub>
                              </m:oMath>
                            </m:oMathPara>
                          </w:p>
                          <w:p w:rsidR="005A6B36" w:rsidRDefault="005A6B36" w:rsidP="00172BD6"/>
                        </w:txbxContent>
                      </v:textbox>
                    </v:rect>
                    <v:rect id="Rectangle 12" o:spid="_x0000_s1032" style="position:absolute;left:-908;top:9563;width:21134;height:4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898IA&#10;AADbAAAADwAAAGRycy9kb3ducmV2LnhtbERP32vCMBB+F/wfwgl709RCRDqjbMpAJntQx9jj0dza&#10;suZSkmjr/vplMPDtPr6ft9oMthVX8qFxrGE+y0AQl840XGl4P79MlyBCRDbYOiYNNwqwWY9HKyyM&#10;6/lI11OsRArhUKCGOsaukDKUNVkMM9cRJ+7LeYsxQV9J47FP4baVeZYtpMWGU0ONHW1rKr9PF6tB&#10;faqPuepvSr695hf1s/P753DQ+mEyPD2CiDTEu/jfvTdpfg5/v6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Lz3wgAAANsAAAAPAAAAAAAAAAAAAAAAAJgCAABkcnMvZG93&#10;bnJldi54bWxQSwUGAAAAAAQABAD1AAAAhwMAAAAA&#10;" strokecolor="black [3213]">
                      <v:stroke dashstyle="1 1"/>
                      <v:textbox>
                        <w:txbxContent>
                          <w:p w:rsidR="005A6B36" w:rsidRPr="00C22EAF" w:rsidRDefault="005A6B36" w:rsidP="00172BD6">
                            <w:pPr>
                              <w:spacing w:after="0" w:line="240" w:lineRule="auto"/>
                            </w:pPr>
                            <w:r>
                              <w:t>Investment Intensity Risk</w:t>
                            </w:r>
                          </w:p>
                          <w:p w:rsidR="005A6B36" w:rsidRPr="00C22EAF" w:rsidRDefault="005A6B36" w:rsidP="00D671AC">
                            <w:pPr>
                              <w:tabs>
                                <w:tab w:val="left" w:pos="720"/>
                              </w:tabs>
                              <w:spacing w:after="0" w:line="240" w:lineRule="auto"/>
                              <w:ind w:left="360"/>
                            </w:pPr>
                            <w:r w:rsidRPr="00C22EAF">
                              <w:t>(</w:t>
                            </w:r>
                            <w:r>
                              <w:t>CMA</w:t>
                            </w:r>
                            <w:r w:rsidRPr="00C22EAF">
                              <w:t>)</w:t>
                            </w:r>
                          </w:p>
                          <w:p w:rsidR="005A6B36" w:rsidRPr="0091274D" w:rsidRDefault="005A6B36" w:rsidP="00172BD6">
                            <w:pPr>
                              <w:pStyle w:val="ListParagraph"/>
                              <w:tabs>
                                <w:tab w:val="left" w:pos="720"/>
                              </w:tabs>
                              <w:spacing w:after="0" w:line="240" w:lineRule="auto"/>
                              <w:ind w:left="360"/>
                              <w:rPr>
                                <w:rFonts w:ascii="Times New Roman" w:hAnsi="Times New Roman" w:cs="Times New Roman"/>
                                <w:sz w:val="24"/>
                              </w:rPr>
                            </w:pPr>
                          </w:p>
                        </w:txbxContent>
                      </v:textbox>
                    </v:rect>
                    <v:rect id="Rectangle 14" o:spid="_x0000_s1033" style="position:absolute;left:20284;top:3076;width:20497;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BGMMA&#10;AADbAAAADwAAAGRycy9kb3ducmV2LnhtbERPS2sCMRC+F/wPYQRvNas0pWyN4oOCKD1oS+lx2Ex3&#10;l24mSxLd1V9vhEJv8/E9Z7bobSPO5EPtWMNknIEgLpypudTw+fH2+AIiRGSDjWPScKEAi/ngYYa5&#10;cR0f6HyMpUghHHLUUMXY5lKGoiKLYexa4sT9OG8xJuhLaTx2Kdw2cpplz9JizamhwpbWFRW/x5PV&#10;oL7V10R1FyXfd9OTum78dhX2Wo+G/fIVRKQ+/ov/3FuT5j/B/Zd0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WBGMMAAADbAAAADwAAAAAAAAAAAAAAAACYAgAAZHJzL2Rv&#10;d25yZXYueG1sUEsFBgAAAAAEAAQA9QAAAIgDAAAAAA==&#10;" strokecolor="black [3213]">
                      <v:stroke dashstyle="1 1" joinstyle="round"/>
                      <v:textbox>
                        <w:txbxContent>
                          <w:p w:rsidR="005A6B36" w:rsidRPr="009F5782" w:rsidRDefault="005A6B36" w:rsidP="00F5042F">
                            <w:pPr>
                              <w:spacing w:after="0" w:line="240" w:lineRule="auto"/>
                            </w:pPr>
                            <w:r w:rsidRPr="00C22EAF">
                              <w:t xml:space="preserve">Investor </w:t>
                            </w:r>
                            <w:r>
                              <w:t>Irrationality</w:t>
                            </w:r>
                          </w:p>
                        </w:txbxContent>
                      </v:textbox>
                    </v:rect>
                    <v:shape id="Straight Arrow Connector 17" o:spid="_x0000_s1034" type="#_x0000_t32" style="position:absolute;left:20283;top:12108;width:2303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HXMIAAADbAAAADwAAAGRycy9kb3ducmV2LnhtbERPTWsCMRC9C/0PYQQvolkVq6xGKaLg&#10;sWpBvI2bcbO6mSybqGt/fVMo9DaP9znzZWNL8aDaF44VDPoJCOLM6YJzBV+HTW8KwgdkjaVjUvAi&#10;D8vFW2uOqXZP3tFjH3IRQ9inqMCEUKVS+syQRd93FXHkLq62GCKsc6lrfMZwW8phkrxLiwXHBoMV&#10;rQxlt/3dKjjurofz5TU23WO5GeH682S73yelOu3mYwYiUBP+xX/urY7zJ/D7Szx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qHXMIAAADbAAAADwAAAAAAAAAAAAAA&#10;AAChAgAAZHJzL2Rvd25yZXYueG1sUEsFBgAAAAAEAAQA+QAAAJADAAAAAA==&#10;" strokecolor="black [3213]">
                      <v:stroke dashstyle="1 1" endarrow="block" joinstyle="miter"/>
                    </v:shape>
                  </v:group>
                </v:group>
                <w10:anchorlock/>
              </v:group>
            </w:pict>
          </mc:Fallback>
        </mc:AlternateContent>
      </w:r>
    </w:p>
    <w:p w:rsidR="002068C4" w:rsidRPr="007C5487" w:rsidRDefault="002068C4" w:rsidP="007C5487">
      <w:pPr>
        <w:spacing w:after="0" w:line="360" w:lineRule="auto"/>
        <w:jc w:val="both"/>
        <w:rPr>
          <w:b/>
        </w:rPr>
      </w:pPr>
      <w:r>
        <w:rPr>
          <w:b/>
        </w:rPr>
        <w:t>Figure 1</w:t>
      </w:r>
    </w:p>
    <w:p w:rsidR="00DE6D95" w:rsidRDefault="00DE6D95" w:rsidP="003927A3">
      <w:pPr>
        <w:autoSpaceDE w:val="0"/>
        <w:autoSpaceDN w:val="0"/>
        <w:adjustRightInd w:val="0"/>
        <w:spacing w:after="0" w:line="360" w:lineRule="auto"/>
        <w:jc w:val="both"/>
      </w:pPr>
      <w:bookmarkStart w:id="2" w:name="_Toc24690921"/>
      <w:bookmarkEnd w:id="1"/>
      <w:r>
        <w:rPr>
          <w:rFonts w:ascii="Times-Roman" w:hAnsi="Times-Roman" w:cs="Times-Roman"/>
        </w:rPr>
        <w:t>The network of association</w:t>
      </w:r>
      <w:r w:rsidR="00225581">
        <w:rPr>
          <w:rFonts w:ascii="Times-Roman" w:hAnsi="Times-Roman" w:cs="Times-Roman"/>
        </w:rPr>
        <w:t>s</w:t>
      </w:r>
      <w:r>
        <w:rPr>
          <w:rFonts w:ascii="Times-Roman" w:hAnsi="Times-Roman" w:cs="Times-Roman"/>
        </w:rPr>
        <w:t xml:space="preserve"> in Figure 1 shows that </w:t>
      </w:r>
      <w:r w:rsidR="002068C4" w:rsidRPr="00B74BD2">
        <w:rPr>
          <w:rFonts w:ascii="Times-Roman" w:hAnsi="Times-Roman" w:cs="Times-Roman"/>
        </w:rPr>
        <w:t>investment intensity</w:t>
      </w:r>
      <w:r w:rsidR="00225581">
        <w:rPr>
          <w:rFonts w:ascii="Times-Roman" w:hAnsi="Times-Roman" w:cs="Times-Roman"/>
        </w:rPr>
        <w:t xml:space="preserve"> risk</w:t>
      </w:r>
      <w:r w:rsidR="002068C4" w:rsidRPr="00B74BD2">
        <w:rPr>
          <w:rFonts w:ascii="Times-Roman" w:hAnsi="Times-Roman" w:cs="Times-Roman"/>
        </w:rPr>
        <w:t xml:space="preserve"> would predict returns because high cost of capital implies low net present values of new capital and low investment while and low cost of capital signifies high net present values of new capital and hence high investment.</w:t>
      </w:r>
      <w:r w:rsidR="002068C4">
        <w:rPr>
          <w:rFonts w:ascii="Times-Roman" w:hAnsi="Times-Roman" w:cs="Times-Roman"/>
        </w:rPr>
        <w:t xml:space="preserve"> </w:t>
      </w:r>
      <w:r w:rsidR="002068C4" w:rsidRPr="00B74BD2">
        <w:t xml:space="preserve">Tobin (1969) advanced the Tobin’s Q theory as an alternative proposition for relating the market value of a stock and firm investment. Under this theory, Q is the ratio of the market value of an asset to cost of producing that asset. If this proposition holds, then the level of investment will be inversely related to cost of capital since a decrease in the cost funding tends to stimulate investment. </w:t>
      </w:r>
      <w:proofErr w:type="spellStart"/>
      <w:r>
        <w:t>Behaviourists</w:t>
      </w:r>
      <w:proofErr w:type="spellEnd"/>
      <w:r>
        <w:t xml:space="preserve"> </w:t>
      </w:r>
      <w:r w:rsidRPr="007C5487">
        <w:t xml:space="preserve">argue that all investors do not hold similar belief about the fundamental price of a stock because of inherent </w:t>
      </w:r>
      <w:proofErr w:type="spellStart"/>
      <w:r w:rsidRPr="007C5487">
        <w:t>behavioural</w:t>
      </w:r>
      <w:proofErr w:type="spellEnd"/>
      <w:r w:rsidRPr="007C5487">
        <w:t xml:space="preserve"> biases. This could trigger shifts in demand induced by irrational speculations</w:t>
      </w:r>
      <w:r w:rsidR="00045C54">
        <w:t>.</w:t>
      </w:r>
      <w:r>
        <w:t xml:space="preserve"> </w:t>
      </w:r>
      <w:r w:rsidR="00045C54">
        <w:rPr>
          <w:color w:val="000000"/>
        </w:rPr>
        <w:t>It can then be re</w:t>
      </w:r>
      <w:r w:rsidR="00045C54">
        <w:t xml:space="preserve">ckoned </w:t>
      </w:r>
      <w:r w:rsidRPr="007C5487">
        <w:t xml:space="preserve">that that investor optimism (or pessimism) may induce </w:t>
      </w:r>
      <w:proofErr w:type="spellStart"/>
      <w:r w:rsidRPr="007C5487">
        <w:t>mispricings</w:t>
      </w:r>
      <w:proofErr w:type="spellEnd"/>
      <w:r w:rsidRPr="007C5487">
        <w:t xml:space="preserve"> in the stock market thereby drive prices well above or below that warranted by the fundamental value. Thus, it is reasonable to assume that </w:t>
      </w:r>
      <w:r w:rsidR="00045C54">
        <w:t xml:space="preserve">investor irrationality would influence the effect of investment intensity risk on stock </w:t>
      </w:r>
      <w:r w:rsidR="003927A3">
        <w:t>returns.</w:t>
      </w:r>
    </w:p>
    <w:p w:rsidR="00DE6D95" w:rsidRDefault="00DE6D95" w:rsidP="00F5042F">
      <w:pPr>
        <w:spacing w:after="0" w:line="360" w:lineRule="auto"/>
        <w:jc w:val="both"/>
      </w:pPr>
    </w:p>
    <w:p w:rsidR="00F5042F" w:rsidRPr="00B74BD2" w:rsidRDefault="00F5042F" w:rsidP="00F5042F">
      <w:pPr>
        <w:spacing w:after="0" w:line="360" w:lineRule="auto"/>
        <w:jc w:val="both"/>
      </w:pPr>
      <w:r w:rsidRPr="00B74BD2">
        <w:t xml:space="preserve">To test the </w:t>
      </w:r>
      <w:r w:rsidR="002068C4">
        <w:t xml:space="preserve">investment intensity </w:t>
      </w:r>
      <w:r w:rsidRPr="00B74BD2">
        <w:t>effect, it was hypothesized that:</w:t>
      </w:r>
    </w:p>
    <w:p w:rsidR="00F5042F" w:rsidRDefault="00F5042F" w:rsidP="00F5042F">
      <w:pPr>
        <w:spacing w:after="0" w:line="360" w:lineRule="auto"/>
        <w:jc w:val="both"/>
      </w:pPr>
      <w:r w:rsidRPr="00B74BD2">
        <w:t>H</w:t>
      </w:r>
      <w:r w:rsidRPr="00B74BD2">
        <w:rPr>
          <w:vertAlign w:val="subscript"/>
        </w:rPr>
        <w:t>0</w:t>
      </w:r>
      <w:r w:rsidR="003927A3">
        <w:t>1</w:t>
      </w:r>
      <w:r w:rsidRPr="00B74BD2">
        <w:t>:</w:t>
      </w:r>
      <w:r w:rsidRPr="00B74BD2">
        <w:tab/>
      </w:r>
      <w:r w:rsidR="003927A3">
        <w:t>Investment intensity r</w:t>
      </w:r>
      <w:r w:rsidR="002068C4">
        <w:t>isk</w:t>
      </w:r>
      <w:r w:rsidRPr="00B74BD2">
        <w:t xml:space="preserve"> does not explain stock returns of firms listed at the NSE</w:t>
      </w:r>
    </w:p>
    <w:p w:rsidR="003927A3" w:rsidRPr="007C5487" w:rsidRDefault="003927A3" w:rsidP="003927A3">
      <w:pPr>
        <w:spacing w:after="0" w:line="360" w:lineRule="auto"/>
        <w:jc w:val="both"/>
      </w:pPr>
      <w:r w:rsidRPr="007C5487">
        <w:t>H</w:t>
      </w:r>
      <w:r w:rsidRPr="007C5487">
        <w:rPr>
          <w:vertAlign w:val="subscript"/>
        </w:rPr>
        <w:t>0</w:t>
      </w:r>
      <w:r w:rsidRPr="007C5487">
        <w:t>2:</w:t>
      </w:r>
      <w:r w:rsidRPr="007C5487">
        <w:tab/>
        <w:t xml:space="preserve">The effect of </w:t>
      </w:r>
      <w:r>
        <w:t>investment intensity</w:t>
      </w:r>
      <w:r w:rsidR="001735D6">
        <w:t xml:space="preserve"> risk</w:t>
      </w:r>
      <w:r w:rsidRPr="007C5487">
        <w:t xml:space="preserve"> on stock returns is independent of investor </w:t>
      </w:r>
      <w:r>
        <w:t>irrationality</w:t>
      </w:r>
      <w:r w:rsidRPr="007C5487">
        <w:t xml:space="preserve"> at the NSE</w:t>
      </w:r>
      <w:r>
        <w:t>.</w:t>
      </w:r>
    </w:p>
    <w:p w:rsidR="003927A3" w:rsidRDefault="003927A3" w:rsidP="00F5042F">
      <w:pPr>
        <w:spacing w:after="0" w:line="360" w:lineRule="auto"/>
        <w:jc w:val="both"/>
      </w:pPr>
    </w:p>
    <w:p w:rsidR="0051592B" w:rsidRPr="007C5487" w:rsidRDefault="0051592B" w:rsidP="007C5487">
      <w:pPr>
        <w:spacing w:after="0" w:line="360" w:lineRule="auto"/>
        <w:jc w:val="both"/>
      </w:pPr>
    </w:p>
    <w:p w:rsidR="001B3B3F" w:rsidRPr="007C5487" w:rsidRDefault="001B3B3F" w:rsidP="007C5487">
      <w:pPr>
        <w:pStyle w:val="Heading3"/>
        <w:numPr>
          <w:ilvl w:val="0"/>
          <w:numId w:val="27"/>
        </w:numPr>
        <w:spacing w:before="0" w:line="360" w:lineRule="auto"/>
        <w:ind w:hanging="720"/>
        <w:jc w:val="both"/>
        <w:rPr>
          <w:rFonts w:ascii="Times New Roman" w:hAnsi="Times New Roman" w:cs="Times New Roman"/>
          <w:color w:val="auto"/>
        </w:rPr>
      </w:pPr>
      <w:r w:rsidRPr="007C5487">
        <w:rPr>
          <w:rFonts w:ascii="Times New Roman" w:hAnsi="Times New Roman" w:cs="Times New Roman"/>
          <w:color w:val="auto"/>
        </w:rPr>
        <w:t>Empirical Literature</w:t>
      </w:r>
    </w:p>
    <w:bookmarkEnd w:id="2"/>
    <w:p w:rsidR="003927A3" w:rsidRPr="00B74BD2" w:rsidRDefault="003927A3" w:rsidP="003927A3">
      <w:pPr>
        <w:spacing w:after="0" w:line="360" w:lineRule="auto"/>
        <w:jc w:val="both"/>
      </w:pPr>
      <w:r w:rsidRPr="00B74BD2">
        <w:t xml:space="preserve">The firm investment-return relationship has been investigated under different perspectives. Cooper, </w:t>
      </w:r>
      <w:proofErr w:type="spellStart"/>
      <w:r w:rsidRPr="00B74BD2">
        <w:t>Gulen</w:t>
      </w:r>
      <w:proofErr w:type="spellEnd"/>
      <w:r w:rsidRPr="00B74BD2">
        <w:t xml:space="preserve"> and </w:t>
      </w:r>
      <w:proofErr w:type="spellStart"/>
      <w:r w:rsidRPr="00B74BD2">
        <w:t>Schill</w:t>
      </w:r>
      <w:proofErr w:type="spellEnd"/>
      <w:r w:rsidRPr="00B74BD2">
        <w:t xml:space="preserve"> (2008) studied </w:t>
      </w:r>
      <w:r w:rsidR="00200DA0">
        <w:t>investment</w:t>
      </w:r>
      <w:r w:rsidRPr="00B74BD2">
        <w:t xml:space="preserve"> effect by using change in total assets as a measure for a firm’s growth. Utilizing the US panel data, the study found that firms with low </w:t>
      </w:r>
      <w:r w:rsidR="00200DA0">
        <w:t>investment</w:t>
      </w:r>
      <w:r w:rsidRPr="00B74BD2">
        <w:t xml:space="preserve"> growth earn superior annualized risk-adjusted average returns (9.1% higher). The study further found evidence of asset growth effect in all firm sizes and that total asset growth dominates other determinants in the predictive abilities of cross-sectional returns.  A related study by Nyberg and </w:t>
      </w:r>
      <w:proofErr w:type="spellStart"/>
      <w:r w:rsidRPr="00B74BD2">
        <w:t>Poyry</w:t>
      </w:r>
      <w:proofErr w:type="spellEnd"/>
      <w:r w:rsidRPr="00B74BD2">
        <w:t xml:space="preserve"> (2010) show that </w:t>
      </w:r>
      <w:r w:rsidR="00200DA0">
        <w:t>investment</w:t>
      </w:r>
      <w:r w:rsidRPr="00B74BD2">
        <w:t xml:space="preserve"> effect is significant and strong explanatory factor for momentum returns in the US market.</w:t>
      </w:r>
    </w:p>
    <w:p w:rsidR="003927A3" w:rsidRPr="00B74BD2" w:rsidRDefault="003927A3" w:rsidP="003927A3">
      <w:pPr>
        <w:spacing w:after="0" w:line="360" w:lineRule="auto"/>
        <w:jc w:val="both"/>
      </w:pPr>
    </w:p>
    <w:p w:rsidR="003927A3" w:rsidRPr="00B74BD2" w:rsidRDefault="003927A3" w:rsidP="003927A3">
      <w:pPr>
        <w:spacing w:after="0" w:line="360" w:lineRule="auto"/>
        <w:jc w:val="both"/>
      </w:pPr>
      <w:proofErr w:type="spellStart"/>
      <w:r w:rsidRPr="00B74BD2">
        <w:t>Kilsgard</w:t>
      </w:r>
      <w:proofErr w:type="spellEnd"/>
      <w:r w:rsidRPr="00B74BD2">
        <w:t xml:space="preserve"> and </w:t>
      </w:r>
      <w:proofErr w:type="spellStart"/>
      <w:r w:rsidRPr="00B74BD2">
        <w:t>Wittorf</w:t>
      </w:r>
      <w:proofErr w:type="spellEnd"/>
      <w:r w:rsidRPr="00B74BD2">
        <w:t xml:space="preserve"> (2011) examined the model </w:t>
      </w:r>
      <w:r w:rsidR="00200DA0">
        <w:t xml:space="preserve">that </w:t>
      </w:r>
      <w:r w:rsidRPr="00B74BD2">
        <w:t xml:space="preserve">incorporates factors based on investment and profitability in addition to the market premium. The investment premium was constructed by </w:t>
      </w:r>
      <w:r w:rsidR="00200DA0">
        <w:t>computing excess</w:t>
      </w:r>
      <w:r w:rsidRPr="00B74BD2">
        <w:t xml:space="preserve"> returns on portfolio of firms with high investments </w:t>
      </w:r>
      <w:r w:rsidR="00200DA0">
        <w:t xml:space="preserve">over </w:t>
      </w:r>
      <w:r w:rsidRPr="00B74BD2">
        <w:t xml:space="preserve">those with low investment. The authors argue that the investment variable has similar role as the </w:t>
      </w:r>
      <w:proofErr w:type="spellStart"/>
      <w:r w:rsidRPr="00B74BD2">
        <w:t>Fama</w:t>
      </w:r>
      <w:proofErr w:type="spellEnd"/>
      <w:r w:rsidRPr="00B74BD2">
        <w:t xml:space="preserve"> and French </w:t>
      </w:r>
      <w:r w:rsidR="00200DA0">
        <w:t>value</w:t>
      </w:r>
      <w:r w:rsidRPr="00B74BD2">
        <w:t xml:space="preserve"> premium in the sense that firms with low B/M equity have more growth opportunities, invest more and consequently earn lower expected returns than their high B/M counterparts. The investment premium was computed as the annual change in property, plant, and equipment (PPE) added to the annual change in inventories and divided by the lagged book value of total assets (TA). A total of 369 non-financial UK firms were studied from 2002-2011. Regression analysis was done using the monthly excess returns from 27 portfolios as the dependent variables. The study established that portfolios containing companies with either low or high investment ratio underestimates the returns at 5% level of significance.</w:t>
      </w:r>
    </w:p>
    <w:p w:rsidR="003927A3" w:rsidRPr="00B74BD2" w:rsidRDefault="003927A3" w:rsidP="003927A3">
      <w:pPr>
        <w:spacing w:after="0" w:line="360" w:lineRule="auto"/>
        <w:jc w:val="both"/>
      </w:pPr>
    </w:p>
    <w:p w:rsidR="00556314" w:rsidRDefault="003927A3" w:rsidP="007C5487">
      <w:pPr>
        <w:spacing w:after="0" w:line="360" w:lineRule="auto"/>
        <w:jc w:val="both"/>
      </w:pPr>
      <w:r w:rsidRPr="00B74BD2">
        <w:t xml:space="preserve">Chen (2017) studied the relationship between investment and expected returns using non-financial firms listed on the Shanghai Stock Exchange over the period 1997-2015. The sample included firms with data for at least three years to reduce survivorship bias. </w:t>
      </w:r>
      <w:r w:rsidR="00C665B2">
        <w:t>Investment intensity</w:t>
      </w:r>
      <w:r w:rsidRPr="00B74BD2">
        <w:t xml:space="preserve"> was used to capture the cross-sectional average returns defined as simple year-to-year percentage change in total assets. The study established that </w:t>
      </w:r>
      <w:r w:rsidR="00C665B2">
        <w:t>investment</w:t>
      </w:r>
      <w:r w:rsidRPr="00B74BD2">
        <w:t xml:space="preserve"> factor is positive and significant implying that growth firms have more exposure to </w:t>
      </w:r>
      <w:r w:rsidR="00C665B2">
        <w:t>investment</w:t>
      </w:r>
      <w:r w:rsidRPr="00B74BD2">
        <w:t xml:space="preserve"> risk than their value counterparts. The study findings also indicated that portfolios with low </w:t>
      </w:r>
      <w:r w:rsidR="00C665B2">
        <w:t xml:space="preserve">investment </w:t>
      </w:r>
      <w:r w:rsidRPr="00B74BD2">
        <w:t xml:space="preserve">level tend to have higher equity returns in the next one to three years and vice versa. </w:t>
      </w:r>
      <w:r w:rsidR="00C665B2">
        <w:t>It was also established that</w:t>
      </w:r>
      <w:r w:rsidRPr="00B74BD2">
        <w:t xml:space="preserve"> </w:t>
      </w:r>
      <w:r w:rsidR="00C665B2">
        <w:t>investment</w:t>
      </w:r>
      <w:r w:rsidRPr="00B74BD2">
        <w:t xml:space="preserve"> and expected returns exhibit a negative relationship after controlling for size and B/M ratio.</w:t>
      </w:r>
    </w:p>
    <w:p w:rsidR="00964377" w:rsidRPr="00B74BD2" w:rsidRDefault="00964377" w:rsidP="00964377">
      <w:pPr>
        <w:pStyle w:val="Default"/>
        <w:spacing w:line="360" w:lineRule="auto"/>
        <w:jc w:val="both"/>
        <w:rPr>
          <w:color w:val="auto"/>
        </w:rPr>
      </w:pPr>
    </w:p>
    <w:p w:rsidR="00B7202B" w:rsidRPr="00B74BD2" w:rsidRDefault="00964377" w:rsidP="00B7202B">
      <w:pPr>
        <w:spacing w:after="0" w:line="360" w:lineRule="auto"/>
        <w:jc w:val="both"/>
      </w:pPr>
      <w:proofErr w:type="spellStart"/>
      <w:r w:rsidRPr="00B74BD2">
        <w:t>Bathia</w:t>
      </w:r>
      <w:proofErr w:type="spellEnd"/>
      <w:r w:rsidRPr="00B74BD2">
        <w:t xml:space="preserve"> and </w:t>
      </w:r>
      <w:proofErr w:type="spellStart"/>
      <w:r w:rsidRPr="00B74BD2">
        <w:t>Bredin</w:t>
      </w:r>
      <w:proofErr w:type="spellEnd"/>
      <w:r w:rsidRPr="00B74BD2">
        <w:t xml:space="preserve"> (2012) examined whether incorporating </w:t>
      </w:r>
      <w:r>
        <w:t xml:space="preserve">conditioning information </w:t>
      </w:r>
      <w:r w:rsidRPr="00B74BD2">
        <w:t xml:space="preserve">can help to capture the predictive ability of firm size, value, </w:t>
      </w:r>
      <w:proofErr w:type="spellStart"/>
      <w:r w:rsidRPr="00B74BD2">
        <w:t>liqidity</w:t>
      </w:r>
      <w:proofErr w:type="spellEnd"/>
      <w:r w:rsidRPr="00B74BD2">
        <w:t xml:space="preserve"> and momentum in explaining risk-adjusted returns of individual stocks at the New York Stock Exchange (NYSE). The study incorporated different investor sentiment measures in different asset pricing models to determine if it enhances t</w:t>
      </w:r>
      <w:r>
        <w:t xml:space="preserve">he performance of these models. </w:t>
      </w:r>
      <w:r w:rsidRPr="00B74BD2">
        <w:t xml:space="preserve">Results showed that </w:t>
      </w:r>
      <w:r>
        <w:t xml:space="preserve">investor </w:t>
      </w:r>
      <w:r w:rsidRPr="00B74BD2">
        <w:t xml:space="preserve">sentiment augmented asset </w:t>
      </w:r>
      <w:r>
        <w:t>pricing models often contribute to</w:t>
      </w:r>
      <w:r w:rsidRPr="00B74BD2">
        <w:t xml:space="preserve"> capturing the predictive power of firm fundamental attributes. </w:t>
      </w:r>
      <w:r w:rsidR="005F4A6B">
        <w:t xml:space="preserve">A similar study was undertaken </w:t>
      </w:r>
      <w:r w:rsidR="005F4A6B" w:rsidRPr="00B74BD2">
        <w:t>in the Norwegian and Vietnamese markets from 1991 to 2013.</w:t>
      </w:r>
      <w:r w:rsidR="005F4A6B">
        <w:t xml:space="preserve"> Using ADR index and </w:t>
      </w:r>
      <w:r w:rsidR="005F4A6B" w:rsidRPr="00B74BD2">
        <w:t xml:space="preserve">Consumer Confidence Index as additional components </w:t>
      </w:r>
      <w:r w:rsidR="005F4A6B">
        <w:t xml:space="preserve">of </w:t>
      </w:r>
      <w:r w:rsidR="005F4A6B" w:rsidRPr="00B74BD2">
        <w:t>the sentiment index</w:t>
      </w:r>
      <w:r w:rsidR="005F4A6B">
        <w:t xml:space="preserve">, </w:t>
      </w:r>
      <w:r w:rsidRPr="00B74BD2">
        <w:t xml:space="preserve">Tran and Nguyen (2013) concluded that the effect of </w:t>
      </w:r>
      <w:r w:rsidR="005F4A6B">
        <w:t>investor reaction</w:t>
      </w:r>
      <w:r w:rsidRPr="00B74BD2">
        <w:t xml:space="preserve"> on stock returns is more pro</w:t>
      </w:r>
      <w:r w:rsidR="005F4A6B">
        <w:t>nounced in</w:t>
      </w:r>
      <w:r w:rsidRPr="00B74BD2">
        <w:t xml:space="preserve"> small, volatile, value and stocks that do not pay dividends. The results further revealed a negative association between sentiment and stock returns particularly for firms with negative returns in Norway and firms with volatile returns in Vietnam. These results are </w:t>
      </w:r>
      <w:r w:rsidR="00293C74">
        <w:t>somewhat</w:t>
      </w:r>
      <w:r w:rsidRPr="00B74BD2">
        <w:t xml:space="preserve"> consistent with Baker and </w:t>
      </w:r>
      <w:proofErr w:type="spellStart"/>
      <w:r w:rsidRPr="00B74BD2">
        <w:t>Wurgler</w:t>
      </w:r>
      <w:proofErr w:type="spellEnd"/>
      <w:r w:rsidRPr="00B74BD2">
        <w:t xml:space="preserve"> (2007) in which study the sentiment effect was found to be more profound in stocks that are not easy to value and arbitrage. </w:t>
      </w:r>
      <w:proofErr w:type="spellStart"/>
      <w:r w:rsidR="00B7202B" w:rsidRPr="00B74BD2">
        <w:t>Dalika</w:t>
      </w:r>
      <w:proofErr w:type="spellEnd"/>
      <w:r w:rsidR="00B7202B" w:rsidRPr="00B74BD2">
        <w:t xml:space="preserve"> and </w:t>
      </w:r>
      <w:proofErr w:type="spellStart"/>
      <w:r w:rsidR="00B7202B" w:rsidRPr="00B74BD2">
        <w:t>Seetharam</w:t>
      </w:r>
      <w:proofErr w:type="spellEnd"/>
      <w:r w:rsidR="00B7202B" w:rsidRPr="00B74BD2">
        <w:t xml:space="preserve"> (2015) </w:t>
      </w:r>
      <w:r w:rsidR="00B7202B">
        <w:t>observed strong impact of investor sentiment</w:t>
      </w:r>
      <w:r w:rsidR="00B7202B" w:rsidRPr="00B74BD2">
        <w:t xml:space="preserve"> </w:t>
      </w:r>
      <w:r w:rsidR="00B7202B">
        <w:t xml:space="preserve">equity shares </w:t>
      </w:r>
      <w:r w:rsidR="00B7202B" w:rsidRPr="00B74BD2">
        <w:t>in the South African market</w:t>
      </w:r>
      <w:r w:rsidR="00B7202B">
        <w:t xml:space="preserve"> between 1999 and 2009</w:t>
      </w:r>
      <w:r w:rsidR="00B7202B" w:rsidRPr="00B74BD2">
        <w:t>. During low sentiment periods, subsequent returns were relatively high especially among low market cap, highly volatile, growth and start-up firms. These patterns, however, were seen to reverse when sentiment is high.</w:t>
      </w:r>
      <w:r w:rsidR="00B7202B">
        <w:t xml:space="preserve"> </w:t>
      </w:r>
      <w:r w:rsidR="00B7202B" w:rsidRPr="00B74BD2">
        <w:t xml:space="preserve">The study was premised on the assumptions that mispricing is caused by both an uninformed demand shock and a limit to arbitrage. </w:t>
      </w:r>
    </w:p>
    <w:p w:rsidR="00200DA0" w:rsidRPr="007C5487" w:rsidRDefault="00200DA0" w:rsidP="007C5487">
      <w:pPr>
        <w:spacing w:after="0" w:line="360" w:lineRule="auto"/>
        <w:jc w:val="both"/>
      </w:pPr>
    </w:p>
    <w:p w:rsidR="00316E02" w:rsidRPr="007C5487" w:rsidRDefault="006034B5" w:rsidP="007C5487">
      <w:pPr>
        <w:pStyle w:val="Heading2"/>
        <w:numPr>
          <w:ilvl w:val="0"/>
          <w:numId w:val="27"/>
        </w:numPr>
        <w:spacing w:before="0" w:line="360" w:lineRule="auto"/>
        <w:ind w:hanging="720"/>
        <w:jc w:val="both"/>
        <w:rPr>
          <w:rFonts w:ascii="Times New Roman" w:hAnsi="Times New Roman" w:cs="Times New Roman"/>
          <w:color w:val="auto"/>
          <w:sz w:val="24"/>
          <w:szCs w:val="24"/>
        </w:rPr>
      </w:pPr>
      <w:bookmarkStart w:id="3" w:name="_Toc24690924"/>
      <w:r w:rsidRPr="007C5487">
        <w:rPr>
          <w:rFonts w:ascii="Times New Roman" w:hAnsi="Times New Roman" w:cs="Times New Roman"/>
          <w:color w:val="auto"/>
          <w:sz w:val="24"/>
          <w:szCs w:val="24"/>
        </w:rPr>
        <w:t xml:space="preserve"> </w:t>
      </w:r>
      <w:r w:rsidR="00035B01" w:rsidRPr="007C5487">
        <w:rPr>
          <w:rFonts w:ascii="Times New Roman" w:hAnsi="Times New Roman" w:cs="Times New Roman"/>
          <w:color w:val="auto"/>
          <w:sz w:val="24"/>
          <w:szCs w:val="24"/>
        </w:rPr>
        <w:t>Research G</w:t>
      </w:r>
      <w:r w:rsidR="00D26B10" w:rsidRPr="007C5487">
        <w:rPr>
          <w:rFonts w:ascii="Times New Roman" w:hAnsi="Times New Roman" w:cs="Times New Roman"/>
          <w:color w:val="auto"/>
          <w:sz w:val="24"/>
          <w:szCs w:val="24"/>
        </w:rPr>
        <w:t>aps</w:t>
      </w:r>
      <w:bookmarkEnd w:id="3"/>
    </w:p>
    <w:p w:rsidR="00316E02" w:rsidRPr="007C5487" w:rsidRDefault="008F5BFB" w:rsidP="007C5487">
      <w:pPr>
        <w:spacing w:after="0" w:line="360" w:lineRule="auto"/>
        <w:jc w:val="both"/>
      </w:pPr>
      <w:r>
        <w:t>Whereas</w:t>
      </w:r>
      <w:r w:rsidR="00D26B10" w:rsidRPr="007C5487">
        <w:t xml:space="preserve"> t</w:t>
      </w:r>
      <w:r>
        <w:t xml:space="preserve">raditional finance theory </w:t>
      </w:r>
      <w:r w:rsidR="00D26B10" w:rsidRPr="007C5487">
        <w:t>assumes that investors are rational, the current study considers that asset pricing in emerging markets is more likely to be influenced either category of investors. P</w:t>
      </w:r>
      <w:r w:rsidR="003917C4">
        <w:t>revious</w:t>
      </w:r>
      <w:r w:rsidR="00D26B10" w:rsidRPr="007C5487">
        <w:t xml:space="preserve"> studies have often neglected the role of </w:t>
      </w:r>
      <w:r w:rsidR="003917C4">
        <w:t>investor irrationality</w:t>
      </w:r>
      <w:r w:rsidR="00D26B10" w:rsidRPr="007C5487">
        <w:t xml:space="preserve"> in explaining risk-adjusted returns (Lind &amp; </w:t>
      </w:r>
      <w:proofErr w:type="spellStart"/>
      <w:r w:rsidR="00D26B10" w:rsidRPr="007C5487">
        <w:t>Sparre</w:t>
      </w:r>
      <w:proofErr w:type="spellEnd"/>
      <w:r w:rsidR="00D26B10" w:rsidRPr="007C5487">
        <w:t xml:space="preserve">, 2016). To the best of the researcher’s knowledge, this type of analysis has not yet been conducted using Kenyan data. Thus, the current study adds a new dimension in asset pricing studies by investigating if </w:t>
      </w:r>
      <w:r w:rsidR="003917C4">
        <w:t>investor irrationality</w:t>
      </w:r>
      <w:r w:rsidR="00D26B10" w:rsidRPr="007C5487">
        <w:t xml:space="preserve"> </w:t>
      </w:r>
      <w:r w:rsidR="006C609D" w:rsidRPr="007C5487">
        <w:t xml:space="preserve">would </w:t>
      </w:r>
      <w:r w:rsidR="005E006A" w:rsidRPr="007C5487">
        <w:t xml:space="preserve">moderate the effect of </w:t>
      </w:r>
      <w:r w:rsidR="003917C4">
        <w:t>investment intensity</w:t>
      </w:r>
      <w:r w:rsidR="00864742" w:rsidRPr="007C5487">
        <w:t xml:space="preserve"> risk </w:t>
      </w:r>
      <w:r w:rsidR="005E006A" w:rsidRPr="007C5487">
        <w:t>on stock returns at th</w:t>
      </w:r>
      <w:r w:rsidR="00D26B10" w:rsidRPr="007C5487">
        <w:t xml:space="preserve">e Kenyan equity market. </w:t>
      </w:r>
    </w:p>
    <w:p w:rsidR="0058100E" w:rsidRPr="007C5487" w:rsidRDefault="0058100E" w:rsidP="007C5487">
      <w:pPr>
        <w:autoSpaceDE w:val="0"/>
        <w:autoSpaceDN w:val="0"/>
        <w:adjustRightInd w:val="0"/>
        <w:spacing w:after="0" w:line="360" w:lineRule="auto"/>
        <w:jc w:val="both"/>
        <w:rPr>
          <w:color w:val="000000"/>
        </w:rPr>
      </w:pPr>
    </w:p>
    <w:p w:rsidR="0058100E" w:rsidRPr="007C5487" w:rsidRDefault="00A33E7D" w:rsidP="007C5487">
      <w:pPr>
        <w:autoSpaceDE w:val="0"/>
        <w:autoSpaceDN w:val="0"/>
        <w:adjustRightInd w:val="0"/>
        <w:spacing w:after="0" w:line="360" w:lineRule="auto"/>
        <w:jc w:val="both"/>
      </w:pPr>
      <w:r w:rsidRPr="007C5487">
        <w:t>Prior studies estimate model parameters in time-series regression using ord</w:t>
      </w:r>
      <w:r w:rsidR="001505E0" w:rsidRPr="007C5487">
        <w:t>inary least square (OLS) techniques</w:t>
      </w:r>
      <w:r w:rsidRPr="007C5487">
        <w:t>.</w:t>
      </w:r>
      <w:r w:rsidR="0058100E" w:rsidRPr="007C5487">
        <w:t xml:space="preserve"> However </w:t>
      </w:r>
      <w:r w:rsidR="009A343E">
        <w:t>Engle &amp; Granger (</w:t>
      </w:r>
      <w:r w:rsidR="009A343E" w:rsidRPr="007C5487">
        <w:t>1987</w:t>
      </w:r>
      <w:r w:rsidR="009A343E">
        <w:t>) as cited in Narayan (2005)</w:t>
      </w:r>
      <w:r w:rsidR="0058100E" w:rsidRPr="007C5487">
        <w:t xml:space="preserve"> provide evidence against the employment of standard OLS techniques with findings that beta estimations are biased downwards for securities </w:t>
      </w:r>
      <w:r w:rsidR="0058702D" w:rsidRPr="007C5487">
        <w:t xml:space="preserve">that trade less </w:t>
      </w:r>
      <w:r w:rsidR="0058100E" w:rsidRPr="007C5487">
        <w:t>frequently and upwards for those traded more</w:t>
      </w:r>
      <w:r w:rsidR="001505E0" w:rsidRPr="007C5487">
        <w:t xml:space="preserve"> frequently. </w:t>
      </w:r>
      <w:r w:rsidR="0058100E" w:rsidRPr="007C5487">
        <w:t xml:space="preserve"> </w:t>
      </w:r>
      <w:r w:rsidR="001505E0" w:rsidRPr="007C5487">
        <w:t xml:space="preserve">A significant contribution of this </w:t>
      </w:r>
      <w:r w:rsidR="009B1ED1" w:rsidRPr="007C5487">
        <w:t>article</w:t>
      </w:r>
      <w:r w:rsidR="000A3B7E" w:rsidRPr="007C5487">
        <w:t xml:space="preserve"> therefore is</w:t>
      </w:r>
      <w:r w:rsidR="001505E0" w:rsidRPr="007C5487">
        <w:t xml:space="preserve"> </w:t>
      </w:r>
      <w:r w:rsidR="00630495" w:rsidRPr="007C5487">
        <w:t xml:space="preserve">the use of </w:t>
      </w:r>
      <w:r w:rsidR="00703106" w:rsidRPr="007C5487">
        <w:t>robust esti</w:t>
      </w:r>
      <w:r w:rsidR="000C5F3E">
        <w:t>mation method</w:t>
      </w:r>
      <w:r w:rsidR="000A3B7E" w:rsidRPr="007C5487">
        <w:t xml:space="preserve"> in analysis of variables. </w:t>
      </w:r>
      <w:r w:rsidR="0058100E" w:rsidRPr="007C5487">
        <w:t xml:space="preserve">The </w:t>
      </w:r>
      <w:r w:rsidR="000A3B7E" w:rsidRPr="007C5487">
        <w:t>Auto-Regressive Distributed Lag (ARDL) model was</w:t>
      </w:r>
      <w:r w:rsidR="00C10BFD" w:rsidRPr="007C5487">
        <w:t xml:space="preserve"> applied to analyze </w:t>
      </w:r>
      <w:r w:rsidR="00DF7F17">
        <w:t>long</w:t>
      </w:r>
      <w:r w:rsidR="00C10BFD" w:rsidRPr="007C5487">
        <w:t xml:space="preserve">-run relationship </w:t>
      </w:r>
      <w:r w:rsidR="000A3B7E" w:rsidRPr="007C5487">
        <w:t xml:space="preserve">since </w:t>
      </w:r>
      <w:r w:rsidR="00C10BFD" w:rsidRPr="007C5487">
        <w:t xml:space="preserve">variables </w:t>
      </w:r>
      <w:r w:rsidR="00DF7F17">
        <w:t xml:space="preserve">were integrated of different order i.e. a mixture </w:t>
      </w:r>
      <w:r w:rsidR="00C10BFD" w:rsidRPr="007C5487">
        <w:t xml:space="preserve">of </w:t>
      </w:r>
      <w:r w:rsidR="00C10BFD" w:rsidRPr="007C5487">
        <w:rPr>
          <w:i/>
        </w:rPr>
        <w:t>I</w:t>
      </w:r>
      <w:r w:rsidR="00C10BFD" w:rsidRPr="007C5487">
        <w:t xml:space="preserve">(0) and </w:t>
      </w:r>
      <w:r w:rsidR="00C10BFD" w:rsidRPr="007C5487">
        <w:rPr>
          <w:i/>
        </w:rPr>
        <w:t>I</w:t>
      </w:r>
      <w:r w:rsidR="00C10BFD" w:rsidRPr="007C5487">
        <w:t xml:space="preserve">(1) series. Further, the results of bounds test showed presence of co-integration and hence it </w:t>
      </w:r>
      <w:r w:rsidR="0058702D" w:rsidRPr="007C5487">
        <w:t xml:space="preserve">became </w:t>
      </w:r>
      <w:r w:rsidR="00C10BFD" w:rsidRPr="007C5487">
        <w:t>nec</w:t>
      </w:r>
      <w:r w:rsidR="001505E0" w:rsidRPr="007C5487">
        <w:t xml:space="preserve">essary </w:t>
      </w:r>
      <w:r w:rsidR="00C10BFD" w:rsidRPr="007C5487">
        <w:t xml:space="preserve">to </w:t>
      </w:r>
      <w:r w:rsidR="001505E0" w:rsidRPr="007C5487">
        <w:t xml:space="preserve">estimate </w:t>
      </w:r>
      <w:r w:rsidR="00E2112C">
        <w:t xml:space="preserve">the </w:t>
      </w:r>
      <w:r w:rsidR="000A3B7E" w:rsidRPr="007C5487">
        <w:t xml:space="preserve">Error Correction </w:t>
      </w:r>
      <w:r w:rsidR="00E2112C">
        <w:t>Model (ECM)</w:t>
      </w:r>
      <w:r w:rsidR="001505E0" w:rsidRPr="007C5487">
        <w:t xml:space="preserve"> </w:t>
      </w:r>
      <w:r w:rsidR="0058702D" w:rsidRPr="007C5487">
        <w:t>to infer</w:t>
      </w:r>
      <w:r w:rsidR="000A3B7E" w:rsidRPr="007C5487">
        <w:t xml:space="preserve"> </w:t>
      </w:r>
      <w:r w:rsidR="00E2112C">
        <w:t>short-run coefficients as well as long-run</w:t>
      </w:r>
      <w:r w:rsidR="001505E0" w:rsidRPr="007C5487">
        <w:t xml:space="preserve"> </w:t>
      </w:r>
      <w:r w:rsidR="00413A30" w:rsidRPr="007C5487">
        <w:t xml:space="preserve">causal </w:t>
      </w:r>
      <w:r w:rsidR="001505E0" w:rsidRPr="007C5487">
        <w:t>relationship among the variables</w:t>
      </w:r>
      <w:r w:rsidR="001E232E" w:rsidRPr="007C5487">
        <w:t xml:space="preserve"> (Engle &amp; Granger, 1987)</w:t>
      </w:r>
      <w:r w:rsidR="00C10BFD" w:rsidRPr="007C5487">
        <w:t xml:space="preserve">. </w:t>
      </w:r>
    </w:p>
    <w:p w:rsidR="0058100E" w:rsidRPr="007C5487" w:rsidRDefault="0058100E" w:rsidP="007C5487">
      <w:pPr>
        <w:spacing w:after="0" w:line="360" w:lineRule="auto"/>
        <w:jc w:val="both"/>
      </w:pPr>
    </w:p>
    <w:p w:rsidR="00316E02" w:rsidRPr="007C5487" w:rsidRDefault="00B84826" w:rsidP="00D973FD">
      <w:pPr>
        <w:pStyle w:val="Heading2"/>
        <w:numPr>
          <w:ilvl w:val="0"/>
          <w:numId w:val="29"/>
        </w:numPr>
        <w:spacing w:before="0" w:line="360" w:lineRule="auto"/>
        <w:jc w:val="both"/>
        <w:rPr>
          <w:rFonts w:ascii="Times New Roman" w:hAnsi="Times New Roman" w:cs="Times New Roman"/>
          <w:color w:val="auto"/>
          <w:sz w:val="24"/>
          <w:szCs w:val="24"/>
        </w:rPr>
      </w:pPr>
      <w:r w:rsidRPr="007C5487">
        <w:rPr>
          <w:rFonts w:ascii="Times New Roman" w:hAnsi="Times New Roman" w:cs="Times New Roman"/>
          <w:color w:val="auto"/>
          <w:sz w:val="24"/>
          <w:szCs w:val="24"/>
        </w:rPr>
        <w:t>Data and Methodology</w:t>
      </w:r>
    </w:p>
    <w:p w:rsidR="00404D42" w:rsidRDefault="00282A6F" w:rsidP="00404D42">
      <w:pPr>
        <w:autoSpaceDE w:val="0"/>
        <w:autoSpaceDN w:val="0"/>
        <w:adjustRightInd w:val="0"/>
        <w:spacing w:after="0" w:line="360" w:lineRule="auto"/>
        <w:jc w:val="both"/>
        <w:rPr>
          <w:rFonts w:eastAsia="LiberationSerif"/>
        </w:rPr>
      </w:pPr>
      <w:r w:rsidRPr="007C5487">
        <w:t>The study population comprised all firms listed at the NSE but the final sample frame comprised 60 firms that met specification of selection criteria commonly used in asset pricing literature.</w:t>
      </w:r>
      <w:r>
        <w:t xml:space="preserve"> </w:t>
      </w:r>
      <w:r w:rsidRPr="007C5487">
        <w:t xml:space="preserve">The study utilized </w:t>
      </w:r>
      <w:r w:rsidR="00404D42">
        <w:t>data from annual corporate</w:t>
      </w:r>
      <w:r w:rsidRPr="007C5487">
        <w:t xml:space="preserve"> reports, reports and publications of the central bank of Kenya, the Capital Markets Authority, the NSE annual investor handbook and daily equity price lists. The analysis period from January</w:t>
      </w:r>
      <w:r w:rsidR="00404D42">
        <w:t xml:space="preserve"> 2011 to December 2019 was dict</w:t>
      </w:r>
      <w:r w:rsidRPr="007C5487">
        <w:t>ated by ava</w:t>
      </w:r>
      <w:r w:rsidR="00404D42">
        <w:t xml:space="preserve">ilability of data on variables. </w:t>
      </w:r>
      <w:r w:rsidR="0025791E" w:rsidRPr="007C5487">
        <w:t>At</w:t>
      </w:r>
      <w:r w:rsidR="00007466" w:rsidRPr="007C5487">
        <w:t xml:space="preserve"> </w:t>
      </w:r>
      <w:r w:rsidR="00CB7C6A" w:rsidRPr="007C5487">
        <w:t xml:space="preserve">the end of December each year, stocks were distributed into two </w:t>
      </w:r>
      <w:r w:rsidR="00CB7C6A" w:rsidRPr="007C5487">
        <w:rPr>
          <w:iCs/>
        </w:rPr>
        <w:t>size groups and also</w:t>
      </w:r>
      <w:r w:rsidR="00CB7C6A" w:rsidRPr="007C5487">
        <w:t xml:space="preserve"> </w:t>
      </w:r>
      <w:r w:rsidR="00CB7C6A" w:rsidRPr="007C5487">
        <w:rPr>
          <w:iCs/>
        </w:rPr>
        <w:t xml:space="preserve">independently allocated to two </w:t>
      </w:r>
      <w:r w:rsidR="004F67F5" w:rsidRPr="007C5487">
        <w:rPr>
          <w:iCs/>
        </w:rPr>
        <w:t xml:space="preserve">groups of </w:t>
      </w:r>
      <w:r w:rsidR="00CB7C6A" w:rsidRPr="007C5487">
        <w:rPr>
          <w:iCs/>
        </w:rPr>
        <w:t xml:space="preserve">value, asset growth and </w:t>
      </w:r>
      <w:r w:rsidR="00756558" w:rsidRPr="007C5487">
        <w:rPr>
          <w:iCs/>
        </w:rPr>
        <w:t xml:space="preserve">operating </w:t>
      </w:r>
      <w:r w:rsidR="004F67F5" w:rsidRPr="007C5487">
        <w:rPr>
          <w:iCs/>
        </w:rPr>
        <w:t xml:space="preserve">profitability </w:t>
      </w:r>
      <w:r w:rsidR="002266E1" w:rsidRPr="007C5487">
        <w:t xml:space="preserve">using median breakpoints. </w:t>
      </w:r>
      <w:r w:rsidR="0025791E" w:rsidRPr="007C5487">
        <w:t>The intersection of the independent 2</w:t>
      </w:r>
      <w:r w:rsidR="00F876B3" w:rsidRPr="007C5487">
        <w:t>x2</w:t>
      </w:r>
      <w:r w:rsidR="0025791E" w:rsidRPr="007C5487">
        <w:t xml:space="preserve"> sorting yielded 12 </w:t>
      </w:r>
      <w:proofErr w:type="spellStart"/>
      <w:r w:rsidR="0025791E" w:rsidRPr="007C5487">
        <w:t>porfolios</w:t>
      </w:r>
      <w:proofErr w:type="spellEnd"/>
      <w:r w:rsidR="00B36632" w:rsidRPr="007C5487">
        <w:t xml:space="preserve"> which formed the dependent variables</w:t>
      </w:r>
      <w:r w:rsidR="0025791E" w:rsidRPr="007C5487">
        <w:t xml:space="preserve">. </w:t>
      </w:r>
      <w:r w:rsidR="00B36632" w:rsidRPr="007C5487">
        <w:t>The portfolios were ascribed initials relative to their location in the portfolio sorting matrix. For example, a portfolio at the intersection of small</w:t>
      </w:r>
      <w:r w:rsidR="00C83F21" w:rsidRPr="007C5487">
        <w:t xml:space="preserve"> size </w:t>
      </w:r>
      <w:r w:rsidR="00404D42">
        <w:t>and conservative investment (RSC</w:t>
      </w:r>
      <w:r w:rsidR="00B36632" w:rsidRPr="007C5487">
        <w:t>), big</w:t>
      </w:r>
      <w:r w:rsidR="00C83F21" w:rsidRPr="007C5487">
        <w:t xml:space="preserve"> size</w:t>
      </w:r>
      <w:r w:rsidR="00B36632" w:rsidRPr="007C5487">
        <w:t xml:space="preserve"> and conservative</w:t>
      </w:r>
      <w:r w:rsidR="00C83F21" w:rsidRPr="007C5487">
        <w:t xml:space="preserve"> investment</w:t>
      </w:r>
      <w:r w:rsidR="00B36632" w:rsidRPr="007C5487">
        <w:t xml:space="preserve"> (RBC) and so on. Overall, </w:t>
      </w:r>
      <w:r w:rsidR="00404D42" w:rsidRPr="00B74BD2">
        <w:t xml:space="preserve">small-aggressive firms had the highest </w:t>
      </w:r>
      <w:r w:rsidR="00404D42">
        <w:rPr>
          <w:rFonts w:eastAsia="LiberationSerif"/>
        </w:rPr>
        <w:t xml:space="preserve">average investment </w:t>
      </w:r>
      <w:r w:rsidR="00404D42" w:rsidRPr="00B74BD2">
        <w:rPr>
          <w:rFonts w:eastAsia="LiberationSerif"/>
        </w:rPr>
        <w:t xml:space="preserve">at 31.53% with a minimum rate of 4.53% and a maximum rate of 247.40%. Small conservative firms had the least </w:t>
      </w:r>
      <w:r w:rsidR="00404D42">
        <w:rPr>
          <w:rFonts w:eastAsia="LiberationSerif"/>
        </w:rPr>
        <w:t xml:space="preserve">average </w:t>
      </w:r>
      <w:r w:rsidR="00404D42" w:rsidRPr="00B74BD2">
        <w:rPr>
          <w:rFonts w:eastAsia="LiberationSerif"/>
        </w:rPr>
        <w:t xml:space="preserve">growth rate of -5.60% implying that firms in this portfolio mostly undertook corporate action to reduce their assets on annual basis over the sample period. </w:t>
      </w:r>
    </w:p>
    <w:p w:rsidR="00B7202B" w:rsidRDefault="00B7202B" w:rsidP="00404D42">
      <w:pPr>
        <w:autoSpaceDE w:val="0"/>
        <w:autoSpaceDN w:val="0"/>
        <w:adjustRightInd w:val="0"/>
        <w:spacing w:after="0" w:line="360" w:lineRule="auto"/>
        <w:jc w:val="both"/>
        <w:rPr>
          <w:rFonts w:eastAsia="LiberationSerif"/>
        </w:rPr>
      </w:pPr>
    </w:p>
    <w:p w:rsidR="00A5389A" w:rsidRPr="00A5389A" w:rsidRDefault="008F73D4" w:rsidP="00404D42">
      <w:pPr>
        <w:autoSpaceDE w:val="0"/>
        <w:autoSpaceDN w:val="0"/>
        <w:adjustRightInd w:val="0"/>
        <w:spacing w:after="0" w:line="360" w:lineRule="auto"/>
        <w:jc w:val="both"/>
        <w:rPr>
          <w:rFonts w:eastAsia="LiberationSerif"/>
          <w:b/>
        </w:rPr>
      </w:pPr>
      <w:r>
        <w:rPr>
          <w:rFonts w:eastAsia="LiberationSerif"/>
          <w:b/>
        </w:rPr>
        <w:t xml:space="preserve">6.1 </w:t>
      </w:r>
      <w:r w:rsidR="00D973FD">
        <w:rPr>
          <w:rFonts w:eastAsia="LiberationSerif"/>
          <w:b/>
        </w:rPr>
        <w:t xml:space="preserve">Descriptive </w:t>
      </w:r>
      <w:proofErr w:type="spellStart"/>
      <w:r w:rsidR="00D973FD">
        <w:rPr>
          <w:rFonts w:eastAsia="LiberationSerif"/>
          <w:b/>
        </w:rPr>
        <w:t>Statistiscs</w:t>
      </w:r>
      <w:proofErr w:type="spellEnd"/>
      <w:r w:rsidR="00D973FD">
        <w:rPr>
          <w:rFonts w:eastAsia="LiberationSerif"/>
          <w:b/>
        </w:rPr>
        <w:t xml:space="preserve"> and Diagnostic Tests</w:t>
      </w:r>
    </w:p>
    <w:p w:rsidR="00D973FD" w:rsidRDefault="00D973FD" w:rsidP="007C5487">
      <w:pPr>
        <w:spacing w:after="0" w:line="360" w:lineRule="auto"/>
        <w:jc w:val="both"/>
        <w:rPr>
          <w:b/>
        </w:rPr>
      </w:pPr>
    </w:p>
    <w:p w:rsidR="008C38AD" w:rsidRPr="007C5487" w:rsidRDefault="00D973FD" w:rsidP="007C5487">
      <w:pPr>
        <w:spacing w:after="0" w:line="360" w:lineRule="auto"/>
        <w:jc w:val="both"/>
      </w:pPr>
      <w:r>
        <w:rPr>
          <w:b/>
        </w:rPr>
        <w:t>Ta</w:t>
      </w:r>
      <w:r w:rsidR="009C2714">
        <w:rPr>
          <w:b/>
        </w:rPr>
        <w:t>ble 6</w:t>
      </w:r>
      <w:r w:rsidR="00225140" w:rsidRPr="007C5487">
        <w:rPr>
          <w:b/>
        </w:rPr>
        <w:t>.1</w:t>
      </w:r>
      <w:r w:rsidR="008C38AD" w:rsidRPr="007C5487">
        <w:rPr>
          <w:b/>
        </w:rPr>
        <w:t xml:space="preserve">. Correlation Analysis (Pearson Corr. </w:t>
      </w:r>
      <w:proofErr w:type="spellStart"/>
      <w:r w:rsidR="008C38AD" w:rsidRPr="007C5487">
        <w:rPr>
          <w:b/>
        </w:rPr>
        <w:t>Coef</w:t>
      </w:r>
      <w:proofErr w:type="spellEnd"/>
      <w:r w:rsidR="008C38AD" w:rsidRPr="007C5487">
        <w:t>)</w:t>
      </w:r>
    </w:p>
    <w:tbl>
      <w:tblPr>
        <w:tblStyle w:val="GridTable1Light-Accent3"/>
        <w:tblW w:w="5000" w:type="pct"/>
        <w:tblLook w:val="04A0" w:firstRow="1" w:lastRow="0" w:firstColumn="1" w:lastColumn="0" w:noHBand="0" w:noVBand="1"/>
      </w:tblPr>
      <w:tblGrid>
        <w:gridCol w:w="1300"/>
        <w:gridCol w:w="1509"/>
        <w:gridCol w:w="1206"/>
        <w:gridCol w:w="1409"/>
        <w:gridCol w:w="1508"/>
        <w:gridCol w:w="1205"/>
        <w:gridCol w:w="1105"/>
      </w:tblGrid>
      <w:tr w:rsidR="00D33DCB" w:rsidRPr="007C5487" w:rsidTr="00B7443F">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703" w:type="pct"/>
            <w:tcBorders>
              <w:top w:val="single" w:sz="4" w:space="0" w:color="auto"/>
              <w:bottom w:val="single" w:sz="4" w:space="0" w:color="auto"/>
            </w:tcBorders>
            <w:noWrap/>
            <w:hideMark/>
          </w:tcPr>
          <w:p w:rsidR="00D33DCB" w:rsidRPr="007C5487" w:rsidRDefault="00D33DCB" w:rsidP="007C5487">
            <w:pPr>
              <w:spacing w:after="0" w:line="360" w:lineRule="auto"/>
              <w:jc w:val="both"/>
              <w:rPr>
                <w:rFonts w:eastAsia="Times New Roman"/>
                <w:b w:val="0"/>
              </w:rPr>
            </w:pPr>
          </w:p>
        </w:tc>
        <w:tc>
          <w:tcPr>
            <w:tcW w:w="816" w:type="pct"/>
            <w:tcBorders>
              <w:top w:val="single" w:sz="4" w:space="0" w:color="auto"/>
              <w:bottom w:val="single" w:sz="4" w:space="0" w:color="auto"/>
            </w:tcBorders>
            <w:noWrap/>
            <w:hideMark/>
          </w:tcPr>
          <w:p w:rsidR="00D33DCB" w:rsidRPr="007C5487" w:rsidRDefault="00D33DCB" w:rsidP="007C5487">
            <w:pPr>
              <w:spacing w:after="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b w:val="0"/>
              </w:rPr>
            </w:pPr>
            <w:r w:rsidRPr="007C5487">
              <w:rPr>
                <w:rFonts w:eastAsia="Times New Roman"/>
                <w:b w:val="0"/>
              </w:rPr>
              <w:t>MKT</w:t>
            </w:r>
          </w:p>
        </w:tc>
        <w:tc>
          <w:tcPr>
            <w:tcW w:w="652" w:type="pct"/>
            <w:tcBorders>
              <w:top w:val="single" w:sz="4" w:space="0" w:color="auto"/>
              <w:bottom w:val="single" w:sz="4" w:space="0" w:color="auto"/>
            </w:tcBorders>
            <w:noWrap/>
            <w:hideMark/>
          </w:tcPr>
          <w:p w:rsidR="00D33DCB" w:rsidRPr="007C5487" w:rsidRDefault="00592CAC" w:rsidP="007C5487">
            <w:pPr>
              <w:spacing w:after="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b w:val="0"/>
              </w:rPr>
            </w:pPr>
            <w:r>
              <w:rPr>
                <w:rFonts w:eastAsia="Times New Roman"/>
                <w:b w:val="0"/>
              </w:rPr>
              <w:t>SMB</w:t>
            </w:r>
          </w:p>
        </w:tc>
        <w:tc>
          <w:tcPr>
            <w:tcW w:w="762" w:type="pct"/>
            <w:tcBorders>
              <w:top w:val="single" w:sz="4" w:space="0" w:color="auto"/>
              <w:bottom w:val="single" w:sz="4" w:space="0" w:color="auto"/>
            </w:tcBorders>
            <w:noWrap/>
            <w:hideMark/>
          </w:tcPr>
          <w:p w:rsidR="00D33DCB" w:rsidRPr="007C5487" w:rsidRDefault="00592CAC" w:rsidP="007C5487">
            <w:pPr>
              <w:spacing w:after="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b w:val="0"/>
              </w:rPr>
            </w:pPr>
            <w:r>
              <w:rPr>
                <w:rFonts w:eastAsia="Times New Roman"/>
                <w:b w:val="0"/>
              </w:rPr>
              <w:t>HML</w:t>
            </w:r>
          </w:p>
        </w:tc>
        <w:tc>
          <w:tcPr>
            <w:tcW w:w="816" w:type="pct"/>
            <w:tcBorders>
              <w:top w:val="single" w:sz="4" w:space="0" w:color="auto"/>
              <w:bottom w:val="single" w:sz="4" w:space="0" w:color="auto"/>
            </w:tcBorders>
            <w:noWrap/>
            <w:hideMark/>
          </w:tcPr>
          <w:p w:rsidR="00D33DCB" w:rsidRPr="007C5487" w:rsidRDefault="00592CAC" w:rsidP="007C5487">
            <w:pPr>
              <w:spacing w:after="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b w:val="0"/>
              </w:rPr>
            </w:pPr>
            <w:r>
              <w:rPr>
                <w:rFonts w:eastAsia="Times New Roman"/>
                <w:b w:val="0"/>
              </w:rPr>
              <w:t>RMW</w:t>
            </w:r>
          </w:p>
        </w:tc>
        <w:tc>
          <w:tcPr>
            <w:tcW w:w="652" w:type="pct"/>
            <w:tcBorders>
              <w:top w:val="single" w:sz="4" w:space="0" w:color="auto"/>
              <w:bottom w:val="single" w:sz="4" w:space="0" w:color="auto"/>
            </w:tcBorders>
            <w:noWrap/>
            <w:hideMark/>
          </w:tcPr>
          <w:p w:rsidR="00D33DCB" w:rsidRPr="007C5487" w:rsidRDefault="00592CAC" w:rsidP="007C5487">
            <w:pPr>
              <w:spacing w:after="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b w:val="0"/>
              </w:rPr>
            </w:pPr>
            <w:r>
              <w:rPr>
                <w:rFonts w:eastAsia="Times New Roman"/>
                <w:b w:val="0"/>
              </w:rPr>
              <w:t>INVI</w:t>
            </w:r>
          </w:p>
        </w:tc>
        <w:tc>
          <w:tcPr>
            <w:tcW w:w="598" w:type="pct"/>
            <w:tcBorders>
              <w:top w:val="single" w:sz="4" w:space="0" w:color="auto"/>
              <w:bottom w:val="single" w:sz="4" w:space="0" w:color="auto"/>
            </w:tcBorders>
          </w:tcPr>
          <w:p w:rsidR="00D33DCB" w:rsidRPr="007C5487" w:rsidRDefault="00592CAC" w:rsidP="007C5487">
            <w:pPr>
              <w:spacing w:after="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b w:val="0"/>
              </w:rPr>
            </w:pPr>
            <w:r>
              <w:rPr>
                <w:rFonts w:eastAsia="Times New Roman"/>
                <w:b w:val="0"/>
              </w:rPr>
              <w:t>IIRA</w:t>
            </w:r>
          </w:p>
        </w:tc>
      </w:tr>
      <w:tr w:rsidR="00D33DCB" w:rsidRPr="007C5487" w:rsidTr="00B7443F">
        <w:trPr>
          <w:trHeight w:hRule="exact" w:val="288"/>
        </w:trPr>
        <w:tc>
          <w:tcPr>
            <w:cnfStyle w:val="001000000000" w:firstRow="0" w:lastRow="0" w:firstColumn="1" w:lastColumn="0" w:oddVBand="0" w:evenVBand="0" w:oddHBand="0" w:evenHBand="0" w:firstRowFirstColumn="0" w:firstRowLastColumn="0" w:lastRowFirstColumn="0" w:lastRowLastColumn="0"/>
            <w:tcW w:w="703" w:type="pct"/>
            <w:tcBorders>
              <w:top w:val="single" w:sz="4" w:space="0" w:color="auto"/>
            </w:tcBorders>
            <w:noWrap/>
            <w:hideMark/>
          </w:tcPr>
          <w:p w:rsidR="00D33DCB" w:rsidRPr="007C5487" w:rsidRDefault="00D33DCB" w:rsidP="007C5487">
            <w:pPr>
              <w:spacing w:after="0" w:line="360" w:lineRule="auto"/>
              <w:jc w:val="both"/>
              <w:rPr>
                <w:rFonts w:eastAsia="Times New Roman"/>
                <w:b w:val="0"/>
              </w:rPr>
            </w:pPr>
            <w:r w:rsidRPr="007C5487">
              <w:rPr>
                <w:rFonts w:eastAsia="Times New Roman"/>
                <w:b w:val="0"/>
              </w:rPr>
              <w:t xml:space="preserve">MKT </w:t>
            </w:r>
          </w:p>
        </w:tc>
        <w:tc>
          <w:tcPr>
            <w:tcW w:w="816" w:type="pct"/>
            <w:tcBorders>
              <w:top w:val="single" w:sz="4" w:space="0" w:color="auto"/>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1.0000</w:t>
            </w:r>
          </w:p>
        </w:tc>
        <w:tc>
          <w:tcPr>
            <w:tcW w:w="652" w:type="pct"/>
            <w:tcBorders>
              <w:top w:val="single" w:sz="4" w:space="0" w:color="auto"/>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762" w:type="pct"/>
            <w:tcBorders>
              <w:top w:val="single" w:sz="4" w:space="0" w:color="auto"/>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816" w:type="pct"/>
            <w:tcBorders>
              <w:top w:val="single" w:sz="4" w:space="0" w:color="auto"/>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652" w:type="pct"/>
            <w:tcBorders>
              <w:top w:val="single" w:sz="4" w:space="0" w:color="auto"/>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598" w:type="pct"/>
            <w:tcBorders>
              <w:top w:val="single" w:sz="4" w:space="0" w:color="auto"/>
            </w:tcBorders>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D33DCB" w:rsidRPr="007C5487" w:rsidTr="00B7443F">
        <w:trPr>
          <w:trHeight w:hRule="exact" w:val="288"/>
        </w:trPr>
        <w:tc>
          <w:tcPr>
            <w:cnfStyle w:val="001000000000" w:firstRow="0" w:lastRow="0" w:firstColumn="1" w:lastColumn="0" w:oddVBand="0" w:evenVBand="0" w:oddHBand="0" w:evenHBand="0" w:firstRowFirstColumn="0" w:firstRowLastColumn="0" w:lastRowFirstColumn="0" w:lastRowLastColumn="0"/>
            <w:tcW w:w="703" w:type="pct"/>
            <w:noWrap/>
            <w:hideMark/>
          </w:tcPr>
          <w:p w:rsidR="00D33DCB" w:rsidRPr="007C5487" w:rsidRDefault="00A5389A" w:rsidP="007C5487">
            <w:pPr>
              <w:spacing w:after="0" w:line="360" w:lineRule="auto"/>
              <w:jc w:val="both"/>
              <w:rPr>
                <w:rFonts w:eastAsia="Times New Roman"/>
                <w:b w:val="0"/>
              </w:rPr>
            </w:pPr>
            <w:r>
              <w:rPr>
                <w:rFonts w:eastAsia="Times New Roman"/>
                <w:b w:val="0"/>
              </w:rPr>
              <w:t>SMB</w:t>
            </w:r>
          </w:p>
        </w:tc>
        <w:tc>
          <w:tcPr>
            <w:tcW w:w="816"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-0.2318**</w:t>
            </w:r>
          </w:p>
        </w:tc>
        <w:tc>
          <w:tcPr>
            <w:tcW w:w="65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1.0000</w:t>
            </w:r>
          </w:p>
        </w:tc>
        <w:tc>
          <w:tcPr>
            <w:tcW w:w="76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816"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65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598" w:type="pct"/>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D33DCB" w:rsidRPr="007C5487" w:rsidTr="00B7443F">
        <w:trPr>
          <w:trHeight w:hRule="exact" w:val="288"/>
        </w:trPr>
        <w:tc>
          <w:tcPr>
            <w:cnfStyle w:val="001000000000" w:firstRow="0" w:lastRow="0" w:firstColumn="1" w:lastColumn="0" w:oddVBand="0" w:evenVBand="0" w:oddHBand="0" w:evenHBand="0" w:firstRowFirstColumn="0" w:firstRowLastColumn="0" w:lastRowFirstColumn="0" w:lastRowLastColumn="0"/>
            <w:tcW w:w="703" w:type="pct"/>
            <w:noWrap/>
            <w:hideMark/>
          </w:tcPr>
          <w:p w:rsidR="00D33DCB" w:rsidRPr="007C5487" w:rsidRDefault="00A5389A" w:rsidP="007C5487">
            <w:pPr>
              <w:spacing w:after="0" w:line="360" w:lineRule="auto"/>
              <w:jc w:val="both"/>
              <w:rPr>
                <w:rFonts w:eastAsia="Times New Roman"/>
                <w:b w:val="0"/>
              </w:rPr>
            </w:pPr>
            <w:r>
              <w:rPr>
                <w:rFonts w:eastAsia="Times New Roman"/>
                <w:b w:val="0"/>
              </w:rPr>
              <w:t>HML</w:t>
            </w:r>
            <w:r w:rsidR="00D33DCB" w:rsidRPr="007C5487">
              <w:rPr>
                <w:rFonts w:eastAsia="Times New Roman"/>
                <w:b w:val="0"/>
              </w:rPr>
              <w:t xml:space="preserve"> </w:t>
            </w:r>
          </w:p>
        </w:tc>
        <w:tc>
          <w:tcPr>
            <w:tcW w:w="816"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0.0037</w:t>
            </w:r>
          </w:p>
        </w:tc>
        <w:tc>
          <w:tcPr>
            <w:tcW w:w="65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-0.1206</w:t>
            </w:r>
          </w:p>
        </w:tc>
        <w:tc>
          <w:tcPr>
            <w:tcW w:w="76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1.0000</w:t>
            </w:r>
          </w:p>
        </w:tc>
        <w:tc>
          <w:tcPr>
            <w:tcW w:w="816"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65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598" w:type="pct"/>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D33DCB" w:rsidRPr="007C5487" w:rsidTr="00B7443F">
        <w:trPr>
          <w:trHeight w:hRule="exact" w:val="288"/>
        </w:trPr>
        <w:tc>
          <w:tcPr>
            <w:cnfStyle w:val="001000000000" w:firstRow="0" w:lastRow="0" w:firstColumn="1" w:lastColumn="0" w:oddVBand="0" w:evenVBand="0" w:oddHBand="0" w:evenHBand="0" w:firstRowFirstColumn="0" w:firstRowLastColumn="0" w:lastRowFirstColumn="0" w:lastRowLastColumn="0"/>
            <w:tcW w:w="703" w:type="pct"/>
            <w:noWrap/>
            <w:hideMark/>
          </w:tcPr>
          <w:p w:rsidR="00D33DCB" w:rsidRPr="007C5487" w:rsidRDefault="00A5389A" w:rsidP="007C5487">
            <w:pPr>
              <w:spacing w:after="0" w:line="360" w:lineRule="auto"/>
              <w:jc w:val="both"/>
              <w:rPr>
                <w:rFonts w:eastAsia="Times New Roman"/>
                <w:b w:val="0"/>
              </w:rPr>
            </w:pPr>
            <w:r>
              <w:rPr>
                <w:rFonts w:eastAsia="Times New Roman"/>
                <w:b w:val="0"/>
              </w:rPr>
              <w:t>RMW</w:t>
            </w:r>
          </w:p>
        </w:tc>
        <w:tc>
          <w:tcPr>
            <w:tcW w:w="816"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0.0627</w:t>
            </w:r>
          </w:p>
        </w:tc>
        <w:tc>
          <w:tcPr>
            <w:tcW w:w="65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0.1697</w:t>
            </w:r>
          </w:p>
        </w:tc>
        <w:tc>
          <w:tcPr>
            <w:tcW w:w="76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0.2446**</w:t>
            </w:r>
          </w:p>
        </w:tc>
        <w:tc>
          <w:tcPr>
            <w:tcW w:w="816"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1.0000</w:t>
            </w:r>
          </w:p>
        </w:tc>
        <w:tc>
          <w:tcPr>
            <w:tcW w:w="652" w:type="pct"/>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c>
          <w:tcPr>
            <w:tcW w:w="598" w:type="pct"/>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D33DCB" w:rsidRPr="007C5487" w:rsidTr="00B7443F">
        <w:trPr>
          <w:trHeight w:hRule="exact" w:val="288"/>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D6E3BC" w:themeColor="accent3" w:themeTint="66"/>
            </w:tcBorders>
            <w:noWrap/>
            <w:hideMark/>
          </w:tcPr>
          <w:p w:rsidR="00D33DCB" w:rsidRPr="007C5487" w:rsidRDefault="00A5389A" w:rsidP="007C5487">
            <w:pPr>
              <w:spacing w:after="0" w:line="360" w:lineRule="auto"/>
              <w:jc w:val="both"/>
              <w:rPr>
                <w:rFonts w:eastAsia="Times New Roman"/>
                <w:b w:val="0"/>
              </w:rPr>
            </w:pPr>
            <w:r>
              <w:rPr>
                <w:rFonts w:eastAsia="Times New Roman"/>
                <w:b w:val="0"/>
              </w:rPr>
              <w:t>INVI</w:t>
            </w:r>
          </w:p>
        </w:tc>
        <w:tc>
          <w:tcPr>
            <w:tcW w:w="816" w:type="pct"/>
            <w:tcBorders>
              <w:bottom w:val="single" w:sz="4" w:space="0" w:color="D6E3BC" w:themeColor="accent3" w:themeTint="66"/>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-0.0942</w:t>
            </w:r>
          </w:p>
        </w:tc>
        <w:tc>
          <w:tcPr>
            <w:tcW w:w="652" w:type="pct"/>
            <w:tcBorders>
              <w:bottom w:val="single" w:sz="4" w:space="0" w:color="D6E3BC" w:themeColor="accent3" w:themeTint="66"/>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-0.0431</w:t>
            </w:r>
          </w:p>
        </w:tc>
        <w:tc>
          <w:tcPr>
            <w:tcW w:w="762" w:type="pct"/>
            <w:tcBorders>
              <w:bottom w:val="single" w:sz="4" w:space="0" w:color="D6E3BC" w:themeColor="accent3" w:themeTint="66"/>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0.0196</w:t>
            </w:r>
          </w:p>
        </w:tc>
        <w:tc>
          <w:tcPr>
            <w:tcW w:w="816" w:type="pct"/>
            <w:tcBorders>
              <w:bottom w:val="single" w:sz="4" w:space="0" w:color="D6E3BC" w:themeColor="accent3" w:themeTint="66"/>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-0.2453**</w:t>
            </w:r>
          </w:p>
        </w:tc>
        <w:tc>
          <w:tcPr>
            <w:tcW w:w="652" w:type="pct"/>
            <w:tcBorders>
              <w:bottom w:val="single" w:sz="4" w:space="0" w:color="D6E3BC" w:themeColor="accent3" w:themeTint="66"/>
            </w:tcBorders>
            <w:noWrap/>
            <w:hideMark/>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rPr>
                <w:rFonts w:eastAsia="Times New Roman"/>
              </w:rPr>
              <w:t>1.0000</w:t>
            </w:r>
          </w:p>
        </w:tc>
        <w:tc>
          <w:tcPr>
            <w:tcW w:w="598" w:type="pct"/>
            <w:tcBorders>
              <w:bottom w:val="single" w:sz="4" w:space="0" w:color="D6E3BC" w:themeColor="accent3" w:themeTint="66"/>
            </w:tcBorders>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D33DCB" w:rsidRPr="007C5487" w:rsidTr="00B7443F">
        <w:trPr>
          <w:trHeight w:hRule="exact" w:val="288"/>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uto"/>
            </w:tcBorders>
            <w:noWrap/>
          </w:tcPr>
          <w:p w:rsidR="00D33DCB" w:rsidRPr="007C5487" w:rsidRDefault="00A5389A" w:rsidP="007C5487">
            <w:pPr>
              <w:spacing w:after="0" w:line="360" w:lineRule="auto"/>
              <w:jc w:val="both"/>
              <w:rPr>
                <w:rFonts w:eastAsia="Times New Roman"/>
                <w:b w:val="0"/>
              </w:rPr>
            </w:pPr>
            <w:r>
              <w:rPr>
                <w:b w:val="0"/>
              </w:rPr>
              <w:t>IIRA</w:t>
            </w:r>
          </w:p>
        </w:tc>
        <w:tc>
          <w:tcPr>
            <w:tcW w:w="816" w:type="pct"/>
            <w:tcBorders>
              <w:bottom w:val="single" w:sz="4" w:space="0" w:color="auto"/>
            </w:tcBorders>
            <w:noWrap/>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t>0.6582**</w:t>
            </w:r>
          </w:p>
        </w:tc>
        <w:tc>
          <w:tcPr>
            <w:tcW w:w="652" w:type="pct"/>
            <w:tcBorders>
              <w:bottom w:val="single" w:sz="4" w:space="0" w:color="auto"/>
            </w:tcBorders>
            <w:noWrap/>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t>-0.0377</w:t>
            </w:r>
          </w:p>
        </w:tc>
        <w:tc>
          <w:tcPr>
            <w:tcW w:w="762" w:type="pct"/>
            <w:tcBorders>
              <w:bottom w:val="single" w:sz="4" w:space="0" w:color="auto"/>
            </w:tcBorders>
            <w:noWrap/>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t>-0.0402</w:t>
            </w:r>
          </w:p>
        </w:tc>
        <w:tc>
          <w:tcPr>
            <w:tcW w:w="816" w:type="pct"/>
            <w:tcBorders>
              <w:bottom w:val="single" w:sz="4" w:space="0" w:color="auto"/>
            </w:tcBorders>
            <w:noWrap/>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t>-0.0013</w:t>
            </w:r>
          </w:p>
        </w:tc>
        <w:tc>
          <w:tcPr>
            <w:tcW w:w="652" w:type="pct"/>
            <w:tcBorders>
              <w:bottom w:val="single" w:sz="4" w:space="0" w:color="auto"/>
            </w:tcBorders>
            <w:noWrap/>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t>-0.0991</w:t>
            </w:r>
          </w:p>
        </w:tc>
        <w:tc>
          <w:tcPr>
            <w:tcW w:w="598" w:type="pct"/>
            <w:tcBorders>
              <w:bottom w:val="single" w:sz="4" w:space="0" w:color="auto"/>
            </w:tcBorders>
          </w:tcPr>
          <w:p w:rsidR="00D33DCB" w:rsidRPr="007C5487" w:rsidRDefault="00D33DCB" w:rsidP="007C5487">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7C5487">
              <w:t>1.0000</w:t>
            </w:r>
          </w:p>
        </w:tc>
      </w:tr>
    </w:tbl>
    <w:p w:rsidR="008C38AD" w:rsidRPr="007C5487" w:rsidRDefault="008C38AD" w:rsidP="007C5487">
      <w:pPr>
        <w:spacing w:after="0" w:line="360" w:lineRule="auto"/>
        <w:jc w:val="both"/>
      </w:pPr>
    </w:p>
    <w:p w:rsidR="00D33DCB" w:rsidRPr="007C5487" w:rsidRDefault="00D33DCB" w:rsidP="007C5487">
      <w:pPr>
        <w:spacing w:after="0" w:line="360" w:lineRule="auto"/>
        <w:jc w:val="both"/>
        <w:rPr>
          <w:b/>
        </w:rPr>
      </w:pPr>
      <w:r w:rsidRPr="007C5487">
        <w:rPr>
          <w:b/>
        </w:rPr>
        <w:t>** Significant at 5% level</w:t>
      </w:r>
    </w:p>
    <w:p w:rsidR="008C38AD" w:rsidRPr="007C5487" w:rsidRDefault="009C2714" w:rsidP="007C5487">
      <w:pPr>
        <w:autoSpaceDE w:val="0"/>
        <w:autoSpaceDN w:val="0"/>
        <w:adjustRightInd w:val="0"/>
        <w:spacing w:after="0" w:line="360" w:lineRule="auto"/>
        <w:jc w:val="both"/>
      </w:pPr>
      <w:r>
        <w:t>Table 6</w:t>
      </w:r>
      <w:r w:rsidR="00225140" w:rsidRPr="007C5487">
        <w:t>.1</w:t>
      </w:r>
      <w:r w:rsidR="008C38AD" w:rsidRPr="007C5487">
        <w:t xml:space="preserve"> displays </w:t>
      </w:r>
      <w:r w:rsidR="00A5389A">
        <w:t xml:space="preserve">pairwise </w:t>
      </w:r>
      <w:r w:rsidR="008C38AD" w:rsidRPr="007C5487">
        <w:t>correlation</w:t>
      </w:r>
      <w:r w:rsidR="00A5389A">
        <w:t>s</w:t>
      </w:r>
      <w:r w:rsidR="008C38AD" w:rsidRPr="007C5487">
        <w:t xml:space="preserve"> of </w:t>
      </w:r>
      <w:r w:rsidR="00A5389A">
        <w:t>investment intensity risk, the main variable of interest and control variables</w:t>
      </w:r>
      <w:r w:rsidR="008C38AD" w:rsidRPr="007C5487">
        <w:t xml:space="preserve">. The table shows generally low and insignificant </w:t>
      </w:r>
      <w:r w:rsidR="00A5389A">
        <w:t xml:space="preserve">negative </w:t>
      </w:r>
      <w:r w:rsidR="008C38AD" w:rsidRPr="007C5487">
        <w:t xml:space="preserve">correlation </w:t>
      </w:r>
      <w:r w:rsidR="00A5389A">
        <w:t>between investment factor and other control variables, except INVI and HML which was positive (</w:t>
      </w:r>
      <w:r w:rsidR="00A5389A" w:rsidRPr="007C5487">
        <w:rPr>
          <w:iCs/>
        </w:rPr>
        <w:t xml:space="preserve">r = </w:t>
      </w:r>
      <w:r w:rsidR="00A5389A">
        <w:rPr>
          <w:rFonts w:eastAsia="Times New Roman"/>
        </w:rPr>
        <w:t>-0.0196</w:t>
      </w:r>
      <w:r w:rsidR="00A5389A" w:rsidRPr="007C5487">
        <w:rPr>
          <w:rFonts w:eastAsia="Times New Roman"/>
        </w:rPr>
        <w:t xml:space="preserve">, </w:t>
      </w:r>
      <w:r w:rsidR="00A5389A" w:rsidRPr="007C5487">
        <w:rPr>
          <w:rFonts w:eastAsia="Times New Roman"/>
          <w:i/>
        </w:rPr>
        <w:t>p</w:t>
      </w:r>
      <w:r w:rsidR="00A5389A">
        <w:rPr>
          <w:rFonts w:eastAsia="Times New Roman"/>
        </w:rPr>
        <w:t>&gt;</w:t>
      </w:r>
      <w:r w:rsidR="00A5389A" w:rsidRPr="007C5487">
        <w:rPr>
          <w:rFonts w:eastAsia="Times New Roman"/>
        </w:rPr>
        <w:t>0.05</w:t>
      </w:r>
      <w:r w:rsidR="00A5389A">
        <w:rPr>
          <w:rFonts w:eastAsia="Times New Roman"/>
        </w:rPr>
        <w:t>).</w:t>
      </w:r>
      <w:r w:rsidR="008C38AD" w:rsidRPr="007C5487">
        <w:t xml:space="preserve"> There was however significant but less than average correlation between </w:t>
      </w:r>
      <w:r w:rsidR="00A5389A">
        <w:t>INVI and RMW</w:t>
      </w:r>
      <w:r w:rsidR="008C38AD" w:rsidRPr="007C5487">
        <w:t xml:space="preserve"> </w:t>
      </w:r>
      <w:r w:rsidR="008C38AD" w:rsidRPr="007C5487">
        <w:rPr>
          <w:iCs/>
        </w:rPr>
        <w:t xml:space="preserve">(r = </w:t>
      </w:r>
      <w:r w:rsidR="00A5389A">
        <w:rPr>
          <w:rFonts w:eastAsia="Times New Roman"/>
        </w:rPr>
        <w:t>-0.2453</w:t>
      </w:r>
      <w:r w:rsidR="008C38AD" w:rsidRPr="007C5487">
        <w:rPr>
          <w:rFonts w:eastAsia="Times New Roman"/>
        </w:rPr>
        <w:t xml:space="preserve">, </w:t>
      </w:r>
      <w:r w:rsidR="008C38AD" w:rsidRPr="007C5487">
        <w:rPr>
          <w:rFonts w:eastAsia="Times New Roman"/>
          <w:i/>
        </w:rPr>
        <w:t>p</w:t>
      </w:r>
      <w:r w:rsidR="008C38AD" w:rsidRPr="007C5487">
        <w:rPr>
          <w:rFonts w:eastAsia="Times New Roman"/>
        </w:rPr>
        <w:t>&lt;0.05)</w:t>
      </w:r>
      <w:r w:rsidR="00A5389A">
        <w:rPr>
          <w:rFonts w:eastAsia="Times New Roman"/>
        </w:rPr>
        <w:t xml:space="preserve">. </w:t>
      </w:r>
      <w:r w:rsidR="008C38AD" w:rsidRPr="007C5487">
        <w:t>The table further shows</w:t>
      </w:r>
      <w:r w:rsidR="004F3864" w:rsidRPr="007C5487">
        <w:t xml:space="preserve"> that market risk premium (MKT</w:t>
      </w:r>
      <w:r w:rsidR="008C38AD" w:rsidRPr="007C5487">
        <w:t xml:space="preserve">) and </w:t>
      </w:r>
      <w:r w:rsidR="00592CAC">
        <w:t>investor irrationality</w:t>
      </w:r>
      <w:r w:rsidR="008C38AD" w:rsidRPr="007C5487">
        <w:t xml:space="preserve"> (</w:t>
      </w:r>
      <w:r w:rsidR="00592CAC">
        <w:t xml:space="preserve">IIRA) are </w:t>
      </w:r>
      <w:r w:rsidR="008C38AD" w:rsidRPr="007C5487">
        <w:t xml:space="preserve">positively </w:t>
      </w:r>
      <w:r w:rsidR="00592CAC">
        <w:t>correlated (r = 0.6582) implying</w:t>
      </w:r>
      <w:r w:rsidR="008C38AD" w:rsidRPr="007C5487">
        <w:t xml:space="preserve"> that </w:t>
      </w:r>
      <w:r w:rsidR="007058E9" w:rsidRPr="007C5487">
        <w:t xml:space="preserve">investor </w:t>
      </w:r>
      <w:r w:rsidR="00592CAC">
        <w:t>irrationality</w:t>
      </w:r>
      <w:r w:rsidR="008C38AD" w:rsidRPr="007C5487">
        <w:t xml:space="preserve"> variable </w:t>
      </w:r>
      <w:r w:rsidR="007058E9" w:rsidRPr="007C5487">
        <w:t>and market factor have a positive co-movement</w:t>
      </w:r>
      <w:r w:rsidR="008C38AD" w:rsidRPr="007C5487">
        <w:t xml:space="preserve"> </w:t>
      </w:r>
      <w:r w:rsidR="007058E9" w:rsidRPr="007C5487">
        <w:t xml:space="preserve">and </w:t>
      </w:r>
      <w:r w:rsidR="00CB42B2">
        <w:t xml:space="preserve">that </w:t>
      </w:r>
      <w:r w:rsidR="007058E9" w:rsidRPr="007C5487">
        <w:t xml:space="preserve">variation in </w:t>
      </w:r>
      <w:r w:rsidR="00592CAC">
        <w:t>investor irrationality</w:t>
      </w:r>
      <w:r w:rsidR="007058E9" w:rsidRPr="007C5487">
        <w:t xml:space="preserve"> may have an impact on </w:t>
      </w:r>
      <w:r w:rsidR="008C38AD" w:rsidRPr="007C5487">
        <w:t>estimation of market beta at the NSE</w:t>
      </w:r>
      <w:r w:rsidR="007058E9" w:rsidRPr="007C5487">
        <w:t>.</w:t>
      </w:r>
    </w:p>
    <w:p w:rsidR="009B0E83" w:rsidRPr="007C5487" w:rsidRDefault="009B0E83" w:rsidP="007C5487">
      <w:pPr>
        <w:autoSpaceDE w:val="0"/>
        <w:autoSpaceDN w:val="0"/>
        <w:adjustRightInd w:val="0"/>
        <w:spacing w:after="0" w:line="360" w:lineRule="auto"/>
        <w:jc w:val="both"/>
      </w:pPr>
    </w:p>
    <w:p w:rsidR="007761C0" w:rsidRPr="008F73D4" w:rsidRDefault="007761C0" w:rsidP="008F73D4">
      <w:pPr>
        <w:pStyle w:val="ListParagraph"/>
        <w:numPr>
          <w:ilvl w:val="1"/>
          <w:numId w:val="33"/>
        </w:numPr>
        <w:autoSpaceDE w:val="0"/>
        <w:autoSpaceDN w:val="0"/>
        <w:adjustRightInd w:val="0"/>
        <w:spacing w:after="0" w:line="360" w:lineRule="auto"/>
        <w:jc w:val="both"/>
        <w:rPr>
          <w:rFonts w:ascii="Times New Roman" w:hAnsi="Times New Roman" w:cs="Times New Roman"/>
          <w:b/>
          <w:sz w:val="24"/>
        </w:rPr>
      </w:pPr>
      <w:proofErr w:type="spellStart"/>
      <w:r w:rsidRPr="008F73D4">
        <w:rPr>
          <w:rFonts w:ascii="Times New Roman" w:eastAsia="Times New Roman" w:hAnsi="Times New Roman" w:cs="Times New Roman"/>
          <w:b/>
          <w:sz w:val="24"/>
        </w:rPr>
        <w:t>Stationarity</w:t>
      </w:r>
      <w:proofErr w:type="spellEnd"/>
      <w:r w:rsidR="00BB4CA6" w:rsidRPr="008F73D4">
        <w:rPr>
          <w:rFonts w:ascii="Times New Roman" w:eastAsia="Times New Roman" w:hAnsi="Times New Roman" w:cs="Times New Roman"/>
          <w:b/>
          <w:sz w:val="24"/>
        </w:rPr>
        <w:t xml:space="preserve"> and </w:t>
      </w:r>
      <w:proofErr w:type="spellStart"/>
      <w:r w:rsidR="00BB4CA6" w:rsidRPr="008F73D4">
        <w:rPr>
          <w:rFonts w:ascii="Times New Roman" w:eastAsia="Times New Roman" w:hAnsi="Times New Roman" w:cs="Times New Roman"/>
          <w:b/>
          <w:sz w:val="24"/>
        </w:rPr>
        <w:t>Cointegration</w:t>
      </w:r>
      <w:proofErr w:type="spellEnd"/>
    </w:p>
    <w:p w:rsidR="007761C0" w:rsidRDefault="007761C0" w:rsidP="007C5487">
      <w:pPr>
        <w:spacing w:after="0" w:line="360" w:lineRule="auto"/>
        <w:jc w:val="both"/>
      </w:pPr>
      <w:r w:rsidRPr="007C5487">
        <w:t xml:space="preserve">This study utilized the ADF </w:t>
      </w:r>
      <w:r w:rsidR="00CB42B2">
        <w:t>unit root test</w:t>
      </w:r>
      <w:r w:rsidRPr="007C5487">
        <w:t xml:space="preserve"> to examine the </w:t>
      </w:r>
      <w:proofErr w:type="spellStart"/>
      <w:r w:rsidRPr="007C5487">
        <w:t>stationarity</w:t>
      </w:r>
      <w:proofErr w:type="spellEnd"/>
      <w:r w:rsidRPr="007C5487">
        <w:t xml:space="preserve"> of the variables at 5% level of significance. Results of unit r</w:t>
      </w:r>
      <w:r w:rsidR="008F73D4">
        <w:t>oot test are shown in Table 6</w:t>
      </w:r>
      <w:r w:rsidR="00225140" w:rsidRPr="007C5487">
        <w:t>.2a</w:t>
      </w:r>
      <w:r w:rsidR="00235B6D" w:rsidRPr="007C5487">
        <w:t xml:space="preserve"> and </w:t>
      </w:r>
      <w:r w:rsidR="008F73D4">
        <w:t>6</w:t>
      </w:r>
      <w:r w:rsidR="00225140" w:rsidRPr="007C5487">
        <w:t>.</w:t>
      </w:r>
      <w:r w:rsidR="00235B6D" w:rsidRPr="007C5487">
        <w:t>2b</w:t>
      </w:r>
      <w:r w:rsidRPr="007C5487">
        <w:t>.</w:t>
      </w:r>
    </w:p>
    <w:p w:rsidR="002429F3" w:rsidRPr="007C5487" w:rsidRDefault="002429F3" w:rsidP="007C5487">
      <w:pPr>
        <w:spacing w:after="0" w:line="360" w:lineRule="auto"/>
        <w:jc w:val="both"/>
      </w:pPr>
    </w:p>
    <w:p w:rsidR="007761C0" w:rsidRPr="007C5487" w:rsidRDefault="007761C0" w:rsidP="007C5487">
      <w:pPr>
        <w:spacing w:after="0" w:line="360" w:lineRule="auto"/>
        <w:jc w:val="both"/>
        <w:rPr>
          <w:b/>
        </w:rPr>
      </w:pPr>
      <w:r w:rsidRPr="007C5487">
        <w:rPr>
          <w:b/>
        </w:rPr>
        <w:t>Table</w:t>
      </w:r>
      <w:r w:rsidR="008F73D4">
        <w:rPr>
          <w:b/>
        </w:rPr>
        <w:t xml:space="preserve"> 6</w:t>
      </w:r>
      <w:r w:rsidR="00225140" w:rsidRPr="007C5487">
        <w:rPr>
          <w:b/>
        </w:rPr>
        <w:t>.2a</w:t>
      </w:r>
      <w:r w:rsidR="00235B6D" w:rsidRPr="007C5487">
        <w:rPr>
          <w:b/>
        </w:rPr>
        <w:t xml:space="preserve">: </w:t>
      </w:r>
      <w:r w:rsidRPr="007C5487">
        <w:rPr>
          <w:b/>
        </w:rPr>
        <w:t xml:space="preserve">Unit Root Test for Predictor Variables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617"/>
        <w:gridCol w:w="2625"/>
        <w:gridCol w:w="1083"/>
      </w:tblGrid>
      <w:tr w:rsidR="00CB42B2" w:rsidRPr="007C5487" w:rsidTr="00CB42B2">
        <w:trPr>
          <w:trHeight w:hRule="exact" w:val="343"/>
        </w:trPr>
        <w:tc>
          <w:tcPr>
            <w:tcW w:w="1037" w:type="pct"/>
            <w:vAlign w:val="center"/>
          </w:tcPr>
          <w:p w:rsidR="00CB42B2" w:rsidRPr="007C5487" w:rsidRDefault="00CB42B2" w:rsidP="00CB42B2">
            <w:pPr>
              <w:spacing w:after="0" w:line="360" w:lineRule="auto"/>
              <w:jc w:val="center"/>
            </w:pPr>
            <w:r w:rsidRPr="007C5487">
              <w:t>Series</w:t>
            </w:r>
          </w:p>
        </w:tc>
        <w:tc>
          <w:tcPr>
            <w:tcW w:w="1957" w:type="pct"/>
            <w:vAlign w:val="center"/>
          </w:tcPr>
          <w:p w:rsidR="00CB42B2" w:rsidRPr="007C5487" w:rsidRDefault="00CB42B2" w:rsidP="00CB42B2">
            <w:pPr>
              <w:spacing w:after="0" w:line="360" w:lineRule="auto"/>
              <w:jc w:val="center"/>
            </w:pPr>
            <w:r w:rsidRPr="007C5487">
              <w:t>Augmented Dickey Fuller t-Stat</w:t>
            </w:r>
          </w:p>
        </w:tc>
        <w:tc>
          <w:tcPr>
            <w:tcW w:w="1420" w:type="pct"/>
            <w:vAlign w:val="center"/>
          </w:tcPr>
          <w:p w:rsidR="00CB42B2" w:rsidRPr="007C5487" w:rsidRDefault="00CB42B2" w:rsidP="00CB42B2">
            <w:pPr>
              <w:spacing w:after="0" w:line="360" w:lineRule="auto"/>
              <w:jc w:val="center"/>
            </w:pPr>
            <w:r w:rsidRPr="007C5487">
              <w:t>MacKinnon Crit. (5%)</w:t>
            </w:r>
          </w:p>
        </w:tc>
        <w:tc>
          <w:tcPr>
            <w:tcW w:w="586" w:type="pct"/>
            <w:vAlign w:val="center"/>
          </w:tcPr>
          <w:p w:rsidR="00CB42B2" w:rsidRPr="007C5487" w:rsidRDefault="00CB42B2" w:rsidP="00CB42B2">
            <w:pPr>
              <w:spacing w:after="0" w:line="360" w:lineRule="auto"/>
              <w:jc w:val="center"/>
            </w:pPr>
            <w:r w:rsidRPr="007C5487">
              <w:t>p-Value</w:t>
            </w:r>
          </w:p>
        </w:tc>
      </w:tr>
      <w:tr w:rsidR="00CB42B2" w:rsidRPr="007C5487" w:rsidTr="00CB42B2">
        <w:trPr>
          <w:trHeight w:hRule="exact" w:val="244"/>
        </w:trPr>
        <w:tc>
          <w:tcPr>
            <w:tcW w:w="1037" w:type="pct"/>
            <w:vAlign w:val="center"/>
          </w:tcPr>
          <w:p w:rsidR="00CB42B2" w:rsidRPr="007C5487" w:rsidRDefault="00CB42B2" w:rsidP="00CB42B2">
            <w:pPr>
              <w:spacing w:after="0" w:line="360" w:lineRule="auto"/>
              <w:jc w:val="center"/>
            </w:pPr>
            <w:r w:rsidRPr="007C5487">
              <w:t>MKT</w:t>
            </w:r>
          </w:p>
        </w:tc>
        <w:tc>
          <w:tcPr>
            <w:tcW w:w="1957" w:type="pct"/>
            <w:vAlign w:val="center"/>
          </w:tcPr>
          <w:p w:rsidR="00CB42B2" w:rsidRPr="007C5487" w:rsidRDefault="00CB42B2" w:rsidP="00CB42B2">
            <w:pPr>
              <w:spacing w:after="0" w:line="360" w:lineRule="auto"/>
              <w:jc w:val="center"/>
            </w:pPr>
            <w:r w:rsidRPr="007C5487">
              <w:t>-9.5690</w:t>
            </w:r>
          </w:p>
          <w:p w:rsidR="00CB42B2" w:rsidRPr="007C5487" w:rsidRDefault="00CB42B2" w:rsidP="00CB42B2">
            <w:pPr>
              <w:spacing w:after="0" w:line="360" w:lineRule="auto"/>
              <w:jc w:val="center"/>
            </w:pPr>
          </w:p>
        </w:tc>
        <w:tc>
          <w:tcPr>
            <w:tcW w:w="1420" w:type="pct"/>
            <w:vAlign w:val="center"/>
          </w:tcPr>
          <w:p w:rsidR="00CB42B2" w:rsidRPr="007C5487" w:rsidRDefault="00CB42B2" w:rsidP="00CB42B2">
            <w:pPr>
              <w:spacing w:after="0" w:line="360" w:lineRule="auto"/>
              <w:jc w:val="center"/>
            </w:pPr>
            <w:r w:rsidRPr="007C5487">
              <w:t>-2.8887</w:t>
            </w:r>
          </w:p>
        </w:tc>
        <w:tc>
          <w:tcPr>
            <w:tcW w:w="586" w:type="pct"/>
            <w:vAlign w:val="center"/>
          </w:tcPr>
          <w:p w:rsidR="00CB42B2" w:rsidRPr="007C5487" w:rsidRDefault="00CB42B2" w:rsidP="00CB42B2">
            <w:pPr>
              <w:spacing w:after="0" w:line="360" w:lineRule="auto"/>
              <w:jc w:val="center"/>
            </w:pPr>
            <w:r w:rsidRPr="007C5487">
              <w:t>0.0000</w:t>
            </w:r>
          </w:p>
        </w:tc>
      </w:tr>
      <w:tr w:rsidR="00CB42B2" w:rsidRPr="007C5487" w:rsidTr="00CB42B2">
        <w:trPr>
          <w:trHeight w:hRule="exact" w:val="288"/>
        </w:trPr>
        <w:tc>
          <w:tcPr>
            <w:tcW w:w="1037" w:type="pct"/>
            <w:vAlign w:val="center"/>
          </w:tcPr>
          <w:p w:rsidR="00CB42B2" w:rsidRPr="007C5487" w:rsidRDefault="00CB42B2" w:rsidP="00CB42B2">
            <w:pPr>
              <w:spacing w:after="0" w:line="360" w:lineRule="auto"/>
              <w:jc w:val="center"/>
            </w:pPr>
            <w:r>
              <w:t>SMB</w:t>
            </w:r>
          </w:p>
        </w:tc>
        <w:tc>
          <w:tcPr>
            <w:tcW w:w="1957" w:type="pct"/>
            <w:vAlign w:val="center"/>
          </w:tcPr>
          <w:p w:rsidR="00CB42B2" w:rsidRPr="007C5487" w:rsidRDefault="00CB42B2" w:rsidP="00CB42B2">
            <w:pPr>
              <w:spacing w:after="0" w:line="360" w:lineRule="auto"/>
              <w:jc w:val="center"/>
            </w:pPr>
            <w:r w:rsidRPr="007C5487">
              <w:t>-9.5690</w:t>
            </w:r>
          </w:p>
        </w:tc>
        <w:tc>
          <w:tcPr>
            <w:tcW w:w="1420" w:type="pct"/>
            <w:vAlign w:val="center"/>
          </w:tcPr>
          <w:p w:rsidR="00CB42B2" w:rsidRPr="007C5487" w:rsidRDefault="00CB42B2" w:rsidP="00CB42B2">
            <w:pPr>
              <w:spacing w:after="0" w:line="360" w:lineRule="auto"/>
              <w:jc w:val="center"/>
            </w:pPr>
            <w:r w:rsidRPr="007C5487">
              <w:t>-2.8895</w:t>
            </w:r>
          </w:p>
        </w:tc>
        <w:tc>
          <w:tcPr>
            <w:tcW w:w="586" w:type="pct"/>
            <w:vAlign w:val="center"/>
          </w:tcPr>
          <w:p w:rsidR="00CB42B2" w:rsidRPr="007C5487" w:rsidRDefault="00CB42B2" w:rsidP="00CB42B2">
            <w:pPr>
              <w:spacing w:after="0" w:line="360" w:lineRule="auto"/>
              <w:jc w:val="center"/>
            </w:pPr>
            <w:r w:rsidRPr="007C5487">
              <w:t>0.0126</w:t>
            </w:r>
          </w:p>
        </w:tc>
      </w:tr>
      <w:tr w:rsidR="00CB42B2" w:rsidRPr="007C5487" w:rsidTr="00CB42B2">
        <w:trPr>
          <w:trHeight w:hRule="exact" w:val="288"/>
        </w:trPr>
        <w:tc>
          <w:tcPr>
            <w:tcW w:w="1037" w:type="pct"/>
            <w:vAlign w:val="center"/>
          </w:tcPr>
          <w:p w:rsidR="00CB42B2" w:rsidRPr="007C5487" w:rsidRDefault="00CB42B2" w:rsidP="00CB42B2">
            <w:pPr>
              <w:spacing w:after="0" w:line="360" w:lineRule="auto"/>
              <w:jc w:val="center"/>
            </w:pPr>
            <w:r>
              <w:t>HML</w:t>
            </w:r>
          </w:p>
        </w:tc>
        <w:tc>
          <w:tcPr>
            <w:tcW w:w="1957" w:type="pct"/>
            <w:vAlign w:val="center"/>
          </w:tcPr>
          <w:p w:rsidR="00CB42B2" w:rsidRPr="007C5487" w:rsidRDefault="00CB42B2" w:rsidP="00CB42B2">
            <w:pPr>
              <w:spacing w:after="0" w:line="360" w:lineRule="auto"/>
              <w:jc w:val="center"/>
              <w:rPr>
                <w:b/>
              </w:rPr>
            </w:pPr>
            <w:r w:rsidRPr="007C5487">
              <w:t>-3.4143</w:t>
            </w:r>
          </w:p>
        </w:tc>
        <w:tc>
          <w:tcPr>
            <w:tcW w:w="1420" w:type="pct"/>
            <w:vAlign w:val="center"/>
          </w:tcPr>
          <w:p w:rsidR="00CB42B2" w:rsidRPr="007C5487" w:rsidRDefault="00CB42B2" w:rsidP="00CB42B2">
            <w:pPr>
              <w:spacing w:after="0" w:line="360" w:lineRule="auto"/>
              <w:jc w:val="center"/>
              <w:rPr>
                <w:b/>
              </w:rPr>
            </w:pPr>
            <w:r w:rsidRPr="007C5487">
              <w:t>-2.8895</w:t>
            </w:r>
          </w:p>
        </w:tc>
        <w:tc>
          <w:tcPr>
            <w:tcW w:w="586" w:type="pct"/>
            <w:vAlign w:val="center"/>
          </w:tcPr>
          <w:p w:rsidR="00CB42B2" w:rsidRPr="007C5487" w:rsidRDefault="00CB42B2" w:rsidP="00CB42B2">
            <w:pPr>
              <w:spacing w:after="0" w:line="360" w:lineRule="auto"/>
              <w:jc w:val="center"/>
              <w:rPr>
                <w:b/>
              </w:rPr>
            </w:pPr>
            <w:r w:rsidRPr="007C5487">
              <w:t>0.0126</w:t>
            </w:r>
          </w:p>
        </w:tc>
      </w:tr>
      <w:tr w:rsidR="00CB42B2" w:rsidRPr="007C5487" w:rsidTr="00CB42B2">
        <w:trPr>
          <w:trHeight w:hRule="exact" w:val="288"/>
        </w:trPr>
        <w:tc>
          <w:tcPr>
            <w:tcW w:w="1037" w:type="pct"/>
            <w:vAlign w:val="center"/>
          </w:tcPr>
          <w:p w:rsidR="00CB42B2" w:rsidRPr="007C5487" w:rsidRDefault="00CB42B2" w:rsidP="00CB42B2">
            <w:pPr>
              <w:spacing w:after="0" w:line="360" w:lineRule="auto"/>
              <w:jc w:val="center"/>
            </w:pPr>
            <w:r>
              <w:t>RMW</w:t>
            </w:r>
          </w:p>
        </w:tc>
        <w:tc>
          <w:tcPr>
            <w:tcW w:w="1957" w:type="pct"/>
            <w:vAlign w:val="center"/>
          </w:tcPr>
          <w:p w:rsidR="00CB42B2" w:rsidRPr="007C5487" w:rsidRDefault="00CB42B2" w:rsidP="00CB42B2">
            <w:pPr>
              <w:spacing w:after="0" w:line="360" w:lineRule="auto"/>
              <w:jc w:val="center"/>
              <w:rPr>
                <w:b/>
              </w:rPr>
            </w:pPr>
            <w:r w:rsidRPr="007C5487">
              <w:t>-11.2252</w:t>
            </w:r>
          </w:p>
        </w:tc>
        <w:tc>
          <w:tcPr>
            <w:tcW w:w="1420" w:type="pct"/>
            <w:vAlign w:val="center"/>
          </w:tcPr>
          <w:p w:rsidR="00CB42B2" w:rsidRPr="007C5487" w:rsidRDefault="00CB42B2" w:rsidP="00CB42B2">
            <w:pPr>
              <w:spacing w:after="0" w:line="360" w:lineRule="auto"/>
              <w:jc w:val="center"/>
              <w:rPr>
                <w:b/>
              </w:rPr>
            </w:pPr>
            <w:r w:rsidRPr="007C5487">
              <w:t>-2.8887</w:t>
            </w:r>
          </w:p>
        </w:tc>
        <w:tc>
          <w:tcPr>
            <w:tcW w:w="586" w:type="pct"/>
            <w:vAlign w:val="center"/>
          </w:tcPr>
          <w:p w:rsidR="00CB42B2" w:rsidRPr="007C5487" w:rsidRDefault="00CB42B2" w:rsidP="00CB42B2">
            <w:pPr>
              <w:spacing w:after="0" w:line="360" w:lineRule="auto"/>
              <w:jc w:val="center"/>
              <w:rPr>
                <w:b/>
              </w:rPr>
            </w:pPr>
            <w:r w:rsidRPr="007C5487">
              <w:t>0.0000</w:t>
            </w:r>
          </w:p>
        </w:tc>
      </w:tr>
      <w:tr w:rsidR="00CB42B2" w:rsidRPr="007C5487" w:rsidTr="00CB42B2">
        <w:trPr>
          <w:trHeight w:hRule="exact" w:val="288"/>
        </w:trPr>
        <w:tc>
          <w:tcPr>
            <w:tcW w:w="1037" w:type="pct"/>
            <w:vAlign w:val="center"/>
          </w:tcPr>
          <w:p w:rsidR="00CB42B2" w:rsidRPr="007C5487" w:rsidRDefault="00CB42B2" w:rsidP="00CB42B2">
            <w:pPr>
              <w:spacing w:after="0" w:line="360" w:lineRule="auto"/>
              <w:jc w:val="center"/>
            </w:pPr>
            <w:r>
              <w:t>INVI</w:t>
            </w:r>
          </w:p>
        </w:tc>
        <w:tc>
          <w:tcPr>
            <w:tcW w:w="1957" w:type="pct"/>
            <w:vAlign w:val="center"/>
          </w:tcPr>
          <w:p w:rsidR="00CB42B2" w:rsidRPr="007C5487" w:rsidRDefault="00CB42B2" w:rsidP="00CB42B2">
            <w:pPr>
              <w:spacing w:after="0" w:line="360" w:lineRule="auto"/>
              <w:jc w:val="center"/>
            </w:pPr>
            <w:r w:rsidRPr="007C5487">
              <w:t>-11.0085</w:t>
            </w:r>
          </w:p>
        </w:tc>
        <w:tc>
          <w:tcPr>
            <w:tcW w:w="1420" w:type="pct"/>
            <w:vAlign w:val="center"/>
          </w:tcPr>
          <w:p w:rsidR="00CB42B2" w:rsidRPr="007C5487" w:rsidRDefault="00CB42B2" w:rsidP="00CB42B2">
            <w:pPr>
              <w:spacing w:after="0" w:line="360" w:lineRule="auto"/>
              <w:jc w:val="center"/>
            </w:pPr>
            <w:r w:rsidRPr="007C5487">
              <w:t>-2.8887</w:t>
            </w:r>
          </w:p>
        </w:tc>
        <w:tc>
          <w:tcPr>
            <w:tcW w:w="586" w:type="pct"/>
            <w:vAlign w:val="center"/>
          </w:tcPr>
          <w:p w:rsidR="00CB42B2" w:rsidRPr="007C5487" w:rsidRDefault="00CB42B2" w:rsidP="00CB42B2">
            <w:pPr>
              <w:spacing w:after="0" w:line="360" w:lineRule="auto"/>
              <w:jc w:val="center"/>
            </w:pPr>
            <w:r w:rsidRPr="007C5487">
              <w:t>0.0000</w:t>
            </w:r>
          </w:p>
        </w:tc>
      </w:tr>
      <w:tr w:rsidR="00CB42B2" w:rsidRPr="007C5487" w:rsidTr="00CB42B2">
        <w:trPr>
          <w:trHeight w:hRule="exact" w:val="288"/>
        </w:trPr>
        <w:tc>
          <w:tcPr>
            <w:tcW w:w="1037" w:type="pct"/>
            <w:vAlign w:val="center"/>
          </w:tcPr>
          <w:p w:rsidR="00CB42B2" w:rsidRPr="007C5487" w:rsidRDefault="00CB42B2" w:rsidP="00CB42B2">
            <w:pPr>
              <w:spacing w:after="0" w:line="360" w:lineRule="auto"/>
              <w:jc w:val="center"/>
            </w:pPr>
            <w:r>
              <w:t>IIRA</w:t>
            </w:r>
          </w:p>
        </w:tc>
        <w:tc>
          <w:tcPr>
            <w:tcW w:w="1957" w:type="pct"/>
            <w:vAlign w:val="center"/>
          </w:tcPr>
          <w:p w:rsidR="00CB42B2" w:rsidRPr="007C5487" w:rsidRDefault="00CB42B2" w:rsidP="00CB42B2">
            <w:pPr>
              <w:spacing w:after="0" w:line="360" w:lineRule="auto"/>
              <w:jc w:val="center"/>
              <w:rPr>
                <w:b/>
              </w:rPr>
            </w:pPr>
            <w:r w:rsidRPr="007C5487">
              <w:rPr>
                <w:color w:val="000000"/>
              </w:rPr>
              <w:t>-5.0304</w:t>
            </w:r>
          </w:p>
        </w:tc>
        <w:tc>
          <w:tcPr>
            <w:tcW w:w="1420" w:type="pct"/>
            <w:vAlign w:val="center"/>
          </w:tcPr>
          <w:p w:rsidR="00CB42B2" w:rsidRPr="007C5487" w:rsidRDefault="00CB42B2" w:rsidP="00CB42B2">
            <w:pPr>
              <w:spacing w:after="0" w:line="360" w:lineRule="auto"/>
              <w:jc w:val="center"/>
              <w:rPr>
                <w:b/>
              </w:rPr>
            </w:pPr>
            <w:r w:rsidRPr="007C5487">
              <w:rPr>
                <w:color w:val="000000"/>
              </w:rPr>
              <w:t>-2.8889</w:t>
            </w:r>
          </w:p>
        </w:tc>
        <w:tc>
          <w:tcPr>
            <w:tcW w:w="586" w:type="pct"/>
            <w:vAlign w:val="center"/>
          </w:tcPr>
          <w:p w:rsidR="00CB42B2" w:rsidRPr="007C5487" w:rsidRDefault="00CB42B2" w:rsidP="00CB42B2">
            <w:pPr>
              <w:spacing w:after="0" w:line="360" w:lineRule="auto"/>
              <w:jc w:val="center"/>
              <w:rPr>
                <w:b/>
              </w:rPr>
            </w:pPr>
            <w:r w:rsidRPr="007C5487">
              <w:t>0.0000</w:t>
            </w:r>
          </w:p>
        </w:tc>
      </w:tr>
      <w:tr w:rsidR="00CB42B2" w:rsidRPr="007C5487" w:rsidTr="00CB42B2">
        <w:trPr>
          <w:trHeight w:hRule="exact" w:val="288"/>
        </w:trPr>
        <w:tc>
          <w:tcPr>
            <w:tcW w:w="1037" w:type="pct"/>
            <w:vAlign w:val="center"/>
          </w:tcPr>
          <w:p w:rsidR="00CB42B2" w:rsidRPr="00B74BD2" w:rsidRDefault="00CB42B2" w:rsidP="00CB42B2">
            <w:pPr>
              <w:spacing w:line="240" w:lineRule="auto"/>
              <w:jc w:val="center"/>
            </w:pPr>
            <w:r>
              <w:t>INVI</w:t>
            </w:r>
            <w:r w:rsidRPr="00B74BD2">
              <w:t>*</w:t>
            </w:r>
            <w:r>
              <w:t>IIRA</w:t>
            </w:r>
          </w:p>
        </w:tc>
        <w:tc>
          <w:tcPr>
            <w:tcW w:w="1957" w:type="pct"/>
            <w:vAlign w:val="center"/>
          </w:tcPr>
          <w:p w:rsidR="00CB42B2" w:rsidRPr="00B74BD2" w:rsidRDefault="00CB42B2" w:rsidP="00CB42B2">
            <w:pPr>
              <w:spacing w:line="240" w:lineRule="auto"/>
              <w:jc w:val="center"/>
              <w:rPr>
                <w:b/>
              </w:rPr>
            </w:pPr>
            <w:r w:rsidRPr="00B74BD2">
              <w:t>-5.4939</w:t>
            </w:r>
          </w:p>
        </w:tc>
        <w:tc>
          <w:tcPr>
            <w:tcW w:w="1420" w:type="pct"/>
            <w:vAlign w:val="center"/>
          </w:tcPr>
          <w:p w:rsidR="00CB42B2" w:rsidRPr="00B74BD2" w:rsidRDefault="00CB42B2" w:rsidP="00CB42B2">
            <w:pPr>
              <w:spacing w:line="240" w:lineRule="auto"/>
              <w:jc w:val="center"/>
              <w:rPr>
                <w:b/>
              </w:rPr>
            </w:pPr>
            <w:r w:rsidRPr="00B74BD2">
              <w:t>-2.8887</w:t>
            </w:r>
          </w:p>
        </w:tc>
        <w:tc>
          <w:tcPr>
            <w:tcW w:w="586" w:type="pct"/>
            <w:vAlign w:val="center"/>
          </w:tcPr>
          <w:p w:rsidR="00CB42B2" w:rsidRPr="00B74BD2" w:rsidRDefault="00CB42B2" w:rsidP="00CB42B2">
            <w:pPr>
              <w:spacing w:line="240" w:lineRule="auto"/>
              <w:jc w:val="center"/>
              <w:rPr>
                <w:b/>
              </w:rPr>
            </w:pPr>
            <w:r w:rsidRPr="00B74BD2">
              <w:t>0.0000</w:t>
            </w:r>
          </w:p>
        </w:tc>
      </w:tr>
    </w:tbl>
    <w:p w:rsidR="007761C0" w:rsidRPr="007C5487" w:rsidRDefault="007761C0" w:rsidP="007C5487">
      <w:pPr>
        <w:pStyle w:val="ListParagraph"/>
        <w:spacing w:after="0" w:line="360" w:lineRule="auto"/>
        <w:ind w:left="360"/>
        <w:jc w:val="both"/>
        <w:rPr>
          <w:rFonts w:ascii="Times New Roman" w:hAnsi="Times New Roman" w:cs="Times New Roman"/>
          <w:b/>
          <w:sz w:val="24"/>
          <w:szCs w:val="24"/>
        </w:rPr>
      </w:pPr>
    </w:p>
    <w:p w:rsidR="007761C0" w:rsidRPr="007C5487" w:rsidRDefault="007761C0" w:rsidP="007C5487">
      <w:pPr>
        <w:spacing w:after="0" w:line="360" w:lineRule="auto"/>
        <w:jc w:val="both"/>
        <w:rPr>
          <w:b/>
        </w:rPr>
      </w:pPr>
      <w:r w:rsidRPr="007C5487">
        <w:rPr>
          <w:b/>
        </w:rPr>
        <w:t xml:space="preserve">Table </w:t>
      </w:r>
      <w:r w:rsidR="009C2714">
        <w:rPr>
          <w:b/>
        </w:rPr>
        <w:t>6</w:t>
      </w:r>
      <w:r w:rsidR="00225140" w:rsidRPr="007C5487">
        <w:rPr>
          <w:b/>
        </w:rPr>
        <w:t>.</w:t>
      </w:r>
      <w:r w:rsidR="00235B6D" w:rsidRPr="007C5487">
        <w:rPr>
          <w:b/>
        </w:rPr>
        <w:t xml:space="preserve">2b: </w:t>
      </w:r>
      <w:r w:rsidRPr="007C5487">
        <w:rPr>
          <w:b/>
        </w:rPr>
        <w:t>Unit Root Test for Dependent Variables</w:t>
      </w:r>
    </w:p>
    <w:tbl>
      <w:tblPr>
        <w:tblW w:w="5000" w:type="pct"/>
        <w:tblBorders>
          <w:top w:val="single" w:sz="4" w:space="0" w:color="auto"/>
          <w:bottom w:val="single" w:sz="4" w:space="0" w:color="auto"/>
        </w:tblBorders>
        <w:tblLook w:val="04A0" w:firstRow="1" w:lastRow="0" w:firstColumn="1" w:lastColumn="0" w:noHBand="0" w:noVBand="1"/>
      </w:tblPr>
      <w:tblGrid>
        <w:gridCol w:w="1310"/>
        <w:gridCol w:w="3786"/>
        <w:gridCol w:w="2935"/>
        <w:gridCol w:w="1211"/>
      </w:tblGrid>
      <w:tr w:rsidR="00CB42B2" w:rsidRPr="007C5487" w:rsidTr="00CB42B2">
        <w:trPr>
          <w:trHeight w:hRule="exact" w:val="288"/>
        </w:trPr>
        <w:tc>
          <w:tcPr>
            <w:tcW w:w="709" w:type="pct"/>
            <w:tcBorders>
              <w:top w:val="single" w:sz="4" w:space="0" w:color="auto"/>
              <w:bottom w:val="single" w:sz="4" w:space="0" w:color="auto"/>
            </w:tcBorders>
            <w:vAlign w:val="center"/>
          </w:tcPr>
          <w:p w:rsidR="00CB42B2" w:rsidRPr="007C5487" w:rsidRDefault="00CB42B2" w:rsidP="007C5487">
            <w:pPr>
              <w:spacing w:after="0" w:line="360" w:lineRule="auto"/>
              <w:jc w:val="both"/>
            </w:pPr>
            <w:r w:rsidRPr="007C5487">
              <w:t>EX-RET</w:t>
            </w:r>
          </w:p>
        </w:tc>
        <w:tc>
          <w:tcPr>
            <w:tcW w:w="2048" w:type="pct"/>
            <w:tcBorders>
              <w:top w:val="single" w:sz="4" w:space="0" w:color="auto"/>
              <w:bottom w:val="single" w:sz="4" w:space="0" w:color="auto"/>
            </w:tcBorders>
            <w:vAlign w:val="center"/>
          </w:tcPr>
          <w:p w:rsidR="00CB42B2" w:rsidRPr="007C5487" w:rsidRDefault="00CB42B2" w:rsidP="007C5487">
            <w:pPr>
              <w:spacing w:after="0" w:line="360" w:lineRule="auto"/>
              <w:jc w:val="both"/>
            </w:pPr>
            <w:r w:rsidRPr="007C5487">
              <w:t>ADF Fisher Chi-Square t-Stat</w:t>
            </w:r>
          </w:p>
        </w:tc>
        <w:tc>
          <w:tcPr>
            <w:tcW w:w="1588" w:type="pct"/>
            <w:tcBorders>
              <w:top w:val="single" w:sz="4" w:space="0" w:color="auto"/>
              <w:bottom w:val="single" w:sz="4" w:space="0" w:color="auto"/>
            </w:tcBorders>
            <w:vAlign w:val="center"/>
          </w:tcPr>
          <w:p w:rsidR="00CB42B2" w:rsidRPr="007C5487" w:rsidRDefault="00CB42B2" w:rsidP="007C5487">
            <w:pPr>
              <w:spacing w:after="0" w:line="360" w:lineRule="auto"/>
              <w:jc w:val="both"/>
            </w:pPr>
            <w:r w:rsidRPr="007C5487">
              <w:t>MacKinnon Crit. (5%)</w:t>
            </w:r>
          </w:p>
        </w:tc>
        <w:tc>
          <w:tcPr>
            <w:tcW w:w="655" w:type="pct"/>
            <w:tcBorders>
              <w:top w:val="single" w:sz="4" w:space="0" w:color="auto"/>
              <w:bottom w:val="single" w:sz="4" w:space="0" w:color="auto"/>
            </w:tcBorders>
            <w:vAlign w:val="center"/>
          </w:tcPr>
          <w:p w:rsidR="00CB42B2" w:rsidRPr="007C5487" w:rsidRDefault="00CB42B2" w:rsidP="007C5487">
            <w:pPr>
              <w:spacing w:after="0" w:line="360" w:lineRule="auto"/>
              <w:jc w:val="both"/>
            </w:pPr>
            <w:r w:rsidRPr="007C5487">
              <w:rPr>
                <w:i/>
              </w:rPr>
              <w:t>p</w:t>
            </w:r>
            <w:r w:rsidRPr="007C5487">
              <w:t>-Value</w:t>
            </w:r>
          </w:p>
        </w:tc>
      </w:tr>
      <w:tr w:rsidR="00CB42B2" w:rsidRPr="007C5487" w:rsidTr="00CB42B2">
        <w:trPr>
          <w:trHeight w:hRule="exact" w:val="288"/>
        </w:trPr>
        <w:tc>
          <w:tcPr>
            <w:tcW w:w="709" w:type="pct"/>
            <w:tcBorders>
              <w:top w:val="single" w:sz="4" w:space="0" w:color="auto"/>
            </w:tcBorders>
            <w:vAlign w:val="center"/>
          </w:tcPr>
          <w:p w:rsidR="00CB42B2" w:rsidRPr="007C5487" w:rsidRDefault="00CB42B2" w:rsidP="007C5487">
            <w:pPr>
              <w:spacing w:after="0" w:line="360" w:lineRule="auto"/>
              <w:jc w:val="both"/>
            </w:pPr>
            <w:r w:rsidRPr="007C5487">
              <w:t>Port. 1</w:t>
            </w:r>
          </w:p>
        </w:tc>
        <w:tc>
          <w:tcPr>
            <w:tcW w:w="2048" w:type="pct"/>
            <w:tcBorders>
              <w:top w:val="single" w:sz="4" w:space="0" w:color="auto"/>
            </w:tcBorders>
            <w:vAlign w:val="center"/>
          </w:tcPr>
          <w:p w:rsidR="00CB42B2" w:rsidRPr="007C5487" w:rsidRDefault="00CB42B2" w:rsidP="007C5487">
            <w:pPr>
              <w:spacing w:after="0" w:line="360" w:lineRule="auto"/>
              <w:jc w:val="both"/>
            </w:pPr>
            <w:r w:rsidRPr="007C5487">
              <w:t>-8.5160</w:t>
            </w:r>
          </w:p>
        </w:tc>
        <w:tc>
          <w:tcPr>
            <w:tcW w:w="1588" w:type="pct"/>
            <w:tcBorders>
              <w:top w:val="single" w:sz="4" w:space="0" w:color="auto"/>
            </w:tcBorders>
            <w:vAlign w:val="center"/>
          </w:tcPr>
          <w:p w:rsidR="00CB42B2" w:rsidRPr="007C5487" w:rsidRDefault="00CB42B2" w:rsidP="007C5487">
            <w:pPr>
              <w:spacing w:after="0" w:line="360" w:lineRule="auto"/>
              <w:jc w:val="both"/>
            </w:pPr>
            <w:r w:rsidRPr="007C5487">
              <w:t>-2.8887</w:t>
            </w:r>
          </w:p>
        </w:tc>
        <w:tc>
          <w:tcPr>
            <w:tcW w:w="655" w:type="pct"/>
            <w:tcBorders>
              <w:top w:val="single" w:sz="4" w:space="0" w:color="auto"/>
            </w:tcBorders>
            <w:vAlign w:val="center"/>
          </w:tcPr>
          <w:p w:rsidR="00CB42B2" w:rsidRPr="007C5487" w:rsidRDefault="00CB42B2" w:rsidP="007C5487">
            <w:pPr>
              <w:spacing w:after="0" w:line="360" w:lineRule="auto"/>
              <w:jc w:val="both"/>
            </w:pPr>
            <w:r w:rsidRPr="007C5487">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2</w:t>
            </w:r>
          </w:p>
        </w:tc>
        <w:tc>
          <w:tcPr>
            <w:tcW w:w="2048" w:type="pct"/>
            <w:vAlign w:val="center"/>
          </w:tcPr>
          <w:p w:rsidR="00CB42B2" w:rsidRPr="007C5487" w:rsidRDefault="00CB42B2" w:rsidP="007C5487">
            <w:pPr>
              <w:spacing w:after="0" w:line="360" w:lineRule="auto"/>
              <w:jc w:val="both"/>
            </w:pPr>
            <w:r w:rsidRPr="007C5487">
              <w:t>-4.0849</w:t>
            </w:r>
          </w:p>
        </w:tc>
        <w:tc>
          <w:tcPr>
            <w:tcW w:w="1588" w:type="pct"/>
            <w:vAlign w:val="center"/>
          </w:tcPr>
          <w:p w:rsidR="00CB42B2" w:rsidRPr="007C5487" w:rsidRDefault="00CB42B2" w:rsidP="007C5487">
            <w:pPr>
              <w:spacing w:after="0" w:line="360" w:lineRule="auto"/>
              <w:jc w:val="both"/>
            </w:pPr>
            <w:r w:rsidRPr="007C5487">
              <w:t>-2.8892</w:t>
            </w:r>
          </w:p>
        </w:tc>
        <w:tc>
          <w:tcPr>
            <w:tcW w:w="655" w:type="pct"/>
            <w:vAlign w:val="center"/>
          </w:tcPr>
          <w:p w:rsidR="00CB42B2" w:rsidRPr="007C5487" w:rsidRDefault="00CB42B2" w:rsidP="007C5487">
            <w:pPr>
              <w:spacing w:after="0" w:line="360" w:lineRule="auto"/>
              <w:jc w:val="both"/>
            </w:pPr>
            <w:r w:rsidRPr="007C5487">
              <w:t>0.0016</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3</w:t>
            </w:r>
          </w:p>
        </w:tc>
        <w:tc>
          <w:tcPr>
            <w:tcW w:w="2048" w:type="pct"/>
            <w:vAlign w:val="center"/>
          </w:tcPr>
          <w:p w:rsidR="00CB42B2" w:rsidRPr="007C5487" w:rsidRDefault="00CB42B2" w:rsidP="007C5487">
            <w:pPr>
              <w:spacing w:after="0" w:line="360" w:lineRule="auto"/>
              <w:jc w:val="both"/>
              <w:rPr>
                <w:b/>
              </w:rPr>
            </w:pPr>
            <w:r w:rsidRPr="007C5487">
              <w:t>-5.5349</w:t>
            </w:r>
          </w:p>
        </w:tc>
        <w:tc>
          <w:tcPr>
            <w:tcW w:w="1588" w:type="pct"/>
            <w:vAlign w:val="center"/>
          </w:tcPr>
          <w:p w:rsidR="00CB42B2" w:rsidRPr="007C5487" w:rsidRDefault="00CB42B2" w:rsidP="007C5487">
            <w:pPr>
              <w:spacing w:after="0" w:line="360" w:lineRule="auto"/>
              <w:jc w:val="both"/>
              <w:rPr>
                <w:b/>
              </w:rPr>
            </w:pPr>
            <w:r w:rsidRPr="007C5487">
              <w:t>-2.8889</w:t>
            </w:r>
          </w:p>
        </w:tc>
        <w:tc>
          <w:tcPr>
            <w:tcW w:w="655" w:type="pct"/>
            <w:vAlign w:val="center"/>
          </w:tcPr>
          <w:p w:rsidR="00CB42B2" w:rsidRPr="007C5487" w:rsidRDefault="00CB42B2" w:rsidP="007C5487">
            <w:pPr>
              <w:spacing w:after="0" w:line="360" w:lineRule="auto"/>
              <w:jc w:val="both"/>
              <w:rPr>
                <w:b/>
              </w:rPr>
            </w:pPr>
            <w:r w:rsidRPr="007C5487">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4</w:t>
            </w:r>
          </w:p>
        </w:tc>
        <w:tc>
          <w:tcPr>
            <w:tcW w:w="2048" w:type="pct"/>
            <w:vAlign w:val="center"/>
          </w:tcPr>
          <w:p w:rsidR="00CB42B2" w:rsidRPr="007C5487" w:rsidRDefault="00CB42B2" w:rsidP="007C5487">
            <w:pPr>
              <w:spacing w:after="0" w:line="360" w:lineRule="auto"/>
              <w:jc w:val="both"/>
              <w:rPr>
                <w:b/>
              </w:rPr>
            </w:pPr>
            <w:r w:rsidRPr="007C5487">
              <w:rPr>
                <w:b/>
              </w:rPr>
              <w:t>-9.4924*</w:t>
            </w:r>
          </w:p>
        </w:tc>
        <w:tc>
          <w:tcPr>
            <w:tcW w:w="1588" w:type="pct"/>
            <w:vAlign w:val="center"/>
          </w:tcPr>
          <w:p w:rsidR="00CB42B2" w:rsidRPr="007C5487" w:rsidRDefault="00CB42B2" w:rsidP="007C5487">
            <w:pPr>
              <w:spacing w:after="0" w:line="360" w:lineRule="auto"/>
              <w:jc w:val="both"/>
              <w:rPr>
                <w:b/>
              </w:rPr>
            </w:pPr>
            <w:r w:rsidRPr="007C5487">
              <w:rPr>
                <w:b/>
              </w:rPr>
              <w:t>-2.8898</w:t>
            </w:r>
          </w:p>
        </w:tc>
        <w:tc>
          <w:tcPr>
            <w:tcW w:w="655" w:type="pct"/>
            <w:vAlign w:val="center"/>
          </w:tcPr>
          <w:p w:rsidR="00CB42B2" w:rsidRPr="007C5487" w:rsidRDefault="00CB42B2" w:rsidP="007C5487">
            <w:pPr>
              <w:spacing w:after="0" w:line="360" w:lineRule="auto"/>
              <w:jc w:val="both"/>
              <w:rPr>
                <w:b/>
              </w:rPr>
            </w:pPr>
            <w:r w:rsidRPr="007C5487">
              <w:rPr>
                <w:b/>
              </w:rPr>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5</w:t>
            </w:r>
          </w:p>
        </w:tc>
        <w:tc>
          <w:tcPr>
            <w:tcW w:w="2048" w:type="pct"/>
            <w:vAlign w:val="center"/>
          </w:tcPr>
          <w:p w:rsidR="00CB42B2" w:rsidRPr="007C5487" w:rsidRDefault="00CB42B2" w:rsidP="007C5487">
            <w:pPr>
              <w:spacing w:after="0" w:line="360" w:lineRule="auto"/>
              <w:jc w:val="both"/>
              <w:rPr>
                <w:b/>
              </w:rPr>
            </w:pPr>
            <w:r w:rsidRPr="007C5487">
              <w:t>-4.1382</w:t>
            </w:r>
          </w:p>
        </w:tc>
        <w:tc>
          <w:tcPr>
            <w:tcW w:w="1588" w:type="pct"/>
            <w:vAlign w:val="center"/>
          </w:tcPr>
          <w:p w:rsidR="00CB42B2" w:rsidRPr="007C5487" w:rsidRDefault="00CB42B2" w:rsidP="007C5487">
            <w:pPr>
              <w:spacing w:after="0" w:line="360" w:lineRule="auto"/>
              <w:jc w:val="both"/>
              <w:rPr>
                <w:b/>
              </w:rPr>
            </w:pPr>
            <w:r w:rsidRPr="007C5487">
              <w:t>-2.8892</w:t>
            </w:r>
          </w:p>
        </w:tc>
        <w:tc>
          <w:tcPr>
            <w:tcW w:w="655" w:type="pct"/>
            <w:vAlign w:val="center"/>
          </w:tcPr>
          <w:p w:rsidR="00CB42B2" w:rsidRPr="007C5487" w:rsidRDefault="00CB42B2" w:rsidP="007C5487">
            <w:pPr>
              <w:spacing w:after="0" w:line="360" w:lineRule="auto"/>
              <w:jc w:val="both"/>
              <w:rPr>
                <w:b/>
              </w:rPr>
            </w:pPr>
            <w:r w:rsidRPr="007C5487">
              <w:t>0.0013</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6</w:t>
            </w:r>
          </w:p>
        </w:tc>
        <w:tc>
          <w:tcPr>
            <w:tcW w:w="2048" w:type="pct"/>
            <w:vAlign w:val="center"/>
          </w:tcPr>
          <w:p w:rsidR="00CB42B2" w:rsidRPr="007C5487" w:rsidRDefault="00CB42B2" w:rsidP="007C5487">
            <w:pPr>
              <w:spacing w:after="0" w:line="360" w:lineRule="auto"/>
              <w:jc w:val="both"/>
              <w:rPr>
                <w:b/>
              </w:rPr>
            </w:pPr>
            <w:r w:rsidRPr="007C5487">
              <w:rPr>
                <w:b/>
              </w:rPr>
              <w:t>-11.1917*</w:t>
            </w:r>
          </w:p>
        </w:tc>
        <w:tc>
          <w:tcPr>
            <w:tcW w:w="1588" w:type="pct"/>
            <w:vAlign w:val="center"/>
          </w:tcPr>
          <w:p w:rsidR="00CB42B2" w:rsidRPr="007C5487" w:rsidRDefault="00CB42B2" w:rsidP="007C5487">
            <w:pPr>
              <w:spacing w:after="0" w:line="360" w:lineRule="auto"/>
              <w:jc w:val="both"/>
              <w:rPr>
                <w:b/>
              </w:rPr>
            </w:pPr>
            <w:r w:rsidRPr="007C5487">
              <w:rPr>
                <w:b/>
              </w:rPr>
              <w:t>-2.8898</w:t>
            </w:r>
          </w:p>
        </w:tc>
        <w:tc>
          <w:tcPr>
            <w:tcW w:w="655" w:type="pct"/>
            <w:vAlign w:val="center"/>
          </w:tcPr>
          <w:p w:rsidR="00CB42B2" w:rsidRPr="007C5487" w:rsidRDefault="00CB42B2" w:rsidP="007C5487">
            <w:pPr>
              <w:spacing w:after="0" w:line="360" w:lineRule="auto"/>
              <w:jc w:val="both"/>
              <w:rPr>
                <w:b/>
              </w:rPr>
            </w:pPr>
            <w:r w:rsidRPr="007C5487">
              <w:rPr>
                <w:b/>
              </w:rPr>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7</w:t>
            </w:r>
          </w:p>
        </w:tc>
        <w:tc>
          <w:tcPr>
            <w:tcW w:w="2048" w:type="pct"/>
            <w:vAlign w:val="center"/>
          </w:tcPr>
          <w:p w:rsidR="00CB42B2" w:rsidRPr="007C5487" w:rsidRDefault="00CB42B2" w:rsidP="007C5487">
            <w:pPr>
              <w:spacing w:after="0" w:line="360" w:lineRule="auto"/>
              <w:jc w:val="both"/>
              <w:rPr>
                <w:b/>
              </w:rPr>
            </w:pPr>
            <w:r w:rsidRPr="007C5487">
              <w:t>-10.3239</w:t>
            </w:r>
          </w:p>
        </w:tc>
        <w:tc>
          <w:tcPr>
            <w:tcW w:w="1588" w:type="pct"/>
            <w:vAlign w:val="center"/>
          </w:tcPr>
          <w:p w:rsidR="00CB42B2" w:rsidRPr="007C5487" w:rsidRDefault="00CB42B2" w:rsidP="007C5487">
            <w:pPr>
              <w:spacing w:after="0" w:line="360" w:lineRule="auto"/>
              <w:jc w:val="both"/>
              <w:rPr>
                <w:b/>
              </w:rPr>
            </w:pPr>
            <w:r w:rsidRPr="007C5487">
              <w:t>-2.8887</w:t>
            </w:r>
          </w:p>
        </w:tc>
        <w:tc>
          <w:tcPr>
            <w:tcW w:w="655" w:type="pct"/>
            <w:vAlign w:val="center"/>
          </w:tcPr>
          <w:p w:rsidR="00CB42B2" w:rsidRPr="007C5487" w:rsidRDefault="00CB42B2" w:rsidP="007C5487">
            <w:pPr>
              <w:spacing w:after="0" w:line="360" w:lineRule="auto"/>
              <w:jc w:val="both"/>
              <w:rPr>
                <w:b/>
              </w:rPr>
            </w:pPr>
            <w:r w:rsidRPr="007C5487">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8</w:t>
            </w:r>
          </w:p>
        </w:tc>
        <w:tc>
          <w:tcPr>
            <w:tcW w:w="2048" w:type="pct"/>
            <w:vAlign w:val="center"/>
          </w:tcPr>
          <w:p w:rsidR="00CB42B2" w:rsidRPr="007C5487" w:rsidRDefault="00CB42B2" w:rsidP="007C5487">
            <w:pPr>
              <w:spacing w:after="0" w:line="360" w:lineRule="auto"/>
              <w:jc w:val="both"/>
              <w:rPr>
                <w:b/>
              </w:rPr>
            </w:pPr>
            <w:r w:rsidRPr="007C5487">
              <w:t>-5.4335</w:t>
            </w:r>
          </w:p>
        </w:tc>
        <w:tc>
          <w:tcPr>
            <w:tcW w:w="1588" w:type="pct"/>
            <w:vAlign w:val="center"/>
          </w:tcPr>
          <w:p w:rsidR="00CB42B2" w:rsidRPr="007C5487" w:rsidRDefault="00CB42B2" w:rsidP="007C5487">
            <w:pPr>
              <w:spacing w:after="0" w:line="360" w:lineRule="auto"/>
              <w:jc w:val="both"/>
              <w:rPr>
                <w:b/>
              </w:rPr>
            </w:pPr>
            <w:r w:rsidRPr="007C5487">
              <w:t>-2.8889</w:t>
            </w:r>
          </w:p>
        </w:tc>
        <w:tc>
          <w:tcPr>
            <w:tcW w:w="655" w:type="pct"/>
            <w:vAlign w:val="center"/>
          </w:tcPr>
          <w:p w:rsidR="00CB42B2" w:rsidRPr="007C5487" w:rsidRDefault="00CB42B2" w:rsidP="007C5487">
            <w:pPr>
              <w:spacing w:after="0" w:line="360" w:lineRule="auto"/>
              <w:jc w:val="both"/>
              <w:rPr>
                <w:b/>
              </w:rPr>
            </w:pPr>
            <w:r w:rsidRPr="007C5487">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9</w:t>
            </w:r>
          </w:p>
        </w:tc>
        <w:tc>
          <w:tcPr>
            <w:tcW w:w="2048" w:type="pct"/>
            <w:vAlign w:val="center"/>
          </w:tcPr>
          <w:p w:rsidR="00CB42B2" w:rsidRPr="007C5487" w:rsidRDefault="00CB42B2" w:rsidP="007C5487">
            <w:pPr>
              <w:spacing w:after="0" w:line="360" w:lineRule="auto"/>
              <w:jc w:val="both"/>
              <w:rPr>
                <w:b/>
              </w:rPr>
            </w:pPr>
            <w:r w:rsidRPr="007C5487">
              <w:t>-5.3925</w:t>
            </w:r>
          </w:p>
        </w:tc>
        <w:tc>
          <w:tcPr>
            <w:tcW w:w="1588" w:type="pct"/>
            <w:vAlign w:val="center"/>
          </w:tcPr>
          <w:p w:rsidR="00CB42B2" w:rsidRPr="007C5487" w:rsidRDefault="00CB42B2" w:rsidP="007C5487">
            <w:pPr>
              <w:spacing w:after="0" w:line="360" w:lineRule="auto"/>
              <w:jc w:val="both"/>
              <w:rPr>
                <w:b/>
              </w:rPr>
            </w:pPr>
            <w:r w:rsidRPr="007C5487">
              <w:t>-2.8889</w:t>
            </w:r>
          </w:p>
        </w:tc>
        <w:tc>
          <w:tcPr>
            <w:tcW w:w="655" w:type="pct"/>
            <w:vAlign w:val="center"/>
          </w:tcPr>
          <w:p w:rsidR="00CB42B2" w:rsidRPr="007C5487" w:rsidRDefault="00CB42B2" w:rsidP="007C5487">
            <w:pPr>
              <w:spacing w:after="0" w:line="360" w:lineRule="auto"/>
              <w:jc w:val="both"/>
              <w:rPr>
                <w:b/>
              </w:rPr>
            </w:pPr>
            <w:r w:rsidRPr="007C5487">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10</w:t>
            </w:r>
          </w:p>
        </w:tc>
        <w:tc>
          <w:tcPr>
            <w:tcW w:w="2048" w:type="pct"/>
            <w:vAlign w:val="center"/>
          </w:tcPr>
          <w:p w:rsidR="00CB42B2" w:rsidRPr="007C5487" w:rsidRDefault="00CB42B2" w:rsidP="007C5487">
            <w:pPr>
              <w:spacing w:after="0" w:line="360" w:lineRule="auto"/>
              <w:jc w:val="both"/>
              <w:rPr>
                <w:b/>
              </w:rPr>
            </w:pPr>
            <w:r w:rsidRPr="007C5487">
              <w:t>-11.7273</w:t>
            </w:r>
          </w:p>
        </w:tc>
        <w:tc>
          <w:tcPr>
            <w:tcW w:w="1588" w:type="pct"/>
            <w:vAlign w:val="center"/>
          </w:tcPr>
          <w:p w:rsidR="00CB42B2" w:rsidRPr="007C5487" w:rsidRDefault="00CB42B2" w:rsidP="007C5487">
            <w:pPr>
              <w:spacing w:after="0" w:line="360" w:lineRule="auto"/>
              <w:jc w:val="both"/>
              <w:rPr>
                <w:b/>
              </w:rPr>
            </w:pPr>
            <w:r w:rsidRPr="007C5487">
              <w:t>-2.8887</w:t>
            </w:r>
          </w:p>
        </w:tc>
        <w:tc>
          <w:tcPr>
            <w:tcW w:w="655" w:type="pct"/>
            <w:vAlign w:val="center"/>
          </w:tcPr>
          <w:p w:rsidR="00CB42B2" w:rsidRPr="007C5487" w:rsidRDefault="00CB42B2" w:rsidP="007C5487">
            <w:pPr>
              <w:spacing w:after="0" w:line="360" w:lineRule="auto"/>
              <w:jc w:val="both"/>
              <w:rPr>
                <w:b/>
              </w:rPr>
            </w:pPr>
            <w:r w:rsidRPr="007C5487">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11</w:t>
            </w:r>
          </w:p>
        </w:tc>
        <w:tc>
          <w:tcPr>
            <w:tcW w:w="2048" w:type="pct"/>
            <w:vAlign w:val="center"/>
          </w:tcPr>
          <w:p w:rsidR="00CB42B2" w:rsidRPr="007C5487" w:rsidRDefault="00CB42B2" w:rsidP="007C5487">
            <w:pPr>
              <w:spacing w:after="0" w:line="360" w:lineRule="auto"/>
              <w:jc w:val="both"/>
              <w:rPr>
                <w:b/>
              </w:rPr>
            </w:pPr>
            <w:r w:rsidRPr="007C5487">
              <w:t>-5.6378</w:t>
            </w:r>
          </w:p>
        </w:tc>
        <w:tc>
          <w:tcPr>
            <w:tcW w:w="1588" w:type="pct"/>
            <w:vAlign w:val="center"/>
          </w:tcPr>
          <w:p w:rsidR="00CB42B2" w:rsidRPr="007C5487" w:rsidRDefault="00CB42B2" w:rsidP="007C5487">
            <w:pPr>
              <w:spacing w:after="0" w:line="360" w:lineRule="auto"/>
              <w:jc w:val="both"/>
              <w:rPr>
                <w:b/>
              </w:rPr>
            </w:pPr>
            <w:r w:rsidRPr="007C5487">
              <w:t>-2.8889</w:t>
            </w:r>
          </w:p>
        </w:tc>
        <w:tc>
          <w:tcPr>
            <w:tcW w:w="655" w:type="pct"/>
            <w:vAlign w:val="center"/>
          </w:tcPr>
          <w:p w:rsidR="00CB42B2" w:rsidRPr="007C5487" w:rsidRDefault="00CB42B2" w:rsidP="007C5487">
            <w:pPr>
              <w:spacing w:after="0" w:line="360" w:lineRule="auto"/>
              <w:jc w:val="both"/>
              <w:rPr>
                <w:b/>
              </w:rPr>
            </w:pPr>
            <w:r w:rsidRPr="007C5487">
              <w:t>0.0000</w:t>
            </w:r>
          </w:p>
        </w:tc>
      </w:tr>
      <w:tr w:rsidR="00CB42B2" w:rsidRPr="007C5487" w:rsidTr="00CB42B2">
        <w:trPr>
          <w:trHeight w:hRule="exact" w:val="288"/>
        </w:trPr>
        <w:tc>
          <w:tcPr>
            <w:tcW w:w="709" w:type="pct"/>
            <w:vAlign w:val="center"/>
          </w:tcPr>
          <w:p w:rsidR="00CB42B2" w:rsidRPr="007C5487" w:rsidRDefault="00CB42B2" w:rsidP="007C5487">
            <w:pPr>
              <w:spacing w:after="0" w:line="360" w:lineRule="auto"/>
              <w:jc w:val="both"/>
            </w:pPr>
            <w:r w:rsidRPr="007C5487">
              <w:t>12</w:t>
            </w:r>
          </w:p>
        </w:tc>
        <w:tc>
          <w:tcPr>
            <w:tcW w:w="2048" w:type="pct"/>
            <w:vAlign w:val="center"/>
          </w:tcPr>
          <w:p w:rsidR="00CB42B2" w:rsidRPr="007C5487" w:rsidRDefault="00CB42B2" w:rsidP="007C5487">
            <w:pPr>
              <w:spacing w:after="0" w:line="360" w:lineRule="auto"/>
              <w:jc w:val="both"/>
              <w:rPr>
                <w:b/>
              </w:rPr>
            </w:pPr>
            <w:r w:rsidRPr="007C5487">
              <w:t>-4.4265</w:t>
            </w:r>
          </w:p>
        </w:tc>
        <w:tc>
          <w:tcPr>
            <w:tcW w:w="1588" w:type="pct"/>
            <w:vAlign w:val="center"/>
          </w:tcPr>
          <w:p w:rsidR="00CB42B2" w:rsidRPr="007C5487" w:rsidRDefault="00CB42B2" w:rsidP="007C5487">
            <w:pPr>
              <w:spacing w:after="0" w:line="360" w:lineRule="auto"/>
              <w:jc w:val="both"/>
              <w:rPr>
                <w:b/>
              </w:rPr>
            </w:pPr>
            <w:r w:rsidRPr="007C5487">
              <w:t>-2.8892</w:t>
            </w:r>
          </w:p>
        </w:tc>
        <w:tc>
          <w:tcPr>
            <w:tcW w:w="655" w:type="pct"/>
            <w:vAlign w:val="center"/>
          </w:tcPr>
          <w:p w:rsidR="00CB42B2" w:rsidRPr="007C5487" w:rsidRDefault="00CB42B2" w:rsidP="007C5487">
            <w:pPr>
              <w:spacing w:after="0" w:line="360" w:lineRule="auto"/>
              <w:jc w:val="both"/>
              <w:rPr>
                <w:b/>
              </w:rPr>
            </w:pPr>
            <w:r w:rsidRPr="007C5487">
              <w:t>0.0005</w:t>
            </w:r>
          </w:p>
        </w:tc>
      </w:tr>
    </w:tbl>
    <w:p w:rsidR="007761C0" w:rsidRPr="007C5487" w:rsidRDefault="007761C0" w:rsidP="007C5487">
      <w:pPr>
        <w:pStyle w:val="ListParagraph"/>
        <w:spacing w:after="0" w:line="360" w:lineRule="auto"/>
        <w:ind w:left="360"/>
        <w:jc w:val="both"/>
        <w:rPr>
          <w:rFonts w:ascii="Times New Roman" w:hAnsi="Times New Roman" w:cs="Times New Roman"/>
          <w:sz w:val="24"/>
          <w:szCs w:val="24"/>
        </w:rPr>
      </w:pPr>
      <w:r w:rsidRPr="007C5487">
        <w:rPr>
          <w:rFonts w:ascii="Times New Roman" w:hAnsi="Times New Roman" w:cs="Times New Roman"/>
          <w:b/>
          <w:sz w:val="24"/>
          <w:szCs w:val="24"/>
        </w:rPr>
        <w:t>*</w:t>
      </w:r>
      <w:r w:rsidRPr="007C5487">
        <w:rPr>
          <w:rFonts w:ascii="Times New Roman" w:hAnsi="Times New Roman" w:cs="Times New Roman"/>
          <w:sz w:val="24"/>
          <w:szCs w:val="24"/>
        </w:rPr>
        <w:t>denotes variable stationary at 1</w:t>
      </w:r>
      <w:r w:rsidRPr="007C5487">
        <w:rPr>
          <w:rFonts w:ascii="Times New Roman" w:hAnsi="Times New Roman" w:cs="Times New Roman"/>
          <w:sz w:val="24"/>
          <w:szCs w:val="24"/>
          <w:vertAlign w:val="superscript"/>
        </w:rPr>
        <w:t>st</w:t>
      </w:r>
      <w:r w:rsidRPr="007C5487">
        <w:rPr>
          <w:rFonts w:ascii="Times New Roman" w:hAnsi="Times New Roman" w:cs="Times New Roman"/>
          <w:sz w:val="24"/>
          <w:szCs w:val="24"/>
        </w:rPr>
        <w:t xml:space="preserve"> difference</w:t>
      </w:r>
    </w:p>
    <w:p w:rsidR="00BB4CA6" w:rsidRPr="007C5487" w:rsidRDefault="004C3359" w:rsidP="007C5487">
      <w:pPr>
        <w:autoSpaceDE w:val="0"/>
        <w:autoSpaceDN w:val="0"/>
        <w:adjustRightInd w:val="0"/>
        <w:spacing w:after="0" w:line="360" w:lineRule="auto"/>
        <w:jc w:val="both"/>
      </w:pPr>
      <w:r w:rsidRPr="007C5487">
        <w:t xml:space="preserve">From the results in Table </w:t>
      </w:r>
      <w:r w:rsidR="009C2714">
        <w:t>6</w:t>
      </w:r>
      <w:r w:rsidR="00225140" w:rsidRPr="007C5487">
        <w:t>.</w:t>
      </w:r>
      <w:r w:rsidRPr="007C5487">
        <w:t>2</w:t>
      </w:r>
      <w:r w:rsidR="00235B6D" w:rsidRPr="007C5487">
        <w:t>(a), the null hypothesis of unit root is not supported for all variables and interacting terms at level.</w:t>
      </w:r>
      <w:r w:rsidR="002429F3">
        <w:t xml:space="preserve"> Further, r</w:t>
      </w:r>
      <w:r w:rsidRPr="007C5487">
        <w:t xml:space="preserve">esults in Table </w:t>
      </w:r>
      <w:r w:rsidR="009C2714">
        <w:t>6</w:t>
      </w:r>
      <w:r w:rsidR="00225140" w:rsidRPr="007C5487">
        <w:t>.</w:t>
      </w:r>
      <w:r w:rsidRPr="007C5487">
        <w:t xml:space="preserve">2(b) show that </w:t>
      </w:r>
      <w:r w:rsidR="007761C0" w:rsidRPr="007C5487">
        <w:t xml:space="preserve">excess return on </w:t>
      </w:r>
      <w:r w:rsidRPr="007C5487">
        <w:t xml:space="preserve">portfolio 4 </w:t>
      </w:r>
      <w:r w:rsidR="007761C0" w:rsidRPr="007C5487">
        <w:t xml:space="preserve">(t = -9.4924, </w:t>
      </w:r>
      <w:r w:rsidR="007761C0" w:rsidRPr="007C5487">
        <w:rPr>
          <w:i/>
        </w:rPr>
        <w:t>p</w:t>
      </w:r>
      <w:r w:rsidR="007761C0" w:rsidRPr="007C5487">
        <w:t xml:space="preserve">-value = 0.0000) and </w:t>
      </w:r>
      <w:r w:rsidRPr="007C5487">
        <w:t xml:space="preserve">portfolio 6 </w:t>
      </w:r>
      <w:r w:rsidR="007761C0" w:rsidRPr="007C5487">
        <w:t xml:space="preserve">(t = -11.1917, </w:t>
      </w:r>
      <w:r w:rsidR="007761C0" w:rsidRPr="007C5487">
        <w:rPr>
          <w:i/>
        </w:rPr>
        <w:t>p</w:t>
      </w:r>
      <w:r w:rsidR="00CB42B2">
        <w:t>-value = 0.0000) were</w:t>
      </w:r>
      <w:r w:rsidR="007761C0" w:rsidRPr="007C5487">
        <w:t xml:space="preserve"> stationary at f</w:t>
      </w:r>
      <w:r w:rsidR="00CB42B2">
        <w:t xml:space="preserve">irst difference on the ADF test. </w:t>
      </w:r>
      <w:r w:rsidR="004F3864" w:rsidRPr="007C5487">
        <w:t>Narayan (2005) recommends performance of b</w:t>
      </w:r>
      <w:r w:rsidR="00BB4CA6" w:rsidRPr="007C5487">
        <w:t>ounds test of co-integration</w:t>
      </w:r>
      <w:r w:rsidR="004F3864" w:rsidRPr="007C5487">
        <w:t xml:space="preserve"> </w:t>
      </w:r>
      <w:r w:rsidR="0086485A" w:rsidRPr="007C5487">
        <w:t xml:space="preserve">in circumstances </w:t>
      </w:r>
      <w:r w:rsidR="004F3864" w:rsidRPr="007C5487">
        <w:t xml:space="preserve">where variables display a combination of </w:t>
      </w:r>
      <w:r w:rsidR="004F3864" w:rsidRPr="007C5487">
        <w:rPr>
          <w:i/>
        </w:rPr>
        <w:t>I</w:t>
      </w:r>
      <w:r w:rsidR="004F3864" w:rsidRPr="007C5487">
        <w:t xml:space="preserve">(0) and </w:t>
      </w:r>
      <w:r w:rsidR="004F3864" w:rsidRPr="007C5487">
        <w:rPr>
          <w:i/>
        </w:rPr>
        <w:t>I</w:t>
      </w:r>
      <w:r w:rsidR="004F3864" w:rsidRPr="007C5487">
        <w:t>(1) series.</w:t>
      </w:r>
    </w:p>
    <w:p w:rsidR="00F15E62" w:rsidRPr="007C5487" w:rsidRDefault="00F15E62" w:rsidP="007C5487">
      <w:pPr>
        <w:autoSpaceDE w:val="0"/>
        <w:autoSpaceDN w:val="0"/>
        <w:adjustRightInd w:val="0"/>
        <w:spacing w:after="0" w:line="360" w:lineRule="auto"/>
        <w:jc w:val="both"/>
      </w:pPr>
    </w:p>
    <w:p w:rsidR="004F3864" w:rsidRPr="007C5487" w:rsidRDefault="009C2714" w:rsidP="007C5487">
      <w:pPr>
        <w:autoSpaceDE w:val="0"/>
        <w:autoSpaceDN w:val="0"/>
        <w:adjustRightInd w:val="0"/>
        <w:spacing w:after="0" w:line="360" w:lineRule="auto"/>
        <w:jc w:val="both"/>
        <w:rPr>
          <w:b/>
        </w:rPr>
      </w:pPr>
      <w:r>
        <w:rPr>
          <w:b/>
        </w:rPr>
        <w:t>6</w:t>
      </w:r>
      <w:r w:rsidR="00D973FD">
        <w:rPr>
          <w:b/>
        </w:rPr>
        <w:t xml:space="preserve">.3 </w:t>
      </w:r>
      <w:proofErr w:type="spellStart"/>
      <w:r w:rsidR="00F15E62" w:rsidRPr="007C5487">
        <w:rPr>
          <w:b/>
        </w:rPr>
        <w:t>Cointegration</w:t>
      </w:r>
      <w:proofErr w:type="spellEnd"/>
    </w:p>
    <w:p w:rsidR="00BB4CA6" w:rsidRPr="007C5487" w:rsidRDefault="009C2714" w:rsidP="007C5487">
      <w:pPr>
        <w:spacing w:after="0" w:line="360" w:lineRule="auto"/>
        <w:jc w:val="both"/>
      </w:pPr>
      <w:r>
        <w:t>Table 6</w:t>
      </w:r>
      <w:r w:rsidR="005376AF" w:rsidRPr="007C5487">
        <w:t>.3</w:t>
      </w:r>
      <w:r w:rsidR="00BB4CA6" w:rsidRPr="007C5487">
        <w:t xml:space="preserve"> F-Bounds Co-integration Test</w:t>
      </w:r>
    </w:p>
    <w:tbl>
      <w:tblPr>
        <w:tblW w:w="9455" w:type="dxa"/>
        <w:tblLook w:val="04A0" w:firstRow="1" w:lastRow="0" w:firstColumn="1" w:lastColumn="0" w:noHBand="0" w:noVBand="1"/>
      </w:tblPr>
      <w:tblGrid>
        <w:gridCol w:w="2058"/>
        <w:gridCol w:w="1400"/>
        <w:gridCol w:w="1336"/>
        <w:gridCol w:w="1452"/>
        <w:gridCol w:w="1996"/>
        <w:gridCol w:w="1213"/>
      </w:tblGrid>
      <w:tr w:rsidR="00BB4CA6" w:rsidRPr="007C5487" w:rsidTr="00363E71">
        <w:trPr>
          <w:trHeight w:hRule="exact" w:val="288"/>
        </w:trPr>
        <w:tc>
          <w:tcPr>
            <w:tcW w:w="2058" w:type="dxa"/>
            <w:tcBorders>
              <w:top w:val="single" w:sz="4" w:space="0" w:color="auto"/>
              <w:bottom w:val="single" w:sz="4" w:space="0" w:color="auto"/>
            </w:tcBorders>
          </w:tcPr>
          <w:p w:rsidR="00BB4CA6" w:rsidRPr="007C5487" w:rsidRDefault="00BB4CA6" w:rsidP="007C5487">
            <w:pPr>
              <w:spacing w:after="0" w:line="360" w:lineRule="auto"/>
              <w:jc w:val="both"/>
            </w:pPr>
            <w:r w:rsidRPr="007C5487">
              <w:t>Series</w:t>
            </w:r>
          </w:p>
        </w:tc>
        <w:tc>
          <w:tcPr>
            <w:tcW w:w="0" w:type="auto"/>
            <w:tcBorders>
              <w:top w:val="single" w:sz="4" w:space="0" w:color="auto"/>
              <w:bottom w:val="single" w:sz="4" w:space="0" w:color="auto"/>
            </w:tcBorders>
          </w:tcPr>
          <w:p w:rsidR="00BB4CA6" w:rsidRPr="007C5487" w:rsidRDefault="00363E71" w:rsidP="007C5487">
            <w:pPr>
              <w:spacing w:after="0" w:line="360" w:lineRule="auto"/>
              <w:jc w:val="both"/>
            </w:pPr>
            <w:r>
              <w:t>Test Stat.</w:t>
            </w:r>
          </w:p>
        </w:tc>
        <w:tc>
          <w:tcPr>
            <w:tcW w:w="1336" w:type="dxa"/>
            <w:tcBorders>
              <w:top w:val="single" w:sz="4" w:space="0" w:color="auto"/>
              <w:bottom w:val="single" w:sz="4" w:space="0" w:color="auto"/>
            </w:tcBorders>
          </w:tcPr>
          <w:p w:rsidR="00BB4CA6" w:rsidRPr="007C5487" w:rsidRDefault="00BB4CA6" w:rsidP="007C5487">
            <w:pPr>
              <w:spacing w:after="0" w:line="360" w:lineRule="auto"/>
              <w:jc w:val="both"/>
            </w:pPr>
            <w:r w:rsidRPr="007C5487">
              <w:t>Sig.</w:t>
            </w:r>
          </w:p>
        </w:tc>
        <w:tc>
          <w:tcPr>
            <w:tcW w:w="1452" w:type="dxa"/>
            <w:tcBorders>
              <w:top w:val="single" w:sz="4" w:space="0" w:color="auto"/>
              <w:bottom w:val="single" w:sz="4" w:space="0" w:color="auto"/>
            </w:tcBorders>
          </w:tcPr>
          <w:p w:rsidR="00BB4CA6" w:rsidRPr="007C5487" w:rsidRDefault="00BB4CA6" w:rsidP="007C5487">
            <w:pPr>
              <w:spacing w:after="0" w:line="360" w:lineRule="auto"/>
              <w:jc w:val="both"/>
            </w:pPr>
            <w:r w:rsidRPr="007C5487">
              <w:t xml:space="preserve">Lower Bound </w:t>
            </w:r>
            <w:r w:rsidRPr="007C5487">
              <w:rPr>
                <w:i/>
              </w:rPr>
              <w:t>I</w:t>
            </w:r>
            <w:r w:rsidRPr="007C5487">
              <w:t>(0)</w:t>
            </w:r>
          </w:p>
        </w:tc>
        <w:tc>
          <w:tcPr>
            <w:tcW w:w="0" w:type="auto"/>
            <w:tcBorders>
              <w:top w:val="single" w:sz="4" w:space="0" w:color="auto"/>
              <w:bottom w:val="single" w:sz="4" w:space="0" w:color="auto"/>
            </w:tcBorders>
          </w:tcPr>
          <w:p w:rsidR="00BB4CA6" w:rsidRPr="007C5487" w:rsidRDefault="00BB4CA6" w:rsidP="007C5487">
            <w:pPr>
              <w:spacing w:after="0" w:line="360" w:lineRule="auto"/>
              <w:jc w:val="both"/>
            </w:pPr>
            <w:r w:rsidRPr="007C5487">
              <w:t>Upper Bound</w:t>
            </w:r>
            <w:r w:rsidRPr="007C5487">
              <w:rPr>
                <w:i/>
              </w:rPr>
              <w:t xml:space="preserve"> I</w:t>
            </w:r>
            <w:r w:rsidRPr="007C5487">
              <w:t>(1)</w:t>
            </w:r>
          </w:p>
        </w:tc>
        <w:tc>
          <w:tcPr>
            <w:tcW w:w="0" w:type="auto"/>
            <w:tcBorders>
              <w:top w:val="single" w:sz="4" w:space="0" w:color="auto"/>
              <w:bottom w:val="single" w:sz="4" w:space="0" w:color="auto"/>
            </w:tcBorders>
          </w:tcPr>
          <w:p w:rsidR="00BB4CA6" w:rsidRPr="007C5487" w:rsidRDefault="00BB4CA6" w:rsidP="007C5487">
            <w:pPr>
              <w:spacing w:after="0" w:line="360" w:lineRule="auto"/>
              <w:jc w:val="both"/>
            </w:pPr>
            <w:r w:rsidRPr="007C5487">
              <w:t xml:space="preserve">Null </w:t>
            </w:r>
            <w:proofErr w:type="spellStart"/>
            <w:r w:rsidRPr="007C5487">
              <w:t>Hyp</w:t>
            </w:r>
            <w:proofErr w:type="spellEnd"/>
            <w:r w:rsidRPr="007C5487">
              <w:t>.</w:t>
            </w:r>
          </w:p>
        </w:tc>
      </w:tr>
      <w:tr w:rsidR="00BB4CA6" w:rsidRPr="007C5487" w:rsidTr="00363E71">
        <w:trPr>
          <w:trHeight w:hRule="exact" w:val="288"/>
        </w:trPr>
        <w:tc>
          <w:tcPr>
            <w:tcW w:w="2058" w:type="dxa"/>
            <w:tcBorders>
              <w:top w:val="single" w:sz="4" w:space="0" w:color="auto"/>
              <w:bottom w:val="single" w:sz="4" w:space="0" w:color="auto"/>
            </w:tcBorders>
          </w:tcPr>
          <w:p w:rsidR="00BB4CA6" w:rsidRPr="007C5487" w:rsidRDefault="00363E71" w:rsidP="007C5487">
            <w:pPr>
              <w:spacing w:after="0" w:line="360" w:lineRule="auto"/>
              <w:jc w:val="both"/>
            </w:pPr>
            <w:r>
              <w:t>Port 1-12</w:t>
            </w:r>
          </w:p>
        </w:tc>
        <w:tc>
          <w:tcPr>
            <w:tcW w:w="0" w:type="auto"/>
            <w:tcBorders>
              <w:top w:val="single" w:sz="4" w:space="0" w:color="auto"/>
              <w:bottom w:val="single" w:sz="4" w:space="0" w:color="auto"/>
            </w:tcBorders>
          </w:tcPr>
          <w:p w:rsidR="00BB4CA6" w:rsidRPr="007C5487" w:rsidRDefault="00363E71" w:rsidP="00363E71">
            <w:pPr>
              <w:spacing w:after="0" w:line="360" w:lineRule="auto"/>
              <w:jc w:val="both"/>
            </w:pPr>
            <w:r>
              <w:t xml:space="preserve">F stat &gt; </w:t>
            </w:r>
            <w:r w:rsidRPr="00363E71">
              <w:rPr>
                <w:i/>
              </w:rPr>
              <w:t>I</w:t>
            </w:r>
            <w:r>
              <w:t>(1)</w:t>
            </w:r>
          </w:p>
        </w:tc>
        <w:tc>
          <w:tcPr>
            <w:tcW w:w="1336" w:type="dxa"/>
            <w:tcBorders>
              <w:top w:val="single" w:sz="4" w:space="0" w:color="auto"/>
              <w:bottom w:val="single" w:sz="4" w:space="0" w:color="auto"/>
            </w:tcBorders>
          </w:tcPr>
          <w:p w:rsidR="00BB4CA6" w:rsidRPr="007C5487" w:rsidRDefault="00BB4CA6" w:rsidP="007C5487">
            <w:pPr>
              <w:spacing w:after="0" w:line="360" w:lineRule="auto"/>
              <w:jc w:val="both"/>
            </w:pPr>
            <w:r w:rsidRPr="007C5487">
              <w:t>5%</w:t>
            </w:r>
          </w:p>
        </w:tc>
        <w:tc>
          <w:tcPr>
            <w:tcW w:w="1452" w:type="dxa"/>
            <w:tcBorders>
              <w:top w:val="single" w:sz="4" w:space="0" w:color="auto"/>
              <w:bottom w:val="single" w:sz="4" w:space="0" w:color="auto"/>
            </w:tcBorders>
            <w:vAlign w:val="bottom"/>
          </w:tcPr>
          <w:p w:rsidR="00BB4CA6" w:rsidRPr="007C5487" w:rsidRDefault="00BB4CA6" w:rsidP="007C5487">
            <w:pPr>
              <w:spacing w:after="0" w:line="360" w:lineRule="auto"/>
              <w:jc w:val="both"/>
            </w:pPr>
            <w:r w:rsidRPr="007C5487">
              <w:t>2.45</w:t>
            </w:r>
          </w:p>
        </w:tc>
        <w:tc>
          <w:tcPr>
            <w:tcW w:w="0" w:type="auto"/>
            <w:tcBorders>
              <w:top w:val="single" w:sz="4" w:space="0" w:color="auto"/>
              <w:bottom w:val="single" w:sz="4" w:space="0" w:color="auto"/>
            </w:tcBorders>
            <w:vAlign w:val="bottom"/>
          </w:tcPr>
          <w:p w:rsidR="00BB4CA6" w:rsidRPr="007C5487" w:rsidRDefault="00BB4CA6" w:rsidP="007C5487">
            <w:pPr>
              <w:spacing w:after="0" w:line="360" w:lineRule="auto"/>
              <w:jc w:val="both"/>
            </w:pPr>
            <w:r w:rsidRPr="007C5487">
              <w:t>3.61</w:t>
            </w:r>
          </w:p>
        </w:tc>
        <w:tc>
          <w:tcPr>
            <w:tcW w:w="0" w:type="auto"/>
            <w:tcBorders>
              <w:top w:val="single" w:sz="4" w:space="0" w:color="auto"/>
              <w:bottom w:val="single" w:sz="4" w:space="0" w:color="auto"/>
            </w:tcBorders>
          </w:tcPr>
          <w:p w:rsidR="00BB4CA6" w:rsidRPr="007C5487" w:rsidRDefault="00BB4CA6" w:rsidP="007C5487">
            <w:pPr>
              <w:spacing w:after="0" w:line="360" w:lineRule="auto"/>
              <w:jc w:val="both"/>
            </w:pPr>
            <w:r w:rsidRPr="007C5487">
              <w:t>Reject</w:t>
            </w:r>
          </w:p>
        </w:tc>
      </w:tr>
    </w:tbl>
    <w:p w:rsidR="00BB4CA6" w:rsidRPr="007C5487" w:rsidRDefault="00BB4CA6" w:rsidP="007C5487">
      <w:pPr>
        <w:spacing w:after="0" w:line="360" w:lineRule="auto"/>
        <w:jc w:val="both"/>
      </w:pPr>
    </w:p>
    <w:p w:rsidR="00BB4CA6" w:rsidRPr="007C5487" w:rsidRDefault="009C2714" w:rsidP="007C5487">
      <w:pPr>
        <w:spacing w:after="0" w:line="360" w:lineRule="auto"/>
        <w:jc w:val="both"/>
      </w:pPr>
      <w:r>
        <w:t>Results in Table 6</w:t>
      </w:r>
      <w:r w:rsidR="00225140" w:rsidRPr="007C5487">
        <w:t>.3</w:t>
      </w:r>
      <w:r w:rsidR="00BB4CA6" w:rsidRPr="007C5487">
        <w:t xml:space="preserve"> show that all regressions on the twelve portfolios have F-statistic greater than the upper critical b</w:t>
      </w:r>
      <w:r w:rsidR="008F73D4">
        <w:t xml:space="preserve">ounds value. </w:t>
      </w:r>
      <w:r w:rsidR="00363E71">
        <w:t xml:space="preserve">It </w:t>
      </w:r>
      <w:r w:rsidR="00BB4CA6" w:rsidRPr="007C5487">
        <w:t xml:space="preserve">was concluded that there is co-integration. </w:t>
      </w:r>
      <w:r w:rsidR="00363E71">
        <w:t>Consequently,</w:t>
      </w:r>
      <w:r w:rsidR="00BB4CA6" w:rsidRPr="007C5487">
        <w:t xml:space="preserve"> </w:t>
      </w:r>
      <w:r w:rsidR="00E2112C">
        <w:t>we estimated both the ARDL and ECM model respectively for long-run and short</w:t>
      </w:r>
      <w:r w:rsidR="00BB4CA6" w:rsidRPr="007C5487">
        <w:t>-run relationship among the variables</w:t>
      </w:r>
    </w:p>
    <w:p w:rsidR="00BB4CA6" w:rsidRPr="007C5487" w:rsidRDefault="00BB4CA6" w:rsidP="007C5487">
      <w:pPr>
        <w:spacing w:after="0" w:line="360" w:lineRule="auto"/>
        <w:jc w:val="both"/>
        <w:rPr>
          <w:b/>
        </w:rPr>
      </w:pPr>
    </w:p>
    <w:p w:rsidR="007761C0" w:rsidRPr="007C5487" w:rsidRDefault="009C2714" w:rsidP="007C5487">
      <w:pPr>
        <w:spacing w:after="0" w:line="360" w:lineRule="auto"/>
        <w:jc w:val="both"/>
        <w:rPr>
          <w:b/>
        </w:rPr>
      </w:pPr>
      <w:r>
        <w:rPr>
          <w:b/>
        </w:rPr>
        <w:t>6</w:t>
      </w:r>
      <w:r w:rsidR="008F73D4">
        <w:rPr>
          <w:b/>
        </w:rPr>
        <w:t xml:space="preserve">.4 </w:t>
      </w:r>
      <w:r w:rsidR="007761C0" w:rsidRPr="007C5487">
        <w:rPr>
          <w:b/>
        </w:rPr>
        <w:t xml:space="preserve">Lag Length </w:t>
      </w:r>
      <w:r w:rsidR="004C3359" w:rsidRPr="007C5487">
        <w:rPr>
          <w:b/>
        </w:rPr>
        <w:t>Selection</w:t>
      </w:r>
    </w:p>
    <w:p w:rsidR="007761C0" w:rsidRPr="007C5487" w:rsidRDefault="007761C0" w:rsidP="007C5487">
      <w:pPr>
        <w:autoSpaceDE w:val="0"/>
        <w:autoSpaceDN w:val="0"/>
        <w:adjustRightInd w:val="0"/>
        <w:spacing w:after="0" w:line="360" w:lineRule="auto"/>
        <w:jc w:val="both"/>
      </w:pPr>
      <w:r w:rsidRPr="007C5487">
        <w:t xml:space="preserve">The need to select optimal number of lags for each model used in time series analysis is premised on the assumption that </w:t>
      </w:r>
      <w:proofErr w:type="spellStart"/>
      <w:r w:rsidRPr="007C5487">
        <w:t>regressands</w:t>
      </w:r>
      <w:proofErr w:type="spellEnd"/>
      <w:r w:rsidRPr="007C5487">
        <w:t xml:space="preserve"> will tend to respond to </w:t>
      </w:r>
      <w:proofErr w:type="spellStart"/>
      <w:r w:rsidRPr="007C5487">
        <w:t>regressor</w:t>
      </w:r>
      <w:proofErr w:type="spellEnd"/>
      <w:r w:rsidRPr="007C5487">
        <w:t xml:space="preserve"> variables with a lapse of time (</w:t>
      </w:r>
      <w:proofErr w:type="spellStart"/>
      <w:r w:rsidRPr="007C5487">
        <w:t>Pesaran</w:t>
      </w:r>
      <w:proofErr w:type="spellEnd"/>
      <w:r w:rsidRPr="007C5487">
        <w:t xml:space="preserve">, Shin &amp; Smith 2001). Adding lagged terms can eliminate the influence of uncontrollable factors thereby increasing the credibility of the regression results. Including too many lagged values in a model can however consume degrees of freedom and might introduce the likelihood of </w:t>
      </w:r>
      <w:proofErr w:type="spellStart"/>
      <w:r w:rsidRPr="007C5487">
        <w:t>multicollinearity</w:t>
      </w:r>
      <w:proofErr w:type="spellEnd"/>
      <w:r w:rsidRPr="007C5487">
        <w:t xml:space="preserve">. In this study, optimal lag length </w:t>
      </w:r>
      <w:r w:rsidR="00363E71">
        <w:t xml:space="preserve">was one (1) </w:t>
      </w:r>
      <w:r w:rsidRPr="007C5487">
        <w:t>according to AIC, SIC and HQ criteria.</w:t>
      </w:r>
    </w:p>
    <w:p w:rsidR="00BB5FDC" w:rsidRPr="007C5487" w:rsidRDefault="00BB5FDC" w:rsidP="007C5487">
      <w:pPr>
        <w:autoSpaceDE w:val="0"/>
        <w:autoSpaceDN w:val="0"/>
        <w:adjustRightInd w:val="0"/>
        <w:spacing w:after="0" w:line="360" w:lineRule="auto"/>
        <w:jc w:val="both"/>
      </w:pPr>
    </w:p>
    <w:p w:rsidR="00704714" w:rsidRPr="007C5487" w:rsidRDefault="009C2714" w:rsidP="007C5487">
      <w:pPr>
        <w:autoSpaceDE w:val="0"/>
        <w:autoSpaceDN w:val="0"/>
        <w:adjustRightInd w:val="0"/>
        <w:spacing w:after="0" w:line="360" w:lineRule="auto"/>
        <w:jc w:val="both"/>
        <w:rPr>
          <w:b/>
        </w:rPr>
      </w:pPr>
      <w:r>
        <w:rPr>
          <w:b/>
        </w:rPr>
        <w:t>6</w:t>
      </w:r>
      <w:r w:rsidR="008F73D4">
        <w:rPr>
          <w:b/>
        </w:rPr>
        <w:t xml:space="preserve">.5 </w:t>
      </w:r>
      <w:r w:rsidR="00704714" w:rsidRPr="007C5487">
        <w:rPr>
          <w:b/>
        </w:rPr>
        <w:t>Residual Diagnostics</w:t>
      </w:r>
    </w:p>
    <w:p w:rsidR="00E468EE" w:rsidRPr="007C5487" w:rsidRDefault="00651CE2" w:rsidP="007C5487">
      <w:pPr>
        <w:autoSpaceDE w:val="0"/>
        <w:autoSpaceDN w:val="0"/>
        <w:adjustRightInd w:val="0"/>
        <w:spacing w:after="0" w:line="360" w:lineRule="auto"/>
        <w:jc w:val="both"/>
      </w:pPr>
      <w:proofErr w:type="spellStart"/>
      <w:r w:rsidRPr="007C5487">
        <w:t>Multicollinearity</w:t>
      </w:r>
      <w:proofErr w:type="spellEnd"/>
      <w:r w:rsidRPr="007C5487">
        <w:t xml:space="preserve"> assumption was assessed using the Variance Inflation Factor (VIF). All variables </w:t>
      </w:r>
      <w:r w:rsidR="00494D10" w:rsidRPr="007C5487">
        <w:t>yielded</w:t>
      </w:r>
      <w:r w:rsidRPr="007C5487">
        <w:t xml:space="preserve"> VIF less than 10 suggesting absence of </w:t>
      </w:r>
      <w:proofErr w:type="spellStart"/>
      <w:r w:rsidRPr="007C5487">
        <w:t>multicollinearity</w:t>
      </w:r>
      <w:proofErr w:type="spellEnd"/>
      <w:r w:rsidRPr="007C5487">
        <w:t xml:space="preserve"> </w:t>
      </w:r>
      <w:r w:rsidR="00494D10" w:rsidRPr="007C5487">
        <w:t xml:space="preserve">as </w:t>
      </w:r>
      <w:proofErr w:type="spellStart"/>
      <w:r w:rsidR="00494D10" w:rsidRPr="007C5487">
        <w:t>recommendated</w:t>
      </w:r>
      <w:proofErr w:type="spellEnd"/>
      <w:r w:rsidR="00494D10" w:rsidRPr="007C5487">
        <w:t xml:space="preserve"> in Field (2009)</w:t>
      </w:r>
      <w:r w:rsidRPr="007C5487">
        <w:t>. The null hypothesis</w:t>
      </w:r>
      <w:r w:rsidR="0042514C" w:rsidRPr="007C5487">
        <w:t xml:space="preserve"> of</w:t>
      </w:r>
      <w:r w:rsidR="00314882" w:rsidRPr="007C5487">
        <w:t xml:space="preserve"> homoscedastic data was</w:t>
      </w:r>
      <w:r w:rsidR="00154896" w:rsidRPr="007C5487">
        <w:t xml:space="preserve"> supported in</w:t>
      </w:r>
      <w:r w:rsidRPr="007C5487">
        <w:t xml:space="preserve"> all regressions on test portfolios using </w:t>
      </w:r>
      <w:proofErr w:type="spellStart"/>
      <w:r w:rsidRPr="007C5487">
        <w:t>Breusch</w:t>
      </w:r>
      <w:proofErr w:type="spellEnd"/>
      <w:r w:rsidRPr="007C5487">
        <w:t>-Pagan Godfrey test and White’</w:t>
      </w:r>
      <w:r w:rsidR="00C44728" w:rsidRPr="007C5487">
        <w:t xml:space="preserve">s General </w:t>
      </w:r>
      <w:proofErr w:type="spellStart"/>
      <w:r w:rsidR="00C44728" w:rsidRPr="007C5487">
        <w:t>Heteroscedasticity</w:t>
      </w:r>
      <w:proofErr w:type="spellEnd"/>
      <w:r w:rsidR="00C44728" w:rsidRPr="007C5487">
        <w:t xml:space="preserve"> t</w:t>
      </w:r>
      <w:r w:rsidRPr="007C5487">
        <w:t xml:space="preserve">est </w:t>
      </w:r>
      <w:r w:rsidR="00C44728" w:rsidRPr="007C5487">
        <w:t xml:space="preserve">at </w:t>
      </w:r>
      <w:r w:rsidRPr="007C5487">
        <w:t>5% level of significance</w:t>
      </w:r>
      <w:r w:rsidR="0042514C" w:rsidRPr="007C5487">
        <w:t xml:space="preserve">. Autocorrelation assumption was tested using </w:t>
      </w:r>
      <w:proofErr w:type="spellStart"/>
      <w:r w:rsidR="0042514C" w:rsidRPr="007C5487">
        <w:t>Breusch</w:t>
      </w:r>
      <w:proofErr w:type="spellEnd"/>
      <w:r w:rsidR="0042514C" w:rsidRPr="007C5487">
        <w:t xml:space="preserve">-Godfrey (BG) Lagrange Multiplier test since the models contain non-stochastic lagged values of the </w:t>
      </w:r>
      <w:proofErr w:type="spellStart"/>
      <w:r w:rsidR="0042514C" w:rsidRPr="007C5487">
        <w:t>regressand</w:t>
      </w:r>
      <w:proofErr w:type="spellEnd"/>
      <w:r w:rsidR="0042514C" w:rsidRPr="007C5487">
        <w:t xml:space="preserve"> (Gujarati, 2003). The BG LM test supported the null hypothesis of no serial correlation implying that the models were properly specified and that the OLS standard errors and statistics were reliable and consistent.</w:t>
      </w:r>
      <w:r w:rsidR="008B423A" w:rsidRPr="007C5487">
        <w:t xml:space="preserve"> Normality of residuals was </w:t>
      </w:r>
      <w:r w:rsidR="00E468EE" w:rsidRPr="007C5487">
        <w:t>tested using histogram and normal probability</w:t>
      </w:r>
      <w:r w:rsidR="00191D55" w:rsidRPr="007C5487">
        <w:t xml:space="preserve"> Q-Q plots </w:t>
      </w:r>
      <w:r w:rsidR="00E468EE" w:rsidRPr="007C5487">
        <w:t xml:space="preserve">following recommendations by </w:t>
      </w:r>
      <w:r w:rsidR="004654EB" w:rsidRPr="007C5487">
        <w:t>(</w:t>
      </w:r>
      <w:r w:rsidR="004654EB" w:rsidRPr="007C5487">
        <w:rPr>
          <w:color w:val="000000"/>
        </w:rPr>
        <w:t xml:space="preserve">Nguyen, </w:t>
      </w:r>
      <w:proofErr w:type="spellStart"/>
      <w:r w:rsidR="004654EB" w:rsidRPr="007C5487">
        <w:rPr>
          <w:color w:val="000000"/>
        </w:rPr>
        <w:t>Ulku</w:t>
      </w:r>
      <w:proofErr w:type="spellEnd"/>
      <w:r w:rsidR="004654EB" w:rsidRPr="007C5487">
        <w:rPr>
          <w:color w:val="000000"/>
        </w:rPr>
        <w:t xml:space="preserve"> &amp; Zhang, 2015).</w:t>
      </w:r>
      <w:r w:rsidR="008B423A" w:rsidRPr="007C5487">
        <w:rPr>
          <w:color w:val="000000"/>
        </w:rPr>
        <w:t xml:space="preserve"> The plots of </w:t>
      </w:r>
      <w:proofErr w:type="spellStart"/>
      <w:r w:rsidR="008B423A" w:rsidRPr="007C5487">
        <w:rPr>
          <w:color w:val="000000"/>
        </w:rPr>
        <w:t>statandardized</w:t>
      </w:r>
      <w:proofErr w:type="spellEnd"/>
      <w:r w:rsidR="008B423A" w:rsidRPr="007C5487">
        <w:rPr>
          <w:color w:val="000000"/>
        </w:rPr>
        <w:t xml:space="preserve"> residuals against standardized predicted values were randomly and evenly dispersed throughout the plot</w:t>
      </w:r>
      <w:r w:rsidR="00B87032" w:rsidRPr="007C5487">
        <w:rPr>
          <w:color w:val="000000"/>
        </w:rPr>
        <w:t>s</w:t>
      </w:r>
      <w:r w:rsidR="008B423A" w:rsidRPr="007C5487">
        <w:rPr>
          <w:color w:val="000000"/>
        </w:rPr>
        <w:t xml:space="preserve"> which suggested normal residuals.</w:t>
      </w:r>
    </w:p>
    <w:p w:rsidR="00630495" w:rsidRPr="007C5487" w:rsidRDefault="00630495" w:rsidP="007C5487">
      <w:pPr>
        <w:autoSpaceDE w:val="0"/>
        <w:autoSpaceDN w:val="0"/>
        <w:adjustRightInd w:val="0"/>
        <w:spacing w:after="0" w:line="360" w:lineRule="auto"/>
        <w:jc w:val="both"/>
      </w:pPr>
    </w:p>
    <w:p w:rsidR="00177D45" w:rsidRPr="007C5487" w:rsidRDefault="00177D45" w:rsidP="007C5487">
      <w:pPr>
        <w:spacing w:after="0" w:line="360" w:lineRule="auto"/>
        <w:jc w:val="both"/>
        <w:rPr>
          <w:rFonts w:eastAsia="SimSun"/>
        </w:rPr>
      </w:pPr>
    </w:p>
    <w:p w:rsidR="00704714" w:rsidRPr="009C2714" w:rsidRDefault="00C47C37" w:rsidP="009C2714">
      <w:pPr>
        <w:pStyle w:val="ListParagraph"/>
        <w:numPr>
          <w:ilvl w:val="0"/>
          <w:numId w:val="29"/>
        </w:numPr>
        <w:autoSpaceDE w:val="0"/>
        <w:autoSpaceDN w:val="0"/>
        <w:adjustRightInd w:val="0"/>
        <w:spacing w:after="0" w:line="360" w:lineRule="auto"/>
        <w:jc w:val="both"/>
        <w:rPr>
          <w:rFonts w:ascii="Times New Roman" w:hAnsi="Times New Roman" w:cs="Times New Roman"/>
          <w:b/>
          <w:sz w:val="24"/>
        </w:rPr>
      </w:pPr>
      <w:r w:rsidRPr="009C2714">
        <w:rPr>
          <w:rFonts w:ascii="Times New Roman" w:hAnsi="Times New Roman" w:cs="Times New Roman"/>
          <w:b/>
          <w:sz w:val="24"/>
        </w:rPr>
        <w:t>Results</w:t>
      </w:r>
    </w:p>
    <w:p w:rsidR="00C94243" w:rsidRPr="007C5487" w:rsidRDefault="00B35D4A" w:rsidP="007C5487">
      <w:pPr>
        <w:autoSpaceDE w:val="0"/>
        <w:autoSpaceDN w:val="0"/>
        <w:adjustRightInd w:val="0"/>
        <w:spacing w:after="0" w:line="360" w:lineRule="auto"/>
        <w:jc w:val="both"/>
        <w:rPr>
          <w:b/>
        </w:rPr>
      </w:pPr>
      <w:r>
        <w:rPr>
          <w:b/>
        </w:rPr>
        <w:t>7</w:t>
      </w:r>
      <w:r w:rsidR="00F15E62" w:rsidRPr="007C5487">
        <w:rPr>
          <w:b/>
        </w:rPr>
        <w:t xml:space="preserve">.1 </w:t>
      </w:r>
      <w:r w:rsidR="009C2714">
        <w:rPr>
          <w:b/>
        </w:rPr>
        <w:t>Investment Intensity Risk</w:t>
      </w:r>
      <w:r w:rsidR="00EC565D" w:rsidRPr="007C5487">
        <w:rPr>
          <w:b/>
        </w:rPr>
        <w:t xml:space="preserve"> </w:t>
      </w:r>
      <w:r w:rsidR="00CF341C" w:rsidRPr="007C5487">
        <w:rPr>
          <w:b/>
        </w:rPr>
        <w:t xml:space="preserve">and </w:t>
      </w:r>
      <w:r w:rsidR="00C94243" w:rsidRPr="007C5487">
        <w:rPr>
          <w:b/>
        </w:rPr>
        <w:t>Stock Returns</w:t>
      </w:r>
    </w:p>
    <w:p w:rsidR="00F20515" w:rsidRPr="007C5487" w:rsidRDefault="00F20515" w:rsidP="007C5487">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7C5487">
        <w:rPr>
          <w:rFonts w:ascii="Times New Roman" w:hAnsi="Times New Roman" w:cs="Times New Roman"/>
          <w:sz w:val="24"/>
          <w:szCs w:val="24"/>
        </w:rPr>
        <w:t xml:space="preserve">Table </w:t>
      </w:r>
      <w:r w:rsidR="005376AF" w:rsidRPr="007C5487">
        <w:rPr>
          <w:rFonts w:ascii="Times New Roman" w:hAnsi="Times New Roman" w:cs="Times New Roman"/>
          <w:sz w:val="24"/>
          <w:szCs w:val="24"/>
        </w:rPr>
        <w:t>7.1</w:t>
      </w:r>
      <w:r w:rsidRPr="007C5487">
        <w:rPr>
          <w:rFonts w:ascii="Times New Roman" w:hAnsi="Times New Roman" w:cs="Times New Roman"/>
          <w:sz w:val="24"/>
          <w:szCs w:val="24"/>
        </w:rPr>
        <w:t xml:space="preserve"> reports the </w:t>
      </w:r>
      <w:r w:rsidR="007F14D2" w:rsidRPr="007C5487">
        <w:rPr>
          <w:rFonts w:ascii="Times New Roman" w:hAnsi="Times New Roman" w:cs="Times New Roman"/>
          <w:sz w:val="24"/>
          <w:szCs w:val="24"/>
        </w:rPr>
        <w:t xml:space="preserve">estimate of </w:t>
      </w:r>
      <w:r w:rsidRPr="007C5487">
        <w:rPr>
          <w:rFonts w:ascii="Times New Roman" w:hAnsi="Times New Roman" w:cs="Times New Roman"/>
          <w:sz w:val="24"/>
          <w:szCs w:val="24"/>
        </w:rPr>
        <w:t xml:space="preserve">results of the time-series regression </w:t>
      </w:r>
      <w:r w:rsidR="004F032C" w:rsidRPr="007C5487">
        <w:rPr>
          <w:rFonts w:ascii="Times New Roman" w:hAnsi="Times New Roman" w:cs="Times New Roman"/>
          <w:sz w:val="24"/>
          <w:szCs w:val="24"/>
        </w:rPr>
        <w:t xml:space="preserve">for main effects model </w:t>
      </w:r>
      <w:r w:rsidRPr="007C5487">
        <w:rPr>
          <w:rFonts w:ascii="Times New Roman" w:hAnsi="Times New Roman" w:cs="Times New Roman"/>
          <w:sz w:val="24"/>
          <w:szCs w:val="24"/>
        </w:rPr>
        <w:t xml:space="preserve">conducted to establish whether </w:t>
      </w:r>
      <w:r w:rsidR="009C2714">
        <w:rPr>
          <w:rFonts w:ascii="Times New Roman" w:hAnsi="Times New Roman" w:cs="Times New Roman"/>
          <w:sz w:val="24"/>
          <w:szCs w:val="24"/>
        </w:rPr>
        <w:t>investment intensity risk</w:t>
      </w:r>
      <w:r w:rsidR="00EC565D" w:rsidRPr="007C5487">
        <w:rPr>
          <w:rFonts w:ascii="Times New Roman" w:hAnsi="Times New Roman" w:cs="Times New Roman"/>
          <w:sz w:val="24"/>
          <w:szCs w:val="24"/>
        </w:rPr>
        <w:t xml:space="preserve"> </w:t>
      </w:r>
      <w:r w:rsidRPr="007C5487">
        <w:rPr>
          <w:rFonts w:ascii="Times New Roman" w:hAnsi="Times New Roman" w:cs="Times New Roman"/>
          <w:sz w:val="24"/>
          <w:szCs w:val="24"/>
        </w:rPr>
        <w:t>predict</w:t>
      </w:r>
      <w:r w:rsidR="004F032C" w:rsidRPr="007C5487">
        <w:rPr>
          <w:rFonts w:ascii="Times New Roman" w:hAnsi="Times New Roman" w:cs="Times New Roman"/>
          <w:sz w:val="24"/>
          <w:szCs w:val="24"/>
        </w:rPr>
        <w:t>s</w:t>
      </w:r>
      <w:r w:rsidR="00A63B87" w:rsidRPr="007C5487">
        <w:rPr>
          <w:rFonts w:ascii="Times New Roman" w:hAnsi="Times New Roman" w:cs="Times New Roman"/>
          <w:sz w:val="24"/>
          <w:szCs w:val="24"/>
        </w:rPr>
        <w:t xml:space="preserve"> the monthly equity</w:t>
      </w:r>
      <w:r w:rsidRPr="007C5487">
        <w:rPr>
          <w:rFonts w:ascii="Times New Roman" w:hAnsi="Times New Roman" w:cs="Times New Roman"/>
          <w:sz w:val="24"/>
          <w:szCs w:val="24"/>
        </w:rPr>
        <w:t xml:space="preserve"> return</w:t>
      </w:r>
      <w:r w:rsidR="00A63B87" w:rsidRPr="007C5487">
        <w:rPr>
          <w:rFonts w:ascii="Times New Roman" w:hAnsi="Times New Roman" w:cs="Times New Roman"/>
          <w:sz w:val="24"/>
          <w:szCs w:val="24"/>
        </w:rPr>
        <w:t>s</w:t>
      </w:r>
      <w:r w:rsidRPr="007C5487">
        <w:rPr>
          <w:rFonts w:ascii="Times New Roman" w:hAnsi="Times New Roman" w:cs="Times New Roman"/>
          <w:sz w:val="24"/>
          <w:szCs w:val="24"/>
        </w:rPr>
        <w:t xml:space="preserve"> </w:t>
      </w:r>
      <w:r w:rsidR="00A63B87" w:rsidRPr="007C5487">
        <w:rPr>
          <w:rFonts w:ascii="Times New Roman" w:hAnsi="Times New Roman" w:cs="Times New Roman"/>
          <w:sz w:val="24"/>
          <w:szCs w:val="24"/>
        </w:rPr>
        <w:t>at</w:t>
      </w:r>
      <w:r w:rsidRPr="007C5487">
        <w:rPr>
          <w:rFonts w:ascii="Times New Roman" w:hAnsi="Times New Roman" w:cs="Times New Roman"/>
          <w:sz w:val="24"/>
          <w:szCs w:val="24"/>
        </w:rPr>
        <w:t xml:space="preserve"> the NSE. The dependent </w:t>
      </w:r>
      <w:r w:rsidR="00B35D4A">
        <w:rPr>
          <w:rFonts w:ascii="Times New Roman" w:hAnsi="Times New Roman" w:cs="Times New Roman"/>
          <w:sz w:val="24"/>
          <w:szCs w:val="24"/>
        </w:rPr>
        <w:t>variable in this regression was average monthly stock</w:t>
      </w:r>
      <w:r w:rsidRPr="007C5487">
        <w:rPr>
          <w:rFonts w:ascii="Times New Roman" w:hAnsi="Times New Roman" w:cs="Times New Roman"/>
          <w:sz w:val="24"/>
          <w:szCs w:val="24"/>
        </w:rPr>
        <w:t xml:space="preserve"> return on 12 equity portfolios for the nine year period (2011–2019). The Table illustrates the estimated interce</w:t>
      </w:r>
      <w:r w:rsidR="006F179A">
        <w:rPr>
          <w:rFonts w:ascii="Times New Roman" w:hAnsi="Times New Roman" w:cs="Times New Roman"/>
          <w:sz w:val="24"/>
          <w:szCs w:val="24"/>
        </w:rPr>
        <w:t xml:space="preserve">pts </w:t>
      </w:r>
      <w:r w:rsidR="00BA2949" w:rsidRPr="007C5487">
        <w:rPr>
          <w:rFonts w:ascii="Times New Roman" w:hAnsi="Times New Roman" w:cs="Times New Roman"/>
          <w:sz w:val="24"/>
          <w:szCs w:val="24"/>
        </w:rPr>
        <w:t xml:space="preserve">and </w:t>
      </w:r>
      <w:r w:rsidRPr="007C5487">
        <w:rPr>
          <w:rFonts w:ascii="Times New Roman" w:hAnsi="Times New Roman" w:cs="Times New Roman"/>
          <w:sz w:val="24"/>
          <w:szCs w:val="24"/>
        </w:rPr>
        <w:t>factor loadings</w:t>
      </w:r>
      <w:r w:rsidR="00BA2949" w:rsidRPr="007C5487">
        <w:rPr>
          <w:rFonts w:ascii="Times New Roman" w:hAnsi="Times New Roman" w:cs="Times New Roman"/>
          <w:sz w:val="24"/>
          <w:szCs w:val="24"/>
        </w:rPr>
        <w:t>.</w:t>
      </w:r>
      <w:r w:rsidR="009F40FE" w:rsidRPr="007C5487">
        <w:rPr>
          <w:rFonts w:ascii="Times New Roman" w:hAnsi="Times New Roman" w:cs="Times New Roman"/>
          <w:sz w:val="24"/>
          <w:szCs w:val="24"/>
        </w:rPr>
        <w:t xml:space="preserve"> </w:t>
      </w:r>
    </w:p>
    <w:p w:rsidR="0077566F" w:rsidRDefault="0077566F" w:rsidP="0069455A">
      <w:pPr>
        <w:autoSpaceDE w:val="0"/>
        <w:autoSpaceDN w:val="0"/>
        <w:adjustRightInd w:val="0"/>
        <w:spacing w:after="0" w:line="360" w:lineRule="auto"/>
        <w:ind w:right="10"/>
        <w:jc w:val="both"/>
      </w:pPr>
    </w:p>
    <w:p w:rsidR="0077566F" w:rsidRPr="00E038F2" w:rsidRDefault="00ED6C5D" w:rsidP="0077566F">
      <w:pPr>
        <w:autoSpaceDE w:val="0"/>
        <w:autoSpaceDN w:val="0"/>
        <w:adjustRightInd w:val="0"/>
        <w:spacing w:after="0" w:line="360" w:lineRule="auto"/>
        <w:ind w:right="10"/>
        <w:jc w:val="both"/>
        <w:rPr>
          <w:b/>
        </w:rPr>
      </w:pPr>
      <w:r>
        <w:rPr>
          <w:b/>
        </w:rPr>
        <w:t>Table 7.2</w:t>
      </w:r>
      <w:r w:rsidR="0077566F" w:rsidRPr="00E038F2">
        <w:rPr>
          <w:b/>
        </w:rPr>
        <w:t>: Error Correction Representation of the Selected ARDL Model (1,0,0,0,0,0)</w:t>
      </w:r>
    </w:p>
    <w:p w:rsidR="0077566F" w:rsidRPr="00E038F2" w:rsidRDefault="0077566F" w:rsidP="0077566F">
      <w:pPr>
        <w:jc w:val="both"/>
        <w:rPr>
          <w:color w:val="000000"/>
        </w:rPr>
      </w:pPr>
      <w:r w:rsidRPr="00E038F2">
        <w:rPr>
          <w:color w:val="000000"/>
        </w:rPr>
        <w:t>Dependent Variable: ∆ (AVRET)</w:t>
      </w:r>
    </w:p>
    <w:p w:rsidR="0077566F" w:rsidRPr="00E038F2" w:rsidRDefault="0077566F" w:rsidP="0077566F">
      <w:pPr>
        <w:jc w:val="both"/>
        <w:rPr>
          <w:color w:val="000000"/>
        </w:rPr>
      </w:pPr>
      <w:r w:rsidRPr="00E038F2">
        <w:rPr>
          <w:color w:val="000000"/>
        </w:rPr>
        <w:t xml:space="preserve">Model Equation: </w:t>
      </w:r>
    </w:p>
    <w:p w:rsidR="0077566F" w:rsidRPr="0034620E" w:rsidRDefault="00A21C56" w:rsidP="0077566F">
      <w:pPr>
        <w:jc w:val="both"/>
      </w:pPr>
      <m:oMathPara>
        <m:oMath>
          <m:sSub>
            <m:sSubPr>
              <m:ctrlPr>
                <w:rPr>
                  <w:rFonts w:ascii="Cambria Math" w:eastAsia="SimSun" w:hAnsi="Cambria Math"/>
                </w:rPr>
              </m:ctrlPr>
            </m:sSubPr>
            <m:e>
              <m:r>
                <m:rPr>
                  <m:sty m:val="p"/>
                </m:rPr>
                <w:rPr>
                  <w:rFonts w:ascii="Cambria Math" w:eastAsia="SimSun" w:hAnsi="Cambria Math"/>
                </w:rPr>
                <m:t>∆AVRET</m:t>
              </m:r>
            </m:e>
            <m:sub>
              <m:r>
                <m:rPr>
                  <m:sty m:val="p"/>
                </m:rPr>
                <w:rPr>
                  <w:rFonts w:ascii="Cambria Math" w:eastAsia="SimSun" w:hAnsi="Cambria Math"/>
                </w:rPr>
                <m:t>t</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α</m:t>
              </m:r>
            </m:e>
            <m:sub>
              <m:r>
                <m:rPr>
                  <m:sty m:val="p"/>
                </m:rPr>
                <w:rPr>
                  <w:rFonts w:ascii="Cambria Math" w:eastAsia="SimSun" w:hAnsi="Cambria Math"/>
                </w:rPr>
                <m:t>0</m:t>
              </m:r>
            </m:sub>
          </m:sSub>
          <m:r>
            <m:rPr>
              <m:sty m:val="p"/>
            </m:rPr>
            <w:rPr>
              <w:rFonts w:ascii="Cambria Math" w:eastAsia="SimSun" w:hAnsi="Cambria Math"/>
            </w:rPr>
            <m:t>+</m:t>
          </m:r>
          <m:nary>
            <m:naryPr>
              <m:chr m:val="∑"/>
              <m:limLoc m:val="undOvr"/>
              <m:subHide m:val="1"/>
              <m:supHide m:val="1"/>
              <m:ctrlPr>
                <w:rPr>
                  <w:rFonts w:ascii="Cambria Math" w:eastAsia="SimSun" w:hAnsi="Cambria Math"/>
                </w:rPr>
              </m:ctrlPr>
            </m:naryPr>
            <m:sub/>
            <m:sup/>
            <m:e>
              <m:sSub>
                <m:sSubPr>
                  <m:ctrlPr>
                    <w:rPr>
                      <w:rFonts w:ascii="Cambria Math" w:eastAsia="SimSun" w:hAnsi="Cambria Math"/>
                    </w:rPr>
                  </m:ctrlPr>
                </m:sSubPr>
                <m:e>
                  <m:r>
                    <w:rPr>
                      <w:rFonts w:ascii="Cambria Math" w:eastAsia="SimSun" w:hAnsi="Cambria Math"/>
                    </w:rPr>
                    <m:t>δ</m:t>
                  </m:r>
                </m:e>
                <m:sub>
                  <m:r>
                    <m:rPr>
                      <m:sty m:val="p"/>
                    </m:rPr>
                    <w:rPr>
                      <w:rFonts w:ascii="Cambria Math" w:eastAsia="SimSun" w:hAnsi="Cambria Math"/>
                    </w:rPr>
                    <m:t>i</m:t>
                  </m:r>
                </m:sub>
              </m:sSub>
              <m:sSub>
                <m:sSubPr>
                  <m:ctrlPr>
                    <w:rPr>
                      <w:rFonts w:ascii="Cambria Math" w:eastAsia="SimSun" w:hAnsi="Cambria Math"/>
                    </w:rPr>
                  </m:ctrlPr>
                </m:sSubPr>
                <m:e>
                  <m:r>
                    <m:rPr>
                      <m:sty m:val="p"/>
                    </m:rPr>
                    <w:rPr>
                      <w:rFonts w:ascii="Cambria Math" w:eastAsia="SimSun" w:hAnsi="Cambria Math"/>
                    </w:rPr>
                    <m:t>∆AVRET</m:t>
                  </m:r>
                </m:e>
                <m:sub>
                  <m:r>
                    <m:rPr>
                      <m:sty m:val="p"/>
                    </m:rPr>
                    <w:rPr>
                      <w:rFonts w:ascii="Cambria Math" w:eastAsia="SimSun" w:hAnsi="Cambria Math"/>
                    </w:rPr>
                    <m:t>t-i</m:t>
                  </m:r>
                </m:sub>
              </m:sSub>
            </m:e>
          </m:nary>
          <m:r>
            <m:rPr>
              <m:sty m:val="p"/>
            </m:rPr>
            <w:rPr>
              <w:rFonts w:ascii="Cambria Math" w:eastAsia="SimSun" w:hAnsi="Cambria Math"/>
            </w:rPr>
            <m:t>+</m:t>
          </m:r>
          <m:nary>
            <m:naryPr>
              <m:chr m:val="∑"/>
              <m:limLoc m:val="undOvr"/>
              <m:subHide m:val="1"/>
              <m:supHide m:val="1"/>
              <m:ctrlPr>
                <w:rPr>
                  <w:rFonts w:ascii="Cambria Math" w:eastAsia="SimSun" w:hAnsi="Cambria Math"/>
                </w:rPr>
              </m:ctrlPr>
            </m:naryPr>
            <m:sub/>
            <m:sup/>
            <m:e>
              <m:sSub>
                <m:sSubPr>
                  <m:ctrlPr>
                    <w:rPr>
                      <w:rFonts w:ascii="Cambria Math" w:eastAsia="SimSun" w:hAnsi="Cambria Math"/>
                    </w:rPr>
                  </m:ctrlPr>
                </m:sSubPr>
                <m:e>
                  <m:r>
                    <w:rPr>
                      <w:rFonts w:ascii="Cambria Math" w:eastAsia="SimSun" w:hAnsi="Cambria Math"/>
                    </w:rPr>
                    <m:t>β</m:t>
                  </m:r>
                </m:e>
                <m:sub>
                  <m:r>
                    <m:rPr>
                      <m:sty m:val="p"/>
                    </m:rPr>
                    <w:rPr>
                      <w:rFonts w:ascii="Cambria Math" w:eastAsia="SimSun" w:hAnsi="Cambria Math"/>
                    </w:rPr>
                    <m:t>i</m:t>
                  </m:r>
                </m:sub>
              </m:sSub>
            </m:e>
          </m:nary>
          <m:sSub>
            <m:sSubPr>
              <m:ctrlPr>
                <w:rPr>
                  <w:rFonts w:ascii="Cambria Math" w:eastAsia="SimSun" w:hAnsi="Cambria Math"/>
                </w:rPr>
              </m:ctrlPr>
            </m:sSubPr>
            <m:e>
              <m:r>
                <m:rPr>
                  <m:sty m:val="p"/>
                </m:rPr>
                <w:rPr>
                  <w:rFonts w:ascii="Cambria Math" w:eastAsia="SimSun" w:hAnsi="Cambria Math"/>
                </w:rPr>
                <m:t>∆</m:t>
              </m:r>
              <m:d>
                <m:dPr>
                  <m:ctrlPr>
                    <w:rPr>
                      <w:rFonts w:ascii="Cambria Math" w:eastAsia="SimSun" w:hAnsi="Cambria Math"/>
                    </w:rPr>
                  </m:ctrlPr>
                </m:dPr>
                <m:e>
                  <m:r>
                    <m:rPr>
                      <m:sty m:val="p"/>
                    </m:rPr>
                    <w:rPr>
                      <w:rFonts w:ascii="Cambria Math" w:eastAsia="SimSun" w:hAnsi="Cambria Math"/>
                    </w:rPr>
                    <m:t>MKT</m:t>
                  </m:r>
                </m:e>
              </m:d>
            </m:e>
            <m:sub>
              <m:r>
                <m:rPr>
                  <m:sty m:val="p"/>
                </m:rPr>
                <w:rPr>
                  <w:rFonts w:ascii="Cambria Math" w:eastAsia="SimSun" w:hAnsi="Cambria Math"/>
                </w:rPr>
                <m:t>t-i</m:t>
              </m:r>
            </m:sub>
          </m:sSub>
          <m:r>
            <m:rPr>
              <m:sty m:val="p"/>
            </m:rPr>
            <w:rPr>
              <w:rFonts w:ascii="Cambria Math" w:eastAsia="SimSun" w:hAnsi="Cambria Math"/>
            </w:rPr>
            <m:t>+</m:t>
          </m:r>
          <m:nary>
            <m:naryPr>
              <m:chr m:val="∑"/>
              <m:limLoc m:val="undOvr"/>
              <m:subHide m:val="1"/>
              <m:supHide m:val="1"/>
              <m:ctrlPr>
                <w:rPr>
                  <w:rFonts w:ascii="Cambria Math" w:eastAsia="SimSun" w:hAnsi="Cambria Math"/>
                </w:rPr>
              </m:ctrlPr>
            </m:naryPr>
            <m:sub/>
            <m:sup/>
            <m:e>
              <m:sSub>
                <m:sSubPr>
                  <m:ctrlPr>
                    <w:rPr>
                      <w:rFonts w:ascii="Cambria Math" w:eastAsia="SimSun" w:hAnsi="Cambria Math"/>
                    </w:rPr>
                  </m:ctrlPr>
                </m:sSubPr>
                <m:e>
                  <m:r>
                    <w:rPr>
                      <w:rFonts w:ascii="Cambria Math" w:eastAsia="SimSun" w:hAnsi="Cambria Math"/>
                    </w:rPr>
                    <m:t>s</m:t>
                  </m:r>
                </m:e>
                <m:sub>
                  <m:r>
                    <m:rPr>
                      <m:sty m:val="p"/>
                    </m:rPr>
                    <w:rPr>
                      <w:rFonts w:ascii="Cambria Math" w:eastAsia="SimSun" w:hAnsi="Cambria Math"/>
                    </w:rPr>
                    <m:t>i</m:t>
                  </m:r>
                </m:sub>
              </m:sSub>
              <m:sSub>
                <m:sSubPr>
                  <m:ctrlPr>
                    <w:rPr>
                      <w:rFonts w:ascii="Cambria Math" w:eastAsia="SimSun" w:hAnsi="Cambria Math"/>
                    </w:rPr>
                  </m:ctrlPr>
                </m:sSubPr>
                <m:e>
                  <m:r>
                    <m:rPr>
                      <m:sty m:val="p"/>
                    </m:rPr>
                    <w:rPr>
                      <w:rFonts w:ascii="Cambria Math" w:eastAsia="SimSun" w:hAnsi="Cambria Math"/>
                    </w:rPr>
                    <m:t>∆</m:t>
                  </m:r>
                  <m:d>
                    <m:dPr>
                      <m:ctrlPr>
                        <w:rPr>
                          <w:rFonts w:ascii="Cambria Math" w:eastAsia="SimSun" w:hAnsi="Cambria Math"/>
                        </w:rPr>
                      </m:ctrlPr>
                    </m:dPr>
                    <m:e>
                      <m:r>
                        <m:rPr>
                          <m:sty m:val="p"/>
                        </m:rPr>
                        <w:rPr>
                          <w:rFonts w:ascii="Cambria Math" w:eastAsia="SimSun" w:hAnsi="Cambria Math"/>
                        </w:rPr>
                        <m:t>SIZE</m:t>
                      </m:r>
                    </m:e>
                  </m:d>
                </m:e>
                <m:sub>
                  <m:r>
                    <m:rPr>
                      <m:sty m:val="p"/>
                    </m:rPr>
                    <w:rPr>
                      <w:rFonts w:ascii="Cambria Math" w:eastAsia="SimSun" w:hAnsi="Cambria Math"/>
                    </w:rPr>
                    <m:t>t-i</m:t>
                  </m:r>
                </m:sub>
              </m:sSub>
            </m:e>
          </m:nary>
          <m:r>
            <m:rPr>
              <m:sty m:val="p"/>
            </m:rPr>
            <w:rPr>
              <w:rFonts w:ascii="Cambria Math" w:eastAsia="SimSun" w:hAnsi="Cambria Math"/>
            </w:rPr>
            <m:t>+</m:t>
          </m:r>
          <m:nary>
            <m:naryPr>
              <m:chr m:val="∑"/>
              <m:limLoc m:val="undOvr"/>
              <m:subHide m:val="1"/>
              <m:supHide m:val="1"/>
              <m:ctrlPr>
                <w:rPr>
                  <w:rFonts w:ascii="Cambria Math" w:eastAsia="SimSun" w:hAnsi="Cambria Math"/>
                </w:rPr>
              </m:ctrlPr>
            </m:naryPr>
            <m:sub/>
            <m:sup/>
            <m:e>
              <m:sSub>
                <m:sSubPr>
                  <m:ctrlPr>
                    <w:rPr>
                      <w:rFonts w:ascii="Cambria Math" w:eastAsia="SimSun" w:hAnsi="Cambria Math"/>
                    </w:rPr>
                  </m:ctrlPr>
                </m:sSubPr>
                <m:e>
                  <m:r>
                    <w:rPr>
                      <w:rFonts w:ascii="Cambria Math" w:eastAsia="SimSun" w:hAnsi="Cambria Math"/>
                    </w:rPr>
                    <m:t>h</m:t>
                  </m:r>
                </m:e>
                <m:sub>
                  <m:r>
                    <m:rPr>
                      <m:sty m:val="p"/>
                    </m:rPr>
                    <w:rPr>
                      <w:rFonts w:ascii="Cambria Math" w:eastAsia="SimSun" w:hAnsi="Cambria Math"/>
                    </w:rPr>
                    <m:t>i</m:t>
                  </m:r>
                </m:sub>
              </m:sSub>
              <m:sSub>
                <m:sSubPr>
                  <m:ctrlPr>
                    <w:rPr>
                      <w:rFonts w:ascii="Cambria Math" w:eastAsia="SimSun" w:hAnsi="Cambria Math"/>
                    </w:rPr>
                  </m:ctrlPr>
                </m:sSubPr>
                <m:e>
                  <m:r>
                    <m:rPr>
                      <m:sty m:val="p"/>
                    </m:rPr>
                    <w:rPr>
                      <w:rFonts w:ascii="Cambria Math" w:eastAsia="SimSun" w:hAnsi="Cambria Math"/>
                    </w:rPr>
                    <m:t>∆(VALUE)</m:t>
                  </m:r>
                </m:e>
                <m:sub>
                  <m:r>
                    <m:rPr>
                      <m:sty m:val="p"/>
                    </m:rPr>
                    <w:rPr>
                      <w:rFonts w:ascii="Cambria Math" w:eastAsia="SimSun" w:hAnsi="Cambria Math"/>
                    </w:rPr>
                    <m:t>t-i</m:t>
                  </m:r>
                </m:sub>
              </m:sSub>
            </m:e>
          </m:nary>
          <m:r>
            <m:rPr>
              <m:sty m:val="p"/>
            </m:rPr>
            <w:rPr>
              <w:rFonts w:ascii="Cambria Math" w:eastAsia="SimSun" w:hAnsi="Cambria Math"/>
            </w:rPr>
            <m:t>+</m:t>
          </m:r>
          <m:nary>
            <m:naryPr>
              <m:chr m:val="∑"/>
              <m:limLoc m:val="undOvr"/>
              <m:subHide m:val="1"/>
              <m:supHide m:val="1"/>
              <m:ctrlPr>
                <w:rPr>
                  <w:rFonts w:ascii="Cambria Math" w:eastAsia="SimSun" w:hAnsi="Cambria Math"/>
                </w:rPr>
              </m:ctrlPr>
            </m:naryPr>
            <m:sub/>
            <m:sup/>
            <m:e>
              <m:sSub>
                <m:sSubPr>
                  <m:ctrlPr>
                    <w:rPr>
                      <w:rFonts w:ascii="Cambria Math" w:eastAsia="SimSun" w:hAnsi="Cambria Math"/>
                    </w:rPr>
                  </m:ctrlPr>
                </m:sSubPr>
                <m:e>
                  <m:r>
                    <m:rPr>
                      <m:sty m:val="p"/>
                    </m:rPr>
                    <w:rPr>
                      <w:rFonts w:ascii="Cambria Math" w:eastAsia="SimSun" w:hAnsi="Cambria Math"/>
                    </w:rPr>
                    <m:t xml:space="preserve"> </m:t>
                  </m:r>
                  <m:r>
                    <w:rPr>
                      <w:rFonts w:ascii="Cambria Math" w:eastAsia="SimSun" w:hAnsi="Cambria Math"/>
                    </w:rPr>
                    <m:t>r</m:t>
                  </m:r>
                </m:e>
                <m:sub>
                  <m:r>
                    <m:rPr>
                      <m:sty m:val="p"/>
                    </m:rPr>
                    <w:rPr>
                      <w:rFonts w:ascii="Cambria Math" w:eastAsia="SimSun" w:hAnsi="Cambria Math"/>
                    </w:rPr>
                    <m:t>i</m:t>
                  </m:r>
                </m:sub>
              </m:sSub>
              <m:sSub>
                <m:sSubPr>
                  <m:ctrlPr>
                    <w:rPr>
                      <w:rFonts w:ascii="Cambria Math" w:eastAsia="SimSun" w:hAnsi="Cambria Math"/>
                    </w:rPr>
                  </m:ctrlPr>
                </m:sSubPr>
                <m:e>
                  <m:r>
                    <m:rPr>
                      <m:sty m:val="p"/>
                    </m:rPr>
                    <w:rPr>
                      <w:rFonts w:ascii="Cambria Math" w:eastAsia="SimSun" w:hAnsi="Cambria Math"/>
                    </w:rPr>
                    <m:t>∆(OPROF)</m:t>
                  </m:r>
                </m:e>
                <m:sub>
                  <m:r>
                    <m:rPr>
                      <m:sty m:val="p"/>
                    </m:rPr>
                    <w:rPr>
                      <w:rFonts w:ascii="Cambria Math" w:eastAsia="SimSun" w:hAnsi="Cambria Math"/>
                    </w:rPr>
                    <m:t>t-i</m:t>
                  </m:r>
                </m:sub>
              </m:sSub>
            </m:e>
          </m:nary>
          <m:r>
            <m:rPr>
              <m:sty m:val="p"/>
            </m:rPr>
            <w:rPr>
              <w:rFonts w:ascii="Cambria Math" w:eastAsia="SimSun" w:hAnsi="Cambria Math"/>
            </w:rPr>
            <m:t>+</m:t>
          </m:r>
          <m:nary>
            <m:naryPr>
              <m:chr m:val="∑"/>
              <m:limLoc m:val="undOvr"/>
              <m:subHide m:val="1"/>
              <m:supHide m:val="1"/>
              <m:ctrlPr>
                <w:rPr>
                  <w:rFonts w:ascii="Cambria Math" w:eastAsia="SimSun" w:hAnsi="Cambria Math"/>
                </w:rPr>
              </m:ctrlPr>
            </m:naryPr>
            <m:sub/>
            <m:sup/>
            <m:e>
              <m:sSub>
                <m:sSubPr>
                  <m:ctrlPr>
                    <w:rPr>
                      <w:rFonts w:ascii="Cambria Math" w:eastAsia="SimSun" w:hAnsi="Cambria Math"/>
                    </w:rPr>
                  </m:ctrlPr>
                </m:sSubPr>
                <m:e>
                  <m:r>
                    <w:rPr>
                      <w:rFonts w:ascii="Cambria Math" w:eastAsia="SimSun" w:hAnsi="Cambria Math"/>
                    </w:rPr>
                    <m:t>c</m:t>
                  </m:r>
                </m:e>
                <m:sub>
                  <m:r>
                    <m:rPr>
                      <m:sty m:val="p"/>
                    </m:rPr>
                    <w:rPr>
                      <w:rFonts w:ascii="Cambria Math" w:eastAsia="SimSun" w:hAnsi="Cambria Math"/>
                    </w:rPr>
                    <m:t>i</m:t>
                  </m:r>
                </m:sub>
              </m:sSub>
              <m:sSub>
                <m:sSubPr>
                  <m:ctrlPr>
                    <w:rPr>
                      <w:rFonts w:ascii="Cambria Math" w:eastAsia="SimSun" w:hAnsi="Cambria Math"/>
                    </w:rPr>
                  </m:ctrlPr>
                </m:sSubPr>
                <m:e>
                  <m:r>
                    <m:rPr>
                      <m:sty m:val="p"/>
                    </m:rPr>
                    <w:rPr>
                      <w:rFonts w:ascii="Cambria Math" w:eastAsia="SimSun" w:hAnsi="Cambria Math"/>
                    </w:rPr>
                    <m:t>∆(INVI)</m:t>
                  </m:r>
                </m:e>
                <m:sub>
                  <m:r>
                    <m:rPr>
                      <m:sty m:val="p"/>
                    </m:rPr>
                    <w:rPr>
                      <w:rFonts w:ascii="Cambria Math" w:eastAsia="SimSun" w:hAnsi="Cambria Math"/>
                    </w:rPr>
                    <m:t>t-i</m:t>
                  </m:r>
                </m:sub>
              </m:sSub>
            </m:e>
          </m:nary>
          <m:r>
            <m:rPr>
              <m:sty m:val="p"/>
            </m:rPr>
            <w:rPr>
              <w:rFonts w:ascii="Cambria Math" w:eastAsia="SimSun" w:hAnsi="Cambria Math"/>
            </w:rPr>
            <m:t>+</m:t>
          </m:r>
          <m:r>
            <w:rPr>
              <w:rFonts w:ascii="Cambria Math" w:eastAsia="SimSun" w:hAnsi="Cambria Math"/>
            </w:rPr>
            <m:t>λ</m:t>
          </m:r>
          <m:sSub>
            <m:sSubPr>
              <m:ctrlPr>
                <w:rPr>
                  <w:rFonts w:ascii="Cambria Math" w:eastAsia="SimSun" w:hAnsi="Cambria Math"/>
                </w:rPr>
              </m:ctrlPr>
            </m:sSubPr>
            <m:e>
              <m:r>
                <m:rPr>
                  <m:sty m:val="p"/>
                </m:rPr>
                <w:rPr>
                  <w:rFonts w:ascii="Cambria Math" w:eastAsia="SimSun" w:hAnsi="Cambria Math"/>
                </w:rPr>
                <m:t>ECT</m:t>
              </m:r>
            </m:e>
            <m:sub>
              <m:r>
                <m:rPr>
                  <m:sty m:val="p"/>
                </m:rPr>
                <w:rPr>
                  <w:rFonts w:ascii="Cambria Math" w:eastAsia="SimSun" w:hAnsi="Cambria Math"/>
                </w:rPr>
                <m:t>t-1</m:t>
              </m:r>
            </m:sub>
          </m:sSub>
          <m:r>
            <m:rPr>
              <m:sty m:val="p"/>
            </m:rP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t</m:t>
              </m:r>
            </m:sub>
          </m:sSub>
        </m:oMath>
      </m:oMathPara>
    </w:p>
    <w:p w:rsidR="0077566F" w:rsidRPr="00E038F2" w:rsidRDefault="0077566F" w:rsidP="0077566F">
      <w:pPr>
        <w:jc w:val="both"/>
      </w:pPr>
      <w:r>
        <w:tab/>
      </w:r>
      <w:r>
        <w:tab/>
      </w:r>
      <w:r>
        <w:tab/>
      </w:r>
      <w:r>
        <w:tab/>
      </w:r>
      <w:r>
        <w:tab/>
      </w:r>
      <w:r>
        <w:tab/>
      </w:r>
      <w:r>
        <w:tab/>
      </w:r>
      <w:r>
        <w:tab/>
      </w:r>
      <w:r>
        <w:tab/>
      </w:r>
      <w:r>
        <w:tab/>
        <w:t>(4.6)</w:t>
      </w:r>
    </w:p>
    <w:tbl>
      <w:tblPr>
        <w:tblW w:w="4948"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7"/>
        <w:gridCol w:w="1579"/>
        <w:gridCol w:w="1867"/>
        <w:gridCol w:w="1763"/>
        <w:gridCol w:w="1466"/>
      </w:tblGrid>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Variable</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Coefficient</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Std. Error</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t-Statistic</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Prob.   </w:t>
            </w:r>
          </w:p>
        </w:tc>
      </w:tr>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Intercept</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0.000134</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0.001769</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0.075714</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0.9398</w:t>
            </w:r>
          </w:p>
        </w:tc>
      </w:tr>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∆AVRET(-1)</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-0.913561</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0.045520</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-20.06961</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0.0000</w:t>
            </w:r>
          </w:p>
        </w:tc>
      </w:tr>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∆MKT</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0.797632</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0.039679</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20.10203</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0.0000</w:t>
            </w:r>
          </w:p>
        </w:tc>
      </w:tr>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∆SIZE</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0.203533</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0.044970</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4.525938</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0.0000</w:t>
            </w:r>
          </w:p>
        </w:tc>
      </w:tr>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∆VALUE</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0.017117</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0.056114</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0.305038</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0.7610</w:t>
            </w:r>
          </w:p>
        </w:tc>
      </w:tr>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∆OPROF</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-0.136768</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0.036769</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-3.719659</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0.0003</w:t>
            </w:r>
          </w:p>
        </w:tc>
      </w:tr>
      <w:tr w:rsidR="0077566F" w:rsidRPr="00E038F2" w:rsidTr="0077566F">
        <w:trPr>
          <w:trHeight w:val="225"/>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w:t>
            </w:r>
            <w:r w:rsidR="00B35D4A">
              <w:rPr>
                <w:color w:val="000000"/>
              </w:rPr>
              <w:t>INVI</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-0.044893</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0.052693</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-0.851982</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0.3963</w:t>
            </w:r>
          </w:p>
        </w:tc>
      </w:tr>
      <w:tr w:rsidR="0077566F" w:rsidRPr="00E038F2" w:rsidTr="0077566F">
        <w:trPr>
          <w:trHeight w:hRule="exact" w:val="388"/>
        </w:trPr>
        <w:tc>
          <w:tcPr>
            <w:tcW w:w="1267" w:type="pct"/>
            <w:vAlign w:val="bottom"/>
          </w:tcPr>
          <w:p w:rsidR="0077566F" w:rsidRPr="00E038F2" w:rsidRDefault="0077566F" w:rsidP="0077566F">
            <w:pPr>
              <w:autoSpaceDE w:val="0"/>
              <w:autoSpaceDN w:val="0"/>
              <w:adjustRightInd w:val="0"/>
              <w:spacing w:after="0" w:line="240" w:lineRule="auto"/>
              <w:jc w:val="both"/>
              <w:rPr>
                <w:color w:val="000000"/>
              </w:rPr>
            </w:pPr>
            <w:proofErr w:type="spellStart"/>
            <w:r w:rsidRPr="00E038F2">
              <w:rPr>
                <w:color w:val="000000"/>
              </w:rPr>
              <w:t>CointEq</w:t>
            </w:r>
            <w:proofErr w:type="spellEnd"/>
            <w:r w:rsidRPr="00E038F2">
              <w:rPr>
                <w:color w:val="000000"/>
              </w:rPr>
              <w:t>(-1)</w:t>
            </w:r>
          </w:p>
        </w:tc>
        <w:tc>
          <w:tcPr>
            <w:tcW w:w="883"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-0.913561</w:t>
            </w:r>
          </w:p>
        </w:tc>
        <w:tc>
          <w:tcPr>
            <w:tcW w:w="1044"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0.031297</w:t>
            </w:r>
          </w:p>
        </w:tc>
        <w:tc>
          <w:tcPr>
            <w:tcW w:w="986"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-29.18965</w:t>
            </w:r>
          </w:p>
        </w:tc>
        <w:tc>
          <w:tcPr>
            <w:tcW w:w="820" w:type="pct"/>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0.0000</w:t>
            </w:r>
          </w:p>
        </w:tc>
      </w:tr>
      <w:tr w:rsidR="0077566F" w:rsidRPr="00E038F2" w:rsidTr="00775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267"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jc w:val="both"/>
              <w:rPr>
                <w:color w:val="000000"/>
              </w:rPr>
            </w:pPr>
          </w:p>
          <w:p w:rsidR="0077566F" w:rsidRPr="00E038F2" w:rsidRDefault="0077566F" w:rsidP="0077566F">
            <w:pPr>
              <w:autoSpaceDE w:val="0"/>
              <w:autoSpaceDN w:val="0"/>
              <w:adjustRightInd w:val="0"/>
              <w:spacing w:after="0" w:line="240" w:lineRule="auto"/>
              <w:jc w:val="both"/>
              <w:rPr>
                <w:color w:val="000000"/>
              </w:rPr>
            </w:pPr>
            <w:r w:rsidRPr="00E038F2">
              <w:rPr>
                <w:color w:val="000000"/>
              </w:rPr>
              <w:t>R-squared</w:t>
            </w:r>
          </w:p>
        </w:tc>
        <w:tc>
          <w:tcPr>
            <w:tcW w:w="883"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0.889355</w:t>
            </w:r>
          </w:p>
        </w:tc>
        <w:tc>
          <w:tcPr>
            <w:tcW w:w="2030" w:type="pct"/>
            <w:gridSpan w:val="2"/>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 xml:space="preserve">    Mean dependent </w:t>
            </w:r>
            <w:proofErr w:type="spellStart"/>
            <w:r w:rsidRPr="00E038F2">
              <w:rPr>
                <w:color w:val="000000"/>
              </w:rPr>
              <w:t>var</w:t>
            </w:r>
            <w:proofErr w:type="spellEnd"/>
          </w:p>
        </w:tc>
        <w:tc>
          <w:tcPr>
            <w:tcW w:w="820"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-0.000242</w:t>
            </w:r>
          </w:p>
        </w:tc>
      </w:tr>
      <w:tr w:rsidR="0077566F" w:rsidRPr="00E038F2" w:rsidTr="00775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267"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Adjusted R-squared</w:t>
            </w:r>
          </w:p>
        </w:tc>
        <w:tc>
          <w:tcPr>
            <w:tcW w:w="883"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0.889355</w:t>
            </w:r>
          </w:p>
        </w:tc>
        <w:tc>
          <w:tcPr>
            <w:tcW w:w="2030" w:type="pct"/>
            <w:gridSpan w:val="2"/>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 xml:space="preserve">    S.D. dependent </w:t>
            </w:r>
            <w:proofErr w:type="spellStart"/>
            <w:r w:rsidRPr="00E038F2">
              <w:rPr>
                <w:color w:val="000000"/>
              </w:rPr>
              <w:t>var</w:t>
            </w:r>
            <w:proofErr w:type="spellEnd"/>
          </w:p>
        </w:tc>
        <w:tc>
          <w:tcPr>
            <w:tcW w:w="820"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0.052286</w:t>
            </w:r>
          </w:p>
        </w:tc>
      </w:tr>
      <w:tr w:rsidR="0077566F" w:rsidRPr="00E038F2" w:rsidTr="00775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267"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S.E. of regression</w:t>
            </w:r>
          </w:p>
        </w:tc>
        <w:tc>
          <w:tcPr>
            <w:tcW w:w="883"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0.017392</w:t>
            </w:r>
          </w:p>
        </w:tc>
        <w:tc>
          <w:tcPr>
            <w:tcW w:w="2030" w:type="pct"/>
            <w:gridSpan w:val="2"/>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    </w:t>
            </w:r>
            <w:proofErr w:type="spellStart"/>
            <w:r w:rsidRPr="00E038F2">
              <w:rPr>
                <w:color w:val="000000"/>
              </w:rPr>
              <w:t>Akaike</w:t>
            </w:r>
            <w:proofErr w:type="spellEnd"/>
            <w:r w:rsidRPr="00E038F2">
              <w:rPr>
                <w:color w:val="000000"/>
              </w:rPr>
              <w:t xml:space="preserve"> info criterion</w:t>
            </w:r>
          </w:p>
        </w:tc>
        <w:tc>
          <w:tcPr>
            <w:tcW w:w="820"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-5.256291</w:t>
            </w:r>
          </w:p>
        </w:tc>
      </w:tr>
      <w:tr w:rsidR="0077566F" w:rsidRPr="00E038F2" w:rsidTr="00775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267"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 xml:space="preserve">Sum squared </w:t>
            </w:r>
            <w:proofErr w:type="spellStart"/>
            <w:r w:rsidRPr="00E038F2">
              <w:rPr>
                <w:color w:val="000000"/>
              </w:rPr>
              <w:t>resid</w:t>
            </w:r>
            <w:proofErr w:type="spellEnd"/>
          </w:p>
        </w:tc>
        <w:tc>
          <w:tcPr>
            <w:tcW w:w="883"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0.032064</w:t>
            </w:r>
          </w:p>
        </w:tc>
        <w:tc>
          <w:tcPr>
            <w:tcW w:w="2030" w:type="pct"/>
            <w:gridSpan w:val="2"/>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    Schwarz criterion</w:t>
            </w:r>
          </w:p>
        </w:tc>
        <w:tc>
          <w:tcPr>
            <w:tcW w:w="820"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-5.231311</w:t>
            </w:r>
          </w:p>
        </w:tc>
      </w:tr>
      <w:tr w:rsidR="0077566F" w:rsidRPr="00E038F2" w:rsidTr="00775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267"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Log likelihood</w:t>
            </w:r>
          </w:p>
        </w:tc>
        <w:tc>
          <w:tcPr>
            <w:tcW w:w="883"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282.2115</w:t>
            </w:r>
          </w:p>
        </w:tc>
        <w:tc>
          <w:tcPr>
            <w:tcW w:w="2030" w:type="pct"/>
            <w:gridSpan w:val="2"/>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    </w:t>
            </w:r>
            <w:proofErr w:type="spellStart"/>
            <w:r w:rsidRPr="00E038F2">
              <w:rPr>
                <w:color w:val="000000"/>
              </w:rPr>
              <w:t>Hannan</w:t>
            </w:r>
            <w:proofErr w:type="spellEnd"/>
            <w:r w:rsidRPr="00E038F2">
              <w:rPr>
                <w:color w:val="000000"/>
              </w:rPr>
              <w:t xml:space="preserve">-Quinn </w:t>
            </w:r>
            <w:proofErr w:type="spellStart"/>
            <w:r w:rsidRPr="00E038F2">
              <w:rPr>
                <w:color w:val="000000"/>
              </w:rPr>
              <w:t>criter</w:t>
            </w:r>
            <w:proofErr w:type="spellEnd"/>
            <w:r w:rsidRPr="00E038F2">
              <w:rPr>
                <w:color w:val="000000"/>
              </w:rPr>
              <w:t>.</w:t>
            </w:r>
          </w:p>
        </w:tc>
        <w:tc>
          <w:tcPr>
            <w:tcW w:w="820"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-5.246164</w:t>
            </w:r>
          </w:p>
        </w:tc>
      </w:tr>
      <w:tr w:rsidR="0077566F" w:rsidRPr="00E038F2" w:rsidTr="00775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267"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jc w:val="both"/>
              <w:rPr>
                <w:color w:val="000000"/>
              </w:rPr>
            </w:pPr>
            <w:r w:rsidRPr="00E038F2">
              <w:rPr>
                <w:color w:val="000000"/>
              </w:rPr>
              <w:t>Durbin-Watson stat</w:t>
            </w:r>
          </w:p>
        </w:tc>
        <w:tc>
          <w:tcPr>
            <w:tcW w:w="883"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r w:rsidRPr="00E038F2">
              <w:rPr>
                <w:color w:val="000000"/>
              </w:rPr>
              <w:t>1.854543</w:t>
            </w:r>
          </w:p>
        </w:tc>
        <w:tc>
          <w:tcPr>
            <w:tcW w:w="1044"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p>
        </w:tc>
        <w:tc>
          <w:tcPr>
            <w:tcW w:w="986"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p>
        </w:tc>
        <w:tc>
          <w:tcPr>
            <w:tcW w:w="820" w:type="pct"/>
            <w:tcBorders>
              <w:top w:val="nil"/>
              <w:left w:val="nil"/>
              <w:bottom w:val="nil"/>
              <w:right w:val="nil"/>
            </w:tcBorders>
            <w:vAlign w:val="bottom"/>
          </w:tcPr>
          <w:p w:rsidR="0077566F" w:rsidRPr="00E038F2" w:rsidRDefault="0077566F" w:rsidP="0077566F">
            <w:pPr>
              <w:autoSpaceDE w:val="0"/>
              <w:autoSpaceDN w:val="0"/>
              <w:adjustRightInd w:val="0"/>
              <w:spacing w:after="0" w:line="240" w:lineRule="auto"/>
              <w:ind w:right="10"/>
              <w:jc w:val="both"/>
              <w:rPr>
                <w:color w:val="000000"/>
              </w:rPr>
            </w:pPr>
          </w:p>
        </w:tc>
      </w:tr>
    </w:tbl>
    <w:p w:rsidR="0077566F" w:rsidRPr="00E038F2" w:rsidRDefault="0077566F" w:rsidP="0077566F">
      <w:pPr>
        <w:autoSpaceDE w:val="0"/>
        <w:autoSpaceDN w:val="0"/>
        <w:adjustRightInd w:val="0"/>
        <w:spacing w:after="0" w:line="360" w:lineRule="auto"/>
        <w:jc w:val="both"/>
      </w:pPr>
      <w:r w:rsidRPr="00E038F2">
        <w:br/>
      </w:r>
      <w:r>
        <w:rPr>
          <w:color w:val="000000"/>
        </w:rPr>
        <w:t>Results show that</w:t>
      </w:r>
      <w:r w:rsidRPr="00E038F2">
        <w:rPr>
          <w:color w:val="000000"/>
        </w:rPr>
        <w:t xml:space="preserve"> </w:t>
      </w:r>
      <w:r>
        <w:rPr>
          <w:color w:val="000000"/>
        </w:rPr>
        <w:t>investment intensity effect</w:t>
      </w:r>
      <w:r w:rsidRPr="00E038F2">
        <w:rPr>
          <w:color w:val="000000"/>
        </w:rPr>
        <w:t xml:space="preserve"> on average stock returns is negative but insignifica</w:t>
      </w:r>
      <w:r>
        <w:rPr>
          <w:color w:val="000000"/>
        </w:rPr>
        <w:t xml:space="preserve">nt at 5% level </w:t>
      </w:r>
      <w:r w:rsidRPr="00E038F2">
        <w:t>(</w:t>
      </w:r>
      <w:r w:rsidRPr="00E038F2">
        <w:rPr>
          <w:i/>
        </w:rPr>
        <w:t xml:space="preserve">b </w:t>
      </w:r>
      <w:r w:rsidRPr="00E038F2">
        <w:t xml:space="preserve">= </w:t>
      </w:r>
      <w:r w:rsidRPr="00E038F2">
        <w:rPr>
          <w:color w:val="000000"/>
        </w:rPr>
        <w:t xml:space="preserve">-0.0449, </w:t>
      </w:r>
      <w:r w:rsidRPr="00E038F2">
        <w:rPr>
          <w:i/>
          <w:color w:val="000000"/>
        </w:rPr>
        <w:t xml:space="preserve">p-value </w:t>
      </w:r>
      <w:r w:rsidRPr="00E038F2">
        <w:rPr>
          <w:color w:val="000000"/>
        </w:rPr>
        <w:t xml:space="preserve">= 0.3963). This implies that holding other factors constant, a unit increase in </w:t>
      </w:r>
      <w:r>
        <w:rPr>
          <w:color w:val="000000"/>
        </w:rPr>
        <w:t>investment intensity</w:t>
      </w:r>
      <w:r w:rsidRPr="00E038F2">
        <w:rPr>
          <w:color w:val="000000"/>
        </w:rPr>
        <w:t xml:space="preserve"> risk </w:t>
      </w:r>
      <w:r>
        <w:rPr>
          <w:color w:val="000000"/>
        </w:rPr>
        <w:t>would lower</w:t>
      </w:r>
      <w:r w:rsidRPr="00E038F2">
        <w:rPr>
          <w:color w:val="000000"/>
        </w:rPr>
        <w:t xml:space="preserve"> return required by investors at the NSE by 0.0449 units though insignificantly. Thus, the null hypothesis of no significant effect of </w:t>
      </w:r>
      <w:r w:rsidR="00735E15">
        <w:rPr>
          <w:color w:val="000000"/>
        </w:rPr>
        <w:t>investment intensity</w:t>
      </w:r>
      <w:r w:rsidRPr="00E038F2">
        <w:rPr>
          <w:color w:val="000000"/>
        </w:rPr>
        <w:t xml:space="preserve"> risk on stock returns could not be rejected and thereby concluded that </w:t>
      </w:r>
      <w:r w:rsidR="00735E15">
        <w:rPr>
          <w:color w:val="000000"/>
        </w:rPr>
        <w:t>investment intensity</w:t>
      </w:r>
      <w:r w:rsidR="00735E15" w:rsidRPr="00E038F2">
        <w:rPr>
          <w:color w:val="000000"/>
        </w:rPr>
        <w:t xml:space="preserve"> risk </w:t>
      </w:r>
      <w:r w:rsidR="00735E15">
        <w:rPr>
          <w:color w:val="000000"/>
        </w:rPr>
        <w:t>i</w:t>
      </w:r>
      <w:r w:rsidRPr="00E038F2">
        <w:rPr>
          <w:color w:val="000000"/>
        </w:rPr>
        <w:t xml:space="preserve">s not a significant predictor of average stock returns in Kenya, </w:t>
      </w:r>
      <w:r w:rsidRPr="00E038F2">
        <w:t>holding co</w:t>
      </w:r>
      <w:r w:rsidR="00735E15">
        <w:t>nst</w:t>
      </w:r>
      <w:r w:rsidRPr="00E038F2">
        <w:t xml:space="preserve">ant other factors in the model. </w:t>
      </w:r>
      <w:r w:rsidR="00735E15">
        <w:t>This implies</w:t>
      </w:r>
      <w:r w:rsidRPr="00E038F2">
        <w:t xml:space="preserve"> that investors do not consider the company’s total asset variation as an important factor for making investment decisions at the NSE. The results in the current study are somewhat consistent with conclusions by Cooper, </w:t>
      </w:r>
      <w:proofErr w:type="spellStart"/>
      <w:r w:rsidRPr="00E038F2">
        <w:t>Gulen</w:t>
      </w:r>
      <w:proofErr w:type="spellEnd"/>
      <w:r w:rsidRPr="00E038F2">
        <w:t xml:space="preserve"> and </w:t>
      </w:r>
      <w:proofErr w:type="spellStart"/>
      <w:r w:rsidRPr="00E038F2">
        <w:t>Schill</w:t>
      </w:r>
      <w:proofErr w:type="spellEnd"/>
      <w:r w:rsidRPr="00E038F2">
        <w:t xml:space="preserve"> (2008) that US firms with low asset growth earn superior annualized risk-adjusted average returns. Although Chen (2017) indicated that firm investment and expected returns tend to exhibit a negative relationship after controlling for size and B/M ratio, the relationship is however somewhat different when the FF5F model is considered. It should however be noted that the difference in the conclusions could be attributed t</w:t>
      </w:r>
      <w:r w:rsidR="00EC7C04">
        <w:t>o different measurement for INVI</w:t>
      </w:r>
      <w:r w:rsidRPr="00E038F2">
        <w:t xml:space="preserve"> variable and methodology adopted by researchers for the analysis.</w:t>
      </w:r>
    </w:p>
    <w:p w:rsidR="00A6543C" w:rsidRPr="007C5487" w:rsidRDefault="00A6543C" w:rsidP="0077566F">
      <w:pPr>
        <w:autoSpaceDE w:val="0"/>
        <w:autoSpaceDN w:val="0"/>
        <w:adjustRightInd w:val="0"/>
        <w:spacing w:after="0" w:line="360" w:lineRule="auto"/>
        <w:ind w:right="10"/>
        <w:jc w:val="both"/>
        <w:rPr>
          <w:b/>
          <w:shd w:val="clear" w:color="auto" w:fill="FFFFFF"/>
        </w:rPr>
      </w:pPr>
    </w:p>
    <w:p w:rsidR="00A6543C" w:rsidRPr="007C5487" w:rsidRDefault="004024F7" w:rsidP="007C5487">
      <w:pPr>
        <w:autoSpaceDE w:val="0"/>
        <w:autoSpaceDN w:val="0"/>
        <w:adjustRightInd w:val="0"/>
        <w:spacing w:after="0" w:line="360" w:lineRule="auto"/>
        <w:jc w:val="both"/>
        <w:rPr>
          <w:b/>
          <w:shd w:val="clear" w:color="auto" w:fill="FFFFFF"/>
        </w:rPr>
      </w:pPr>
      <w:r>
        <w:rPr>
          <w:b/>
          <w:shd w:val="clear" w:color="auto" w:fill="FFFFFF"/>
        </w:rPr>
        <w:t>7.2</w:t>
      </w:r>
      <w:r w:rsidR="00F15E62" w:rsidRPr="007C5487">
        <w:rPr>
          <w:b/>
          <w:shd w:val="clear" w:color="auto" w:fill="FFFFFF"/>
        </w:rPr>
        <w:t xml:space="preserve"> </w:t>
      </w:r>
      <w:r w:rsidR="00CF341C" w:rsidRPr="007C5487">
        <w:rPr>
          <w:b/>
          <w:shd w:val="clear" w:color="auto" w:fill="FFFFFF"/>
        </w:rPr>
        <w:t xml:space="preserve">Investor </w:t>
      </w:r>
      <w:r w:rsidR="0092671C">
        <w:rPr>
          <w:b/>
          <w:shd w:val="clear" w:color="auto" w:fill="FFFFFF"/>
        </w:rPr>
        <w:t>Irrationality</w:t>
      </w:r>
      <w:r w:rsidR="00CF341C" w:rsidRPr="007C5487">
        <w:rPr>
          <w:b/>
          <w:shd w:val="clear" w:color="auto" w:fill="FFFFFF"/>
        </w:rPr>
        <w:t xml:space="preserve">, </w:t>
      </w:r>
      <w:r w:rsidR="0092671C">
        <w:rPr>
          <w:b/>
          <w:shd w:val="clear" w:color="auto" w:fill="FFFFFF"/>
        </w:rPr>
        <w:t>Investment Intensity</w:t>
      </w:r>
      <w:r w:rsidR="00A6543C" w:rsidRPr="007C5487">
        <w:rPr>
          <w:b/>
          <w:shd w:val="clear" w:color="auto" w:fill="FFFFFF"/>
        </w:rPr>
        <w:t xml:space="preserve"> Risk and Stock Returns</w:t>
      </w:r>
    </w:p>
    <w:p w:rsidR="00F4347E" w:rsidRPr="007C5487" w:rsidRDefault="00F4347E" w:rsidP="007C5487">
      <w:pPr>
        <w:autoSpaceDE w:val="0"/>
        <w:autoSpaceDN w:val="0"/>
        <w:adjustRightInd w:val="0"/>
        <w:spacing w:after="0" w:line="360" w:lineRule="auto"/>
        <w:jc w:val="both"/>
      </w:pPr>
      <w:r w:rsidRPr="007C5487">
        <w:t xml:space="preserve">Table </w:t>
      </w:r>
      <w:r w:rsidR="0092671C">
        <w:t>7.2</w:t>
      </w:r>
      <w:r w:rsidRPr="007C5487">
        <w:t xml:space="preserve"> shows summary results of the ARDL time-series regression performed to establish </w:t>
      </w:r>
      <w:r w:rsidR="00F42709" w:rsidRPr="007C5487">
        <w:rPr>
          <w:shd w:val="clear" w:color="auto" w:fill="FFFFFF"/>
        </w:rPr>
        <w:t>if</w:t>
      </w:r>
      <w:r w:rsidRPr="007C5487">
        <w:rPr>
          <w:shd w:val="clear" w:color="auto" w:fill="FFFFFF"/>
        </w:rPr>
        <w:t xml:space="preserve"> investor </w:t>
      </w:r>
      <w:r w:rsidR="0092671C">
        <w:rPr>
          <w:shd w:val="clear" w:color="auto" w:fill="FFFFFF"/>
        </w:rPr>
        <w:t>irrationality</w:t>
      </w:r>
      <w:r w:rsidRPr="007C5487">
        <w:rPr>
          <w:shd w:val="clear" w:color="auto" w:fill="FFFFFF"/>
        </w:rPr>
        <w:t xml:space="preserve"> would influence the relationship between </w:t>
      </w:r>
      <w:r w:rsidR="0092671C">
        <w:rPr>
          <w:shd w:val="clear" w:color="auto" w:fill="FFFFFF"/>
        </w:rPr>
        <w:t>investment intensity risk</w:t>
      </w:r>
      <w:r w:rsidR="00864742" w:rsidRPr="007C5487">
        <w:rPr>
          <w:shd w:val="clear" w:color="auto" w:fill="FFFFFF"/>
        </w:rPr>
        <w:t xml:space="preserve"> </w:t>
      </w:r>
      <w:r w:rsidRPr="007C5487">
        <w:rPr>
          <w:shd w:val="clear" w:color="auto" w:fill="FFFFFF"/>
        </w:rPr>
        <w:t xml:space="preserve">and excess stock returns at the NSE. It was conceptualized that the influence could either be direct or through interaction, controlling for other risk factors in the model. </w:t>
      </w:r>
      <w:r w:rsidRPr="007C5487">
        <w:t>The coefficients of the interaction model-2 were estimated by running the following</w:t>
      </w:r>
      <w:r w:rsidR="00F42709" w:rsidRPr="007C5487">
        <w:t xml:space="preserve"> ARDL error correction model </w:t>
      </w:r>
      <w:r w:rsidR="00CC76F5" w:rsidRPr="007C5487">
        <w:t>equation</w:t>
      </w:r>
      <w:r w:rsidRPr="007C5487">
        <w:t>:</w:t>
      </w:r>
    </w:p>
    <w:p w:rsidR="00F4347E" w:rsidRPr="007C5487" w:rsidRDefault="00F4347E" w:rsidP="007C5487">
      <w:pPr>
        <w:autoSpaceDE w:val="0"/>
        <w:autoSpaceDN w:val="0"/>
        <w:adjustRightInd w:val="0"/>
        <w:spacing w:after="0" w:line="360" w:lineRule="auto"/>
        <w:jc w:val="both"/>
      </w:pPr>
    </w:p>
    <w:p w:rsidR="00F4347E" w:rsidRPr="007C5487" w:rsidRDefault="00A21C56" w:rsidP="007C5487">
      <w:pPr>
        <w:spacing w:after="0" w:line="360" w:lineRule="auto"/>
        <w:jc w:val="both"/>
      </w:pPr>
      <m:oMathPara>
        <m:oMath>
          <m:sSub>
            <m:sSubPr>
              <m:ctrlPr>
                <w:rPr>
                  <w:rFonts w:ascii="Cambria Math" w:eastAsia="SimSun" w:hAnsi="Cambria Math"/>
                </w:rPr>
              </m:ctrlPr>
            </m:sSubPr>
            <m:e>
              <m:r>
                <w:rPr>
                  <w:rFonts w:ascii="Cambria Math" w:eastAsia="SimSun" w:hAnsi="Cambria Math"/>
                </w:rPr>
                <m:t>∆</m:t>
              </m:r>
              <m:d>
                <m:dPr>
                  <m:ctrlPr>
                    <w:rPr>
                      <w:rFonts w:ascii="Cambria Math" w:eastAsia="SimSun" w:hAnsi="Cambria Math"/>
                      <w:i/>
                    </w:rPr>
                  </m:ctrlPr>
                </m:dPr>
                <m:e>
                  <m:r>
                    <w:rPr>
                      <w:rFonts w:ascii="Cambria Math" w:eastAsia="SimSun" w:hAnsi="Cambria Math"/>
                    </w:rPr>
                    <m:t>AVRET</m:t>
                  </m:r>
                </m:e>
              </m:d>
            </m:e>
            <m:sub>
              <m:r>
                <w:rPr>
                  <w:rFonts w:ascii="Cambria Math" w:eastAsia="SimSun" w:hAnsi="Cambria Math"/>
                </w:rPr>
                <m:t>t</m:t>
              </m:r>
            </m:sub>
          </m:sSub>
          <m:r>
            <w:rPr>
              <w:rFonts w:ascii="Cambria Math" w:eastAsia="SimSun" w:hAnsi="Cambria Math"/>
            </w:rPr>
            <m:t>=</m:t>
          </m:r>
          <m:sSub>
            <m:sSubPr>
              <m:ctrlPr>
                <w:rPr>
                  <w:rFonts w:ascii="Cambria Math" w:eastAsia="SimSun" w:hAnsi="Cambria Math"/>
                </w:rPr>
              </m:ctrlPr>
            </m:sSubPr>
            <m:e>
              <m:r>
                <w:rPr>
                  <w:rFonts w:ascii="Cambria Math" w:eastAsia="SimSun" w:hAnsi="Cambria Math"/>
                </w:rPr>
                <m:t>α</m:t>
              </m:r>
            </m:e>
            <m:sub>
              <m:r>
                <w:rPr>
                  <w:rFonts w:ascii="Cambria Math" w:eastAsia="SimSun" w:hAnsi="Cambria Math"/>
                </w:rPr>
                <m:t>0</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δ</m:t>
              </m:r>
            </m:e>
            <m:sub>
              <m:r>
                <m:rPr>
                  <m:sty m:val="p"/>
                </m:rPr>
                <w:rPr>
                  <w:rFonts w:ascii="Cambria Math" w:eastAsia="SimSun" w:hAnsi="Cambria Math"/>
                </w:rPr>
                <m:t>i</m:t>
              </m:r>
            </m:sub>
          </m:sSub>
          <m:sSub>
            <m:sSubPr>
              <m:ctrlPr>
                <w:rPr>
                  <w:rFonts w:ascii="Cambria Math" w:eastAsia="SimSun" w:hAnsi="Cambria Math"/>
                </w:rPr>
              </m:ctrlPr>
            </m:sSubPr>
            <m:e>
              <m:r>
                <w:rPr>
                  <w:rFonts w:ascii="Cambria Math" w:eastAsia="SimSun" w:hAnsi="Cambria Math"/>
                </w:rPr>
                <m:t>∆</m:t>
              </m:r>
              <m:d>
                <m:dPr>
                  <m:ctrlPr>
                    <w:rPr>
                      <w:rFonts w:ascii="Cambria Math" w:eastAsia="SimSun" w:hAnsi="Cambria Math"/>
                      <w:i/>
                    </w:rPr>
                  </m:ctrlPr>
                </m:dPr>
                <m:e>
                  <m:r>
                    <w:rPr>
                      <w:rFonts w:ascii="Cambria Math" w:eastAsia="SimSun" w:hAnsi="Cambria Math"/>
                    </w:rPr>
                    <m:t>AVRET</m:t>
                  </m:r>
                </m:e>
              </m:d>
            </m:e>
            <m:sub>
              <m:r>
                <w:rPr>
                  <w:rFonts w:ascii="Cambria Math" w:eastAsia="SimSun" w:hAnsi="Cambria Math"/>
                </w:rPr>
                <m:t>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β</m:t>
              </m:r>
            </m:e>
            <m:sub>
              <m:r>
                <m:rPr>
                  <m:sty m:val="p"/>
                </m:rPr>
                <w:rPr>
                  <w:rFonts w:ascii="Cambria Math" w:eastAsia="SimSun" w:hAnsi="Cambria Math"/>
                </w:rPr>
                <m:t>i</m:t>
              </m:r>
            </m:sub>
          </m:sSub>
          <m:sSub>
            <m:sSubPr>
              <m:ctrlPr>
                <w:rPr>
                  <w:rFonts w:ascii="Cambria Math" w:eastAsia="SimSun" w:hAnsi="Cambria Math"/>
                </w:rPr>
              </m:ctrlPr>
            </m:sSubPr>
            <m:e>
              <m:r>
                <w:rPr>
                  <w:rFonts w:ascii="Cambria Math" w:eastAsia="SimSun" w:hAnsi="Cambria Math"/>
                </w:rPr>
                <m:t>∆</m:t>
              </m:r>
              <m:d>
                <m:dPr>
                  <m:ctrlPr>
                    <w:rPr>
                      <w:rFonts w:ascii="Cambria Math" w:eastAsia="SimSun" w:hAnsi="Cambria Math"/>
                      <w:i/>
                    </w:rPr>
                  </m:ctrlPr>
                </m:dPr>
                <m:e>
                  <m:r>
                    <w:rPr>
                      <w:rFonts w:ascii="Cambria Math" w:eastAsia="SimSun" w:hAnsi="Cambria Math"/>
                    </w:rPr>
                    <m:t>MKT</m:t>
                  </m:r>
                </m:e>
              </m:d>
            </m:e>
            <m:sub>
              <m:r>
                <w:rPr>
                  <w:rFonts w:ascii="Cambria Math" w:eastAsia="SimSun" w:hAnsi="Cambria Math"/>
                </w:rPr>
                <m:t>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s</m:t>
              </m:r>
            </m:e>
            <m:sub>
              <m:r>
                <m:rPr>
                  <m:sty m:val="p"/>
                </m:rPr>
                <w:rPr>
                  <w:rFonts w:ascii="Cambria Math" w:eastAsia="SimSun" w:hAnsi="Cambria Math"/>
                </w:rPr>
                <m:t>i</m:t>
              </m:r>
            </m:sub>
          </m:sSub>
          <m:sSub>
            <m:sSubPr>
              <m:ctrlPr>
                <w:rPr>
                  <w:rFonts w:ascii="Cambria Math" w:eastAsia="SimSun" w:hAnsi="Cambria Math"/>
                </w:rPr>
              </m:ctrlPr>
            </m:sSubPr>
            <m:e>
              <m:r>
                <w:rPr>
                  <w:rFonts w:ascii="Cambria Math" w:eastAsia="SimSun" w:hAnsi="Cambria Math"/>
                </w:rPr>
                <m:t>∆</m:t>
              </m:r>
              <m:d>
                <m:dPr>
                  <m:ctrlPr>
                    <w:rPr>
                      <w:rFonts w:ascii="Cambria Math" w:eastAsia="SimSun" w:hAnsi="Cambria Math"/>
                      <w:i/>
                    </w:rPr>
                  </m:ctrlPr>
                </m:dPr>
                <m:e>
                  <m:r>
                    <w:rPr>
                      <w:rFonts w:ascii="Cambria Math" w:eastAsia="SimSun" w:hAnsi="Cambria Math"/>
                    </w:rPr>
                    <m:t>INVI</m:t>
                  </m:r>
                </m:e>
              </m:d>
            </m:e>
            <m:sub>
              <m:r>
                <w:rPr>
                  <w:rFonts w:ascii="Cambria Math" w:eastAsia="SimSun" w:hAnsi="Cambria Math"/>
                </w:rPr>
                <m:t>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ξ</m:t>
              </m:r>
            </m:e>
            <m:sub>
              <m:r>
                <m:rPr>
                  <m:sty m:val="p"/>
                </m:rPr>
                <w:rPr>
                  <w:rFonts w:ascii="Cambria Math" w:eastAsia="SimSun" w:hAnsi="Cambria Math"/>
                </w:rPr>
                <m:t>i</m:t>
              </m:r>
            </m:sub>
          </m:sSub>
          <m:sSub>
            <m:sSubPr>
              <m:ctrlPr>
                <w:rPr>
                  <w:rFonts w:ascii="Cambria Math" w:eastAsia="SimSun" w:hAnsi="Cambria Math"/>
                </w:rPr>
              </m:ctrlPr>
            </m:sSubPr>
            <m:e>
              <m:r>
                <w:rPr>
                  <w:rFonts w:ascii="Cambria Math" w:eastAsia="SimSun" w:hAnsi="Cambria Math"/>
                </w:rPr>
                <m:t>∆</m:t>
              </m:r>
              <m:d>
                <m:dPr>
                  <m:ctrlPr>
                    <w:rPr>
                      <w:rFonts w:ascii="Cambria Math" w:eastAsia="SimSun" w:hAnsi="Cambria Math"/>
                      <w:i/>
                    </w:rPr>
                  </m:ctrlPr>
                </m:dPr>
                <m:e>
                  <m:r>
                    <w:rPr>
                      <w:rFonts w:ascii="Cambria Math" w:eastAsia="SimSun" w:hAnsi="Cambria Math"/>
                    </w:rPr>
                    <m:t>IIRA</m:t>
                  </m:r>
                </m:e>
              </m:d>
            </m:e>
            <m:sub>
              <m:r>
                <w:rPr>
                  <w:rFonts w:ascii="Cambria Math" w:eastAsia="SimSun" w:hAnsi="Cambria Math"/>
                </w:rPr>
                <m:t>t-i</m:t>
              </m:r>
            </m:sub>
          </m:sSub>
          <m:sSub>
            <m:sSubPr>
              <m:ctrlPr>
                <w:rPr>
                  <w:rFonts w:ascii="Cambria Math" w:hAnsi="Cambria Math"/>
                </w:rPr>
              </m:ctrlPr>
            </m:sSubPr>
            <m:e>
              <m:r>
                <w:rPr>
                  <w:rFonts w:ascii="Cambria Math" w:hAnsi="Cambria Math"/>
                </w:rPr>
                <m:t>+</m:t>
              </m:r>
              <m:sSub>
                <m:sSubPr>
                  <m:ctrlPr>
                    <w:rPr>
                      <w:rFonts w:ascii="Cambria Math" w:eastAsia="SimSun" w:hAnsi="Cambria Math"/>
                      <w:i/>
                    </w:rPr>
                  </m:ctrlPr>
                </m:sSubPr>
                <m:e>
                  <m:r>
                    <w:rPr>
                      <w:rFonts w:ascii="Cambria Math" w:eastAsia="SimSun" w:hAnsi="Cambria Math"/>
                    </w:rPr>
                    <m:t>γ</m:t>
                  </m:r>
                </m:e>
                <m:sub>
                  <m:r>
                    <m:rPr>
                      <m:sty m:val="p"/>
                    </m:rPr>
                    <w:rPr>
                      <w:rFonts w:ascii="Cambria Math" w:eastAsia="SimSun" w:hAnsi="Cambria Math"/>
                    </w:rPr>
                    <m:t>i</m:t>
                  </m:r>
                </m:sub>
              </m:sSub>
              <m:sSub>
                <m:sSubPr>
                  <m:ctrlPr>
                    <w:rPr>
                      <w:rFonts w:ascii="Cambria Math" w:eastAsia="SimSun" w:hAnsi="Cambria Math"/>
                    </w:rPr>
                  </m:ctrlPr>
                </m:sSubPr>
                <m:e>
                  <m:r>
                    <w:rPr>
                      <w:rFonts w:ascii="Cambria Math" w:eastAsia="SimSun" w:hAnsi="Cambria Math"/>
                    </w:rPr>
                    <m:t>∆</m:t>
                  </m:r>
                  <m:d>
                    <m:dPr>
                      <m:ctrlPr>
                        <w:rPr>
                          <w:rFonts w:ascii="Cambria Math" w:eastAsia="SimSun" w:hAnsi="Cambria Math"/>
                          <w:i/>
                        </w:rPr>
                      </m:ctrlPr>
                    </m:dPr>
                    <m:e>
                      <m:r>
                        <w:rPr>
                          <w:rFonts w:ascii="Cambria Math" w:eastAsia="SimSun" w:hAnsi="Cambria Math"/>
                        </w:rPr>
                        <m:t>INVI*IIRA</m:t>
                      </m:r>
                    </m:e>
                  </m:d>
                </m:e>
                <m:sub>
                  <m:r>
                    <w:rPr>
                      <w:rFonts w:ascii="Cambria Math" w:eastAsia="SimSun" w:hAnsi="Cambria Math"/>
                    </w:rPr>
                    <m:t>t-i</m:t>
                  </m:r>
                </m:sub>
              </m:sSub>
              <m:r>
                <w:rPr>
                  <w:rFonts w:ascii="Cambria Math" w:hAnsi="Cambria Math"/>
                </w:rPr>
                <m:t>+</m:t>
              </m:r>
              <m:sSub>
                <m:sSubPr>
                  <m:ctrlPr>
                    <w:rPr>
                      <w:rFonts w:ascii="Cambria Math" w:hAnsi="Cambria Math"/>
                      <w:i/>
                    </w:rPr>
                  </m:ctrlPr>
                </m:sSubPr>
                <m:e>
                  <m:r>
                    <w:rPr>
                      <w:rFonts w:ascii="Cambria Math" w:hAnsi="Cambria Math"/>
                    </w:rPr>
                    <m:t>CONTROLS</m:t>
                  </m:r>
                </m:e>
                <m:sub>
                  <m:r>
                    <w:rPr>
                      <w:rFonts w:ascii="Cambria Math" w:hAnsi="Cambria Math"/>
                    </w:rPr>
                    <m:t>t-i</m:t>
                  </m:r>
                </m:sub>
              </m:sSub>
              <m:r>
                <w:rPr>
                  <w:rFonts w:ascii="Cambria Math" w:eastAsia="SimSun" w:hAnsi="Cambria Math"/>
                </w:rPr>
                <m:t>+φ</m:t>
              </m:r>
              <m:sSub>
                <m:sSubPr>
                  <m:ctrlPr>
                    <w:rPr>
                      <w:rFonts w:ascii="Cambria Math" w:eastAsia="SimSun" w:hAnsi="Cambria Math"/>
                      <w:i/>
                    </w:rPr>
                  </m:ctrlPr>
                </m:sSubPr>
                <m:e>
                  <m:r>
                    <w:rPr>
                      <w:rFonts w:ascii="Cambria Math" w:eastAsia="SimSun" w:hAnsi="Cambria Math"/>
                    </w:rPr>
                    <m:t>ECT</m:t>
                  </m:r>
                </m:e>
                <m:sub>
                  <m:r>
                    <w:rPr>
                      <w:rFonts w:ascii="Cambria Math" w:eastAsia="SimSun" w:hAnsi="Cambria Math"/>
                    </w:rPr>
                    <m:t>t-1</m:t>
                  </m:r>
                </m:sub>
              </m:sSub>
              <m:r>
                <w:rPr>
                  <w:rFonts w:ascii="Cambria Math" w:eastAsia="SimSun" w:hAnsi="Cambria Math"/>
                </w:rPr>
                <m:t>+</m:t>
              </m:r>
              <m:r>
                <w:rPr>
                  <w:rFonts w:ascii="Cambria Math" w:hAnsi="Cambria Math"/>
                </w:rPr>
                <m:t>e</m:t>
              </m:r>
            </m:e>
            <m:sub>
              <m:r>
                <w:rPr>
                  <w:rFonts w:ascii="Cambria Math" w:hAnsi="Cambria Math"/>
                </w:rPr>
                <m:t>4t</m:t>
              </m:r>
            </m:sub>
          </m:sSub>
          <m:r>
            <w:rPr>
              <w:rFonts w:ascii="Cambria Math" w:hAnsi="Cambria Math"/>
            </w:rPr>
            <m:t xml:space="preserve">          </m:t>
          </m:r>
        </m:oMath>
      </m:oMathPara>
    </w:p>
    <w:p w:rsidR="00F4347E" w:rsidRPr="007C5487" w:rsidRDefault="00F4347E" w:rsidP="007C5487">
      <w:pPr>
        <w:autoSpaceDE w:val="0"/>
        <w:autoSpaceDN w:val="0"/>
        <w:adjustRightInd w:val="0"/>
        <w:spacing w:after="0" w:line="360" w:lineRule="auto"/>
        <w:jc w:val="both"/>
        <w:rPr>
          <w:rFonts w:eastAsiaTheme="minorEastAsia"/>
        </w:rPr>
      </w:pPr>
      <w:r w:rsidRPr="007C5487">
        <w:t xml:space="preserve">The </w:t>
      </w:r>
      <w:r w:rsidR="0092671C">
        <w:t>investor irrationality</w:t>
      </w:r>
      <w:r w:rsidRPr="007C5487">
        <w:t xml:space="preserve"> effect was established by assessing the change in adjusted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oMath>
      <w:r w:rsidRPr="007C5487">
        <w:t xml:space="preserve">and significance of the </w:t>
      </w:r>
      <w:r w:rsidR="0092671C">
        <w:t>IIRA</w:t>
      </w:r>
      <w:r w:rsidRPr="007C5487">
        <w:t xml:space="preserve"> variable and its interaction with </w:t>
      </w:r>
      <w:r w:rsidR="0092671C">
        <w:t>INVI</w:t>
      </w:r>
      <w:r w:rsidR="00864742" w:rsidRPr="007C5487">
        <w:t xml:space="preserve"> </w:t>
      </w:r>
      <w:r w:rsidRPr="007C5487">
        <w:t xml:space="preserve">in the interaction model. Table </w:t>
      </w:r>
      <w:r w:rsidR="0092671C">
        <w:t>7.2</w:t>
      </w:r>
      <w:r w:rsidRPr="007C5487">
        <w:t xml:space="preserve"> further illustrates the estimated intercepts, the error correction term, factor loadings and their corresponding t-statistics and </w:t>
      </w:r>
      <w:r w:rsidRPr="007C5487">
        <w:rPr>
          <w:i/>
        </w:rPr>
        <w:t>p</w:t>
      </w:r>
      <w:r w:rsidR="004C0321">
        <w:t>-values.</w:t>
      </w:r>
    </w:p>
    <w:p w:rsidR="00C244F1" w:rsidRPr="007C5487" w:rsidRDefault="00C244F1" w:rsidP="007C5487">
      <w:pPr>
        <w:autoSpaceDE w:val="0"/>
        <w:autoSpaceDN w:val="0"/>
        <w:adjustRightInd w:val="0"/>
        <w:spacing w:after="0" w:line="360" w:lineRule="auto"/>
        <w:jc w:val="both"/>
        <w:rPr>
          <w:b/>
          <w:shd w:val="clear" w:color="auto" w:fill="FFFFFF"/>
        </w:rPr>
      </w:pPr>
    </w:p>
    <w:p w:rsidR="00CC76F5" w:rsidRDefault="0092671C" w:rsidP="007C5487">
      <w:pPr>
        <w:spacing w:after="0" w:line="360" w:lineRule="auto"/>
        <w:jc w:val="both"/>
        <w:rPr>
          <w:b/>
        </w:rPr>
      </w:pPr>
      <w:r>
        <w:rPr>
          <w:b/>
        </w:rPr>
        <w:t>Table 7.2</w:t>
      </w:r>
      <w:r w:rsidR="00CC76F5" w:rsidRPr="007C5487">
        <w:rPr>
          <w:b/>
        </w:rPr>
        <w:t>: ARDL Error Correctio</w:t>
      </w:r>
      <w:r w:rsidR="00CF341C" w:rsidRPr="007C5487">
        <w:rPr>
          <w:b/>
        </w:rPr>
        <w:t xml:space="preserve">n Regression-Interaction Model </w:t>
      </w:r>
    </w:p>
    <w:p w:rsidR="0090775D" w:rsidRDefault="0090775D" w:rsidP="0090775D">
      <w:pPr>
        <w:autoSpaceDE w:val="0"/>
        <w:autoSpaceDN w:val="0"/>
        <w:adjustRightInd w:val="0"/>
        <w:spacing w:after="0" w:line="240" w:lineRule="auto"/>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46"/>
        <w:gridCol w:w="1265"/>
        <w:gridCol w:w="1914"/>
        <w:gridCol w:w="1767"/>
        <w:gridCol w:w="2044"/>
      </w:tblGrid>
      <w:tr w:rsidR="0090775D" w:rsidRPr="0090775D" w:rsidTr="0090775D">
        <w:trPr>
          <w:trHeight w:hRule="exact" w:val="288"/>
        </w:trPr>
        <w:tc>
          <w:tcPr>
            <w:tcW w:w="1132" w:type="pct"/>
            <w:vAlign w:val="bottom"/>
          </w:tcPr>
          <w:p w:rsidR="0090775D" w:rsidRPr="0090775D" w:rsidRDefault="0090775D">
            <w:pPr>
              <w:autoSpaceDE w:val="0"/>
              <w:autoSpaceDN w:val="0"/>
              <w:adjustRightInd w:val="0"/>
              <w:spacing w:after="0" w:line="240" w:lineRule="auto"/>
              <w:jc w:val="center"/>
              <w:rPr>
                <w:color w:val="000000"/>
              </w:rPr>
            </w:pPr>
          </w:p>
        </w:tc>
        <w:tc>
          <w:tcPr>
            <w:tcW w:w="700" w:type="pct"/>
            <w:vAlign w:val="bottom"/>
          </w:tcPr>
          <w:p w:rsidR="0090775D" w:rsidRPr="0090775D" w:rsidRDefault="0090775D">
            <w:pPr>
              <w:autoSpaceDE w:val="0"/>
              <w:autoSpaceDN w:val="0"/>
              <w:adjustRightInd w:val="0"/>
              <w:spacing w:after="0" w:line="240" w:lineRule="auto"/>
              <w:jc w:val="center"/>
              <w:rPr>
                <w:color w:val="000000"/>
              </w:rPr>
            </w:pPr>
          </w:p>
        </w:tc>
        <w:tc>
          <w:tcPr>
            <w:tcW w:w="1059" w:type="pct"/>
            <w:vAlign w:val="bottom"/>
          </w:tcPr>
          <w:p w:rsidR="0090775D" w:rsidRPr="0090775D" w:rsidRDefault="0090775D">
            <w:pPr>
              <w:autoSpaceDE w:val="0"/>
              <w:autoSpaceDN w:val="0"/>
              <w:adjustRightInd w:val="0"/>
              <w:spacing w:after="0" w:line="240" w:lineRule="auto"/>
              <w:jc w:val="center"/>
              <w:rPr>
                <w:color w:val="000000"/>
              </w:rPr>
            </w:pPr>
          </w:p>
        </w:tc>
        <w:tc>
          <w:tcPr>
            <w:tcW w:w="978" w:type="pct"/>
            <w:vAlign w:val="bottom"/>
          </w:tcPr>
          <w:p w:rsidR="0090775D" w:rsidRPr="0090775D" w:rsidRDefault="0090775D">
            <w:pPr>
              <w:autoSpaceDE w:val="0"/>
              <w:autoSpaceDN w:val="0"/>
              <w:adjustRightInd w:val="0"/>
              <w:spacing w:after="0" w:line="240" w:lineRule="auto"/>
              <w:jc w:val="center"/>
              <w:rPr>
                <w:color w:val="000000"/>
              </w:rPr>
            </w:pPr>
          </w:p>
        </w:tc>
        <w:tc>
          <w:tcPr>
            <w:tcW w:w="1131" w:type="pct"/>
            <w:vAlign w:val="bottom"/>
          </w:tcPr>
          <w:p w:rsidR="0090775D" w:rsidRPr="0090775D" w:rsidRDefault="0090775D">
            <w:pPr>
              <w:autoSpaceDE w:val="0"/>
              <w:autoSpaceDN w:val="0"/>
              <w:adjustRightInd w:val="0"/>
              <w:spacing w:after="0" w:line="240" w:lineRule="auto"/>
              <w:jc w:val="center"/>
              <w:rPr>
                <w:color w:val="000000"/>
              </w:rPr>
            </w:pPr>
          </w:p>
        </w:tc>
      </w:tr>
      <w:tr w:rsidR="0090775D" w:rsidRPr="0090775D" w:rsidTr="0090775D">
        <w:trPr>
          <w:trHeight w:hRule="exact" w:val="288"/>
        </w:trPr>
        <w:tc>
          <w:tcPr>
            <w:tcW w:w="1132" w:type="pct"/>
            <w:vAlign w:val="bottom"/>
          </w:tcPr>
          <w:p w:rsidR="0090775D" w:rsidRPr="0090775D" w:rsidRDefault="0090775D">
            <w:pPr>
              <w:autoSpaceDE w:val="0"/>
              <w:autoSpaceDN w:val="0"/>
              <w:adjustRightInd w:val="0"/>
              <w:spacing w:after="0" w:line="240" w:lineRule="auto"/>
              <w:jc w:val="center"/>
              <w:rPr>
                <w:color w:val="000000"/>
              </w:rPr>
            </w:pPr>
            <w:r w:rsidRPr="0090775D">
              <w:rPr>
                <w:color w:val="000000"/>
              </w:rPr>
              <w:t>Variable</w:t>
            </w:r>
          </w:p>
        </w:tc>
        <w:tc>
          <w:tcPr>
            <w:tcW w:w="700" w:type="pct"/>
            <w:vAlign w:val="bottom"/>
          </w:tcPr>
          <w:p w:rsidR="0090775D" w:rsidRPr="0090775D" w:rsidRDefault="0090775D">
            <w:pPr>
              <w:autoSpaceDE w:val="0"/>
              <w:autoSpaceDN w:val="0"/>
              <w:adjustRightInd w:val="0"/>
              <w:spacing w:after="0" w:line="240" w:lineRule="auto"/>
              <w:ind w:right="10"/>
              <w:jc w:val="right"/>
              <w:rPr>
                <w:color w:val="000000"/>
              </w:rPr>
            </w:pPr>
            <w:r w:rsidRPr="0090775D">
              <w:rPr>
                <w:color w:val="000000"/>
              </w:rPr>
              <w:t>Coefficient</w:t>
            </w:r>
          </w:p>
        </w:tc>
        <w:tc>
          <w:tcPr>
            <w:tcW w:w="1059" w:type="pct"/>
            <w:vAlign w:val="bottom"/>
          </w:tcPr>
          <w:p w:rsidR="0090775D" w:rsidRPr="0090775D" w:rsidRDefault="0090775D">
            <w:pPr>
              <w:autoSpaceDE w:val="0"/>
              <w:autoSpaceDN w:val="0"/>
              <w:adjustRightInd w:val="0"/>
              <w:spacing w:after="0" w:line="240" w:lineRule="auto"/>
              <w:ind w:right="10"/>
              <w:jc w:val="right"/>
              <w:rPr>
                <w:color w:val="000000"/>
              </w:rPr>
            </w:pPr>
            <w:r w:rsidRPr="0090775D">
              <w:rPr>
                <w:color w:val="000000"/>
              </w:rPr>
              <w:t>Std. Error</w:t>
            </w:r>
          </w:p>
        </w:tc>
        <w:tc>
          <w:tcPr>
            <w:tcW w:w="978" w:type="pct"/>
            <w:vAlign w:val="bottom"/>
          </w:tcPr>
          <w:p w:rsidR="0090775D" w:rsidRPr="0090775D" w:rsidRDefault="0090775D">
            <w:pPr>
              <w:autoSpaceDE w:val="0"/>
              <w:autoSpaceDN w:val="0"/>
              <w:adjustRightInd w:val="0"/>
              <w:spacing w:after="0" w:line="240" w:lineRule="auto"/>
              <w:ind w:right="10"/>
              <w:jc w:val="right"/>
              <w:rPr>
                <w:color w:val="000000"/>
              </w:rPr>
            </w:pPr>
            <w:r w:rsidRPr="0090775D">
              <w:rPr>
                <w:color w:val="000000"/>
              </w:rPr>
              <w:t>t-Statistic</w:t>
            </w:r>
          </w:p>
        </w:tc>
        <w:tc>
          <w:tcPr>
            <w:tcW w:w="1131" w:type="pct"/>
            <w:vAlign w:val="bottom"/>
          </w:tcPr>
          <w:p w:rsidR="0090775D" w:rsidRPr="0090775D" w:rsidRDefault="0090775D">
            <w:pPr>
              <w:autoSpaceDE w:val="0"/>
              <w:autoSpaceDN w:val="0"/>
              <w:adjustRightInd w:val="0"/>
              <w:spacing w:after="0" w:line="240" w:lineRule="auto"/>
              <w:ind w:right="10"/>
              <w:jc w:val="right"/>
              <w:rPr>
                <w:color w:val="000000"/>
              </w:rPr>
            </w:pPr>
            <w:r w:rsidRPr="0090775D">
              <w:rPr>
                <w:color w:val="000000"/>
              </w:rPr>
              <w:t>Prob.   </w:t>
            </w:r>
          </w:p>
        </w:tc>
      </w:tr>
      <w:tr w:rsidR="00285BBF" w:rsidRPr="0090775D" w:rsidTr="00ED657F">
        <w:trPr>
          <w:trHeight w:hRule="exact" w:val="288"/>
        </w:trPr>
        <w:tc>
          <w:tcPr>
            <w:tcW w:w="1132" w:type="pct"/>
            <w:vAlign w:val="bottom"/>
          </w:tcPr>
          <w:p w:rsidR="00285BBF" w:rsidRPr="0090775D" w:rsidRDefault="00285BBF" w:rsidP="00285BBF">
            <w:pPr>
              <w:autoSpaceDE w:val="0"/>
              <w:autoSpaceDN w:val="0"/>
              <w:adjustRightInd w:val="0"/>
              <w:spacing w:after="0" w:line="240" w:lineRule="auto"/>
              <w:jc w:val="center"/>
              <w:rPr>
                <w:color w:val="000000"/>
              </w:rPr>
            </w:pPr>
            <w:r w:rsidRPr="0090775D">
              <w:rPr>
                <w:color w:val="000000"/>
              </w:rPr>
              <w:t>Intercept</w:t>
            </w:r>
          </w:p>
        </w:tc>
        <w:tc>
          <w:tcPr>
            <w:tcW w:w="700" w:type="pct"/>
            <w:vAlign w:val="center"/>
          </w:tcPr>
          <w:p w:rsidR="00285BBF" w:rsidRDefault="00285BBF" w:rsidP="00285BBF">
            <w:pPr>
              <w:spacing w:after="0" w:line="240" w:lineRule="auto"/>
              <w:jc w:val="right"/>
              <w:rPr>
                <w:color w:val="000000"/>
              </w:rPr>
            </w:pPr>
            <w:r>
              <w:rPr>
                <w:color w:val="000000"/>
              </w:rPr>
              <w:t>0.0025</w:t>
            </w:r>
          </w:p>
        </w:tc>
        <w:tc>
          <w:tcPr>
            <w:tcW w:w="1059" w:type="pct"/>
            <w:vAlign w:val="center"/>
          </w:tcPr>
          <w:p w:rsidR="00285BBF" w:rsidRDefault="00285BBF" w:rsidP="00285BBF">
            <w:pPr>
              <w:jc w:val="right"/>
              <w:rPr>
                <w:color w:val="000000"/>
              </w:rPr>
            </w:pPr>
            <w:r>
              <w:rPr>
                <w:color w:val="000000"/>
              </w:rPr>
              <w:t>0.0015</w:t>
            </w:r>
          </w:p>
        </w:tc>
        <w:tc>
          <w:tcPr>
            <w:tcW w:w="978" w:type="pct"/>
            <w:vAlign w:val="center"/>
          </w:tcPr>
          <w:p w:rsidR="00285BBF" w:rsidRDefault="00285BBF" w:rsidP="00285BBF">
            <w:pPr>
              <w:jc w:val="right"/>
              <w:rPr>
                <w:color w:val="000000"/>
              </w:rPr>
            </w:pPr>
            <w:r>
              <w:rPr>
                <w:color w:val="000000"/>
              </w:rPr>
              <w:t>1.6745</w:t>
            </w:r>
          </w:p>
        </w:tc>
        <w:tc>
          <w:tcPr>
            <w:tcW w:w="1131" w:type="pct"/>
            <w:vAlign w:val="center"/>
          </w:tcPr>
          <w:p w:rsidR="00285BBF" w:rsidRDefault="00285BBF" w:rsidP="00285BBF">
            <w:pPr>
              <w:jc w:val="right"/>
              <w:rPr>
                <w:color w:val="000000"/>
              </w:rPr>
            </w:pPr>
            <w:r>
              <w:rPr>
                <w:color w:val="000000"/>
              </w:rPr>
              <w:t>0.0972</w:t>
            </w:r>
          </w:p>
        </w:tc>
      </w:tr>
      <w:tr w:rsidR="00285BBF" w:rsidRPr="0090775D" w:rsidTr="00ED657F">
        <w:trPr>
          <w:trHeight w:hRule="exact" w:val="288"/>
        </w:trPr>
        <w:tc>
          <w:tcPr>
            <w:tcW w:w="1132" w:type="pct"/>
            <w:vAlign w:val="bottom"/>
          </w:tcPr>
          <w:p w:rsidR="00285BBF" w:rsidRPr="0090775D" w:rsidRDefault="00285BBF" w:rsidP="00285BBF">
            <w:pPr>
              <w:autoSpaceDE w:val="0"/>
              <w:autoSpaceDN w:val="0"/>
              <w:adjustRightInd w:val="0"/>
              <w:spacing w:after="0" w:line="240" w:lineRule="auto"/>
              <w:jc w:val="center"/>
              <w:rPr>
                <w:color w:val="000000"/>
              </w:rPr>
            </w:pPr>
            <w:r w:rsidRPr="0090775D">
              <w:rPr>
                <w:color w:val="000000"/>
              </w:rPr>
              <w:t>AVRET(-1)</w:t>
            </w:r>
          </w:p>
        </w:tc>
        <w:tc>
          <w:tcPr>
            <w:tcW w:w="700" w:type="pct"/>
            <w:vAlign w:val="center"/>
          </w:tcPr>
          <w:p w:rsidR="00285BBF" w:rsidRDefault="00285BBF" w:rsidP="00285BBF">
            <w:pPr>
              <w:jc w:val="right"/>
              <w:rPr>
                <w:color w:val="000000"/>
              </w:rPr>
            </w:pPr>
            <w:r>
              <w:rPr>
                <w:color w:val="000000"/>
              </w:rPr>
              <w:t>-0.9784</w:t>
            </w:r>
          </w:p>
        </w:tc>
        <w:tc>
          <w:tcPr>
            <w:tcW w:w="1059" w:type="pct"/>
            <w:vAlign w:val="center"/>
          </w:tcPr>
          <w:p w:rsidR="00285BBF" w:rsidRDefault="00285BBF" w:rsidP="00285BBF">
            <w:pPr>
              <w:jc w:val="right"/>
              <w:rPr>
                <w:color w:val="000000"/>
              </w:rPr>
            </w:pPr>
            <w:r>
              <w:rPr>
                <w:color w:val="000000"/>
              </w:rPr>
              <w:t>0.0387</w:t>
            </w:r>
          </w:p>
        </w:tc>
        <w:tc>
          <w:tcPr>
            <w:tcW w:w="978" w:type="pct"/>
            <w:vAlign w:val="center"/>
          </w:tcPr>
          <w:p w:rsidR="00285BBF" w:rsidRDefault="00285BBF" w:rsidP="00285BBF">
            <w:pPr>
              <w:jc w:val="right"/>
              <w:rPr>
                <w:color w:val="000000"/>
              </w:rPr>
            </w:pPr>
            <w:r>
              <w:rPr>
                <w:color w:val="000000"/>
              </w:rPr>
              <w:t>-25.2995</w:t>
            </w:r>
          </w:p>
        </w:tc>
        <w:tc>
          <w:tcPr>
            <w:tcW w:w="1131" w:type="pct"/>
            <w:vAlign w:val="center"/>
          </w:tcPr>
          <w:p w:rsidR="00285BBF" w:rsidRDefault="00285BBF" w:rsidP="00285BBF">
            <w:pPr>
              <w:jc w:val="right"/>
              <w:rPr>
                <w:color w:val="000000"/>
              </w:rPr>
            </w:pPr>
            <w:r>
              <w:rPr>
                <w:color w:val="000000"/>
              </w:rPr>
              <w:t>0.0000</w:t>
            </w:r>
          </w:p>
        </w:tc>
      </w:tr>
      <w:tr w:rsidR="00285BBF" w:rsidRPr="0090775D" w:rsidTr="00ED657F">
        <w:trPr>
          <w:trHeight w:hRule="exact" w:val="288"/>
        </w:trPr>
        <w:tc>
          <w:tcPr>
            <w:tcW w:w="1132" w:type="pct"/>
            <w:vAlign w:val="bottom"/>
          </w:tcPr>
          <w:p w:rsidR="00285BBF" w:rsidRPr="0090775D" w:rsidRDefault="00285BBF" w:rsidP="00285BBF">
            <w:pPr>
              <w:autoSpaceDE w:val="0"/>
              <w:autoSpaceDN w:val="0"/>
              <w:adjustRightInd w:val="0"/>
              <w:spacing w:after="0" w:line="240" w:lineRule="auto"/>
              <w:jc w:val="center"/>
              <w:rPr>
                <w:color w:val="000000"/>
              </w:rPr>
            </w:pPr>
            <w:r w:rsidRPr="0090775D">
              <w:rPr>
                <w:color w:val="000000"/>
              </w:rPr>
              <w:t>MKT</w:t>
            </w:r>
          </w:p>
        </w:tc>
        <w:tc>
          <w:tcPr>
            <w:tcW w:w="700" w:type="pct"/>
            <w:vAlign w:val="center"/>
          </w:tcPr>
          <w:p w:rsidR="00285BBF" w:rsidRDefault="00285BBF" w:rsidP="00285BBF">
            <w:pPr>
              <w:jc w:val="right"/>
              <w:rPr>
                <w:color w:val="000000"/>
              </w:rPr>
            </w:pPr>
            <w:r>
              <w:rPr>
                <w:color w:val="000000"/>
              </w:rPr>
              <w:t>0.4601</w:t>
            </w:r>
          </w:p>
        </w:tc>
        <w:tc>
          <w:tcPr>
            <w:tcW w:w="1059" w:type="pct"/>
            <w:vAlign w:val="center"/>
          </w:tcPr>
          <w:p w:rsidR="00285BBF" w:rsidRDefault="00285BBF" w:rsidP="00285BBF">
            <w:pPr>
              <w:jc w:val="right"/>
              <w:rPr>
                <w:color w:val="000000"/>
              </w:rPr>
            </w:pPr>
            <w:r>
              <w:rPr>
                <w:color w:val="000000"/>
              </w:rPr>
              <w:t>0.0639</w:t>
            </w:r>
          </w:p>
        </w:tc>
        <w:tc>
          <w:tcPr>
            <w:tcW w:w="978" w:type="pct"/>
            <w:vAlign w:val="center"/>
          </w:tcPr>
          <w:p w:rsidR="00285BBF" w:rsidRDefault="00285BBF" w:rsidP="00285BBF">
            <w:pPr>
              <w:jc w:val="right"/>
              <w:rPr>
                <w:color w:val="000000"/>
              </w:rPr>
            </w:pPr>
            <w:r>
              <w:rPr>
                <w:color w:val="000000"/>
              </w:rPr>
              <w:t>7.2018</w:t>
            </w:r>
          </w:p>
        </w:tc>
        <w:tc>
          <w:tcPr>
            <w:tcW w:w="1131" w:type="pct"/>
            <w:vAlign w:val="center"/>
          </w:tcPr>
          <w:p w:rsidR="00285BBF" w:rsidRDefault="00285BBF" w:rsidP="00285BBF">
            <w:pPr>
              <w:jc w:val="right"/>
              <w:rPr>
                <w:color w:val="000000"/>
              </w:rPr>
            </w:pPr>
            <w:r>
              <w:rPr>
                <w:color w:val="000000"/>
              </w:rPr>
              <w:t>0.0000</w:t>
            </w:r>
          </w:p>
        </w:tc>
      </w:tr>
      <w:tr w:rsidR="00285BBF" w:rsidRPr="0090775D" w:rsidTr="00ED657F">
        <w:trPr>
          <w:trHeight w:hRule="exact" w:val="288"/>
        </w:trPr>
        <w:tc>
          <w:tcPr>
            <w:tcW w:w="1132" w:type="pct"/>
            <w:vAlign w:val="bottom"/>
          </w:tcPr>
          <w:p w:rsidR="00285BBF" w:rsidRPr="0090775D" w:rsidRDefault="00285BBF" w:rsidP="00285BBF">
            <w:pPr>
              <w:autoSpaceDE w:val="0"/>
              <w:autoSpaceDN w:val="0"/>
              <w:adjustRightInd w:val="0"/>
              <w:spacing w:after="0" w:line="240" w:lineRule="auto"/>
              <w:jc w:val="center"/>
              <w:rPr>
                <w:color w:val="000000"/>
              </w:rPr>
            </w:pPr>
            <w:r w:rsidRPr="0090775D">
              <w:rPr>
                <w:color w:val="000000"/>
              </w:rPr>
              <w:t>INVI</w:t>
            </w:r>
          </w:p>
        </w:tc>
        <w:tc>
          <w:tcPr>
            <w:tcW w:w="700" w:type="pct"/>
            <w:vAlign w:val="center"/>
          </w:tcPr>
          <w:p w:rsidR="00285BBF" w:rsidRDefault="00285BBF" w:rsidP="00285BBF">
            <w:pPr>
              <w:jc w:val="right"/>
              <w:rPr>
                <w:color w:val="000000"/>
              </w:rPr>
            </w:pPr>
            <w:r>
              <w:rPr>
                <w:color w:val="000000"/>
              </w:rPr>
              <w:t>-0.0239</w:t>
            </w:r>
          </w:p>
        </w:tc>
        <w:tc>
          <w:tcPr>
            <w:tcW w:w="1059" w:type="pct"/>
            <w:vAlign w:val="center"/>
          </w:tcPr>
          <w:p w:rsidR="00285BBF" w:rsidRDefault="00285BBF" w:rsidP="00285BBF">
            <w:pPr>
              <w:jc w:val="right"/>
              <w:rPr>
                <w:color w:val="000000"/>
              </w:rPr>
            </w:pPr>
            <w:r>
              <w:rPr>
                <w:color w:val="000000"/>
              </w:rPr>
              <w:t>0.0436</w:t>
            </w:r>
          </w:p>
        </w:tc>
        <w:tc>
          <w:tcPr>
            <w:tcW w:w="978" w:type="pct"/>
            <w:vAlign w:val="center"/>
          </w:tcPr>
          <w:p w:rsidR="00285BBF" w:rsidRDefault="00285BBF" w:rsidP="00285BBF">
            <w:pPr>
              <w:jc w:val="right"/>
              <w:rPr>
                <w:color w:val="000000"/>
              </w:rPr>
            </w:pPr>
            <w:r>
              <w:rPr>
                <w:color w:val="000000"/>
              </w:rPr>
              <w:t>-0.5483</w:t>
            </w:r>
          </w:p>
        </w:tc>
        <w:tc>
          <w:tcPr>
            <w:tcW w:w="1131" w:type="pct"/>
            <w:vAlign w:val="center"/>
          </w:tcPr>
          <w:p w:rsidR="00285BBF" w:rsidRDefault="00285BBF" w:rsidP="00285BBF">
            <w:pPr>
              <w:jc w:val="right"/>
              <w:rPr>
                <w:color w:val="000000"/>
              </w:rPr>
            </w:pPr>
            <w:r>
              <w:rPr>
                <w:color w:val="000000"/>
              </w:rPr>
              <w:t>0.5847</w:t>
            </w:r>
          </w:p>
        </w:tc>
      </w:tr>
      <w:tr w:rsidR="00285BBF" w:rsidRPr="0090775D" w:rsidTr="00ED657F">
        <w:trPr>
          <w:trHeight w:hRule="exact" w:val="288"/>
        </w:trPr>
        <w:tc>
          <w:tcPr>
            <w:tcW w:w="1132" w:type="pct"/>
            <w:vAlign w:val="bottom"/>
          </w:tcPr>
          <w:p w:rsidR="00285BBF" w:rsidRPr="0090775D" w:rsidRDefault="00285BBF" w:rsidP="00285BBF">
            <w:pPr>
              <w:autoSpaceDE w:val="0"/>
              <w:autoSpaceDN w:val="0"/>
              <w:adjustRightInd w:val="0"/>
              <w:spacing w:after="0" w:line="240" w:lineRule="auto"/>
              <w:jc w:val="center"/>
              <w:rPr>
                <w:color w:val="000000"/>
              </w:rPr>
            </w:pPr>
            <w:r w:rsidRPr="0090775D">
              <w:rPr>
                <w:color w:val="000000"/>
              </w:rPr>
              <w:t>IIRA</w:t>
            </w:r>
          </w:p>
        </w:tc>
        <w:tc>
          <w:tcPr>
            <w:tcW w:w="700" w:type="pct"/>
            <w:vAlign w:val="center"/>
          </w:tcPr>
          <w:p w:rsidR="00285BBF" w:rsidRDefault="00285BBF" w:rsidP="00285BBF">
            <w:pPr>
              <w:jc w:val="right"/>
              <w:rPr>
                <w:color w:val="000000"/>
              </w:rPr>
            </w:pPr>
            <w:r>
              <w:rPr>
                <w:color w:val="000000"/>
              </w:rPr>
              <w:t>0.0480</w:t>
            </w:r>
          </w:p>
        </w:tc>
        <w:tc>
          <w:tcPr>
            <w:tcW w:w="1059" w:type="pct"/>
            <w:vAlign w:val="center"/>
          </w:tcPr>
          <w:p w:rsidR="00285BBF" w:rsidRDefault="00285BBF" w:rsidP="00285BBF">
            <w:pPr>
              <w:jc w:val="right"/>
              <w:rPr>
                <w:color w:val="000000"/>
              </w:rPr>
            </w:pPr>
            <w:r>
              <w:rPr>
                <w:color w:val="000000"/>
              </w:rPr>
              <w:t>0.0073</w:t>
            </w:r>
          </w:p>
        </w:tc>
        <w:tc>
          <w:tcPr>
            <w:tcW w:w="978" w:type="pct"/>
            <w:vAlign w:val="center"/>
          </w:tcPr>
          <w:p w:rsidR="00285BBF" w:rsidRDefault="00285BBF" w:rsidP="00285BBF">
            <w:pPr>
              <w:jc w:val="right"/>
              <w:rPr>
                <w:color w:val="000000"/>
              </w:rPr>
            </w:pPr>
            <w:r>
              <w:rPr>
                <w:color w:val="000000"/>
              </w:rPr>
              <w:t>6.5692</w:t>
            </w:r>
          </w:p>
        </w:tc>
        <w:tc>
          <w:tcPr>
            <w:tcW w:w="1131" w:type="pct"/>
            <w:vAlign w:val="center"/>
          </w:tcPr>
          <w:p w:rsidR="00285BBF" w:rsidRDefault="00285BBF" w:rsidP="00285BBF">
            <w:pPr>
              <w:jc w:val="right"/>
              <w:rPr>
                <w:color w:val="000000"/>
              </w:rPr>
            </w:pPr>
            <w:r>
              <w:rPr>
                <w:color w:val="000000"/>
              </w:rPr>
              <w:t>0.0000</w:t>
            </w:r>
          </w:p>
        </w:tc>
      </w:tr>
      <w:tr w:rsidR="00285BBF" w:rsidRPr="0090775D" w:rsidTr="00ED657F">
        <w:trPr>
          <w:trHeight w:hRule="exact" w:val="288"/>
        </w:trPr>
        <w:tc>
          <w:tcPr>
            <w:tcW w:w="1132" w:type="pct"/>
            <w:vAlign w:val="bottom"/>
          </w:tcPr>
          <w:p w:rsidR="00285BBF" w:rsidRPr="0090775D" w:rsidRDefault="00285BBF" w:rsidP="00285BBF">
            <w:pPr>
              <w:autoSpaceDE w:val="0"/>
              <w:autoSpaceDN w:val="0"/>
              <w:adjustRightInd w:val="0"/>
              <w:spacing w:after="0" w:line="240" w:lineRule="auto"/>
              <w:jc w:val="center"/>
              <w:rPr>
                <w:color w:val="000000"/>
              </w:rPr>
            </w:pPr>
            <w:r w:rsidRPr="0090775D">
              <w:rPr>
                <w:color w:val="000000"/>
              </w:rPr>
              <w:t>INVI*IIRA</w:t>
            </w:r>
          </w:p>
        </w:tc>
        <w:tc>
          <w:tcPr>
            <w:tcW w:w="700" w:type="pct"/>
            <w:vAlign w:val="center"/>
          </w:tcPr>
          <w:p w:rsidR="00285BBF" w:rsidRDefault="00285BBF" w:rsidP="00285BBF">
            <w:pPr>
              <w:jc w:val="right"/>
              <w:rPr>
                <w:color w:val="000000"/>
              </w:rPr>
            </w:pPr>
            <w:r>
              <w:rPr>
                <w:color w:val="000000"/>
              </w:rPr>
              <w:t>0.2346</w:t>
            </w:r>
          </w:p>
        </w:tc>
        <w:tc>
          <w:tcPr>
            <w:tcW w:w="1059" w:type="pct"/>
            <w:vAlign w:val="center"/>
          </w:tcPr>
          <w:p w:rsidR="00285BBF" w:rsidRDefault="00285BBF" w:rsidP="00285BBF">
            <w:pPr>
              <w:jc w:val="right"/>
              <w:rPr>
                <w:color w:val="000000"/>
              </w:rPr>
            </w:pPr>
            <w:r>
              <w:rPr>
                <w:color w:val="000000"/>
              </w:rPr>
              <w:t>0.1221</w:t>
            </w:r>
          </w:p>
        </w:tc>
        <w:tc>
          <w:tcPr>
            <w:tcW w:w="978" w:type="pct"/>
            <w:vAlign w:val="center"/>
          </w:tcPr>
          <w:p w:rsidR="00285BBF" w:rsidRDefault="00285BBF" w:rsidP="00285BBF">
            <w:pPr>
              <w:jc w:val="right"/>
              <w:rPr>
                <w:color w:val="000000"/>
              </w:rPr>
            </w:pPr>
            <w:r>
              <w:rPr>
                <w:color w:val="000000"/>
              </w:rPr>
              <w:t>1.9207</w:t>
            </w:r>
          </w:p>
        </w:tc>
        <w:tc>
          <w:tcPr>
            <w:tcW w:w="1131" w:type="pct"/>
            <w:vAlign w:val="center"/>
          </w:tcPr>
          <w:p w:rsidR="00285BBF" w:rsidRDefault="00285BBF" w:rsidP="00285BBF">
            <w:pPr>
              <w:jc w:val="right"/>
              <w:rPr>
                <w:color w:val="000000"/>
              </w:rPr>
            </w:pPr>
            <w:r>
              <w:rPr>
                <w:color w:val="000000"/>
              </w:rPr>
              <w:t>0.0577</w:t>
            </w:r>
          </w:p>
        </w:tc>
      </w:tr>
      <w:tr w:rsidR="00285BBF" w:rsidRPr="0090775D" w:rsidTr="00ED657F">
        <w:trPr>
          <w:trHeight w:hRule="exact" w:val="288"/>
        </w:trPr>
        <w:tc>
          <w:tcPr>
            <w:tcW w:w="1132" w:type="pct"/>
          </w:tcPr>
          <w:p w:rsidR="00285BBF" w:rsidRPr="0090775D" w:rsidRDefault="00285BBF" w:rsidP="00285BBF">
            <w:pPr>
              <w:jc w:val="center"/>
            </w:pPr>
            <w:proofErr w:type="spellStart"/>
            <w:r w:rsidRPr="0090775D">
              <w:t>CointEq</w:t>
            </w:r>
            <w:proofErr w:type="spellEnd"/>
            <w:r w:rsidRPr="0090775D">
              <w:t>(-1)*</w:t>
            </w:r>
          </w:p>
        </w:tc>
        <w:tc>
          <w:tcPr>
            <w:tcW w:w="700" w:type="pct"/>
            <w:vAlign w:val="center"/>
          </w:tcPr>
          <w:p w:rsidR="00285BBF" w:rsidRDefault="00285BBF" w:rsidP="00285BBF">
            <w:pPr>
              <w:jc w:val="right"/>
              <w:rPr>
                <w:color w:val="000000"/>
              </w:rPr>
            </w:pPr>
            <w:r>
              <w:rPr>
                <w:color w:val="000000"/>
              </w:rPr>
              <w:t>-0.9784</w:t>
            </w:r>
          </w:p>
        </w:tc>
        <w:tc>
          <w:tcPr>
            <w:tcW w:w="1059" w:type="pct"/>
            <w:vAlign w:val="center"/>
          </w:tcPr>
          <w:p w:rsidR="00285BBF" w:rsidRDefault="00285BBF" w:rsidP="00285BBF">
            <w:pPr>
              <w:jc w:val="right"/>
              <w:rPr>
                <w:color w:val="000000"/>
              </w:rPr>
            </w:pPr>
            <w:r>
              <w:rPr>
                <w:color w:val="000000"/>
              </w:rPr>
              <w:t>0.0268</w:t>
            </w:r>
          </w:p>
        </w:tc>
        <w:tc>
          <w:tcPr>
            <w:tcW w:w="978" w:type="pct"/>
            <w:vAlign w:val="center"/>
          </w:tcPr>
          <w:p w:rsidR="00285BBF" w:rsidRDefault="00285BBF" w:rsidP="00285BBF">
            <w:pPr>
              <w:jc w:val="right"/>
              <w:rPr>
                <w:color w:val="000000"/>
              </w:rPr>
            </w:pPr>
            <w:r>
              <w:rPr>
                <w:color w:val="000000"/>
              </w:rPr>
              <w:t>-36.5068</w:t>
            </w:r>
          </w:p>
        </w:tc>
        <w:tc>
          <w:tcPr>
            <w:tcW w:w="1131" w:type="pct"/>
            <w:vAlign w:val="center"/>
          </w:tcPr>
          <w:p w:rsidR="00285BBF" w:rsidRDefault="00285BBF" w:rsidP="00285BBF">
            <w:pPr>
              <w:jc w:val="right"/>
              <w:rPr>
                <w:color w:val="000000"/>
              </w:rPr>
            </w:pPr>
            <w:r>
              <w:rPr>
                <w:color w:val="000000"/>
              </w:rPr>
              <w:t>0.0000</w:t>
            </w:r>
          </w:p>
        </w:tc>
      </w:tr>
    </w:tbl>
    <w:p w:rsidR="0090775D" w:rsidRDefault="0090775D"/>
    <w:p w:rsidR="004C0321" w:rsidRDefault="004C0321"/>
    <w:tbl>
      <w:tblPr>
        <w:tblW w:w="4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44"/>
        <w:gridCol w:w="1232"/>
        <w:gridCol w:w="2339"/>
        <w:gridCol w:w="1710"/>
      </w:tblGrid>
      <w:tr w:rsidR="00285BBF" w:rsidRPr="0090775D" w:rsidTr="00A626CF">
        <w:trPr>
          <w:trHeight w:hRule="exact" w:val="288"/>
        </w:trPr>
        <w:tc>
          <w:tcPr>
            <w:tcW w:w="1668" w:type="pct"/>
          </w:tcPr>
          <w:p w:rsidR="00285BBF" w:rsidRPr="0090775D" w:rsidRDefault="00285BBF" w:rsidP="0090775D"/>
        </w:tc>
        <w:tc>
          <w:tcPr>
            <w:tcW w:w="777" w:type="pct"/>
          </w:tcPr>
          <w:p w:rsidR="00285BBF" w:rsidRPr="0090775D" w:rsidRDefault="00285BBF" w:rsidP="0090775D"/>
        </w:tc>
        <w:tc>
          <w:tcPr>
            <w:tcW w:w="1476" w:type="pct"/>
          </w:tcPr>
          <w:p w:rsidR="00285BBF" w:rsidRPr="0090775D" w:rsidRDefault="00285BBF" w:rsidP="0090775D"/>
        </w:tc>
        <w:tc>
          <w:tcPr>
            <w:tcW w:w="1079" w:type="pct"/>
          </w:tcPr>
          <w:p w:rsidR="00285BBF" w:rsidRPr="0090775D" w:rsidRDefault="00285BBF" w:rsidP="0090775D"/>
        </w:tc>
      </w:tr>
      <w:tr w:rsidR="00285BBF" w:rsidRPr="0090775D" w:rsidTr="00A626CF">
        <w:trPr>
          <w:trHeight w:hRule="exact" w:val="460"/>
        </w:trPr>
        <w:tc>
          <w:tcPr>
            <w:tcW w:w="1668" w:type="pct"/>
            <w:vAlign w:val="bottom"/>
          </w:tcPr>
          <w:p w:rsidR="00285BBF" w:rsidRPr="0090775D" w:rsidRDefault="00285BBF" w:rsidP="00285BBF">
            <w:pPr>
              <w:autoSpaceDE w:val="0"/>
              <w:autoSpaceDN w:val="0"/>
              <w:adjustRightInd w:val="0"/>
              <w:spacing w:after="0" w:line="240" w:lineRule="auto"/>
              <w:rPr>
                <w:color w:val="000000"/>
              </w:rPr>
            </w:pPr>
            <w:r w:rsidRPr="0090775D">
              <w:rPr>
                <w:color w:val="000000"/>
              </w:rPr>
              <w:t>R-squared</w:t>
            </w:r>
          </w:p>
        </w:tc>
        <w:tc>
          <w:tcPr>
            <w:tcW w:w="777" w:type="pct"/>
            <w:vAlign w:val="center"/>
          </w:tcPr>
          <w:p w:rsidR="00285BBF" w:rsidRDefault="00285BBF" w:rsidP="00285BBF">
            <w:pPr>
              <w:spacing w:after="0" w:line="240" w:lineRule="auto"/>
              <w:jc w:val="right"/>
              <w:rPr>
                <w:color w:val="000000"/>
              </w:rPr>
            </w:pPr>
            <w:r>
              <w:rPr>
                <w:color w:val="000000"/>
              </w:rPr>
              <w:t>0.9263</w:t>
            </w:r>
          </w:p>
        </w:tc>
        <w:tc>
          <w:tcPr>
            <w:tcW w:w="1476" w:type="pct"/>
            <w:vAlign w:val="bottom"/>
          </w:tcPr>
          <w:p w:rsidR="00285BBF" w:rsidRPr="0090775D" w:rsidRDefault="00285BBF" w:rsidP="00285BBF">
            <w:pPr>
              <w:autoSpaceDE w:val="0"/>
              <w:autoSpaceDN w:val="0"/>
              <w:adjustRightInd w:val="0"/>
              <w:spacing w:after="0" w:line="240" w:lineRule="auto"/>
              <w:ind w:right="10"/>
              <w:rPr>
                <w:color w:val="000000"/>
              </w:rPr>
            </w:pPr>
            <w:r w:rsidRPr="0090775D">
              <w:rPr>
                <w:color w:val="000000"/>
              </w:rPr>
              <w:t xml:space="preserve">Mean dependent </w:t>
            </w:r>
            <w:proofErr w:type="spellStart"/>
            <w:r w:rsidRPr="0090775D">
              <w:rPr>
                <w:color w:val="000000"/>
              </w:rPr>
              <w:t>var</w:t>
            </w:r>
            <w:proofErr w:type="spellEnd"/>
          </w:p>
        </w:tc>
        <w:tc>
          <w:tcPr>
            <w:tcW w:w="1079" w:type="pct"/>
            <w:vAlign w:val="center"/>
          </w:tcPr>
          <w:p w:rsidR="00285BBF" w:rsidRDefault="00285BBF" w:rsidP="00285BBF">
            <w:pPr>
              <w:spacing w:after="0" w:line="240" w:lineRule="auto"/>
              <w:jc w:val="right"/>
              <w:rPr>
                <w:color w:val="000000"/>
              </w:rPr>
            </w:pPr>
            <w:r>
              <w:rPr>
                <w:color w:val="000000"/>
              </w:rPr>
              <w:t>-0.0002</w:t>
            </w:r>
          </w:p>
        </w:tc>
      </w:tr>
      <w:tr w:rsidR="00285BBF" w:rsidRPr="0090775D" w:rsidTr="00A626CF">
        <w:trPr>
          <w:trHeight w:hRule="exact" w:val="288"/>
        </w:trPr>
        <w:tc>
          <w:tcPr>
            <w:tcW w:w="1668" w:type="pct"/>
            <w:vAlign w:val="bottom"/>
          </w:tcPr>
          <w:p w:rsidR="00285BBF" w:rsidRPr="0090775D" w:rsidRDefault="00285BBF" w:rsidP="00285BBF">
            <w:pPr>
              <w:autoSpaceDE w:val="0"/>
              <w:autoSpaceDN w:val="0"/>
              <w:adjustRightInd w:val="0"/>
              <w:spacing w:after="0" w:line="240" w:lineRule="auto"/>
              <w:rPr>
                <w:color w:val="000000"/>
              </w:rPr>
            </w:pPr>
            <w:r w:rsidRPr="0090775D">
              <w:rPr>
                <w:color w:val="000000"/>
              </w:rPr>
              <w:t>Adjusted R-squared</w:t>
            </w:r>
          </w:p>
        </w:tc>
        <w:tc>
          <w:tcPr>
            <w:tcW w:w="777" w:type="pct"/>
            <w:vAlign w:val="center"/>
          </w:tcPr>
          <w:p w:rsidR="00285BBF" w:rsidRDefault="00285BBF" w:rsidP="00285BBF">
            <w:pPr>
              <w:jc w:val="right"/>
              <w:rPr>
                <w:color w:val="000000"/>
              </w:rPr>
            </w:pPr>
            <w:r>
              <w:rPr>
                <w:color w:val="000000"/>
              </w:rPr>
              <w:t>0.9263</w:t>
            </w:r>
          </w:p>
        </w:tc>
        <w:tc>
          <w:tcPr>
            <w:tcW w:w="1476" w:type="pct"/>
            <w:vAlign w:val="bottom"/>
          </w:tcPr>
          <w:p w:rsidR="00285BBF" w:rsidRPr="0090775D" w:rsidRDefault="00285BBF" w:rsidP="00285BBF">
            <w:pPr>
              <w:autoSpaceDE w:val="0"/>
              <w:autoSpaceDN w:val="0"/>
              <w:adjustRightInd w:val="0"/>
              <w:spacing w:after="0" w:line="240" w:lineRule="auto"/>
              <w:ind w:right="10"/>
              <w:rPr>
                <w:color w:val="000000"/>
              </w:rPr>
            </w:pPr>
            <w:r w:rsidRPr="0090775D">
              <w:rPr>
                <w:color w:val="000000"/>
              </w:rPr>
              <w:t xml:space="preserve">S.D. dependent </w:t>
            </w:r>
            <w:proofErr w:type="spellStart"/>
            <w:r w:rsidRPr="0090775D">
              <w:rPr>
                <w:color w:val="000000"/>
              </w:rPr>
              <w:t>var</w:t>
            </w:r>
            <w:proofErr w:type="spellEnd"/>
          </w:p>
        </w:tc>
        <w:tc>
          <w:tcPr>
            <w:tcW w:w="1079" w:type="pct"/>
            <w:vAlign w:val="center"/>
          </w:tcPr>
          <w:p w:rsidR="00285BBF" w:rsidRDefault="00285BBF" w:rsidP="00285BBF">
            <w:pPr>
              <w:jc w:val="right"/>
              <w:rPr>
                <w:color w:val="000000"/>
              </w:rPr>
            </w:pPr>
            <w:r>
              <w:rPr>
                <w:color w:val="000000"/>
              </w:rPr>
              <w:t>0.0523</w:t>
            </w:r>
          </w:p>
        </w:tc>
      </w:tr>
      <w:tr w:rsidR="00285BBF" w:rsidRPr="0090775D" w:rsidTr="00A626CF">
        <w:trPr>
          <w:trHeight w:hRule="exact" w:val="288"/>
        </w:trPr>
        <w:tc>
          <w:tcPr>
            <w:tcW w:w="1668" w:type="pct"/>
            <w:vAlign w:val="bottom"/>
          </w:tcPr>
          <w:p w:rsidR="00285BBF" w:rsidRPr="0090775D" w:rsidRDefault="00285BBF" w:rsidP="00285BBF">
            <w:pPr>
              <w:autoSpaceDE w:val="0"/>
              <w:autoSpaceDN w:val="0"/>
              <w:adjustRightInd w:val="0"/>
              <w:spacing w:after="0" w:line="240" w:lineRule="auto"/>
              <w:rPr>
                <w:color w:val="000000"/>
              </w:rPr>
            </w:pPr>
            <w:r w:rsidRPr="0090775D">
              <w:rPr>
                <w:color w:val="000000"/>
              </w:rPr>
              <w:t>S.E. of regression</w:t>
            </w:r>
          </w:p>
        </w:tc>
        <w:tc>
          <w:tcPr>
            <w:tcW w:w="777" w:type="pct"/>
            <w:vAlign w:val="center"/>
          </w:tcPr>
          <w:p w:rsidR="00285BBF" w:rsidRDefault="00285BBF" w:rsidP="00285BBF">
            <w:pPr>
              <w:jc w:val="right"/>
              <w:rPr>
                <w:color w:val="000000"/>
              </w:rPr>
            </w:pPr>
            <w:r>
              <w:rPr>
                <w:color w:val="000000"/>
              </w:rPr>
              <w:t>0.0142</w:t>
            </w:r>
          </w:p>
        </w:tc>
        <w:tc>
          <w:tcPr>
            <w:tcW w:w="1476" w:type="pct"/>
            <w:vAlign w:val="bottom"/>
          </w:tcPr>
          <w:p w:rsidR="00285BBF" w:rsidRPr="0090775D" w:rsidRDefault="00285BBF" w:rsidP="00285BBF">
            <w:pPr>
              <w:autoSpaceDE w:val="0"/>
              <w:autoSpaceDN w:val="0"/>
              <w:adjustRightInd w:val="0"/>
              <w:spacing w:after="0" w:line="240" w:lineRule="auto"/>
              <w:ind w:right="10"/>
              <w:rPr>
                <w:color w:val="000000"/>
              </w:rPr>
            </w:pPr>
            <w:proofErr w:type="spellStart"/>
            <w:r w:rsidRPr="0090775D">
              <w:rPr>
                <w:color w:val="000000"/>
              </w:rPr>
              <w:t>Akaike</w:t>
            </w:r>
            <w:proofErr w:type="spellEnd"/>
            <w:r w:rsidRPr="0090775D">
              <w:rPr>
                <w:color w:val="000000"/>
              </w:rPr>
              <w:t xml:space="preserve"> info criterion</w:t>
            </w:r>
          </w:p>
        </w:tc>
        <w:tc>
          <w:tcPr>
            <w:tcW w:w="1079" w:type="pct"/>
            <w:vAlign w:val="center"/>
          </w:tcPr>
          <w:p w:rsidR="00285BBF" w:rsidRDefault="00285BBF" w:rsidP="00285BBF">
            <w:pPr>
              <w:jc w:val="right"/>
              <w:rPr>
                <w:color w:val="000000"/>
              </w:rPr>
            </w:pPr>
            <w:r>
              <w:rPr>
                <w:color w:val="000000"/>
              </w:rPr>
              <w:t>-5.6629</w:t>
            </w:r>
          </w:p>
        </w:tc>
      </w:tr>
      <w:tr w:rsidR="00285BBF" w:rsidRPr="0090775D" w:rsidTr="00A626CF">
        <w:trPr>
          <w:trHeight w:hRule="exact" w:val="288"/>
        </w:trPr>
        <w:tc>
          <w:tcPr>
            <w:tcW w:w="1668" w:type="pct"/>
            <w:vAlign w:val="bottom"/>
          </w:tcPr>
          <w:p w:rsidR="00285BBF" w:rsidRPr="0090775D" w:rsidRDefault="00285BBF" w:rsidP="00285BBF">
            <w:pPr>
              <w:autoSpaceDE w:val="0"/>
              <w:autoSpaceDN w:val="0"/>
              <w:adjustRightInd w:val="0"/>
              <w:spacing w:after="0" w:line="240" w:lineRule="auto"/>
              <w:rPr>
                <w:color w:val="000000"/>
              </w:rPr>
            </w:pPr>
            <w:r w:rsidRPr="0090775D">
              <w:rPr>
                <w:color w:val="000000"/>
              </w:rPr>
              <w:t xml:space="preserve">Sum squared </w:t>
            </w:r>
            <w:proofErr w:type="spellStart"/>
            <w:r w:rsidRPr="0090775D">
              <w:rPr>
                <w:color w:val="000000"/>
              </w:rPr>
              <w:t>resid</w:t>
            </w:r>
            <w:proofErr w:type="spellEnd"/>
          </w:p>
        </w:tc>
        <w:tc>
          <w:tcPr>
            <w:tcW w:w="777" w:type="pct"/>
            <w:vAlign w:val="center"/>
          </w:tcPr>
          <w:p w:rsidR="00285BBF" w:rsidRDefault="00285BBF" w:rsidP="00285BBF">
            <w:pPr>
              <w:jc w:val="right"/>
              <w:rPr>
                <w:color w:val="000000"/>
              </w:rPr>
            </w:pPr>
            <w:r>
              <w:rPr>
                <w:color w:val="000000"/>
              </w:rPr>
              <w:t>0.0214</w:t>
            </w:r>
          </w:p>
        </w:tc>
        <w:tc>
          <w:tcPr>
            <w:tcW w:w="1476" w:type="pct"/>
            <w:vAlign w:val="bottom"/>
          </w:tcPr>
          <w:p w:rsidR="00285BBF" w:rsidRPr="0090775D" w:rsidRDefault="00285BBF" w:rsidP="00285BBF">
            <w:pPr>
              <w:autoSpaceDE w:val="0"/>
              <w:autoSpaceDN w:val="0"/>
              <w:adjustRightInd w:val="0"/>
              <w:spacing w:after="0" w:line="240" w:lineRule="auto"/>
              <w:ind w:right="10"/>
              <w:rPr>
                <w:color w:val="000000"/>
              </w:rPr>
            </w:pPr>
            <w:r w:rsidRPr="0090775D">
              <w:rPr>
                <w:color w:val="000000"/>
              </w:rPr>
              <w:t>Schwarz criterion</w:t>
            </w:r>
          </w:p>
        </w:tc>
        <w:tc>
          <w:tcPr>
            <w:tcW w:w="1079" w:type="pct"/>
            <w:vAlign w:val="center"/>
          </w:tcPr>
          <w:p w:rsidR="00285BBF" w:rsidRDefault="00285BBF" w:rsidP="00285BBF">
            <w:pPr>
              <w:jc w:val="right"/>
              <w:rPr>
                <w:color w:val="000000"/>
              </w:rPr>
            </w:pPr>
            <w:r>
              <w:rPr>
                <w:color w:val="000000"/>
              </w:rPr>
              <w:t>-5.638</w:t>
            </w:r>
          </w:p>
        </w:tc>
      </w:tr>
      <w:tr w:rsidR="00285BBF" w:rsidRPr="0090775D" w:rsidTr="00A626CF">
        <w:trPr>
          <w:trHeight w:hRule="exact" w:val="288"/>
        </w:trPr>
        <w:tc>
          <w:tcPr>
            <w:tcW w:w="1668" w:type="pct"/>
            <w:vAlign w:val="bottom"/>
          </w:tcPr>
          <w:p w:rsidR="00285BBF" w:rsidRPr="0090775D" w:rsidRDefault="00285BBF" w:rsidP="00285BBF">
            <w:pPr>
              <w:autoSpaceDE w:val="0"/>
              <w:autoSpaceDN w:val="0"/>
              <w:adjustRightInd w:val="0"/>
              <w:spacing w:after="0" w:line="240" w:lineRule="auto"/>
              <w:rPr>
                <w:color w:val="000000"/>
              </w:rPr>
            </w:pPr>
            <w:r w:rsidRPr="0090775D">
              <w:rPr>
                <w:color w:val="000000"/>
              </w:rPr>
              <w:t>Log likelihood</w:t>
            </w:r>
          </w:p>
        </w:tc>
        <w:tc>
          <w:tcPr>
            <w:tcW w:w="777" w:type="pct"/>
            <w:vAlign w:val="center"/>
          </w:tcPr>
          <w:p w:rsidR="00285BBF" w:rsidRDefault="00285BBF" w:rsidP="00285BBF">
            <w:pPr>
              <w:jc w:val="right"/>
              <w:rPr>
                <w:color w:val="000000"/>
              </w:rPr>
            </w:pPr>
            <w:r>
              <w:rPr>
                <w:color w:val="000000"/>
              </w:rPr>
              <w:t>303.9668</w:t>
            </w:r>
          </w:p>
        </w:tc>
        <w:tc>
          <w:tcPr>
            <w:tcW w:w="1476" w:type="pct"/>
            <w:vAlign w:val="bottom"/>
          </w:tcPr>
          <w:p w:rsidR="00285BBF" w:rsidRPr="0090775D" w:rsidRDefault="00285BBF" w:rsidP="00285BBF">
            <w:pPr>
              <w:autoSpaceDE w:val="0"/>
              <w:autoSpaceDN w:val="0"/>
              <w:adjustRightInd w:val="0"/>
              <w:spacing w:after="0" w:line="240" w:lineRule="auto"/>
              <w:ind w:right="10"/>
              <w:rPr>
                <w:color w:val="000000"/>
              </w:rPr>
            </w:pPr>
            <w:proofErr w:type="spellStart"/>
            <w:r w:rsidRPr="0090775D">
              <w:rPr>
                <w:color w:val="000000"/>
              </w:rPr>
              <w:t>Hannan</w:t>
            </w:r>
            <w:proofErr w:type="spellEnd"/>
            <w:r w:rsidRPr="0090775D">
              <w:rPr>
                <w:color w:val="000000"/>
              </w:rPr>
              <w:t xml:space="preserve">-Quinn </w:t>
            </w:r>
            <w:proofErr w:type="spellStart"/>
            <w:r w:rsidRPr="0090775D">
              <w:rPr>
                <w:color w:val="000000"/>
              </w:rPr>
              <w:t>criter</w:t>
            </w:r>
            <w:proofErr w:type="spellEnd"/>
            <w:r w:rsidRPr="0090775D">
              <w:rPr>
                <w:color w:val="000000"/>
              </w:rPr>
              <w:t>.</w:t>
            </w:r>
          </w:p>
        </w:tc>
        <w:tc>
          <w:tcPr>
            <w:tcW w:w="1079" w:type="pct"/>
            <w:vAlign w:val="center"/>
          </w:tcPr>
          <w:p w:rsidR="00285BBF" w:rsidRDefault="00285BBF" w:rsidP="00285BBF">
            <w:pPr>
              <w:jc w:val="right"/>
              <w:rPr>
                <w:color w:val="000000"/>
              </w:rPr>
            </w:pPr>
            <w:r>
              <w:rPr>
                <w:color w:val="000000"/>
              </w:rPr>
              <w:t>-5.6528</w:t>
            </w:r>
          </w:p>
        </w:tc>
      </w:tr>
      <w:tr w:rsidR="00285BBF" w:rsidRPr="0090775D" w:rsidTr="00A626CF">
        <w:trPr>
          <w:trHeight w:hRule="exact" w:val="288"/>
        </w:trPr>
        <w:tc>
          <w:tcPr>
            <w:tcW w:w="1668" w:type="pct"/>
            <w:vAlign w:val="bottom"/>
          </w:tcPr>
          <w:p w:rsidR="00285BBF" w:rsidRPr="0090775D" w:rsidRDefault="00285BBF" w:rsidP="00285BBF">
            <w:pPr>
              <w:autoSpaceDE w:val="0"/>
              <w:autoSpaceDN w:val="0"/>
              <w:adjustRightInd w:val="0"/>
              <w:spacing w:after="0" w:line="240" w:lineRule="auto"/>
              <w:rPr>
                <w:color w:val="000000"/>
              </w:rPr>
            </w:pPr>
            <w:r w:rsidRPr="0090775D">
              <w:rPr>
                <w:color w:val="000000"/>
              </w:rPr>
              <w:t>Durbin-Watson stat</w:t>
            </w:r>
          </w:p>
        </w:tc>
        <w:tc>
          <w:tcPr>
            <w:tcW w:w="777" w:type="pct"/>
            <w:vAlign w:val="center"/>
          </w:tcPr>
          <w:p w:rsidR="00285BBF" w:rsidRDefault="00285BBF" w:rsidP="00285BBF">
            <w:pPr>
              <w:jc w:val="right"/>
              <w:rPr>
                <w:color w:val="000000"/>
              </w:rPr>
            </w:pPr>
            <w:r>
              <w:rPr>
                <w:color w:val="000000"/>
              </w:rPr>
              <w:t>1.9287</w:t>
            </w:r>
          </w:p>
        </w:tc>
        <w:tc>
          <w:tcPr>
            <w:tcW w:w="1476" w:type="pct"/>
            <w:vAlign w:val="bottom"/>
          </w:tcPr>
          <w:p w:rsidR="00285BBF" w:rsidRPr="0090775D" w:rsidRDefault="00285BBF" w:rsidP="00285BBF">
            <w:pPr>
              <w:autoSpaceDE w:val="0"/>
              <w:autoSpaceDN w:val="0"/>
              <w:adjustRightInd w:val="0"/>
              <w:spacing w:after="0" w:line="240" w:lineRule="auto"/>
              <w:ind w:right="10"/>
              <w:rPr>
                <w:color w:val="000000"/>
              </w:rPr>
            </w:pPr>
          </w:p>
        </w:tc>
        <w:tc>
          <w:tcPr>
            <w:tcW w:w="1079" w:type="pct"/>
            <w:vAlign w:val="bottom"/>
          </w:tcPr>
          <w:p w:rsidR="00285BBF" w:rsidRPr="0090775D" w:rsidRDefault="00285BBF" w:rsidP="00285BBF">
            <w:pPr>
              <w:autoSpaceDE w:val="0"/>
              <w:autoSpaceDN w:val="0"/>
              <w:adjustRightInd w:val="0"/>
              <w:spacing w:after="0" w:line="240" w:lineRule="auto"/>
              <w:ind w:right="10"/>
              <w:rPr>
                <w:color w:val="000000"/>
              </w:rPr>
            </w:pPr>
          </w:p>
        </w:tc>
      </w:tr>
    </w:tbl>
    <w:p w:rsidR="0090775D" w:rsidRDefault="0090775D" w:rsidP="0090775D">
      <w:pPr>
        <w:autoSpaceDE w:val="0"/>
        <w:autoSpaceDN w:val="0"/>
        <w:adjustRightInd w:val="0"/>
        <w:spacing w:after="0" w:line="240" w:lineRule="auto"/>
        <w:rPr>
          <w:rFonts w:ascii="Arial" w:hAnsi="Arial" w:cs="Arial"/>
          <w:sz w:val="18"/>
          <w:szCs w:val="18"/>
        </w:rPr>
      </w:pPr>
      <w:r>
        <w:rPr>
          <w:rFonts w:ascii="Arial" w:hAnsi="Arial" w:cs="Arial"/>
          <w:sz w:val="18"/>
          <w:szCs w:val="18"/>
        </w:rPr>
        <w:br/>
      </w:r>
    </w:p>
    <w:p w:rsidR="00081B3E" w:rsidRDefault="00081B3E" w:rsidP="007C5487">
      <w:pPr>
        <w:spacing w:after="0" w:line="360" w:lineRule="auto"/>
        <w:jc w:val="both"/>
        <w:rPr>
          <w:b/>
        </w:rPr>
      </w:pPr>
    </w:p>
    <w:p w:rsidR="00A626CF" w:rsidRPr="00E038F2" w:rsidRDefault="004B616A" w:rsidP="00A626CF">
      <w:pPr>
        <w:spacing w:after="0" w:line="360" w:lineRule="auto"/>
        <w:jc w:val="both"/>
        <w:rPr>
          <w:shd w:val="clear" w:color="auto" w:fill="FFFFFF"/>
        </w:rPr>
      </w:pPr>
      <w:r>
        <w:t xml:space="preserve">Results </w:t>
      </w:r>
      <w:r w:rsidR="00285BBF" w:rsidRPr="00E038F2">
        <w:t>show that</w:t>
      </w:r>
      <w:r>
        <w:t xml:space="preserve"> INVI</w:t>
      </w:r>
      <w:r w:rsidR="00285BBF" w:rsidRPr="00E038F2">
        <w:t xml:space="preserve"> is </w:t>
      </w:r>
      <w:r>
        <w:t xml:space="preserve">not </w:t>
      </w:r>
      <w:r w:rsidR="00285BBF" w:rsidRPr="00E038F2">
        <w:t>statistically significant in explaining stock returns (</w:t>
      </w: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rPr>
          <w:color w:val="000000"/>
        </w:rPr>
        <w:t>-0.0239</w:t>
      </w:r>
      <w:r w:rsidR="00285BBF" w:rsidRPr="00E038F2">
        <w:t xml:space="preserve">, </w:t>
      </w:r>
      <w:r w:rsidR="00285BBF" w:rsidRPr="00E038F2">
        <w:rPr>
          <w:i/>
        </w:rPr>
        <w:t>p</w:t>
      </w:r>
      <w:r>
        <w:t>-value = 0.5847</w:t>
      </w:r>
      <w:r w:rsidR="00285BBF" w:rsidRPr="00E038F2">
        <w:t xml:space="preserve">). </w:t>
      </w:r>
      <w:r w:rsidR="00A626CF">
        <w:t>T</w:t>
      </w:r>
      <w:r w:rsidR="00A626CF" w:rsidRPr="00E038F2">
        <w:t xml:space="preserve">he coefficient of </w:t>
      </w:r>
      <w:r w:rsidR="00A626CF">
        <w:t>IIRA</w:t>
      </w:r>
      <w:r w:rsidR="00A626CF" w:rsidRPr="00E038F2">
        <w:t xml:space="preserve"> variable is</w:t>
      </w:r>
      <w:r w:rsidR="001278C8">
        <w:t xml:space="preserve"> however</w:t>
      </w:r>
      <w:r w:rsidR="00A626CF" w:rsidRPr="00E038F2">
        <w:t xml:space="preserve"> </w:t>
      </w:r>
      <w:r w:rsidR="00A626CF" w:rsidRPr="00E038F2">
        <w:rPr>
          <w:color w:val="000000"/>
        </w:rPr>
        <w:t>positive and significant in explaining average stock returns (</w:t>
      </w:r>
      <m:oMath>
        <m:sSub>
          <m:sSubPr>
            <m:ctrlPr>
              <w:rPr>
                <w:rFonts w:ascii="Cambria Math" w:eastAsia="SimSun" w:hAnsi="Cambria Math"/>
                <w:i/>
              </w:rPr>
            </m:ctrlPr>
          </m:sSubPr>
          <m:e>
            <m:r>
              <w:rPr>
                <w:rFonts w:ascii="Cambria Math" w:eastAsia="SimSun" w:hAnsi="Cambria Math"/>
              </w:rPr>
              <m:t>ξ</m:t>
            </m:r>
          </m:e>
          <m:sub>
            <m:r>
              <m:rPr>
                <m:sty m:val="p"/>
              </m:rPr>
              <w:rPr>
                <w:rFonts w:ascii="Cambria Math" w:eastAsia="SimSun" w:hAnsi="Cambria Math"/>
              </w:rPr>
              <m:t>i</m:t>
            </m:r>
          </m:sub>
        </m:sSub>
        <m:r>
          <w:rPr>
            <w:rFonts w:ascii="Cambria Math" w:hAnsi="Cambria Math"/>
          </w:rPr>
          <m:t>=</m:t>
        </m:r>
      </m:oMath>
      <w:r w:rsidR="00A626CF">
        <w:t>0.0480</w:t>
      </w:r>
      <w:r w:rsidR="00A626CF" w:rsidRPr="00E038F2">
        <w:rPr>
          <w:color w:val="000000"/>
        </w:rPr>
        <w:t xml:space="preserve">, </w:t>
      </w:r>
      <w:r w:rsidR="00A626CF" w:rsidRPr="00E038F2">
        <w:rPr>
          <w:i/>
        </w:rPr>
        <w:t>p</w:t>
      </w:r>
      <w:r w:rsidR="00A626CF" w:rsidRPr="00E038F2">
        <w:t>-value = 0.0000)</w:t>
      </w:r>
      <w:r w:rsidR="00A626CF" w:rsidRPr="00E038F2">
        <w:rPr>
          <w:color w:val="000000"/>
        </w:rPr>
        <w:t xml:space="preserve">. This is interpreted to mean </w:t>
      </w:r>
      <w:r w:rsidR="00A626CF" w:rsidRPr="00E038F2">
        <w:t xml:space="preserve">that sentiment has a strong influence on stock returns at the NSE. </w:t>
      </w:r>
      <w:r w:rsidR="00BD0C45" w:rsidRPr="00E038F2">
        <w:rPr>
          <w:rFonts w:eastAsia="CIDFont+F2"/>
        </w:rPr>
        <w:t xml:space="preserve">The coefficient of the </w:t>
      </w:r>
      <w:r w:rsidR="00BD0C45" w:rsidRPr="00E038F2">
        <w:rPr>
          <w:shd w:val="clear" w:color="auto" w:fill="FFFFFF"/>
        </w:rPr>
        <w:t xml:space="preserve">interaction term is positive though not significant </w:t>
      </w:r>
      <w:r w:rsidR="00BD0C45" w:rsidRPr="00E038F2">
        <w:t>(</w:t>
      </w:r>
      <m:oMath>
        <m:r>
          <w:rPr>
            <w:rFonts w:ascii="Cambria Math" w:hAnsi="Cambria Math"/>
          </w:rPr>
          <m:t xml:space="preserve">γ </m:t>
        </m:r>
      </m:oMath>
      <w:r w:rsidR="00BD0C45" w:rsidRPr="00E038F2">
        <w:t xml:space="preserve">= </w:t>
      </w:r>
      <w:r w:rsidR="00BD0C45">
        <w:rPr>
          <w:color w:val="000000"/>
        </w:rPr>
        <w:t>0.2346</w:t>
      </w:r>
      <w:r w:rsidR="00BD0C45" w:rsidRPr="00E038F2">
        <w:t>,</w:t>
      </w:r>
      <w:r w:rsidR="00BD0C45" w:rsidRPr="00E038F2">
        <w:rPr>
          <w:i/>
        </w:rPr>
        <w:t xml:space="preserve"> p</w:t>
      </w:r>
      <w:r w:rsidR="00BD0C45" w:rsidRPr="00E038F2">
        <w:t xml:space="preserve">-value = </w:t>
      </w:r>
      <w:r w:rsidR="00BD0C45">
        <w:rPr>
          <w:color w:val="000000"/>
        </w:rPr>
        <w:t>0.0577</w:t>
      </w:r>
      <w:r w:rsidR="00BD0C45" w:rsidRPr="00E038F2">
        <w:t>).</w:t>
      </w:r>
      <w:r w:rsidR="00A626CF" w:rsidRPr="00E038F2">
        <w:t xml:space="preserve"> The results demonstrate that </w:t>
      </w:r>
      <w:r w:rsidR="00A626CF" w:rsidRPr="00E038F2">
        <w:rPr>
          <w:shd w:val="clear" w:color="auto" w:fill="FFFFFF"/>
        </w:rPr>
        <w:t xml:space="preserve">the effect of </w:t>
      </w:r>
      <w:r w:rsidR="00BD0C45">
        <w:rPr>
          <w:shd w:val="clear" w:color="auto" w:fill="FFFFFF"/>
        </w:rPr>
        <w:t xml:space="preserve">INVI </w:t>
      </w:r>
      <w:r w:rsidR="00A626CF" w:rsidRPr="00E038F2">
        <w:rPr>
          <w:shd w:val="clear" w:color="auto" w:fill="FFFFFF"/>
        </w:rPr>
        <w:t>on stock returns does not depen</w:t>
      </w:r>
      <w:r w:rsidR="00BD0C45">
        <w:rPr>
          <w:shd w:val="clear" w:color="auto" w:fill="FFFFFF"/>
        </w:rPr>
        <w:t xml:space="preserve">d on the </w:t>
      </w:r>
      <w:proofErr w:type="spellStart"/>
      <w:r w:rsidR="00BD0C45">
        <w:rPr>
          <w:shd w:val="clear" w:color="auto" w:fill="FFFFFF"/>
        </w:rPr>
        <w:t>the</w:t>
      </w:r>
      <w:proofErr w:type="spellEnd"/>
      <w:r w:rsidR="00BD0C45">
        <w:rPr>
          <w:shd w:val="clear" w:color="auto" w:fill="FFFFFF"/>
        </w:rPr>
        <w:t xml:space="preserve"> level of investor irrationality </w:t>
      </w:r>
      <w:r w:rsidR="00A626CF" w:rsidRPr="00E038F2">
        <w:rPr>
          <w:shd w:val="clear" w:color="auto" w:fill="FFFFFF"/>
        </w:rPr>
        <w:t xml:space="preserve">at the Kenyan equity market. On the flipside, the effect of </w:t>
      </w:r>
      <w:r w:rsidR="00BD0C45">
        <w:rPr>
          <w:shd w:val="clear" w:color="auto" w:fill="FFFFFF"/>
        </w:rPr>
        <w:t xml:space="preserve">investor irrationality </w:t>
      </w:r>
      <w:r w:rsidR="00A626CF" w:rsidRPr="00E038F2">
        <w:rPr>
          <w:shd w:val="clear" w:color="auto" w:fill="FFFFFF"/>
        </w:rPr>
        <w:t xml:space="preserve">on stock returns does not depend on the </w:t>
      </w:r>
      <w:r w:rsidR="00BD0C45">
        <w:rPr>
          <w:shd w:val="clear" w:color="auto" w:fill="FFFFFF"/>
        </w:rPr>
        <w:t>INVI risk</w:t>
      </w:r>
      <w:r w:rsidR="00A626CF" w:rsidRPr="00E038F2">
        <w:rPr>
          <w:shd w:val="clear" w:color="auto" w:fill="FFFFFF"/>
        </w:rPr>
        <w:t>, meaning that the two variables (</w:t>
      </w:r>
      <m:oMath>
        <m:r>
          <m:rPr>
            <m:sty m:val="p"/>
          </m:rPr>
          <w:rPr>
            <w:rFonts w:ascii="Cambria Math" w:hAnsi="Cambria Math"/>
          </w:rPr>
          <m:t>INVI and IIRA</m:t>
        </m:r>
      </m:oMath>
      <w:r w:rsidR="00A626CF" w:rsidRPr="00E038F2">
        <w:rPr>
          <w:shd w:val="clear" w:color="auto" w:fill="FFFFFF"/>
        </w:rPr>
        <w:t xml:space="preserve">) are independent and that </w:t>
      </w:r>
      <w:r w:rsidR="00BD0C45">
        <w:rPr>
          <w:shd w:val="clear" w:color="auto" w:fill="FFFFFF"/>
        </w:rPr>
        <w:t xml:space="preserve">investor irrationality </w:t>
      </w:r>
      <w:r w:rsidR="00A626CF" w:rsidRPr="00E038F2">
        <w:rPr>
          <w:shd w:val="clear" w:color="auto" w:fill="FFFFFF"/>
        </w:rPr>
        <w:t xml:space="preserve">does not moderate the effect of </w:t>
      </w:r>
      <w:r w:rsidR="00BD0C45">
        <w:rPr>
          <w:shd w:val="clear" w:color="auto" w:fill="FFFFFF"/>
        </w:rPr>
        <w:t>INVI</w:t>
      </w:r>
      <w:r w:rsidR="00A626CF" w:rsidRPr="00E038F2">
        <w:rPr>
          <w:shd w:val="clear" w:color="auto" w:fill="FFFFFF"/>
        </w:rPr>
        <w:t xml:space="preserve"> risk </w:t>
      </w:r>
      <w:proofErr w:type="spellStart"/>
      <w:r w:rsidR="00A626CF" w:rsidRPr="00E038F2">
        <w:rPr>
          <w:shd w:val="clear" w:color="auto" w:fill="FFFFFF"/>
        </w:rPr>
        <w:t>premia</w:t>
      </w:r>
      <w:proofErr w:type="spellEnd"/>
      <w:r w:rsidR="00A626CF" w:rsidRPr="00E038F2">
        <w:rPr>
          <w:shd w:val="clear" w:color="auto" w:fill="FFFFFF"/>
        </w:rPr>
        <w:t xml:space="preserve"> on stock returns at the NSE.</w:t>
      </w:r>
    </w:p>
    <w:p w:rsidR="00915927" w:rsidRDefault="00915927" w:rsidP="007C5487">
      <w:pPr>
        <w:autoSpaceDE w:val="0"/>
        <w:autoSpaceDN w:val="0"/>
        <w:adjustRightInd w:val="0"/>
        <w:spacing w:after="0" w:line="360" w:lineRule="auto"/>
        <w:jc w:val="both"/>
        <w:rPr>
          <w:shd w:val="clear" w:color="auto" w:fill="FFFFFF"/>
        </w:rPr>
      </w:pPr>
    </w:p>
    <w:p w:rsidR="00914466" w:rsidRPr="007C5487" w:rsidRDefault="00F15E62" w:rsidP="007C5487">
      <w:pPr>
        <w:autoSpaceDE w:val="0"/>
        <w:autoSpaceDN w:val="0"/>
        <w:adjustRightInd w:val="0"/>
        <w:spacing w:after="0" w:line="360" w:lineRule="auto"/>
        <w:jc w:val="both"/>
        <w:rPr>
          <w:b/>
          <w:shd w:val="clear" w:color="auto" w:fill="FFFFFF"/>
        </w:rPr>
      </w:pPr>
      <w:r w:rsidRPr="007C5487">
        <w:rPr>
          <w:b/>
          <w:shd w:val="clear" w:color="auto" w:fill="FFFFFF"/>
        </w:rPr>
        <w:t xml:space="preserve">7.4 </w:t>
      </w:r>
      <w:r w:rsidR="00914466" w:rsidRPr="007C5487">
        <w:rPr>
          <w:b/>
          <w:shd w:val="clear" w:color="auto" w:fill="FFFFFF"/>
        </w:rPr>
        <w:t>Model Fit</w:t>
      </w:r>
      <w:r w:rsidR="002E60CB" w:rsidRPr="007C5487">
        <w:rPr>
          <w:b/>
          <w:shd w:val="clear" w:color="auto" w:fill="FFFFFF"/>
        </w:rPr>
        <w:t xml:space="preserve"> </w:t>
      </w:r>
    </w:p>
    <w:p w:rsidR="00C244F1" w:rsidRDefault="00D5169A" w:rsidP="00D5169A">
      <w:pPr>
        <w:autoSpaceDE w:val="0"/>
        <w:autoSpaceDN w:val="0"/>
        <w:adjustRightInd w:val="0"/>
        <w:spacing w:after="0" w:line="360" w:lineRule="auto"/>
        <w:ind w:right="10"/>
        <w:jc w:val="both"/>
      </w:pPr>
      <w:r w:rsidRPr="00B74BD2">
        <w:rPr>
          <w:rFonts w:eastAsia="CIDFont+F2"/>
        </w:rPr>
        <w:t>The test resu</w:t>
      </w:r>
      <w:r>
        <w:rPr>
          <w:rFonts w:eastAsia="CIDFont+F2"/>
        </w:rPr>
        <w:t>lts in lower panel of Table 7.2</w:t>
      </w:r>
      <w:r w:rsidRPr="00B74BD2">
        <w:rPr>
          <w:rFonts w:eastAsia="CIDFont+F2"/>
        </w:rPr>
        <w:t xml:space="preserve"> show statistics for model performance of the interaction mo</w:t>
      </w:r>
      <w:r w:rsidR="000B59FE">
        <w:rPr>
          <w:rFonts w:eastAsia="CIDFont+F2"/>
        </w:rPr>
        <w:t>del involving investor irrationality</w:t>
      </w:r>
      <w:r w:rsidRPr="00B74BD2">
        <w:rPr>
          <w:rFonts w:eastAsia="CIDFont+F2"/>
        </w:rPr>
        <w:t xml:space="preserve"> and </w:t>
      </w:r>
      <w:r w:rsidR="000B59FE">
        <w:rPr>
          <w:rFonts w:eastAsia="CIDFont+F2"/>
        </w:rPr>
        <w:t>investment intensity risk</w:t>
      </w:r>
      <w:r w:rsidRPr="00B74BD2">
        <w:rPr>
          <w:rFonts w:eastAsia="CIDFont+F2"/>
        </w:rPr>
        <w:t xml:space="preserve">. </w:t>
      </w:r>
      <w:r w:rsidR="000B59FE">
        <w:rPr>
          <w:rFonts w:eastAsia="CIDFont+F2"/>
        </w:rPr>
        <w:t>The</w:t>
      </w:r>
      <w:r w:rsidRPr="00B74BD2">
        <w:rPr>
          <w:rFonts w:eastAsia="CIDFont+F2"/>
        </w:rPr>
        <w:t xml:space="preserve"> intercept is indistinguishable from zero implying that the model completely captures the cross-section of returns efficiently. </w:t>
      </w:r>
      <w:r w:rsidR="00F54947">
        <w:t>When IIRA and INVI*IIRA terms were introduced in the model, t</w:t>
      </w:r>
      <w:r w:rsidR="00F54947" w:rsidRPr="00E038F2">
        <w:t xml:space="preserve">he adjusted R-square moved from </w:t>
      </w:r>
      <w:r w:rsidR="00F54947">
        <w:rPr>
          <w:color w:val="000000"/>
        </w:rPr>
        <w:t xml:space="preserve">0.8894 </w:t>
      </w:r>
      <w:r w:rsidR="00F54947" w:rsidRPr="00E038F2">
        <w:t xml:space="preserve">to </w:t>
      </w:r>
      <w:r w:rsidR="00F54947">
        <w:rPr>
          <w:color w:val="000000"/>
        </w:rPr>
        <w:t xml:space="preserve">0.9263 </w:t>
      </w:r>
      <w:r w:rsidR="00F54947" w:rsidRPr="00E038F2">
        <w:t>implying that the added variable</w:t>
      </w:r>
      <w:r w:rsidR="00F54947">
        <w:t>s are</w:t>
      </w:r>
      <w:r w:rsidR="00F54947" w:rsidRPr="00E038F2">
        <w:t xml:space="preserve"> efficient</w:t>
      </w:r>
      <w:r w:rsidR="00F54947">
        <w:t xml:space="preserve">. </w:t>
      </w:r>
      <w:r w:rsidR="00F54947" w:rsidRPr="00E038F2">
        <w:t xml:space="preserve">Thus </w:t>
      </w:r>
      <w:r w:rsidR="00F54947">
        <w:t>INVI</w:t>
      </w:r>
      <w:r w:rsidR="00F54947" w:rsidRPr="00E038F2">
        <w:t xml:space="preserve"> explain</w:t>
      </w:r>
      <w:r w:rsidR="00F54947">
        <w:t>s 92.63</w:t>
      </w:r>
      <w:r w:rsidR="00F54947" w:rsidRPr="00E038F2">
        <w:t>% of variations in stock returns</w:t>
      </w:r>
      <w:r w:rsidR="00F54947">
        <w:t xml:space="preserve"> in a model that incorporates IIRA and </w:t>
      </w:r>
      <w:r w:rsidR="00F54947" w:rsidRPr="00E038F2">
        <w:t xml:space="preserve">interaction term </w:t>
      </w:r>
      <w:r w:rsidR="00F54947" w:rsidRPr="00E038F2">
        <w:rPr>
          <w:shd w:val="clear" w:color="auto" w:fill="FFFFFF"/>
        </w:rPr>
        <w:t>(</w:t>
      </w:r>
      <w:r w:rsidR="00F54947">
        <w:t>INVI*IIRA</w:t>
      </w:r>
      <w:r w:rsidR="00F54947" w:rsidRPr="00E038F2">
        <w:rPr>
          <w:shd w:val="clear" w:color="auto" w:fill="FFFFFF"/>
        </w:rPr>
        <w:t>)</w:t>
      </w:r>
      <w:r w:rsidR="00F54947" w:rsidRPr="00E038F2">
        <w:t xml:space="preserve">. </w:t>
      </w:r>
      <w:r w:rsidRPr="00B74BD2">
        <w:t xml:space="preserve">The ECT </w:t>
      </w:r>
      <w:r w:rsidR="001278C8">
        <w:t xml:space="preserve">term </w:t>
      </w:r>
      <w:r w:rsidRPr="00B74BD2">
        <w:t>is negative</w:t>
      </w:r>
      <w:r w:rsidR="000B59FE">
        <w:t xml:space="preserve"> (</w:t>
      </w:r>
      <w:r w:rsidR="000B59FE">
        <w:rPr>
          <w:color w:val="000000"/>
        </w:rPr>
        <w:t>-0.9784</w:t>
      </w:r>
      <w:r w:rsidR="000B59FE">
        <w:t>)</w:t>
      </w:r>
      <w:r w:rsidRPr="00B74BD2">
        <w:t xml:space="preserve"> and significant</w:t>
      </w:r>
      <w:r w:rsidR="000B59FE">
        <w:t xml:space="preserve"> (</w:t>
      </w:r>
      <w:r w:rsidR="000B59FE" w:rsidRPr="001278C8">
        <w:rPr>
          <w:i/>
        </w:rPr>
        <w:t>p</w:t>
      </w:r>
      <w:r w:rsidR="000B59FE">
        <w:t>-value = 0.0000)</w:t>
      </w:r>
      <w:r w:rsidRPr="00B74BD2">
        <w:t xml:space="preserve"> in </w:t>
      </w:r>
      <w:r w:rsidR="000B59FE">
        <w:t xml:space="preserve">the </w:t>
      </w:r>
      <w:r w:rsidRPr="00B74BD2">
        <w:t xml:space="preserve">error correction </w:t>
      </w:r>
      <w:r w:rsidR="000B59FE">
        <w:t>regression</w:t>
      </w:r>
      <w:r w:rsidRPr="00B74BD2">
        <w:t xml:space="preserve">. The negative coefficient on ECT implies that there is evidence of long-run convergence/reversion to equilibrium and thus a long-run causal relationship can be inferred. </w:t>
      </w:r>
    </w:p>
    <w:p w:rsidR="00910FFC" w:rsidRPr="007C5487" w:rsidRDefault="00910FFC" w:rsidP="00D5169A">
      <w:pPr>
        <w:autoSpaceDE w:val="0"/>
        <w:autoSpaceDN w:val="0"/>
        <w:adjustRightInd w:val="0"/>
        <w:spacing w:after="0" w:line="360" w:lineRule="auto"/>
        <w:ind w:right="10"/>
        <w:jc w:val="both"/>
      </w:pPr>
    </w:p>
    <w:p w:rsidR="00592EB5" w:rsidRPr="007C5487" w:rsidRDefault="00C63FA3" w:rsidP="007C5487">
      <w:pPr>
        <w:pStyle w:val="ListParagraph"/>
        <w:numPr>
          <w:ilvl w:val="0"/>
          <w:numId w:val="28"/>
        </w:numPr>
        <w:autoSpaceDE w:val="0"/>
        <w:autoSpaceDN w:val="0"/>
        <w:adjustRightInd w:val="0"/>
        <w:spacing w:after="0" w:line="360" w:lineRule="auto"/>
        <w:jc w:val="both"/>
        <w:rPr>
          <w:rFonts w:ascii="Times New Roman" w:hAnsi="Times New Roman" w:cs="Times New Roman"/>
          <w:b/>
          <w:sz w:val="24"/>
          <w:szCs w:val="24"/>
        </w:rPr>
      </w:pPr>
      <w:r w:rsidRPr="007C5487">
        <w:rPr>
          <w:rFonts w:ascii="Times New Roman" w:hAnsi="Times New Roman" w:cs="Times New Roman"/>
          <w:b/>
          <w:sz w:val="24"/>
          <w:szCs w:val="24"/>
        </w:rPr>
        <w:t>C</w:t>
      </w:r>
      <w:r w:rsidR="00835B7B" w:rsidRPr="007C5487">
        <w:rPr>
          <w:rFonts w:ascii="Times New Roman" w:hAnsi="Times New Roman" w:cs="Times New Roman"/>
          <w:b/>
          <w:sz w:val="24"/>
          <w:szCs w:val="24"/>
        </w:rPr>
        <w:t>onclusion</w:t>
      </w:r>
    </w:p>
    <w:p w:rsidR="00363E71" w:rsidRDefault="00442142" w:rsidP="00B7202B">
      <w:pPr>
        <w:autoSpaceDE w:val="0"/>
        <w:autoSpaceDN w:val="0"/>
        <w:adjustRightInd w:val="0"/>
        <w:spacing w:after="0" w:line="360" w:lineRule="auto"/>
        <w:jc w:val="both"/>
      </w:pPr>
      <w:r w:rsidRPr="007C5487">
        <w:t>This</w:t>
      </w:r>
      <w:r w:rsidR="00B06064" w:rsidRPr="007C5487">
        <w:t xml:space="preserve"> study </w:t>
      </w:r>
      <w:r w:rsidR="00F54947">
        <w:t>sought to establish whether</w:t>
      </w:r>
      <w:r w:rsidR="00DA5405" w:rsidRPr="007C5487">
        <w:t xml:space="preserve"> </w:t>
      </w:r>
      <w:r w:rsidR="00910FFC">
        <w:t>investment intensity</w:t>
      </w:r>
      <w:r w:rsidR="009170F3" w:rsidRPr="007C5487">
        <w:t xml:space="preserve"> risk </w:t>
      </w:r>
      <w:r w:rsidR="00DA5405" w:rsidRPr="007C5487">
        <w:t xml:space="preserve">explains stock returns at the NSE. </w:t>
      </w:r>
      <w:r w:rsidR="00910FFC" w:rsidRPr="00B74BD2">
        <w:t xml:space="preserve">From the results of ARDL </w:t>
      </w:r>
      <w:r w:rsidR="008A45B7">
        <w:t>error correction regression</w:t>
      </w:r>
      <w:r w:rsidR="00910FFC">
        <w:t xml:space="preserve">, </w:t>
      </w:r>
      <w:r w:rsidR="00910FFC" w:rsidRPr="00B74BD2">
        <w:t xml:space="preserve">it was concluded </w:t>
      </w:r>
      <w:r w:rsidR="00910FFC">
        <w:t>investment intensity</w:t>
      </w:r>
      <w:r w:rsidR="00910FFC" w:rsidRPr="00B74BD2">
        <w:t xml:space="preserve"> </w:t>
      </w:r>
      <w:r w:rsidR="00910FFC">
        <w:t>risk</w:t>
      </w:r>
      <w:r w:rsidR="00910FFC" w:rsidRPr="00B74BD2">
        <w:t xml:space="preserve"> does not have significant pricing effect on stoc</w:t>
      </w:r>
      <w:r w:rsidR="003415E7">
        <w:t>ks at the NSE, holding constant the</w:t>
      </w:r>
      <w:r w:rsidR="00910FFC">
        <w:t xml:space="preserve"> effect of size, value and profitability factors</w:t>
      </w:r>
      <w:r w:rsidR="00910FFC" w:rsidRPr="00B74BD2">
        <w:t xml:space="preserve">. </w:t>
      </w:r>
      <w:r w:rsidR="00AC0D2A">
        <w:t xml:space="preserve">The study also found weak evidence for moderating effect of investor irrationality in the relationship between investment intensity risk and stock returns at the NSE. </w:t>
      </w:r>
      <w:r w:rsidR="00910FFC" w:rsidRPr="00B74BD2">
        <w:t>It therefore implies that investors do not necessarily consider a company’s total asset variation as an important factor to consider when making decision on investment at the NSE. Thus, changes in value of assets either through acquisition or disposal does not communicate relevant information to investors regarding the risk positi</w:t>
      </w:r>
      <w:r w:rsidR="00344637">
        <w:t xml:space="preserve">on of listed firms at the NSE. </w:t>
      </w:r>
      <w:r w:rsidR="00DA38CB" w:rsidRPr="007C5487">
        <w:t xml:space="preserve">The study </w:t>
      </w:r>
      <w:r w:rsidR="00AC0D2A">
        <w:t>however</w:t>
      </w:r>
      <w:r w:rsidR="00193308">
        <w:t xml:space="preserve"> </w:t>
      </w:r>
      <w:r w:rsidR="00344637">
        <w:t xml:space="preserve">found significant direct effect of investor irrationality on </w:t>
      </w:r>
      <w:r w:rsidR="00B766A3" w:rsidRPr="007C5487">
        <w:t xml:space="preserve">stock returns in Kenya. </w:t>
      </w:r>
      <w:r w:rsidR="00193308">
        <w:t xml:space="preserve">This implies that </w:t>
      </w:r>
      <w:r w:rsidR="00AC0D2A">
        <w:t>the spread between bullish and bearish market condition is a</w:t>
      </w:r>
      <w:r w:rsidR="00193308">
        <w:t xml:space="preserve"> </w:t>
      </w:r>
      <w:r w:rsidR="00AC0D2A">
        <w:t xml:space="preserve">significant proxy for </w:t>
      </w:r>
      <w:r w:rsidR="00193308">
        <w:t xml:space="preserve">systematic risk </w:t>
      </w:r>
      <w:r w:rsidR="00AC0D2A">
        <w:t xml:space="preserve">which </w:t>
      </w:r>
      <w:r w:rsidR="004415D0">
        <w:t>should</w:t>
      </w:r>
      <w:r w:rsidR="00AC0D2A">
        <w:t xml:space="preserve"> be augmented in asset pricing models for investment decisions. </w:t>
      </w:r>
      <w:r w:rsidR="00193308">
        <w:t xml:space="preserve"> </w:t>
      </w:r>
      <w:bookmarkStart w:id="4" w:name="_Toc24690948"/>
    </w:p>
    <w:p w:rsidR="007C5487" w:rsidRDefault="007C5487"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B7202B" w:rsidRDefault="00B7202B" w:rsidP="007C5487">
      <w:pPr>
        <w:pStyle w:val="Heading1"/>
        <w:spacing w:before="0" w:after="0" w:line="360" w:lineRule="auto"/>
        <w:jc w:val="both"/>
        <w:rPr>
          <w:sz w:val="24"/>
          <w:szCs w:val="24"/>
        </w:rPr>
      </w:pPr>
    </w:p>
    <w:p w:rsidR="007C5487" w:rsidRPr="007C5487" w:rsidRDefault="007C5487" w:rsidP="007C5487">
      <w:pPr>
        <w:pStyle w:val="Heading1"/>
        <w:spacing w:before="0" w:after="0" w:line="360" w:lineRule="auto"/>
        <w:jc w:val="both"/>
        <w:rPr>
          <w:sz w:val="24"/>
          <w:szCs w:val="24"/>
        </w:rPr>
      </w:pPr>
    </w:p>
    <w:p w:rsidR="003415E7" w:rsidRPr="00B7202B" w:rsidRDefault="003415E7" w:rsidP="003415E7">
      <w:pPr>
        <w:pStyle w:val="Heading1"/>
        <w:spacing w:before="0" w:after="0" w:line="360" w:lineRule="auto"/>
        <w:jc w:val="center"/>
        <w:rPr>
          <w:sz w:val="24"/>
        </w:rPr>
      </w:pPr>
      <w:bookmarkStart w:id="5" w:name="_Toc78923988"/>
      <w:bookmarkEnd w:id="4"/>
      <w:r w:rsidRPr="00B7202B">
        <w:rPr>
          <w:sz w:val="24"/>
        </w:rPr>
        <w:t>REFERENCES</w:t>
      </w:r>
      <w:bookmarkEnd w:id="5"/>
    </w:p>
    <w:p w:rsidR="003415E7" w:rsidRPr="00B7202B" w:rsidRDefault="003415E7" w:rsidP="003415E7">
      <w:pPr>
        <w:spacing w:after="240" w:line="240" w:lineRule="auto"/>
        <w:ind w:left="720" w:hanging="720"/>
        <w:jc w:val="both"/>
      </w:pPr>
      <w:proofErr w:type="spellStart"/>
      <w:r w:rsidRPr="00B7202B">
        <w:t>Aharoni</w:t>
      </w:r>
      <w:proofErr w:type="spellEnd"/>
      <w:r w:rsidRPr="00B7202B">
        <w:t xml:space="preserve">, G., Grundy, B., &amp; Zeng, Q. (2013). Stock returns and the Miller Modigliani Valuation Formula: Revisiting the </w:t>
      </w:r>
      <w:proofErr w:type="spellStart"/>
      <w:r w:rsidRPr="00B7202B">
        <w:t>Fama</w:t>
      </w:r>
      <w:proofErr w:type="spellEnd"/>
      <w:r w:rsidRPr="00B7202B">
        <w:t xml:space="preserve"> French Analysis. </w:t>
      </w:r>
      <w:r w:rsidRPr="00B7202B">
        <w:rPr>
          <w:i/>
          <w:iCs/>
        </w:rPr>
        <w:t xml:space="preserve">Journal of Financial Economics, </w:t>
      </w:r>
      <w:r w:rsidRPr="00B7202B">
        <w:t>110(2), 347-357.</w:t>
      </w:r>
    </w:p>
    <w:p w:rsidR="003415E7" w:rsidRPr="00B7202B" w:rsidRDefault="003415E7" w:rsidP="003415E7">
      <w:pPr>
        <w:spacing w:after="240" w:line="240" w:lineRule="auto"/>
        <w:ind w:left="720" w:hanging="720"/>
        <w:jc w:val="both"/>
      </w:pPr>
      <w:r w:rsidRPr="00B7202B">
        <w:t xml:space="preserve">Baker M., &amp; </w:t>
      </w:r>
      <w:proofErr w:type="spellStart"/>
      <w:r w:rsidRPr="00B7202B">
        <w:t>Wurgler</w:t>
      </w:r>
      <w:proofErr w:type="spellEnd"/>
      <w:r w:rsidRPr="00B7202B">
        <w:t xml:space="preserve">, J. (2007). Investor Sentiment and the Cross-Section of Stock Returns”, </w:t>
      </w:r>
      <w:r w:rsidRPr="00B7202B">
        <w:rPr>
          <w:i/>
          <w:iCs/>
        </w:rPr>
        <w:t>Journal of Finance</w:t>
      </w:r>
      <w:r w:rsidRPr="00B7202B">
        <w:t>, 61, 1645 -1680.</w:t>
      </w:r>
    </w:p>
    <w:p w:rsidR="003415E7" w:rsidRPr="00B7202B" w:rsidRDefault="003415E7" w:rsidP="003415E7">
      <w:pPr>
        <w:spacing w:after="240" w:line="240" w:lineRule="auto"/>
        <w:ind w:left="720" w:hanging="720"/>
        <w:jc w:val="both"/>
      </w:pPr>
      <w:proofErr w:type="spellStart"/>
      <w:r w:rsidRPr="00B7202B">
        <w:t>Bathia</w:t>
      </w:r>
      <w:proofErr w:type="spellEnd"/>
      <w:r w:rsidRPr="00B7202B">
        <w:t xml:space="preserve">, D. &amp; </w:t>
      </w:r>
      <w:proofErr w:type="spellStart"/>
      <w:r w:rsidRPr="00B7202B">
        <w:t>Bredin</w:t>
      </w:r>
      <w:proofErr w:type="spellEnd"/>
      <w:r w:rsidRPr="00B7202B">
        <w:t xml:space="preserve">, D. (2012). An Examination of Investor Sentiment Effect on G7 Stock Market Returns. </w:t>
      </w:r>
      <w:r w:rsidRPr="00B7202B">
        <w:rPr>
          <w:i/>
        </w:rPr>
        <w:t>European Journal of Finance</w:t>
      </w:r>
      <w:r w:rsidRPr="00B7202B">
        <w:t>. 43. 507-528.</w:t>
      </w:r>
    </w:p>
    <w:p w:rsidR="003415E7" w:rsidRPr="00B7202B" w:rsidRDefault="003415E7" w:rsidP="003415E7">
      <w:pPr>
        <w:spacing w:after="240" w:line="240" w:lineRule="auto"/>
        <w:ind w:left="720" w:hanging="720"/>
        <w:jc w:val="both"/>
      </w:pPr>
      <w:r w:rsidRPr="00B7202B">
        <w:t xml:space="preserve">Chan, K. C., Chen, H. L., &amp; </w:t>
      </w:r>
      <w:proofErr w:type="spellStart"/>
      <w:r w:rsidRPr="00B7202B">
        <w:t>Lakonishok</w:t>
      </w:r>
      <w:proofErr w:type="spellEnd"/>
      <w:r w:rsidRPr="00B7202B">
        <w:t xml:space="preserve">, J. (2008). On Mutual Fund Investment Styles. </w:t>
      </w:r>
      <w:r w:rsidRPr="00B7202B">
        <w:rPr>
          <w:i/>
          <w:iCs/>
        </w:rPr>
        <w:t>The Review of Financial Studies</w:t>
      </w:r>
      <w:r w:rsidRPr="00B7202B">
        <w:t xml:space="preserve">, </w:t>
      </w:r>
      <w:r w:rsidRPr="00B7202B">
        <w:rPr>
          <w:iCs/>
        </w:rPr>
        <w:t>15</w:t>
      </w:r>
      <w:r w:rsidRPr="00B7202B">
        <w:t>(5), 1407-1437</w:t>
      </w:r>
    </w:p>
    <w:p w:rsidR="003415E7" w:rsidRPr="00B7202B" w:rsidRDefault="003415E7" w:rsidP="003415E7">
      <w:pPr>
        <w:autoSpaceDE w:val="0"/>
        <w:autoSpaceDN w:val="0"/>
        <w:adjustRightInd w:val="0"/>
        <w:spacing w:after="240" w:line="240" w:lineRule="auto"/>
        <w:ind w:left="720" w:hanging="720"/>
        <w:jc w:val="both"/>
      </w:pPr>
      <w:r w:rsidRPr="00B7202B">
        <w:t xml:space="preserve">Chen, L. &amp; Zhang, L. (2019), “A better three-factor model that explains more anomalies”, </w:t>
      </w:r>
      <w:r w:rsidRPr="00B7202B">
        <w:rPr>
          <w:i/>
        </w:rPr>
        <w:t>The Journal of Finance</w:t>
      </w:r>
      <w:r w:rsidRPr="00B7202B">
        <w:t>, Vol. 65, pp. 563-595. Estimation of Expected Return:</w:t>
      </w:r>
    </w:p>
    <w:p w:rsidR="003415E7" w:rsidRDefault="003415E7" w:rsidP="003415E7">
      <w:pPr>
        <w:pStyle w:val="NoSpacing"/>
        <w:spacing w:after="240"/>
        <w:ind w:left="720" w:hanging="720"/>
        <w:jc w:val="both"/>
      </w:pPr>
      <w:r w:rsidRPr="00B7202B">
        <w:t xml:space="preserve">Chuang, W., Ouyang, L., &amp; Lo, W. (2010). The Impact of Investor Sentiment on Excess Returns: A Taiwan Stock Market Case, </w:t>
      </w:r>
      <w:r w:rsidRPr="00B7202B">
        <w:rPr>
          <w:i/>
        </w:rPr>
        <w:t>International Journal of Information and Management Sciences</w:t>
      </w:r>
      <w:r w:rsidRPr="00B7202B">
        <w:t>, 21, 13-28.</w:t>
      </w:r>
    </w:p>
    <w:p w:rsidR="00B7202B" w:rsidRDefault="00B7202B" w:rsidP="00B7202B">
      <w:pPr>
        <w:autoSpaceDE w:val="0"/>
        <w:autoSpaceDN w:val="0"/>
        <w:adjustRightInd w:val="0"/>
        <w:spacing w:after="0" w:line="240" w:lineRule="auto"/>
        <w:ind w:left="720" w:hanging="720"/>
        <w:rPr>
          <w:szCs w:val="43"/>
        </w:rPr>
      </w:pPr>
      <w:proofErr w:type="spellStart"/>
      <w:r w:rsidRPr="00B7202B">
        <w:rPr>
          <w:rFonts w:ascii="AdvOT8cb2ddbd" w:hAnsi="AdvOT8cb2ddbd" w:cs="AdvOT8cb2ddbd"/>
          <w:sz w:val="25"/>
          <w:szCs w:val="25"/>
        </w:rPr>
        <w:t>Constantinou</w:t>
      </w:r>
      <w:proofErr w:type="spellEnd"/>
      <w:r w:rsidRPr="00B7202B">
        <w:rPr>
          <w:rFonts w:ascii="AdvOT8cb2ddbd" w:hAnsi="AdvOT8cb2ddbd" w:cs="AdvOT8cb2ddbd"/>
          <w:sz w:val="25"/>
          <w:szCs w:val="25"/>
        </w:rPr>
        <w:t xml:space="preserve">, G., </w:t>
      </w:r>
      <w:proofErr w:type="spellStart"/>
      <w:r w:rsidRPr="00B7202B">
        <w:rPr>
          <w:rFonts w:ascii="AdvOT8cb2ddbd" w:hAnsi="AdvOT8cb2ddbd" w:cs="AdvOT8cb2ddbd"/>
          <w:sz w:val="25"/>
          <w:szCs w:val="25"/>
        </w:rPr>
        <w:t>Karali</w:t>
      </w:r>
      <w:proofErr w:type="spellEnd"/>
      <w:r w:rsidRPr="00B7202B">
        <w:rPr>
          <w:rFonts w:ascii="AdvOT8cb2ddbd" w:hAnsi="AdvOT8cb2ddbd" w:cs="AdvOT8cb2ddbd"/>
          <w:sz w:val="25"/>
          <w:szCs w:val="25"/>
        </w:rPr>
        <w:t xml:space="preserve">, A and </w:t>
      </w:r>
      <w:proofErr w:type="spellStart"/>
      <w:r w:rsidRPr="00B7202B">
        <w:rPr>
          <w:rFonts w:ascii="AdvOT8cb2ddbd" w:hAnsi="AdvOT8cb2ddbd" w:cs="AdvOT8cb2ddbd"/>
          <w:sz w:val="25"/>
          <w:szCs w:val="25"/>
        </w:rPr>
        <w:t>Papanastasopoulos</w:t>
      </w:r>
      <w:proofErr w:type="spellEnd"/>
      <w:r w:rsidRPr="00B7202B">
        <w:rPr>
          <w:rFonts w:ascii="AdvOT8cb2ddbd" w:hAnsi="AdvOT8cb2ddbd" w:cs="AdvOT8cb2ddbd"/>
          <w:sz w:val="25"/>
          <w:szCs w:val="25"/>
        </w:rPr>
        <w:t>, G. (2017):</w:t>
      </w:r>
      <w:r w:rsidRPr="00B7202B">
        <w:rPr>
          <w:szCs w:val="43"/>
        </w:rPr>
        <w:t xml:space="preserve"> Asset growth and the cross-section of stock returns: evidence from Greek listed firms; </w:t>
      </w:r>
      <w:r w:rsidRPr="00B7202B">
        <w:rPr>
          <w:i/>
          <w:szCs w:val="43"/>
        </w:rPr>
        <w:t>Journal of Finance</w:t>
      </w:r>
      <w:r w:rsidRPr="00B7202B">
        <w:rPr>
          <w:szCs w:val="43"/>
        </w:rPr>
        <w:t>, Vol. 55 No.5 pp. 826-841.</w:t>
      </w:r>
    </w:p>
    <w:p w:rsidR="00B7202B" w:rsidRPr="00A768E7" w:rsidRDefault="00B7202B" w:rsidP="00B7202B">
      <w:pPr>
        <w:autoSpaceDE w:val="0"/>
        <w:autoSpaceDN w:val="0"/>
        <w:adjustRightInd w:val="0"/>
        <w:spacing w:after="0" w:line="240" w:lineRule="auto"/>
        <w:ind w:left="720" w:hanging="720"/>
        <w:rPr>
          <w:rFonts w:ascii="AdvOT8cb2ddbd" w:hAnsi="AdvOT8cb2ddbd" w:cs="AdvOT8cb2ddbd"/>
          <w:sz w:val="25"/>
          <w:szCs w:val="25"/>
        </w:rPr>
      </w:pPr>
    </w:p>
    <w:p w:rsidR="003415E7" w:rsidRPr="00B7202B" w:rsidRDefault="003415E7" w:rsidP="003415E7">
      <w:pPr>
        <w:spacing w:after="240" w:line="240" w:lineRule="auto"/>
        <w:ind w:left="720" w:hanging="720"/>
        <w:jc w:val="both"/>
      </w:pPr>
      <w:r w:rsidRPr="00B7202B">
        <w:t xml:space="preserve">Cooper, M. J., </w:t>
      </w:r>
      <w:proofErr w:type="spellStart"/>
      <w:r w:rsidRPr="00B7202B">
        <w:t>Gulen</w:t>
      </w:r>
      <w:proofErr w:type="spellEnd"/>
      <w:r w:rsidRPr="00B7202B">
        <w:t xml:space="preserve">, H., &amp; </w:t>
      </w:r>
      <w:proofErr w:type="spellStart"/>
      <w:r w:rsidRPr="00B7202B">
        <w:t>Schill</w:t>
      </w:r>
      <w:proofErr w:type="spellEnd"/>
      <w:r w:rsidRPr="00B7202B">
        <w:t xml:space="preserve">, M. J. (2008). Asset Growth and the Cross-Section of Stock Returns. </w:t>
      </w:r>
      <w:r w:rsidRPr="00B7202B">
        <w:rPr>
          <w:i/>
          <w:iCs/>
        </w:rPr>
        <w:t xml:space="preserve">Journal of Finance </w:t>
      </w:r>
      <w:r w:rsidRPr="00B7202B">
        <w:t>63, 1609-1651.</w:t>
      </w:r>
    </w:p>
    <w:p w:rsidR="003415E7" w:rsidRPr="00B7202B" w:rsidRDefault="003415E7" w:rsidP="003415E7">
      <w:pPr>
        <w:spacing w:after="240" w:line="240" w:lineRule="auto"/>
        <w:ind w:left="720" w:hanging="720"/>
        <w:jc w:val="both"/>
      </w:pPr>
      <w:r w:rsidRPr="00B7202B">
        <w:t xml:space="preserve">Cooper, M. J., </w:t>
      </w:r>
      <w:proofErr w:type="spellStart"/>
      <w:r w:rsidRPr="00B7202B">
        <w:t>Gulen</w:t>
      </w:r>
      <w:proofErr w:type="spellEnd"/>
      <w:r w:rsidRPr="00B7202B">
        <w:t xml:space="preserve">, H., </w:t>
      </w:r>
      <w:proofErr w:type="spellStart"/>
      <w:r w:rsidRPr="00B7202B">
        <w:t>Schill</w:t>
      </w:r>
      <w:proofErr w:type="spellEnd"/>
      <w:r w:rsidRPr="00B7202B">
        <w:t xml:space="preserve">, M. J. (2008). Asset growth and the Cross-Section of stock returns. </w:t>
      </w:r>
      <w:r w:rsidRPr="00B7202B">
        <w:rPr>
          <w:i/>
          <w:iCs/>
        </w:rPr>
        <w:t xml:space="preserve">Journal of Finance </w:t>
      </w:r>
      <w:r w:rsidRPr="00B7202B">
        <w:t>63, 1609-1651.</w:t>
      </w:r>
    </w:p>
    <w:p w:rsidR="003415E7" w:rsidRPr="00B7202B" w:rsidRDefault="003415E7" w:rsidP="003415E7">
      <w:pPr>
        <w:spacing w:after="240" w:line="240" w:lineRule="auto"/>
        <w:ind w:left="720" w:hanging="720"/>
        <w:jc w:val="both"/>
      </w:pPr>
      <w:proofErr w:type="spellStart"/>
      <w:r w:rsidRPr="00B7202B">
        <w:t>Dalika</w:t>
      </w:r>
      <w:proofErr w:type="spellEnd"/>
      <w:r w:rsidRPr="00B7202B">
        <w:t xml:space="preserve">, N., &amp; </w:t>
      </w:r>
      <w:proofErr w:type="spellStart"/>
      <w:r w:rsidRPr="00B7202B">
        <w:t>Seetharam</w:t>
      </w:r>
      <w:proofErr w:type="spellEnd"/>
      <w:r w:rsidRPr="00B7202B">
        <w:t xml:space="preserve">, Y. (2015). Sentiment and Returns: an Analysis of Investor Sentiment in the South African market. </w:t>
      </w:r>
      <w:r w:rsidRPr="00B7202B">
        <w:rPr>
          <w:i/>
        </w:rPr>
        <w:t>Investment Management and Financial Innovations,</w:t>
      </w:r>
      <w:r w:rsidRPr="00B7202B">
        <w:t xml:space="preserve"> 12(1-2), 267-276</w:t>
      </w:r>
    </w:p>
    <w:p w:rsidR="003415E7" w:rsidRPr="00B7202B" w:rsidRDefault="003415E7" w:rsidP="003415E7">
      <w:pPr>
        <w:spacing w:after="240" w:line="240" w:lineRule="auto"/>
        <w:ind w:left="720" w:hanging="720"/>
        <w:jc w:val="both"/>
      </w:pPr>
      <w:r w:rsidRPr="00B7202B">
        <w:t xml:space="preserve">Engle, R. F., &amp; Granger, C.W.H. (1987), “Dynamic model specification with Equilibrium Constraint: co-integration and Error Correction, </w:t>
      </w:r>
      <w:proofErr w:type="spellStart"/>
      <w:r w:rsidRPr="00B7202B">
        <w:rPr>
          <w:i/>
          <w:iCs/>
        </w:rPr>
        <w:t>Econometrica</w:t>
      </w:r>
      <w:proofErr w:type="spellEnd"/>
      <w:r w:rsidRPr="00B7202B">
        <w:rPr>
          <w:i/>
          <w:iCs/>
        </w:rPr>
        <w:t xml:space="preserve"> </w:t>
      </w:r>
      <w:r w:rsidRPr="00B7202B">
        <w:t>55:251 – 276.</w:t>
      </w:r>
    </w:p>
    <w:p w:rsidR="003415E7" w:rsidRPr="00B7202B" w:rsidRDefault="003415E7" w:rsidP="003415E7">
      <w:pPr>
        <w:spacing w:after="240" w:line="240" w:lineRule="auto"/>
        <w:ind w:left="720" w:hanging="720"/>
        <w:jc w:val="both"/>
      </w:pPr>
      <w:r w:rsidRPr="00B7202B">
        <w:t>Field, A. (2009). Discovering statistics using SPSS, SAGE Publications Ltd, London.</w:t>
      </w:r>
    </w:p>
    <w:p w:rsidR="003415E7" w:rsidRPr="00B7202B" w:rsidRDefault="003415E7" w:rsidP="003415E7">
      <w:pPr>
        <w:spacing w:after="240" w:line="240" w:lineRule="auto"/>
        <w:jc w:val="both"/>
      </w:pPr>
      <w:r w:rsidRPr="00B7202B">
        <w:t xml:space="preserve">Gujarati, N.D. (2003). </w:t>
      </w:r>
      <w:r w:rsidRPr="00B7202B">
        <w:rPr>
          <w:i/>
        </w:rPr>
        <w:t>Basic Econometrics (</w:t>
      </w:r>
      <w:r w:rsidRPr="00B7202B">
        <w:t xml:space="preserve">4th Edition), </w:t>
      </w:r>
      <w:proofErr w:type="spellStart"/>
      <w:r w:rsidRPr="00B7202B">
        <w:t>NewYork</w:t>
      </w:r>
      <w:proofErr w:type="spellEnd"/>
      <w:r w:rsidRPr="00B7202B">
        <w:t xml:space="preserve">: </w:t>
      </w:r>
      <w:proofErr w:type="spellStart"/>
      <w:r w:rsidRPr="00B7202B">
        <w:t>Mcgraw</w:t>
      </w:r>
      <w:proofErr w:type="spellEnd"/>
      <w:r w:rsidRPr="00B7202B">
        <w:t xml:space="preserve"> Hill.</w:t>
      </w:r>
    </w:p>
    <w:p w:rsidR="003415E7" w:rsidRPr="00B7202B" w:rsidRDefault="003415E7" w:rsidP="00B7202B">
      <w:pPr>
        <w:autoSpaceDE w:val="0"/>
        <w:autoSpaceDN w:val="0"/>
        <w:adjustRightInd w:val="0"/>
        <w:spacing w:after="240" w:line="240" w:lineRule="auto"/>
        <w:ind w:left="720" w:hanging="720"/>
        <w:jc w:val="both"/>
      </w:pPr>
      <w:proofErr w:type="spellStart"/>
      <w:r w:rsidRPr="00B7202B">
        <w:t>Kilsgard</w:t>
      </w:r>
      <w:proofErr w:type="spellEnd"/>
      <w:r w:rsidRPr="00B7202B">
        <w:t xml:space="preserve">, D., &amp; </w:t>
      </w:r>
      <w:proofErr w:type="spellStart"/>
      <w:r w:rsidRPr="00B7202B">
        <w:t>Wittorf</w:t>
      </w:r>
      <w:proofErr w:type="spellEnd"/>
      <w:r w:rsidRPr="00B7202B">
        <w:t xml:space="preserve">, F. (2011). The </w:t>
      </w:r>
      <w:proofErr w:type="spellStart"/>
      <w:r w:rsidRPr="00B7202B">
        <w:t>Fama</w:t>
      </w:r>
      <w:proofErr w:type="spellEnd"/>
      <w:r w:rsidRPr="00B7202B">
        <w:t xml:space="preserve"> and French Three-Factor Model Vs. The Chen, </w:t>
      </w:r>
      <w:proofErr w:type="spellStart"/>
      <w:r w:rsidRPr="00B7202B">
        <w:t>Novy</w:t>
      </w:r>
      <w:proofErr w:type="spellEnd"/>
      <w:r w:rsidRPr="00B7202B">
        <w:t xml:space="preserve">-Marx and Zhang Three-Factor Model, </w:t>
      </w:r>
      <w:proofErr w:type="spellStart"/>
      <w:r w:rsidRPr="00B7202B">
        <w:t>Lunds</w:t>
      </w:r>
      <w:proofErr w:type="spellEnd"/>
      <w:r w:rsidRPr="00B7202B">
        <w:t xml:space="preserve"> University, UK.</w:t>
      </w:r>
    </w:p>
    <w:p w:rsidR="003415E7" w:rsidRPr="00B7202B" w:rsidRDefault="003415E7" w:rsidP="003415E7">
      <w:pPr>
        <w:spacing w:after="240" w:line="240" w:lineRule="auto"/>
        <w:ind w:left="720" w:hanging="720"/>
        <w:jc w:val="both"/>
      </w:pPr>
      <w:r w:rsidRPr="00B7202B">
        <w:t xml:space="preserve">Lee, C., &amp; </w:t>
      </w:r>
      <w:proofErr w:type="spellStart"/>
      <w:r w:rsidRPr="00B7202B">
        <w:t>Swaminathan</w:t>
      </w:r>
      <w:proofErr w:type="spellEnd"/>
      <w:r w:rsidRPr="00B7202B">
        <w:t xml:space="preserve">, B. (2002). Price Momentum and Trading Volume. </w:t>
      </w:r>
      <w:r w:rsidRPr="00B7202B">
        <w:rPr>
          <w:i/>
        </w:rPr>
        <w:t>Journal of Finance</w:t>
      </w:r>
      <w:r w:rsidRPr="00B7202B">
        <w:t>, 55, 2017-2069.</w:t>
      </w:r>
    </w:p>
    <w:p w:rsidR="003415E7" w:rsidRPr="00B7202B" w:rsidRDefault="003415E7" w:rsidP="003415E7">
      <w:pPr>
        <w:spacing w:after="240" w:line="240" w:lineRule="auto"/>
        <w:ind w:left="720" w:hanging="720"/>
        <w:jc w:val="both"/>
      </w:pPr>
      <w:r w:rsidRPr="00B7202B">
        <w:t xml:space="preserve">Lind, J., &amp; </w:t>
      </w:r>
      <w:proofErr w:type="spellStart"/>
      <w:r w:rsidRPr="00B7202B">
        <w:t>Sparre</w:t>
      </w:r>
      <w:proofErr w:type="spellEnd"/>
      <w:r w:rsidRPr="00B7202B">
        <w:t xml:space="preserve">, L. (2016). Investigating New Multi-Factor Models with Conditional Beta, </w:t>
      </w:r>
      <w:r w:rsidRPr="00B7202B">
        <w:rPr>
          <w:i/>
          <w:iCs/>
        </w:rPr>
        <w:t xml:space="preserve">Journal of Business and Economics, </w:t>
      </w:r>
      <w:r w:rsidRPr="00B7202B">
        <w:t>26(2), 22-29.</w:t>
      </w:r>
    </w:p>
    <w:p w:rsidR="003415E7" w:rsidRPr="00B7202B" w:rsidRDefault="003415E7" w:rsidP="003415E7">
      <w:pPr>
        <w:spacing w:after="240" w:line="240" w:lineRule="auto"/>
        <w:ind w:left="720" w:hanging="720"/>
        <w:jc w:val="both"/>
      </w:pPr>
      <w:r w:rsidRPr="00B7202B">
        <w:t>Narayan, P.K., (2005). The saving and investment nexus for China: evidence from co-integration tests. Appl. Econ. 37, 1979-1990).</w:t>
      </w:r>
    </w:p>
    <w:p w:rsidR="003415E7" w:rsidRPr="00B7202B" w:rsidRDefault="003415E7" w:rsidP="003415E7">
      <w:pPr>
        <w:autoSpaceDE w:val="0"/>
        <w:autoSpaceDN w:val="0"/>
        <w:adjustRightInd w:val="0"/>
        <w:spacing w:after="240" w:line="240" w:lineRule="auto"/>
        <w:ind w:left="720" w:hanging="720"/>
        <w:jc w:val="both"/>
        <w:rPr>
          <w:bCs/>
          <w:szCs w:val="32"/>
        </w:rPr>
      </w:pPr>
      <w:r w:rsidRPr="00B7202B">
        <w:rPr>
          <w:bCs/>
          <w:szCs w:val="32"/>
        </w:rPr>
        <w:t xml:space="preserve">Nguyen, N., </w:t>
      </w:r>
      <w:proofErr w:type="spellStart"/>
      <w:r w:rsidRPr="00B7202B">
        <w:rPr>
          <w:bCs/>
          <w:szCs w:val="32"/>
        </w:rPr>
        <w:t>Ulku</w:t>
      </w:r>
      <w:proofErr w:type="spellEnd"/>
      <w:r w:rsidRPr="00B7202B">
        <w:rPr>
          <w:bCs/>
          <w:szCs w:val="32"/>
        </w:rPr>
        <w:t xml:space="preserve">, N., &amp; Zhang, J. (2015), The </w:t>
      </w:r>
      <w:proofErr w:type="spellStart"/>
      <w:r w:rsidRPr="00B7202B">
        <w:rPr>
          <w:bCs/>
          <w:szCs w:val="32"/>
        </w:rPr>
        <w:t>Fama</w:t>
      </w:r>
      <w:proofErr w:type="spellEnd"/>
      <w:r w:rsidRPr="00B7202B">
        <w:rPr>
          <w:bCs/>
          <w:szCs w:val="32"/>
        </w:rPr>
        <w:t>-French five factor model: Evidence from Vietnam. New Zealand Finance Colloquium,1-29. Available from: http://www.nzfc.ac.nz/archives/2016/papers/ updated/49. [Last accessed on 2017 Apr 18].</w:t>
      </w:r>
    </w:p>
    <w:p w:rsidR="003415E7" w:rsidRPr="00B7202B" w:rsidRDefault="003415E7" w:rsidP="003415E7">
      <w:pPr>
        <w:spacing w:after="240" w:line="240" w:lineRule="auto"/>
        <w:ind w:left="720" w:hanging="720"/>
        <w:jc w:val="both"/>
      </w:pPr>
      <w:r w:rsidRPr="00B7202B">
        <w:t xml:space="preserve">Nyberg, P., &amp; </w:t>
      </w:r>
      <w:proofErr w:type="spellStart"/>
      <w:r w:rsidRPr="00B7202B">
        <w:t>Pöyry</w:t>
      </w:r>
      <w:proofErr w:type="spellEnd"/>
      <w:r w:rsidRPr="00B7202B">
        <w:t xml:space="preserve">, S. (2010). Firm Expansion and Stock Price Momentum. </w:t>
      </w:r>
      <w:r w:rsidRPr="00B7202B">
        <w:rPr>
          <w:i/>
        </w:rPr>
        <w:t>Working Paper,</w:t>
      </w:r>
      <w:r w:rsidRPr="00B7202B">
        <w:t xml:space="preserve"> Aalto University School of Economics.</w:t>
      </w:r>
    </w:p>
    <w:p w:rsidR="003415E7" w:rsidRPr="00B7202B" w:rsidRDefault="003415E7" w:rsidP="003415E7">
      <w:pPr>
        <w:spacing w:after="240" w:line="240" w:lineRule="auto"/>
        <w:ind w:left="720" w:hanging="720"/>
        <w:jc w:val="both"/>
      </w:pPr>
      <w:proofErr w:type="spellStart"/>
      <w:r w:rsidRPr="00B7202B">
        <w:t>Pesaran</w:t>
      </w:r>
      <w:proofErr w:type="spellEnd"/>
      <w:r w:rsidRPr="00B7202B">
        <w:t xml:space="preserve">, M.H., Shin, Y., Smith, R.J., 2001. Bounds testing approaches to the analysis of level relationships. </w:t>
      </w:r>
      <w:r w:rsidRPr="00B7202B">
        <w:rPr>
          <w:i/>
        </w:rPr>
        <w:t>J. Appl. Econ</w:t>
      </w:r>
      <w:r w:rsidRPr="00B7202B">
        <w:t>. 16, 289–326).</w:t>
      </w:r>
    </w:p>
    <w:p w:rsidR="003415E7" w:rsidRPr="00B7202B" w:rsidRDefault="003415E7" w:rsidP="003415E7">
      <w:pPr>
        <w:autoSpaceDE w:val="0"/>
        <w:autoSpaceDN w:val="0"/>
        <w:adjustRightInd w:val="0"/>
        <w:spacing w:after="240" w:line="240" w:lineRule="auto"/>
        <w:ind w:left="720" w:hangingChars="300" w:hanging="720"/>
        <w:jc w:val="both"/>
        <w:rPr>
          <w:sz w:val="22"/>
          <w:szCs w:val="22"/>
        </w:rPr>
      </w:pPr>
      <w:r w:rsidRPr="00B7202B">
        <w:t xml:space="preserve">Schmeling, M. (2009). Investor Sentiment and Stock Return: Some International Evidence. </w:t>
      </w:r>
      <w:r w:rsidRPr="00B7202B">
        <w:rPr>
          <w:i/>
          <w:iCs/>
        </w:rPr>
        <w:t>Journal of Empirical Finance</w:t>
      </w:r>
      <w:r w:rsidRPr="00B7202B">
        <w:t>, 16, 394-408</w:t>
      </w:r>
      <w:r w:rsidRPr="00B7202B">
        <w:rPr>
          <w:sz w:val="22"/>
          <w:szCs w:val="22"/>
        </w:rPr>
        <w:t>.</w:t>
      </w:r>
    </w:p>
    <w:p w:rsidR="003415E7" w:rsidRPr="00B7202B" w:rsidRDefault="003415E7" w:rsidP="003415E7">
      <w:pPr>
        <w:spacing w:after="240" w:line="240" w:lineRule="auto"/>
        <w:ind w:left="720" w:hanging="720"/>
        <w:jc w:val="both"/>
      </w:pPr>
      <w:r w:rsidRPr="00B7202B">
        <w:t xml:space="preserve">Tobin, J. (1969). A General Equilibrium Approach to Monetary Theory. </w:t>
      </w:r>
      <w:r w:rsidRPr="00B7202B">
        <w:rPr>
          <w:i/>
          <w:iCs/>
        </w:rPr>
        <w:t xml:space="preserve">Journal of Money, Credit and Banking </w:t>
      </w:r>
      <w:r w:rsidRPr="00B7202B">
        <w:t>1, 15-29.</w:t>
      </w:r>
    </w:p>
    <w:p w:rsidR="003415E7" w:rsidRPr="00B7202B" w:rsidRDefault="003415E7" w:rsidP="00B7202B">
      <w:pPr>
        <w:pStyle w:val="NoSpacing"/>
        <w:spacing w:after="240"/>
        <w:ind w:left="720" w:hanging="720"/>
        <w:jc w:val="both"/>
      </w:pPr>
      <w:r w:rsidRPr="00B7202B">
        <w:t xml:space="preserve">Tran, T., &amp; Nguyen, N. (2013). The effect of Investor Sentiment on Stock Returns, http://www.cbsnews.com/8301-505123_162-57458690/ Accessed 10.01.2018. </w:t>
      </w:r>
    </w:p>
    <w:p w:rsidR="003415E7" w:rsidRPr="00B7202B" w:rsidRDefault="003415E7" w:rsidP="003415E7">
      <w:pPr>
        <w:autoSpaceDE w:val="0"/>
        <w:autoSpaceDN w:val="0"/>
        <w:adjustRightInd w:val="0"/>
        <w:spacing w:after="240" w:line="240" w:lineRule="auto"/>
        <w:ind w:left="810" w:hanging="810"/>
      </w:pPr>
      <w:r w:rsidRPr="00B7202B">
        <w:t>Yao, T., Yu, T., Zhang, T., &amp; Chen, S. (2017). Asset Growth and Stock Returns: Evidence from Asian Financial Markets. Working paper, University of Iowa.</w:t>
      </w:r>
    </w:p>
    <w:p w:rsidR="003415E7" w:rsidRDefault="003415E7" w:rsidP="003415E7">
      <w:pPr>
        <w:spacing w:after="240" w:line="240" w:lineRule="auto"/>
        <w:ind w:left="720" w:hanging="720"/>
        <w:jc w:val="both"/>
      </w:pPr>
    </w:p>
    <w:sectPr w:rsidR="003415E7" w:rsidSect="00A00C04">
      <w:headerReference w:type="default" r:id="rId8"/>
      <w:footerReference w:type="default" r:id="rId9"/>
      <w:pgSz w:w="11906" w:h="16838"/>
      <w:pgMar w:top="1440" w:right="1440" w:bottom="1440" w:left="144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673" w:rsidRDefault="00E13673">
      <w:pPr>
        <w:spacing w:after="0" w:line="240" w:lineRule="auto"/>
      </w:pPr>
      <w:r>
        <w:separator/>
      </w:r>
    </w:p>
  </w:endnote>
  <w:endnote w:type="continuationSeparator" w:id="0">
    <w:p w:rsidR="00E13673" w:rsidRDefault="00E1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IDFont+F2">
    <w:altName w:val="MS Gothic"/>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00000003" w:usb1="00000000" w:usb2="00000000" w:usb3="00000000" w:csb0="00000001" w:csb1="00000000"/>
  </w:font>
  <w:font w:name="Times-Roman">
    <w:altName w:val="Times New Roman"/>
    <w:charset w:val="00"/>
    <w:family w:val="roman"/>
    <w:notTrueType/>
    <w:pitch w:val="default"/>
    <w:sig w:usb0="00000003" w:usb1="00000000" w:usb2="00000000" w:usb3="00000000" w:csb0="00000001" w:csb1="00000000"/>
  </w:font>
  <w:font w:name="LiberationSerif">
    <w:altName w:val="MS Gothic"/>
    <w:charset w:val="80"/>
    <w:family w:val="auto"/>
    <w:notTrueType/>
    <w:pitch w:val="default"/>
    <w:sig w:usb0="00000001" w:usb1="08070000" w:usb2="00000010" w:usb3="00000000" w:csb0="00020000" w:csb1="00000000"/>
  </w:font>
  <w:font w:name="AdvOT8cb2ddbd">
    <w:altName w:val="Cambria"/>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B36" w:rsidRDefault="005A6B36">
    <w:pPr>
      <w:pStyle w:val="Footer"/>
      <w:spacing w:line="360" w:lineRule="auto"/>
      <w:jc w:val="center"/>
    </w:pPr>
    <w:r>
      <w:fldChar w:fldCharType="begin"/>
    </w:r>
    <w:r>
      <w:instrText xml:space="preserve"> PAGE   \* MERGEFORMAT </w:instrText>
    </w:r>
    <w:r>
      <w:fldChar w:fldCharType="separate"/>
    </w:r>
    <w:r w:rsidR="00C25546">
      <w:rPr>
        <w:noProof/>
      </w:rPr>
      <w:t>4</w:t>
    </w:r>
    <w:r>
      <w:fldChar w:fldCharType="end"/>
    </w:r>
  </w:p>
  <w:p w:rsidR="005A6B36" w:rsidRDefault="005A6B36" w:rsidP="00A40A5A">
    <w:pPr>
      <w:pStyle w:val="Footer"/>
      <w:tabs>
        <w:tab w:val="clear" w:pos="9072"/>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673" w:rsidRDefault="00E13673">
      <w:pPr>
        <w:spacing w:after="0" w:line="240" w:lineRule="auto"/>
      </w:pPr>
      <w:r>
        <w:separator/>
      </w:r>
    </w:p>
  </w:footnote>
  <w:footnote w:type="continuationSeparator" w:id="0">
    <w:p w:rsidR="00E13673" w:rsidRDefault="00E1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B36" w:rsidRDefault="005A6B36">
    <w:pPr>
      <w:pStyle w:val="Header"/>
      <w:spacing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738C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3"/>
    <w:multiLevelType w:val="multilevel"/>
    <w:tmpl w:val="4086CEB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0000015"/>
    <w:multiLevelType w:val="hybridMultilevel"/>
    <w:tmpl w:val="5CEE9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8D3680"/>
    <w:multiLevelType w:val="multilevel"/>
    <w:tmpl w:val="06B82DC6"/>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4" w15:restartNumberingAfterBreak="0">
    <w:nsid w:val="020F195B"/>
    <w:multiLevelType w:val="hybridMultilevel"/>
    <w:tmpl w:val="D0B068CE"/>
    <w:lvl w:ilvl="0" w:tplc="FEB4E858">
      <w:start w:val="1"/>
      <w:numFmt w:val="decimal"/>
      <w:lvlText w:val="%1."/>
      <w:lvlJc w:val="left"/>
      <w:pPr>
        <w:ind w:left="360" w:hanging="360"/>
      </w:pPr>
    </w:lvl>
    <w:lvl w:ilvl="1" w:tplc="400220A8">
      <w:start w:val="1"/>
      <w:numFmt w:val="lowerLetter"/>
      <w:lvlText w:val="%2."/>
      <w:lvlJc w:val="left"/>
      <w:pPr>
        <w:ind w:left="1080" w:hanging="360"/>
      </w:pPr>
    </w:lvl>
    <w:lvl w:ilvl="2" w:tplc="0F6635E8">
      <w:start w:val="1"/>
      <w:numFmt w:val="lowerRoman"/>
      <w:lvlText w:val="%3."/>
      <w:lvlJc w:val="right"/>
      <w:pPr>
        <w:ind w:left="1800" w:hanging="180"/>
      </w:pPr>
    </w:lvl>
    <w:lvl w:ilvl="3" w:tplc="6D54BE70">
      <w:start w:val="1"/>
      <w:numFmt w:val="decimal"/>
      <w:lvlText w:val="%4."/>
      <w:lvlJc w:val="left"/>
      <w:pPr>
        <w:ind w:left="2520" w:hanging="360"/>
      </w:pPr>
    </w:lvl>
    <w:lvl w:ilvl="4" w:tplc="74288048">
      <w:start w:val="1"/>
      <w:numFmt w:val="lowerLetter"/>
      <w:lvlText w:val="%5."/>
      <w:lvlJc w:val="left"/>
      <w:pPr>
        <w:ind w:left="3240" w:hanging="360"/>
      </w:pPr>
    </w:lvl>
    <w:lvl w:ilvl="5" w:tplc="A91E7B3A">
      <w:start w:val="1"/>
      <w:numFmt w:val="lowerRoman"/>
      <w:lvlText w:val="%6."/>
      <w:lvlJc w:val="right"/>
      <w:pPr>
        <w:ind w:left="3960" w:hanging="180"/>
      </w:pPr>
    </w:lvl>
    <w:lvl w:ilvl="6" w:tplc="EA2E8CEA">
      <w:start w:val="1"/>
      <w:numFmt w:val="decimal"/>
      <w:lvlText w:val="%7."/>
      <w:lvlJc w:val="left"/>
      <w:pPr>
        <w:ind w:left="4680" w:hanging="360"/>
      </w:pPr>
    </w:lvl>
    <w:lvl w:ilvl="7" w:tplc="636CC4A2">
      <w:start w:val="1"/>
      <w:numFmt w:val="lowerLetter"/>
      <w:lvlText w:val="%8."/>
      <w:lvlJc w:val="left"/>
      <w:pPr>
        <w:ind w:left="5400" w:hanging="360"/>
      </w:pPr>
    </w:lvl>
    <w:lvl w:ilvl="8" w:tplc="F3EEA97C">
      <w:start w:val="1"/>
      <w:numFmt w:val="lowerRoman"/>
      <w:lvlText w:val="%9."/>
      <w:lvlJc w:val="right"/>
      <w:pPr>
        <w:ind w:left="6120" w:hanging="180"/>
      </w:pPr>
    </w:lvl>
  </w:abstractNum>
  <w:abstractNum w:abstractNumId="5" w15:restartNumberingAfterBreak="0">
    <w:nsid w:val="07B55AC9"/>
    <w:multiLevelType w:val="hybridMultilevel"/>
    <w:tmpl w:val="3578BAFE"/>
    <w:lvl w:ilvl="0" w:tplc="54C215C6">
      <w:start w:val="1"/>
      <w:numFmt w:val="bullet"/>
      <w:lvlText w:val=""/>
      <w:lvlJc w:val="left"/>
      <w:pPr>
        <w:ind w:left="360" w:hanging="360"/>
      </w:pPr>
      <w:rPr>
        <w:rFonts w:ascii="Symbol" w:hAnsi="Symbol"/>
      </w:rPr>
    </w:lvl>
    <w:lvl w:ilvl="1" w:tplc="AAE811FA">
      <w:start w:val="1"/>
      <w:numFmt w:val="bullet"/>
      <w:lvlText w:val="o"/>
      <w:lvlJc w:val="left"/>
      <w:pPr>
        <w:ind w:left="1080" w:hanging="360"/>
      </w:pPr>
      <w:rPr>
        <w:rFonts w:ascii="Courier New" w:hAnsi="Courier New" w:cs="Courier New"/>
      </w:rPr>
    </w:lvl>
    <w:lvl w:ilvl="2" w:tplc="E03AB7A8">
      <w:start w:val="1"/>
      <w:numFmt w:val="bullet"/>
      <w:lvlText w:val=""/>
      <w:lvlJc w:val="left"/>
      <w:pPr>
        <w:ind w:left="1800" w:hanging="360"/>
      </w:pPr>
      <w:rPr>
        <w:rFonts w:ascii="Wingdings" w:hAnsi="Wingdings"/>
      </w:rPr>
    </w:lvl>
    <w:lvl w:ilvl="3" w:tplc="1DBE88CC">
      <w:start w:val="1"/>
      <w:numFmt w:val="bullet"/>
      <w:lvlText w:val=""/>
      <w:lvlJc w:val="left"/>
      <w:pPr>
        <w:ind w:left="2520" w:hanging="360"/>
      </w:pPr>
      <w:rPr>
        <w:rFonts w:ascii="Symbol" w:hAnsi="Symbol"/>
      </w:rPr>
    </w:lvl>
    <w:lvl w:ilvl="4" w:tplc="7C7AE238">
      <w:start w:val="1"/>
      <w:numFmt w:val="bullet"/>
      <w:lvlText w:val="o"/>
      <w:lvlJc w:val="left"/>
      <w:pPr>
        <w:ind w:left="3240" w:hanging="360"/>
      </w:pPr>
      <w:rPr>
        <w:rFonts w:ascii="Courier New" w:hAnsi="Courier New" w:cs="Courier New"/>
      </w:rPr>
    </w:lvl>
    <w:lvl w:ilvl="5" w:tplc="25548780">
      <w:start w:val="1"/>
      <w:numFmt w:val="bullet"/>
      <w:lvlText w:val=""/>
      <w:lvlJc w:val="left"/>
      <w:pPr>
        <w:ind w:left="3960" w:hanging="360"/>
      </w:pPr>
      <w:rPr>
        <w:rFonts w:ascii="Wingdings" w:hAnsi="Wingdings"/>
      </w:rPr>
    </w:lvl>
    <w:lvl w:ilvl="6" w:tplc="AC92CCF2">
      <w:start w:val="1"/>
      <w:numFmt w:val="bullet"/>
      <w:lvlText w:val=""/>
      <w:lvlJc w:val="left"/>
      <w:pPr>
        <w:ind w:left="4680" w:hanging="360"/>
      </w:pPr>
      <w:rPr>
        <w:rFonts w:ascii="Symbol" w:hAnsi="Symbol"/>
      </w:rPr>
    </w:lvl>
    <w:lvl w:ilvl="7" w:tplc="0AA0ED18">
      <w:start w:val="1"/>
      <w:numFmt w:val="bullet"/>
      <w:lvlText w:val="o"/>
      <w:lvlJc w:val="left"/>
      <w:pPr>
        <w:ind w:left="5400" w:hanging="360"/>
      </w:pPr>
      <w:rPr>
        <w:rFonts w:ascii="Courier New" w:hAnsi="Courier New" w:cs="Courier New"/>
      </w:rPr>
    </w:lvl>
    <w:lvl w:ilvl="8" w:tplc="5550705C">
      <w:start w:val="1"/>
      <w:numFmt w:val="bullet"/>
      <w:lvlText w:val=""/>
      <w:lvlJc w:val="left"/>
      <w:pPr>
        <w:ind w:left="6120" w:hanging="360"/>
      </w:pPr>
      <w:rPr>
        <w:rFonts w:ascii="Wingdings" w:hAnsi="Wingdings"/>
      </w:rPr>
    </w:lvl>
  </w:abstractNum>
  <w:abstractNum w:abstractNumId="6" w15:restartNumberingAfterBreak="0">
    <w:nsid w:val="0B741C5D"/>
    <w:multiLevelType w:val="hybridMultilevel"/>
    <w:tmpl w:val="CD64083A"/>
    <w:lvl w:ilvl="0" w:tplc="3352246C">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020"/>
    <w:multiLevelType w:val="multilevel"/>
    <w:tmpl w:val="F0D84F9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193058"/>
    <w:multiLevelType w:val="hybridMultilevel"/>
    <w:tmpl w:val="CD84F28A"/>
    <w:lvl w:ilvl="0" w:tplc="A692ADCA">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86831"/>
    <w:multiLevelType w:val="multilevel"/>
    <w:tmpl w:val="BFC8E454"/>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1E29424B"/>
    <w:multiLevelType w:val="hybridMultilevel"/>
    <w:tmpl w:val="F858E25C"/>
    <w:lvl w:ilvl="0" w:tplc="E836FEE4">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F2528"/>
    <w:multiLevelType w:val="hybridMultilevel"/>
    <w:tmpl w:val="28BE8E62"/>
    <w:lvl w:ilvl="0" w:tplc="76088888">
      <w:start w:val="1"/>
      <w:numFmt w:val="bullet"/>
      <w:lvlText w:val=""/>
      <w:lvlJc w:val="left"/>
      <w:pPr>
        <w:ind w:left="780" w:hanging="360"/>
      </w:pPr>
      <w:rPr>
        <w:rFonts w:ascii="Wingdings" w:eastAsia="SimSun" w:hAnsi="Wingdings" w:cs="SimSu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FE4132E"/>
    <w:multiLevelType w:val="multilevel"/>
    <w:tmpl w:val="1B6AFD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E54A37"/>
    <w:multiLevelType w:val="hybridMultilevel"/>
    <w:tmpl w:val="61BAB9D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34179"/>
    <w:multiLevelType w:val="multilevel"/>
    <w:tmpl w:val="03CCF63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5C4E9D"/>
    <w:multiLevelType w:val="hybridMultilevel"/>
    <w:tmpl w:val="F92CAB00"/>
    <w:lvl w:ilvl="0" w:tplc="48B263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D16C2"/>
    <w:multiLevelType w:val="multilevel"/>
    <w:tmpl w:val="6C84743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C0F500B"/>
    <w:multiLevelType w:val="hybridMultilevel"/>
    <w:tmpl w:val="44A494C2"/>
    <w:lvl w:ilvl="0" w:tplc="C380894A">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17A"/>
    <w:multiLevelType w:val="hybridMultilevel"/>
    <w:tmpl w:val="C668090A"/>
    <w:lvl w:ilvl="0" w:tplc="48BA6EF2">
      <w:start w:val="1"/>
      <w:numFmt w:val="decimal"/>
      <w:lvlText w:val="%1."/>
      <w:lvlJc w:val="left"/>
      <w:pPr>
        <w:ind w:left="360" w:hanging="360"/>
      </w:pPr>
      <w:rPr>
        <w:rFonts w:ascii="Arial" w:hAnsi="Arial" w:cs="Arial" w:hint="default"/>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841FF5"/>
    <w:multiLevelType w:val="hybridMultilevel"/>
    <w:tmpl w:val="48FA1A1A"/>
    <w:lvl w:ilvl="0" w:tplc="AC282C32">
      <w:start w:val="1"/>
      <w:numFmt w:val="bullet"/>
      <w:lvlText w:val=""/>
      <w:lvlJc w:val="left"/>
      <w:pPr>
        <w:ind w:left="360" w:hanging="360"/>
      </w:pPr>
      <w:rPr>
        <w:rFonts w:ascii="Symbol" w:hAnsi="Symbol"/>
      </w:rPr>
    </w:lvl>
    <w:lvl w:ilvl="1" w:tplc="F40AE948">
      <w:start w:val="1"/>
      <w:numFmt w:val="bullet"/>
      <w:lvlText w:val="o"/>
      <w:lvlJc w:val="left"/>
      <w:pPr>
        <w:ind w:left="1080" w:hanging="360"/>
      </w:pPr>
      <w:rPr>
        <w:rFonts w:ascii="Courier New" w:hAnsi="Courier New" w:cs="Courier New"/>
      </w:rPr>
    </w:lvl>
    <w:lvl w:ilvl="2" w:tplc="21DE8AAE">
      <w:start w:val="1"/>
      <w:numFmt w:val="bullet"/>
      <w:lvlText w:val=""/>
      <w:lvlJc w:val="left"/>
      <w:pPr>
        <w:ind w:left="1800" w:hanging="360"/>
      </w:pPr>
      <w:rPr>
        <w:rFonts w:ascii="Wingdings" w:hAnsi="Wingdings"/>
      </w:rPr>
    </w:lvl>
    <w:lvl w:ilvl="3" w:tplc="966C3460">
      <w:start w:val="1"/>
      <w:numFmt w:val="bullet"/>
      <w:lvlText w:val=""/>
      <w:lvlJc w:val="left"/>
      <w:pPr>
        <w:ind w:left="2520" w:hanging="360"/>
      </w:pPr>
      <w:rPr>
        <w:rFonts w:ascii="Symbol" w:hAnsi="Symbol"/>
      </w:rPr>
    </w:lvl>
    <w:lvl w:ilvl="4" w:tplc="BFEA2570">
      <w:start w:val="1"/>
      <w:numFmt w:val="bullet"/>
      <w:lvlText w:val="o"/>
      <w:lvlJc w:val="left"/>
      <w:pPr>
        <w:ind w:left="3240" w:hanging="360"/>
      </w:pPr>
      <w:rPr>
        <w:rFonts w:ascii="Courier New" w:hAnsi="Courier New" w:cs="Courier New"/>
      </w:rPr>
    </w:lvl>
    <w:lvl w:ilvl="5" w:tplc="8D5EEF86">
      <w:start w:val="1"/>
      <w:numFmt w:val="bullet"/>
      <w:lvlText w:val=""/>
      <w:lvlJc w:val="left"/>
      <w:pPr>
        <w:ind w:left="3960" w:hanging="360"/>
      </w:pPr>
      <w:rPr>
        <w:rFonts w:ascii="Wingdings" w:hAnsi="Wingdings"/>
      </w:rPr>
    </w:lvl>
    <w:lvl w:ilvl="6" w:tplc="7C0E83AC">
      <w:start w:val="1"/>
      <w:numFmt w:val="bullet"/>
      <w:lvlText w:val=""/>
      <w:lvlJc w:val="left"/>
      <w:pPr>
        <w:ind w:left="4680" w:hanging="360"/>
      </w:pPr>
      <w:rPr>
        <w:rFonts w:ascii="Symbol" w:hAnsi="Symbol"/>
      </w:rPr>
    </w:lvl>
    <w:lvl w:ilvl="7" w:tplc="06041E9E">
      <w:start w:val="1"/>
      <w:numFmt w:val="bullet"/>
      <w:lvlText w:val="o"/>
      <w:lvlJc w:val="left"/>
      <w:pPr>
        <w:ind w:left="5400" w:hanging="360"/>
      </w:pPr>
      <w:rPr>
        <w:rFonts w:ascii="Courier New" w:hAnsi="Courier New" w:cs="Courier New"/>
      </w:rPr>
    </w:lvl>
    <w:lvl w:ilvl="8" w:tplc="E3A03624">
      <w:start w:val="1"/>
      <w:numFmt w:val="bullet"/>
      <w:lvlText w:val=""/>
      <w:lvlJc w:val="left"/>
      <w:pPr>
        <w:ind w:left="6120" w:hanging="360"/>
      </w:pPr>
      <w:rPr>
        <w:rFonts w:ascii="Wingdings" w:hAnsi="Wingdings"/>
      </w:rPr>
    </w:lvl>
  </w:abstractNum>
  <w:abstractNum w:abstractNumId="20" w15:restartNumberingAfterBreak="0">
    <w:nsid w:val="43222E25"/>
    <w:multiLevelType w:val="hybridMultilevel"/>
    <w:tmpl w:val="7C429630"/>
    <w:lvl w:ilvl="0" w:tplc="175C833E">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C6931"/>
    <w:multiLevelType w:val="multilevel"/>
    <w:tmpl w:val="96EC59D2"/>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AAA2B08"/>
    <w:multiLevelType w:val="multilevel"/>
    <w:tmpl w:val="790E9B5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CA6438F"/>
    <w:multiLevelType w:val="hybridMultilevel"/>
    <w:tmpl w:val="D376F39C"/>
    <w:lvl w:ilvl="0" w:tplc="DC1254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55160"/>
    <w:multiLevelType w:val="hybridMultilevel"/>
    <w:tmpl w:val="E050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E00C5"/>
    <w:multiLevelType w:val="hybridMultilevel"/>
    <w:tmpl w:val="589E04E8"/>
    <w:lvl w:ilvl="0" w:tplc="707CB1A2">
      <w:start w:val="1"/>
      <w:numFmt w:val="decimal"/>
      <w:lvlText w:val="%1."/>
      <w:lvlJc w:val="left"/>
      <w:pPr>
        <w:ind w:left="360" w:hanging="360"/>
      </w:pPr>
    </w:lvl>
    <w:lvl w:ilvl="1" w:tplc="35E29800">
      <w:start w:val="1"/>
      <w:numFmt w:val="lowerLetter"/>
      <w:lvlText w:val="%2."/>
      <w:lvlJc w:val="left"/>
      <w:pPr>
        <w:ind w:left="1080" w:hanging="360"/>
      </w:pPr>
    </w:lvl>
    <w:lvl w:ilvl="2" w:tplc="CCD491A0">
      <w:start w:val="1"/>
      <w:numFmt w:val="lowerRoman"/>
      <w:lvlText w:val="%3."/>
      <w:lvlJc w:val="right"/>
      <w:pPr>
        <w:ind w:left="1800" w:hanging="180"/>
      </w:pPr>
    </w:lvl>
    <w:lvl w:ilvl="3" w:tplc="1026CBD4">
      <w:start w:val="1"/>
      <w:numFmt w:val="decimal"/>
      <w:lvlText w:val="%4."/>
      <w:lvlJc w:val="left"/>
      <w:pPr>
        <w:ind w:left="2520" w:hanging="360"/>
      </w:pPr>
    </w:lvl>
    <w:lvl w:ilvl="4" w:tplc="23C48B74">
      <w:start w:val="1"/>
      <w:numFmt w:val="lowerLetter"/>
      <w:lvlText w:val="%5."/>
      <w:lvlJc w:val="left"/>
      <w:pPr>
        <w:ind w:left="3240" w:hanging="360"/>
      </w:pPr>
    </w:lvl>
    <w:lvl w:ilvl="5" w:tplc="42041A86">
      <w:start w:val="1"/>
      <w:numFmt w:val="lowerRoman"/>
      <w:lvlText w:val="%6."/>
      <w:lvlJc w:val="right"/>
      <w:pPr>
        <w:ind w:left="3960" w:hanging="180"/>
      </w:pPr>
    </w:lvl>
    <w:lvl w:ilvl="6" w:tplc="F3C8EB84">
      <w:start w:val="1"/>
      <w:numFmt w:val="decimal"/>
      <w:lvlText w:val="%7."/>
      <w:lvlJc w:val="left"/>
      <w:pPr>
        <w:ind w:left="4680" w:hanging="360"/>
      </w:pPr>
    </w:lvl>
    <w:lvl w:ilvl="7" w:tplc="CCCE9472">
      <w:start w:val="1"/>
      <w:numFmt w:val="lowerLetter"/>
      <w:lvlText w:val="%8."/>
      <w:lvlJc w:val="left"/>
      <w:pPr>
        <w:ind w:left="5400" w:hanging="360"/>
      </w:pPr>
    </w:lvl>
    <w:lvl w:ilvl="8" w:tplc="481A83CC">
      <w:start w:val="1"/>
      <w:numFmt w:val="lowerRoman"/>
      <w:lvlText w:val="%9."/>
      <w:lvlJc w:val="right"/>
      <w:pPr>
        <w:ind w:left="6120" w:hanging="180"/>
      </w:pPr>
    </w:lvl>
  </w:abstractNum>
  <w:abstractNum w:abstractNumId="26" w15:restartNumberingAfterBreak="0">
    <w:nsid w:val="52733C0C"/>
    <w:multiLevelType w:val="hybridMultilevel"/>
    <w:tmpl w:val="D110FB04"/>
    <w:lvl w:ilvl="0" w:tplc="8D4C1EAC">
      <w:start w:val="1"/>
      <w:numFmt w:val="lowerRoman"/>
      <w:lvlText w:val="%1."/>
      <w:lvlJc w:val="right"/>
      <w:pPr>
        <w:ind w:left="720" w:hanging="360"/>
      </w:pPr>
    </w:lvl>
    <w:lvl w:ilvl="1" w:tplc="120C9B3E">
      <w:start w:val="1"/>
      <w:numFmt w:val="lowerLetter"/>
      <w:lvlText w:val="%2."/>
      <w:lvlJc w:val="left"/>
      <w:pPr>
        <w:ind w:left="1440" w:hanging="360"/>
      </w:pPr>
    </w:lvl>
    <w:lvl w:ilvl="2" w:tplc="1B18CA76">
      <w:start w:val="1"/>
      <w:numFmt w:val="lowerRoman"/>
      <w:lvlText w:val="%3."/>
      <w:lvlJc w:val="right"/>
      <w:pPr>
        <w:ind w:left="2160" w:hanging="180"/>
      </w:pPr>
    </w:lvl>
    <w:lvl w:ilvl="3" w:tplc="AFFA85FE">
      <w:start w:val="1"/>
      <w:numFmt w:val="decimal"/>
      <w:lvlText w:val="%4."/>
      <w:lvlJc w:val="left"/>
      <w:pPr>
        <w:ind w:left="2880" w:hanging="360"/>
      </w:pPr>
    </w:lvl>
    <w:lvl w:ilvl="4" w:tplc="C2385D18">
      <w:start w:val="1"/>
      <w:numFmt w:val="lowerLetter"/>
      <w:lvlText w:val="%5."/>
      <w:lvlJc w:val="left"/>
      <w:pPr>
        <w:ind w:left="3600" w:hanging="360"/>
      </w:pPr>
    </w:lvl>
    <w:lvl w:ilvl="5" w:tplc="E42ABE12">
      <w:start w:val="1"/>
      <w:numFmt w:val="lowerRoman"/>
      <w:lvlText w:val="%6."/>
      <w:lvlJc w:val="right"/>
      <w:pPr>
        <w:ind w:left="4320" w:hanging="180"/>
      </w:pPr>
    </w:lvl>
    <w:lvl w:ilvl="6" w:tplc="37FC2A32">
      <w:start w:val="1"/>
      <w:numFmt w:val="decimal"/>
      <w:lvlText w:val="%7."/>
      <w:lvlJc w:val="left"/>
      <w:pPr>
        <w:ind w:left="5040" w:hanging="360"/>
      </w:pPr>
    </w:lvl>
    <w:lvl w:ilvl="7" w:tplc="1DB85BCC">
      <w:start w:val="1"/>
      <w:numFmt w:val="lowerLetter"/>
      <w:lvlText w:val="%8."/>
      <w:lvlJc w:val="left"/>
      <w:pPr>
        <w:ind w:left="5760" w:hanging="360"/>
      </w:pPr>
    </w:lvl>
    <w:lvl w:ilvl="8" w:tplc="066222C8">
      <w:start w:val="1"/>
      <w:numFmt w:val="lowerRoman"/>
      <w:lvlText w:val="%9."/>
      <w:lvlJc w:val="right"/>
      <w:pPr>
        <w:ind w:left="6480" w:hanging="180"/>
      </w:pPr>
    </w:lvl>
  </w:abstractNum>
  <w:abstractNum w:abstractNumId="27" w15:restartNumberingAfterBreak="0">
    <w:nsid w:val="56960EE4"/>
    <w:multiLevelType w:val="multilevel"/>
    <w:tmpl w:val="C1B01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F50039"/>
    <w:multiLevelType w:val="hybridMultilevel"/>
    <w:tmpl w:val="2656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C2EB8"/>
    <w:multiLevelType w:val="hybridMultilevel"/>
    <w:tmpl w:val="C14E4AAE"/>
    <w:lvl w:ilvl="0" w:tplc="91887A64">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837A6"/>
    <w:multiLevelType w:val="hybridMultilevel"/>
    <w:tmpl w:val="C76C18C4"/>
    <w:lvl w:ilvl="0" w:tplc="EDF67674">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C2AAA"/>
    <w:multiLevelType w:val="multilevel"/>
    <w:tmpl w:val="F27E57CA"/>
    <w:lvl w:ilvl="0">
      <w:start w:val="6"/>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6D8B30BA"/>
    <w:multiLevelType w:val="hybridMultilevel"/>
    <w:tmpl w:val="A0847DAE"/>
    <w:lvl w:ilvl="0" w:tplc="1D521582">
      <w:start w:val="1"/>
      <w:numFmt w:val="decimal"/>
      <w:lvlText w:val="(%1)"/>
      <w:lvlJc w:val="left"/>
      <w:pPr>
        <w:ind w:left="720" w:hanging="360"/>
      </w:pPr>
      <w:rPr>
        <w:rFonts w:ascii="Arial" w:eastAsiaTheme="minorHAnsi"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7033B"/>
    <w:multiLevelType w:val="hybridMultilevel"/>
    <w:tmpl w:val="2F84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427994"/>
    <w:multiLevelType w:val="hybridMultilevel"/>
    <w:tmpl w:val="76EE21F4"/>
    <w:lvl w:ilvl="0" w:tplc="439E82AC">
      <w:start w:val="1"/>
      <w:numFmt w:val="bullet"/>
      <w:lvlText w:val=""/>
      <w:lvlJc w:val="left"/>
      <w:pPr>
        <w:ind w:left="420" w:hanging="360"/>
      </w:pPr>
      <w:rPr>
        <w:rFonts w:ascii="Wingdings" w:eastAsia="Calibr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6"/>
  </w:num>
  <w:num w:numId="2">
    <w:abstractNumId w:val="5"/>
  </w:num>
  <w:num w:numId="3">
    <w:abstractNumId w:val="3"/>
  </w:num>
  <w:num w:numId="4">
    <w:abstractNumId w:val="19"/>
  </w:num>
  <w:num w:numId="5">
    <w:abstractNumId w:val="4"/>
  </w:num>
  <w:num w:numId="6">
    <w:abstractNumId w:val="25"/>
  </w:num>
  <w:num w:numId="7">
    <w:abstractNumId w:val="16"/>
  </w:num>
  <w:num w:numId="8">
    <w:abstractNumId w:val="0"/>
  </w:num>
  <w:num w:numId="9">
    <w:abstractNumId w:val="1"/>
  </w:num>
  <w:num w:numId="10">
    <w:abstractNumId w:val="2"/>
  </w:num>
  <w:num w:numId="11">
    <w:abstractNumId w:val="27"/>
  </w:num>
  <w:num w:numId="12">
    <w:abstractNumId w:val="15"/>
  </w:num>
  <w:num w:numId="13">
    <w:abstractNumId w:val="17"/>
  </w:num>
  <w:num w:numId="14">
    <w:abstractNumId w:val="32"/>
  </w:num>
  <w:num w:numId="15">
    <w:abstractNumId w:val="10"/>
  </w:num>
  <w:num w:numId="16">
    <w:abstractNumId w:val="8"/>
  </w:num>
  <w:num w:numId="17">
    <w:abstractNumId w:val="20"/>
  </w:num>
  <w:num w:numId="18">
    <w:abstractNumId w:val="29"/>
  </w:num>
  <w:num w:numId="19">
    <w:abstractNumId w:val="30"/>
  </w:num>
  <w:num w:numId="20">
    <w:abstractNumId w:val="6"/>
  </w:num>
  <w:num w:numId="21">
    <w:abstractNumId w:val="18"/>
  </w:num>
  <w:num w:numId="22">
    <w:abstractNumId w:val="33"/>
  </w:num>
  <w:num w:numId="23">
    <w:abstractNumId w:val="24"/>
  </w:num>
  <w:num w:numId="24">
    <w:abstractNumId w:val="28"/>
  </w:num>
  <w:num w:numId="25">
    <w:abstractNumId w:val="22"/>
  </w:num>
  <w:num w:numId="26">
    <w:abstractNumId w:val="23"/>
  </w:num>
  <w:num w:numId="27">
    <w:abstractNumId w:val="13"/>
  </w:num>
  <w:num w:numId="28">
    <w:abstractNumId w:val="12"/>
  </w:num>
  <w:num w:numId="29">
    <w:abstractNumId w:val="7"/>
  </w:num>
  <w:num w:numId="30">
    <w:abstractNumId w:val="21"/>
  </w:num>
  <w:num w:numId="31">
    <w:abstractNumId w:val="9"/>
  </w:num>
  <w:num w:numId="32">
    <w:abstractNumId w:val="14"/>
  </w:num>
  <w:num w:numId="33">
    <w:abstractNumId w:val="31"/>
  </w:num>
  <w:num w:numId="34">
    <w:abstractNumId w:val="3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hideSpelling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NzAzMTG3NLY0MTVW0lEKTi0uzszPAykwqgUAf7+zkSwAAAA="/>
  </w:docVars>
  <w:rsids>
    <w:rsidRoot w:val="00BC4F2E"/>
    <w:rsid w:val="00000100"/>
    <w:rsid w:val="000009B3"/>
    <w:rsid w:val="00001102"/>
    <w:rsid w:val="00002D56"/>
    <w:rsid w:val="00002DFF"/>
    <w:rsid w:val="000040F5"/>
    <w:rsid w:val="0000497B"/>
    <w:rsid w:val="00005534"/>
    <w:rsid w:val="000055E2"/>
    <w:rsid w:val="00007063"/>
    <w:rsid w:val="00007466"/>
    <w:rsid w:val="00010592"/>
    <w:rsid w:val="00010860"/>
    <w:rsid w:val="0001297B"/>
    <w:rsid w:val="00013C4F"/>
    <w:rsid w:val="00014BF4"/>
    <w:rsid w:val="00015B18"/>
    <w:rsid w:val="0001612D"/>
    <w:rsid w:val="000161B4"/>
    <w:rsid w:val="00016586"/>
    <w:rsid w:val="000165F8"/>
    <w:rsid w:val="00017F45"/>
    <w:rsid w:val="00020039"/>
    <w:rsid w:val="0002152D"/>
    <w:rsid w:val="000230A7"/>
    <w:rsid w:val="0002351B"/>
    <w:rsid w:val="00024AD2"/>
    <w:rsid w:val="0002676F"/>
    <w:rsid w:val="00026BFF"/>
    <w:rsid w:val="00026E95"/>
    <w:rsid w:val="00031EBA"/>
    <w:rsid w:val="0003205E"/>
    <w:rsid w:val="000321CB"/>
    <w:rsid w:val="00034800"/>
    <w:rsid w:val="00034A82"/>
    <w:rsid w:val="00035B01"/>
    <w:rsid w:val="0003704C"/>
    <w:rsid w:val="000378E6"/>
    <w:rsid w:val="000420F0"/>
    <w:rsid w:val="000431EB"/>
    <w:rsid w:val="00044909"/>
    <w:rsid w:val="00044E5F"/>
    <w:rsid w:val="0004569C"/>
    <w:rsid w:val="00045C54"/>
    <w:rsid w:val="00046009"/>
    <w:rsid w:val="000500D7"/>
    <w:rsid w:val="00050755"/>
    <w:rsid w:val="00052916"/>
    <w:rsid w:val="00054038"/>
    <w:rsid w:val="000541C4"/>
    <w:rsid w:val="00055E79"/>
    <w:rsid w:val="00056664"/>
    <w:rsid w:val="0005682D"/>
    <w:rsid w:val="000569F7"/>
    <w:rsid w:val="00057182"/>
    <w:rsid w:val="0006074A"/>
    <w:rsid w:val="00061C29"/>
    <w:rsid w:val="00061FE8"/>
    <w:rsid w:val="000622B5"/>
    <w:rsid w:val="000628C5"/>
    <w:rsid w:val="000651CF"/>
    <w:rsid w:val="000665AC"/>
    <w:rsid w:val="00067546"/>
    <w:rsid w:val="00067968"/>
    <w:rsid w:val="0007007E"/>
    <w:rsid w:val="000701E0"/>
    <w:rsid w:val="00070852"/>
    <w:rsid w:val="00070F96"/>
    <w:rsid w:val="00071ECE"/>
    <w:rsid w:val="00073118"/>
    <w:rsid w:val="000734B3"/>
    <w:rsid w:val="00073C29"/>
    <w:rsid w:val="00074069"/>
    <w:rsid w:val="00074C3D"/>
    <w:rsid w:val="0007585D"/>
    <w:rsid w:val="000759B3"/>
    <w:rsid w:val="0007666B"/>
    <w:rsid w:val="00080BFE"/>
    <w:rsid w:val="0008124B"/>
    <w:rsid w:val="00081B3E"/>
    <w:rsid w:val="00081DC8"/>
    <w:rsid w:val="000824B6"/>
    <w:rsid w:val="00082704"/>
    <w:rsid w:val="0008271E"/>
    <w:rsid w:val="000835B8"/>
    <w:rsid w:val="00083A3A"/>
    <w:rsid w:val="00087CEC"/>
    <w:rsid w:val="00087E9F"/>
    <w:rsid w:val="00090CD0"/>
    <w:rsid w:val="000911A5"/>
    <w:rsid w:val="00091A1B"/>
    <w:rsid w:val="00091B22"/>
    <w:rsid w:val="00091FA6"/>
    <w:rsid w:val="0009275B"/>
    <w:rsid w:val="0009307B"/>
    <w:rsid w:val="000931E7"/>
    <w:rsid w:val="00093B87"/>
    <w:rsid w:val="00094A3C"/>
    <w:rsid w:val="00095C7B"/>
    <w:rsid w:val="000A0138"/>
    <w:rsid w:val="000A2888"/>
    <w:rsid w:val="000A3B7E"/>
    <w:rsid w:val="000A3E54"/>
    <w:rsid w:val="000A440B"/>
    <w:rsid w:val="000A4AC6"/>
    <w:rsid w:val="000A62A2"/>
    <w:rsid w:val="000A6DC4"/>
    <w:rsid w:val="000B05C5"/>
    <w:rsid w:val="000B090A"/>
    <w:rsid w:val="000B1036"/>
    <w:rsid w:val="000B1680"/>
    <w:rsid w:val="000B20C4"/>
    <w:rsid w:val="000B235F"/>
    <w:rsid w:val="000B35E8"/>
    <w:rsid w:val="000B38DC"/>
    <w:rsid w:val="000B49BE"/>
    <w:rsid w:val="000B4B62"/>
    <w:rsid w:val="000B59FE"/>
    <w:rsid w:val="000B6F9F"/>
    <w:rsid w:val="000C01A7"/>
    <w:rsid w:val="000C0680"/>
    <w:rsid w:val="000C07E4"/>
    <w:rsid w:val="000C0EE0"/>
    <w:rsid w:val="000C5F3E"/>
    <w:rsid w:val="000C62EC"/>
    <w:rsid w:val="000C7A48"/>
    <w:rsid w:val="000D1349"/>
    <w:rsid w:val="000D137C"/>
    <w:rsid w:val="000D14BA"/>
    <w:rsid w:val="000D1508"/>
    <w:rsid w:val="000D1993"/>
    <w:rsid w:val="000D1AD3"/>
    <w:rsid w:val="000D1BE1"/>
    <w:rsid w:val="000D1D0B"/>
    <w:rsid w:val="000D3C22"/>
    <w:rsid w:val="000D48A7"/>
    <w:rsid w:val="000D5DD1"/>
    <w:rsid w:val="000D722F"/>
    <w:rsid w:val="000E1CCE"/>
    <w:rsid w:val="000E2A60"/>
    <w:rsid w:val="000E2CA1"/>
    <w:rsid w:val="000E2FB2"/>
    <w:rsid w:val="000E433A"/>
    <w:rsid w:val="000E4DB3"/>
    <w:rsid w:val="000E4DEF"/>
    <w:rsid w:val="000E4E39"/>
    <w:rsid w:val="000E5966"/>
    <w:rsid w:val="000E59A8"/>
    <w:rsid w:val="000E62BF"/>
    <w:rsid w:val="000E658D"/>
    <w:rsid w:val="000E696C"/>
    <w:rsid w:val="000E6B5E"/>
    <w:rsid w:val="000F0838"/>
    <w:rsid w:val="000F0951"/>
    <w:rsid w:val="000F2ED2"/>
    <w:rsid w:val="000F4D10"/>
    <w:rsid w:val="000F500B"/>
    <w:rsid w:val="000F693A"/>
    <w:rsid w:val="000F6C5F"/>
    <w:rsid w:val="000F6C75"/>
    <w:rsid w:val="000F7806"/>
    <w:rsid w:val="00100A5D"/>
    <w:rsid w:val="00101A10"/>
    <w:rsid w:val="00101D20"/>
    <w:rsid w:val="00104842"/>
    <w:rsid w:val="00104F0F"/>
    <w:rsid w:val="0010500B"/>
    <w:rsid w:val="001051E1"/>
    <w:rsid w:val="00107527"/>
    <w:rsid w:val="001076CA"/>
    <w:rsid w:val="00107937"/>
    <w:rsid w:val="00107BCA"/>
    <w:rsid w:val="0011017C"/>
    <w:rsid w:val="001123BD"/>
    <w:rsid w:val="001156E4"/>
    <w:rsid w:val="00115973"/>
    <w:rsid w:val="00116156"/>
    <w:rsid w:val="001200FF"/>
    <w:rsid w:val="00121DFF"/>
    <w:rsid w:val="001242FB"/>
    <w:rsid w:val="0012465E"/>
    <w:rsid w:val="001259A4"/>
    <w:rsid w:val="00125D20"/>
    <w:rsid w:val="001262C2"/>
    <w:rsid w:val="001269E6"/>
    <w:rsid w:val="00127864"/>
    <w:rsid w:val="001278C8"/>
    <w:rsid w:val="0013025A"/>
    <w:rsid w:val="00130CBE"/>
    <w:rsid w:val="00131214"/>
    <w:rsid w:val="00134196"/>
    <w:rsid w:val="0013419A"/>
    <w:rsid w:val="00134B2C"/>
    <w:rsid w:val="00134CF6"/>
    <w:rsid w:val="001363F4"/>
    <w:rsid w:val="00136942"/>
    <w:rsid w:val="001376E3"/>
    <w:rsid w:val="00140D4E"/>
    <w:rsid w:val="00140D65"/>
    <w:rsid w:val="00143363"/>
    <w:rsid w:val="00144960"/>
    <w:rsid w:val="00144989"/>
    <w:rsid w:val="00145253"/>
    <w:rsid w:val="001468DC"/>
    <w:rsid w:val="001505E0"/>
    <w:rsid w:val="00151AD0"/>
    <w:rsid w:val="00151BD6"/>
    <w:rsid w:val="00152BE9"/>
    <w:rsid w:val="001535CF"/>
    <w:rsid w:val="00153AF1"/>
    <w:rsid w:val="00154018"/>
    <w:rsid w:val="00154896"/>
    <w:rsid w:val="00155061"/>
    <w:rsid w:val="00155498"/>
    <w:rsid w:val="0016029A"/>
    <w:rsid w:val="00160554"/>
    <w:rsid w:val="00161532"/>
    <w:rsid w:val="001616C5"/>
    <w:rsid w:val="0016244F"/>
    <w:rsid w:val="00163917"/>
    <w:rsid w:val="00164A2B"/>
    <w:rsid w:val="00164B52"/>
    <w:rsid w:val="00164D94"/>
    <w:rsid w:val="00164F8E"/>
    <w:rsid w:val="0016761B"/>
    <w:rsid w:val="001705F0"/>
    <w:rsid w:val="001707C2"/>
    <w:rsid w:val="00170A8E"/>
    <w:rsid w:val="00170CB5"/>
    <w:rsid w:val="0017223A"/>
    <w:rsid w:val="001722A6"/>
    <w:rsid w:val="00172BD6"/>
    <w:rsid w:val="001735D6"/>
    <w:rsid w:val="00173B2E"/>
    <w:rsid w:val="00173D01"/>
    <w:rsid w:val="00173D17"/>
    <w:rsid w:val="00174292"/>
    <w:rsid w:val="00175031"/>
    <w:rsid w:val="0017559E"/>
    <w:rsid w:val="0017563E"/>
    <w:rsid w:val="00176BFE"/>
    <w:rsid w:val="00177482"/>
    <w:rsid w:val="00177D45"/>
    <w:rsid w:val="00177D8E"/>
    <w:rsid w:val="00180111"/>
    <w:rsid w:val="0018082B"/>
    <w:rsid w:val="00180862"/>
    <w:rsid w:val="00181359"/>
    <w:rsid w:val="00181986"/>
    <w:rsid w:val="00182153"/>
    <w:rsid w:val="00182594"/>
    <w:rsid w:val="00183A11"/>
    <w:rsid w:val="0018444C"/>
    <w:rsid w:val="00184C77"/>
    <w:rsid w:val="001854A8"/>
    <w:rsid w:val="00185A7D"/>
    <w:rsid w:val="00186672"/>
    <w:rsid w:val="00186E56"/>
    <w:rsid w:val="00187015"/>
    <w:rsid w:val="001901C9"/>
    <w:rsid w:val="00190721"/>
    <w:rsid w:val="00190A4B"/>
    <w:rsid w:val="00191154"/>
    <w:rsid w:val="00191B98"/>
    <w:rsid w:val="00191D55"/>
    <w:rsid w:val="001923D8"/>
    <w:rsid w:val="00192AB5"/>
    <w:rsid w:val="00193308"/>
    <w:rsid w:val="001942FC"/>
    <w:rsid w:val="0019538D"/>
    <w:rsid w:val="00195D31"/>
    <w:rsid w:val="00197264"/>
    <w:rsid w:val="00197909"/>
    <w:rsid w:val="001A0E75"/>
    <w:rsid w:val="001A1AA3"/>
    <w:rsid w:val="001A1DDA"/>
    <w:rsid w:val="001A229D"/>
    <w:rsid w:val="001A276F"/>
    <w:rsid w:val="001A2DD5"/>
    <w:rsid w:val="001A34AC"/>
    <w:rsid w:val="001A3AC9"/>
    <w:rsid w:val="001A3C7A"/>
    <w:rsid w:val="001A5059"/>
    <w:rsid w:val="001A5C7D"/>
    <w:rsid w:val="001A615C"/>
    <w:rsid w:val="001B279D"/>
    <w:rsid w:val="001B3132"/>
    <w:rsid w:val="001B31BC"/>
    <w:rsid w:val="001B3B3F"/>
    <w:rsid w:val="001B648F"/>
    <w:rsid w:val="001B64A3"/>
    <w:rsid w:val="001B69EC"/>
    <w:rsid w:val="001B7220"/>
    <w:rsid w:val="001C00F6"/>
    <w:rsid w:val="001C01C6"/>
    <w:rsid w:val="001C04F8"/>
    <w:rsid w:val="001C1038"/>
    <w:rsid w:val="001C498F"/>
    <w:rsid w:val="001C54E4"/>
    <w:rsid w:val="001C5DEE"/>
    <w:rsid w:val="001C62F6"/>
    <w:rsid w:val="001C7783"/>
    <w:rsid w:val="001D2ECB"/>
    <w:rsid w:val="001D32C4"/>
    <w:rsid w:val="001D47F9"/>
    <w:rsid w:val="001D4EE8"/>
    <w:rsid w:val="001D5118"/>
    <w:rsid w:val="001D5642"/>
    <w:rsid w:val="001D5B2D"/>
    <w:rsid w:val="001D759A"/>
    <w:rsid w:val="001D7B1C"/>
    <w:rsid w:val="001E129F"/>
    <w:rsid w:val="001E1505"/>
    <w:rsid w:val="001E1861"/>
    <w:rsid w:val="001E232E"/>
    <w:rsid w:val="001E2CBD"/>
    <w:rsid w:val="001E4101"/>
    <w:rsid w:val="001E4F03"/>
    <w:rsid w:val="001E7140"/>
    <w:rsid w:val="001E73D2"/>
    <w:rsid w:val="001E75B1"/>
    <w:rsid w:val="001E7D89"/>
    <w:rsid w:val="001F2705"/>
    <w:rsid w:val="001F2AEF"/>
    <w:rsid w:val="001F3226"/>
    <w:rsid w:val="001F347B"/>
    <w:rsid w:val="001F388C"/>
    <w:rsid w:val="001F4F50"/>
    <w:rsid w:val="001F5E04"/>
    <w:rsid w:val="00200DA0"/>
    <w:rsid w:val="002012F3"/>
    <w:rsid w:val="002013D5"/>
    <w:rsid w:val="00201F21"/>
    <w:rsid w:val="00202002"/>
    <w:rsid w:val="00202F7A"/>
    <w:rsid w:val="0020514A"/>
    <w:rsid w:val="00205C55"/>
    <w:rsid w:val="002068C4"/>
    <w:rsid w:val="002075C2"/>
    <w:rsid w:val="00207E68"/>
    <w:rsid w:val="002104FB"/>
    <w:rsid w:val="00211097"/>
    <w:rsid w:val="00211FF9"/>
    <w:rsid w:val="002134E8"/>
    <w:rsid w:val="00213B27"/>
    <w:rsid w:val="00214597"/>
    <w:rsid w:val="00215148"/>
    <w:rsid w:val="00215DED"/>
    <w:rsid w:val="00216336"/>
    <w:rsid w:val="00217882"/>
    <w:rsid w:val="00217A4B"/>
    <w:rsid w:val="00217E26"/>
    <w:rsid w:val="00221EA4"/>
    <w:rsid w:val="00222766"/>
    <w:rsid w:val="00222785"/>
    <w:rsid w:val="002228C8"/>
    <w:rsid w:val="00222E25"/>
    <w:rsid w:val="00223582"/>
    <w:rsid w:val="00225140"/>
    <w:rsid w:val="00225581"/>
    <w:rsid w:val="002266E1"/>
    <w:rsid w:val="0022764E"/>
    <w:rsid w:val="002309A4"/>
    <w:rsid w:val="00233A8B"/>
    <w:rsid w:val="00233B88"/>
    <w:rsid w:val="00233D59"/>
    <w:rsid w:val="00234933"/>
    <w:rsid w:val="00235B6D"/>
    <w:rsid w:val="00235C83"/>
    <w:rsid w:val="0024023F"/>
    <w:rsid w:val="002417B8"/>
    <w:rsid w:val="00242270"/>
    <w:rsid w:val="002429F3"/>
    <w:rsid w:val="0024314F"/>
    <w:rsid w:val="002434E9"/>
    <w:rsid w:val="00244F73"/>
    <w:rsid w:val="002452F2"/>
    <w:rsid w:val="002454F9"/>
    <w:rsid w:val="00245884"/>
    <w:rsid w:val="00245C01"/>
    <w:rsid w:val="002470C0"/>
    <w:rsid w:val="00247723"/>
    <w:rsid w:val="002505ED"/>
    <w:rsid w:val="00250E69"/>
    <w:rsid w:val="00251AE6"/>
    <w:rsid w:val="00251E16"/>
    <w:rsid w:val="002522AB"/>
    <w:rsid w:val="0025253A"/>
    <w:rsid w:val="00253738"/>
    <w:rsid w:val="002540E5"/>
    <w:rsid w:val="002576A2"/>
    <w:rsid w:val="0025791E"/>
    <w:rsid w:val="00260271"/>
    <w:rsid w:val="00262119"/>
    <w:rsid w:val="0026227A"/>
    <w:rsid w:val="002646F8"/>
    <w:rsid w:val="002703E9"/>
    <w:rsid w:val="0027095D"/>
    <w:rsid w:val="00270DB1"/>
    <w:rsid w:val="002711BE"/>
    <w:rsid w:val="0027146A"/>
    <w:rsid w:val="00272F24"/>
    <w:rsid w:val="002733FB"/>
    <w:rsid w:val="00274B2F"/>
    <w:rsid w:val="00274F61"/>
    <w:rsid w:val="00275880"/>
    <w:rsid w:val="00276244"/>
    <w:rsid w:val="002764E4"/>
    <w:rsid w:val="00282A6F"/>
    <w:rsid w:val="0028301D"/>
    <w:rsid w:val="00283AEE"/>
    <w:rsid w:val="00283C90"/>
    <w:rsid w:val="00285553"/>
    <w:rsid w:val="00285BBF"/>
    <w:rsid w:val="002866DD"/>
    <w:rsid w:val="00287C73"/>
    <w:rsid w:val="0029077C"/>
    <w:rsid w:val="0029157D"/>
    <w:rsid w:val="0029188C"/>
    <w:rsid w:val="0029252C"/>
    <w:rsid w:val="00293304"/>
    <w:rsid w:val="00293463"/>
    <w:rsid w:val="00293522"/>
    <w:rsid w:val="0029358A"/>
    <w:rsid w:val="0029384B"/>
    <w:rsid w:val="00293C74"/>
    <w:rsid w:val="00293DF4"/>
    <w:rsid w:val="002940CB"/>
    <w:rsid w:val="00295CC4"/>
    <w:rsid w:val="00295CDA"/>
    <w:rsid w:val="002961FC"/>
    <w:rsid w:val="002A0172"/>
    <w:rsid w:val="002A1CA0"/>
    <w:rsid w:val="002A3C11"/>
    <w:rsid w:val="002A618D"/>
    <w:rsid w:val="002A7565"/>
    <w:rsid w:val="002B0B61"/>
    <w:rsid w:val="002B0B6E"/>
    <w:rsid w:val="002B1391"/>
    <w:rsid w:val="002B1670"/>
    <w:rsid w:val="002B401F"/>
    <w:rsid w:val="002B4BAE"/>
    <w:rsid w:val="002B5042"/>
    <w:rsid w:val="002B74D1"/>
    <w:rsid w:val="002B7651"/>
    <w:rsid w:val="002B78B9"/>
    <w:rsid w:val="002C0D66"/>
    <w:rsid w:val="002C156C"/>
    <w:rsid w:val="002C2829"/>
    <w:rsid w:val="002C36FE"/>
    <w:rsid w:val="002C3BFE"/>
    <w:rsid w:val="002C40C6"/>
    <w:rsid w:val="002C4364"/>
    <w:rsid w:val="002C4566"/>
    <w:rsid w:val="002C4821"/>
    <w:rsid w:val="002C4A6D"/>
    <w:rsid w:val="002C4DD9"/>
    <w:rsid w:val="002C51B5"/>
    <w:rsid w:val="002C63E4"/>
    <w:rsid w:val="002C654B"/>
    <w:rsid w:val="002C66D4"/>
    <w:rsid w:val="002C7D98"/>
    <w:rsid w:val="002D1B0A"/>
    <w:rsid w:val="002D1B7D"/>
    <w:rsid w:val="002D2225"/>
    <w:rsid w:val="002D2EBC"/>
    <w:rsid w:val="002D3105"/>
    <w:rsid w:val="002D3ECD"/>
    <w:rsid w:val="002D5607"/>
    <w:rsid w:val="002D668E"/>
    <w:rsid w:val="002D6F08"/>
    <w:rsid w:val="002E04F0"/>
    <w:rsid w:val="002E0D27"/>
    <w:rsid w:val="002E24F9"/>
    <w:rsid w:val="002E2DB1"/>
    <w:rsid w:val="002E5C37"/>
    <w:rsid w:val="002E60CB"/>
    <w:rsid w:val="002E6BEC"/>
    <w:rsid w:val="002E733F"/>
    <w:rsid w:val="002E74CC"/>
    <w:rsid w:val="002E76FF"/>
    <w:rsid w:val="002F156F"/>
    <w:rsid w:val="002F177D"/>
    <w:rsid w:val="002F1F49"/>
    <w:rsid w:val="002F30C3"/>
    <w:rsid w:val="002F3910"/>
    <w:rsid w:val="002F3C18"/>
    <w:rsid w:val="002F4F4E"/>
    <w:rsid w:val="002F5755"/>
    <w:rsid w:val="002F5921"/>
    <w:rsid w:val="002F5F1A"/>
    <w:rsid w:val="002F603F"/>
    <w:rsid w:val="002F7ED1"/>
    <w:rsid w:val="0030050A"/>
    <w:rsid w:val="00301CC7"/>
    <w:rsid w:val="00304593"/>
    <w:rsid w:val="00306E2E"/>
    <w:rsid w:val="00307167"/>
    <w:rsid w:val="003072E2"/>
    <w:rsid w:val="003072EE"/>
    <w:rsid w:val="003077DB"/>
    <w:rsid w:val="003113EC"/>
    <w:rsid w:val="00312D1D"/>
    <w:rsid w:val="00313642"/>
    <w:rsid w:val="00314141"/>
    <w:rsid w:val="00314882"/>
    <w:rsid w:val="003149CF"/>
    <w:rsid w:val="00314A23"/>
    <w:rsid w:val="0031591A"/>
    <w:rsid w:val="00316E02"/>
    <w:rsid w:val="003176A2"/>
    <w:rsid w:val="0032121D"/>
    <w:rsid w:val="0032137A"/>
    <w:rsid w:val="00321EDF"/>
    <w:rsid w:val="003221BD"/>
    <w:rsid w:val="00322582"/>
    <w:rsid w:val="003236C2"/>
    <w:rsid w:val="0032490F"/>
    <w:rsid w:val="0032513D"/>
    <w:rsid w:val="003254A1"/>
    <w:rsid w:val="00325E52"/>
    <w:rsid w:val="003276F8"/>
    <w:rsid w:val="00327ABF"/>
    <w:rsid w:val="0033018E"/>
    <w:rsid w:val="003304E6"/>
    <w:rsid w:val="00330537"/>
    <w:rsid w:val="003306AF"/>
    <w:rsid w:val="00331170"/>
    <w:rsid w:val="00331BC8"/>
    <w:rsid w:val="00331C9D"/>
    <w:rsid w:val="00332E03"/>
    <w:rsid w:val="0033300B"/>
    <w:rsid w:val="0033447D"/>
    <w:rsid w:val="0033455D"/>
    <w:rsid w:val="00335350"/>
    <w:rsid w:val="00336A4D"/>
    <w:rsid w:val="00336B54"/>
    <w:rsid w:val="0033719C"/>
    <w:rsid w:val="0033783A"/>
    <w:rsid w:val="00340313"/>
    <w:rsid w:val="00340581"/>
    <w:rsid w:val="00340B96"/>
    <w:rsid w:val="00340C78"/>
    <w:rsid w:val="003415E7"/>
    <w:rsid w:val="00341B80"/>
    <w:rsid w:val="00342BFA"/>
    <w:rsid w:val="00344637"/>
    <w:rsid w:val="0034642D"/>
    <w:rsid w:val="00346C75"/>
    <w:rsid w:val="00346D5F"/>
    <w:rsid w:val="003473C4"/>
    <w:rsid w:val="0035132C"/>
    <w:rsid w:val="0035150D"/>
    <w:rsid w:val="00352353"/>
    <w:rsid w:val="00352944"/>
    <w:rsid w:val="003540E7"/>
    <w:rsid w:val="00354A94"/>
    <w:rsid w:val="003551A4"/>
    <w:rsid w:val="00355911"/>
    <w:rsid w:val="0035652E"/>
    <w:rsid w:val="0036019B"/>
    <w:rsid w:val="003619B6"/>
    <w:rsid w:val="00362A5F"/>
    <w:rsid w:val="003634CB"/>
    <w:rsid w:val="003637AA"/>
    <w:rsid w:val="00363D87"/>
    <w:rsid w:val="00363E71"/>
    <w:rsid w:val="00363F85"/>
    <w:rsid w:val="00365095"/>
    <w:rsid w:val="0036779C"/>
    <w:rsid w:val="003723A0"/>
    <w:rsid w:val="0037416B"/>
    <w:rsid w:val="003748D0"/>
    <w:rsid w:val="0037509B"/>
    <w:rsid w:val="003752A4"/>
    <w:rsid w:val="003761B9"/>
    <w:rsid w:val="003763C8"/>
    <w:rsid w:val="00380E5F"/>
    <w:rsid w:val="003812E3"/>
    <w:rsid w:val="00381EC5"/>
    <w:rsid w:val="0038222F"/>
    <w:rsid w:val="0038246F"/>
    <w:rsid w:val="003830AA"/>
    <w:rsid w:val="003830CB"/>
    <w:rsid w:val="0038588F"/>
    <w:rsid w:val="003859B9"/>
    <w:rsid w:val="0038733C"/>
    <w:rsid w:val="00387653"/>
    <w:rsid w:val="003901B2"/>
    <w:rsid w:val="00390C49"/>
    <w:rsid w:val="00391483"/>
    <w:rsid w:val="00391527"/>
    <w:rsid w:val="003917C4"/>
    <w:rsid w:val="00392469"/>
    <w:rsid w:val="003927A3"/>
    <w:rsid w:val="00392A31"/>
    <w:rsid w:val="0039452E"/>
    <w:rsid w:val="003946B2"/>
    <w:rsid w:val="0039493A"/>
    <w:rsid w:val="00395255"/>
    <w:rsid w:val="00395B49"/>
    <w:rsid w:val="00396830"/>
    <w:rsid w:val="003970FE"/>
    <w:rsid w:val="00397A4E"/>
    <w:rsid w:val="003A0F09"/>
    <w:rsid w:val="003A0FC5"/>
    <w:rsid w:val="003A220B"/>
    <w:rsid w:val="003A2B20"/>
    <w:rsid w:val="003A2E59"/>
    <w:rsid w:val="003A3AAB"/>
    <w:rsid w:val="003A4207"/>
    <w:rsid w:val="003A6792"/>
    <w:rsid w:val="003A75D9"/>
    <w:rsid w:val="003B024B"/>
    <w:rsid w:val="003B3281"/>
    <w:rsid w:val="003B35CC"/>
    <w:rsid w:val="003B4ED5"/>
    <w:rsid w:val="003B5BC7"/>
    <w:rsid w:val="003B69D6"/>
    <w:rsid w:val="003B76F0"/>
    <w:rsid w:val="003C010A"/>
    <w:rsid w:val="003C1946"/>
    <w:rsid w:val="003C2044"/>
    <w:rsid w:val="003C3F32"/>
    <w:rsid w:val="003C6093"/>
    <w:rsid w:val="003C683F"/>
    <w:rsid w:val="003C711C"/>
    <w:rsid w:val="003D0A8C"/>
    <w:rsid w:val="003D1E79"/>
    <w:rsid w:val="003D26E6"/>
    <w:rsid w:val="003D287E"/>
    <w:rsid w:val="003D2AEE"/>
    <w:rsid w:val="003D2E95"/>
    <w:rsid w:val="003D3143"/>
    <w:rsid w:val="003D3161"/>
    <w:rsid w:val="003D57F0"/>
    <w:rsid w:val="003D682F"/>
    <w:rsid w:val="003D68FB"/>
    <w:rsid w:val="003D79C3"/>
    <w:rsid w:val="003D7A7F"/>
    <w:rsid w:val="003E0240"/>
    <w:rsid w:val="003E08FC"/>
    <w:rsid w:val="003E17AF"/>
    <w:rsid w:val="003E31BD"/>
    <w:rsid w:val="003E37CD"/>
    <w:rsid w:val="003E4AEC"/>
    <w:rsid w:val="003E586A"/>
    <w:rsid w:val="003E5BB0"/>
    <w:rsid w:val="003E5D1F"/>
    <w:rsid w:val="003E66E6"/>
    <w:rsid w:val="003E70C4"/>
    <w:rsid w:val="003F03DB"/>
    <w:rsid w:val="003F2984"/>
    <w:rsid w:val="003F2D41"/>
    <w:rsid w:val="003F3400"/>
    <w:rsid w:val="003F3547"/>
    <w:rsid w:val="00400B87"/>
    <w:rsid w:val="00400EE5"/>
    <w:rsid w:val="004013FC"/>
    <w:rsid w:val="004013FE"/>
    <w:rsid w:val="00401860"/>
    <w:rsid w:val="004024F7"/>
    <w:rsid w:val="00402D64"/>
    <w:rsid w:val="00403D77"/>
    <w:rsid w:val="0040412B"/>
    <w:rsid w:val="00404D42"/>
    <w:rsid w:val="0040639D"/>
    <w:rsid w:val="00406A8D"/>
    <w:rsid w:val="0040731C"/>
    <w:rsid w:val="00407FD2"/>
    <w:rsid w:val="004122D1"/>
    <w:rsid w:val="00413A30"/>
    <w:rsid w:val="004153D3"/>
    <w:rsid w:val="004168B1"/>
    <w:rsid w:val="004169CE"/>
    <w:rsid w:val="004169E3"/>
    <w:rsid w:val="00416F74"/>
    <w:rsid w:val="00417B88"/>
    <w:rsid w:val="00422DCE"/>
    <w:rsid w:val="00422DDF"/>
    <w:rsid w:val="004235FF"/>
    <w:rsid w:val="00423E7B"/>
    <w:rsid w:val="004242DF"/>
    <w:rsid w:val="0042514C"/>
    <w:rsid w:val="00425A55"/>
    <w:rsid w:val="00425ACD"/>
    <w:rsid w:val="00425EA8"/>
    <w:rsid w:val="00427044"/>
    <w:rsid w:val="004272C0"/>
    <w:rsid w:val="00431F80"/>
    <w:rsid w:val="004327CD"/>
    <w:rsid w:val="004343AF"/>
    <w:rsid w:val="0043556D"/>
    <w:rsid w:val="0043586B"/>
    <w:rsid w:val="00435FC6"/>
    <w:rsid w:val="00435FEE"/>
    <w:rsid w:val="00436838"/>
    <w:rsid w:val="00436943"/>
    <w:rsid w:val="00436B84"/>
    <w:rsid w:val="0043756D"/>
    <w:rsid w:val="00437B37"/>
    <w:rsid w:val="0044044A"/>
    <w:rsid w:val="004405EB"/>
    <w:rsid w:val="00440899"/>
    <w:rsid w:val="004408A3"/>
    <w:rsid w:val="0044092E"/>
    <w:rsid w:val="00440FB3"/>
    <w:rsid w:val="004415D0"/>
    <w:rsid w:val="00442142"/>
    <w:rsid w:val="00442F74"/>
    <w:rsid w:val="0044380F"/>
    <w:rsid w:val="00443BF8"/>
    <w:rsid w:val="0044437C"/>
    <w:rsid w:val="00445114"/>
    <w:rsid w:val="004457DD"/>
    <w:rsid w:val="00445ACC"/>
    <w:rsid w:val="00451847"/>
    <w:rsid w:val="00451C5D"/>
    <w:rsid w:val="00452501"/>
    <w:rsid w:val="00453240"/>
    <w:rsid w:val="00453CC8"/>
    <w:rsid w:val="00456450"/>
    <w:rsid w:val="00456C04"/>
    <w:rsid w:val="00456C84"/>
    <w:rsid w:val="0045762A"/>
    <w:rsid w:val="0046010F"/>
    <w:rsid w:val="00460E29"/>
    <w:rsid w:val="00461D18"/>
    <w:rsid w:val="004621CA"/>
    <w:rsid w:val="00462D54"/>
    <w:rsid w:val="004635FD"/>
    <w:rsid w:val="00464D97"/>
    <w:rsid w:val="004654EB"/>
    <w:rsid w:val="004662F7"/>
    <w:rsid w:val="00467ED8"/>
    <w:rsid w:val="004702B3"/>
    <w:rsid w:val="004716D8"/>
    <w:rsid w:val="004720D3"/>
    <w:rsid w:val="004725E6"/>
    <w:rsid w:val="00472B7E"/>
    <w:rsid w:val="004740DB"/>
    <w:rsid w:val="00475004"/>
    <w:rsid w:val="004750A3"/>
    <w:rsid w:val="00475925"/>
    <w:rsid w:val="004779BB"/>
    <w:rsid w:val="0048042C"/>
    <w:rsid w:val="0048074A"/>
    <w:rsid w:val="00482C2C"/>
    <w:rsid w:val="00483F89"/>
    <w:rsid w:val="0048442F"/>
    <w:rsid w:val="00484672"/>
    <w:rsid w:val="0048676D"/>
    <w:rsid w:val="00486895"/>
    <w:rsid w:val="004875B0"/>
    <w:rsid w:val="00487EA6"/>
    <w:rsid w:val="00490630"/>
    <w:rsid w:val="00490E22"/>
    <w:rsid w:val="00492537"/>
    <w:rsid w:val="00493D7A"/>
    <w:rsid w:val="004941B3"/>
    <w:rsid w:val="004943B7"/>
    <w:rsid w:val="00494D10"/>
    <w:rsid w:val="0049549E"/>
    <w:rsid w:val="00496E1A"/>
    <w:rsid w:val="004A14DB"/>
    <w:rsid w:val="004A299B"/>
    <w:rsid w:val="004A3FE4"/>
    <w:rsid w:val="004A44EC"/>
    <w:rsid w:val="004A558E"/>
    <w:rsid w:val="004A5894"/>
    <w:rsid w:val="004A5FBA"/>
    <w:rsid w:val="004A6A48"/>
    <w:rsid w:val="004A6BD0"/>
    <w:rsid w:val="004A7A02"/>
    <w:rsid w:val="004B00CD"/>
    <w:rsid w:val="004B1B6E"/>
    <w:rsid w:val="004B347B"/>
    <w:rsid w:val="004B4B13"/>
    <w:rsid w:val="004B616A"/>
    <w:rsid w:val="004C0321"/>
    <w:rsid w:val="004C0696"/>
    <w:rsid w:val="004C1D20"/>
    <w:rsid w:val="004C3359"/>
    <w:rsid w:val="004C3697"/>
    <w:rsid w:val="004C4E39"/>
    <w:rsid w:val="004D0EAE"/>
    <w:rsid w:val="004D153B"/>
    <w:rsid w:val="004D26F2"/>
    <w:rsid w:val="004D2BC5"/>
    <w:rsid w:val="004D3FA5"/>
    <w:rsid w:val="004D5FB0"/>
    <w:rsid w:val="004D6948"/>
    <w:rsid w:val="004D6E18"/>
    <w:rsid w:val="004D738B"/>
    <w:rsid w:val="004D7753"/>
    <w:rsid w:val="004E0646"/>
    <w:rsid w:val="004E084A"/>
    <w:rsid w:val="004E131E"/>
    <w:rsid w:val="004E2774"/>
    <w:rsid w:val="004E320A"/>
    <w:rsid w:val="004E3573"/>
    <w:rsid w:val="004E3CC6"/>
    <w:rsid w:val="004E4137"/>
    <w:rsid w:val="004E57BD"/>
    <w:rsid w:val="004E5FAA"/>
    <w:rsid w:val="004E6AFB"/>
    <w:rsid w:val="004E6D31"/>
    <w:rsid w:val="004E6F4E"/>
    <w:rsid w:val="004E7532"/>
    <w:rsid w:val="004F018E"/>
    <w:rsid w:val="004F02C4"/>
    <w:rsid w:val="004F032C"/>
    <w:rsid w:val="004F0520"/>
    <w:rsid w:val="004F1643"/>
    <w:rsid w:val="004F27C1"/>
    <w:rsid w:val="004F2F35"/>
    <w:rsid w:val="004F3864"/>
    <w:rsid w:val="004F3B86"/>
    <w:rsid w:val="004F3BDD"/>
    <w:rsid w:val="004F4715"/>
    <w:rsid w:val="004F47B0"/>
    <w:rsid w:val="004F4913"/>
    <w:rsid w:val="004F4D2A"/>
    <w:rsid w:val="004F51D5"/>
    <w:rsid w:val="004F5C5E"/>
    <w:rsid w:val="004F67F5"/>
    <w:rsid w:val="004F6BF5"/>
    <w:rsid w:val="00500A31"/>
    <w:rsid w:val="0050169C"/>
    <w:rsid w:val="00501F2A"/>
    <w:rsid w:val="0050320B"/>
    <w:rsid w:val="00503955"/>
    <w:rsid w:val="00503E74"/>
    <w:rsid w:val="00503FB4"/>
    <w:rsid w:val="00504230"/>
    <w:rsid w:val="005050A1"/>
    <w:rsid w:val="00511BDB"/>
    <w:rsid w:val="00512BE1"/>
    <w:rsid w:val="00513FDD"/>
    <w:rsid w:val="00514A39"/>
    <w:rsid w:val="00515434"/>
    <w:rsid w:val="0051592B"/>
    <w:rsid w:val="00516498"/>
    <w:rsid w:val="0051756A"/>
    <w:rsid w:val="00520024"/>
    <w:rsid w:val="005210F9"/>
    <w:rsid w:val="00521E93"/>
    <w:rsid w:val="00522923"/>
    <w:rsid w:val="00522B25"/>
    <w:rsid w:val="00522E5F"/>
    <w:rsid w:val="00522ED8"/>
    <w:rsid w:val="00523133"/>
    <w:rsid w:val="005235ED"/>
    <w:rsid w:val="00526AC4"/>
    <w:rsid w:val="0053352E"/>
    <w:rsid w:val="00533AF9"/>
    <w:rsid w:val="00533E15"/>
    <w:rsid w:val="00534B1D"/>
    <w:rsid w:val="005369E4"/>
    <w:rsid w:val="00536DAF"/>
    <w:rsid w:val="005376AF"/>
    <w:rsid w:val="0053770B"/>
    <w:rsid w:val="00540168"/>
    <w:rsid w:val="0054205D"/>
    <w:rsid w:val="005437E6"/>
    <w:rsid w:val="00543CF3"/>
    <w:rsid w:val="00545835"/>
    <w:rsid w:val="00545A09"/>
    <w:rsid w:val="00545E6A"/>
    <w:rsid w:val="005508B7"/>
    <w:rsid w:val="005509A8"/>
    <w:rsid w:val="00551244"/>
    <w:rsid w:val="00554377"/>
    <w:rsid w:val="00556314"/>
    <w:rsid w:val="00556730"/>
    <w:rsid w:val="00557901"/>
    <w:rsid w:val="00563E39"/>
    <w:rsid w:val="005644A0"/>
    <w:rsid w:val="005659A6"/>
    <w:rsid w:val="00565BC1"/>
    <w:rsid w:val="0057348A"/>
    <w:rsid w:val="005744C0"/>
    <w:rsid w:val="00576830"/>
    <w:rsid w:val="00577D87"/>
    <w:rsid w:val="0058081B"/>
    <w:rsid w:val="0058100E"/>
    <w:rsid w:val="00582093"/>
    <w:rsid w:val="00582142"/>
    <w:rsid w:val="00583A75"/>
    <w:rsid w:val="00584D2B"/>
    <w:rsid w:val="0058702D"/>
    <w:rsid w:val="005877C0"/>
    <w:rsid w:val="00587A13"/>
    <w:rsid w:val="00590646"/>
    <w:rsid w:val="00591306"/>
    <w:rsid w:val="00592ACD"/>
    <w:rsid w:val="00592CAC"/>
    <w:rsid w:val="00592EB5"/>
    <w:rsid w:val="005943D8"/>
    <w:rsid w:val="005948AC"/>
    <w:rsid w:val="00596D0A"/>
    <w:rsid w:val="00597CAC"/>
    <w:rsid w:val="005A1260"/>
    <w:rsid w:val="005A1E3C"/>
    <w:rsid w:val="005A2529"/>
    <w:rsid w:val="005A37C0"/>
    <w:rsid w:val="005A433D"/>
    <w:rsid w:val="005A4FE9"/>
    <w:rsid w:val="005A6870"/>
    <w:rsid w:val="005A6B36"/>
    <w:rsid w:val="005A6DF8"/>
    <w:rsid w:val="005A76DA"/>
    <w:rsid w:val="005A7C2C"/>
    <w:rsid w:val="005B16F4"/>
    <w:rsid w:val="005B199F"/>
    <w:rsid w:val="005B1DAF"/>
    <w:rsid w:val="005B7823"/>
    <w:rsid w:val="005C0CD5"/>
    <w:rsid w:val="005C1D0C"/>
    <w:rsid w:val="005C20E0"/>
    <w:rsid w:val="005C22DF"/>
    <w:rsid w:val="005C3BEC"/>
    <w:rsid w:val="005C3F81"/>
    <w:rsid w:val="005C403D"/>
    <w:rsid w:val="005C46FF"/>
    <w:rsid w:val="005C4B3F"/>
    <w:rsid w:val="005C530C"/>
    <w:rsid w:val="005C7B4C"/>
    <w:rsid w:val="005D0C1E"/>
    <w:rsid w:val="005D0E84"/>
    <w:rsid w:val="005D105B"/>
    <w:rsid w:val="005D1268"/>
    <w:rsid w:val="005D2222"/>
    <w:rsid w:val="005D30B8"/>
    <w:rsid w:val="005D30F1"/>
    <w:rsid w:val="005D372D"/>
    <w:rsid w:val="005D42B2"/>
    <w:rsid w:val="005D579B"/>
    <w:rsid w:val="005D6530"/>
    <w:rsid w:val="005D6A69"/>
    <w:rsid w:val="005D7352"/>
    <w:rsid w:val="005E006A"/>
    <w:rsid w:val="005E0B49"/>
    <w:rsid w:val="005E1376"/>
    <w:rsid w:val="005E1EB6"/>
    <w:rsid w:val="005E255F"/>
    <w:rsid w:val="005E4695"/>
    <w:rsid w:val="005E5808"/>
    <w:rsid w:val="005E69E7"/>
    <w:rsid w:val="005E76A6"/>
    <w:rsid w:val="005F106E"/>
    <w:rsid w:val="005F21AB"/>
    <w:rsid w:val="005F2664"/>
    <w:rsid w:val="005F3D0E"/>
    <w:rsid w:val="005F41EA"/>
    <w:rsid w:val="005F4327"/>
    <w:rsid w:val="005F4A6B"/>
    <w:rsid w:val="005F7899"/>
    <w:rsid w:val="005F7E17"/>
    <w:rsid w:val="0060088D"/>
    <w:rsid w:val="00600B3B"/>
    <w:rsid w:val="00602299"/>
    <w:rsid w:val="006034B5"/>
    <w:rsid w:val="00603A7E"/>
    <w:rsid w:val="00603F13"/>
    <w:rsid w:val="00606E6C"/>
    <w:rsid w:val="00607CBF"/>
    <w:rsid w:val="00610D45"/>
    <w:rsid w:val="006126D8"/>
    <w:rsid w:val="00613654"/>
    <w:rsid w:val="00613F5F"/>
    <w:rsid w:val="0061447A"/>
    <w:rsid w:val="0061511C"/>
    <w:rsid w:val="0061665E"/>
    <w:rsid w:val="0062096D"/>
    <w:rsid w:val="00621129"/>
    <w:rsid w:val="00622AA0"/>
    <w:rsid w:val="00623270"/>
    <w:rsid w:val="0062347C"/>
    <w:rsid w:val="00625250"/>
    <w:rsid w:val="00626FA0"/>
    <w:rsid w:val="00630050"/>
    <w:rsid w:val="0063009A"/>
    <w:rsid w:val="00630495"/>
    <w:rsid w:val="006311F0"/>
    <w:rsid w:val="00631A14"/>
    <w:rsid w:val="0063230F"/>
    <w:rsid w:val="006326BE"/>
    <w:rsid w:val="00632F97"/>
    <w:rsid w:val="00632FC2"/>
    <w:rsid w:val="0063440A"/>
    <w:rsid w:val="00634845"/>
    <w:rsid w:val="00634BC5"/>
    <w:rsid w:val="00636098"/>
    <w:rsid w:val="00636DE6"/>
    <w:rsid w:val="0063717D"/>
    <w:rsid w:val="00637331"/>
    <w:rsid w:val="0063776A"/>
    <w:rsid w:val="00640B2A"/>
    <w:rsid w:val="006412B7"/>
    <w:rsid w:val="00641FA4"/>
    <w:rsid w:val="00642375"/>
    <w:rsid w:val="00646B27"/>
    <w:rsid w:val="00647C54"/>
    <w:rsid w:val="0065089E"/>
    <w:rsid w:val="00650D6A"/>
    <w:rsid w:val="0065126F"/>
    <w:rsid w:val="00651CE2"/>
    <w:rsid w:val="00651DE5"/>
    <w:rsid w:val="00651E82"/>
    <w:rsid w:val="00652ACB"/>
    <w:rsid w:val="00653379"/>
    <w:rsid w:val="00656277"/>
    <w:rsid w:val="006567CA"/>
    <w:rsid w:val="0065720B"/>
    <w:rsid w:val="00657B10"/>
    <w:rsid w:val="00660697"/>
    <w:rsid w:val="006607C2"/>
    <w:rsid w:val="006616F0"/>
    <w:rsid w:val="006620C2"/>
    <w:rsid w:val="0066321A"/>
    <w:rsid w:val="006646A7"/>
    <w:rsid w:val="00664F0F"/>
    <w:rsid w:val="00665B8D"/>
    <w:rsid w:val="00666186"/>
    <w:rsid w:val="00672A1B"/>
    <w:rsid w:val="00672F22"/>
    <w:rsid w:val="00673144"/>
    <w:rsid w:val="00673B27"/>
    <w:rsid w:val="006745C4"/>
    <w:rsid w:val="0067543B"/>
    <w:rsid w:val="0067587D"/>
    <w:rsid w:val="0067614B"/>
    <w:rsid w:val="00677551"/>
    <w:rsid w:val="006808E0"/>
    <w:rsid w:val="00682048"/>
    <w:rsid w:val="00683194"/>
    <w:rsid w:val="00684CE2"/>
    <w:rsid w:val="00685231"/>
    <w:rsid w:val="00685916"/>
    <w:rsid w:val="00685ECC"/>
    <w:rsid w:val="00686DC9"/>
    <w:rsid w:val="00687010"/>
    <w:rsid w:val="00687CF5"/>
    <w:rsid w:val="00690986"/>
    <w:rsid w:val="00690BB9"/>
    <w:rsid w:val="0069136E"/>
    <w:rsid w:val="00691F41"/>
    <w:rsid w:val="00693AC2"/>
    <w:rsid w:val="0069455A"/>
    <w:rsid w:val="00694BC9"/>
    <w:rsid w:val="00695351"/>
    <w:rsid w:val="006955AF"/>
    <w:rsid w:val="0069628F"/>
    <w:rsid w:val="00696467"/>
    <w:rsid w:val="006A0F87"/>
    <w:rsid w:val="006A24F3"/>
    <w:rsid w:val="006A3D5F"/>
    <w:rsid w:val="006A463F"/>
    <w:rsid w:val="006A4CA9"/>
    <w:rsid w:val="006A6289"/>
    <w:rsid w:val="006A7585"/>
    <w:rsid w:val="006B0D56"/>
    <w:rsid w:val="006B148D"/>
    <w:rsid w:val="006B333E"/>
    <w:rsid w:val="006B4A90"/>
    <w:rsid w:val="006B5B9D"/>
    <w:rsid w:val="006B5CB6"/>
    <w:rsid w:val="006B5CC8"/>
    <w:rsid w:val="006B6D57"/>
    <w:rsid w:val="006C1B7F"/>
    <w:rsid w:val="006C1C56"/>
    <w:rsid w:val="006C2DD5"/>
    <w:rsid w:val="006C448D"/>
    <w:rsid w:val="006C609D"/>
    <w:rsid w:val="006C71B8"/>
    <w:rsid w:val="006C74CD"/>
    <w:rsid w:val="006C77DA"/>
    <w:rsid w:val="006D04E7"/>
    <w:rsid w:val="006D0541"/>
    <w:rsid w:val="006D1C5A"/>
    <w:rsid w:val="006D37CA"/>
    <w:rsid w:val="006D6A09"/>
    <w:rsid w:val="006D73B0"/>
    <w:rsid w:val="006E13AA"/>
    <w:rsid w:val="006E2AFD"/>
    <w:rsid w:val="006E31C3"/>
    <w:rsid w:val="006E3677"/>
    <w:rsid w:val="006E5DC1"/>
    <w:rsid w:val="006E5F66"/>
    <w:rsid w:val="006E612C"/>
    <w:rsid w:val="006F03F6"/>
    <w:rsid w:val="006F179A"/>
    <w:rsid w:val="006F6830"/>
    <w:rsid w:val="006F6F5A"/>
    <w:rsid w:val="006F7BDF"/>
    <w:rsid w:val="00700183"/>
    <w:rsid w:val="0070308F"/>
    <w:rsid w:val="00703106"/>
    <w:rsid w:val="00703185"/>
    <w:rsid w:val="00704255"/>
    <w:rsid w:val="00704714"/>
    <w:rsid w:val="007058E9"/>
    <w:rsid w:val="00705ACF"/>
    <w:rsid w:val="00706400"/>
    <w:rsid w:val="0070670E"/>
    <w:rsid w:val="00711DAF"/>
    <w:rsid w:val="00711EC1"/>
    <w:rsid w:val="00713191"/>
    <w:rsid w:val="00713938"/>
    <w:rsid w:val="00713C13"/>
    <w:rsid w:val="0071507E"/>
    <w:rsid w:val="00715628"/>
    <w:rsid w:val="00715F30"/>
    <w:rsid w:val="0071738C"/>
    <w:rsid w:val="00717FFD"/>
    <w:rsid w:val="00720881"/>
    <w:rsid w:val="00720D6C"/>
    <w:rsid w:val="00721881"/>
    <w:rsid w:val="00721D0D"/>
    <w:rsid w:val="00722585"/>
    <w:rsid w:val="007229D0"/>
    <w:rsid w:val="00722EC9"/>
    <w:rsid w:val="007233F6"/>
    <w:rsid w:val="0072354F"/>
    <w:rsid w:val="007240A4"/>
    <w:rsid w:val="00725278"/>
    <w:rsid w:val="00726648"/>
    <w:rsid w:val="00727BE7"/>
    <w:rsid w:val="007310F4"/>
    <w:rsid w:val="00731C57"/>
    <w:rsid w:val="007328A5"/>
    <w:rsid w:val="007348E7"/>
    <w:rsid w:val="00734C62"/>
    <w:rsid w:val="00735AD5"/>
    <w:rsid w:val="00735E15"/>
    <w:rsid w:val="007370E5"/>
    <w:rsid w:val="00737505"/>
    <w:rsid w:val="00742D87"/>
    <w:rsid w:val="00742ECB"/>
    <w:rsid w:val="007434FA"/>
    <w:rsid w:val="0074432E"/>
    <w:rsid w:val="00745B78"/>
    <w:rsid w:val="00745D1F"/>
    <w:rsid w:val="00747C8D"/>
    <w:rsid w:val="00747FB5"/>
    <w:rsid w:val="007523F4"/>
    <w:rsid w:val="0075243E"/>
    <w:rsid w:val="0075421D"/>
    <w:rsid w:val="0075512A"/>
    <w:rsid w:val="00755F97"/>
    <w:rsid w:val="00756558"/>
    <w:rsid w:val="00756868"/>
    <w:rsid w:val="007576B9"/>
    <w:rsid w:val="00757A14"/>
    <w:rsid w:val="007601B5"/>
    <w:rsid w:val="0076122B"/>
    <w:rsid w:val="00761EC7"/>
    <w:rsid w:val="007622DC"/>
    <w:rsid w:val="00762420"/>
    <w:rsid w:val="00766E04"/>
    <w:rsid w:val="00766EC5"/>
    <w:rsid w:val="007735E9"/>
    <w:rsid w:val="00774C6B"/>
    <w:rsid w:val="0077566F"/>
    <w:rsid w:val="007761C0"/>
    <w:rsid w:val="0077732C"/>
    <w:rsid w:val="00781DD8"/>
    <w:rsid w:val="00782D15"/>
    <w:rsid w:val="00783FB7"/>
    <w:rsid w:val="00784C52"/>
    <w:rsid w:val="00787C29"/>
    <w:rsid w:val="0079029D"/>
    <w:rsid w:val="007905B0"/>
    <w:rsid w:val="00791596"/>
    <w:rsid w:val="00791A0B"/>
    <w:rsid w:val="0079282C"/>
    <w:rsid w:val="00793851"/>
    <w:rsid w:val="00793C21"/>
    <w:rsid w:val="0079499E"/>
    <w:rsid w:val="00795A34"/>
    <w:rsid w:val="00795A64"/>
    <w:rsid w:val="00796A94"/>
    <w:rsid w:val="00796D9E"/>
    <w:rsid w:val="00797E40"/>
    <w:rsid w:val="007A0DA9"/>
    <w:rsid w:val="007A2B46"/>
    <w:rsid w:val="007A3820"/>
    <w:rsid w:val="007A4352"/>
    <w:rsid w:val="007A48DE"/>
    <w:rsid w:val="007A6F04"/>
    <w:rsid w:val="007A6F44"/>
    <w:rsid w:val="007A79E6"/>
    <w:rsid w:val="007B0A8C"/>
    <w:rsid w:val="007B0B86"/>
    <w:rsid w:val="007B1722"/>
    <w:rsid w:val="007B2071"/>
    <w:rsid w:val="007B49B6"/>
    <w:rsid w:val="007B5761"/>
    <w:rsid w:val="007B58AA"/>
    <w:rsid w:val="007B623A"/>
    <w:rsid w:val="007B7765"/>
    <w:rsid w:val="007C0A89"/>
    <w:rsid w:val="007C0F37"/>
    <w:rsid w:val="007C14D1"/>
    <w:rsid w:val="007C174E"/>
    <w:rsid w:val="007C216E"/>
    <w:rsid w:val="007C2AAB"/>
    <w:rsid w:val="007C5487"/>
    <w:rsid w:val="007C5670"/>
    <w:rsid w:val="007D01F7"/>
    <w:rsid w:val="007D07CA"/>
    <w:rsid w:val="007D1F30"/>
    <w:rsid w:val="007D24E5"/>
    <w:rsid w:val="007D2BD3"/>
    <w:rsid w:val="007D328D"/>
    <w:rsid w:val="007D3B36"/>
    <w:rsid w:val="007D4833"/>
    <w:rsid w:val="007D4DBC"/>
    <w:rsid w:val="007D572B"/>
    <w:rsid w:val="007D59A5"/>
    <w:rsid w:val="007D6A28"/>
    <w:rsid w:val="007D7219"/>
    <w:rsid w:val="007E07D1"/>
    <w:rsid w:val="007E0C38"/>
    <w:rsid w:val="007E0CDA"/>
    <w:rsid w:val="007E1C3A"/>
    <w:rsid w:val="007E34E0"/>
    <w:rsid w:val="007E3593"/>
    <w:rsid w:val="007E55BC"/>
    <w:rsid w:val="007E6684"/>
    <w:rsid w:val="007E68D4"/>
    <w:rsid w:val="007E6BDA"/>
    <w:rsid w:val="007F01EB"/>
    <w:rsid w:val="007F14D2"/>
    <w:rsid w:val="007F4FC7"/>
    <w:rsid w:val="007F5521"/>
    <w:rsid w:val="007F56DB"/>
    <w:rsid w:val="007F7D02"/>
    <w:rsid w:val="00800A12"/>
    <w:rsid w:val="00802CB8"/>
    <w:rsid w:val="00802CCF"/>
    <w:rsid w:val="00803A42"/>
    <w:rsid w:val="0080520D"/>
    <w:rsid w:val="008064B8"/>
    <w:rsid w:val="00806B93"/>
    <w:rsid w:val="00810D71"/>
    <w:rsid w:val="00811BF0"/>
    <w:rsid w:val="00813101"/>
    <w:rsid w:val="00813A00"/>
    <w:rsid w:val="008163EA"/>
    <w:rsid w:val="00816FD3"/>
    <w:rsid w:val="00817D8A"/>
    <w:rsid w:val="0082013B"/>
    <w:rsid w:val="00821703"/>
    <w:rsid w:val="00821D29"/>
    <w:rsid w:val="00821F8C"/>
    <w:rsid w:val="00822FA9"/>
    <w:rsid w:val="008232A5"/>
    <w:rsid w:val="008255CB"/>
    <w:rsid w:val="00831379"/>
    <w:rsid w:val="00831F2D"/>
    <w:rsid w:val="008323FF"/>
    <w:rsid w:val="008326D4"/>
    <w:rsid w:val="00834036"/>
    <w:rsid w:val="00834963"/>
    <w:rsid w:val="00834F35"/>
    <w:rsid w:val="00835B7B"/>
    <w:rsid w:val="00836620"/>
    <w:rsid w:val="00836941"/>
    <w:rsid w:val="008376CC"/>
    <w:rsid w:val="00837B07"/>
    <w:rsid w:val="00840E68"/>
    <w:rsid w:val="00841D95"/>
    <w:rsid w:val="0084213B"/>
    <w:rsid w:val="00843BE6"/>
    <w:rsid w:val="00843C41"/>
    <w:rsid w:val="0084526F"/>
    <w:rsid w:val="0084585D"/>
    <w:rsid w:val="008462E4"/>
    <w:rsid w:val="00846FDF"/>
    <w:rsid w:val="0084712B"/>
    <w:rsid w:val="00847259"/>
    <w:rsid w:val="00847A00"/>
    <w:rsid w:val="0085032D"/>
    <w:rsid w:val="00850B91"/>
    <w:rsid w:val="00850D14"/>
    <w:rsid w:val="008516DC"/>
    <w:rsid w:val="00851ED0"/>
    <w:rsid w:val="00852421"/>
    <w:rsid w:val="00852A4D"/>
    <w:rsid w:val="00855314"/>
    <w:rsid w:val="00855FDE"/>
    <w:rsid w:val="008560AB"/>
    <w:rsid w:val="0085624B"/>
    <w:rsid w:val="00856436"/>
    <w:rsid w:val="00857184"/>
    <w:rsid w:val="008576B9"/>
    <w:rsid w:val="00857C4C"/>
    <w:rsid w:val="00860656"/>
    <w:rsid w:val="0086144E"/>
    <w:rsid w:val="0086381B"/>
    <w:rsid w:val="00863DE8"/>
    <w:rsid w:val="00863F7D"/>
    <w:rsid w:val="00864376"/>
    <w:rsid w:val="00864742"/>
    <w:rsid w:val="0086485A"/>
    <w:rsid w:val="008660C8"/>
    <w:rsid w:val="0087215F"/>
    <w:rsid w:val="00872B25"/>
    <w:rsid w:val="0087416C"/>
    <w:rsid w:val="008743D9"/>
    <w:rsid w:val="00874BAF"/>
    <w:rsid w:val="008762D2"/>
    <w:rsid w:val="00876C96"/>
    <w:rsid w:val="0088007B"/>
    <w:rsid w:val="008809E1"/>
    <w:rsid w:val="00880C95"/>
    <w:rsid w:val="00881E70"/>
    <w:rsid w:val="008824B4"/>
    <w:rsid w:val="008825B2"/>
    <w:rsid w:val="00882C24"/>
    <w:rsid w:val="0088398D"/>
    <w:rsid w:val="00883EEE"/>
    <w:rsid w:val="00883F1C"/>
    <w:rsid w:val="00884092"/>
    <w:rsid w:val="0088457C"/>
    <w:rsid w:val="00885490"/>
    <w:rsid w:val="00886FC4"/>
    <w:rsid w:val="00887F1E"/>
    <w:rsid w:val="0089046D"/>
    <w:rsid w:val="00892660"/>
    <w:rsid w:val="008927D6"/>
    <w:rsid w:val="00892E49"/>
    <w:rsid w:val="008934C1"/>
    <w:rsid w:val="0089420A"/>
    <w:rsid w:val="00894E38"/>
    <w:rsid w:val="008975F3"/>
    <w:rsid w:val="008A0273"/>
    <w:rsid w:val="008A06FA"/>
    <w:rsid w:val="008A1709"/>
    <w:rsid w:val="008A2052"/>
    <w:rsid w:val="008A22B6"/>
    <w:rsid w:val="008A2C8E"/>
    <w:rsid w:val="008A3523"/>
    <w:rsid w:val="008A3C0C"/>
    <w:rsid w:val="008A3F5E"/>
    <w:rsid w:val="008A3F8C"/>
    <w:rsid w:val="008A446F"/>
    <w:rsid w:val="008A45B7"/>
    <w:rsid w:val="008A4B04"/>
    <w:rsid w:val="008A5072"/>
    <w:rsid w:val="008A547F"/>
    <w:rsid w:val="008A5B78"/>
    <w:rsid w:val="008A6284"/>
    <w:rsid w:val="008B0E85"/>
    <w:rsid w:val="008B108E"/>
    <w:rsid w:val="008B112D"/>
    <w:rsid w:val="008B11EE"/>
    <w:rsid w:val="008B2C48"/>
    <w:rsid w:val="008B3C5B"/>
    <w:rsid w:val="008B423A"/>
    <w:rsid w:val="008B5132"/>
    <w:rsid w:val="008B5341"/>
    <w:rsid w:val="008B625E"/>
    <w:rsid w:val="008B6FEF"/>
    <w:rsid w:val="008B739A"/>
    <w:rsid w:val="008B75F2"/>
    <w:rsid w:val="008C0EB9"/>
    <w:rsid w:val="008C13AB"/>
    <w:rsid w:val="008C1D6A"/>
    <w:rsid w:val="008C1F52"/>
    <w:rsid w:val="008C291A"/>
    <w:rsid w:val="008C37DB"/>
    <w:rsid w:val="008C38AD"/>
    <w:rsid w:val="008C39FA"/>
    <w:rsid w:val="008C45E7"/>
    <w:rsid w:val="008C4734"/>
    <w:rsid w:val="008C4A91"/>
    <w:rsid w:val="008C6635"/>
    <w:rsid w:val="008C6AE6"/>
    <w:rsid w:val="008C7E2D"/>
    <w:rsid w:val="008D1674"/>
    <w:rsid w:val="008D1A6D"/>
    <w:rsid w:val="008D1BCF"/>
    <w:rsid w:val="008D2A87"/>
    <w:rsid w:val="008D30BC"/>
    <w:rsid w:val="008D496C"/>
    <w:rsid w:val="008D769C"/>
    <w:rsid w:val="008E03D7"/>
    <w:rsid w:val="008E1BEF"/>
    <w:rsid w:val="008E40CB"/>
    <w:rsid w:val="008E53AF"/>
    <w:rsid w:val="008E5D54"/>
    <w:rsid w:val="008F003F"/>
    <w:rsid w:val="008F05EE"/>
    <w:rsid w:val="008F0601"/>
    <w:rsid w:val="008F2E6C"/>
    <w:rsid w:val="008F565B"/>
    <w:rsid w:val="008F593B"/>
    <w:rsid w:val="008F5BFB"/>
    <w:rsid w:val="008F5E80"/>
    <w:rsid w:val="008F6408"/>
    <w:rsid w:val="008F73D4"/>
    <w:rsid w:val="009016A9"/>
    <w:rsid w:val="00901F62"/>
    <w:rsid w:val="0090203E"/>
    <w:rsid w:val="00902CC5"/>
    <w:rsid w:val="00903A1E"/>
    <w:rsid w:val="009046AD"/>
    <w:rsid w:val="00904DB2"/>
    <w:rsid w:val="0090597E"/>
    <w:rsid w:val="00905F4C"/>
    <w:rsid w:val="00906265"/>
    <w:rsid w:val="009065AC"/>
    <w:rsid w:val="0090685D"/>
    <w:rsid w:val="0090775D"/>
    <w:rsid w:val="009079B0"/>
    <w:rsid w:val="00910607"/>
    <w:rsid w:val="00910FFC"/>
    <w:rsid w:val="009122DE"/>
    <w:rsid w:val="00914466"/>
    <w:rsid w:val="00915927"/>
    <w:rsid w:val="009166A7"/>
    <w:rsid w:val="00916845"/>
    <w:rsid w:val="00917029"/>
    <w:rsid w:val="009170F3"/>
    <w:rsid w:val="009175F8"/>
    <w:rsid w:val="00922A73"/>
    <w:rsid w:val="00922CE3"/>
    <w:rsid w:val="009239F7"/>
    <w:rsid w:val="00925AD6"/>
    <w:rsid w:val="00925FA4"/>
    <w:rsid w:val="0092671C"/>
    <w:rsid w:val="00926A46"/>
    <w:rsid w:val="009275F9"/>
    <w:rsid w:val="00927CFB"/>
    <w:rsid w:val="00930487"/>
    <w:rsid w:val="009305B1"/>
    <w:rsid w:val="00930B3C"/>
    <w:rsid w:val="00932E7E"/>
    <w:rsid w:val="009332BD"/>
    <w:rsid w:val="009336B1"/>
    <w:rsid w:val="00935BEF"/>
    <w:rsid w:val="0093666B"/>
    <w:rsid w:val="00936851"/>
    <w:rsid w:val="00936D17"/>
    <w:rsid w:val="00937A74"/>
    <w:rsid w:val="009400C9"/>
    <w:rsid w:val="00941425"/>
    <w:rsid w:val="00945315"/>
    <w:rsid w:val="00946914"/>
    <w:rsid w:val="00946BB3"/>
    <w:rsid w:val="00950074"/>
    <w:rsid w:val="00950175"/>
    <w:rsid w:val="00951614"/>
    <w:rsid w:val="00952CBE"/>
    <w:rsid w:val="00953210"/>
    <w:rsid w:val="00953625"/>
    <w:rsid w:val="00954D20"/>
    <w:rsid w:val="009551E8"/>
    <w:rsid w:val="009559AB"/>
    <w:rsid w:val="009559D1"/>
    <w:rsid w:val="00955C8D"/>
    <w:rsid w:val="00956241"/>
    <w:rsid w:val="00956516"/>
    <w:rsid w:val="00956F36"/>
    <w:rsid w:val="009571B3"/>
    <w:rsid w:val="009605DF"/>
    <w:rsid w:val="009621CD"/>
    <w:rsid w:val="009624D5"/>
    <w:rsid w:val="0096333E"/>
    <w:rsid w:val="00964377"/>
    <w:rsid w:val="00967F14"/>
    <w:rsid w:val="0097076B"/>
    <w:rsid w:val="00971E55"/>
    <w:rsid w:val="00973387"/>
    <w:rsid w:val="009744B1"/>
    <w:rsid w:val="00976C47"/>
    <w:rsid w:val="00976C74"/>
    <w:rsid w:val="00976D9C"/>
    <w:rsid w:val="00977350"/>
    <w:rsid w:val="00977B8F"/>
    <w:rsid w:val="009800C0"/>
    <w:rsid w:val="00985AE3"/>
    <w:rsid w:val="00985F57"/>
    <w:rsid w:val="009864F8"/>
    <w:rsid w:val="0098660A"/>
    <w:rsid w:val="00987900"/>
    <w:rsid w:val="0099004C"/>
    <w:rsid w:val="00990335"/>
    <w:rsid w:val="009907E3"/>
    <w:rsid w:val="0099105A"/>
    <w:rsid w:val="00991486"/>
    <w:rsid w:val="009916A1"/>
    <w:rsid w:val="00991A98"/>
    <w:rsid w:val="00991AAB"/>
    <w:rsid w:val="00991C71"/>
    <w:rsid w:val="00992587"/>
    <w:rsid w:val="00992A5A"/>
    <w:rsid w:val="00993016"/>
    <w:rsid w:val="00995096"/>
    <w:rsid w:val="009979BF"/>
    <w:rsid w:val="009A00CD"/>
    <w:rsid w:val="009A1002"/>
    <w:rsid w:val="009A1BA6"/>
    <w:rsid w:val="009A343E"/>
    <w:rsid w:val="009A3EE9"/>
    <w:rsid w:val="009A4847"/>
    <w:rsid w:val="009A4D86"/>
    <w:rsid w:val="009A52A8"/>
    <w:rsid w:val="009A54CB"/>
    <w:rsid w:val="009A6724"/>
    <w:rsid w:val="009A72B5"/>
    <w:rsid w:val="009A7761"/>
    <w:rsid w:val="009A7C82"/>
    <w:rsid w:val="009B0E83"/>
    <w:rsid w:val="009B14E5"/>
    <w:rsid w:val="009B1ED1"/>
    <w:rsid w:val="009B3FCC"/>
    <w:rsid w:val="009B45D4"/>
    <w:rsid w:val="009B4CB0"/>
    <w:rsid w:val="009B683B"/>
    <w:rsid w:val="009B70EC"/>
    <w:rsid w:val="009B74A0"/>
    <w:rsid w:val="009B78C6"/>
    <w:rsid w:val="009C0A3B"/>
    <w:rsid w:val="009C2714"/>
    <w:rsid w:val="009C3AE8"/>
    <w:rsid w:val="009C4291"/>
    <w:rsid w:val="009C46DD"/>
    <w:rsid w:val="009C4B04"/>
    <w:rsid w:val="009C5620"/>
    <w:rsid w:val="009C5654"/>
    <w:rsid w:val="009C59F1"/>
    <w:rsid w:val="009C6116"/>
    <w:rsid w:val="009C6EB6"/>
    <w:rsid w:val="009C7AA1"/>
    <w:rsid w:val="009D20C2"/>
    <w:rsid w:val="009D6722"/>
    <w:rsid w:val="009E06A6"/>
    <w:rsid w:val="009E0E9F"/>
    <w:rsid w:val="009E3E0E"/>
    <w:rsid w:val="009E4207"/>
    <w:rsid w:val="009E4BFC"/>
    <w:rsid w:val="009E6457"/>
    <w:rsid w:val="009E78CC"/>
    <w:rsid w:val="009F048B"/>
    <w:rsid w:val="009F0BC9"/>
    <w:rsid w:val="009F1F3E"/>
    <w:rsid w:val="009F2605"/>
    <w:rsid w:val="009F2758"/>
    <w:rsid w:val="009F294B"/>
    <w:rsid w:val="009F39D9"/>
    <w:rsid w:val="009F3F61"/>
    <w:rsid w:val="009F40FE"/>
    <w:rsid w:val="009F4CFB"/>
    <w:rsid w:val="009F4EC0"/>
    <w:rsid w:val="009F54CB"/>
    <w:rsid w:val="009F5782"/>
    <w:rsid w:val="009F5B45"/>
    <w:rsid w:val="009F7176"/>
    <w:rsid w:val="009F731A"/>
    <w:rsid w:val="009F7998"/>
    <w:rsid w:val="00A00301"/>
    <w:rsid w:val="00A0093C"/>
    <w:rsid w:val="00A00C04"/>
    <w:rsid w:val="00A01467"/>
    <w:rsid w:val="00A01D09"/>
    <w:rsid w:val="00A02FDD"/>
    <w:rsid w:val="00A043F6"/>
    <w:rsid w:val="00A058C6"/>
    <w:rsid w:val="00A05FD8"/>
    <w:rsid w:val="00A064FE"/>
    <w:rsid w:val="00A06DE7"/>
    <w:rsid w:val="00A07102"/>
    <w:rsid w:val="00A075CB"/>
    <w:rsid w:val="00A07C32"/>
    <w:rsid w:val="00A126AB"/>
    <w:rsid w:val="00A13385"/>
    <w:rsid w:val="00A14E4C"/>
    <w:rsid w:val="00A1692F"/>
    <w:rsid w:val="00A16D21"/>
    <w:rsid w:val="00A16D43"/>
    <w:rsid w:val="00A1716C"/>
    <w:rsid w:val="00A21AAF"/>
    <w:rsid w:val="00A23B3F"/>
    <w:rsid w:val="00A2426B"/>
    <w:rsid w:val="00A244A6"/>
    <w:rsid w:val="00A250C9"/>
    <w:rsid w:val="00A25158"/>
    <w:rsid w:val="00A25264"/>
    <w:rsid w:val="00A2638A"/>
    <w:rsid w:val="00A27C2C"/>
    <w:rsid w:val="00A30AC0"/>
    <w:rsid w:val="00A30B75"/>
    <w:rsid w:val="00A32653"/>
    <w:rsid w:val="00A333B3"/>
    <w:rsid w:val="00A33E7D"/>
    <w:rsid w:val="00A35226"/>
    <w:rsid w:val="00A35320"/>
    <w:rsid w:val="00A35A0F"/>
    <w:rsid w:val="00A36E0B"/>
    <w:rsid w:val="00A3737E"/>
    <w:rsid w:val="00A37D0D"/>
    <w:rsid w:val="00A40A5A"/>
    <w:rsid w:val="00A4104E"/>
    <w:rsid w:val="00A4309C"/>
    <w:rsid w:val="00A4353B"/>
    <w:rsid w:val="00A44E7F"/>
    <w:rsid w:val="00A464BE"/>
    <w:rsid w:val="00A473B3"/>
    <w:rsid w:val="00A47914"/>
    <w:rsid w:val="00A47D7A"/>
    <w:rsid w:val="00A47ED5"/>
    <w:rsid w:val="00A47FBA"/>
    <w:rsid w:val="00A50546"/>
    <w:rsid w:val="00A50958"/>
    <w:rsid w:val="00A510BE"/>
    <w:rsid w:val="00A517EA"/>
    <w:rsid w:val="00A51B76"/>
    <w:rsid w:val="00A527D3"/>
    <w:rsid w:val="00A534AC"/>
    <w:rsid w:val="00A5389A"/>
    <w:rsid w:val="00A54705"/>
    <w:rsid w:val="00A54711"/>
    <w:rsid w:val="00A55243"/>
    <w:rsid w:val="00A557ED"/>
    <w:rsid w:val="00A55F39"/>
    <w:rsid w:val="00A56C91"/>
    <w:rsid w:val="00A57C54"/>
    <w:rsid w:val="00A60458"/>
    <w:rsid w:val="00A61EBD"/>
    <w:rsid w:val="00A626CF"/>
    <w:rsid w:val="00A62EEB"/>
    <w:rsid w:val="00A63962"/>
    <w:rsid w:val="00A63AB4"/>
    <w:rsid w:val="00A63B87"/>
    <w:rsid w:val="00A64BC5"/>
    <w:rsid w:val="00A6543C"/>
    <w:rsid w:val="00A65C56"/>
    <w:rsid w:val="00A66E69"/>
    <w:rsid w:val="00A67757"/>
    <w:rsid w:val="00A677E5"/>
    <w:rsid w:val="00A70DF0"/>
    <w:rsid w:val="00A72353"/>
    <w:rsid w:val="00A75864"/>
    <w:rsid w:val="00A76A17"/>
    <w:rsid w:val="00A773A6"/>
    <w:rsid w:val="00A81210"/>
    <w:rsid w:val="00A83AD1"/>
    <w:rsid w:val="00A845B9"/>
    <w:rsid w:val="00A861C8"/>
    <w:rsid w:val="00A864C7"/>
    <w:rsid w:val="00A86AF5"/>
    <w:rsid w:val="00A86EEE"/>
    <w:rsid w:val="00A937C4"/>
    <w:rsid w:val="00A944C6"/>
    <w:rsid w:val="00A94871"/>
    <w:rsid w:val="00A971DC"/>
    <w:rsid w:val="00A9739D"/>
    <w:rsid w:val="00A97B80"/>
    <w:rsid w:val="00AA098A"/>
    <w:rsid w:val="00AA101A"/>
    <w:rsid w:val="00AA116C"/>
    <w:rsid w:val="00AA40A7"/>
    <w:rsid w:val="00AA5C86"/>
    <w:rsid w:val="00AA628C"/>
    <w:rsid w:val="00AA68E7"/>
    <w:rsid w:val="00AA6BE8"/>
    <w:rsid w:val="00AA7183"/>
    <w:rsid w:val="00AB0BF6"/>
    <w:rsid w:val="00AB13AC"/>
    <w:rsid w:val="00AB1C80"/>
    <w:rsid w:val="00AB3220"/>
    <w:rsid w:val="00AB4D2D"/>
    <w:rsid w:val="00AB5DB0"/>
    <w:rsid w:val="00AB6310"/>
    <w:rsid w:val="00AB690F"/>
    <w:rsid w:val="00AB76A5"/>
    <w:rsid w:val="00AB78D5"/>
    <w:rsid w:val="00AC002D"/>
    <w:rsid w:val="00AC04CF"/>
    <w:rsid w:val="00AC06DA"/>
    <w:rsid w:val="00AC0D2A"/>
    <w:rsid w:val="00AC1880"/>
    <w:rsid w:val="00AC2A00"/>
    <w:rsid w:val="00AC2FC8"/>
    <w:rsid w:val="00AC31EA"/>
    <w:rsid w:val="00AC3710"/>
    <w:rsid w:val="00AC3F4D"/>
    <w:rsid w:val="00AC420A"/>
    <w:rsid w:val="00AC4411"/>
    <w:rsid w:val="00AC4591"/>
    <w:rsid w:val="00AC6C2F"/>
    <w:rsid w:val="00AC6F13"/>
    <w:rsid w:val="00AC7697"/>
    <w:rsid w:val="00AC787B"/>
    <w:rsid w:val="00AC7D7B"/>
    <w:rsid w:val="00AD033B"/>
    <w:rsid w:val="00AD0EAD"/>
    <w:rsid w:val="00AD1776"/>
    <w:rsid w:val="00AD2802"/>
    <w:rsid w:val="00AD2E36"/>
    <w:rsid w:val="00AD3AC9"/>
    <w:rsid w:val="00AD4054"/>
    <w:rsid w:val="00AD4F63"/>
    <w:rsid w:val="00AD5A66"/>
    <w:rsid w:val="00AD724D"/>
    <w:rsid w:val="00AD7A10"/>
    <w:rsid w:val="00AD7B90"/>
    <w:rsid w:val="00AE08FA"/>
    <w:rsid w:val="00AE13D9"/>
    <w:rsid w:val="00AE423E"/>
    <w:rsid w:val="00AE575A"/>
    <w:rsid w:val="00AE6E4D"/>
    <w:rsid w:val="00AF0419"/>
    <w:rsid w:val="00AF0522"/>
    <w:rsid w:val="00AF0688"/>
    <w:rsid w:val="00AF0FEB"/>
    <w:rsid w:val="00AF1E4A"/>
    <w:rsid w:val="00AF2184"/>
    <w:rsid w:val="00AF2544"/>
    <w:rsid w:val="00AF4F91"/>
    <w:rsid w:val="00AF6084"/>
    <w:rsid w:val="00AF6262"/>
    <w:rsid w:val="00B00D35"/>
    <w:rsid w:val="00B02403"/>
    <w:rsid w:val="00B039D8"/>
    <w:rsid w:val="00B0456A"/>
    <w:rsid w:val="00B053DC"/>
    <w:rsid w:val="00B053E8"/>
    <w:rsid w:val="00B05657"/>
    <w:rsid w:val="00B0567E"/>
    <w:rsid w:val="00B06064"/>
    <w:rsid w:val="00B07F68"/>
    <w:rsid w:val="00B102B8"/>
    <w:rsid w:val="00B104B1"/>
    <w:rsid w:val="00B117A9"/>
    <w:rsid w:val="00B11DEA"/>
    <w:rsid w:val="00B1282A"/>
    <w:rsid w:val="00B12F93"/>
    <w:rsid w:val="00B139E3"/>
    <w:rsid w:val="00B14A36"/>
    <w:rsid w:val="00B155A8"/>
    <w:rsid w:val="00B16D35"/>
    <w:rsid w:val="00B16F11"/>
    <w:rsid w:val="00B17001"/>
    <w:rsid w:val="00B17F25"/>
    <w:rsid w:val="00B20047"/>
    <w:rsid w:val="00B20686"/>
    <w:rsid w:val="00B20F67"/>
    <w:rsid w:val="00B22563"/>
    <w:rsid w:val="00B2443A"/>
    <w:rsid w:val="00B273E0"/>
    <w:rsid w:val="00B2793F"/>
    <w:rsid w:val="00B27BEC"/>
    <w:rsid w:val="00B31EEF"/>
    <w:rsid w:val="00B32D90"/>
    <w:rsid w:val="00B34D19"/>
    <w:rsid w:val="00B35D4A"/>
    <w:rsid w:val="00B35DA9"/>
    <w:rsid w:val="00B36632"/>
    <w:rsid w:val="00B3670C"/>
    <w:rsid w:val="00B36CD7"/>
    <w:rsid w:val="00B37102"/>
    <w:rsid w:val="00B37403"/>
    <w:rsid w:val="00B37C70"/>
    <w:rsid w:val="00B37CC6"/>
    <w:rsid w:val="00B4011B"/>
    <w:rsid w:val="00B41001"/>
    <w:rsid w:val="00B41AB1"/>
    <w:rsid w:val="00B42426"/>
    <w:rsid w:val="00B43744"/>
    <w:rsid w:val="00B43FE9"/>
    <w:rsid w:val="00B44A7F"/>
    <w:rsid w:val="00B44F3A"/>
    <w:rsid w:val="00B468A3"/>
    <w:rsid w:val="00B47061"/>
    <w:rsid w:val="00B4777C"/>
    <w:rsid w:val="00B50576"/>
    <w:rsid w:val="00B51BBC"/>
    <w:rsid w:val="00B51D75"/>
    <w:rsid w:val="00B54553"/>
    <w:rsid w:val="00B5476F"/>
    <w:rsid w:val="00B549F2"/>
    <w:rsid w:val="00B5796B"/>
    <w:rsid w:val="00B60B01"/>
    <w:rsid w:val="00B621DB"/>
    <w:rsid w:val="00B621E0"/>
    <w:rsid w:val="00B63EE8"/>
    <w:rsid w:val="00B6663E"/>
    <w:rsid w:val="00B667BD"/>
    <w:rsid w:val="00B66DEC"/>
    <w:rsid w:val="00B670D2"/>
    <w:rsid w:val="00B67558"/>
    <w:rsid w:val="00B7054E"/>
    <w:rsid w:val="00B7202B"/>
    <w:rsid w:val="00B73643"/>
    <w:rsid w:val="00B736CA"/>
    <w:rsid w:val="00B7443F"/>
    <w:rsid w:val="00B754B3"/>
    <w:rsid w:val="00B75CA6"/>
    <w:rsid w:val="00B766A3"/>
    <w:rsid w:val="00B80E9A"/>
    <w:rsid w:val="00B8282E"/>
    <w:rsid w:val="00B82D0E"/>
    <w:rsid w:val="00B83342"/>
    <w:rsid w:val="00B83933"/>
    <w:rsid w:val="00B84826"/>
    <w:rsid w:val="00B8571F"/>
    <w:rsid w:val="00B86D69"/>
    <w:rsid w:val="00B86DFC"/>
    <w:rsid w:val="00B87032"/>
    <w:rsid w:val="00B906B8"/>
    <w:rsid w:val="00B90D62"/>
    <w:rsid w:val="00B91416"/>
    <w:rsid w:val="00B92909"/>
    <w:rsid w:val="00B9309C"/>
    <w:rsid w:val="00B9340F"/>
    <w:rsid w:val="00B936E3"/>
    <w:rsid w:val="00B93CD6"/>
    <w:rsid w:val="00B9446B"/>
    <w:rsid w:val="00B954C5"/>
    <w:rsid w:val="00B96193"/>
    <w:rsid w:val="00B96428"/>
    <w:rsid w:val="00B97BEC"/>
    <w:rsid w:val="00BA0744"/>
    <w:rsid w:val="00BA0C9E"/>
    <w:rsid w:val="00BA0F2C"/>
    <w:rsid w:val="00BA152E"/>
    <w:rsid w:val="00BA276C"/>
    <w:rsid w:val="00BA2949"/>
    <w:rsid w:val="00BA3293"/>
    <w:rsid w:val="00BA3B28"/>
    <w:rsid w:val="00BA3F89"/>
    <w:rsid w:val="00BA4494"/>
    <w:rsid w:val="00BA512B"/>
    <w:rsid w:val="00BA5FE6"/>
    <w:rsid w:val="00BA78D0"/>
    <w:rsid w:val="00BA7C04"/>
    <w:rsid w:val="00BA7C47"/>
    <w:rsid w:val="00BB0776"/>
    <w:rsid w:val="00BB0AE6"/>
    <w:rsid w:val="00BB13BD"/>
    <w:rsid w:val="00BB31D3"/>
    <w:rsid w:val="00BB36A3"/>
    <w:rsid w:val="00BB4CA6"/>
    <w:rsid w:val="00BB5D77"/>
    <w:rsid w:val="00BB5FDC"/>
    <w:rsid w:val="00BB6423"/>
    <w:rsid w:val="00BB64D1"/>
    <w:rsid w:val="00BB65EE"/>
    <w:rsid w:val="00BB747D"/>
    <w:rsid w:val="00BC0013"/>
    <w:rsid w:val="00BC02B8"/>
    <w:rsid w:val="00BC0408"/>
    <w:rsid w:val="00BC0570"/>
    <w:rsid w:val="00BC0CA3"/>
    <w:rsid w:val="00BC1029"/>
    <w:rsid w:val="00BC140E"/>
    <w:rsid w:val="00BC1C43"/>
    <w:rsid w:val="00BC20A0"/>
    <w:rsid w:val="00BC3F7B"/>
    <w:rsid w:val="00BC47F0"/>
    <w:rsid w:val="00BC4F2E"/>
    <w:rsid w:val="00BC7A0D"/>
    <w:rsid w:val="00BD07BD"/>
    <w:rsid w:val="00BD0C45"/>
    <w:rsid w:val="00BD2D87"/>
    <w:rsid w:val="00BD3325"/>
    <w:rsid w:val="00BD5142"/>
    <w:rsid w:val="00BD5A41"/>
    <w:rsid w:val="00BD7A9D"/>
    <w:rsid w:val="00BE0902"/>
    <w:rsid w:val="00BE1667"/>
    <w:rsid w:val="00BE2572"/>
    <w:rsid w:val="00BE26C3"/>
    <w:rsid w:val="00BE5FA1"/>
    <w:rsid w:val="00BE7485"/>
    <w:rsid w:val="00BF036B"/>
    <w:rsid w:val="00BF07A7"/>
    <w:rsid w:val="00BF09E2"/>
    <w:rsid w:val="00BF0B05"/>
    <w:rsid w:val="00BF329C"/>
    <w:rsid w:val="00BF493C"/>
    <w:rsid w:val="00BF6450"/>
    <w:rsid w:val="00BF69CA"/>
    <w:rsid w:val="00C0069F"/>
    <w:rsid w:val="00C01C58"/>
    <w:rsid w:val="00C03165"/>
    <w:rsid w:val="00C04904"/>
    <w:rsid w:val="00C04E8E"/>
    <w:rsid w:val="00C06B2F"/>
    <w:rsid w:val="00C06E83"/>
    <w:rsid w:val="00C10BFD"/>
    <w:rsid w:val="00C1142A"/>
    <w:rsid w:val="00C11DC3"/>
    <w:rsid w:val="00C1344D"/>
    <w:rsid w:val="00C13C0E"/>
    <w:rsid w:val="00C15FB4"/>
    <w:rsid w:val="00C1668F"/>
    <w:rsid w:val="00C17012"/>
    <w:rsid w:val="00C17D17"/>
    <w:rsid w:val="00C200D3"/>
    <w:rsid w:val="00C20B7F"/>
    <w:rsid w:val="00C228DD"/>
    <w:rsid w:val="00C22D22"/>
    <w:rsid w:val="00C22EAF"/>
    <w:rsid w:val="00C23C94"/>
    <w:rsid w:val="00C244F1"/>
    <w:rsid w:val="00C25546"/>
    <w:rsid w:val="00C2670D"/>
    <w:rsid w:val="00C27898"/>
    <w:rsid w:val="00C307D4"/>
    <w:rsid w:val="00C312F4"/>
    <w:rsid w:val="00C33AC6"/>
    <w:rsid w:val="00C349EC"/>
    <w:rsid w:val="00C34E18"/>
    <w:rsid w:val="00C35D8A"/>
    <w:rsid w:val="00C3630F"/>
    <w:rsid w:val="00C36A3D"/>
    <w:rsid w:val="00C3753E"/>
    <w:rsid w:val="00C37817"/>
    <w:rsid w:val="00C4291C"/>
    <w:rsid w:val="00C441A7"/>
    <w:rsid w:val="00C44728"/>
    <w:rsid w:val="00C46902"/>
    <w:rsid w:val="00C46F7E"/>
    <w:rsid w:val="00C47C37"/>
    <w:rsid w:val="00C508EE"/>
    <w:rsid w:val="00C50AC3"/>
    <w:rsid w:val="00C51A44"/>
    <w:rsid w:val="00C520A0"/>
    <w:rsid w:val="00C52B3C"/>
    <w:rsid w:val="00C53052"/>
    <w:rsid w:val="00C54DCC"/>
    <w:rsid w:val="00C55743"/>
    <w:rsid w:val="00C55EC2"/>
    <w:rsid w:val="00C577D3"/>
    <w:rsid w:val="00C577DF"/>
    <w:rsid w:val="00C613B3"/>
    <w:rsid w:val="00C629D1"/>
    <w:rsid w:val="00C63106"/>
    <w:rsid w:val="00C63FA3"/>
    <w:rsid w:val="00C6408A"/>
    <w:rsid w:val="00C652C5"/>
    <w:rsid w:val="00C653D0"/>
    <w:rsid w:val="00C65674"/>
    <w:rsid w:val="00C65A8F"/>
    <w:rsid w:val="00C65B74"/>
    <w:rsid w:val="00C665B2"/>
    <w:rsid w:val="00C67906"/>
    <w:rsid w:val="00C67F5F"/>
    <w:rsid w:val="00C71AAC"/>
    <w:rsid w:val="00C729C6"/>
    <w:rsid w:val="00C7323E"/>
    <w:rsid w:val="00C73AC8"/>
    <w:rsid w:val="00C75671"/>
    <w:rsid w:val="00C76807"/>
    <w:rsid w:val="00C77545"/>
    <w:rsid w:val="00C80E99"/>
    <w:rsid w:val="00C82106"/>
    <w:rsid w:val="00C82FAA"/>
    <w:rsid w:val="00C831B6"/>
    <w:rsid w:val="00C83F21"/>
    <w:rsid w:val="00C845E4"/>
    <w:rsid w:val="00C85215"/>
    <w:rsid w:val="00C85357"/>
    <w:rsid w:val="00C86BCF"/>
    <w:rsid w:val="00C86C6B"/>
    <w:rsid w:val="00C86DC1"/>
    <w:rsid w:val="00C87360"/>
    <w:rsid w:val="00C8766A"/>
    <w:rsid w:val="00C87F3D"/>
    <w:rsid w:val="00C90959"/>
    <w:rsid w:val="00C922EF"/>
    <w:rsid w:val="00C93CA3"/>
    <w:rsid w:val="00C94239"/>
    <w:rsid w:val="00C94243"/>
    <w:rsid w:val="00C95077"/>
    <w:rsid w:val="00C96327"/>
    <w:rsid w:val="00CA037A"/>
    <w:rsid w:val="00CA0AAE"/>
    <w:rsid w:val="00CA1293"/>
    <w:rsid w:val="00CA2981"/>
    <w:rsid w:val="00CA5494"/>
    <w:rsid w:val="00CA5A98"/>
    <w:rsid w:val="00CA5BA4"/>
    <w:rsid w:val="00CA5F83"/>
    <w:rsid w:val="00CA6067"/>
    <w:rsid w:val="00CA70AC"/>
    <w:rsid w:val="00CA7782"/>
    <w:rsid w:val="00CB070A"/>
    <w:rsid w:val="00CB09BF"/>
    <w:rsid w:val="00CB128A"/>
    <w:rsid w:val="00CB143E"/>
    <w:rsid w:val="00CB185A"/>
    <w:rsid w:val="00CB1FD4"/>
    <w:rsid w:val="00CB250F"/>
    <w:rsid w:val="00CB2FD1"/>
    <w:rsid w:val="00CB42B2"/>
    <w:rsid w:val="00CB4F3E"/>
    <w:rsid w:val="00CB5310"/>
    <w:rsid w:val="00CB5C15"/>
    <w:rsid w:val="00CB61FF"/>
    <w:rsid w:val="00CB698B"/>
    <w:rsid w:val="00CB7BD7"/>
    <w:rsid w:val="00CB7C6A"/>
    <w:rsid w:val="00CB7E04"/>
    <w:rsid w:val="00CC3E9A"/>
    <w:rsid w:val="00CC76F5"/>
    <w:rsid w:val="00CD0001"/>
    <w:rsid w:val="00CD165C"/>
    <w:rsid w:val="00CD1892"/>
    <w:rsid w:val="00CD1C46"/>
    <w:rsid w:val="00CD1F22"/>
    <w:rsid w:val="00CD2E98"/>
    <w:rsid w:val="00CD33F3"/>
    <w:rsid w:val="00CD3EC7"/>
    <w:rsid w:val="00CD4101"/>
    <w:rsid w:val="00CD78E7"/>
    <w:rsid w:val="00CE051E"/>
    <w:rsid w:val="00CE0A76"/>
    <w:rsid w:val="00CE1011"/>
    <w:rsid w:val="00CE1572"/>
    <w:rsid w:val="00CE15DA"/>
    <w:rsid w:val="00CE267B"/>
    <w:rsid w:val="00CE2B17"/>
    <w:rsid w:val="00CE30B3"/>
    <w:rsid w:val="00CE4940"/>
    <w:rsid w:val="00CE4DDA"/>
    <w:rsid w:val="00CE4E2E"/>
    <w:rsid w:val="00CE593C"/>
    <w:rsid w:val="00CE5B1F"/>
    <w:rsid w:val="00CE782F"/>
    <w:rsid w:val="00CF05F1"/>
    <w:rsid w:val="00CF0DA8"/>
    <w:rsid w:val="00CF13E2"/>
    <w:rsid w:val="00CF30D7"/>
    <w:rsid w:val="00CF341C"/>
    <w:rsid w:val="00CF365A"/>
    <w:rsid w:val="00CF47C6"/>
    <w:rsid w:val="00CF4CD4"/>
    <w:rsid w:val="00CF4E05"/>
    <w:rsid w:val="00CF534C"/>
    <w:rsid w:val="00D030AA"/>
    <w:rsid w:val="00D04579"/>
    <w:rsid w:val="00D047FE"/>
    <w:rsid w:val="00D06360"/>
    <w:rsid w:val="00D06464"/>
    <w:rsid w:val="00D0768A"/>
    <w:rsid w:val="00D077A3"/>
    <w:rsid w:val="00D1005E"/>
    <w:rsid w:val="00D108D5"/>
    <w:rsid w:val="00D11723"/>
    <w:rsid w:val="00D12AF2"/>
    <w:rsid w:val="00D13267"/>
    <w:rsid w:val="00D13F0C"/>
    <w:rsid w:val="00D140C7"/>
    <w:rsid w:val="00D167E7"/>
    <w:rsid w:val="00D16D16"/>
    <w:rsid w:val="00D17060"/>
    <w:rsid w:val="00D20D3F"/>
    <w:rsid w:val="00D2115C"/>
    <w:rsid w:val="00D23AC0"/>
    <w:rsid w:val="00D24CA6"/>
    <w:rsid w:val="00D25464"/>
    <w:rsid w:val="00D25908"/>
    <w:rsid w:val="00D267A9"/>
    <w:rsid w:val="00D26B10"/>
    <w:rsid w:val="00D26E85"/>
    <w:rsid w:val="00D33DCB"/>
    <w:rsid w:val="00D34AAB"/>
    <w:rsid w:val="00D35D64"/>
    <w:rsid w:val="00D36E64"/>
    <w:rsid w:val="00D371C5"/>
    <w:rsid w:val="00D41440"/>
    <w:rsid w:val="00D41AFC"/>
    <w:rsid w:val="00D4367F"/>
    <w:rsid w:val="00D43EB6"/>
    <w:rsid w:val="00D43ECF"/>
    <w:rsid w:val="00D46C23"/>
    <w:rsid w:val="00D475A6"/>
    <w:rsid w:val="00D50804"/>
    <w:rsid w:val="00D51142"/>
    <w:rsid w:val="00D5169A"/>
    <w:rsid w:val="00D51AE5"/>
    <w:rsid w:val="00D528E5"/>
    <w:rsid w:val="00D52F26"/>
    <w:rsid w:val="00D53871"/>
    <w:rsid w:val="00D55554"/>
    <w:rsid w:val="00D56052"/>
    <w:rsid w:val="00D569CF"/>
    <w:rsid w:val="00D576C6"/>
    <w:rsid w:val="00D57C0F"/>
    <w:rsid w:val="00D57C8E"/>
    <w:rsid w:val="00D60E0F"/>
    <w:rsid w:val="00D60F8F"/>
    <w:rsid w:val="00D6269C"/>
    <w:rsid w:val="00D63E17"/>
    <w:rsid w:val="00D644DC"/>
    <w:rsid w:val="00D671AC"/>
    <w:rsid w:val="00D7264A"/>
    <w:rsid w:val="00D72661"/>
    <w:rsid w:val="00D7287D"/>
    <w:rsid w:val="00D728BD"/>
    <w:rsid w:val="00D7310B"/>
    <w:rsid w:val="00D74B18"/>
    <w:rsid w:val="00D74D1D"/>
    <w:rsid w:val="00D75AD2"/>
    <w:rsid w:val="00D75DC0"/>
    <w:rsid w:val="00D77066"/>
    <w:rsid w:val="00D77638"/>
    <w:rsid w:val="00D7778D"/>
    <w:rsid w:val="00D80A7F"/>
    <w:rsid w:val="00D80C31"/>
    <w:rsid w:val="00D80F62"/>
    <w:rsid w:val="00D812F2"/>
    <w:rsid w:val="00D81586"/>
    <w:rsid w:val="00D81652"/>
    <w:rsid w:val="00D81F4E"/>
    <w:rsid w:val="00D827A1"/>
    <w:rsid w:val="00D82BDA"/>
    <w:rsid w:val="00D83145"/>
    <w:rsid w:val="00D8452C"/>
    <w:rsid w:val="00D84643"/>
    <w:rsid w:val="00D85739"/>
    <w:rsid w:val="00D85C90"/>
    <w:rsid w:val="00D85E61"/>
    <w:rsid w:val="00D87D15"/>
    <w:rsid w:val="00D90857"/>
    <w:rsid w:val="00D913C0"/>
    <w:rsid w:val="00D92359"/>
    <w:rsid w:val="00D95E21"/>
    <w:rsid w:val="00D9631D"/>
    <w:rsid w:val="00D9707C"/>
    <w:rsid w:val="00D973FD"/>
    <w:rsid w:val="00DA0892"/>
    <w:rsid w:val="00DA2FB7"/>
    <w:rsid w:val="00DA38CB"/>
    <w:rsid w:val="00DA4441"/>
    <w:rsid w:val="00DA5405"/>
    <w:rsid w:val="00DA5430"/>
    <w:rsid w:val="00DA5EDA"/>
    <w:rsid w:val="00DA7F1A"/>
    <w:rsid w:val="00DB0B4F"/>
    <w:rsid w:val="00DB0CB6"/>
    <w:rsid w:val="00DB1318"/>
    <w:rsid w:val="00DB1788"/>
    <w:rsid w:val="00DB1822"/>
    <w:rsid w:val="00DB2070"/>
    <w:rsid w:val="00DB262D"/>
    <w:rsid w:val="00DB305B"/>
    <w:rsid w:val="00DB426A"/>
    <w:rsid w:val="00DB43E4"/>
    <w:rsid w:val="00DB5DF5"/>
    <w:rsid w:val="00DB6119"/>
    <w:rsid w:val="00DB6128"/>
    <w:rsid w:val="00DB61A6"/>
    <w:rsid w:val="00DB62A2"/>
    <w:rsid w:val="00DB6CB3"/>
    <w:rsid w:val="00DC0081"/>
    <w:rsid w:val="00DC081C"/>
    <w:rsid w:val="00DC218A"/>
    <w:rsid w:val="00DC4860"/>
    <w:rsid w:val="00DD18BA"/>
    <w:rsid w:val="00DD1BFF"/>
    <w:rsid w:val="00DD2CC9"/>
    <w:rsid w:val="00DD3815"/>
    <w:rsid w:val="00DD4374"/>
    <w:rsid w:val="00DD5B9C"/>
    <w:rsid w:val="00DD6AF0"/>
    <w:rsid w:val="00DD6C51"/>
    <w:rsid w:val="00DD701E"/>
    <w:rsid w:val="00DD7380"/>
    <w:rsid w:val="00DE18FB"/>
    <w:rsid w:val="00DE2327"/>
    <w:rsid w:val="00DE3D3F"/>
    <w:rsid w:val="00DE3F5C"/>
    <w:rsid w:val="00DE3FE8"/>
    <w:rsid w:val="00DE4292"/>
    <w:rsid w:val="00DE42EA"/>
    <w:rsid w:val="00DE47C7"/>
    <w:rsid w:val="00DE4807"/>
    <w:rsid w:val="00DE4D4F"/>
    <w:rsid w:val="00DE6D95"/>
    <w:rsid w:val="00DE7329"/>
    <w:rsid w:val="00DE750B"/>
    <w:rsid w:val="00DF0A95"/>
    <w:rsid w:val="00DF0A99"/>
    <w:rsid w:val="00DF0DAF"/>
    <w:rsid w:val="00DF1B7F"/>
    <w:rsid w:val="00DF1F18"/>
    <w:rsid w:val="00DF2EE2"/>
    <w:rsid w:val="00DF420F"/>
    <w:rsid w:val="00DF6369"/>
    <w:rsid w:val="00DF6B89"/>
    <w:rsid w:val="00DF7D43"/>
    <w:rsid w:val="00DF7F17"/>
    <w:rsid w:val="00E00E08"/>
    <w:rsid w:val="00E01469"/>
    <w:rsid w:val="00E0206C"/>
    <w:rsid w:val="00E02E59"/>
    <w:rsid w:val="00E033EB"/>
    <w:rsid w:val="00E03FE3"/>
    <w:rsid w:val="00E04EBD"/>
    <w:rsid w:val="00E07A02"/>
    <w:rsid w:val="00E10B0D"/>
    <w:rsid w:val="00E10E13"/>
    <w:rsid w:val="00E117D3"/>
    <w:rsid w:val="00E11963"/>
    <w:rsid w:val="00E13673"/>
    <w:rsid w:val="00E14712"/>
    <w:rsid w:val="00E154A7"/>
    <w:rsid w:val="00E16290"/>
    <w:rsid w:val="00E2112C"/>
    <w:rsid w:val="00E22A8A"/>
    <w:rsid w:val="00E22C22"/>
    <w:rsid w:val="00E23F42"/>
    <w:rsid w:val="00E2440D"/>
    <w:rsid w:val="00E24DC8"/>
    <w:rsid w:val="00E25CF7"/>
    <w:rsid w:val="00E273AA"/>
    <w:rsid w:val="00E302AE"/>
    <w:rsid w:val="00E30A4B"/>
    <w:rsid w:val="00E32A39"/>
    <w:rsid w:val="00E3538B"/>
    <w:rsid w:val="00E36249"/>
    <w:rsid w:val="00E37246"/>
    <w:rsid w:val="00E4087A"/>
    <w:rsid w:val="00E415D7"/>
    <w:rsid w:val="00E41DE4"/>
    <w:rsid w:val="00E42136"/>
    <w:rsid w:val="00E42869"/>
    <w:rsid w:val="00E42DB5"/>
    <w:rsid w:val="00E438D6"/>
    <w:rsid w:val="00E463C2"/>
    <w:rsid w:val="00E4643D"/>
    <w:rsid w:val="00E467E3"/>
    <w:rsid w:val="00E468EE"/>
    <w:rsid w:val="00E46A7B"/>
    <w:rsid w:val="00E47EC1"/>
    <w:rsid w:val="00E5009D"/>
    <w:rsid w:val="00E511DD"/>
    <w:rsid w:val="00E51F4E"/>
    <w:rsid w:val="00E54198"/>
    <w:rsid w:val="00E542CB"/>
    <w:rsid w:val="00E5446F"/>
    <w:rsid w:val="00E54587"/>
    <w:rsid w:val="00E54C96"/>
    <w:rsid w:val="00E5583B"/>
    <w:rsid w:val="00E6115F"/>
    <w:rsid w:val="00E62921"/>
    <w:rsid w:val="00E6297E"/>
    <w:rsid w:val="00E62A5A"/>
    <w:rsid w:val="00E63509"/>
    <w:rsid w:val="00E637C3"/>
    <w:rsid w:val="00E639C8"/>
    <w:rsid w:val="00E64ABD"/>
    <w:rsid w:val="00E655EF"/>
    <w:rsid w:val="00E65F46"/>
    <w:rsid w:val="00E66D0E"/>
    <w:rsid w:val="00E70D99"/>
    <w:rsid w:val="00E711C8"/>
    <w:rsid w:val="00E720F2"/>
    <w:rsid w:val="00E7213B"/>
    <w:rsid w:val="00E737EE"/>
    <w:rsid w:val="00E73CE4"/>
    <w:rsid w:val="00E73E0C"/>
    <w:rsid w:val="00E75685"/>
    <w:rsid w:val="00E7658E"/>
    <w:rsid w:val="00E76E8C"/>
    <w:rsid w:val="00E77262"/>
    <w:rsid w:val="00E816C1"/>
    <w:rsid w:val="00E82335"/>
    <w:rsid w:val="00E824D4"/>
    <w:rsid w:val="00E82AD1"/>
    <w:rsid w:val="00E83744"/>
    <w:rsid w:val="00E84B18"/>
    <w:rsid w:val="00E87418"/>
    <w:rsid w:val="00E87477"/>
    <w:rsid w:val="00E90687"/>
    <w:rsid w:val="00E93F7D"/>
    <w:rsid w:val="00E9454B"/>
    <w:rsid w:val="00E9533C"/>
    <w:rsid w:val="00E95BEA"/>
    <w:rsid w:val="00E96168"/>
    <w:rsid w:val="00E9709C"/>
    <w:rsid w:val="00EA13C1"/>
    <w:rsid w:val="00EA207B"/>
    <w:rsid w:val="00EA512F"/>
    <w:rsid w:val="00EA7873"/>
    <w:rsid w:val="00EB0250"/>
    <w:rsid w:val="00EB0D2C"/>
    <w:rsid w:val="00EB1A99"/>
    <w:rsid w:val="00EB2981"/>
    <w:rsid w:val="00EB3AD6"/>
    <w:rsid w:val="00EB43BD"/>
    <w:rsid w:val="00EB4766"/>
    <w:rsid w:val="00EB49CE"/>
    <w:rsid w:val="00EB4B3B"/>
    <w:rsid w:val="00EB4DC9"/>
    <w:rsid w:val="00EB5B41"/>
    <w:rsid w:val="00EB762C"/>
    <w:rsid w:val="00EC0355"/>
    <w:rsid w:val="00EC1012"/>
    <w:rsid w:val="00EC3B2E"/>
    <w:rsid w:val="00EC4166"/>
    <w:rsid w:val="00EC565D"/>
    <w:rsid w:val="00EC5856"/>
    <w:rsid w:val="00EC637B"/>
    <w:rsid w:val="00EC687C"/>
    <w:rsid w:val="00EC7C04"/>
    <w:rsid w:val="00ED0441"/>
    <w:rsid w:val="00ED086C"/>
    <w:rsid w:val="00ED1EB9"/>
    <w:rsid w:val="00ED2D58"/>
    <w:rsid w:val="00ED336D"/>
    <w:rsid w:val="00ED3B9C"/>
    <w:rsid w:val="00ED3E48"/>
    <w:rsid w:val="00ED4092"/>
    <w:rsid w:val="00ED47F5"/>
    <w:rsid w:val="00ED54BA"/>
    <w:rsid w:val="00ED657F"/>
    <w:rsid w:val="00ED6C5D"/>
    <w:rsid w:val="00ED7611"/>
    <w:rsid w:val="00EE1A25"/>
    <w:rsid w:val="00EE1F16"/>
    <w:rsid w:val="00EE23A4"/>
    <w:rsid w:val="00EE2BB0"/>
    <w:rsid w:val="00EE3490"/>
    <w:rsid w:val="00EE3928"/>
    <w:rsid w:val="00EE3BED"/>
    <w:rsid w:val="00EE50D6"/>
    <w:rsid w:val="00EE5AF7"/>
    <w:rsid w:val="00EF0663"/>
    <w:rsid w:val="00EF11B9"/>
    <w:rsid w:val="00EF16A0"/>
    <w:rsid w:val="00EF28C5"/>
    <w:rsid w:val="00EF2EA1"/>
    <w:rsid w:val="00EF3404"/>
    <w:rsid w:val="00EF403A"/>
    <w:rsid w:val="00EF4ADB"/>
    <w:rsid w:val="00EF4EE5"/>
    <w:rsid w:val="00EF6369"/>
    <w:rsid w:val="00EF6763"/>
    <w:rsid w:val="00F00BE0"/>
    <w:rsid w:val="00F00C86"/>
    <w:rsid w:val="00F01414"/>
    <w:rsid w:val="00F02298"/>
    <w:rsid w:val="00F02AB2"/>
    <w:rsid w:val="00F02CBD"/>
    <w:rsid w:val="00F046F5"/>
    <w:rsid w:val="00F05284"/>
    <w:rsid w:val="00F05912"/>
    <w:rsid w:val="00F06A30"/>
    <w:rsid w:val="00F07AC0"/>
    <w:rsid w:val="00F1092C"/>
    <w:rsid w:val="00F11F0E"/>
    <w:rsid w:val="00F12E18"/>
    <w:rsid w:val="00F142BF"/>
    <w:rsid w:val="00F15B78"/>
    <w:rsid w:val="00F15E62"/>
    <w:rsid w:val="00F20515"/>
    <w:rsid w:val="00F22544"/>
    <w:rsid w:val="00F22BE3"/>
    <w:rsid w:val="00F23073"/>
    <w:rsid w:val="00F246BE"/>
    <w:rsid w:val="00F24E28"/>
    <w:rsid w:val="00F254D9"/>
    <w:rsid w:val="00F25E4C"/>
    <w:rsid w:val="00F26151"/>
    <w:rsid w:val="00F30FB2"/>
    <w:rsid w:val="00F31706"/>
    <w:rsid w:val="00F32D49"/>
    <w:rsid w:val="00F341AD"/>
    <w:rsid w:val="00F34753"/>
    <w:rsid w:val="00F34C13"/>
    <w:rsid w:val="00F34C92"/>
    <w:rsid w:val="00F34F2D"/>
    <w:rsid w:val="00F35304"/>
    <w:rsid w:val="00F35E03"/>
    <w:rsid w:val="00F37A36"/>
    <w:rsid w:val="00F4107B"/>
    <w:rsid w:val="00F42709"/>
    <w:rsid w:val="00F428DF"/>
    <w:rsid w:val="00F42BBC"/>
    <w:rsid w:val="00F43053"/>
    <w:rsid w:val="00F4347E"/>
    <w:rsid w:val="00F43ADF"/>
    <w:rsid w:val="00F43C5A"/>
    <w:rsid w:val="00F43DB7"/>
    <w:rsid w:val="00F459DE"/>
    <w:rsid w:val="00F5042F"/>
    <w:rsid w:val="00F505FA"/>
    <w:rsid w:val="00F5094B"/>
    <w:rsid w:val="00F51A1C"/>
    <w:rsid w:val="00F53FF7"/>
    <w:rsid w:val="00F54585"/>
    <w:rsid w:val="00F54947"/>
    <w:rsid w:val="00F54E3B"/>
    <w:rsid w:val="00F552BE"/>
    <w:rsid w:val="00F57A73"/>
    <w:rsid w:val="00F602AB"/>
    <w:rsid w:val="00F60A7C"/>
    <w:rsid w:val="00F611E2"/>
    <w:rsid w:val="00F6293A"/>
    <w:rsid w:val="00F62E35"/>
    <w:rsid w:val="00F633BE"/>
    <w:rsid w:val="00F64565"/>
    <w:rsid w:val="00F648A1"/>
    <w:rsid w:val="00F71C14"/>
    <w:rsid w:val="00F72AA5"/>
    <w:rsid w:val="00F731B8"/>
    <w:rsid w:val="00F743C6"/>
    <w:rsid w:val="00F74C85"/>
    <w:rsid w:val="00F74D1A"/>
    <w:rsid w:val="00F75BDD"/>
    <w:rsid w:val="00F80427"/>
    <w:rsid w:val="00F813E0"/>
    <w:rsid w:val="00F815DB"/>
    <w:rsid w:val="00F81FE3"/>
    <w:rsid w:val="00F825FC"/>
    <w:rsid w:val="00F836CA"/>
    <w:rsid w:val="00F838D1"/>
    <w:rsid w:val="00F84B4D"/>
    <w:rsid w:val="00F859A6"/>
    <w:rsid w:val="00F85BA7"/>
    <w:rsid w:val="00F85EAC"/>
    <w:rsid w:val="00F86853"/>
    <w:rsid w:val="00F87098"/>
    <w:rsid w:val="00F8710D"/>
    <w:rsid w:val="00F876B3"/>
    <w:rsid w:val="00F90752"/>
    <w:rsid w:val="00F913BE"/>
    <w:rsid w:val="00F935DB"/>
    <w:rsid w:val="00F93FFE"/>
    <w:rsid w:val="00F940DA"/>
    <w:rsid w:val="00F94795"/>
    <w:rsid w:val="00F9597B"/>
    <w:rsid w:val="00F95FAA"/>
    <w:rsid w:val="00F96331"/>
    <w:rsid w:val="00F96620"/>
    <w:rsid w:val="00F9726B"/>
    <w:rsid w:val="00F97BFE"/>
    <w:rsid w:val="00FA0221"/>
    <w:rsid w:val="00FA0867"/>
    <w:rsid w:val="00FA0910"/>
    <w:rsid w:val="00FA0A14"/>
    <w:rsid w:val="00FA158D"/>
    <w:rsid w:val="00FA1C22"/>
    <w:rsid w:val="00FA2DD9"/>
    <w:rsid w:val="00FA3529"/>
    <w:rsid w:val="00FA4C26"/>
    <w:rsid w:val="00FA5CBA"/>
    <w:rsid w:val="00FA5CFF"/>
    <w:rsid w:val="00FA628D"/>
    <w:rsid w:val="00FA7B82"/>
    <w:rsid w:val="00FB0E2D"/>
    <w:rsid w:val="00FB143D"/>
    <w:rsid w:val="00FB35EB"/>
    <w:rsid w:val="00FB4ECC"/>
    <w:rsid w:val="00FB4F7C"/>
    <w:rsid w:val="00FB5BBC"/>
    <w:rsid w:val="00FB7EEF"/>
    <w:rsid w:val="00FC1631"/>
    <w:rsid w:val="00FC18BA"/>
    <w:rsid w:val="00FC1A4F"/>
    <w:rsid w:val="00FC269C"/>
    <w:rsid w:val="00FC30F2"/>
    <w:rsid w:val="00FC4C9A"/>
    <w:rsid w:val="00FC4E0F"/>
    <w:rsid w:val="00FC5F1C"/>
    <w:rsid w:val="00FC622F"/>
    <w:rsid w:val="00FC64DC"/>
    <w:rsid w:val="00FC6AAC"/>
    <w:rsid w:val="00FD160C"/>
    <w:rsid w:val="00FD163E"/>
    <w:rsid w:val="00FD17B3"/>
    <w:rsid w:val="00FD1F4C"/>
    <w:rsid w:val="00FD205C"/>
    <w:rsid w:val="00FD2400"/>
    <w:rsid w:val="00FD36CA"/>
    <w:rsid w:val="00FD3702"/>
    <w:rsid w:val="00FD7A73"/>
    <w:rsid w:val="00FE0B71"/>
    <w:rsid w:val="00FE14CA"/>
    <w:rsid w:val="00FE1666"/>
    <w:rsid w:val="00FE34B1"/>
    <w:rsid w:val="00FE44CA"/>
    <w:rsid w:val="00FE5D5F"/>
    <w:rsid w:val="00FE69DF"/>
    <w:rsid w:val="00FE70E2"/>
    <w:rsid w:val="00FF09C9"/>
    <w:rsid w:val="00FF0F83"/>
    <w:rsid w:val="00FF11DC"/>
    <w:rsid w:val="00FF164C"/>
    <w:rsid w:val="00FF290B"/>
    <w:rsid w:val="00FF2D48"/>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D2BFC"/>
  <w15:docId w15:val="{046C390F-096C-4A48-A76F-53D409F9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spacing w:after="200" w:line="276" w:lineRule="auto"/>
    </w:pPr>
    <w:rPr>
      <w:rFonts w:ascii="Times New Roman" w:hAnsi="Times New Roman" w:cs="Times New Roman"/>
      <w:sz w:val="24"/>
      <w:szCs w:val="24"/>
    </w:rPr>
  </w:style>
  <w:style w:type="paragraph" w:styleId="Heading1">
    <w:name w:val="heading 1"/>
    <w:basedOn w:val="Normal"/>
    <w:link w:val="Heading1Char"/>
    <w:uiPriority w:val="9"/>
    <w:qFormat/>
    <w:pPr>
      <w:spacing w:before="100" w:after="100" w:line="240" w:lineRule="auto"/>
      <w:outlineLvl w:val="0"/>
    </w:pPr>
    <w:rPr>
      <w:rFonts w:eastAsia="Times New Roman"/>
      <w:b/>
      <w:bCs/>
      <w:sz w:val="48"/>
      <w:szCs w:val="48"/>
    </w:rPr>
  </w:style>
  <w:style w:type="paragraph" w:styleId="Heading2">
    <w:name w:val="heading 2"/>
    <w:basedOn w:val="Normal"/>
    <w:next w:val="Normal"/>
    <w:link w:val="Heading2Char"/>
    <w:uiPriority w:val="9"/>
    <w:qFormat/>
    <w:pPr>
      <w:keepNext/>
      <w:keepLines/>
      <w:spacing w:before="200" w:after="0"/>
      <w:outlineLvl w:val="1"/>
    </w:pPr>
    <w:rPr>
      <w:rFonts w:ascii="Calibri Light" w:eastAsia="SimSun" w:hAnsi="Calibri Light" w:cs="SimSun"/>
      <w:b/>
      <w:bCs/>
      <w:color w:val="5B9BD5"/>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libri Light" w:eastAsia="SimSun" w:hAnsi="Calibri Light" w:cs="SimSun"/>
      <w:b/>
      <w:bCs/>
      <w:color w:val="5B9BD5"/>
    </w:rPr>
  </w:style>
  <w:style w:type="paragraph" w:styleId="Heading4">
    <w:name w:val="heading 4"/>
    <w:basedOn w:val="Normal"/>
    <w:next w:val="Normal"/>
    <w:link w:val="Heading4Char"/>
    <w:uiPriority w:val="9"/>
    <w:qFormat/>
    <w:pPr>
      <w:keepNext/>
      <w:keepLines/>
      <w:spacing w:before="200" w:after="0"/>
      <w:outlineLvl w:val="3"/>
    </w:pPr>
    <w:rPr>
      <w:rFonts w:ascii="Calibri Light" w:eastAsia="SimSun" w:hAnsi="Calibri Light" w:cs="SimSun"/>
      <w:b/>
      <w:bCs/>
      <w:i/>
      <w:iCs/>
      <w:color w:val="5B9BD5"/>
    </w:rPr>
  </w:style>
  <w:style w:type="paragraph" w:styleId="Heading5">
    <w:name w:val="heading 5"/>
    <w:basedOn w:val="Normal"/>
    <w:next w:val="Normal"/>
    <w:link w:val="Heading5Char"/>
    <w:uiPriority w:val="9"/>
    <w:qFormat/>
    <w:pPr>
      <w:keepNext/>
      <w:keepLines/>
      <w:spacing w:before="200" w:after="0"/>
      <w:outlineLvl w:val="4"/>
    </w:pPr>
    <w:rPr>
      <w:rFonts w:ascii="Calibri Light" w:eastAsia="SimSun" w:hAnsi="Calibri Light" w:cs="SimSun"/>
      <w:color w:val="1F4D78"/>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9"/>
    <w:rPr>
      <w:rFonts w:ascii="Calibri Light" w:eastAsia="SimSun" w:hAnsi="Calibri Light" w:cs="SimSun"/>
      <w:b/>
      <w:bCs/>
      <w:color w:val="5B9BD5"/>
      <w:sz w:val="26"/>
      <w:szCs w:val="26"/>
    </w:rPr>
  </w:style>
  <w:style w:type="character" w:customStyle="1" w:styleId="Heading3Char">
    <w:name w:val="Heading 3 Char"/>
    <w:basedOn w:val="DefaultParagraphFont"/>
    <w:link w:val="Heading3"/>
    <w:uiPriority w:val="9"/>
    <w:rPr>
      <w:rFonts w:ascii="Calibri Light" w:eastAsia="SimSun" w:hAnsi="Calibri Light" w:cs="SimSun"/>
      <w:b/>
      <w:bCs/>
      <w:color w:val="5B9BD5"/>
      <w:sz w:val="24"/>
      <w:szCs w:val="24"/>
    </w:rPr>
  </w:style>
  <w:style w:type="character" w:styleId="Hyperlink">
    <w:name w:val="Hyperlink"/>
    <w:basedOn w:val="DefaultParagraphFont"/>
    <w:uiPriority w:val="99"/>
    <w:rPr>
      <w:color w:val="0563C1"/>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rPr>
      <w:rFonts w:ascii="Segoe UI" w:hAnsi="Segoe UI" w:cs="Segoe UI"/>
      <w:sz w:val="18"/>
      <w:szCs w:val="18"/>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TOC1">
    <w:name w:val="toc 1"/>
    <w:basedOn w:val="Normal"/>
    <w:next w:val="Normal"/>
    <w:uiPriority w:val="39"/>
    <w:pPr>
      <w:tabs>
        <w:tab w:val="right" w:leader="dot" w:pos="8370"/>
      </w:tabs>
      <w:spacing w:after="100"/>
      <w:jc w:val="both"/>
    </w:pPr>
    <w:rPr>
      <w:rFonts w:eastAsia="SimSun" w:cs="SimSun"/>
      <w:b/>
      <w:szCs w:val="22"/>
    </w:rPr>
  </w:style>
  <w:style w:type="paragraph" w:styleId="TOC2">
    <w:name w:val="toc 2"/>
    <w:basedOn w:val="Normal"/>
    <w:next w:val="Normal"/>
    <w:uiPriority w:val="39"/>
    <w:pPr>
      <w:tabs>
        <w:tab w:val="left" w:pos="880"/>
        <w:tab w:val="right" w:leader="dot" w:pos="8370"/>
      </w:tabs>
      <w:spacing w:after="100" w:line="360" w:lineRule="auto"/>
      <w:ind w:left="220"/>
      <w:jc w:val="both"/>
    </w:pPr>
    <w:rPr>
      <w:rFonts w:eastAsia="SimSun" w:cs="SimSun"/>
      <w:szCs w:val="22"/>
    </w:rPr>
  </w:style>
  <w:style w:type="paragraph" w:styleId="TOC3">
    <w:name w:val="toc 3"/>
    <w:basedOn w:val="Normal"/>
    <w:next w:val="Normal"/>
    <w:uiPriority w:val="39"/>
    <w:pPr>
      <w:tabs>
        <w:tab w:val="right" w:leader="dot" w:pos="8370"/>
      </w:tabs>
      <w:spacing w:after="100" w:line="360" w:lineRule="auto"/>
      <w:ind w:left="440"/>
      <w:jc w:val="both"/>
    </w:pPr>
    <w:rPr>
      <w:rFonts w:eastAsia="SimSun" w:cs="SimSun"/>
      <w:szCs w:val="22"/>
    </w:rPr>
  </w:style>
  <w:style w:type="paragraph" w:styleId="TOCHeading">
    <w:name w:val="TOC Heading"/>
    <w:basedOn w:val="Heading1"/>
    <w:next w:val="Normal"/>
    <w:uiPriority w:val="39"/>
    <w:qFormat/>
    <w:pPr>
      <w:keepNext/>
      <w:keepLines/>
      <w:spacing w:before="480" w:after="0" w:line="276" w:lineRule="auto"/>
      <w:jc w:val="both"/>
    </w:pPr>
    <w:rPr>
      <w:rFonts w:ascii="Calibri Light" w:eastAsia="SimSun" w:hAnsi="Calibri Light" w:cs="SimSun"/>
      <w:color w:val="2E74B5"/>
      <w:sz w:val="28"/>
      <w:szCs w:val="28"/>
    </w:rPr>
  </w:style>
  <w:style w:type="paragraph" w:styleId="NormalWeb">
    <w:name w:val="Normal (Web)"/>
    <w:basedOn w:val="Normal"/>
    <w:uiPriority w:val="99"/>
    <w:pPr>
      <w:spacing w:before="100" w:after="100" w:line="240" w:lineRule="auto"/>
    </w:pPr>
    <w:rPr>
      <w:rFonts w:eastAsia="Times New Roman"/>
    </w:rPr>
  </w:style>
  <w:style w:type="paragraph" w:styleId="ListParagraph">
    <w:name w:val="List Paragraph"/>
    <w:basedOn w:val="Normal"/>
    <w:uiPriority w:val="34"/>
    <w:qFormat/>
    <w:pPr>
      <w:ind w:left="720"/>
      <w:contextualSpacing/>
    </w:pPr>
    <w:rPr>
      <w:rFonts w:ascii="Calibri" w:eastAsia="SimSun" w:hAnsi="Calibri" w:cs="SimSun"/>
      <w:sz w:val="22"/>
      <w:szCs w:val="28"/>
      <w:lang w:eastAsia="zh-TW" w:bidi="th-TH"/>
    </w:rPr>
  </w:style>
  <w:style w:type="paragraph" w:customStyle="1" w:styleId="Selectionshareable">
    <w:name w:val="Selectionshareable"/>
    <w:basedOn w:val="Normal"/>
    <w:uiPriority w:val="99"/>
    <w:pPr>
      <w:spacing w:before="100" w:after="100" w:line="240" w:lineRule="auto"/>
    </w:pPr>
    <w:rPr>
      <w:rFonts w:eastAsia="Times New Roman"/>
    </w:rPr>
  </w:style>
  <w:style w:type="character" w:customStyle="1" w:styleId="Apple-converted-space">
    <w:name w:val="Apple-converted-space"/>
    <w:basedOn w:val="DefaultParagraphFont"/>
    <w:uiPriority w:val="99"/>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A11">
    <w:name w:val="A11"/>
    <w:uiPriority w:val="99"/>
    <w:rPr>
      <w:color w:val="000000"/>
      <w:sz w:val="21"/>
      <w:szCs w:val="21"/>
    </w:rPr>
  </w:style>
  <w:style w:type="character" w:customStyle="1" w:styleId="A8">
    <w:name w:val="A8"/>
    <w:uiPriority w:val="99"/>
    <w:rPr>
      <w:rFonts w:cs="Bookman Old Style"/>
      <w:color w:val="000000"/>
      <w:sz w:val="11"/>
      <w:szCs w:val="11"/>
    </w:rPr>
  </w:style>
  <w:style w:type="character" w:styleId="PlaceholderText">
    <w:name w:val="Placeholder Text"/>
    <w:basedOn w:val="DefaultParagraphFont"/>
    <w:uiPriority w:val="99"/>
    <w:rPr>
      <w:color w:val="808080"/>
    </w:rPr>
  </w:style>
  <w:style w:type="character" w:customStyle="1" w:styleId="A7">
    <w:name w:val="A7"/>
    <w:uiPriority w:val="99"/>
    <w:rPr>
      <w:color w:val="000000"/>
      <w:sz w:val="12"/>
      <w:szCs w:val="12"/>
    </w:rPr>
  </w:style>
  <w:style w:type="paragraph" w:styleId="TableofFigures">
    <w:name w:val="table of figures"/>
    <w:basedOn w:val="Normal"/>
    <w:next w:val="Normal"/>
    <w:uiPriority w:val="99"/>
    <w:pPr>
      <w:spacing w:after="0"/>
      <w:ind w:left="480" w:hanging="480"/>
    </w:pPr>
    <w:rPr>
      <w:rFonts w:ascii="Calibri" w:hAnsi="Calibri" w:cs="Calibri"/>
      <w:caps/>
      <w:sz w:val="20"/>
      <w:szCs w:val="20"/>
    </w:rPr>
  </w:style>
  <w:style w:type="paragraph" w:customStyle="1" w:styleId="Pa10">
    <w:name w:val="Pa10"/>
    <w:basedOn w:val="Default"/>
    <w:next w:val="Default"/>
    <w:uiPriority w:val="99"/>
    <w:pPr>
      <w:spacing w:line="201" w:lineRule="atLeast"/>
    </w:pPr>
    <w:rPr>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Pr>
      <w:color w:val="000000"/>
      <w:sz w:val="11"/>
      <w:szCs w:val="11"/>
    </w:rPr>
  </w:style>
  <w:style w:type="character" w:customStyle="1" w:styleId="Heading4Char">
    <w:name w:val="Heading 4 Char"/>
    <w:basedOn w:val="DefaultParagraphFont"/>
    <w:link w:val="Heading4"/>
    <w:uiPriority w:val="9"/>
    <w:rPr>
      <w:rFonts w:ascii="Calibri Light" w:eastAsia="SimSun" w:hAnsi="Calibri Light" w:cs="SimSun"/>
      <w:b/>
      <w:bCs/>
      <w:i/>
      <w:iCs/>
      <w:color w:val="5B9BD5"/>
      <w:sz w:val="24"/>
      <w:szCs w:val="24"/>
    </w:rPr>
  </w:style>
  <w:style w:type="character" w:customStyle="1" w:styleId="Heading5Char">
    <w:name w:val="Heading 5 Char"/>
    <w:basedOn w:val="DefaultParagraphFont"/>
    <w:link w:val="Heading5"/>
    <w:uiPriority w:val="9"/>
    <w:rPr>
      <w:rFonts w:ascii="Calibri Light" w:eastAsia="SimSun" w:hAnsi="Calibri Light" w:cs="SimSun"/>
      <w:color w:val="1F4D78"/>
      <w:sz w:val="24"/>
      <w:szCs w:val="24"/>
    </w:rPr>
  </w:style>
  <w:style w:type="paragraph" w:styleId="TOC4">
    <w:name w:val="toc 4"/>
    <w:basedOn w:val="Normal"/>
    <w:next w:val="Normal"/>
    <w:uiPriority w:val="39"/>
    <w:pPr>
      <w:spacing w:after="100"/>
      <w:ind w:left="720"/>
    </w:pPr>
  </w:style>
  <w:style w:type="paragraph" w:styleId="TOC5">
    <w:name w:val="toc 5"/>
    <w:basedOn w:val="Normal"/>
    <w:next w:val="Normal"/>
    <w:uiPriority w:val="39"/>
    <w:pPr>
      <w:spacing w:after="100"/>
      <w:ind w:left="960"/>
    </w:pPr>
  </w:style>
  <w:style w:type="character" w:customStyle="1" w:styleId="Ref-lnk">
    <w:name w:val="Ref-lnk"/>
    <w:basedOn w:val="DefaultParagraphFont"/>
    <w:uiPriority w:val="99"/>
  </w:style>
  <w:style w:type="character" w:customStyle="1" w:styleId="Ref-overlay">
    <w:name w:val="Ref-overlay"/>
    <w:basedOn w:val="DefaultParagraphFont"/>
    <w:uiPriority w:val="99"/>
  </w:style>
  <w:style w:type="character" w:customStyle="1" w:styleId="Hlfld-contribauthor">
    <w:name w:val="Hlfld-contribauthor"/>
    <w:basedOn w:val="DefaultParagraphFont"/>
    <w:uiPriority w:val="99"/>
  </w:style>
  <w:style w:type="character" w:customStyle="1" w:styleId="Nlmgiven-names">
    <w:name w:val="Nlm_given-names"/>
    <w:basedOn w:val="DefaultParagraphFont"/>
    <w:uiPriority w:val="99"/>
  </w:style>
  <w:style w:type="character" w:customStyle="1" w:styleId="Nlmyear">
    <w:name w:val="Nlm_year"/>
    <w:basedOn w:val="DefaultParagraphFont"/>
    <w:uiPriority w:val="99"/>
  </w:style>
  <w:style w:type="character" w:customStyle="1" w:styleId="Nlmpublisher-loc">
    <w:name w:val="Nlm_publisher-loc"/>
    <w:basedOn w:val="DefaultParagraphFont"/>
    <w:uiPriority w:val="99"/>
  </w:style>
  <w:style w:type="character" w:customStyle="1" w:styleId="Nlmpublisher-name">
    <w:name w:val="Nlm_publisher-name"/>
    <w:basedOn w:val="DefaultParagraphFont"/>
    <w:uiPriority w:val="99"/>
  </w:style>
  <w:style w:type="character" w:customStyle="1" w:styleId="Ref-links">
    <w:name w:val="Ref-links"/>
    <w:basedOn w:val="DefaultParagraphFont"/>
    <w:uiPriority w:val="99"/>
  </w:style>
  <w:style w:type="character" w:customStyle="1" w:styleId="Googlescholar-container">
    <w:name w:val="Googlescholar-container"/>
    <w:basedOn w:val="DefaultParagraphFont"/>
    <w:uiPriority w:val="99"/>
  </w:style>
  <w:style w:type="character" w:customStyle="1" w:styleId="Nlmarticle-title">
    <w:name w:val="Nlm_article-title"/>
    <w:basedOn w:val="DefaultParagraphFont"/>
    <w:uiPriority w:val="99"/>
  </w:style>
  <w:style w:type="character" w:customStyle="1" w:styleId="Nlmfpage">
    <w:name w:val="Nlm_fpage"/>
    <w:basedOn w:val="DefaultParagraphFont"/>
    <w:uiPriority w:val="99"/>
  </w:style>
  <w:style w:type="character" w:customStyle="1" w:styleId="Nlmlpage">
    <w:name w:val="Nlm_lpage"/>
    <w:basedOn w:val="DefaultParagraphFont"/>
    <w:uiPriority w:val="99"/>
  </w:style>
  <w:style w:type="character" w:customStyle="1" w:styleId="Nlmedition">
    <w:name w:val="Nlm_edition"/>
    <w:basedOn w:val="DefaultParagraphFont"/>
    <w:uiPriority w:val="99"/>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customStyle="1" w:styleId="p">
    <w:name w:val="p"/>
    <w:basedOn w:val="Normal"/>
    <w:rsid w:val="00161532"/>
    <w:pPr>
      <w:spacing w:before="100" w:beforeAutospacing="1" w:after="100" w:afterAutospacing="1" w:line="240" w:lineRule="auto"/>
    </w:pPr>
    <w:rPr>
      <w:rFonts w:eastAsia="Times New Roman"/>
    </w:rPr>
  </w:style>
  <w:style w:type="character" w:customStyle="1" w:styleId="ref-lnk0">
    <w:name w:val="ref-lnk"/>
    <w:basedOn w:val="DefaultParagraphFont"/>
    <w:rsid w:val="00161532"/>
  </w:style>
  <w:style w:type="character" w:customStyle="1" w:styleId="ff1">
    <w:name w:val="ff1"/>
    <w:basedOn w:val="DefaultParagraphFont"/>
    <w:rsid w:val="00161532"/>
  </w:style>
  <w:style w:type="character" w:customStyle="1" w:styleId="a">
    <w:name w:val="_"/>
    <w:basedOn w:val="DefaultParagraphFont"/>
    <w:rsid w:val="00161532"/>
  </w:style>
  <w:style w:type="table" w:styleId="GridTable1Light-Accent3">
    <w:name w:val="Grid Table 1 Light Accent 3"/>
    <w:basedOn w:val="TableNormal"/>
    <w:uiPriority w:val="46"/>
    <w:rsid w:val="00515434"/>
    <w:pPr>
      <w:spacing w:after="0" w:line="240" w:lineRule="auto"/>
    </w:pPr>
    <w:rPr>
      <w:rFonts w:asciiTheme="minorHAnsi" w:eastAsiaTheme="minorHAnsi" w:hAnsiTheme="minorHAnsi" w:cstheme="minorBidi"/>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44F1"/>
    <w:pPr>
      <w:spacing w:after="0" w:line="240" w:lineRule="auto"/>
    </w:pPr>
    <w:rPr>
      <w:rFonts w:asciiTheme="minorHAnsi" w:eastAsiaTheme="minorHAnsi" w:hAnsiTheme="minorHAnsi" w:cstheme="minorBid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C38AD"/>
    <w:pPr>
      <w:spacing w:after="0" w:line="240" w:lineRule="auto"/>
    </w:pPr>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397">
      <w:bodyDiv w:val="1"/>
      <w:marLeft w:val="0"/>
      <w:marRight w:val="0"/>
      <w:marTop w:val="0"/>
      <w:marBottom w:val="0"/>
      <w:divBdr>
        <w:top w:val="none" w:sz="0" w:space="0" w:color="auto"/>
        <w:left w:val="none" w:sz="0" w:space="0" w:color="auto"/>
        <w:bottom w:val="none" w:sz="0" w:space="0" w:color="auto"/>
        <w:right w:val="none" w:sz="0" w:space="0" w:color="auto"/>
      </w:divBdr>
    </w:div>
    <w:div w:id="135806951">
      <w:bodyDiv w:val="1"/>
      <w:marLeft w:val="0"/>
      <w:marRight w:val="0"/>
      <w:marTop w:val="0"/>
      <w:marBottom w:val="0"/>
      <w:divBdr>
        <w:top w:val="none" w:sz="0" w:space="0" w:color="auto"/>
        <w:left w:val="none" w:sz="0" w:space="0" w:color="auto"/>
        <w:bottom w:val="none" w:sz="0" w:space="0" w:color="auto"/>
        <w:right w:val="none" w:sz="0" w:space="0" w:color="auto"/>
      </w:divBdr>
      <w:divsChild>
        <w:div w:id="901251075">
          <w:marLeft w:val="0"/>
          <w:marRight w:val="0"/>
          <w:marTop w:val="0"/>
          <w:marBottom w:val="0"/>
          <w:divBdr>
            <w:top w:val="none" w:sz="0" w:space="0" w:color="auto"/>
            <w:left w:val="none" w:sz="0" w:space="0" w:color="auto"/>
            <w:bottom w:val="none" w:sz="0" w:space="0" w:color="auto"/>
            <w:right w:val="none" w:sz="0" w:space="0" w:color="auto"/>
          </w:divBdr>
        </w:div>
        <w:div w:id="1758289384">
          <w:marLeft w:val="0"/>
          <w:marRight w:val="0"/>
          <w:marTop w:val="0"/>
          <w:marBottom w:val="0"/>
          <w:divBdr>
            <w:top w:val="none" w:sz="0" w:space="0" w:color="auto"/>
            <w:left w:val="none" w:sz="0" w:space="0" w:color="auto"/>
            <w:bottom w:val="none" w:sz="0" w:space="0" w:color="auto"/>
            <w:right w:val="none" w:sz="0" w:space="0" w:color="auto"/>
          </w:divBdr>
        </w:div>
        <w:div w:id="2051152811">
          <w:marLeft w:val="0"/>
          <w:marRight w:val="0"/>
          <w:marTop w:val="0"/>
          <w:marBottom w:val="0"/>
          <w:divBdr>
            <w:top w:val="none" w:sz="0" w:space="0" w:color="auto"/>
            <w:left w:val="none" w:sz="0" w:space="0" w:color="auto"/>
            <w:bottom w:val="none" w:sz="0" w:space="0" w:color="auto"/>
            <w:right w:val="none" w:sz="0" w:space="0" w:color="auto"/>
          </w:divBdr>
        </w:div>
      </w:divsChild>
    </w:div>
    <w:div w:id="1149902146">
      <w:bodyDiv w:val="1"/>
      <w:marLeft w:val="0"/>
      <w:marRight w:val="0"/>
      <w:marTop w:val="0"/>
      <w:marBottom w:val="0"/>
      <w:divBdr>
        <w:top w:val="none" w:sz="0" w:space="0" w:color="auto"/>
        <w:left w:val="none" w:sz="0" w:space="0" w:color="auto"/>
        <w:bottom w:val="none" w:sz="0" w:space="0" w:color="auto"/>
        <w:right w:val="none" w:sz="0" w:space="0" w:color="auto"/>
      </w:divBdr>
    </w:div>
    <w:div w:id="1479573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
  <b:Source>
    <b:Tag>And07</b:Tag>
    <b:SourceType>Book</b:SourceType>
    <b:Guid>{7C15275F-1E01-4F1B-AE54-D91BE8B43412}</b:Guid>
    <b:Author>
      <b:Author>
        <b:NameList>
          <b:Person>
            <b:Last>Andrean</b:Last>
            <b:First>Thomas</b:First>
          </b:Person>
        </b:NameList>
      </b:Author>
    </b:Author>
    <b:Title>Econometrics</b:Title>
    <b:Year>2007</b:Year>
    <b:City>New York</b:City>
    <b:Publisher>Ventus Publishing</b:Publisher>
    <b:RefOrder>2</b:RefOrder>
  </b:Source>
  <b:Source>
    <b:Tag>Lin08</b:Tag>
    <b:SourceType>Book</b:SourceType>
    <b:Guid>{34398AC3-7418-4F9D-83B1-460528AEDC43}</b:Guid>
    <b:Author>
      <b:Author>
        <b:NameList>
          <b:Person>
            <b:Last>Lind</b:Last>
            <b:First>Douglas</b:First>
            <b:Middle>A</b:Middle>
          </b:Person>
          <b:Person>
            <b:Last>Marchal</b:Last>
            <b:First>William</b:First>
            <b:Middle>G</b:Middle>
          </b:Person>
          <b:Person>
            <b:Last>Wathen</b:Last>
            <b:First>Samuel</b:First>
            <b:Middle>A</b:Middle>
          </b:Person>
        </b:NameList>
      </b:Author>
    </b:Author>
    <b:Title>Statistical Techniques in Business and Economics</b:Title>
    <b:Year>2008</b:Year>
    <b:City>New Delhi</b:City>
    <b:Publisher>Mc Graw Hill</b:Publisher>
    <b:RefOrder>4</b:RefOrder>
  </b:Source>
</b:Sources>
</file>

<file path=customXml/itemProps1.xml><?xml version="1.0" encoding="utf-8"?>
<ds:datastoreItem xmlns:ds="http://schemas.openxmlformats.org/officeDocument/2006/customXml" ds:itemID="{6C16E459-EE68-459B-BF10-120BD1A453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Nebat</dc:creator>
  <cp:keywords/>
  <dc:description/>
  <cp:lastModifiedBy>shammacon@gmail.com</cp:lastModifiedBy>
  <cp:revision>2</cp:revision>
  <cp:lastPrinted>2020-07-27T09:36:00Z</cp:lastPrinted>
  <dcterms:created xsi:type="dcterms:W3CDTF">2022-07-28T17:32:00Z</dcterms:created>
  <dcterms:modified xsi:type="dcterms:W3CDTF">2022-07-28T17:32:00Z</dcterms:modified>
</cp:coreProperties>
</file>