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r w:rsidRPr="00371201">
        <w:rPr>
          <w:rFonts w:ascii="Times New Roman" w:eastAsia="Batang" w:hAnsi="Times New Roman" w:cs="Times New Roman"/>
          <w:b/>
          <w:snapToGrid w:val="0"/>
          <w:sz w:val="28"/>
          <w:szCs w:val="28"/>
          <w:lang w:eastAsia="ko-KR"/>
        </w:rPr>
        <w:t>INFLATION TARGETING IN TURKEY</w:t>
      </w: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proofErr w:type="spellStart"/>
      <w:r w:rsidRPr="00371201">
        <w:rPr>
          <w:rFonts w:ascii="Times New Roman" w:eastAsia="Times New Roman" w:hAnsi="Times New Roman" w:cs="Times New Roman"/>
          <w:sz w:val="24"/>
          <w:szCs w:val="20"/>
          <w:lang w:val="en-AU"/>
        </w:rPr>
        <w:t>Fazıl</w:t>
      </w:r>
      <w:proofErr w:type="spellEnd"/>
      <w:r w:rsidRPr="00371201">
        <w:rPr>
          <w:rFonts w:ascii="Times New Roman" w:eastAsia="Times New Roman" w:hAnsi="Times New Roman" w:cs="Times New Roman"/>
          <w:sz w:val="24"/>
          <w:szCs w:val="20"/>
          <w:lang w:val="en-AU"/>
        </w:rPr>
        <w:t xml:space="preserve"> </w:t>
      </w:r>
      <w:proofErr w:type="spellStart"/>
      <w:r w:rsidRPr="00371201">
        <w:rPr>
          <w:rFonts w:ascii="Times New Roman" w:eastAsia="Times New Roman" w:hAnsi="Times New Roman" w:cs="Times New Roman"/>
          <w:sz w:val="24"/>
          <w:szCs w:val="20"/>
          <w:lang w:val="en-AU"/>
        </w:rPr>
        <w:t>Kayıkçı</w:t>
      </w:r>
      <w:proofErr w:type="spellEnd"/>
      <w:r w:rsidRPr="00371201">
        <w:rPr>
          <w:rFonts w:ascii="Times New Roman" w:eastAsia="Times New Roman" w:hAnsi="Times New Roman" w:cs="Times New Roman"/>
          <w:sz w:val="24"/>
          <w:szCs w:val="20"/>
          <w:lang w:val="en-AU"/>
        </w:rPr>
        <w:t>,</w:t>
      </w: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proofErr w:type="spellStart"/>
      <w:r w:rsidRPr="00371201">
        <w:rPr>
          <w:rFonts w:ascii="Times New Roman" w:eastAsia="Times New Roman" w:hAnsi="Times New Roman" w:cs="Times New Roman"/>
          <w:sz w:val="24"/>
          <w:szCs w:val="20"/>
          <w:lang w:val="en-AU"/>
        </w:rPr>
        <w:t>Yıldız</w:t>
      </w:r>
      <w:proofErr w:type="spellEnd"/>
      <w:r w:rsidRPr="00371201">
        <w:rPr>
          <w:rFonts w:ascii="Times New Roman" w:eastAsia="Times New Roman" w:hAnsi="Times New Roman" w:cs="Times New Roman"/>
          <w:sz w:val="24"/>
          <w:szCs w:val="20"/>
          <w:lang w:val="en-AU"/>
        </w:rPr>
        <w:t xml:space="preserve"> Technical University, Department of Economics, </w:t>
      </w: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r w:rsidRPr="00371201">
        <w:rPr>
          <w:rFonts w:ascii="Times New Roman" w:eastAsia="Times New Roman" w:hAnsi="Times New Roman" w:cs="Times New Roman"/>
          <w:sz w:val="24"/>
          <w:szCs w:val="20"/>
          <w:lang w:val="en-AU"/>
        </w:rPr>
        <w:t xml:space="preserve">Email: </w:t>
      </w:r>
      <w:hyperlink r:id="rId5" w:history="1">
        <w:r w:rsidRPr="00371201">
          <w:rPr>
            <w:rFonts w:ascii="Times New Roman" w:eastAsia="Times New Roman" w:hAnsi="Times New Roman" w:cs="Times New Roman"/>
            <w:color w:val="0563C1"/>
            <w:sz w:val="24"/>
            <w:szCs w:val="20"/>
            <w:u w:val="single"/>
            <w:lang w:val="en-AU"/>
          </w:rPr>
          <w:t>fkayikci@yildiz.edu.tr</w:t>
        </w:r>
      </w:hyperlink>
      <w:r w:rsidRPr="00371201">
        <w:rPr>
          <w:rFonts w:ascii="Times New Roman" w:eastAsia="Times New Roman" w:hAnsi="Times New Roman" w:cs="Times New Roman"/>
          <w:sz w:val="24"/>
          <w:szCs w:val="20"/>
          <w:lang w:val="en-AU"/>
        </w:rPr>
        <w:t xml:space="preserve"> </w:t>
      </w: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r w:rsidRPr="00371201">
        <w:rPr>
          <w:rFonts w:ascii="Times New Roman" w:eastAsia="Times New Roman" w:hAnsi="Times New Roman" w:cs="Times New Roman"/>
          <w:sz w:val="24"/>
          <w:szCs w:val="20"/>
          <w:lang w:val="en-AU"/>
        </w:rPr>
        <w:t xml:space="preserve">Tel: +902123836818 </w:t>
      </w: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r w:rsidRPr="00371201">
        <w:rPr>
          <w:rFonts w:ascii="Times New Roman" w:eastAsia="Times New Roman" w:hAnsi="Times New Roman" w:cs="Times New Roman"/>
          <w:sz w:val="24"/>
          <w:szCs w:val="20"/>
          <w:lang w:val="en-AU"/>
        </w:rPr>
        <w:t xml:space="preserve">Address: </w:t>
      </w:r>
      <w:proofErr w:type="spellStart"/>
      <w:r w:rsidRPr="00371201">
        <w:rPr>
          <w:rFonts w:ascii="Times New Roman" w:eastAsia="Times New Roman" w:hAnsi="Times New Roman" w:cs="Times New Roman"/>
          <w:sz w:val="24"/>
          <w:szCs w:val="20"/>
          <w:lang w:val="en-AU"/>
        </w:rPr>
        <w:t>Davutpaşa</w:t>
      </w:r>
      <w:proofErr w:type="spellEnd"/>
      <w:r w:rsidRPr="00371201">
        <w:rPr>
          <w:rFonts w:ascii="Times New Roman" w:eastAsia="Times New Roman" w:hAnsi="Times New Roman" w:cs="Times New Roman"/>
          <w:sz w:val="24"/>
          <w:szCs w:val="20"/>
          <w:lang w:val="en-AU"/>
        </w:rPr>
        <w:t xml:space="preserve"> Campus, </w:t>
      </w:r>
      <w:proofErr w:type="spellStart"/>
      <w:r w:rsidRPr="00371201">
        <w:rPr>
          <w:rFonts w:ascii="Times New Roman" w:eastAsia="Times New Roman" w:hAnsi="Times New Roman" w:cs="Times New Roman"/>
          <w:sz w:val="24"/>
          <w:szCs w:val="20"/>
          <w:lang w:val="en-AU"/>
        </w:rPr>
        <w:t>Esenler</w:t>
      </w:r>
      <w:proofErr w:type="spellEnd"/>
      <w:r w:rsidRPr="00371201">
        <w:rPr>
          <w:rFonts w:ascii="Times New Roman" w:eastAsia="Times New Roman" w:hAnsi="Times New Roman" w:cs="Times New Roman"/>
          <w:sz w:val="24"/>
          <w:szCs w:val="20"/>
          <w:lang w:val="en-AU"/>
        </w:rPr>
        <w:t xml:space="preserve"> Istanbul, TURKEY</w:t>
      </w:r>
    </w:p>
    <w:p w:rsidR="003A3465" w:rsidRPr="00371201" w:rsidRDefault="003A3465" w:rsidP="003A3465">
      <w:pPr>
        <w:spacing w:after="0" w:line="240" w:lineRule="auto"/>
        <w:rPr>
          <w:rFonts w:ascii="Times New Roman" w:eastAsia="Times New Roman" w:hAnsi="Times New Roman" w:cs="Times New Roman"/>
          <w:sz w:val="24"/>
          <w:szCs w:val="20"/>
          <w:lang w:val="en-AU"/>
        </w:rPr>
      </w:pP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proofErr w:type="spellStart"/>
      <w:r>
        <w:rPr>
          <w:rFonts w:ascii="Times New Roman" w:eastAsia="Times New Roman" w:hAnsi="Times New Roman" w:cs="Times New Roman"/>
          <w:sz w:val="24"/>
          <w:szCs w:val="20"/>
          <w:lang w:val="en-AU"/>
        </w:rPr>
        <w:t>Sümeyye</w:t>
      </w:r>
      <w:proofErr w:type="spellEnd"/>
      <w:r>
        <w:rPr>
          <w:rFonts w:ascii="Times New Roman" w:eastAsia="Times New Roman" w:hAnsi="Times New Roman" w:cs="Times New Roman"/>
          <w:sz w:val="24"/>
          <w:szCs w:val="20"/>
          <w:lang w:val="en-AU"/>
        </w:rPr>
        <w:t xml:space="preserve"> Kaplan</w:t>
      </w:r>
      <w:r w:rsidRPr="00371201">
        <w:rPr>
          <w:rFonts w:ascii="Times New Roman" w:eastAsia="Times New Roman" w:hAnsi="Times New Roman" w:cs="Times New Roman"/>
          <w:sz w:val="24"/>
          <w:szCs w:val="20"/>
          <w:lang w:val="en-AU"/>
        </w:rPr>
        <w:t xml:space="preserve">, </w:t>
      </w:r>
    </w:p>
    <w:p w:rsidR="003A3465" w:rsidRPr="00371201" w:rsidRDefault="003A3465" w:rsidP="003A3465">
      <w:pPr>
        <w:spacing w:after="0" w:line="240" w:lineRule="auto"/>
        <w:jc w:val="center"/>
        <w:rPr>
          <w:rFonts w:ascii="Times New Roman" w:eastAsia="Times New Roman" w:hAnsi="Times New Roman" w:cs="Times New Roman"/>
          <w:sz w:val="24"/>
          <w:szCs w:val="20"/>
          <w:lang w:val="en-AU"/>
        </w:rPr>
      </w:pPr>
      <w:proofErr w:type="spellStart"/>
      <w:r w:rsidRPr="00371201">
        <w:rPr>
          <w:rFonts w:ascii="Times New Roman" w:eastAsia="Times New Roman" w:hAnsi="Times New Roman" w:cs="Times New Roman"/>
          <w:sz w:val="24"/>
          <w:szCs w:val="20"/>
          <w:lang w:val="en-AU"/>
        </w:rPr>
        <w:t>Yıldız</w:t>
      </w:r>
      <w:proofErr w:type="spellEnd"/>
      <w:r w:rsidRPr="00371201">
        <w:rPr>
          <w:rFonts w:ascii="Times New Roman" w:eastAsia="Times New Roman" w:hAnsi="Times New Roman" w:cs="Times New Roman"/>
          <w:sz w:val="24"/>
          <w:szCs w:val="20"/>
          <w:lang w:val="en-AU"/>
        </w:rPr>
        <w:t xml:space="preserve"> Technical University, Department of Economics, </w:t>
      </w:r>
      <w:hyperlink r:id="rId6" w:history="1">
        <w:r w:rsidRPr="00C53A43">
          <w:rPr>
            <w:rStyle w:val="Kpr"/>
            <w:rFonts w:ascii="Times New Roman" w:eastAsia="Times New Roman" w:hAnsi="Times New Roman" w:cs="Times New Roman"/>
            <w:sz w:val="24"/>
            <w:szCs w:val="20"/>
            <w:lang w:val="en-AU"/>
          </w:rPr>
          <w:t>kaplansumeyye@gmail.com</w:t>
        </w:r>
      </w:hyperlink>
      <w:r w:rsidRPr="00371201">
        <w:rPr>
          <w:rFonts w:ascii="Times New Roman" w:eastAsia="Times New Roman" w:hAnsi="Times New Roman" w:cs="Times New Roman"/>
          <w:sz w:val="24"/>
          <w:szCs w:val="20"/>
          <w:lang w:val="en-AU"/>
        </w:rPr>
        <w:t xml:space="preserve"> </w:t>
      </w:r>
    </w:p>
    <w:p w:rsidR="003A3465" w:rsidRPr="00371201" w:rsidRDefault="003A3465" w:rsidP="003A3465">
      <w:pPr>
        <w:spacing w:after="200" w:line="276" w:lineRule="auto"/>
        <w:jc w:val="center"/>
        <w:rPr>
          <w:rFonts w:ascii="Times New Roman" w:eastAsia="Batang" w:hAnsi="Times New Roman" w:cs="Times New Roman"/>
          <w:b/>
          <w:snapToGrid w:val="0"/>
          <w:sz w:val="24"/>
          <w:szCs w:val="24"/>
          <w:lang w:eastAsia="ko-KR"/>
        </w:rPr>
      </w:pPr>
    </w:p>
    <w:p w:rsidR="003A3465" w:rsidRPr="00371201" w:rsidRDefault="003A3465" w:rsidP="003A3465">
      <w:pPr>
        <w:spacing w:after="120" w:line="240" w:lineRule="auto"/>
        <w:ind w:firstLine="709"/>
        <w:jc w:val="center"/>
        <w:rPr>
          <w:rFonts w:ascii="Times New Roman" w:eastAsia="Batang" w:hAnsi="Times New Roman" w:cs="Times New Roman"/>
          <w:b/>
          <w:snapToGrid w:val="0"/>
          <w:sz w:val="24"/>
          <w:szCs w:val="24"/>
          <w:lang w:eastAsia="ko-KR"/>
        </w:rPr>
      </w:pPr>
    </w:p>
    <w:p w:rsidR="003A3465" w:rsidRPr="00371201" w:rsidRDefault="003A3465" w:rsidP="003A3465">
      <w:pPr>
        <w:spacing w:after="120" w:line="240" w:lineRule="auto"/>
        <w:ind w:firstLine="709"/>
        <w:jc w:val="center"/>
        <w:rPr>
          <w:rFonts w:ascii="Times New Roman" w:eastAsia="Batang" w:hAnsi="Times New Roman" w:cs="Times New Roman"/>
          <w:b/>
          <w:snapToGrid w:val="0"/>
          <w:sz w:val="24"/>
          <w:szCs w:val="24"/>
          <w:lang w:eastAsia="ko-KR"/>
        </w:rPr>
      </w:pPr>
      <w:bookmarkStart w:id="0" w:name="_GoBack"/>
      <w:bookmarkEnd w:id="0"/>
    </w:p>
    <w:p w:rsidR="003A3465" w:rsidRPr="00371201" w:rsidRDefault="003A3465" w:rsidP="003A3465">
      <w:pPr>
        <w:spacing w:after="120" w:line="240" w:lineRule="auto"/>
        <w:ind w:firstLine="709"/>
        <w:jc w:val="center"/>
        <w:rPr>
          <w:rFonts w:ascii="Times New Roman" w:eastAsia="Batang" w:hAnsi="Times New Roman" w:cs="Times New Roman"/>
          <w:b/>
          <w:snapToGrid w:val="0"/>
          <w:sz w:val="24"/>
          <w:szCs w:val="24"/>
          <w:lang w:eastAsia="ko-KR"/>
        </w:rPr>
      </w:pPr>
      <w:r w:rsidRPr="00371201">
        <w:rPr>
          <w:rFonts w:ascii="Times New Roman" w:eastAsia="Batang" w:hAnsi="Times New Roman" w:cs="Times New Roman"/>
          <w:b/>
          <w:snapToGrid w:val="0"/>
          <w:sz w:val="24"/>
          <w:szCs w:val="24"/>
          <w:lang w:eastAsia="ko-KR"/>
        </w:rPr>
        <w:t>Abstract</w:t>
      </w:r>
    </w:p>
    <w:p w:rsidR="003A3465" w:rsidRPr="00371201" w:rsidRDefault="003A3465" w:rsidP="003A3465">
      <w:pPr>
        <w:spacing w:after="120" w:line="240" w:lineRule="auto"/>
        <w:jc w:val="both"/>
        <w:rPr>
          <w:rFonts w:ascii="Times New Roman" w:eastAsia="Batang" w:hAnsi="Times New Roman" w:cs="Times New Roman"/>
          <w:snapToGrid w:val="0"/>
          <w:lang w:eastAsia="ko-KR"/>
        </w:rPr>
      </w:pPr>
      <w:r w:rsidRPr="00371201">
        <w:rPr>
          <w:rFonts w:ascii="Times New Roman" w:eastAsia="Batang" w:hAnsi="Times New Roman" w:cs="Times New Roman"/>
          <w:i/>
          <w:snapToGrid w:val="0"/>
          <w:color w:val="000000"/>
          <w:sz w:val="20"/>
          <w:szCs w:val="20"/>
          <w:lang w:eastAsia="ko-KR"/>
        </w:rPr>
        <w:t>Inflation targeting strategy has arose as the result of new pursuits and researches actualized due to insufficiency of monetary policies -implemented for price stability by the central banks until 1990s- in reaching the required consequences in both developed and developing countries, and this strategy had initially been implemented in New Zealand.  As this strategy has indicated a successful performance since its implementation, it has become a targeting strategy that many countries struggling with high inflation –including Turkey- prefer and put into practice.  In this study, the inflation targeting policy’s conformity to country’s economic cycle, its success, a</w:t>
      </w:r>
      <w:r w:rsidR="00341278">
        <w:rPr>
          <w:rFonts w:ascii="Times New Roman" w:eastAsia="Batang" w:hAnsi="Times New Roman" w:cs="Times New Roman"/>
          <w:i/>
          <w:snapToGrid w:val="0"/>
          <w:color w:val="000000"/>
          <w:sz w:val="20"/>
          <w:szCs w:val="20"/>
          <w:lang w:eastAsia="ko-KR"/>
        </w:rPr>
        <w:t>nd its effect on macroeconomic</w:t>
      </w:r>
      <w:r w:rsidRPr="00371201">
        <w:rPr>
          <w:rFonts w:ascii="Times New Roman" w:eastAsia="Batang" w:hAnsi="Times New Roman" w:cs="Times New Roman"/>
          <w:i/>
          <w:snapToGrid w:val="0"/>
          <w:color w:val="000000"/>
          <w:sz w:val="20"/>
          <w:szCs w:val="20"/>
          <w:lang w:eastAsia="ko-KR"/>
        </w:rPr>
        <w:t xml:space="preserve"> factors were analyzed via the model formed by the use of GDP, exchange rate, CPI, interest rate, output gap, and crude oil prices. Inflation targeting regime was examined for the period of 1996:1-2018:4 via the VAR Model, Granger Causality Test, and action-reaction analyses. The results obtained have indicated the presence of expectation and cost inflation, and that it is triggering the inflation.  Moreover, it has been observed that inability to reach the targeted value, and inclining trend of inflation are causing uncertainty of inflation.</w:t>
      </w:r>
    </w:p>
    <w:p w:rsidR="003A3465" w:rsidRPr="00371201" w:rsidRDefault="003A3465" w:rsidP="003A3465">
      <w:pPr>
        <w:spacing w:after="200" w:line="276" w:lineRule="auto"/>
        <w:rPr>
          <w:rFonts w:ascii="Times New Roman" w:eastAsia="Calibri" w:hAnsi="Times New Roman" w:cs="Times New Roman"/>
          <w:b/>
          <w:snapToGrid w:val="0"/>
          <w:sz w:val="24"/>
          <w:szCs w:val="24"/>
          <w:lang w:eastAsia="ko-KR"/>
        </w:rPr>
      </w:pPr>
      <w:r w:rsidRPr="00371201">
        <w:rPr>
          <w:rFonts w:ascii="Times New Roman" w:eastAsia="Calibri" w:hAnsi="Times New Roman" w:cs="Times New Roman"/>
          <w:b/>
          <w:i/>
          <w:snapToGrid w:val="0"/>
          <w:sz w:val="24"/>
          <w:szCs w:val="24"/>
          <w:lang w:eastAsia="ko-KR"/>
        </w:rPr>
        <w:t>Keywords:</w:t>
      </w:r>
      <w:r w:rsidRPr="00371201">
        <w:rPr>
          <w:rFonts w:ascii="Times New Roman" w:eastAsia="Calibri" w:hAnsi="Times New Roman" w:cs="Times New Roman"/>
          <w:b/>
          <w:snapToGrid w:val="0"/>
          <w:sz w:val="24"/>
          <w:szCs w:val="24"/>
          <w:lang w:eastAsia="ko-KR"/>
        </w:rPr>
        <w:t xml:space="preserve"> </w:t>
      </w:r>
      <w:r>
        <w:rPr>
          <w:rFonts w:ascii="Times New Roman" w:eastAsia="Calibri" w:hAnsi="Times New Roman" w:cs="Times New Roman"/>
          <w:snapToGrid w:val="0"/>
          <w:sz w:val="24"/>
          <w:szCs w:val="24"/>
          <w:lang w:eastAsia="ko-KR"/>
        </w:rPr>
        <w:t xml:space="preserve">Macroeconomics, Monetary Policy, Inflation Targeting </w:t>
      </w:r>
    </w:p>
    <w:p w:rsidR="003A3465" w:rsidRPr="00371201" w:rsidRDefault="003A3465" w:rsidP="003A3465">
      <w:pPr>
        <w:spacing w:after="120" w:line="240" w:lineRule="auto"/>
        <w:rPr>
          <w:rFonts w:ascii="Times New Roman" w:eastAsia="Batang" w:hAnsi="Times New Roman" w:cs="Times New Roman"/>
          <w:snapToGrid w:val="0"/>
          <w:sz w:val="24"/>
          <w:szCs w:val="24"/>
          <w:lang w:eastAsia="ko-KR"/>
        </w:rPr>
      </w:pPr>
    </w:p>
    <w:p w:rsidR="008C4BC6" w:rsidRPr="00AA28E3" w:rsidRDefault="008C4BC6" w:rsidP="008C4BC6">
      <w:pPr>
        <w:pStyle w:val="ListeParagraf"/>
        <w:numPr>
          <w:ilvl w:val="0"/>
          <w:numId w:val="3"/>
        </w:numPr>
        <w:spacing w:line="360" w:lineRule="auto"/>
        <w:jc w:val="both"/>
        <w:rPr>
          <w:rFonts w:ascii="Times New Roman" w:hAnsi="Times New Roman" w:cs="Times New Roman"/>
          <w:b/>
          <w:sz w:val="24"/>
          <w:szCs w:val="24"/>
        </w:rPr>
      </w:pPr>
      <w:r w:rsidRPr="00AA28E3">
        <w:rPr>
          <w:rFonts w:ascii="Times New Roman" w:hAnsi="Times New Roman" w:cs="Times New Roman"/>
          <w:b/>
          <w:sz w:val="24"/>
          <w:szCs w:val="24"/>
        </w:rPr>
        <w:t>Introduction</w:t>
      </w:r>
    </w:p>
    <w:p w:rsidR="008C4BC6" w:rsidRDefault="008C4BC6" w:rsidP="008C4BC6">
      <w:pPr>
        <w:spacing w:line="360" w:lineRule="auto"/>
        <w:ind w:firstLine="708"/>
        <w:jc w:val="both"/>
        <w:rPr>
          <w:rFonts w:ascii="Times New Roman" w:hAnsi="Times New Roman" w:cs="Times New Roman"/>
          <w:sz w:val="24"/>
          <w:szCs w:val="24"/>
        </w:rPr>
      </w:pPr>
      <w:r w:rsidRPr="006C5B64">
        <w:rPr>
          <w:rFonts w:ascii="Times New Roman" w:hAnsi="Times New Roman" w:cs="Times New Roman"/>
          <w:sz w:val="24"/>
          <w:szCs w:val="24"/>
        </w:rPr>
        <w:t xml:space="preserve">With the oil crisis in 1970s and the collapse of the Bretton Woods system, global inflation has shaken the economies deeply. For this reason, monetary authorities have implemented monetary targeting, interest rate targeting and exchange rate targeting strategies in order to achieve price stability, but they </w:t>
      </w:r>
      <w:proofErr w:type="spellStart"/>
      <w:r w:rsidRPr="006C5B64">
        <w:rPr>
          <w:rFonts w:ascii="Times New Roman" w:hAnsi="Times New Roman" w:cs="Times New Roman"/>
          <w:sz w:val="24"/>
          <w:szCs w:val="24"/>
          <w:lang w:val="tr-TR"/>
        </w:rPr>
        <w:t>have</w:t>
      </w:r>
      <w:proofErr w:type="spellEnd"/>
      <w:r w:rsidRPr="006C5B64">
        <w:rPr>
          <w:rFonts w:ascii="Times New Roman" w:hAnsi="Times New Roman" w:cs="Times New Roman"/>
          <w:sz w:val="24"/>
          <w:szCs w:val="24"/>
        </w:rPr>
        <w:t xml:space="preserve"> not achieved the desired success from these strategies. Inflation targeting strategy was first introduced in New Zealand in 1990, when price stability based on the New Neoclassical Synthesis Theory was considered as the main objective due to the failure of other monetary policies in such a period. Other countries struggling with high inflation have started to use this strategy as it has achieved successful results in the countries where it is implemented. The most important features of </w:t>
      </w:r>
      <w:r>
        <w:rPr>
          <w:rFonts w:ascii="Times New Roman" w:hAnsi="Times New Roman" w:cs="Times New Roman"/>
          <w:sz w:val="24"/>
          <w:szCs w:val="24"/>
        </w:rPr>
        <w:t>inflation</w:t>
      </w:r>
      <w:r w:rsidRPr="006C5B64">
        <w:rPr>
          <w:rFonts w:ascii="Times New Roman" w:hAnsi="Times New Roman" w:cs="Times New Roman"/>
          <w:sz w:val="24"/>
          <w:szCs w:val="24"/>
        </w:rPr>
        <w:t xml:space="preserve"> targeting strategy are the fact that the central bank is independent at the point of choosing the instruments to be </w:t>
      </w:r>
      <w:r w:rsidRPr="006C5B64">
        <w:rPr>
          <w:rFonts w:ascii="Times New Roman" w:hAnsi="Times New Roman" w:cs="Times New Roman"/>
          <w:sz w:val="24"/>
          <w:szCs w:val="24"/>
        </w:rPr>
        <w:lastRenderedPageBreak/>
        <w:t xml:space="preserve">used in the management of monetary policy, has a transparent structure and has the obligation to </w:t>
      </w:r>
      <w:r>
        <w:rPr>
          <w:rFonts w:ascii="Times New Roman" w:hAnsi="Times New Roman" w:cs="Times New Roman"/>
          <w:sz w:val="24"/>
          <w:szCs w:val="24"/>
        </w:rPr>
        <w:t>account due to its independence.</w:t>
      </w:r>
    </w:p>
    <w:p w:rsidR="008C4BC6" w:rsidRDefault="008C4BC6" w:rsidP="008C4BC6">
      <w:pPr>
        <w:spacing w:line="360" w:lineRule="auto"/>
        <w:ind w:firstLine="708"/>
        <w:jc w:val="both"/>
        <w:rPr>
          <w:rFonts w:ascii="Times New Roman" w:hAnsi="Times New Roman" w:cs="Times New Roman"/>
          <w:sz w:val="24"/>
          <w:szCs w:val="24"/>
        </w:rPr>
      </w:pPr>
      <w:r w:rsidRPr="00FC517B">
        <w:rPr>
          <w:rFonts w:ascii="Times New Roman" w:hAnsi="Times New Roman" w:cs="Times New Roman"/>
          <w:sz w:val="24"/>
          <w:szCs w:val="24"/>
        </w:rPr>
        <w:t xml:space="preserve">Implicit inflation targeting strategy </w:t>
      </w:r>
      <w:r>
        <w:rPr>
          <w:rFonts w:ascii="Times New Roman" w:hAnsi="Times New Roman" w:cs="Times New Roman"/>
          <w:sz w:val="24"/>
          <w:szCs w:val="24"/>
        </w:rPr>
        <w:t xml:space="preserve">was implemented </w:t>
      </w:r>
      <w:r w:rsidRPr="00FC517B">
        <w:rPr>
          <w:rFonts w:ascii="Times New Roman" w:hAnsi="Times New Roman" w:cs="Times New Roman"/>
          <w:sz w:val="24"/>
          <w:szCs w:val="24"/>
        </w:rPr>
        <w:t>in Turk</w:t>
      </w:r>
      <w:r>
        <w:rPr>
          <w:rFonts w:ascii="Times New Roman" w:hAnsi="Times New Roman" w:cs="Times New Roman"/>
          <w:sz w:val="24"/>
          <w:szCs w:val="24"/>
        </w:rPr>
        <w:t>ey between the years 2002-2005,</w:t>
      </w:r>
      <w:r w:rsidRPr="00FC517B">
        <w:rPr>
          <w:rFonts w:ascii="Times New Roman" w:hAnsi="Times New Roman" w:cs="Times New Roman"/>
          <w:sz w:val="24"/>
          <w:szCs w:val="24"/>
        </w:rPr>
        <w:t xml:space="preserve"> explicit inflation targeting strategy began to be implemented</w:t>
      </w:r>
      <w:r w:rsidRPr="00C13A4D">
        <w:rPr>
          <w:rFonts w:ascii="Times New Roman" w:hAnsi="Times New Roman" w:cs="Times New Roman"/>
          <w:sz w:val="24"/>
          <w:szCs w:val="24"/>
        </w:rPr>
        <w:t xml:space="preserve"> </w:t>
      </w:r>
      <w:r w:rsidRPr="00FC517B">
        <w:rPr>
          <w:rFonts w:ascii="Times New Roman" w:hAnsi="Times New Roman" w:cs="Times New Roman"/>
          <w:sz w:val="24"/>
          <w:szCs w:val="24"/>
        </w:rPr>
        <w:t>literally since 2006.</w:t>
      </w:r>
      <w:r w:rsidRPr="00FC517B">
        <w:t xml:space="preserve"> </w:t>
      </w:r>
      <w:r>
        <w:t xml:space="preserve"> </w:t>
      </w:r>
      <w:r>
        <w:rPr>
          <w:rFonts w:ascii="Times New Roman" w:hAnsi="Times New Roman" w:cs="Times New Roman"/>
          <w:sz w:val="24"/>
          <w:szCs w:val="24"/>
        </w:rPr>
        <w:t>I</w:t>
      </w:r>
      <w:r w:rsidRPr="00FC517B">
        <w:rPr>
          <w:rFonts w:ascii="Times New Roman" w:hAnsi="Times New Roman" w:cs="Times New Roman"/>
          <w:sz w:val="24"/>
          <w:szCs w:val="24"/>
        </w:rPr>
        <w:t xml:space="preserve">nflation target is determined as the </w:t>
      </w:r>
      <w:r>
        <w:rPr>
          <w:rFonts w:ascii="Times New Roman" w:hAnsi="Times New Roman" w:cs="Times New Roman"/>
          <w:sz w:val="24"/>
          <w:szCs w:val="24"/>
        </w:rPr>
        <w:t>collective decision</w:t>
      </w:r>
      <w:r w:rsidRPr="00FC517B">
        <w:rPr>
          <w:rFonts w:ascii="Times New Roman" w:hAnsi="Times New Roman" w:cs="Times New Roman"/>
          <w:sz w:val="24"/>
          <w:szCs w:val="24"/>
        </w:rPr>
        <w:t xml:space="preserve"> of the Ce</w:t>
      </w:r>
      <w:r>
        <w:rPr>
          <w:rFonts w:ascii="Times New Roman" w:hAnsi="Times New Roman" w:cs="Times New Roman"/>
          <w:sz w:val="24"/>
          <w:szCs w:val="24"/>
        </w:rPr>
        <w:t>ntral Bank and the Government</w:t>
      </w:r>
      <w:r w:rsidRPr="00FC517B">
        <w:rPr>
          <w:rFonts w:ascii="Times New Roman" w:hAnsi="Times New Roman" w:cs="Times New Roman"/>
          <w:sz w:val="24"/>
          <w:szCs w:val="24"/>
        </w:rPr>
        <w:t>.</w:t>
      </w:r>
      <w:r>
        <w:rPr>
          <w:rFonts w:ascii="Times New Roman" w:hAnsi="Times New Roman" w:cs="Times New Roman"/>
          <w:sz w:val="24"/>
          <w:szCs w:val="24"/>
        </w:rPr>
        <w:t xml:space="preserve"> </w:t>
      </w:r>
      <w:r w:rsidRPr="00FC517B">
        <w:rPr>
          <w:rFonts w:ascii="Times New Roman" w:hAnsi="Times New Roman" w:cs="Times New Roman"/>
          <w:sz w:val="24"/>
          <w:szCs w:val="24"/>
        </w:rPr>
        <w:t xml:space="preserve">In order to provide the necessary prerequisites to be successful in this strategy and to transform it into a structure that is compatible with the </w:t>
      </w:r>
      <w:r>
        <w:rPr>
          <w:rFonts w:ascii="Times New Roman" w:hAnsi="Times New Roman" w:cs="Times New Roman"/>
          <w:sz w:val="24"/>
          <w:szCs w:val="24"/>
        </w:rPr>
        <w:t>conditions of the country, the C</w:t>
      </w:r>
      <w:r w:rsidRPr="00FC517B">
        <w:rPr>
          <w:rFonts w:ascii="Times New Roman" w:hAnsi="Times New Roman" w:cs="Times New Roman"/>
          <w:sz w:val="24"/>
          <w:szCs w:val="24"/>
        </w:rPr>
        <w:t>ent</w:t>
      </w:r>
      <w:r>
        <w:rPr>
          <w:rFonts w:ascii="Times New Roman" w:hAnsi="Times New Roman" w:cs="Times New Roman"/>
          <w:sz w:val="24"/>
          <w:szCs w:val="24"/>
        </w:rPr>
        <w:t>ral B</w:t>
      </w:r>
      <w:r w:rsidRPr="00FC517B">
        <w:rPr>
          <w:rFonts w:ascii="Times New Roman" w:hAnsi="Times New Roman" w:cs="Times New Roman"/>
          <w:sz w:val="24"/>
          <w:szCs w:val="24"/>
        </w:rPr>
        <w:t>ank gradually switched to this policy.</w:t>
      </w:r>
      <w:r>
        <w:rPr>
          <w:rFonts w:ascii="Times New Roman" w:hAnsi="Times New Roman" w:cs="Times New Roman"/>
          <w:sz w:val="24"/>
          <w:szCs w:val="24"/>
        </w:rPr>
        <w:t xml:space="preserve"> </w:t>
      </w:r>
      <w:r w:rsidRPr="002D6626">
        <w:rPr>
          <w:rFonts w:ascii="Times New Roman" w:hAnsi="Times New Roman" w:cs="Times New Roman"/>
          <w:sz w:val="24"/>
          <w:szCs w:val="24"/>
        </w:rPr>
        <w:t>For this reason, this strategy, started to be implemented explicitly since 2006, when th</w:t>
      </w:r>
      <w:r>
        <w:rPr>
          <w:rFonts w:ascii="Times New Roman" w:hAnsi="Times New Roman" w:cs="Times New Roman"/>
          <w:sz w:val="24"/>
          <w:szCs w:val="24"/>
        </w:rPr>
        <w:t xml:space="preserve">e necessary conditions were met. </w:t>
      </w:r>
      <w:r w:rsidRPr="002D6626">
        <w:rPr>
          <w:rFonts w:ascii="Times New Roman" w:hAnsi="Times New Roman" w:cs="Times New Roman"/>
          <w:sz w:val="24"/>
          <w:szCs w:val="24"/>
        </w:rPr>
        <w:t xml:space="preserve">However, the central bank, which achieved quite successful results in the implicit inflation </w:t>
      </w:r>
      <w:r>
        <w:rPr>
          <w:rFonts w:ascii="Times New Roman" w:hAnsi="Times New Roman" w:cs="Times New Roman"/>
          <w:sz w:val="24"/>
          <w:szCs w:val="24"/>
        </w:rPr>
        <w:t xml:space="preserve">targeting </w:t>
      </w:r>
      <w:r w:rsidRPr="002D6626">
        <w:rPr>
          <w:rFonts w:ascii="Times New Roman" w:hAnsi="Times New Roman" w:cs="Times New Roman"/>
          <w:sz w:val="24"/>
          <w:szCs w:val="24"/>
        </w:rPr>
        <w:t>period, failed to achieve the same success in the open inflation targeting period. Targets have always deviated except 2009-2010.</w:t>
      </w:r>
      <w:r>
        <w:rPr>
          <w:rFonts w:ascii="Times New Roman" w:hAnsi="Times New Roman" w:cs="Times New Roman"/>
          <w:sz w:val="24"/>
          <w:szCs w:val="24"/>
        </w:rPr>
        <w:t xml:space="preserve"> </w:t>
      </w:r>
      <w:r w:rsidRPr="002D6626">
        <w:rPr>
          <w:rFonts w:ascii="Times New Roman" w:hAnsi="Times New Roman" w:cs="Times New Roman"/>
          <w:sz w:val="24"/>
          <w:szCs w:val="24"/>
        </w:rPr>
        <w:t xml:space="preserve">This led to a questioning of the success of the strategy and reduced </w:t>
      </w:r>
      <w:r>
        <w:rPr>
          <w:rFonts w:ascii="Times New Roman" w:hAnsi="Times New Roman" w:cs="Times New Roman"/>
          <w:sz w:val="24"/>
          <w:szCs w:val="24"/>
        </w:rPr>
        <w:t xml:space="preserve">the </w:t>
      </w:r>
      <w:r w:rsidRPr="002D6626">
        <w:rPr>
          <w:rFonts w:ascii="Times New Roman" w:hAnsi="Times New Roman" w:cs="Times New Roman"/>
          <w:sz w:val="24"/>
          <w:szCs w:val="24"/>
        </w:rPr>
        <w:t xml:space="preserve">confidence in the </w:t>
      </w:r>
      <w:r w:rsidRPr="00FC517B">
        <w:rPr>
          <w:rFonts w:ascii="Times New Roman" w:hAnsi="Times New Roman" w:cs="Times New Roman"/>
          <w:sz w:val="24"/>
          <w:szCs w:val="24"/>
        </w:rPr>
        <w:t>Ce</w:t>
      </w:r>
      <w:r>
        <w:rPr>
          <w:rFonts w:ascii="Times New Roman" w:hAnsi="Times New Roman" w:cs="Times New Roman"/>
          <w:sz w:val="24"/>
          <w:szCs w:val="24"/>
        </w:rPr>
        <w:t>ntral Bank Republic of Turkey (</w:t>
      </w:r>
      <w:r w:rsidRPr="002D6626">
        <w:rPr>
          <w:rFonts w:ascii="Times New Roman" w:hAnsi="Times New Roman" w:cs="Times New Roman"/>
          <w:sz w:val="24"/>
          <w:szCs w:val="24"/>
        </w:rPr>
        <w:t>CBRT</w:t>
      </w:r>
      <w:r>
        <w:rPr>
          <w:rFonts w:ascii="Times New Roman" w:hAnsi="Times New Roman" w:cs="Times New Roman"/>
          <w:sz w:val="24"/>
          <w:szCs w:val="24"/>
        </w:rPr>
        <w:t>)</w:t>
      </w:r>
      <w:r w:rsidRPr="002D6626">
        <w:rPr>
          <w:rFonts w:ascii="Times New Roman" w:hAnsi="Times New Roman" w:cs="Times New Roman"/>
          <w:sz w:val="24"/>
          <w:szCs w:val="24"/>
        </w:rPr>
        <w:t>. In the light of all these developme</w:t>
      </w:r>
      <w:r>
        <w:rPr>
          <w:rFonts w:ascii="Times New Roman" w:hAnsi="Times New Roman" w:cs="Times New Roman"/>
          <w:sz w:val="24"/>
          <w:szCs w:val="24"/>
        </w:rPr>
        <w:t>nts, the questions sought in this</w:t>
      </w:r>
      <w:r w:rsidRPr="002D6626">
        <w:rPr>
          <w:rFonts w:ascii="Times New Roman" w:hAnsi="Times New Roman" w:cs="Times New Roman"/>
          <w:sz w:val="24"/>
          <w:szCs w:val="24"/>
        </w:rPr>
        <w:t xml:space="preserve"> study are as follows;</w:t>
      </w:r>
    </w:p>
    <w:p w:rsidR="008C4BC6" w:rsidRPr="002D6626" w:rsidRDefault="008C4BC6" w:rsidP="008C4BC6">
      <w:pPr>
        <w:pStyle w:val="ListeParagraf"/>
        <w:numPr>
          <w:ilvl w:val="0"/>
          <w:numId w:val="2"/>
        </w:numPr>
        <w:spacing w:line="360" w:lineRule="auto"/>
        <w:jc w:val="both"/>
        <w:rPr>
          <w:rFonts w:ascii="Times New Roman" w:hAnsi="Times New Roman" w:cs="Times New Roman"/>
          <w:sz w:val="24"/>
          <w:szCs w:val="24"/>
        </w:rPr>
      </w:pPr>
      <w:r w:rsidRPr="002D6626">
        <w:rPr>
          <w:rFonts w:ascii="Times New Roman" w:hAnsi="Times New Roman" w:cs="Times New Roman"/>
          <w:sz w:val="24"/>
          <w:szCs w:val="24"/>
        </w:rPr>
        <w:t>Is Inflation Targeting Strategy a suitable policy for Turkey's economic conjuncture?</w:t>
      </w:r>
      <w:r>
        <w:rPr>
          <w:rFonts w:ascii="Times New Roman" w:hAnsi="Times New Roman" w:cs="Times New Roman"/>
          <w:sz w:val="24"/>
          <w:szCs w:val="24"/>
        </w:rPr>
        <w:t xml:space="preserve"> And was it successful in Turkey?</w:t>
      </w:r>
    </w:p>
    <w:p w:rsidR="008C4BC6" w:rsidRDefault="008C4BC6" w:rsidP="008C4BC6">
      <w:pPr>
        <w:pStyle w:val="ListeParagraf"/>
        <w:numPr>
          <w:ilvl w:val="0"/>
          <w:numId w:val="2"/>
        </w:numPr>
        <w:spacing w:line="360" w:lineRule="auto"/>
        <w:jc w:val="both"/>
        <w:rPr>
          <w:rFonts w:ascii="Times New Roman" w:hAnsi="Times New Roman" w:cs="Times New Roman"/>
          <w:sz w:val="24"/>
          <w:szCs w:val="24"/>
        </w:rPr>
      </w:pPr>
      <w:r w:rsidRPr="002D6626">
        <w:rPr>
          <w:rFonts w:ascii="Times New Roman" w:hAnsi="Times New Roman" w:cs="Times New Roman"/>
          <w:sz w:val="24"/>
          <w:szCs w:val="24"/>
        </w:rPr>
        <w:t xml:space="preserve">What was the effect of the Inflation Targeting Strategy on </w:t>
      </w:r>
      <w:r>
        <w:rPr>
          <w:rFonts w:ascii="Times New Roman" w:hAnsi="Times New Roman" w:cs="Times New Roman"/>
          <w:sz w:val="24"/>
          <w:szCs w:val="24"/>
        </w:rPr>
        <w:t xml:space="preserve">the </w:t>
      </w:r>
      <w:r w:rsidRPr="002D6626">
        <w:rPr>
          <w:rFonts w:ascii="Times New Roman" w:hAnsi="Times New Roman" w:cs="Times New Roman"/>
          <w:sz w:val="24"/>
          <w:szCs w:val="24"/>
        </w:rPr>
        <w:t>other macroeconomic factors?</w:t>
      </w:r>
    </w:p>
    <w:p w:rsidR="008C4BC6" w:rsidRDefault="008C4BC6" w:rsidP="008C4BC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There exists n</w:t>
      </w:r>
      <w:r w:rsidRPr="002D6626">
        <w:rPr>
          <w:rFonts w:ascii="Times New Roman" w:hAnsi="Times New Roman" w:cs="Times New Roman"/>
          <w:sz w:val="24"/>
          <w:szCs w:val="24"/>
        </w:rPr>
        <w:t xml:space="preserve">umerous </w:t>
      </w:r>
      <w:r>
        <w:rPr>
          <w:rFonts w:ascii="Times New Roman" w:hAnsi="Times New Roman" w:cs="Times New Roman"/>
          <w:sz w:val="24"/>
          <w:szCs w:val="24"/>
        </w:rPr>
        <w:t>studies</w:t>
      </w:r>
      <w:r w:rsidRPr="002D6626">
        <w:rPr>
          <w:rFonts w:ascii="Times New Roman" w:hAnsi="Times New Roman" w:cs="Times New Roman"/>
          <w:sz w:val="24"/>
          <w:szCs w:val="24"/>
        </w:rPr>
        <w:t xml:space="preserve"> and econometric analysis </w:t>
      </w:r>
      <w:r>
        <w:rPr>
          <w:rFonts w:ascii="Times New Roman" w:hAnsi="Times New Roman" w:cs="Times New Roman"/>
          <w:sz w:val="24"/>
          <w:szCs w:val="24"/>
        </w:rPr>
        <w:t>in the literature about</w:t>
      </w:r>
      <w:r w:rsidRPr="002D6626">
        <w:rPr>
          <w:rFonts w:ascii="Times New Roman" w:hAnsi="Times New Roman" w:cs="Times New Roman"/>
          <w:sz w:val="24"/>
          <w:szCs w:val="24"/>
        </w:rPr>
        <w:t xml:space="preserve"> </w:t>
      </w:r>
      <w:r>
        <w:rPr>
          <w:rFonts w:ascii="Times New Roman" w:hAnsi="Times New Roman" w:cs="Times New Roman"/>
          <w:sz w:val="24"/>
          <w:szCs w:val="24"/>
        </w:rPr>
        <w:t>i</w:t>
      </w:r>
      <w:r w:rsidRPr="002D6626">
        <w:rPr>
          <w:rFonts w:ascii="Times New Roman" w:hAnsi="Times New Roman" w:cs="Times New Roman"/>
          <w:sz w:val="24"/>
          <w:szCs w:val="24"/>
        </w:rPr>
        <w:t>nflation targeting in Turkey</w:t>
      </w:r>
      <w:r>
        <w:rPr>
          <w:rFonts w:ascii="Times New Roman" w:hAnsi="Times New Roman" w:cs="Times New Roman"/>
          <w:sz w:val="24"/>
          <w:szCs w:val="24"/>
        </w:rPr>
        <w:t>.</w:t>
      </w:r>
      <w:r w:rsidRPr="002D6626">
        <w:rPr>
          <w:rFonts w:ascii="Times New Roman" w:hAnsi="Times New Roman" w:cs="Times New Roman"/>
          <w:sz w:val="24"/>
          <w:szCs w:val="24"/>
        </w:rPr>
        <w:t xml:space="preserve"> In the ec</w:t>
      </w:r>
      <w:r>
        <w:rPr>
          <w:rFonts w:ascii="Times New Roman" w:hAnsi="Times New Roman" w:cs="Times New Roman"/>
          <w:sz w:val="24"/>
          <w:szCs w:val="24"/>
        </w:rPr>
        <w:t>onometric analysis, VAR method was applied mostly, but there we</w:t>
      </w:r>
      <w:r w:rsidRPr="002D6626">
        <w:rPr>
          <w:rFonts w:ascii="Times New Roman" w:hAnsi="Times New Roman" w:cs="Times New Roman"/>
          <w:sz w:val="24"/>
          <w:szCs w:val="24"/>
        </w:rPr>
        <w:t xml:space="preserve">re also </w:t>
      </w:r>
      <w:r>
        <w:rPr>
          <w:rFonts w:ascii="Times New Roman" w:hAnsi="Times New Roman" w:cs="Times New Roman"/>
          <w:sz w:val="24"/>
          <w:szCs w:val="24"/>
        </w:rPr>
        <w:t>other studies which</w:t>
      </w:r>
      <w:r w:rsidRPr="002D6626">
        <w:rPr>
          <w:rFonts w:ascii="Times New Roman" w:hAnsi="Times New Roman" w:cs="Times New Roman"/>
          <w:sz w:val="24"/>
          <w:szCs w:val="24"/>
        </w:rPr>
        <w:t xml:space="preserve"> apply different methods such as OLS method and AR Model. For example; </w:t>
      </w:r>
      <w:r>
        <w:rPr>
          <w:rFonts w:ascii="Times New Roman" w:hAnsi="Times New Roman" w:cs="Times New Roman"/>
          <w:sz w:val="24"/>
          <w:szCs w:val="24"/>
        </w:rPr>
        <w:t>[1]</w:t>
      </w:r>
      <w:r w:rsidRPr="002D6626">
        <w:rPr>
          <w:rFonts w:ascii="Times New Roman" w:hAnsi="Times New Roman" w:cs="Times New Roman"/>
          <w:sz w:val="24"/>
          <w:szCs w:val="24"/>
        </w:rPr>
        <w:t xml:space="preserve"> and </w:t>
      </w:r>
      <w:r>
        <w:rPr>
          <w:rFonts w:ascii="Times New Roman" w:hAnsi="Times New Roman" w:cs="Times New Roman"/>
          <w:sz w:val="24"/>
          <w:szCs w:val="24"/>
        </w:rPr>
        <w:t>[2]</w:t>
      </w:r>
      <w:r w:rsidRPr="002D6626">
        <w:rPr>
          <w:rFonts w:ascii="Times New Roman" w:hAnsi="Times New Roman" w:cs="Times New Roman"/>
          <w:sz w:val="24"/>
          <w:szCs w:val="24"/>
        </w:rPr>
        <w:t xml:space="preserve"> the effect of inflation targeting strategy on inflation and gro</w:t>
      </w:r>
      <w:r>
        <w:rPr>
          <w:rFonts w:ascii="Times New Roman" w:hAnsi="Times New Roman" w:cs="Times New Roman"/>
          <w:sz w:val="24"/>
          <w:szCs w:val="24"/>
        </w:rPr>
        <w:t>wth; [3], forecasting</w:t>
      </w:r>
      <w:r w:rsidRPr="002D6626">
        <w:rPr>
          <w:rFonts w:ascii="Times New Roman" w:hAnsi="Times New Roman" w:cs="Times New Roman"/>
          <w:sz w:val="24"/>
          <w:szCs w:val="24"/>
        </w:rPr>
        <w:t xml:space="preserve"> in inflation targeting strategy; </w:t>
      </w:r>
      <w:r>
        <w:rPr>
          <w:rFonts w:ascii="Times New Roman" w:hAnsi="Times New Roman" w:cs="Times New Roman"/>
          <w:sz w:val="24"/>
          <w:szCs w:val="24"/>
        </w:rPr>
        <w:t>[4]</w:t>
      </w:r>
      <w:r w:rsidRPr="002D6626">
        <w:rPr>
          <w:rFonts w:ascii="Times New Roman" w:hAnsi="Times New Roman" w:cs="Times New Roman"/>
          <w:sz w:val="24"/>
          <w:szCs w:val="24"/>
        </w:rPr>
        <w:t xml:space="preserve">, </w:t>
      </w:r>
      <w:r>
        <w:rPr>
          <w:rFonts w:ascii="Times New Roman" w:hAnsi="Times New Roman" w:cs="Times New Roman"/>
          <w:sz w:val="24"/>
          <w:szCs w:val="24"/>
        </w:rPr>
        <w:t>[5]</w:t>
      </w:r>
      <w:r w:rsidRPr="002D6626">
        <w:rPr>
          <w:rFonts w:ascii="Times New Roman" w:hAnsi="Times New Roman" w:cs="Times New Roman"/>
          <w:sz w:val="24"/>
          <w:szCs w:val="24"/>
        </w:rPr>
        <w:t xml:space="preserve">, </w:t>
      </w:r>
      <w:r>
        <w:rPr>
          <w:rFonts w:ascii="Times New Roman" w:hAnsi="Times New Roman" w:cs="Times New Roman"/>
          <w:sz w:val="24"/>
          <w:szCs w:val="24"/>
        </w:rPr>
        <w:t>[6]</w:t>
      </w:r>
      <w:r w:rsidRPr="002D6626">
        <w:rPr>
          <w:rFonts w:ascii="Times New Roman" w:hAnsi="Times New Roman" w:cs="Times New Roman"/>
          <w:sz w:val="24"/>
          <w:szCs w:val="24"/>
        </w:rPr>
        <w:t xml:space="preserve"> analyze</w:t>
      </w:r>
      <w:r>
        <w:rPr>
          <w:rFonts w:ascii="Times New Roman" w:hAnsi="Times New Roman" w:cs="Times New Roman"/>
          <w:sz w:val="24"/>
          <w:szCs w:val="24"/>
        </w:rPr>
        <w:t>d</w:t>
      </w:r>
      <w:r w:rsidRPr="002D6626">
        <w:rPr>
          <w:rFonts w:ascii="Times New Roman" w:hAnsi="Times New Roman" w:cs="Times New Roman"/>
          <w:sz w:val="24"/>
          <w:szCs w:val="24"/>
        </w:rPr>
        <w:t xml:space="preserve"> the performance of inflation targeting strategy on macroeconomic variables by VAR model, while </w:t>
      </w:r>
      <w:r>
        <w:rPr>
          <w:rFonts w:ascii="Times New Roman" w:hAnsi="Times New Roman" w:cs="Times New Roman"/>
          <w:sz w:val="24"/>
          <w:szCs w:val="24"/>
        </w:rPr>
        <w:t>[7]</w:t>
      </w:r>
      <w:r w:rsidRPr="002D6626">
        <w:rPr>
          <w:rFonts w:ascii="Times New Roman" w:hAnsi="Times New Roman" w:cs="Times New Roman"/>
          <w:sz w:val="24"/>
          <w:szCs w:val="24"/>
        </w:rPr>
        <w:t xml:space="preserve"> and </w:t>
      </w:r>
      <w:r>
        <w:rPr>
          <w:rFonts w:ascii="Times New Roman" w:hAnsi="Times New Roman" w:cs="Times New Roman"/>
          <w:sz w:val="24"/>
          <w:szCs w:val="24"/>
        </w:rPr>
        <w:t>[8]</w:t>
      </w:r>
      <w:r w:rsidRPr="002D6626">
        <w:rPr>
          <w:rFonts w:ascii="Times New Roman" w:hAnsi="Times New Roman" w:cs="Times New Roman"/>
          <w:sz w:val="24"/>
          <w:szCs w:val="24"/>
        </w:rPr>
        <w:t xml:space="preserve"> analyze</w:t>
      </w:r>
      <w:r>
        <w:rPr>
          <w:rFonts w:ascii="Times New Roman" w:hAnsi="Times New Roman" w:cs="Times New Roman"/>
          <w:sz w:val="24"/>
          <w:szCs w:val="24"/>
        </w:rPr>
        <w:t>d</w:t>
      </w:r>
      <w:r w:rsidRPr="002D6626">
        <w:rPr>
          <w:rFonts w:ascii="Times New Roman" w:hAnsi="Times New Roman" w:cs="Times New Roman"/>
          <w:sz w:val="24"/>
          <w:szCs w:val="24"/>
        </w:rPr>
        <w:t xml:space="preserve"> the effect of inflation targeting strategy on macroeconomic variables by using OL</w:t>
      </w:r>
      <w:r>
        <w:rPr>
          <w:rFonts w:ascii="Times New Roman" w:hAnsi="Times New Roman" w:cs="Times New Roman"/>
          <w:sz w:val="24"/>
          <w:szCs w:val="24"/>
        </w:rPr>
        <w:t>S method. [9], used</w:t>
      </w:r>
      <w:r w:rsidRPr="002D6626">
        <w:rPr>
          <w:rFonts w:ascii="Times New Roman" w:hAnsi="Times New Roman" w:cs="Times New Roman"/>
          <w:sz w:val="24"/>
          <w:szCs w:val="24"/>
        </w:rPr>
        <w:t xml:space="preserve"> AR model; </w:t>
      </w:r>
      <w:r w:rsidR="00462055">
        <w:rPr>
          <w:rFonts w:ascii="Times New Roman" w:hAnsi="Times New Roman" w:cs="Times New Roman"/>
          <w:sz w:val="24"/>
          <w:szCs w:val="24"/>
        </w:rPr>
        <w:t>[10]</w:t>
      </w:r>
      <w:r w:rsidRPr="002D6626">
        <w:rPr>
          <w:rFonts w:ascii="Times New Roman" w:hAnsi="Times New Roman" w:cs="Times New Roman"/>
          <w:sz w:val="24"/>
          <w:szCs w:val="24"/>
        </w:rPr>
        <w:t xml:space="preserve"> investigated the Pooled Regression Model.</w:t>
      </w:r>
    </w:p>
    <w:p w:rsidR="008C4BC6" w:rsidRDefault="008C4BC6" w:rsidP="008C4BC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This study analyzes</w:t>
      </w:r>
      <w:r w:rsidRPr="009E621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E6211">
        <w:rPr>
          <w:rFonts w:ascii="Times New Roman" w:hAnsi="Times New Roman" w:cs="Times New Roman"/>
          <w:sz w:val="24"/>
          <w:szCs w:val="24"/>
        </w:rPr>
        <w:t>relationship</w:t>
      </w:r>
      <w:r>
        <w:rPr>
          <w:rFonts w:ascii="Times New Roman" w:hAnsi="Times New Roman" w:cs="Times New Roman"/>
          <w:sz w:val="24"/>
          <w:szCs w:val="24"/>
        </w:rPr>
        <w:t xml:space="preserve"> between</w:t>
      </w:r>
      <w:r w:rsidRPr="009E6211">
        <w:rPr>
          <w:rFonts w:ascii="Times New Roman" w:hAnsi="Times New Roman" w:cs="Times New Roman"/>
          <w:sz w:val="24"/>
          <w:szCs w:val="24"/>
        </w:rPr>
        <w:t xml:space="preserve"> i</w:t>
      </w:r>
      <w:r>
        <w:rPr>
          <w:rFonts w:ascii="Times New Roman" w:hAnsi="Times New Roman" w:cs="Times New Roman"/>
          <w:sz w:val="24"/>
          <w:szCs w:val="24"/>
        </w:rPr>
        <w:t>nflation targeting strategy and</w:t>
      </w:r>
      <w:r w:rsidRPr="009E6211">
        <w:rPr>
          <w:rFonts w:ascii="Times New Roman" w:hAnsi="Times New Roman" w:cs="Times New Roman"/>
          <w:sz w:val="24"/>
          <w:szCs w:val="24"/>
        </w:rPr>
        <w:t xml:space="preserve"> </w:t>
      </w:r>
      <w:r>
        <w:rPr>
          <w:rFonts w:ascii="Times New Roman" w:hAnsi="Times New Roman" w:cs="Times New Roman"/>
          <w:sz w:val="24"/>
          <w:szCs w:val="24"/>
        </w:rPr>
        <w:t xml:space="preserve">some </w:t>
      </w:r>
      <w:r w:rsidRPr="009E6211">
        <w:rPr>
          <w:rFonts w:ascii="Times New Roman" w:hAnsi="Times New Roman" w:cs="Times New Roman"/>
          <w:sz w:val="24"/>
          <w:szCs w:val="24"/>
        </w:rPr>
        <w:t xml:space="preserve">macroeconomic variables </w:t>
      </w:r>
      <w:r>
        <w:rPr>
          <w:rFonts w:ascii="Times New Roman" w:hAnsi="Times New Roman" w:cs="Times New Roman"/>
          <w:sz w:val="24"/>
          <w:szCs w:val="24"/>
        </w:rPr>
        <w:t xml:space="preserve">in Turkey. It also examines the relationship between </w:t>
      </w:r>
      <w:r w:rsidRPr="009E6211">
        <w:rPr>
          <w:rFonts w:ascii="Times New Roman" w:hAnsi="Times New Roman" w:cs="Times New Roman"/>
          <w:sz w:val="24"/>
          <w:szCs w:val="24"/>
        </w:rPr>
        <w:t>price stability and ec</w:t>
      </w:r>
      <w:r>
        <w:rPr>
          <w:rFonts w:ascii="Times New Roman" w:hAnsi="Times New Roman" w:cs="Times New Roman"/>
          <w:sz w:val="24"/>
          <w:szCs w:val="24"/>
        </w:rPr>
        <w:t>onomic stability by using</w:t>
      </w:r>
      <w:r w:rsidRPr="009E6211">
        <w:rPr>
          <w:rFonts w:ascii="Times New Roman" w:hAnsi="Times New Roman" w:cs="Times New Roman"/>
          <w:sz w:val="24"/>
          <w:szCs w:val="24"/>
        </w:rPr>
        <w:t xml:space="preserve"> VAR method</w:t>
      </w:r>
      <w:r>
        <w:rPr>
          <w:rFonts w:ascii="Times New Roman" w:hAnsi="Times New Roman" w:cs="Times New Roman"/>
          <w:sz w:val="24"/>
          <w:szCs w:val="24"/>
        </w:rPr>
        <w:t xml:space="preserve">. </w:t>
      </w:r>
      <w:r w:rsidRPr="009E6211">
        <w:rPr>
          <w:rFonts w:ascii="Times New Roman" w:hAnsi="Times New Roman" w:cs="Times New Roman"/>
          <w:sz w:val="24"/>
          <w:szCs w:val="24"/>
        </w:rPr>
        <w:t xml:space="preserve">This study consists of </w:t>
      </w:r>
      <w:r>
        <w:rPr>
          <w:rFonts w:ascii="Times New Roman" w:hAnsi="Times New Roman" w:cs="Times New Roman"/>
          <w:sz w:val="24"/>
          <w:szCs w:val="24"/>
        </w:rPr>
        <w:t>four sections</w:t>
      </w:r>
      <w:r w:rsidRPr="009E6211">
        <w:rPr>
          <w:rFonts w:ascii="Times New Roman" w:hAnsi="Times New Roman" w:cs="Times New Roman"/>
          <w:sz w:val="24"/>
          <w:szCs w:val="24"/>
        </w:rPr>
        <w:t xml:space="preserve">. </w:t>
      </w:r>
      <w:r>
        <w:rPr>
          <w:rFonts w:ascii="Times New Roman" w:hAnsi="Times New Roman" w:cs="Times New Roman"/>
          <w:sz w:val="24"/>
          <w:szCs w:val="24"/>
        </w:rPr>
        <w:t xml:space="preserve">After introduction, </w:t>
      </w:r>
      <w:r w:rsidRPr="009E6211">
        <w:rPr>
          <w:rFonts w:ascii="Times New Roman" w:hAnsi="Times New Roman" w:cs="Times New Roman"/>
          <w:sz w:val="24"/>
          <w:szCs w:val="24"/>
        </w:rPr>
        <w:t>information about the process and the post-implementation period leading to the implementation of the inflation targeting strategy is presented</w:t>
      </w:r>
      <w:r w:rsidRPr="00937911">
        <w:rPr>
          <w:rFonts w:ascii="Times New Roman" w:hAnsi="Times New Roman" w:cs="Times New Roman"/>
          <w:sz w:val="24"/>
          <w:szCs w:val="24"/>
        </w:rPr>
        <w:t xml:space="preserve"> </w:t>
      </w:r>
      <w:r>
        <w:rPr>
          <w:rFonts w:ascii="Times New Roman" w:hAnsi="Times New Roman" w:cs="Times New Roman"/>
          <w:sz w:val="24"/>
          <w:szCs w:val="24"/>
        </w:rPr>
        <w:t>i</w:t>
      </w:r>
      <w:r w:rsidRPr="009E6211">
        <w:rPr>
          <w:rFonts w:ascii="Times New Roman" w:hAnsi="Times New Roman" w:cs="Times New Roman"/>
          <w:sz w:val="24"/>
          <w:szCs w:val="24"/>
        </w:rPr>
        <w:t xml:space="preserve">n the </w:t>
      </w:r>
      <w:r>
        <w:rPr>
          <w:rFonts w:ascii="Times New Roman" w:hAnsi="Times New Roman" w:cs="Times New Roman"/>
          <w:sz w:val="24"/>
          <w:szCs w:val="24"/>
        </w:rPr>
        <w:t>second section</w:t>
      </w:r>
      <w:r w:rsidRPr="009E6211">
        <w:rPr>
          <w:rFonts w:ascii="Times New Roman" w:hAnsi="Times New Roman" w:cs="Times New Roman"/>
          <w:sz w:val="24"/>
          <w:szCs w:val="24"/>
        </w:rPr>
        <w:t>,</w:t>
      </w:r>
      <w:r>
        <w:rPr>
          <w:rFonts w:ascii="Times New Roman" w:hAnsi="Times New Roman" w:cs="Times New Roman"/>
          <w:sz w:val="24"/>
          <w:szCs w:val="24"/>
        </w:rPr>
        <w:t xml:space="preserve"> the </w:t>
      </w:r>
      <w:r>
        <w:rPr>
          <w:rFonts w:ascii="Times New Roman" w:hAnsi="Times New Roman" w:cs="Times New Roman"/>
          <w:sz w:val="24"/>
          <w:szCs w:val="24"/>
        </w:rPr>
        <w:lastRenderedPageBreak/>
        <w:t>methodology section shows</w:t>
      </w:r>
      <w:r w:rsidRPr="009E6211">
        <w:rPr>
          <w:rFonts w:ascii="Times New Roman" w:hAnsi="Times New Roman" w:cs="Times New Roman"/>
          <w:sz w:val="24"/>
          <w:szCs w:val="24"/>
        </w:rPr>
        <w:t xml:space="preserve"> the findings obtained in the empirical </w:t>
      </w:r>
      <w:r>
        <w:rPr>
          <w:rFonts w:ascii="Times New Roman" w:hAnsi="Times New Roman" w:cs="Times New Roman"/>
          <w:sz w:val="24"/>
          <w:szCs w:val="24"/>
        </w:rPr>
        <w:t>study is explained in the third section</w:t>
      </w:r>
      <w:r w:rsidRPr="009E6211">
        <w:rPr>
          <w:rFonts w:ascii="Times New Roman" w:hAnsi="Times New Roman" w:cs="Times New Roman"/>
          <w:sz w:val="24"/>
          <w:szCs w:val="24"/>
        </w:rPr>
        <w:t xml:space="preserve"> and finally, </w:t>
      </w:r>
      <w:r>
        <w:rPr>
          <w:rFonts w:ascii="Times New Roman" w:hAnsi="Times New Roman" w:cs="Times New Roman"/>
          <w:sz w:val="24"/>
          <w:szCs w:val="24"/>
        </w:rPr>
        <w:t>last section concludes.</w:t>
      </w:r>
    </w:p>
    <w:p w:rsidR="008C4BC6" w:rsidRPr="009E6211" w:rsidRDefault="008C4BC6" w:rsidP="008C4BC6">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9E6211">
        <w:rPr>
          <w:rFonts w:ascii="Times New Roman" w:hAnsi="Times New Roman" w:cs="Times New Roman"/>
          <w:b/>
          <w:sz w:val="24"/>
          <w:szCs w:val="24"/>
        </w:rPr>
        <w:t xml:space="preserve">. </w:t>
      </w:r>
      <w:r>
        <w:rPr>
          <w:rFonts w:ascii="Times New Roman" w:hAnsi="Times New Roman" w:cs="Times New Roman"/>
          <w:b/>
          <w:sz w:val="24"/>
          <w:szCs w:val="24"/>
        </w:rPr>
        <w:t>Inflation targeting process in T</w:t>
      </w:r>
      <w:r w:rsidRPr="009E6211">
        <w:rPr>
          <w:rFonts w:ascii="Times New Roman" w:hAnsi="Times New Roman" w:cs="Times New Roman"/>
          <w:b/>
          <w:sz w:val="24"/>
          <w:szCs w:val="24"/>
        </w:rPr>
        <w:t>urkey</w:t>
      </w:r>
    </w:p>
    <w:p w:rsidR="008C4BC6" w:rsidRDefault="008C4BC6" w:rsidP="008C4BC6">
      <w:pPr>
        <w:spacing w:line="360" w:lineRule="auto"/>
        <w:ind w:firstLine="708"/>
        <w:jc w:val="both"/>
        <w:rPr>
          <w:rFonts w:ascii="Times New Roman" w:hAnsi="Times New Roman" w:cs="Times New Roman"/>
          <w:sz w:val="24"/>
          <w:szCs w:val="24"/>
        </w:rPr>
      </w:pPr>
      <w:r w:rsidRPr="009E6211">
        <w:rPr>
          <w:rFonts w:ascii="Times New Roman" w:hAnsi="Times New Roman" w:cs="Times New Roman"/>
          <w:sz w:val="24"/>
          <w:szCs w:val="24"/>
        </w:rPr>
        <w:t>After the 2001 crisis, the Central Bank announced that it would adopt a</w:t>
      </w:r>
      <w:r>
        <w:rPr>
          <w:rFonts w:ascii="Times New Roman" w:hAnsi="Times New Roman" w:cs="Times New Roman"/>
          <w:sz w:val="24"/>
          <w:szCs w:val="24"/>
        </w:rPr>
        <w:t>n</w:t>
      </w:r>
      <w:r w:rsidRPr="009E6211">
        <w:rPr>
          <w:rFonts w:ascii="Times New Roman" w:hAnsi="Times New Roman" w:cs="Times New Roman"/>
          <w:sz w:val="24"/>
          <w:szCs w:val="24"/>
        </w:rPr>
        <w:t xml:space="preserve"> inflation targeting strategy in 2002 </w:t>
      </w:r>
      <w:r>
        <w:rPr>
          <w:rFonts w:ascii="Times New Roman" w:hAnsi="Times New Roman" w:cs="Times New Roman"/>
          <w:sz w:val="24"/>
          <w:szCs w:val="24"/>
        </w:rPr>
        <w:t>which</w:t>
      </w:r>
      <w:r w:rsidRPr="009E6211">
        <w:rPr>
          <w:rFonts w:ascii="Times New Roman" w:hAnsi="Times New Roman" w:cs="Times New Roman"/>
          <w:sz w:val="24"/>
          <w:szCs w:val="24"/>
        </w:rPr>
        <w:t xml:space="preserve"> was implemented</w:t>
      </w:r>
      <w:r w:rsidRPr="00F8409C">
        <w:rPr>
          <w:rFonts w:ascii="Times New Roman" w:hAnsi="Times New Roman" w:cs="Times New Roman"/>
          <w:sz w:val="24"/>
          <w:szCs w:val="24"/>
        </w:rPr>
        <w:t xml:space="preserve"> </w:t>
      </w:r>
      <w:r>
        <w:rPr>
          <w:rFonts w:ascii="Times New Roman" w:hAnsi="Times New Roman" w:cs="Times New Roman"/>
          <w:sz w:val="24"/>
          <w:szCs w:val="24"/>
        </w:rPr>
        <w:t>successfully in some other</w:t>
      </w:r>
      <w:r w:rsidRPr="009E6211">
        <w:rPr>
          <w:rFonts w:ascii="Times New Roman" w:hAnsi="Times New Roman" w:cs="Times New Roman"/>
          <w:sz w:val="24"/>
          <w:szCs w:val="24"/>
        </w:rPr>
        <w:t xml:space="preserve"> countries. Accordingly, in order to move to the main target, it started to follow the implicit inflation targeting strategy in 2002-2005 periods.</w:t>
      </w:r>
      <w:r>
        <w:rPr>
          <w:rFonts w:ascii="Times New Roman" w:hAnsi="Times New Roman" w:cs="Times New Roman"/>
          <w:sz w:val="24"/>
          <w:szCs w:val="24"/>
        </w:rPr>
        <w:t xml:space="preserve"> </w:t>
      </w:r>
      <w:r w:rsidRPr="009E6211">
        <w:rPr>
          <w:rFonts w:ascii="Times New Roman" w:hAnsi="Times New Roman" w:cs="Times New Roman"/>
          <w:sz w:val="24"/>
          <w:szCs w:val="24"/>
        </w:rPr>
        <w:t>The objective of this implicit inflation period, which is implemented by the CBRT in order to adopt the inflation targe</w:t>
      </w:r>
      <w:r>
        <w:rPr>
          <w:rFonts w:ascii="Times New Roman" w:hAnsi="Times New Roman" w:cs="Times New Roman"/>
          <w:sz w:val="24"/>
          <w:szCs w:val="24"/>
        </w:rPr>
        <w:t>ting strategy at certain stages</w:t>
      </w:r>
      <w:r w:rsidRPr="009E6211">
        <w:rPr>
          <w:rFonts w:ascii="Times New Roman" w:hAnsi="Times New Roman" w:cs="Times New Roman"/>
          <w:sz w:val="24"/>
          <w:szCs w:val="24"/>
        </w:rPr>
        <w:t xml:space="preserve"> rather than directly, is to provide the prerequisites deemed necessary in the inflation targeting strategy and to harmonize the monetary policy with this strategy. For this reason, the Central Bank announced on 2 January 2002 that the implicit inflation targeting period would be implemented until the conditions were met, and that the conditions would be passed to the </w:t>
      </w:r>
      <w:r>
        <w:rPr>
          <w:rFonts w:ascii="Times New Roman" w:hAnsi="Times New Roman" w:cs="Times New Roman"/>
          <w:sz w:val="24"/>
          <w:szCs w:val="24"/>
        </w:rPr>
        <w:t>explicit</w:t>
      </w:r>
      <w:r w:rsidRPr="009E6211">
        <w:rPr>
          <w:rFonts w:ascii="Times New Roman" w:hAnsi="Times New Roman" w:cs="Times New Roman"/>
          <w:sz w:val="24"/>
          <w:szCs w:val="24"/>
        </w:rPr>
        <w:t xml:space="preserve"> inflation </w:t>
      </w:r>
      <w:r>
        <w:rPr>
          <w:rFonts w:ascii="Times New Roman" w:hAnsi="Times New Roman" w:cs="Times New Roman"/>
          <w:sz w:val="24"/>
          <w:szCs w:val="24"/>
        </w:rPr>
        <w:t xml:space="preserve">targeting </w:t>
      </w:r>
      <w:r w:rsidRPr="009E6211">
        <w:rPr>
          <w:rFonts w:ascii="Times New Roman" w:hAnsi="Times New Roman" w:cs="Times New Roman"/>
          <w:sz w:val="24"/>
          <w:szCs w:val="24"/>
        </w:rPr>
        <w:t>period. This strategy, which was first expressed by the Central Bank in 1999 with a letter of intent presented to the IMF on the monetary policies</w:t>
      </w:r>
      <w:r>
        <w:rPr>
          <w:rFonts w:ascii="Times New Roman" w:hAnsi="Times New Roman" w:cs="Times New Roman"/>
          <w:sz w:val="24"/>
          <w:szCs w:val="24"/>
        </w:rPr>
        <w:t>,</w:t>
      </w:r>
      <w:r w:rsidRPr="009E6211">
        <w:rPr>
          <w:rFonts w:ascii="Times New Roman" w:hAnsi="Times New Roman" w:cs="Times New Roman"/>
          <w:sz w:val="24"/>
          <w:szCs w:val="24"/>
        </w:rPr>
        <w:t xml:space="preserve"> prepared to cover the years 2000-2002, was hampered by the 2001 crisis and therefore a new letter of intent to the IMF on January 18, 2002 and targeted inflation rates for these years are 35%, 20% and </w:t>
      </w:r>
      <w:r w:rsidR="00462055">
        <w:rPr>
          <w:rFonts w:ascii="Times New Roman" w:hAnsi="Times New Roman" w:cs="Times New Roman"/>
          <w:sz w:val="24"/>
          <w:szCs w:val="24"/>
        </w:rPr>
        <w:t>12%, respectively [11]</w:t>
      </w:r>
      <w:r w:rsidRPr="009E6211">
        <w:rPr>
          <w:rFonts w:ascii="Times New Roman" w:hAnsi="Times New Roman" w:cs="Times New Roman"/>
          <w:sz w:val="24"/>
          <w:szCs w:val="24"/>
        </w:rPr>
        <w:t>.</w:t>
      </w:r>
    </w:p>
    <w:p w:rsidR="008C4BC6" w:rsidRDefault="008C4BC6" w:rsidP="008C4BC6">
      <w:pPr>
        <w:spacing w:line="360" w:lineRule="auto"/>
        <w:ind w:firstLine="708"/>
        <w:jc w:val="both"/>
        <w:rPr>
          <w:rFonts w:ascii="Times New Roman" w:hAnsi="Times New Roman" w:cs="Times New Roman"/>
          <w:sz w:val="24"/>
          <w:szCs w:val="24"/>
        </w:rPr>
      </w:pPr>
      <w:r w:rsidRPr="005D2F38">
        <w:rPr>
          <w:rFonts w:ascii="Times New Roman" w:hAnsi="Times New Roman" w:cs="Times New Roman"/>
          <w:sz w:val="24"/>
          <w:szCs w:val="24"/>
        </w:rPr>
        <w:t>With</w:t>
      </w:r>
      <w:r>
        <w:rPr>
          <w:rFonts w:ascii="Times New Roman" w:hAnsi="Times New Roman" w:cs="Times New Roman"/>
          <w:sz w:val="24"/>
          <w:szCs w:val="24"/>
        </w:rPr>
        <w:t xml:space="preserve"> the</w:t>
      </w:r>
      <w:r w:rsidRPr="005D2F38">
        <w:rPr>
          <w:rFonts w:ascii="Times New Roman" w:hAnsi="Times New Roman" w:cs="Times New Roman"/>
          <w:sz w:val="24"/>
          <w:szCs w:val="24"/>
        </w:rPr>
        <w:t xml:space="preserve"> </w:t>
      </w:r>
      <w:r>
        <w:rPr>
          <w:rFonts w:ascii="Times New Roman" w:hAnsi="Times New Roman" w:cs="Times New Roman"/>
          <w:sz w:val="24"/>
          <w:szCs w:val="24"/>
        </w:rPr>
        <w:t>implementation of this</w:t>
      </w:r>
      <w:r w:rsidRPr="005D2F38">
        <w:rPr>
          <w:rFonts w:ascii="Times New Roman" w:hAnsi="Times New Roman" w:cs="Times New Roman"/>
          <w:sz w:val="24"/>
          <w:szCs w:val="24"/>
        </w:rPr>
        <w:t xml:space="preserve"> program by the Central Bank, significant and remarkable distances have been taken in order to meet the prerequisites, compliance with the floating exchange rate strategy has been expanded, the scope of the information set to be used in the strategy has been expanded, progress has been achieved in communication policies, financial fragility and the negative impact</w:t>
      </w:r>
      <w:r>
        <w:rPr>
          <w:rFonts w:ascii="Times New Roman" w:hAnsi="Times New Roman" w:cs="Times New Roman"/>
          <w:sz w:val="24"/>
          <w:szCs w:val="24"/>
        </w:rPr>
        <w:t>s have</w:t>
      </w:r>
      <w:r w:rsidRPr="005D2F38">
        <w:rPr>
          <w:rFonts w:ascii="Times New Roman" w:hAnsi="Times New Roman" w:cs="Times New Roman"/>
          <w:sz w:val="24"/>
          <w:szCs w:val="24"/>
        </w:rPr>
        <w:t xml:space="preserve"> been weakened, reliability has been increased, institutional and technical infrastructure</w:t>
      </w:r>
      <w:r>
        <w:rPr>
          <w:rFonts w:ascii="Times New Roman" w:hAnsi="Times New Roman" w:cs="Times New Roman"/>
          <w:sz w:val="24"/>
          <w:szCs w:val="24"/>
        </w:rPr>
        <w:t xml:space="preserve"> have been</w:t>
      </w:r>
      <w:r w:rsidRPr="00F8409C">
        <w:rPr>
          <w:rFonts w:ascii="Times New Roman" w:hAnsi="Times New Roman" w:cs="Times New Roman"/>
          <w:sz w:val="24"/>
          <w:szCs w:val="24"/>
        </w:rPr>
        <w:t xml:space="preserve"> </w:t>
      </w:r>
      <w:r w:rsidRPr="005D2F38">
        <w:rPr>
          <w:rFonts w:ascii="Times New Roman" w:hAnsi="Times New Roman" w:cs="Times New Roman"/>
          <w:sz w:val="24"/>
          <w:szCs w:val="24"/>
        </w:rPr>
        <w:t xml:space="preserve">improved </w:t>
      </w:r>
      <w:r>
        <w:rPr>
          <w:rFonts w:ascii="Times New Roman" w:hAnsi="Times New Roman" w:cs="Times New Roman"/>
          <w:sz w:val="24"/>
          <w:szCs w:val="24"/>
        </w:rPr>
        <w:t xml:space="preserve">during this period. Moreover, </w:t>
      </w:r>
      <w:r w:rsidRPr="005D2F38">
        <w:rPr>
          <w:rFonts w:ascii="Times New Roman" w:hAnsi="Times New Roman" w:cs="Times New Roman"/>
          <w:sz w:val="24"/>
          <w:szCs w:val="24"/>
        </w:rPr>
        <w:t>increased tr</w:t>
      </w:r>
      <w:r>
        <w:rPr>
          <w:rFonts w:ascii="Times New Roman" w:hAnsi="Times New Roman" w:cs="Times New Roman"/>
          <w:sz w:val="24"/>
          <w:szCs w:val="24"/>
        </w:rPr>
        <w:t>ansparency and</w:t>
      </w:r>
      <w:r w:rsidRPr="005D2F38">
        <w:rPr>
          <w:rFonts w:ascii="Times New Roman" w:hAnsi="Times New Roman" w:cs="Times New Roman"/>
          <w:sz w:val="24"/>
          <w:szCs w:val="24"/>
        </w:rPr>
        <w:t xml:space="preserve"> improved fo</w:t>
      </w:r>
      <w:r>
        <w:rPr>
          <w:rFonts w:ascii="Times New Roman" w:hAnsi="Times New Roman" w:cs="Times New Roman"/>
          <w:sz w:val="24"/>
          <w:szCs w:val="24"/>
        </w:rPr>
        <w:t>recasting methods for inflation are the other achievements of the program.</w:t>
      </w:r>
      <w:r w:rsidRPr="005D2F38">
        <w:rPr>
          <w:rFonts w:ascii="Times New Roman" w:hAnsi="Times New Roman" w:cs="Times New Roman"/>
          <w:sz w:val="24"/>
          <w:szCs w:val="24"/>
        </w:rPr>
        <w:t xml:space="preserve"> In this period, inflation targets were determined </w:t>
      </w:r>
      <w:r>
        <w:rPr>
          <w:rFonts w:ascii="Times New Roman" w:hAnsi="Times New Roman" w:cs="Times New Roman"/>
          <w:sz w:val="24"/>
          <w:szCs w:val="24"/>
        </w:rPr>
        <w:t xml:space="preserve">together </w:t>
      </w:r>
      <w:r w:rsidRPr="005D2F38">
        <w:rPr>
          <w:rFonts w:ascii="Times New Roman" w:hAnsi="Times New Roman" w:cs="Times New Roman"/>
          <w:sz w:val="24"/>
          <w:szCs w:val="24"/>
        </w:rPr>
        <w:t>with the government, short-term interest rates were applied effectively to reach the targeted inf</w:t>
      </w:r>
      <w:r>
        <w:rPr>
          <w:rFonts w:ascii="Times New Roman" w:hAnsi="Times New Roman" w:cs="Times New Roman"/>
          <w:sz w:val="24"/>
          <w:szCs w:val="24"/>
        </w:rPr>
        <w:t>lation rate</w:t>
      </w:r>
      <w:r w:rsidRPr="005D2F38">
        <w:rPr>
          <w:rFonts w:ascii="Times New Roman" w:hAnsi="Times New Roman" w:cs="Times New Roman"/>
          <w:sz w:val="24"/>
          <w:szCs w:val="24"/>
        </w:rPr>
        <w:t>, a</w:t>
      </w:r>
      <w:r>
        <w:rPr>
          <w:rFonts w:ascii="Times New Roman" w:hAnsi="Times New Roman" w:cs="Times New Roman"/>
          <w:sz w:val="24"/>
          <w:szCs w:val="24"/>
        </w:rPr>
        <w:t>nd the monetary base was used</w:t>
      </w:r>
      <w:r w:rsidRPr="005D2F38">
        <w:rPr>
          <w:rFonts w:ascii="Times New Roman" w:hAnsi="Times New Roman" w:cs="Times New Roman"/>
          <w:sz w:val="24"/>
          <w:szCs w:val="24"/>
        </w:rPr>
        <w:t xml:space="preserve"> to serve as an additional anchor and the monetary base targets were also used in line with the inflation targets. In 2005, 6 zeros were taken from the </w:t>
      </w:r>
      <w:r>
        <w:rPr>
          <w:rFonts w:ascii="Times New Roman" w:hAnsi="Times New Roman" w:cs="Times New Roman"/>
          <w:sz w:val="24"/>
          <w:szCs w:val="24"/>
        </w:rPr>
        <w:t>local currency ‘</w:t>
      </w:r>
      <w:r w:rsidRPr="005D2F38">
        <w:rPr>
          <w:rFonts w:ascii="Times New Roman" w:hAnsi="Times New Roman" w:cs="Times New Roman"/>
          <w:sz w:val="24"/>
          <w:szCs w:val="24"/>
        </w:rPr>
        <w:t>Tu</w:t>
      </w:r>
      <w:r>
        <w:rPr>
          <w:rFonts w:ascii="Times New Roman" w:hAnsi="Times New Roman" w:cs="Times New Roman"/>
          <w:sz w:val="24"/>
          <w:szCs w:val="24"/>
        </w:rPr>
        <w:t>rkish L</w:t>
      </w:r>
      <w:r w:rsidRPr="005D2F38">
        <w:rPr>
          <w:rFonts w:ascii="Times New Roman" w:hAnsi="Times New Roman" w:cs="Times New Roman"/>
          <w:sz w:val="24"/>
          <w:szCs w:val="24"/>
        </w:rPr>
        <w:t>ira</w:t>
      </w:r>
      <w:r>
        <w:rPr>
          <w:rFonts w:ascii="Times New Roman" w:hAnsi="Times New Roman" w:cs="Times New Roman"/>
          <w:sz w:val="24"/>
          <w:szCs w:val="24"/>
        </w:rPr>
        <w:t>’</w:t>
      </w:r>
      <w:r w:rsidRPr="005D2F38">
        <w:rPr>
          <w:rFonts w:ascii="Times New Roman" w:hAnsi="Times New Roman" w:cs="Times New Roman"/>
          <w:sz w:val="24"/>
          <w:szCs w:val="24"/>
        </w:rPr>
        <w:t xml:space="preserve"> and the transition to the </w:t>
      </w:r>
      <w:r>
        <w:rPr>
          <w:rFonts w:ascii="Times New Roman" w:hAnsi="Times New Roman" w:cs="Times New Roman"/>
          <w:sz w:val="24"/>
          <w:szCs w:val="24"/>
        </w:rPr>
        <w:t>‘</w:t>
      </w:r>
      <w:r w:rsidRPr="005D2F38">
        <w:rPr>
          <w:rFonts w:ascii="Times New Roman" w:hAnsi="Times New Roman" w:cs="Times New Roman"/>
          <w:sz w:val="24"/>
          <w:szCs w:val="24"/>
        </w:rPr>
        <w:t>New Turkish Lira</w:t>
      </w:r>
      <w:r>
        <w:rPr>
          <w:rFonts w:ascii="Times New Roman" w:hAnsi="Times New Roman" w:cs="Times New Roman"/>
          <w:sz w:val="24"/>
          <w:szCs w:val="24"/>
        </w:rPr>
        <w:t>’</w:t>
      </w:r>
      <w:r w:rsidRPr="005D2F38">
        <w:rPr>
          <w:rFonts w:ascii="Times New Roman" w:hAnsi="Times New Roman" w:cs="Times New Roman"/>
          <w:sz w:val="24"/>
          <w:szCs w:val="24"/>
        </w:rPr>
        <w:t xml:space="preserve"> was made and a monetary reform step was taken. A significant progress has been made in terms of the independence of the central bank and strong expectations that inflationary processes will not be experienced again. All of these are the structural implementations realized during the implicit inflation period which we call the tr</w:t>
      </w:r>
      <w:r w:rsidR="00462055">
        <w:rPr>
          <w:rFonts w:ascii="Times New Roman" w:hAnsi="Times New Roman" w:cs="Times New Roman"/>
          <w:sz w:val="24"/>
          <w:szCs w:val="24"/>
        </w:rPr>
        <w:t>ansition period [12]</w:t>
      </w:r>
      <w:r w:rsidRPr="005D2F38">
        <w:rPr>
          <w:rFonts w:ascii="Times New Roman" w:hAnsi="Times New Roman" w:cs="Times New Roman"/>
          <w:sz w:val="24"/>
          <w:szCs w:val="24"/>
        </w:rPr>
        <w:t>.</w:t>
      </w:r>
      <w:r>
        <w:rPr>
          <w:rFonts w:ascii="Times New Roman" w:hAnsi="Times New Roman" w:cs="Times New Roman"/>
          <w:sz w:val="24"/>
          <w:szCs w:val="24"/>
        </w:rPr>
        <w:t xml:space="preserve"> </w:t>
      </w:r>
    </w:p>
    <w:p w:rsidR="008C4BC6" w:rsidRDefault="008C4BC6" w:rsidP="008C4BC6">
      <w:pPr>
        <w:spacing w:line="360" w:lineRule="auto"/>
        <w:ind w:firstLine="708"/>
        <w:jc w:val="both"/>
        <w:rPr>
          <w:rFonts w:ascii="Times New Roman" w:hAnsi="Times New Roman" w:cs="Times New Roman"/>
          <w:sz w:val="24"/>
          <w:szCs w:val="24"/>
        </w:rPr>
      </w:pPr>
      <w:r w:rsidRPr="00564FC9">
        <w:rPr>
          <w:rFonts w:ascii="Times New Roman" w:hAnsi="Times New Roman" w:cs="Times New Roman"/>
          <w:sz w:val="24"/>
          <w:szCs w:val="24"/>
        </w:rPr>
        <w:lastRenderedPageBreak/>
        <w:t xml:space="preserve">In the 2002-2005 implicit inflation targeting strategy, the Central Bank decided that the necessary prerequisites were met due to the success achieved in the fight against inflation. Within the scope of the </w:t>
      </w:r>
      <w:r>
        <w:rPr>
          <w:rFonts w:ascii="Times New Roman" w:hAnsi="Times New Roman" w:cs="Times New Roman"/>
          <w:sz w:val="24"/>
          <w:szCs w:val="24"/>
        </w:rPr>
        <w:t>explicit</w:t>
      </w:r>
      <w:r w:rsidRPr="00564FC9">
        <w:rPr>
          <w:rFonts w:ascii="Times New Roman" w:hAnsi="Times New Roman" w:cs="Times New Roman"/>
          <w:sz w:val="24"/>
          <w:szCs w:val="24"/>
        </w:rPr>
        <w:t xml:space="preserve"> inflation targeting strategy, the central bank uses the short-term repo rate as the policy rate to intervene in </w:t>
      </w:r>
      <w:r>
        <w:rPr>
          <w:rFonts w:ascii="Times New Roman" w:hAnsi="Times New Roman" w:cs="Times New Roman"/>
          <w:sz w:val="24"/>
          <w:szCs w:val="24"/>
        </w:rPr>
        <w:t xml:space="preserve">the market for </w:t>
      </w:r>
      <w:r w:rsidRPr="00564FC9">
        <w:rPr>
          <w:rFonts w:ascii="Times New Roman" w:hAnsi="Times New Roman" w:cs="Times New Roman"/>
          <w:sz w:val="24"/>
          <w:szCs w:val="24"/>
        </w:rPr>
        <w:t>reaching the inflation target</w:t>
      </w:r>
      <w:r>
        <w:rPr>
          <w:rFonts w:ascii="Times New Roman" w:hAnsi="Times New Roman" w:cs="Times New Roman"/>
          <w:sz w:val="24"/>
          <w:szCs w:val="24"/>
        </w:rPr>
        <w:t>.</w:t>
      </w:r>
      <w:r w:rsidRPr="00564FC9">
        <w:rPr>
          <w:rFonts w:ascii="Times New Roman" w:hAnsi="Times New Roman" w:cs="Times New Roman"/>
          <w:sz w:val="24"/>
          <w:szCs w:val="24"/>
        </w:rPr>
        <w:t xml:space="preserve"> The index used for this strategy is the Index of Special </w:t>
      </w:r>
      <w:r>
        <w:rPr>
          <w:rFonts w:ascii="Times New Roman" w:hAnsi="Times New Roman" w:cs="Times New Roman"/>
          <w:sz w:val="24"/>
          <w:szCs w:val="24"/>
        </w:rPr>
        <w:t>Consumer Price Index (</w:t>
      </w:r>
      <w:r w:rsidRPr="00564FC9">
        <w:rPr>
          <w:rFonts w:ascii="Times New Roman" w:hAnsi="Times New Roman" w:cs="Times New Roman"/>
          <w:sz w:val="24"/>
          <w:szCs w:val="24"/>
        </w:rPr>
        <w:t>CPI</w:t>
      </w:r>
      <w:r>
        <w:rPr>
          <w:rFonts w:ascii="Times New Roman" w:hAnsi="Times New Roman" w:cs="Times New Roman"/>
          <w:sz w:val="24"/>
          <w:szCs w:val="24"/>
        </w:rPr>
        <w:t>)</w:t>
      </w:r>
      <w:r w:rsidRPr="00564FC9">
        <w:rPr>
          <w:rFonts w:ascii="Times New Roman" w:hAnsi="Times New Roman" w:cs="Times New Roman"/>
          <w:sz w:val="24"/>
          <w:szCs w:val="24"/>
        </w:rPr>
        <w:t xml:space="preserve">. Inflation targets are set with the government and announced with a three-year target horizon. A confidence interval of 2 points was determined with the point up and down around the target. If the inflation target cannot be met and the possibility of such an event, the central bank is responsible for explaining the reasons for this </w:t>
      </w:r>
      <w:r>
        <w:rPr>
          <w:rFonts w:ascii="Times New Roman" w:hAnsi="Times New Roman" w:cs="Times New Roman"/>
          <w:sz w:val="24"/>
          <w:szCs w:val="24"/>
        </w:rPr>
        <w:t xml:space="preserve">situation </w:t>
      </w:r>
      <w:r w:rsidRPr="00564FC9">
        <w:rPr>
          <w:rFonts w:ascii="Times New Roman" w:hAnsi="Times New Roman" w:cs="Times New Roman"/>
          <w:sz w:val="24"/>
          <w:szCs w:val="24"/>
        </w:rPr>
        <w:t xml:space="preserve">and the measures to be taken for its transparency and accountability to the Government and the public. Unlike the implicit inflation targeting period, decisions regarding interest rates are taken by voting at the </w:t>
      </w:r>
      <w:r>
        <w:rPr>
          <w:rFonts w:ascii="Times New Roman" w:hAnsi="Times New Roman" w:cs="Times New Roman"/>
          <w:sz w:val="24"/>
          <w:szCs w:val="24"/>
        </w:rPr>
        <w:t>Monetary Policy Committee (MPC)</w:t>
      </w:r>
      <w:r w:rsidRPr="00564FC9">
        <w:rPr>
          <w:rFonts w:ascii="Times New Roman" w:hAnsi="Times New Roman" w:cs="Times New Roman"/>
          <w:sz w:val="24"/>
          <w:szCs w:val="24"/>
        </w:rPr>
        <w:t xml:space="preserve"> and announced on the same day after the meeting with the reasons. So with this peri</w:t>
      </w:r>
      <w:r>
        <w:rPr>
          <w:rFonts w:ascii="Times New Roman" w:hAnsi="Times New Roman" w:cs="Times New Roman"/>
          <w:sz w:val="24"/>
          <w:szCs w:val="24"/>
        </w:rPr>
        <w:t>od, MPC moves to</w:t>
      </w:r>
      <w:r w:rsidRPr="00564FC9">
        <w:rPr>
          <w:rFonts w:ascii="Times New Roman" w:hAnsi="Times New Roman" w:cs="Times New Roman"/>
          <w:sz w:val="24"/>
          <w:szCs w:val="24"/>
        </w:rPr>
        <w:t xml:space="preserve"> </w:t>
      </w:r>
      <w:r>
        <w:rPr>
          <w:rFonts w:ascii="Times New Roman" w:hAnsi="Times New Roman" w:cs="Times New Roman"/>
          <w:sz w:val="24"/>
          <w:szCs w:val="24"/>
        </w:rPr>
        <w:t>decision-making position rather than giving advice.</w:t>
      </w:r>
    </w:p>
    <w:p w:rsidR="008C4BC6" w:rsidRPr="000750CB" w:rsidRDefault="008C4BC6" w:rsidP="008C4BC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 the period in which the explicit</w:t>
      </w:r>
      <w:r w:rsidRPr="000750CB">
        <w:rPr>
          <w:rFonts w:ascii="Times New Roman" w:hAnsi="Times New Roman" w:cs="Times New Roman"/>
          <w:sz w:val="24"/>
          <w:szCs w:val="24"/>
        </w:rPr>
        <w:t xml:space="preserve"> inflation </w:t>
      </w:r>
      <w:r>
        <w:rPr>
          <w:rFonts w:ascii="Times New Roman" w:hAnsi="Times New Roman" w:cs="Times New Roman"/>
          <w:sz w:val="24"/>
          <w:szCs w:val="24"/>
        </w:rPr>
        <w:t xml:space="preserve">targeting </w:t>
      </w:r>
      <w:r w:rsidRPr="000750CB">
        <w:rPr>
          <w:rFonts w:ascii="Times New Roman" w:hAnsi="Times New Roman" w:cs="Times New Roman"/>
          <w:sz w:val="24"/>
          <w:szCs w:val="24"/>
        </w:rPr>
        <w:t xml:space="preserve">policy started to be implemented, deviations and volatilities occurred in the inflation target, especially due to external factors outside the monetary policy, </w:t>
      </w:r>
      <w:r>
        <w:rPr>
          <w:rFonts w:ascii="Times New Roman" w:hAnsi="Times New Roman" w:cs="Times New Roman"/>
          <w:sz w:val="24"/>
          <w:szCs w:val="24"/>
        </w:rPr>
        <w:t xml:space="preserve">in </w:t>
      </w:r>
      <w:r w:rsidRPr="000750CB">
        <w:rPr>
          <w:rFonts w:ascii="Times New Roman" w:hAnsi="Times New Roman" w:cs="Times New Roman"/>
          <w:sz w:val="24"/>
          <w:szCs w:val="24"/>
        </w:rPr>
        <w:t xml:space="preserve">which the monetary authority could not control. </w:t>
      </w:r>
      <w:r>
        <w:rPr>
          <w:rFonts w:ascii="Times New Roman" w:hAnsi="Times New Roman" w:cs="Times New Roman"/>
          <w:sz w:val="24"/>
          <w:szCs w:val="24"/>
        </w:rPr>
        <w:t>Capital</w:t>
      </w:r>
      <w:r w:rsidRPr="000750CB">
        <w:rPr>
          <w:rFonts w:ascii="Times New Roman" w:hAnsi="Times New Roman" w:cs="Times New Roman"/>
          <w:sz w:val="24"/>
          <w:szCs w:val="24"/>
        </w:rPr>
        <w:t xml:space="preserve"> outflows from</w:t>
      </w:r>
      <w:r>
        <w:rPr>
          <w:rFonts w:ascii="Times New Roman" w:hAnsi="Times New Roman" w:cs="Times New Roman"/>
          <w:sz w:val="24"/>
          <w:szCs w:val="24"/>
        </w:rPr>
        <w:t xml:space="preserve"> developing countries, increase in the price of oil and the</w:t>
      </w:r>
      <w:r w:rsidRPr="000750CB">
        <w:rPr>
          <w:rFonts w:ascii="Times New Roman" w:hAnsi="Times New Roman" w:cs="Times New Roman"/>
          <w:sz w:val="24"/>
          <w:szCs w:val="24"/>
        </w:rPr>
        <w:t xml:space="preserve"> Mortgage Crisis occurred in the US in 2008 turn</w:t>
      </w:r>
      <w:r>
        <w:rPr>
          <w:rFonts w:ascii="Times New Roman" w:hAnsi="Times New Roman" w:cs="Times New Roman"/>
          <w:sz w:val="24"/>
          <w:szCs w:val="24"/>
        </w:rPr>
        <w:t>ed</w:t>
      </w:r>
      <w:r w:rsidRPr="000750CB">
        <w:rPr>
          <w:rFonts w:ascii="Times New Roman" w:hAnsi="Times New Roman" w:cs="Times New Roman"/>
          <w:sz w:val="24"/>
          <w:szCs w:val="24"/>
        </w:rPr>
        <w:t xml:space="preserve"> into a global crisis affecting the entire world</w:t>
      </w:r>
      <w:r>
        <w:rPr>
          <w:rFonts w:ascii="Times New Roman" w:hAnsi="Times New Roman" w:cs="Times New Roman"/>
          <w:sz w:val="24"/>
          <w:szCs w:val="24"/>
        </w:rPr>
        <w:t>.</w:t>
      </w:r>
      <w:r w:rsidRPr="000750CB">
        <w:rPr>
          <w:rFonts w:ascii="Times New Roman" w:hAnsi="Times New Roman" w:cs="Times New Roman"/>
          <w:sz w:val="24"/>
          <w:szCs w:val="24"/>
        </w:rPr>
        <w:t xml:space="preserve"> </w:t>
      </w:r>
      <w:r>
        <w:rPr>
          <w:rFonts w:ascii="Times New Roman" w:hAnsi="Times New Roman" w:cs="Times New Roman"/>
          <w:sz w:val="24"/>
          <w:szCs w:val="24"/>
        </w:rPr>
        <w:t>Since Turkey is an oil importer developing country, these factors created</w:t>
      </w:r>
      <w:r w:rsidRPr="000750CB">
        <w:rPr>
          <w:rFonts w:ascii="Times New Roman" w:hAnsi="Times New Roman" w:cs="Times New Roman"/>
          <w:sz w:val="24"/>
          <w:szCs w:val="24"/>
        </w:rPr>
        <w:t xml:space="preserve"> upward trend in inflation rates in Turkey and deviations occurred from the target. Inflation rates in 2009 and 2010, which were lower than the target after the 2008 Financial Crisis, were due to the decrease in production and decreasing demand</w:t>
      </w:r>
      <w:r w:rsidR="00462055">
        <w:rPr>
          <w:rFonts w:ascii="Times New Roman" w:hAnsi="Times New Roman" w:cs="Times New Roman"/>
          <w:sz w:val="24"/>
          <w:szCs w:val="24"/>
        </w:rPr>
        <w:t xml:space="preserve"> in the world [13]</w:t>
      </w:r>
      <w:r w:rsidRPr="000750CB">
        <w:rPr>
          <w:rFonts w:ascii="Times New Roman" w:hAnsi="Times New Roman" w:cs="Times New Roman"/>
          <w:sz w:val="24"/>
          <w:szCs w:val="24"/>
        </w:rPr>
        <w:t>.</w:t>
      </w:r>
    </w:p>
    <w:p w:rsidR="008C4BC6" w:rsidRDefault="008C4BC6" w:rsidP="008C4BC6">
      <w:pPr>
        <w:spacing w:line="360" w:lineRule="auto"/>
        <w:ind w:firstLine="708"/>
        <w:jc w:val="both"/>
        <w:rPr>
          <w:rFonts w:ascii="Times New Roman" w:hAnsi="Times New Roman" w:cs="Times New Roman"/>
          <w:sz w:val="24"/>
          <w:szCs w:val="24"/>
        </w:rPr>
      </w:pPr>
      <w:r w:rsidRPr="000750CB">
        <w:rPr>
          <w:rFonts w:ascii="Times New Roman" w:hAnsi="Times New Roman" w:cs="Times New Roman"/>
          <w:sz w:val="24"/>
          <w:szCs w:val="24"/>
        </w:rPr>
        <w:t xml:space="preserve">At the end of 2010, the CBRT introduced a new monetary strategy that could respond to external shocks to weaken the deteriorating impact of the global financial crisis. In this new strategy, the central bank has introduced a new policy approach that considers financial stability as well as price stability. Accordingly, in its new strategy, the central bank has introduced an asymmetric and wide corridor system and a flexible system in which multiple interest rates based on active liquidity policy are used as instruments. The broad interest rate corridor implemented by the central bank makes a significant contribution to monetary policy by reducing the negative impact of fluctuations in capital movements during periods of global turmoil, but has some difficulties in understanding the stance of monetary policy. In this context, in 2016, the central bank gradually lowered the upper band of the wide interest rate </w:t>
      </w:r>
      <w:r w:rsidRPr="000750CB">
        <w:rPr>
          <w:rFonts w:ascii="Times New Roman" w:hAnsi="Times New Roman" w:cs="Times New Roman"/>
          <w:sz w:val="24"/>
          <w:szCs w:val="24"/>
        </w:rPr>
        <w:lastRenderedPageBreak/>
        <w:t xml:space="preserve">corridor, namely overnight borrowing interest rate by </w:t>
      </w:r>
      <w:r>
        <w:rPr>
          <w:rFonts w:ascii="Times New Roman" w:hAnsi="Times New Roman" w:cs="Times New Roman"/>
          <w:sz w:val="24"/>
          <w:szCs w:val="24"/>
        </w:rPr>
        <w:t xml:space="preserve">2.5 </w:t>
      </w:r>
      <w:r w:rsidRPr="000750CB">
        <w:rPr>
          <w:rFonts w:ascii="Times New Roman" w:hAnsi="Times New Roman" w:cs="Times New Roman"/>
          <w:sz w:val="24"/>
          <w:szCs w:val="24"/>
        </w:rPr>
        <w:t>%. Thus, the transition to a more easily understandable simpl</w:t>
      </w:r>
      <w:r w:rsidR="00462055">
        <w:rPr>
          <w:rFonts w:ascii="Times New Roman" w:hAnsi="Times New Roman" w:cs="Times New Roman"/>
          <w:sz w:val="24"/>
          <w:szCs w:val="24"/>
        </w:rPr>
        <w:t>e monetary policy [14]</w:t>
      </w:r>
      <w:r w:rsidRPr="000750CB">
        <w:rPr>
          <w:rFonts w:ascii="Times New Roman" w:hAnsi="Times New Roman" w:cs="Times New Roman"/>
          <w:sz w:val="24"/>
          <w:szCs w:val="24"/>
        </w:rPr>
        <w:t>.</w:t>
      </w:r>
    </w:p>
    <w:p w:rsidR="008C4BC6" w:rsidRDefault="008C4BC6" w:rsidP="008C4BC6">
      <w:pPr>
        <w:spacing w:line="360" w:lineRule="auto"/>
        <w:ind w:firstLine="708"/>
        <w:jc w:val="both"/>
        <w:rPr>
          <w:rFonts w:ascii="Times New Roman" w:hAnsi="Times New Roman" w:cs="Times New Roman"/>
          <w:sz w:val="24"/>
          <w:szCs w:val="24"/>
        </w:rPr>
      </w:pPr>
      <w:r w:rsidRPr="000750CB">
        <w:rPr>
          <w:rFonts w:ascii="Times New Roman" w:hAnsi="Times New Roman" w:cs="Times New Roman"/>
          <w:sz w:val="24"/>
          <w:szCs w:val="24"/>
        </w:rPr>
        <w:t>When the inflation rate reached two digits again during the 2008 crisis, the central bank raised the policy rate to 25.50</w:t>
      </w:r>
      <w:r>
        <w:rPr>
          <w:rFonts w:ascii="Times New Roman" w:hAnsi="Times New Roman" w:cs="Times New Roman"/>
          <w:sz w:val="24"/>
          <w:szCs w:val="24"/>
        </w:rPr>
        <w:t xml:space="preserve"> </w:t>
      </w:r>
      <w:r w:rsidRPr="000750CB">
        <w:rPr>
          <w:rFonts w:ascii="Times New Roman" w:hAnsi="Times New Roman" w:cs="Times New Roman"/>
          <w:sz w:val="24"/>
          <w:szCs w:val="24"/>
        </w:rPr>
        <w:t>% in order to ensure price stability. This increase in the interest rate that allows the flow of foreign capital to Turkey and thus inflation returned to single digits again. However, the F</w:t>
      </w:r>
      <w:r>
        <w:rPr>
          <w:rFonts w:ascii="Times New Roman" w:hAnsi="Times New Roman" w:cs="Times New Roman"/>
          <w:sz w:val="24"/>
          <w:szCs w:val="24"/>
        </w:rPr>
        <w:t>ederal Reserve</w:t>
      </w:r>
      <w:r w:rsidRPr="000750CB">
        <w:rPr>
          <w:rFonts w:ascii="Times New Roman" w:hAnsi="Times New Roman" w:cs="Times New Roman"/>
          <w:sz w:val="24"/>
          <w:szCs w:val="24"/>
        </w:rPr>
        <w:t>'s increasing interest rates due to the effects of the 2008 crisis also caused the capital in the developing countries to flo</w:t>
      </w:r>
      <w:r>
        <w:rPr>
          <w:rFonts w:ascii="Times New Roman" w:hAnsi="Times New Roman" w:cs="Times New Roman"/>
          <w:sz w:val="24"/>
          <w:szCs w:val="24"/>
        </w:rPr>
        <w:t xml:space="preserve">w into the developed countries. </w:t>
      </w:r>
      <w:r w:rsidRPr="000750CB">
        <w:rPr>
          <w:rFonts w:ascii="Times New Roman" w:hAnsi="Times New Roman" w:cs="Times New Roman"/>
          <w:sz w:val="24"/>
          <w:szCs w:val="24"/>
        </w:rPr>
        <w:t xml:space="preserve">Turkey's borders </w:t>
      </w:r>
      <w:r>
        <w:rPr>
          <w:rFonts w:ascii="Times New Roman" w:hAnsi="Times New Roman" w:cs="Times New Roman"/>
          <w:sz w:val="24"/>
          <w:szCs w:val="24"/>
        </w:rPr>
        <w:t xml:space="preserve">are </w:t>
      </w:r>
      <w:r w:rsidRPr="000750CB">
        <w:rPr>
          <w:rFonts w:ascii="Times New Roman" w:hAnsi="Times New Roman" w:cs="Times New Roman"/>
          <w:sz w:val="24"/>
          <w:szCs w:val="24"/>
        </w:rPr>
        <w:t>located around the war situation and the i</w:t>
      </w:r>
      <w:r>
        <w:rPr>
          <w:rFonts w:ascii="Times New Roman" w:hAnsi="Times New Roman" w:cs="Times New Roman"/>
          <w:sz w:val="24"/>
          <w:szCs w:val="24"/>
        </w:rPr>
        <w:t>mpact of political instability o</w:t>
      </w:r>
      <w:r w:rsidRPr="000750CB">
        <w:rPr>
          <w:rFonts w:ascii="Times New Roman" w:hAnsi="Times New Roman" w:cs="Times New Roman"/>
          <w:sz w:val="24"/>
          <w:szCs w:val="24"/>
        </w:rPr>
        <w:t>n the exchange rate for the year 2012 has started to increase the effects of this situation</w:t>
      </w:r>
      <w:r w:rsidRPr="00285CBA">
        <w:rPr>
          <w:rFonts w:ascii="Times New Roman" w:hAnsi="Times New Roman" w:cs="Times New Roman"/>
          <w:sz w:val="24"/>
          <w:szCs w:val="24"/>
        </w:rPr>
        <w:t xml:space="preserve"> </w:t>
      </w:r>
      <w:r w:rsidRPr="000750CB">
        <w:rPr>
          <w:rFonts w:ascii="Times New Roman" w:hAnsi="Times New Roman" w:cs="Times New Roman"/>
          <w:sz w:val="24"/>
          <w:szCs w:val="24"/>
        </w:rPr>
        <w:t>continuously. All these adversities caused a continuous increase in the i</w:t>
      </w:r>
      <w:r>
        <w:rPr>
          <w:rFonts w:ascii="Times New Roman" w:hAnsi="Times New Roman" w:cs="Times New Roman"/>
          <w:sz w:val="24"/>
          <w:szCs w:val="24"/>
        </w:rPr>
        <w:t xml:space="preserve">nflation rate </w:t>
      </w:r>
      <w:r w:rsidR="00462055">
        <w:rPr>
          <w:rFonts w:ascii="Times New Roman" w:hAnsi="Times New Roman" w:cs="Times New Roman"/>
          <w:sz w:val="24"/>
          <w:szCs w:val="24"/>
        </w:rPr>
        <w:t>[13].</w:t>
      </w:r>
    </w:p>
    <w:p w:rsidR="008C4BC6" w:rsidRPr="002F6396" w:rsidRDefault="008C4BC6" w:rsidP="008C4BC6">
      <w:pPr>
        <w:spacing w:line="360" w:lineRule="auto"/>
        <w:jc w:val="both"/>
        <w:rPr>
          <w:rFonts w:ascii="Times New Roman" w:hAnsi="Times New Roman" w:cs="Times New Roman"/>
          <w:b/>
          <w:sz w:val="24"/>
          <w:szCs w:val="24"/>
        </w:rPr>
      </w:pPr>
      <w:r>
        <w:rPr>
          <w:rFonts w:ascii="Times New Roman" w:hAnsi="Times New Roman" w:cs="Times New Roman"/>
          <w:b/>
          <w:sz w:val="24"/>
          <w:szCs w:val="24"/>
        </w:rPr>
        <w:t>3. Data and M</w:t>
      </w:r>
      <w:r w:rsidRPr="002F6396">
        <w:rPr>
          <w:rFonts w:ascii="Times New Roman" w:hAnsi="Times New Roman" w:cs="Times New Roman"/>
          <w:b/>
          <w:sz w:val="24"/>
          <w:szCs w:val="24"/>
        </w:rPr>
        <w:t>ethodology</w:t>
      </w:r>
    </w:p>
    <w:p w:rsidR="008C4BC6" w:rsidRPr="002F6396" w:rsidRDefault="008C4BC6" w:rsidP="008C4BC6">
      <w:pPr>
        <w:spacing w:line="360" w:lineRule="auto"/>
        <w:jc w:val="both"/>
        <w:rPr>
          <w:rFonts w:ascii="Times New Roman" w:hAnsi="Times New Roman" w:cs="Times New Roman"/>
          <w:b/>
          <w:sz w:val="24"/>
          <w:szCs w:val="24"/>
        </w:rPr>
      </w:pPr>
      <w:r>
        <w:rPr>
          <w:rFonts w:ascii="Times New Roman" w:hAnsi="Times New Roman" w:cs="Times New Roman"/>
          <w:b/>
          <w:sz w:val="24"/>
          <w:szCs w:val="24"/>
        </w:rPr>
        <w:t>3.1</w:t>
      </w:r>
      <w:r w:rsidRPr="002F6396">
        <w:rPr>
          <w:rFonts w:ascii="Times New Roman" w:hAnsi="Times New Roman" w:cs="Times New Roman"/>
          <w:b/>
          <w:sz w:val="24"/>
          <w:szCs w:val="24"/>
        </w:rPr>
        <w:t>. Data</w:t>
      </w:r>
      <w:r>
        <w:rPr>
          <w:rFonts w:ascii="Times New Roman" w:hAnsi="Times New Roman" w:cs="Times New Roman"/>
          <w:b/>
          <w:sz w:val="24"/>
          <w:szCs w:val="24"/>
        </w:rPr>
        <w:t xml:space="preserve"> </w:t>
      </w:r>
    </w:p>
    <w:p w:rsidR="008C4BC6" w:rsidRPr="002F6396" w:rsidRDefault="008C4BC6" w:rsidP="008C4BC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Macroeconomic</w:t>
      </w:r>
      <w:r w:rsidRPr="002F6396">
        <w:rPr>
          <w:rFonts w:ascii="Times New Roman" w:hAnsi="Times New Roman" w:cs="Times New Roman"/>
          <w:sz w:val="24"/>
          <w:szCs w:val="24"/>
        </w:rPr>
        <w:t xml:space="preserve"> variables </w:t>
      </w:r>
      <w:r>
        <w:rPr>
          <w:rFonts w:ascii="Times New Roman" w:hAnsi="Times New Roman" w:cs="Times New Roman"/>
          <w:sz w:val="24"/>
          <w:szCs w:val="24"/>
        </w:rPr>
        <w:t xml:space="preserve">as </w:t>
      </w:r>
      <w:r w:rsidRPr="002F6396">
        <w:rPr>
          <w:rFonts w:ascii="Times New Roman" w:hAnsi="Times New Roman" w:cs="Times New Roman"/>
          <w:sz w:val="24"/>
          <w:szCs w:val="24"/>
        </w:rPr>
        <w:t>CPI</w:t>
      </w:r>
      <w:r>
        <w:rPr>
          <w:rFonts w:ascii="Times New Roman" w:hAnsi="Times New Roman" w:cs="Times New Roman"/>
          <w:sz w:val="24"/>
          <w:szCs w:val="24"/>
        </w:rPr>
        <w:t xml:space="preserve"> (TUFE)</w:t>
      </w:r>
      <w:r w:rsidRPr="002F6396">
        <w:rPr>
          <w:rFonts w:ascii="Times New Roman" w:hAnsi="Times New Roman" w:cs="Times New Roman"/>
          <w:sz w:val="24"/>
          <w:szCs w:val="24"/>
        </w:rPr>
        <w:t>, Nominal Exchange Rate</w:t>
      </w:r>
      <w:r>
        <w:rPr>
          <w:rFonts w:ascii="Times New Roman" w:hAnsi="Times New Roman" w:cs="Times New Roman"/>
          <w:sz w:val="24"/>
          <w:szCs w:val="24"/>
        </w:rPr>
        <w:t xml:space="preserve"> (DOLAR)</w:t>
      </w:r>
      <w:r w:rsidRPr="002F6396">
        <w:rPr>
          <w:rFonts w:ascii="Times New Roman" w:hAnsi="Times New Roman" w:cs="Times New Roman"/>
          <w:sz w:val="24"/>
          <w:szCs w:val="24"/>
        </w:rPr>
        <w:t>, Interest Rate</w:t>
      </w:r>
      <w:r>
        <w:rPr>
          <w:rFonts w:ascii="Times New Roman" w:hAnsi="Times New Roman" w:cs="Times New Roman"/>
          <w:sz w:val="24"/>
          <w:szCs w:val="24"/>
        </w:rPr>
        <w:t xml:space="preserve"> (FAIZ)</w:t>
      </w:r>
      <w:r w:rsidRPr="002F6396">
        <w:rPr>
          <w:rFonts w:ascii="Times New Roman" w:hAnsi="Times New Roman" w:cs="Times New Roman"/>
          <w:sz w:val="24"/>
          <w:szCs w:val="24"/>
        </w:rPr>
        <w:t xml:space="preserve">, Crude Oil Prices </w:t>
      </w:r>
      <w:r>
        <w:rPr>
          <w:rFonts w:ascii="Times New Roman" w:hAnsi="Times New Roman" w:cs="Times New Roman"/>
          <w:sz w:val="24"/>
          <w:szCs w:val="24"/>
        </w:rPr>
        <w:t xml:space="preserve">(PETROL) </w:t>
      </w:r>
      <w:r w:rsidRPr="002F6396">
        <w:rPr>
          <w:rFonts w:ascii="Times New Roman" w:hAnsi="Times New Roman" w:cs="Times New Roman"/>
          <w:sz w:val="24"/>
          <w:szCs w:val="24"/>
        </w:rPr>
        <w:t>and Output Gap</w:t>
      </w:r>
      <w:r>
        <w:rPr>
          <w:rFonts w:ascii="Times New Roman" w:hAnsi="Times New Roman" w:cs="Times New Roman"/>
          <w:sz w:val="24"/>
          <w:szCs w:val="24"/>
        </w:rPr>
        <w:t xml:space="preserve"> (CIKTI)</w:t>
      </w:r>
      <w:r w:rsidRPr="002F6396">
        <w:rPr>
          <w:rFonts w:ascii="Times New Roman" w:hAnsi="Times New Roman" w:cs="Times New Roman"/>
          <w:sz w:val="24"/>
          <w:szCs w:val="24"/>
        </w:rPr>
        <w:t xml:space="preserve"> </w:t>
      </w:r>
      <w:r>
        <w:rPr>
          <w:rFonts w:ascii="Times New Roman" w:hAnsi="Times New Roman" w:cs="Times New Roman"/>
          <w:sz w:val="24"/>
          <w:szCs w:val="24"/>
        </w:rPr>
        <w:t xml:space="preserve">were used </w:t>
      </w:r>
      <w:r w:rsidRPr="002F6396">
        <w:rPr>
          <w:rFonts w:ascii="Times New Roman" w:hAnsi="Times New Roman" w:cs="Times New Roman"/>
          <w:sz w:val="24"/>
          <w:szCs w:val="24"/>
        </w:rPr>
        <w:t>for the period 19</w:t>
      </w:r>
      <w:r>
        <w:rPr>
          <w:rFonts w:ascii="Times New Roman" w:hAnsi="Times New Roman" w:cs="Times New Roman"/>
          <w:sz w:val="24"/>
          <w:szCs w:val="24"/>
        </w:rPr>
        <w:t>96:1-2018:</w:t>
      </w:r>
      <w:r w:rsidRPr="002F6396">
        <w:rPr>
          <w:rFonts w:ascii="Times New Roman" w:hAnsi="Times New Roman" w:cs="Times New Roman"/>
          <w:sz w:val="24"/>
          <w:szCs w:val="24"/>
        </w:rPr>
        <w:t>4. The re</w:t>
      </w:r>
      <w:r>
        <w:rPr>
          <w:rFonts w:ascii="Times New Roman" w:hAnsi="Times New Roman" w:cs="Times New Roman"/>
          <w:sz w:val="24"/>
          <w:szCs w:val="24"/>
        </w:rPr>
        <w:t xml:space="preserve">ason for starting from 1996 is </w:t>
      </w:r>
      <w:r w:rsidRPr="002F6396">
        <w:rPr>
          <w:rFonts w:ascii="Times New Roman" w:hAnsi="Times New Roman" w:cs="Times New Roman"/>
          <w:sz w:val="24"/>
          <w:szCs w:val="24"/>
        </w:rPr>
        <w:t xml:space="preserve">due to the lack of data for the interest </w:t>
      </w:r>
      <w:r>
        <w:rPr>
          <w:rFonts w:ascii="Times New Roman" w:hAnsi="Times New Roman" w:cs="Times New Roman"/>
          <w:sz w:val="24"/>
          <w:szCs w:val="24"/>
        </w:rPr>
        <w:t xml:space="preserve">rate </w:t>
      </w:r>
      <w:r w:rsidRPr="002F6396">
        <w:rPr>
          <w:rFonts w:ascii="Times New Roman" w:hAnsi="Times New Roman" w:cs="Times New Roman"/>
          <w:sz w:val="24"/>
          <w:szCs w:val="24"/>
        </w:rPr>
        <w:t xml:space="preserve">variable used in the analysis for the period before. Data for the variables to be used in this study were obtained from TURKSTAT. Stability test was applied to the data sets obtained in quarters and </w:t>
      </w:r>
      <w:r>
        <w:rPr>
          <w:rFonts w:ascii="Times New Roman" w:hAnsi="Times New Roman" w:cs="Times New Roman"/>
          <w:sz w:val="24"/>
          <w:szCs w:val="24"/>
        </w:rPr>
        <w:t xml:space="preserve">all of them were </w:t>
      </w:r>
      <w:r w:rsidRPr="002F6396">
        <w:rPr>
          <w:rFonts w:ascii="Times New Roman" w:hAnsi="Times New Roman" w:cs="Times New Roman"/>
          <w:sz w:val="24"/>
          <w:szCs w:val="24"/>
        </w:rPr>
        <w:t>seasonally adjusted. The data in T</w:t>
      </w:r>
      <w:r>
        <w:rPr>
          <w:rFonts w:ascii="Times New Roman" w:hAnsi="Times New Roman" w:cs="Times New Roman"/>
          <w:sz w:val="24"/>
          <w:szCs w:val="24"/>
        </w:rPr>
        <w:t xml:space="preserve">urkish </w:t>
      </w:r>
      <w:r w:rsidRPr="002F6396">
        <w:rPr>
          <w:rFonts w:ascii="Times New Roman" w:hAnsi="Times New Roman" w:cs="Times New Roman"/>
          <w:sz w:val="24"/>
          <w:szCs w:val="24"/>
        </w:rPr>
        <w:t>L</w:t>
      </w:r>
      <w:r>
        <w:rPr>
          <w:rFonts w:ascii="Times New Roman" w:hAnsi="Times New Roman" w:cs="Times New Roman"/>
          <w:sz w:val="24"/>
          <w:szCs w:val="24"/>
        </w:rPr>
        <w:t>ira</w:t>
      </w:r>
      <w:r w:rsidRPr="002F6396">
        <w:rPr>
          <w:rFonts w:ascii="Times New Roman" w:hAnsi="Times New Roman" w:cs="Times New Roman"/>
          <w:sz w:val="24"/>
          <w:szCs w:val="24"/>
        </w:rPr>
        <w:t xml:space="preserve"> has been translated into </w:t>
      </w:r>
      <w:r>
        <w:rPr>
          <w:rFonts w:ascii="Times New Roman" w:hAnsi="Times New Roman" w:cs="Times New Roman"/>
          <w:sz w:val="24"/>
          <w:szCs w:val="24"/>
        </w:rPr>
        <w:t xml:space="preserve">United States </w:t>
      </w:r>
      <w:r w:rsidRPr="002F6396">
        <w:rPr>
          <w:rFonts w:ascii="Times New Roman" w:hAnsi="Times New Roman" w:cs="Times New Roman"/>
          <w:sz w:val="24"/>
          <w:szCs w:val="24"/>
        </w:rPr>
        <w:t>dolla</w:t>
      </w:r>
      <w:r>
        <w:rPr>
          <w:rFonts w:ascii="Times New Roman" w:hAnsi="Times New Roman" w:cs="Times New Roman"/>
          <w:sz w:val="24"/>
          <w:szCs w:val="24"/>
        </w:rPr>
        <w:t>rs and logarithm of all variables were used.</w:t>
      </w:r>
    </w:p>
    <w:p w:rsidR="008C4BC6" w:rsidRPr="002F6396" w:rsidRDefault="008C4BC6" w:rsidP="008C4BC6">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r w:rsidRPr="002F6396">
        <w:rPr>
          <w:rFonts w:ascii="Times New Roman" w:hAnsi="Times New Roman" w:cs="Times New Roman"/>
          <w:b/>
          <w:sz w:val="24"/>
          <w:szCs w:val="24"/>
        </w:rPr>
        <w:t>. Methodology and Empirical Results</w:t>
      </w:r>
    </w:p>
    <w:p w:rsidR="008C4BC6" w:rsidRDefault="008C4BC6" w:rsidP="008C4BC6">
      <w:pPr>
        <w:spacing w:line="360" w:lineRule="auto"/>
        <w:ind w:firstLine="708"/>
        <w:jc w:val="both"/>
        <w:rPr>
          <w:rFonts w:ascii="Times New Roman" w:hAnsi="Times New Roman" w:cs="Times New Roman"/>
          <w:sz w:val="24"/>
          <w:szCs w:val="24"/>
        </w:rPr>
      </w:pPr>
      <w:r w:rsidRPr="002F6396">
        <w:rPr>
          <w:rFonts w:ascii="Times New Roman" w:hAnsi="Times New Roman" w:cs="Times New Roman"/>
          <w:sz w:val="24"/>
          <w:szCs w:val="24"/>
        </w:rPr>
        <w:t xml:space="preserve">In order to perform VAR analysis, the series </w:t>
      </w:r>
      <w:r>
        <w:rPr>
          <w:rFonts w:ascii="Times New Roman" w:hAnsi="Times New Roman" w:cs="Times New Roman"/>
          <w:sz w:val="24"/>
          <w:szCs w:val="24"/>
        </w:rPr>
        <w:t>has to</w:t>
      </w:r>
      <w:r w:rsidRPr="002F6396">
        <w:rPr>
          <w:rFonts w:ascii="Times New Roman" w:hAnsi="Times New Roman" w:cs="Times New Roman"/>
          <w:sz w:val="24"/>
          <w:szCs w:val="24"/>
        </w:rPr>
        <w:t xml:space="preserve"> </w:t>
      </w:r>
      <w:r>
        <w:rPr>
          <w:rFonts w:ascii="Times New Roman" w:hAnsi="Times New Roman" w:cs="Times New Roman"/>
          <w:sz w:val="24"/>
          <w:szCs w:val="24"/>
        </w:rPr>
        <w:t>be stationary</w:t>
      </w:r>
      <w:r w:rsidRPr="002F6396">
        <w:rPr>
          <w:rFonts w:ascii="Times New Roman" w:hAnsi="Times New Roman" w:cs="Times New Roman"/>
          <w:sz w:val="24"/>
          <w:szCs w:val="24"/>
        </w:rPr>
        <w:t xml:space="preserve">. Therefore, first of all, </w:t>
      </w:r>
      <w:r>
        <w:rPr>
          <w:rFonts w:ascii="Times New Roman" w:hAnsi="Times New Roman" w:cs="Times New Roman"/>
          <w:sz w:val="24"/>
          <w:szCs w:val="24"/>
        </w:rPr>
        <w:t>unit</w:t>
      </w:r>
      <w:r w:rsidRPr="002F6396">
        <w:rPr>
          <w:rFonts w:ascii="Times New Roman" w:hAnsi="Times New Roman" w:cs="Times New Roman"/>
          <w:sz w:val="24"/>
          <w:szCs w:val="24"/>
        </w:rPr>
        <w:t xml:space="preserve"> root test </w:t>
      </w:r>
      <w:r>
        <w:rPr>
          <w:rFonts w:ascii="Times New Roman" w:hAnsi="Times New Roman" w:cs="Times New Roman"/>
          <w:sz w:val="24"/>
          <w:szCs w:val="24"/>
        </w:rPr>
        <w:t>was applied</w:t>
      </w:r>
      <w:r w:rsidRPr="002F6396">
        <w:rPr>
          <w:rFonts w:ascii="Times New Roman" w:hAnsi="Times New Roman" w:cs="Times New Roman"/>
          <w:sz w:val="24"/>
          <w:szCs w:val="24"/>
        </w:rPr>
        <w:t xml:space="preserve"> to see if they are stationary. Variables need to be seasonally adjusted before checking stability. The reason for this is that the effect of seasonal variations on both dependent and independent variables is different from each other with the extra mobility added by the seasonal variables. This leads to a negative effect of the variables added to the regression in reaching the accurate and ac</w:t>
      </w:r>
      <w:r w:rsidR="00462055">
        <w:rPr>
          <w:rFonts w:ascii="Times New Roman" w:hAnsi="Times New Roman" w:cs="Times New Roman"/>
          <w:sz w:val="24"/>
          <w:szCs w:val="24"/>
        </w:rPr>
        <w:t>curate estimates [15]</w:t>
      </w:r>
      <w:r w:rsidRPr="002F6396">
        <w:rPr>
          <w:rFonts w:ascii="Times New Roman" w:hAnsi="Times New Roman" w:cs="Times New Roman"/>
          <w:sz w:val="24"/>
          <w:szCs w:val="24"/>
        </w:rPr>
        <w:t>. Therefore, in this study, all variables were first seasonally adjusted by X12 method and then they were tested for stationary tests with Augmented Dickey-Fuller</w:t>
      </w:r>
      <w:r w:rsidRPr="008A398C">
        <w:rPr>
          <w:rFonts w:ascii="Times New Roman" w:hAnsi="Times New Roman" w:cs="Times New Roman"/>
          <w:sz w:val="24"/>
          <w:szCs w:val="24"/>
        </w:rPr>
        <w:t xml:space="preserve"> </w:t>
      </w:r>
      <w:r>
        <w:rPr>
          <w:rFonts w:ascii="Times New Roman" w:hAnsi="Times New Roman" w:cs="Times New Roman"/>
          <w:sz w:val="24"/>
          <w:szCs w:val="24"/>
        </w:rPr>
        <w:t>(ADF</w:t>
      </w:r>
      <w:r w:rsidRPr="002F6396">
        <w:rPr>
          <w:rFonts w:ascii="Times New Roman" w:hAnsi="Times New Roman" w:cs="Times New Roman"/>
          <w:sz w:val="24"/>
          <w:szCs w:val="24"/>
        </w:rPr>
        <w:t xml:space="preserve">), Phillips </w:t>
      </w:r>
      <w:proofErr w:type="spellStart"/>
      <w:r w:rsidRPr="002F6396">
        <w:rPr>
          <w:rFonts w:ascii="Times New Roman" w:hAnsi="Times New Roman" w:cs="Times New Roman"/>
          <w:sz w:val="24"/>
          <w:szCs w:val="24"/>
        </w:rPr>
        <w:t>Perron</w:t>
      </w:r>
      <w:proofErr w:type="spellEnd"/>
      <w:r w:rsidRPr="008A398C">
        <w:rPr>
          <w:rFonts w:ascii="Times New Roman" w:hAnsi="Times New Roman" w:cs="Times New Roman"/>
          <w:sz w:val="24"/>
          <w:szCs w:val="24"/>
        </w:rPr>
        <w:t xml:space="preserve"> </w:t>
      </w:r>
      <w:r>
        <w:rPr>
          <w:rFonts w:ascii="Times New Roman" w:hAnsi="Times New Roman" w:cs="Times New Roman"/>
          <w:sz w:val="24"/>
          <w:szCs w:val="24"/>
        </w:rPr>
        <w:t>(</w:t>
      </w:r>
      <w:r w:rsidRPr="002F6396">
        <w:rPr>
          <w:rFonts w:ascii="Times New Roman" w:hAnsi="Times New Roman" w:cs="Times New Roman"/>
          <w:sz w:val="24"/>
          <w:szCs w:val="24"/>
        </w:rPr>
        <w:t>PP) and Kw</w:t>
      </w:r>
      <w:r>
        <w:rPr>
          <w:rFonts w:ascii="Times New Roman" w:hAnsi="Times New Roman" w:cs="Times New Roman"/>
          <w:sz w:val="24"/>
          <w:szCs w:val="24"/>
        </w:rPr>
        <w:t xml:space="preserve">iatkowski Philips Schmidt </w:t>
      </w:r>
      <w:proofErr w:type="spellStart"/>
      <w:r>
        <w:rPr>
          <w:rFonts w:ascii="Times New Roman" w:hAnsi="Times New Roman" w:cs="Times New Roman"/>
          <w:sz w:val="24"/>
          <w:szCs w:val="24"/>
        </w:rPr>
        <w:t>Schin</w:t>
      </w:r>
      <w:proofErr w:type="spellEnd"/>
      <w:r w:rsidRPr="002F6396">
        <w:rPr>
          <w:rFonts w:ascii="Times New Roman" w:hAnsi="Times New Roman" w:cs="Times New Roman"/>
          <w:sz w:val="24"/>
          <w:szCs w:val="24"/>
        </w:rPr>
        <w:t xml:space="preserve"> </w:t>
      </w:r>
      <w:r>
        <w:rPr>
          <w:rFonts w:ascii="Times New Roman" w:hAnsi="Times New Roman" w:cs="Times New Roman"/>
          <w:sz w:val="24"/>
          <w:szCs w:val="24"/>
        </w:rPr>
        <w:t>(</w:t>
      </w:r>
      <w:r w:rsidRPr="002F6396">
        <w:rPr>
          <w:rFonts w:ascii="Times New Roman" w:hAnsi="Times New Roman" w:cs="Times New Roman"/>
          <w:sz w:val="24"/>
          <w:szCs w:val="24"/>
        </w:rPr>
        <w:t>KPSS</w:t>
      </w:r>
      <w:r>
        <w:rPr>
          <w:rFonts w:ascii="Times New Roman" w:hAnsi="Times New Roman" w:cs="Times New Roman"/>
          <w:sz w:val="24"/>
          <w:szCs w:val="24"/>
        </w:rPr>
        <w:t>)</w:t>
      </w:r>
      <w:r w:rsidRPr="002F6396">
        <w:rPr>
          <w:rFonts w:ascii="Times New Roman" w:hAnsi="Times New Roman" w:cs="Times New Roman"/>
          <w:sz w:val="24"/>
          <w:szCs w:val="24"/>
        </w:rPr>
        <w:t xml:space="preserve"> tests. The </w:t>
      </w:r>
      <w:r>
        <w:rPr>
          <w:rFonts w:ascii="Times New Roman" w:hAnsi="Times New Roman" w:cs="Times New Roman"/>
          <w:sz w:val="24"/>
          <w:szCs w:val="24"/>
        </w:rPr>
        <w:t>results</w:t>
      </w:r>
      <w:r w:rsidRPr="002F6396">
        <w:rPr>
          <w:rFonts w:ascii="Times New Roman" w:hAnsi="Times New Roman" w:cs="Times New Roman"/>
          <w:sz w:val="24"/>
          <w:szCs w:val="24"/>
        </w:rPr>
        <w:t xml:space="preserve"> are shown in Table 1.</w:t>
      </w:r>
    </w:p>
    <w:p w:rsidR="00462055" w:rsidRDefault="00462055" w:rsidP="008C4BC6">
      <w:pPr>
        <w:spacing w:line="360" w:lineRule="auto"/>
        <w:ind w:firstLine="708"/>
        <w:jc w:val="both"/>
        <w:rPr>
          <w:rFonts w:ascii="Times New Roman" w:hAnsi="Times New Roman" w:cs="Times New Roman"/>
          <w:sz w:val="24"/>
          <w:szCs w:val="24"/>
        </w:rPr>
      </w:pPr>
    </w:p>
    <w:p w:rsidR="00462055" w:rsidRDefault="00462055" w:rsidP="008C4BC6">
      <w:pPr>
        <w:spacing w:line="360" w:lineRule="auto"/>
        <w:ind w:firstLine="708"/>
        <w:jc w:val="both"/>
        <w:rPr>
          <w:rFonts w:ascii="Times New Roman" w:hAnsi="Times New Roman" w:cs="Times New Roman"/>
          <w:sz w:val="24"/>
          <w:szCs w:val="24"/>
        </w:rPr>
      </w:pPr>
    </w:p>
    <w:p w:rsidR="008C4BC6" w:rsidRDefault="008C4BC6" w:rsidP="008C4BC6">
      <w:pPr>
        <w:spacing w:line="360" w:lineRule="auto"/>
        <w:jc w:val="center"/>
        <w:rPr>
          <w:rFonts w:ascii="Times New Roman" w:hAnsi="Times New Roman" w:cs="Times New Roman"/>
          <w:b/>
          <w:sz w:val="24"/>
          <w:szCs w:val="24"/>
        </w:rPr>
      </w:pPr>
      <w:r w:rsidRPr="00A6350F">
        <w:rPr>
          <w:rFonts w:ascii="Times New Roman" w:hAnsi="Times New Roman" w:cs="Times New Roman"/>
          <w:b/>
          <w:sz w:val="24"/>
          <w:szCs w:val="24"/>
        </w:rPr>
        <w:lastRenderedPageBreak/>
        <w:t>Table 1: Unit Root Test Results for Variables</w:t>
      </w:r>
    </w:p>
    <w:tbl>
      <w:tblPr>
        <w:tblpPr w:leftFromText="141" w:rightFromText="141" w:vertAnchor="text" w:horzAnchor="margin" w:tblpXSpec="center" w:tblpY="89"/>
        <w:tblW w:w="8472" w:type="dxa"/>
        <w:tblLook w:val="04A0" w:firstRow="1" w:lastRow="0" w:firstColumn="1" w:lastColumn="0" w:noHBand="0" w:noVBand="1"/>
      </w:tblPr>
      <w:tblGrid>
        <w:gridCol w:w="8472"/>
      </w:tblGrid>
      <w:tr w:rsidR="008C4BC6" w:rsidRPr="00C27A5C" w:rsidTr="002158EA">
        <w:trPr>
          <w:trHeight w:val="270"/>
        </w:trPr>
        <w:tc>
          <w:tcPr>
            <w:tcW w:w="8472" w:type="dxa"/>
            <w:tcBorders>
              <w:top w:val="thickThinSmallGap" w:sz="18" w:space="0" w:color="auto"/>
              <w:bottom w:val="thinThickSmallGap" w:sz="18" w:space="0" w:color="auto"/>
            </w:tcBorders>
          </w:tcPr>
          <w:p w:rsidR="008C4BC6" w:rsidRPr="00C27A5C" w:rsidRDefault="008C4BC6" w:rsidP="002158EA">
            <w:pPr>
              <w:spacing w:before="120" w:after="120" w:line="240" w:lineRule="auto"/>
              <w:jc w:val="center"/>
              <w:rPr>
                <w:rFonts w:ascii="Times New Roman" w:eastAsia="Calibri" w:hAnsi="Times New Roman" w:cs="Times New Roman"/>
                <w:b/>
                <w:bCs/>
                <w:color w:val="000000"/>
                <w:sz w:val="20"/>
                <w:szCs w:val="20"/>
              </w:rPr>
            </w:pPr>
            <w:r w:rsidRPr="00C27A5C">
              <w:rPr>
                <w:rFonts w:ascii="Times New Roman" w:eastAsia="Calibri" w:hAnsi="Times New Roman" w:cs="Times New Roman"/>
                <w:b/>
                <w:color w:val="000000"/>
                <w:sz w:val="20"/>
                <w:szCs w:val="20"/>
              </w:rPr>
              <w:t xml:space="preserve">                   ADF                                          PP                                                 KPSS</w:t>
            </w:r>
          </w:p>
        </w:tc>
      </w:tr>
      <w:tr w:rsidR="008C4BC6" w:rsidRPr="00C27A5C" w:rsidTr="002158EA">
        <w:trPr>
          <w:trHeight w:val="270"/>
        </w:trPr>
        <w:tc>
          <w:tcPr>
            <w:tcW w:w="8472" w:type="dxa"/>
            <w:tcBorders>
              <w:top w:val="thinThickSmallGap" w:sz="18" w:space="0" w:color="auto"/>
              <w:bottom w:val="single" w:sz="4" w:space="0" w:color="auto"/>
            </w:tcBorders>
          </w:tcPr>
          <w:p w:rsidR="008C4BC6" w:rsidRPr="00C27A5C" w:rsidRDefault="008C4BC6" w:rsidP="002158EA">
            <w:pPr>
              <w:spacing w:before="120" w:after="120" w:line="240" w:lineRule="auto"/>
              <w:jc w:val="both"/>
              <w:rPr>
                <w:rFonts w:ascii="Times New Roman" w:eastAsia="Calibri" w:hAnsi="Times New Roman" w:cs="Times New Roman"/>
                <w:b/>
                <w:bCs/>
                <w:color w:val="000000"/>
                <w:sz w:val="18"/>
                <w:szCs w:val="18"/>
              </w:rPr>
            </w:pPr>
            <w:r>
              <w:rPr>
                <w:rFonts w:ascii="Times New Roman" w:eastAsia="Calibri" w:hAnsi="Times New Roman" w:cs="Times New Roman"/>
                <w:b/>
                <w:color w:val="000000"/>
                <w:sz w:val="18"/>
                <w:szCs w:val="18"/>
              </w:rPr>
              <w:t>Variables</w:t>
            </w:r>
            <w:r w:rsidRPr="00C27A5C">
              <w:rPr>
                <w:rFonts w:ascii="Times New Roman" w:eastAsia="Calibri" w:hAnsi="Times New Roman" w:cs="Times New Roman"/>
                <w:b/>
                <w:color w:val="000000"/>
                <w:sz w:val="18"/>
                <w:szCs w:val="18"/>
              </w:rPr>
              <w:t xml:space="preserve">     Trend-</w:t>
            </w:r>
            <w:r>
              <w:rPr>
                <w:rFonts w:ascii="Times New Roman" w:eastAsia="Calibri" w:hAnsi="Times New Roman" w:cs="Times New Roman"/>
                <w:b/>
                <w:color w:val="000000"/>
                <w:sz w:val="18"/>
                <w:szCs w:val="18"/>
              </w:rPr>
              <w:t xml:space="preserve">Constant     </w:t>
            </w:r>
            <w:r w:rsidRPr="00C27A5C">
              <w:rPr>
                <w:rFonts w:ascii="Times New Roman" w:eastAsia="Calibri" w:hAnsi="Times New Roman" w:cs="Times New Roman"/>
                <w:b/>
                <w:color w:val="000000"/>
                <w:sz w:val="18"/>
                <w:szCs w:val="18"/>
              </w:rPr>
              <w:t xml:space="preserve"> </w:t>
            </w:r>
            <w:r>
              <w:rPr>
                <w:rFonts w:ascii="Times New Roman" w:eastAsia="Calibri" w:hAnsi="Times New Roman" w:cs="Times New Roman"/>
                <w:b/>
                <w:color w:val="000000"/>
                <w:sz w:val="18"/>
                <w:szCs w:val="18"/>
              </w:rPr>
              <w:t xml:space="preserve">Constant   </w:t>
            </w:r>
            <w:r w:rsidRPr="00C27A5C">
              <w:rPr>
                <w:rFonts w:ascii="Times New Roman" w:eastAsia="Calibri" w:hAnsi="Times New Roman" w:cs="Times New Roman"/>
                <w:b/>
                <w:color w:val="000000"/>
                <w:sz w:val="18"/>
                <w:szCs w:val="18"/>
              </w:rPr>
              <w:t xml:space="preserve">   Trend-</w:t>
            </w:r>
            <w:r>
              <w:rPr>
                <w:rFonts w:ascii="Times New Roman" w:eastAsia="Calibri" w:hAnsi="Times New Roman" w:cs="Times New Roman"/>
                <w:b/>
                <w:color w:val="000000"/>
                <w:sz w:val="18"/>
                <w:szCs w:val="18"/>
              </w:rPr>
              <w:t xml:space="preserve">Constant     Constant </w:t>
            </w:r>
            <w:r w:rsidRPr="00C27A5C">
              <w:rPr>
                <w:rFonts w:ascii="Times New Roman" w:eastAsia="Calibri" w:hAnsi="Times New Roman" w:cs="Times New Roman"/>
                <w:b/>
                <w:color w:val="000000"/>
                <w:sz w:val="18"/>
                <w:szCs w:val="18"/>
              </w:rPr>
              <w:t xml:space="preserve">        Trend-</w:t>
            </w:r>
            <w:r>
              <w:rPr>
                <w:rFonts w:ascii="Times New Roman" w:eastAsia="Calibri" w:hAnsi="Times New Roman" w:cs="Times New Roman"/>
                <w:b/>
                <w:color w:val="000000"/>
                <w:sz w:val="18"/>
                <w:szCs w:val="18"/>
              </w:rPr>
              <w:t xml:space="preserve">Constant  </w:t>
            </w:r>
            <w:r w:rsidRPr="00C27A5C">
              <w:rPr>
                <w:rFonts w:ascii="Times New Roman" w:eastAsia="Calibri" w:hAnsi="Times New Roman" w:cs="Times New Roman"/>
                <w:b/>
                <w:color w:val="000000"/>
                <w:sz w:val="18"/>
                <w:szCs w:val="18"/>
              </w:rPr>
              <w:t xml:space="preserve">  </w:t>
            </w:r>
            <w:r>
              <w:rPr>
                <w:rFonts w:ascii="Times New Roman" w:eastAsia="Calibri" w:hAnsi="Times New Roman" w:cs="Times New Roman"/>
                <w:b/>
                <w:color w:val="000000"/>
                <w:sz w:val="18"/>
                <w:szCs w:val="18"/>
              </w:rPr>
              <w:t>Constant</w:t>
            </w:r>
          </w:p>
        </w:tc>
      </w:tr>
      <w:tr w:rsidR="008C4BC6" w:rsidRPr="00C27A5C" w:rsidTr="002158EA">
        <w:trPr>
          <w:trHeight w:val="2100"/>
        </w:trPr>
        <w:tc>
          <w:tcPr>
            <w:tcW w:w="8472" w:type="dxa"/>
            <w:tcBorders>
              <w:top w:val="single" w:sz="4" w:space="0" w:color="auto"/>
              <w:bottom w:val="thickThinSmallGap" w:sz="18" w:space="0" w:color="auto"/>
            </w:tcBorders>
            <w:vAlign w:val="center"/>
          </w:tcPr>
          <w:p w:rsidR="008C4BC6" w:rsidRPr="00C27A5C" w:rsidRDefault="008C4BC6" w:rsidP="002158EA">
            <w:pPr>
              <w:spacing w:before="120" w:after="120" w:line="240" w:lineRule="auto"/>
              <w:jc w:val="both"/>
              <w:rPr>
                <w:rFonts w:ascii="Times New Roman" w:eastAsia="Calibri" w:hAnsi="Times New Roman" w:cs="Times New Roman"/>
                <w:b/>
                <w:bCs/>
                <w:color w:val="000000"/>
                <w:sz w:val="20"/>
                <w:szCs w:val="20"/>
              </w:rPr>
            </w:pPr>
            <w:r w:rsidRPr="00C27A5C">
              <w:rPr>
                <w:rFonts w:ascii="Times New Roman" w:eastAsia="Calibri" w:hAnsi="Times New Roman" w:cs="Times New Roman"/>
                <w:color w:val="000000"/>
                <w:sz w:val="20"/>
                <w:szCs w:val="20"/>
              </w:rPr>
              <w:t>TUFE             -7.854***          -8.656***       -31.827***      -20.304***              0.179*         0.294***</w:t>
            </w:r>
          </w:p>
          <w:p w:rsidR="008C4BC6" w:rsidRPr="00C27A5C" w:rsidRDefault="008C4BC6" w:rsidP="002158EA">
            <w:pPr>
              <w:spacing w:before="120" w:after="120" w:line="240" w:lineRule="auto"/>
              <w:jc w:val="both"/>
              <w:rPr>
                <w:rFonts w:ascii="Times New Roman" w:eastAsia="Calibri" w:hAnsi="Times New Roman" w:cs="Times New Roman"/>
                <w:b/>
                <w:bCs/>
                <w:color w:val="000000"/>
                <w:sz w:val="20"/>
                <w:szCs w:val="20"/>
              </w:rPr>
            </w:pPr>
            <w:r w:rsidRPr="00C27A5C">
              <w:rPr>
                <w:rFonts w:ascii="Times New Roman" w:eastAsia="Calibri" w:hAnsi="Times New Roman" w:cs="Times New Roman"/>
                <w:color w:val="000000"/>
                <w:sz w:val="20"/>
                <w:szCs w:val="20"/>
              </w:rPr>
              <w:t>DOLAR         -6.431***          -6.109***          -6.431***        -6.109***             0.311           0.576*</w:t>
            </w:r>
          </w:p>
          <w:p w:rsidR="008C4BC6" w:rsidRPr="00C27A5C" w:rsidRDefault="008C4BC6" w:rsidP="002158EA">
            <w:pPr>
              <w:spacing w:before="120" w:after="120" w:line="240" w:lineRule="auto"/>
              <w:jc w:val="both"/>
              <w:rPr>
                <w:rFonts w:ascii="Times New Roman" w:eastAsia="Calibri" w:hAnsi="Times New Roman" w:cs="Times New Roman"/>
                <w:b/>
                <w:bCs/>
                <w:color w:val="000000"/>
                <w:sz w:val="20"/>
                <w:szCs w:val="20"/>
              </w:rPr>
            </w:pPr>
            <w:r w:rsidRPr="00C27A5C">
              <w:rPr>
                <w:rFonts w:ascii="Times New Roman" w:eastAsia="Calibri" w:hAnsi="Times New Roman" w:cs="Times New Roman"/>
                <w:color w:val="000000"/>
                <w:sz w:val="20"/>
                <w:szCs w:val="20"/>
              </w:rPr>
              <w:t>FAIZ              -4.426***          -4.349***          -4.312***        -4.214***             0.206*         0.359**</w:t>
            </w:r>
          </w:p>
          <w:p w:rsidR="008C4BC6" w:rsidRPr="00C27A5C" w:rsidRDefault="008C4BC6" w:rsidP="002158EA">
            <w:pPr>
              <w:spacing w:before="120" w:after="120" w:line="240" w:lineRule="auto"/>
              <w:jc w:val="both"/>
              <w:rPr>
                <w:rFonts w:ascii="Times New Roman" w:eastAsia="Calibri" w:hAnsi="Times New Roman" w:cs="Times New Roman"/>
                <w:b/>
                <w:bCs/>
                <w:color w:val="000000"/>
                <w:sz w:val="20"/>
                <w:szCs w:val="20"/>
              </w:rPr>
            </w:pPr>
            <w:r w:rsidRPr="00C27A5C">
              <w:rPr>
                <w:rFonts w:ascii="Times New Roman" w:eastAsia="Calibri" w:hAnsi="Times New Roman" w:cs="Times New Roman"/>
                <w:color w:val="000000"/>
                <w:sz w:val="20"/>
                <w:szCs w:val="20"/>
              </w:rPr>
              <w:t>PETROL        -7.811***          -7.835***          -7.685***        -7.715***             0.064***     0.104***</w:t>
            </w:r>
          </w:p>
          <w:p w:rsidR="008C4BC6" w:rsidRPr="00C27A5C" w:rsidRDefault="008C4BC6" w:rsidP="002158EA">
            <w:pPr>
              <w:spacing w:before="120" w:after="120" w:line="240" w:lineRule="auto"/>
              <w:jc w:val="both"/>
              <w:rPr>
                <w:rFonts w:ascii="Times New Roman" w:eastAsia="Calibri" w:hAnsi="Times New Roman" w:cs="Times New Roman"/>
                <w:bCs/>
                <w:color w:val="000000"/>
                <w:sz w:val="20"/>
                <w:szCs w:val="20"/>
              </w:rPr>
            </w:pPr>
            <w:r w:rsidRPr="00C27A5C">
              <w:rPr>
                <w:rFonts w:ascii="Times New Roman" w:eastAsia="Calibri" w:hAnsi="Times New Roman" w:cs="Times New Roman"/>
                <w:color w:val="000000"/>
                <w:sz w:val="20"/>
                <w:szCs w:val="20"/>
              </w:rPr>
              <w:t>CIKTI            -7.982***          -7.826***         -8.0132***       -7.878***              0.143**       0.242***</w:t>
            </w:r>
          </w:p>
        </w:tc>
      </w:tr>
    </w:tbl>
    <w:p w:rsidR="008C4BC6" w:rsidRPr="008A398C" w:rsidRDefault="008C4BC6" w:rsidP="008C4BC6">
      <w:pPr>
        <w:spacing w:line="360" w:lineRule="auto"/>
        <w:jc w:val="both"/>
        <w:rPr>
          <w:rFonts w:ascii="Times New Roman" w:hAnsi="Times New Roman" w:cs="Times New Roman"/>
          <w:sz w:val="24"/>
          <w:szCs w:val="24"/>
        </w:rPr>
      </w:pPr>
      <w:r w:rsidRPr="00A6350F">
        <w:rPr>
          <w:rFonts w:ascii="Times New Roman" w:hAnsi="Times New Roman" w:cs="Times New Roman"/>
          <w:b/>
          <w:sz w:val="24"/>
          <w:szCs w:val="24"/>
        </w:rPr>
        <w:t>Note</w:t>
      </w:r>
      <w:r w:rsidRPr="007C2A6F">
        <w:rPr>
          <w:rFonts w:ascii="Times New Roman" w:hAnsi="Times New Roman" w:cs="Times New Roman"/>
          <w:sz w:val="24"/>
          <w:szCs w:val="24"/>
        </w:rPr>
        <w:t xml:space="preserve">: *, ** and *** indicate </w:t>
      </w:r>
      <w:r>
        <w:rPr>
          <w:rFonts w:ascii="Times New Roman" w:hAnsi="Times New Roman" w:cs="Times New Roman"/>
          <w:sz w:val="24"/>
          <w:szCs w:val="24"/>
        </w:rPr>
        <w:t xml:space="preserve">the rejection of Null Hypothesis of unit root </w:t>
      </w:r>
      <w:r w:rsidRPr="007C2A6F">
        <w:rPr>
          <w:rFonts w:ascii="Times New Roman" w:hAnsi="Times New Roman" w:cs="Times New Roman"/>
          <w:sz w:val="24"/>
          <w:szCs w:val="24"/>
        </w:rPr>
        <w:t>at the significance level of 10%, 5% and 1% respectively</w:t>
      </w:r>
      <w:r>
        <w:rPr>
          <w:rFonts w:ascii="Times New Roman" w:hAnsi="Times New Roman" w:cs="Times New Roman"/>
          <w:sz w:val="24"/>
          <w:szCs w:val="24"/>
        </w:rPr>
        <w:t xml:space="preserve"> and shows </w:t>
      </w:r>
      <w:r w:rsidRPr="007C2A6F">
        <w:rPr>
          <w:rFonts w:ascii="Times New Roman" w:hAnsi="Times New Roman" w:cs="Times New Roman"/>
          <w:sz w:val="24"/>
          <w:szCs w:val="24"/>
        </w:rPr>
        <w:t xml:space="preserve">that the series </w:t>
      </w:r>
      <w:r>
        <w:rPr>
          <w:rFonts w:ascii="Times New Roman" w:hAnsi="Times New Roman" w:cs="Times New Roman"/>
          <w:sz w:val="24"/>
          <w:szCs w:val="24"/>
        </w:rPr>
        <w:t>are stationary.</w:t>
      </w:r>
    </w:p>
    <w:p w:rsidR="008C4BC6" w:rsidRPr="008A398C" w:rsidRDefault="008C4BC6" w:rsidP="008C4BC6">
      <w:pPr>
        <w:spacing w:before="120" w:after="120" w:line="360" w:lineRule="auto"/>
        <w:ind w:firstLine="708"/>
        <w:jc w:val="both"/>
        <w:rPr>
          <w:rFonts w:ascii="Times New Roman" w:eastAsia="Calibri" w:hAnsi="Times New Roman" w:cs="Times New Roman"/>
          <w:bCs/>
          <w:color w:val="000000"/>
          <w:sz w:val="24"/>
          <w:szCs w:val="24"/>
        </w:rPr>
      </w:pPr>
      <w:r w:rsidRPr="00383EFA">
        <w:rPr>
          <w:rFonts w:ascii="Times New Roman" w:eastAsia="Calibri" w:hAnsi="Times New Roman" w:cs="Times New Roman"/>
          <w:bCs/>
          <w:color w:val="000000"/>
          <w:sz w:val="24"/>
          <w:szCs w:val="24"/>
        </w:rPr>
        <w:t>In ADF and PP tests, all variables were stable at 1%</w:t>
      </w:r>
      <w:r>
        <w:rPr>
          <w:rFonts w:ascii="Times New Roman" w:eastAsia="Calibri" w:hAnsi="Times New Roman" w:cs="Times New Roman"/>
          <w:bCs/>
          <w:color w:val="000000"/>
          <w:sz w:val="24"/>
          <w:szCs w:val="24"/>
        </w:rPr>
        <w:t xml:space="preserve"> significance level.</w:t>
      </w:r>
      <w:r w:rsidRPr="00383EFA">
        <w:rPr>
          <w:rFonts w:ascii="Times New Roman" w:eastAsia="Calibri" w:hAnsi="Times New Roman" w:cs="Times New Roman"/>
          <w:bCs/>
          <w:color w:val="000000"/>
          <w:sz w:val="24"/>
          <w:szCs w:val="24"/>
        </w:rPr>
        <w:t xml:space="preserve"> This means that they reject the H0 hypothesis and do not have a unit root. After determining the lag length, we try to find out the success of inflation targeting with VAR model and the interaction between macroeconomic factors </w:t>
      </w:r>
      <w:r>
        <w:rPr>
          <w:rFonts w:ascii="Times New Roman" w:eastAsia="Calibri" w:hAnsi="Times New Roman" w:cs="Times New Roman"/>
          <w:bCs/>
          <w:color w:val="000000"/>
          <w:sz w:val="24"/>
          <w:szCs w:val="24"/>
        </w:rPr>
        <w:t>with</w:t>
      </w:r>
      <w:r w:rsidRPr="00383EFA">
        <w:rPr>
          <w:rFonts w:ascii="Times New Roman" w:eastAsia="Calibri" w:hAnsi="Times New Roman" w:cs="Times New Roman"/>
          <w:bCs/>
          <w:color w:val="000000"/>
          <w:sz w:val="24"/>
          <w:szCs w:val="24"/>
        </w:rPr>
        <w:t xml:space="preserve"> Granger causality test, </w:t>
      </w:r>
      <w:proofErr w:type="gramStart"/>
      <w:r w:rsidRPr="00383EFA">
        <w:rPr>
          <w:rFonts w:ascii="Times New Roman" w:eastAsia="Calibri" w:hAnsi="Times New Roman" w:cs="Times New Roman"/>
          <w:bCs/>
          <w:color w:val="000000"/>
          <w:sz w:val="24"/>
          <w:szCs w:val="24"/>
        </w:rPr>
        <w:t>For</w:t>
      </w:r>
      <w:proofErr w:type="gramEnd"/>
      <w:r w:rsidRPr="00383EFA">
        <w:rPr>
          <w:rFonts w:ascii="Times New Roman" w:eastAsia="Calibri" w:hAnsi="Times New Roman" w:cs="Times New Roman"/>
          <w:bCs/>
          <w:color w:val="000000"/>
          <w:sz w:val="24"/>
          <w:szCs w:val="24"/>
        </w:rPr>
        <w:t xml:space="preserve"> this purpose, we created a regression model based on the variables we discussed</w:t>
      </w:r>
      <w:r>
        <w:rPr>
          <w:rFonts w:ascii="Times New Roman" w:eastAsia="Calibri" w:hAnsi="Times New Roman" w:cs="Times New Roman"/>
          <w:bCs/>
          <w:color w:val="000000"/>
          <w:sz w:val="24"/>
          <w:szCs w:val="24"/>
        </w:rPr>
        <w:t xml:space="preserve"> above</w:t>
      </w:r>
      <w:r w:rsidRPr="00383EFA">
        <w:rPr>
          <w:rFonts w:ascii="Times New Roman" w:eastAsia="Calibri" w:hAnsi="Times New Roman" w:cs="Times New Roman"/>
          <w:bCs/>
          <w:color w:val="000000"/>
          <w:sz w:val="24"/>
          <w:szCs w:val="24"/>
        </w:rPr>
        <w:t>.</w:t>
      </w:r>
    </w:p>
    <w:p w:rsidR="008C4BC6" w:rsidRDefault="00341278" w:rsidP="008C4BC6">
      <w:pPr>
        <w:spacing w:before="120" w:after="120" w:line="600" w:lineRule="auto"/>
        <w:jc w:val="both"/>
        <w:rPr>
          <w:rFonts w:ascii="Times New Roman" w:eastAsia="Malgun Gothic" w:hAnsi="Times New Roman" w:cs="Times New Roman"/>
          <w:color w:val="000000"/>
          <w:sz w:val="24"/>
          <w:szCs w:val="24"/>
        </w:rPr>
      </w:pPr>
      <m:oMath>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TUFE</m:t>
            </m:r>
          </m:e>
          <m:sub>
            <m:r>
              <m:rPr>
                <m:sty m:val="p"/>
              </m:rPr>
              <w:rPr>
                <w:rFonts w:ascii="Cambria Math" w:eastAsia="Calibri" w:hAnsi="Cambria Math" w:cs="Times New Roman"/>
                <w:color w:val="000000"/>
                <w:sz w:val="24"/>
                <w:szCs w:val="24"/>
              </w:rPr>
              <m:t>T</m:t>
            </m:r>
          </m:sub>
        </m:sSub>
        <m:r>
          <m:rPr>
            <m:sty m:val="p"/>
          </m:rPr>
          <w:rPr>
            <w:rFonts w:ascii="Cambria Math" w:eastAsia="Calibri" w:hAnsi="Cambria Math" w:cs="Times New Roman"/>
            <w:color w:val="000000"/>
            <w:sz w:val="24"/>
            <w:szCs w:val="24"/>
          </w:rPr>
          <m:t xml:space="preserve">=C+ </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α</m:t>
            </m:r>
          </m:e>
          <m:sub>
            <m:r>
              <m:rPr>
                <m:sty m:val="p"/>
              </m:rPr>
              <w:rPr>
                <w:rFonts w:ascii="Cambria Math" w:eastAsia="Calibri" w:hAnsi="Cambria Math" w:cs="Times New Roman"/>
                <w:color w:val="000000"/>
                <w:sz w:val="24"/>
                <w:szCs w:val="24"/>
              </w:rPr>
              <m:t>1İ</m:t>
            </m:r>
          </m:sub>
        </m:sSub>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Σ</m:t>
            </m:r>
          </m:e>
          <m:sub>
            <m:r>
              <m:rPr>
                <m:sty m:val="p"/>
              </m:rPr>
              <w:rPr>
                <w:rFonts w:ascii="Cambria Math" w:eastAsia="Calibri" w:hAnsi="Cambria Math" w:cs="Times New Roman"/>
                <w:color w:val="000000"/>
                <w:sz w:val="24"/>
                <w:szCs w:val="24"/>
              </w:rPr>
              <m:t>i=1</m:t>
            </m:r>
          </m:sub>
          <m:sup>
            <m:r>
              <m:rPr>
                <m:sty m:val="p"/>
              </m:rPr>
              <w:rPr>
                <w:rFonts w:ascii="Cambria Math" w:eastAsia="Calibri" w:hAnsi="Cambria Math" w:cs="Times New Roman"/>
                <w:color w:val="000000"/>
                <w:sz w:val="24"/>
                <w:szCs w:val="24"/>
              </w:rPr>
              <m:t>n</m:t>
            </m:r>
          </m:sup>
        </m:sSubSup>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ca</m:t>
            </m:r>
          </m:e>
          <m:sub>
            <m:r>
              <m:rPr>
                <m:sty m:val="p"/>
              </m:rPr>
              <w:rPr>
                <w:rFonts w:ascii="Cambria Math" w:eastAsia="Calibri" w:hAnsi="Cambria Math" w:cs="Times New Roman"/>
                <w:color w:val="000000"/>
                <w:sz w:val="24"/>
                <w:szCs w:val="24"/>
              </w:rPr>
              <m:t>t-i</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α</m:t>
            </m:r>
          </m:e>
          <m:sub>
            <m:r>
              <m:rPr>
                <m:sty m:val="p"/>
              </m:rPr>
              <w:rPr>
                <w:rFonts w:ascii="Cambria Math" w:eastAsia="Calibri" w:hAnsi="Cambria Math" w:cs="Times New Roman"/>
                <w:color w:val="000000"/>
                <w:sz w:val="24"/>
                <w:szCs w:val="24"/>
              </w:rPr>
              <m:t>2İ</m:t>
            </m:r>
          </m:sub>
        </m:sSub>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Σ</m:t>
            </m:r>
          </m:e>
          <m:sub>
            <m:r>
              <m:rPr>
                <m:sty m:val="p"/>
              </m:rPr>
              <w:rPr>
                <w:rFonts w:ascii="Cambria Math" w:eastAsia="Calibri" w:hAnsi="Cambria Math" w:cs="Times New Roman"/>
                <w:color w:val="000000"/>
                <w:sz w:val="24"/>
                <w:szCs w:val="24"/>
              </w:rPr>
              <m:t>i=1</m:t>
            </m:r>
          </m:sub>
          <m:sup>
            <m:r>
              <m:rPr>
                <m:sty m:val="p"/>
              </m:rPr>
              <w:rPr>
                <w:rFonts w:ascii="Cambria Math" w:eastAsia="Calibri" w:hAnsi="Cambria Math" w:cs="Times New Roman"/>
                <w:color w:val="000000"/>
                <w:sz w:val="24"/>
                <w:szCs w:val="24"/>
              </w:rPr>
              <m:t>n</m:t>
            </m:r>
          </m:sup>
        </m:sSubSup>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TUFE</m:t>
            </m:r>
          </m:e>
          <m:sub>
            <m:r>
              <m:rPr>
                <m:sty m:val="p"/>
              </m:rPr>
              <w:rPr>
                <w:rFonts w:ascii="Cambria Math" w:eastAsia="Calibri" w:hAnsi="Cambria Math" w:cs="Times New Roman"/>
                <w:color w:val="000000"/>
                <w:sz w:val="24"/>
                <w:szCs w:val="24"/>
              </w:rPr>
              <m:t>t-i</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α</m:t>
            </m:r>
          </m:e>
          <m:sub>
            <m:r>
              <m:rPr>
                <m:sty m:val="p"/>
              </m:rPr>
              <w:rPr>
                <w:rFonts w:ascii="Cambria Math" w:eastAsia="Calibri" w:hAnsi="Cambria Math" w:cs="Times New Roman"/>
                <w:color w:val="000000"/>
                <w:sz w:val="24"/>
                <w:szCs w:val="24"/>
              </w:rPr>
              <m:t>3İ</m:t>
            </m:r>
          </m:sub>
        </m:sSub>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Σ</m:t>
            </m:r>
          </m:e>
          <m:sub>
            <m:r>
              <m:rPr>
                <m:sty m:val="p"/>
              </m:rPr>
              <w:rPr>
                <w:rFonts w:ascii="Cambria Math" w:eastAsia="Calibri" w:hAnsi="Cambria Math" w:cs="Times New Roman"/>
                <w:color w:val="000000"/>
                <w:sz w:val="24"/>
                <w:szCs w:val="24"/>
              </w:rPr>
              <m:t>i=1</m:t>
            </m:r>
          </m:sub>
          <m:sup>
            <m:r>
              <m:rPr>
                <m:sty m:val="p"/>
              </m:rPr>
              <w:rPr>
                <w:rFonts w:ascii="Cambria Math" w:eastAsia="Calibri" w:hAnsi="Cambria Math" w:cs="Times New Roman"/>
                <w:color w:val="000000"/>
                <w:sz w:val="24"/>
                <w:szCs w:val="24"/>
              </w:rPr>
              <m:t>n</m:t>
            </m:r>
          </m:sup>
        </m:sSubSup>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DOLAR</m:t>
            </m:r>
          </m:e>
          <m:sub>
            <m:r>
              <m:rPr>
                <m:sty m:val="p"/>
              </m:rPr>
              <w:rPr>
                <w:rFonts w:ascii="Cambria Math" w:eastAsia="Calibri" w:hAnsi="Cambria Math" w:cs="Times New Roman"/>
                <w:color w:val="000000"/>
                <w:sz w:val="24"/>
                <w:szCs w:val="24"/>
              </w:rPr>
              <m:t>t-i</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α</m:t>
            </m:r>
          </m:e>
          <m:sub>
            <m:r>
              <m:rPr>
                <m:sty m:val="p"/>
              </m:rPr>
              <w:rPr>
                <w:rFonts w:ascii="Cambria Math" w:eastAsia="Calibri" w:hAnsi="Cambria Math" w:cs="Times New Roman"/>
                <w:color w:val="000000"/>
                <w:sz w:val="24"/>
                <w:szCs w:val="24"/>
              </w:rPr>
              <m:t>4İ</m:t>
            </m:r>
          </m:sub>
        </m:sSub>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Σ</m:t>
            </m:r>
          </m:e>
          <m:sub>
            <m:r>
              <m:rPr>
                <m:sty m:val="p"/>
              </m:rPr>
              <w:rPr>
                <w:rFonts w:ascii="Cambria Math" w:eastAsia="Calibri" w:hAnsi="Cambria Math" w:cs="Times New Roman"/>
                <w:color w:val="000000"/>
                <w:sz w:val="24"/>
                <w:szCs w:val="24"/>
              </w:rPr>
              <m:t>i=1</m:t>
            </m:r>
          </m:sub>
          <m:sup>
            <m:r>
              <m:rPr>
                <m:sty m:val="p"/>
              </m:rPr>
              <w:rPr>
                <w:rFonts w:ascii="Cambria Math" w:eastAsia="Calibri" w:hAnsi="Cambria Math" w:cs="Times New Roman"/>
                <w:color w:val="000000"/>
                <w:sz w:val="24"/>
                <w:szCs w:val="24"/>
              </w:rPr>
              <m:t>n</m:t>
            </m:r>
          </m:sup>
        </m:sSubSup>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FAIZ</m:t>
            </m:r>
          </m:e>
          <m:sub>
            <m:r>
              <m:rPr>
                <m:sty m:val="p"/>
              </m:rPr>
              <w:rPr>
                <w:rFonts w:ascii="Cambria Math" w:eastAsia="Calibri" w:hAnsi="Cambria Math" w:cs="Times New Roman"/>
                <w:color w:val="000000"/>
                <w:sz w:val="24"/>
                <w:szCs w:val="24"/>
              </w:rPr>
              <m:t>t-i</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α</m:t>
            </m:r>
          </m:e>
          <m:sub>
            <m:r>
              <m:rPr>
                <m:sty m:val="p"/>
              </m:rPr>
              <w:rPr>
                <w:rFonts w:ascii="Cambria Math" w:eastAsia="Calibri" w:hAnsi="Cambria Math" w:cs="Times New Roman"/>
                <w:color w:val="000000"/>
                <w:sz w:val="24"/>
                <w:szCs w:val="24"/>
              </w:rPr>
              <m:t>5İ</m:t>
            </m:r>
          </m:sub>
        </m:sSub>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Σ</m:t>
            </m:r>
          </m:e>
          <m:sub>
            <m:r>
              <m:rPr>
                <m:sty m:val="p"/>
              </m:rPr>
              <w:rPr>
                <w:rFonts w:ascii="Cambria Math" w:eastAsia="Calibri" w:hAnsi="Cambria Math" w:cs="Times New Roman"/>
                <w:color w:val="000000"/>
                <w:sz w:val="24"/>
                <w:szCs w:val="24"/>
              </w:rPr>
              <m:t>i=1</m:t>
            </m:r>
          </m:sub>
          <m:sup>
            <m:r>
              <m:rPr>
                <m:sty m:val="p"/>
              </m:rPr>
              <w:rPr>
                <w:rFonts w:ascii="Cambria Math" w:eastAsia="Calibri" w:hAnsi="Cambria Math" w:cs="Times New Roman"/>
                <w:color w:val="000000"/>
                <w:sz w:val="24"/>
                <w:szCs w:val="24"/>
              </w:rPr>
              <m:t>n</m:t>
            </m:r>
          </m:sup>
        </m:sSubSup>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PETROL</m:t>
            </m:r>
          </m:e>
          <m:sub>
            <m:r>
              <m:rPr>
                <m:sty m:val="p"/>
              </m:rPr>
              <w:rPr>
                <w:rFonts w:ascii="Cambria Math" w:eastAsia="Calibri" w:hAnsi="Cambria Math" w:cs="Times New Roman"/>
                <w:color w:val="000000"/>
                <w:sz w:val="24"/>
                <w:szCs w:val="24"/>
              </w:rPr>
              <m:t>t-i</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α</m:t>
            </m:r>
          </m:e>
          <m:sub>
            <m:r>
              <m:rPr>
                <m:sty m:val="p"/>
              </m:rPr>
              <w:rPr>
                <w:rFonts w:ascii="Cambria Math" w:eastAsia="Calibri" w:hAnsi="Cambria Math" w:cs="Times New Roman"/>
                <w:color w:val="000000"/>
                <w:sz w:val="24"/>
                <w:szCs w:val="24"/>
              </w:rPr>
              <m:t>6İ</m:t>
            </m:r>
          </m:sub>
        </m:sSub>
        <m:sSubSup>
          <m:sSubSupPr>
            <m:ctrlPr>
              <w:rPr>
                <w:rFonts w:ascii="Cambria Math" w:eastAsia="Calibri" w:hAnsi="Cambria Math" w:cs="Times New Roman"/>
                <w:color w:val="000000"/>
                <w:sz w:val="24"/>
                <w:szCs w:val="24"/>
              </w:rPr>
            </m:ctrlPr>
          </m:sSubSupPr>
          <m:e>
            <m:r>
              <m:rPr>
                <m:sty m:val="p"/>
              </m:rPr>
              <w:rPr>
                <w:rFonts w:ascii="Cambria Math" w:eastAsia="Calibri" w:hAnsi="Cambria Math" w:cs="Times New Roman"/>
                <w:color w:val="000000"/>
                <w:sz w:val="24"/>
                <w:szCs w:val="24"/>
              </w:rPr>
              <m:t>Σ</m:t>
            </m:r>
          </m:e>
          <m:sub>
            <m:r>
              <m:rPr>
                <m:sty m:val="p"/>
              </m:rPr>
              <w:rPr>
                <w:rFonts w:ascii="Cambria Math" w:eastAsia="Calibri" w:hAnsi="Cambria Math" w:cs="Times New Roman"/>
                <w:color w:val="000000"/>
                <w:sz w:val="24"/>
                <w:szCs w:val="24"/>
              </w:rPr>
              <m:t>i=1</m:t>
            </m:r>
          </m:sub>
          <m:sup>
            <m:r>
              <m:rPr>
                <m:sty m:val="p"/>
              </m:rPr>
              <w:rPr>
                <w:rFonts w:ascii="Cambria Math" w:eastAsia="Calibri" w:hAnsi="Cambria Math" w:cs="Times New Roman"/>
                <w:color w:val="000000"/>
                <w:sz w:val="24"/>
                <w:szCs w:val="24"/>
              </w:rPr>
              <m:t>n</m:t>
            </m:r>
          </m:sup>
        </m:sSubSup>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CIKTI</m:t>
            </m:r>
          </m:e>
          <m:sub>
            <m:r>
              <m:rPr>
                <m:sty m:val="p"/>
              </m:rPr>
              <w:rPr>
                <w:rFonts w:ascii="Cambria Math" w:eastAsia="Calibri" w:hAnsi="Cambria Math" w:cs="Times New Roman"/>
                <w:color w:val="000000"/>
                <w:sz w:val="24"/>
                <w:szCs w:val="24"/>
              </w:rPr>
              <m:t>t-i</m:t>
            </m:r>
          </m:sub>
        </m:sSub>
        <m:r>
          <m:rPr>
            <m:sty m:val="p"/>
          </m:rPr>
          <w:rPr>
            <w:rFonts w:ascii="Cambria Math" w:eastAsia="Calibri" w:hAnsi="Cambria Math" w:cs="Times New Roman"/>
            <w:color w:val="000000"/>
            <w:sz w:val="24"/>
            <w:szCs w:val="24"/>
          </w:rPr>
          <m:t>+</m:t>
        </m:r>
        <m:sSub>
          <m:sSubPr>
            <m:ctrlPr>
              <w:rPr>
                <w:rFonts w:ascii="Cambria Math" w:eastAsia="Calibri" w:hAnsi="Cambria Math" w:cs="Times New Roman"/>
                <w:color w:val="000000"/>
                <w:sz w:val="24"/>
                <w:szCs w:val="24"/>
              </w:rPr>
            </m:ctrlPr>
          </m:sSubPr>
          <m:e>
            <m:r>
              <m:rPr>
                <m:sty m:val="p"/>
              </m:rPr>
              <w:rPr>
                <w:rFonts w:ascii="Cambria Math" w:eastAsia="Calibri" w:hAnsi="Cambria Math" w:cs="Times New Roman"/>
                <w:color w:val="000000"/>
                <w:sz w:val="24"/>
                <w:szCs w:val="24"/>
              </w:rPr>
              <m:t>Ɛ</m:t>
            </m:r>
          </m:e>
          <m:sub>
            <m:r>
              <m:rPr>
                <m:sty m:val="p"/>
              </m:rPr>
              <w:rPr>
                <w:rFonts w:ascii="Cambria Math" w:eastAsia="Calibri" w:hAnsi="Cambria Math" w:cs="Times New Roman"/>
                <w:color w:val="000000"/>
                <w:sz w:val="24"/>
                <w:szCs w:val="24"/>
              </w:rPr>
              <m:t>t</m:t>
            </m:r>
          </m:sub>
        </m:sSub>
      </m:oMath>
      <w:r w:rsidR="008C4BC6" w:rsidRPr="00F4593A">
        <w:rPr>
          <w:rFonts w:ascii="Calibri" w:eastAsia="Malgun Gothic" w:hAnsi="Calibri" w:cs="Times New Roman"/>
          <w:color w:val="000000"/>
          <w:sz w:val="24"/>
          <w:szCs w:val="24"/>
        </w:rPr>
        <w:t xml:space="preserve">                                                                   </w:t>
      </w:r>
      <w:r w:rsidR="008C4BC6">
        <w:rPr>
          <w:rFonts w:ascii="Calibri" w:eastAsia="Malgun Gothic" w:hAnsi="Calibri" w:cs="Times New Roman"/>
          <w:color w:val="000000"/>
          <w:sz w:val="24"/>
          <w:szCs w:val="24"/>
        </w:rPr>
        <w:t xml:space="preserve">                 </w:t>
      </w:r>
      <w:r w:rsidR="008C4BC6">
        <w:rPr>
          <w:rFonts w:ascii="Times New Roman" w:eastAsia="Malgun Gothic" w:hAnsi="Times New Roman" w:cs="Times New Roman"/>
          <w:color w:val="000000"/>
          <w:sz w:val="24"/>
          <w:szCs w:val="24"/>
        </w:rPr>
        <w:t>(</w:t>
      </w:r>
      <w:r w:rsidR="008C4BC6" w:rsidRPr="00383EFA">
        <w:rPr>
          <w:rFonts w:ascii="Times New Roman" w:eastAsia="Malgun Gothic" w:hAnsi="Times New Roman" w:cs="Times New Roman"/>
          <w:color w:val="000000"/>
          <w:sz w:val="24"/>
          <w:szCs w:val="24"/>
        </w:rPr>
        <w:t>1)</w:t>
      </w:r>
    </w:p>
    <w:p w:rsidR="008C4BC6" w:rsidRDefault="008C4BC6" w:rsidP="008C4BC6">
      <w:pPr>
        <w:spacing w:before="120" w:after="120" w:line="360" w:lineRule="auto"/>
        <w:jc w:val="both"/>
        <w:rPr>
          <w:rFonts w:ascii="Times New Roman" w:eastAsia="Calibri" w:hAnsi="Times New Roman" w:cs="Times New Roman"/>
          <w:color w:val="000000"/>
          <w:sz w:val="24"/>
        </w:rPr>
      </w:pPr>
    </w:p>
    <w:p w:rsidR="008C4BC6" w:rsidRDefault="008C4BC6" w:rsidP="008C4BC6">
      <w:pPr>
        <w:spacing w:before="120" w:after="120" w:line="360" w:lineRule="auto"/>
        <w:jc w:val="both"/>
        <w:rPr>
          <w:rFonts w:ascii="Times New Roman" w:eastAsia="Malgun Gothic" w:hAnsi="Times New Roman" w:cs="Times New Roman"/>
          <w:color w:val="000000"/>
          <w:sz w:val="24"/>
          <w:szCs w:val="24"/>
        </w:rPr>
      </w:pPr>
      <w:r w:rsidRPr="00383EFA">
        <w:rPr>
          <w:rFonts w:ascii="Times New Roman" w:eastAsia="Calibri" w:hAnsi="Times New Roman" w:cs="Times New Roman"/>
          <w:color w:val="000000"/>
          <w:sz w:val="24"/>
        </w:rPr>
        <w:t>In t</w:t>
      </w:r>
      <w:r>
        <w:rPr>
          <w:rFonts w:ascii="Times New Roman" w:eastAsia="Calibri" w:hAnsi="Times New Roman" w:cs="Times New Roman"/>
          <w:color w:val="000000"/>
          <w:sz w:val="24"/>
        </w:rPr>
        <w:t xml:space="preserve">his model, </w:t>
      </w:r>
      <w:r w:rsidRPr="00383EFA">
        <w:rPr>
          <w:rFonts w:ascii="Times New Roman" w:eastAsia="Calibri" w:hAnsi="Times New Roman" w:cs="Times New Roman"/>
          <w:color w:val="000000"/>
          <w:sz w:val="24"/>
        </w:rPr>
        <w:t>TU</w:t>
      </w:r>
      <w:r>
        <w:rPr>
          <w:rFonts w:ascii="Times New Roman" w:eastAsia="Calibri" w:hAnsi="Times New Roman" w:cs="Times New Roman"/>
          <w:color w:val="000000"/>
          <w:sz w:val="24"/>
        </w:rPr>
        <w:t>FE, DOLAR, FAIZ</w:t>
      </w:r>
      <w:r w:rsidRPr="00383EFA">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PETROL and CIKTI</w:t>
      </w:r>
      <w:r w:rsidRPr="00383EFA">
        <w:rPr>
          <w:rFonts w:ascii="Times New Roman" w:eastAsia="Calibri" w:hAnsi="Times New Roman" w:cs="Times New Roman"/>
          <w:color w:val="000000"/>
          <w:sz w:val="24"/>
        </w:rPr>
        <w:t xml:space="preserve"> are the vector of internal variables, C is the constant term, α is the matrix of the coefficients to be estimated, and </w:t>
      </w:r>
      <m:oMath>
        <m:sSub>
          <m:sSubPr>
            <m:ctrlPr>
              <w:rPr>
                <w:rFonts w:ascii="Cambria Math" w:eastAsia="Calibri" w:hAnsi="Cambria Math" w:cs="Times New Roman"/>
                <w:i/>
                <w:color w:val="000000"/>
                <w:sz w:val="24"/>
                <w:szCs w:val="24"/>
              </w:rPr>
            </m:ctrlPr>
          </m:sSubPr>
          <m:e>
            <m:r>
              <w:rPr>
                <w:rFonts w:ascii="Cambria Math" w:eastAsia="Calibri" w:hAnsi="Cambria Math" w:cs="Times New Roman"/>
                <w:color w:val="000000"/>
                <w:sz w:val="24"/>
                <w:szCs w:val="24"/>
              </w:rPr>
              <m:t>Ɛ</m:t>
            </m:r>
          </m:e>
          <m:sub>
            <m:r>
              <w:rPr>
                <w:rFonts w:ascii="Cambria Math" w:eastAsia="Calibri" w:hAnsi="Cambria Math" w:cs="Times New Roman"/>
                <w:color w:val="000000"/>
                <w:sz w:val="24"/>
                <w:szCs w:val="24"/>
              </w:rPr>
              <m:t>t</m:t>
            </m:r>
          </m:sub>
        </m:sSub>
      </m:oMath>
      <w:r w:rsidRPr="00F4593A">
        <w:rPr>
          <w:rFonts w:ascii="Times New Roman" w:eastAsia="Malgun Gothic" w:hAnsi="Times New Roman" w:cs="Times New Roman"/>
          <w:color w:val="000000"/>
          <w:sz w:val="24"/>
          <w:szCs w:val="24"/>
        </w:rPr>
        <w:t xml:space="preserve"> </w:t>
      </w:r>
      <w:r w:rsidRPr="00383EFA">
        <w:rPr>
          <w:rFonts w:ascii="Times New Roman" w:eastAsia="Calibri" w:hAnsi="Times New Roman" w:cs="Times New Roman"/>
          <w:color w:val="000000"/>
          <w:sz w:val="24"/>
        </w:rPr>
        <w:t xml:space="preserve">is </w:t>
      </w:r>
      <w:r>
        <w:rPr>
          <w:rFonts w:ascii="Times New Roman" w:eastAsia="Calibri" w:hAnsi="Times New Roman" w:cs="Times New Roman"/>
          <w:color w:val="000000"/>
          <w:sz w:val="24"/>
        </w:rPr>
        <w:t>error term.</w:t>
      </w:r>
      <w:r w:rsidRPr="00383EFA">
        <w:rPr>
          <w:rFonts w:ascii="Times New Roman" w:eastAsia="Calibri" w:hAnsi="Times New Roman" w:cs="Times New Roman"/>
          <w:color w:val="000000"/>
          <w:sz w:val="24"/>
        </w:rPr>
        <w:t xml:space="preserve"> </w:t>
      </w:r>
      <w:r w:rsidRPr="00A6350F">
        <w:rPr>
          <w:rFonts w:ascii="Times New Roman" w:eastAsia="Malgun Gothic" w:hAnsi="Times New Roman" w:cs="Times New Roman"/>
          <w:color w:val="000000"/>
          <w:sz w:val="24"/>
          <w:szCs w:val="24"/>
        </w:rPr>
        <w:t xml:space="preserve">The optimal lag length is determined according to the Likelihood Ratio “LR”, Final Estimate Error “FPE”, </w:t>
      </w:r>
      <w:proofErr w:type="spellStart"/>
      <w:r w:rsidRPr="00A6350F">
        <w:rPr>
          <w:rFonts w:ascii="Times New Roman" w:eastAsia="Malgun Gothic" w:hAnsi="Times New Roman" w:cs="Times New Roman"/>
          <w:color w:val="000000"/>
          <w:sz w:val="24"/>
          <w:szCs w:val="24"/>
        </w:rPr>
        <w:t>Akaike</w:t>
      </w:r>
      <w:proofErr w:type="spellEnd"/>
      <w:r w:rsidRPr="00A6350F">
        <w:rPr>
          <w:rFonts w:ascii="Times New Roman" w:eastAsia="Malgun Gothic" w:hAnsi="Times New Roman" w:cs="Times New Roman"/>
          <w:color w:val="000000"/>
          <w:sz w:val="24"/>
          <w:szCs w:val="24"/>
        </w:rPr>
        <w:t xml:space="preserve"> Information Criterion “AIC”, Schwarz Information Criterion “SC” and </w:t>
      </w:r>
      <w:proofErr w:type="spellStart"/>
      <w:r w:rsidRPr="00A6350F">
        <w:rPr>
          <w:rFonts w:ascii="Times New Roman" w:eastAsia="Malgun Gothic" w:hAnsi="Times New Roman" w:cs="Times New Roman"/>
          <w:color w:val="000000"/>
          <w:sz w:val="24"/>
          <w:szCs w:val="24"/>
        </w:rPr>
        <w:t>Hannan</w:t>
      </w:r>
      <w:proofErr w:type="spellEnd"/>
      <w:r w:rsidRPr="00A6350F">
        <w:rPr>
          <w:rFonts w:ascii="Times New Roman" w:eastAsia="Malgun Gothic" w:hAnsi="Times New Roman" w:cs="Times New Roman"/>
          <w:color w:val="000000"/>
          <w:sz w:val="24"/>
          <w:szCs w:val="24"/>
        </w:rPr>
        <w:t>-Quinn “HQ”.</w:t>
      </w:r>
    </w:p>
    <w:p w:rsidR="008C4BC6" w:rsidRDefault="008C4BC6" w:rsidP="008C4BC6">
      <w:pPr>
        <w:spacing w:before="120" w:after="120" w:line="360" w:lineRule="auto"/>
        <w:jc w:val="center"/>
        <w:rPr>
          <w:rFonts w:ascii="Times New Roman" w:eastAsia="Malgun Gothic" w:hAnsi="Times New Roman" w:cs="Times New Roman"/>
          <w:b/>
          <w:color w:val="000000"/>
          <w:sz w:val="24"/>
          <w:szCs w:val="24"/>
        </w:rPr>
      </w:pPr>
      <w:r w:rsidRPr="00A6350F">
        <w:rPr>
          <w:rFonts w:ascii="Times New Roman" w:eastAsia="Malgun Gothic" w:hAnsi="Times New Roman" w:cs="Times New Roman"/>
          <w:b/>
          <w:color w:val="000000"/>
          <w:sz w:val="24"/>
          <w:szCs w:val="24"/>
        </w:rPr>
        <w:t xml:space="preserve">Table 2: </w:t>
      </w:r>
      <w:r>
        <w:rPr>
          <w:rFonts w:ascii="Times New Roman" w:eastAsia="Malgun Gothic" w:hAnsi="Times New Roman" w:cs="Times New Roman"/>
          <w:b/>
          <w:color w:val="000000"/>
          <w:sz w:val="24"/>
          <w:szCs w:val="24"/>
        </w:rPr>
        <w:t xml:space="preserve">Lag Length </w:t>
      </w:r>
      <w:r w:rsidRPr="00A6350F">
        <w:rPr>
          <w:rFonts w:ascii="Times New Roman" w:eastAsia="Malgun Gothic" w:hAnsi="Times New Roman" w:cs="Times New Roman"/>
          <w:b/>
          <w:color w:val="000000"/>
          <w:sz w:val="24"/>
          <w:szCs w:val="24"/>
        </w:rPr>
        <w:t xml:space="preserve">Selection </w:t>
      </w:r>
      <w:r>
        <w:rPr>
          <w:rFonts w:ascii="Times New Roman" w:eastAsia="Malgun Gothic" w:hAnsi="Times New Roman" w:cs="Times New Roman"/>
          <w:b/>
          <w:color w:val="000000"/>
          <w:sz w:val="24"/>
          <w:szCs w:val="24"/>
        </w:rPr>
        <w:t>Criteria for VAR</w:t>
      </w:r>
      <w:r w:rsidRPr="00A6350F">
        <w:rPr>
          <w:rFonts w:ascii="Times New Roman" w:eastAsia="Malgun Gothic" w:hAnsi="Times New Roman" w:cs="Times New Roman"/>
          <w:b/>
          <w:color w:val="000000"/>
          <w:sz w:val="24"/>
          <w:szCs w:val="24"/>
        </w:rPr>
        <w:t xml:space="preserve"> Model</w:t>
      </w:r>
    </w:p>
    <w:tbl>
      <w:tblPr>
        <w:tblStyle w:val="TabloKlavuzu"/>
        <w:tblW w:w="7927" w:type="dxa"/>
        <w:tblInd w:w="403" w:type="dxa"/>
        <w:tblLook w:val="04A0" w:firstRow="1" w:lastRow="0" w:firstColumn="1" w:lastColumn="0" w:noHBand="0" w:noVBand="1"/>
      </w:tblPr>
      <w:tblGrid>
        <w:gridCol w:w="1404"/>
        <w:gridCol w:w="1360"/>
        <w:gridCol w:w="1256"/>
        <w:gridCol w:w="1376"/>
        <w:gridCol w:w="1255"/>
        <w:gridCol w:w="1276"/>
      </w:tblGrid>
      <w:tr w:rsidR="008C4BC6" w:rsidRPr="00670A79" w:rsidTr="002158EA">
        <w:trPr>
          <w:trHeight w:val="714"/>
        </w:trPr>
        <w:tc>
          <w:tcPr>
            <w:tcW w:w="1404" w:type="dxa"/>
            <w:tcBorders>
              <w:top w:val="double" w:sz="6" w:space="0" w:color="auto"/>
              <w:left w:val="double" w:sz="6" w:space="0" w:color="auto"/>
              <w:bottom w:val="double" w:sz="6" w:space="0" w:color="auto"/>
              <w:right w:val="double" w:sz="4" w:space="0" w:color="auto"/>
            </w:tcBorders>
            <w:vAlign w:val="center"/>
          </w:tcPr>
          <w:p w:rsidR="008C4BC6" w:rsidRPr="00670A79" w:rsidRDefault="008C4BC6" w:rsidP="002158EA">
            <w:pPr>
              <w:spacing w:line="360" w:lineRule="auto"/>
              <w:jc w:val="center"/>
              <w:rPr>
                <w:rFonts w:ascii="Times New Roman" w:eastAsia="Calibri" w:hAnsi="Times New Roman" w:cs="Times New Roman"/>
                <w:b/>
                <w:sz w:val="24"/>
                <w:szCs w:val="24"/>
              </w:rPr>
            </w:pPr>
            <w:r w:rsidRPr="00670A79">
              <w:rPr>
                <w:rFonts w:ascii="Times New Roman" w:eastAsia="Calibri" w:hAnsi="Times New Roman" w:cs="Times New Roman"/>
                <w:b/>
                <w:sz w:val="24"/>
                <w:szCs w:val="24"/>
              </w:rPr>
              <w:t>Lag length</w:t>
            </w:r>
          </w:p>
        </w:tc>
        <w:tc>
          <w:tcPr>
            <w:tcW w:w="1360" w:type="dxa"/>
            <w:tcBorders>
              <w:top w:val="double" w:sz="6" w:space="0" w:color="auto"/>
              <w:left w:val="double" w:sz="4" w:space="0" w:color="auto"/>
              <w:bottom w:val="double" w:sz="6" w:space="0" w:color="auto"/>
              <w:right w:val="double" w:sz="4" w:space="0" w:color="auto"/>
            </w:tcBorders>
            <w:vAlign w:val="center"/>
          </w:tcPr>
          <w:p w:rsidR="008C4BC6" w:rsidRPr="00670A79" w:rsidRDefault="008C4BC6" w:rsidP="002158EA">
            <w:pPr>
              <w:spacing w:line="360" w:lineRule="auto"/>
              <w:jc w:val="center"/>
              <w:rPr>
                <w:rFonts w:ascii="Times New Roman" w:eastAsia="Calibri" w:hAnsi="Times New Roman" w:cs="Times New Roman"/>
                <w:b/>
                <w:sz w:val="24"/>
                <w:szCs w:val="24"/>
              </w:rPr>
            </w:pPr>
            <w:r w:rsidRPr="00670A79">
              <w:rPr>
                <w:rFonts w:ascii="Times New Roman" w:eastAsia="Calibri" w:hAnsi="Times New Roman" w:cs="Times New Roman"/>
                <w:b/>
                <w:sz w:val="24"/>
                <w:szCs w:val="24"/>
              </w:rPr>
              <w:t>LR</w:t>
            </w:r>
          </w:p>
        </w:tc>
        <w:tc>
          <w:tcPr>
            <w:tcW w:w="1256" w:type="dxa"/>
            <w:tcBorders>
              <w:top w:val="double" w:sz="6" w:space="0" w:color="auto"/>
              <w:left w:val="double" w:sz="4" w:space="0" w:color="auto"/>
              <w:bottom w:val="double" w:sz="6" w:space="0" w:color="auto"/>
              <w:right w:val="double" w:sz="4" w:space="0" w:color="auto"/>
            </w:tcBorders>
            <w:vAlign w:val="center"/>
          </w:tcPr>
          <w:p w:rsidR="008C4BC6" w:rsidRPr="00670A79" w:rsidRDefault="008C4BC6" w:rsidP="002158EA">
            <w:pPr>
              <w:spacing w:line="360" w:lineRule="auto"/>
              <w:jc w:val="center"/>
              <w:rPr>
                <w:rFonts w:ascii="Times New Roman" w:eastAsia="Calibri" w:hAnsi="Times New Roman" w:cs="Times New Roman"/>
                <w:b/>
                <w:sz w:val="24"/>
                <w:szCs w:val="24"/>
              </w:rPr>
            </w:pPr>
            <w:r w:rsidRPr="00670A79">
              <w:rPr>
                <w:rFonts w:ascii="Times New Roman" w:eastAsia="Calibri" w:hAnsi="Times New Roman" w:cs="Times New Roman"/>
                <w:b/>
                <w:sz w:val="24"/>
                <w:szCs w:val="24"/>
              </w:rPr>
              <w:t>FPE</w:t>
            </w:r>
          </w:p>
        </w:tc>
        <w:tc>
          <w:tcPr>
            <w:tcW w:w="1376" w:type="dxa"/>
            <w:tcBorders>
              <w:top w:val="double" w:sz="6" w:space="0" w:color="auto"/>
              <w:left w:val="double" w:sz="4" w:space="0" w:color="auto"/>
              <w:bottom w:val="double" w:sz="6" w:space="0" w:color="auto"/>
              <w:right w:val="double" w:sz="4" w:space="0" w:color="auto"/>
            </w:tcBorders>
            <w:vAlign w:val="center"/>
          </w:tcPr>
          <w:p w:rsidR="008C4BC6" w:rsidRPr="00670A79" w:rsidRDefault="008C4BC6" w:rsidP="002158EA">
            <w:pPr>
              <w:spacing w:line="360" w:lineRule="auto"/>
              <w:jc w:val="center"/>
              <w:rPr>
                <w:rFonts w:ascii="Times New Roman" w:eastAsia="Calibri" w:hAnsi="Times New Roman" w:cs="Times New Roman"/>
                <w:b/>
                <w:sz w:val="24"/>
                <w:szCs w:val="24"/>
              </w:rPr>
            </w:pPr>
            <w:r w:rsidRPr="00670A79">
              <w:rPr>
                <w:rFonts w:ascii="Times New Roman" w:eastAsia="Calibri" w:hAnsi="Times New Roman" w:cs="Times New Roman"/>
                <w:b/>
                <w:sz w:val="24"/>
                <w:szCs w:val="24"/>
              </w:rPr>
              <w:t>AIC</w:t>
            </w:r>
          </w:p>
        </w:tc>
        <w:tc>
          <w:tcPr>
            <w:tcW w:w="1255" w:type="dxa"/>
            <w:tcBorders>
              <w:top w:val="double" w:sz="6" w:space="0" w:color="auto"/>
              <w:left w:val="double" w:sz="4" w:space="0" w:color="auto"/>
              <w:bottom w:val="double" w:sz="6" w:space="0" w:color="auto"/>
              <w:right w:val="double" w:sz="4" w:space="0" w:color="auto"/>
            </w:tcBorders>
            <w:vAlign w:val="center"/>
          </w:tcPr>
          <w:p w:rsidR="008C4BC6" w:rsidRPr="00670A79" w:rsidRDefault="008C4BC6" w:rsidP="002158EA">
            <w:pPr>
              <w:spacing w:line="360" w:lineRule="auto"/>
              <w:jc w:val="center"/>
              <w:rPr>
                <w:rFonts w:ascii="Times New Roman" w:eastAsia="Calibri" w:hAnsi="Times New Roman" w:cs="Times New Roman"/>
                <w:b/>
                <w:sz w:val="24"/>
                <w:szCs w:val="24"/>
              </w:rPr>
            </w:pPr>
            <w:r w:rsidRPr="00670A79">
              <w:rPr>
                <w:rFonts w:ascii="Times New Roman" w:eastAsia="Calibri" w:hAnsi="Times New Roman" w:cs="Times New Roman"/>
                <w:b/>
                <w:sz w:val="24"/>
                <w:szCs w:val="24"/>
              </w:rPr>
              <w:t>SC</w:t>
            </w:r>
          </w:p>
        </w:tc>
        <w:tc>
          <w:tcPr>
            <w:tcW w:w="1276" w:type="dxa"/>
            <w:tcBorders>
              <w:top w:val="double" w:sz="6" w:space="0" w:color="auto"/>
              <w:left w:val="double" w:sz="4" w:space="0" w:color="auto"/>
              <w:bottom w:val="double" w:sz="6" w:space="0" w:color="auto"/>
              <w:right w:val="double" w:sz="6" w:space="0" w:color="auto"/>
            </w:tcBorders>
            <w:vAlign w:val="center"/>
          </w:tcPr>
          <w:p w:rsidR="008C4BC6" w:rsidRPr="00670A79" w:rsidRDefault="008C4BC6" w:rsidP="002158EA">
            <w:pPr>
              <w:spacing w:line="360" w:lineRule="auto"/>
              <w:jc w:val="center"/>
              <w:rPr>
                <w:rFonts w:ascii="Times New Roman" w:eastAsia="Calibri" w:hAnsi="Times New Roman" w:cs="Times New Roman"/>
                <w:b/>
                <w:sz w:val="24"/>
                <w:szCs w:val="24"/>
              </w:rPr>
            </w:pPr>
            <w:r w:rsidRPr="00670A79">
              <w:rPr>
                <w:rFonts w:ascii="Times New Roman" w:eastAsia="Calibri" w:hAnsi="Times New Roman" w:cs="Times New Roman"/>
                <w:b/>
                <w:sz w:val="24"/>
                <w:szCs w:val="24"/>
              </w:rPr>
              <w:t>HQ</w:t>
            </w:r>
          </w:p>
        </w:tc>
      </w:tr>
      <w:tr w:rsidR="008C4BC6" w:rsidRPr="00670A79" w:rsidTr="002158EA">
        <w:trPr>
          <w:trHeight w:val="399"/>
        </w:trPr>
        <w:tc>
          <w:tcPr>
            <w:tcW w:w="1404" w:type="dxa"/>
            <w:tcBorders>
              <w:top w:val="double" w:sz="6" w:space="0" w:color="auto"/>
              <w:left w:val="double" w:sz="6" w:space="0" w:color="auto"/>
            </w:tcBorders>
            <w:vAlign w:val="center"/>
          </w:tcPr>
          <w:p w:rsidR="008C4BC6" w:rsidRPr="00670A79" w:rsidRDefault="008C4BC6" w:rsidP="002158EA">
            <w:pPr>
              <w:spacing w:line="360" w:lineRule="auto"/>
              <w:jc w:val="center"/>
              <w:rPr>
                <w:rFonts w:ascii="Times New Roman" w:eastAsia="Calibri" w:hAnsi="Times New Roman" w:cs="Times New Roman"/>
                <w:sz w:val="24"/>
              </w:rPr>
            </w:pPr>
            <w:r w:rsidRPr="00670A79">
              <w:rPr>
                <w:rFonts w:ascii="Times New Roman" w:eastAsia="Calibri" w:hAnsi="Times New Roman" w:cs="Times New Roman"/>
                <w:sz w:val="24"/>
              </w:rPr>
              <w:t>0</w:t>
            </w:r>
          </w:p>
        </w:tc>
        <w:tc>
          <w:tcPr>
            <w:tcW w:w="1360" w:type="dxa"/>
            <w:tcBorders>
              <w:top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NA</w:t>
            </w:r>
          </w:p>
        </w:tc>
        <w:tc>
          <w:tcPr>
            <w:tcW w:w="1256" w:type="dxa"/>
            <w:tcBorders>
              <w:top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4.24e-11</w:t>
            </w:r>
          </w:p>
        </w:tc>
        <w:tc>
          <w:tcPr>
            <w:tcW w:w="1376" w:type="dxa"/>
            <w:tcBorders>
              <w:top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-9.69</w:t>
            </w:r>
          </w:p>
        </w:tc>
        <w:tc>
          <w:tcPr>
            <w:tcW w:w="1255" w:type="dxa"/>
            <w:tcBorders>
              <w:top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-9.52</w:t>
            </w:r>
          </w:p>
        </w:tc>
        <w:tc>
          <w:tcPr>
            <w:tcW w:w="1276" w:type="dxa"/>
            <w:tcBorders>
              <w:top w:val="double" w:sz="6" w:space="0" w:color="auto"/>
              <w:right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-9.62</w:t>
            </w:r>
          </w:p>
        </w:tc>
      </w:tr>
      <w:tr w:rsidR="008C4BC6" w:rsidRPr="00670A79" w:rsidTr="002158EA">
        <w:trPr>
          <w:trHeight w:val="371"/>
        </w:trPr>
        <w:tc>
          <w:tcPr>
            <w:tcW w:w="1404" w:type="dxa"/>
            <w:tcBorders>
              <w:left w:val="double" w:sz="6" w:space="0" w:color="auto"/>
            </w:tcBorders>
            <w:vAlign w:val="center"/>
          </w:tcPr>
          <w:p w:rsidR="008C4BC6" w:rsidRPr="00670A79" w:rsidRDefault="008C4BC6" w:rsidP="002158EA">
            <w:pPr>
              <w:spacing w:line="360" w:lineRule="auto"/>
              <w:jc w:val="center"/>
              <w:rPr>
                <w:rFonts w:ascii="Times New Roman" w:eastAsia="Calibri" w:hAnsi="Times New Roman" w:cs="Times New Roman"/>
                <w:sz w:val="24"/>
              </w:rPr>
            </w:pPr>
            <w:r w:rsidRPr="00670A79">
              <w:rPr>
                <w:rFonts w:ascii="Times New Roman" w:eastAsia="Calibri" w:hAnsi="Times New Roman" w:cs="Times New Roman"/>
                <w:sz w:val="24"/>
              </w:rPr>
              <w:t>1</w:t>
            </w:r>
          </w:p>
        </w:tc>
        <w:tc>
          <w:tcPr>
            <w:tcW w:w="1360"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128.17</w:t>
            </w:r>
          </w:p>
        </w:tc>
        <w:tc>
          <w:tcPr>
            <w:tcW w:w="1256"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9.66e-12</w:t>
            </w:r>
          </w:p>
        </w:tc>
        <w:tc>
          <w:tcPr>
            <w:tcW w:w="1376"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-11.17</w:t>
            </w:r>
          </w:p>
        </w:tc>
        <w:tc>
          <w:tcPr>
            <w:tcW w:w="1255"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-10.14</w:t>
            </w:r>
            <w:r w:rsidRPr="00670A79">
              <w:rPr>
                <w:rFonts w:ascii="Times New Roman" w:eastAsia="Calibri" w:hAnsi="Times New Roman" w:cs="Times New Roman"/>
                <w:color w:val="000000"/>
                <w:sz w:val="24"/>
              </w:rPr>
              <w:t>*</w:t>
            </w:r>
          </w:p>
        </w:tc>
        <w:tc>
          <w:tcPr>
            <w:tcW w:w="1276" w:type="dxa"/>
            <w:tcBorders>
              <w:right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-10.77</w:t>
            </w:r>
          </w:p>
        </w:tc>
      </w:tr>
      <w:tr w:rsidR="008C4BC6" w:rsidRPr="00670A79" w:rsidTr="002158EA">
        <w:trPr>
          <w:trHeight w:val="384"/>
        </w:trPr>
        <w:tc>
          <w:tcPr>
            <w:tcW w:w="1404" w:type="dxa"/>
            <w:tcBorders>
              <w:left w:val="double" w:sz="6" w:space="0" w:color="auto"/>
            </w:tcBorders>
            <w:vAlign w:val="center"/>
          </w:tcPr>
          <w:p w:rsidR="008C4BC6" w:rsidRPr="00670A79" w:rsidRDefault="008C4BC6" w:rsidP="002158EA">
            <w:pPr>
              <w:spacing w:line="360" w:lineRule="auto"/>
              <w:jc w:val="center"/>
              <w:rPr>
                <w:rFonts w:ascii="Times New Roman" w:eastAsia="Calibri" w:hAnsi="Times New Roman" w:cs="Times New Roman"/>
                <w:sz w:val="24"/>
              </w:rPr>
            </w:pPr>
            <w:r w:rsidRPr="00670A79">
              <w:rPr>
                <w:rFonts w:ascii="Times New Roman" w:eastAsia="Calibri" w:hAnsi="Times New Roman" w:cs="Times New Roman"/>
                <w:sz w:val="24"/>
              </w:rPr>
              <w:t>2</w:t>
            </w:r>
          </w:p>
        </w:tc>
        <w:tc>
          <w:tcPr>
            <w:tcW w:w="1360"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61.16</w:t>
            </w:r>
          </w:p>
        </w:tc>
        <w:tc>
          <w:tcPr>
            <w:tcW w:w="1256"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6.62e-12*</w:t>
            </w:r>
          </w:p>
        </w:tc>
        <w:tc>
          <w:tcPr>
            <w:tcW w:w="1376"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-11.56</w:t>
            </w:r>
            <w:r w:rsidRPr="00670A79">
              <w:rPr>
                <w:rFonts w:ascii="Times New Roman" w:eastAsia="Calibri" w:hAnsi="Times New Roman" w:cs="Times New Roman"/>
                <w:color w:val="000000"/>
                <w:sz w:val="24"/>
              </w:rPr>
              <w:t>*</w:t>
            </w:r>
          </w:p>
        </w:tc>
        <w:tc>
          <w:tcPr>
            <w:tcW w:w="1255"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-9.68</w:t>
            </w:r>
          </w:p>
        </w:tc>
        <w:tc>
          <w:tcPr>
            <w:tcW w:w="1276" w:type="dxa"/>
            <w:tcBorders>
              <w:right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-10.82</w:t>
            </w:r>
            <w:r w:rsidRPr="00670A79">
              <w:rPr>
                <w:rFonts w:ascii="Times New Roman" w:eastAsia="Calibri" w:hAnsi="Times New Roman" w:cs="Times New Roman"/>
                <w:color w:val="000000"/>
                <w:sz w:val="24"/>
              </w:rPr>
              <w:t>*</w:t>
            </w:r>
          </w:p>
        </w:tc>
      </w:tr>
      <w:tr w:rsidR="008C4BC6" w:rsidRPr="00670A79" w:rsidTr="002158EA">
        <w:trPr>
          <w:trHeight w:val="384"/>
        </w:trPr>
        <w:tc>
          <w:tcPr>
            <w:tcW w:w="1404" w:type="dxa"/>
            <w:tcBorders>
              <w:left w:val="double" w:sz="6" w:space="0" w:color="auto"/>
            </w:tcBorders>
            <w:vAlign w:val="center"/>
          </w:tcPr>
          <w:p w:rsidR="008C4BC6" w:rsidRPr="00670A79" w:rsidRDefault="008C4BC6" w:rsidP="002158EA">
            <w:pPr>
              <w:spacing w:line="360" w:lineRule="auto"/>
              <w:jc w:val="center"/>
              <w:rPr>
                <w:rFonts w:ascii="Times New Roman" w:eastAsia="Calibri" w:hAnsi="Times New Roman" w:cs="Times New Roman"/>
                <w:sz w:val="24"/>
              </w:rPr>
            </w:pPr>
            <w:r w:rsidRPr="00670A79">
              <w:rPr>
                <w:rFonts w:ascii="Times New Roman" w:eastAsia="Calibri" w:hAnsi="Times New Roman" w:cs="Times New Roman"/>
                <w:sz w:val="24"/>
              </w:rPr>
              <w:lastRenderedPageBreak/>
              <w:t>3</w:t>
            </w:r>
          </w:p>
        </w:tc>
        <w:tc>
          <w:tcPr>
            <w:tcW w:w="1360"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20.53</w:t>
            </w:r>
          </w:p>
        </w:tc>
        <w:tc>
          <w:tcPr>
            <w:tcW w:w="1256"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9.89e-12</w:t>
            </w:r>
          </w:p>
        </w:tc>
        <w:tc>
          <w:tcPr>
            <w:tcW w:w="1376"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-11.20</w:t>
            </w:r>
          </w:p>
        </w:tc>
        <w:tc>
          <w:tcPr>
            <w:tcW w:w="1255" w:type="dxa"/>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-8.46</w:t>
            </w:r>
          </w:p>
        </w:tc>
        <w:tc>
          <w:tcPr>
            <w:tcW w:w="1276" w:type="dxa"/>
            <w:tcBorders>
              <w:right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-10.13</w:t>
            </w:r>
          </w:p>
        </w:tc>
      </w:tr>
      <w:tr w:rsidR="008C4BC6" w:rsidRPr="00670A79" w:rsidTr="002158EA">
        <w:trPr>
          <w:trHeight w:val="384"/>
        </w:trPr>
        <w:tc>
          <w:tcPr>
            <w:tcW w:w="1404" w:type="dxa"/>
            <w:tcBorders>
              <w:left w:val="double" w:sz="6" w:space="0" w:color="auto"/>
              <w:bottom w:val="double" w:sz="6" w:space="0" w:color="auto"/>
            </w:tcBorders>
            <w:vAlign w:val="center"/>
          </w:tcPr>
          <w:p w:rsidR="008C4BC6" w:rsidRPr="00670A79" w:rsidRDefault="008C4BC6" w:rsidP="002158EA">
            <w:pPr>
              <w:spacing w:line="360" w:lineRule="auto"/>
              <w:jc w:val="center"/>
              <w:rPr>
                <w:rFonts w:ascii="Times New Roman" w:eastAsia="Calibri" w:hAnsi="Times New Roman" w:cs="Times New Roman"/>
                <w:sz w:val="24"/>
              </w:rPr>
            </w:pPr>
            <w:r w:rsidRPr="00670A79">
              <w:rPr>
                <w:rFonts w:ascii="Times New Roman" w:eastAsia="Calibri" w:hAnsi="Times New Roman" w:cs="Times New Roman"/>
                <w:sz w:val="24"/>
              </w:rPr>
              <w:t>4</w:t>
            </w:r>
          </w:p>
        </w:tc>
        <w:tc>
          <w:tcPr>
            <w:tcW w:w="1360" w:type="dxa"/>
            <w:tcBorders>
              <w:bottom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44.02*</w:t>
            </w:r>
          </w:p>
        </w:tc>
        <w:tc>
          <w:tcPr>
            <w:tcW w:w="1256" w:type="dxa"/>
            <w:tcBorders>
              <w:bottom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sidRPr="00670A79">
              <w:rPr>
                <w:rFonts w:ascii="Times New Roman" w:eastAsia="Calibri" w:hAnsi="Times New Roman" w:cs="Times New Roman"/>
                <w:color w:val="000000"/>
                <w:sz w:val="24"/>
              </w:rPr>
              <w:t>8.20e-12</w:t>
            </w:r>
          </w:p>
        </w:tc>
        <w:tc>
          <w:tcPr>
            <w:tcW w:w="1376" w:type="dxa"/>
            <w:tcBorders>
              <w:bottom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-11.47</w:t>
            </w:r>
          </w:p>
        </w:tc>
        <w:tc>
          <w:tcPr>
            <w:tcW w:w="1255" w:type="dxa"/>
            <w:tcBorders>
              <w:bottom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-7.87</w:t>
            </w:r>
          </w:p>
        </w:tc>
        <w:tc>
          <w:tcPr>
            <w:tcW w:w="1276" w:type="dxa"/>
            <w:tcBorders>
              <w:bottom w:val="double" w:sz="6" w:space="0" w:color="auto"/>
              <w:right w:val="double" w:sz="6" w:space="0" w:color="auto"/>
            </w:tcBorders>
            <w:vAlign w:val="center"/>
          </w:tcPr>
          <w:p w:rsidR="008C4BC6" w:rsidRPr="00670A79" w:rsidRDefault="008C4BC6" w:rsidP="002158EA">
            <w:pPr>
              <w:autoSpaceDE w:val="0"/>
              <w:autoSpaceDN w:val="0"/>
              <w:adjustRightInd w:val="0"/>
              <w:jc w:val="center"/>
              <w:rPr>
                <w:rFonts w:ascii="Times New Roman" w:eastAsia="Calibri" w:hAnsi="Times New Roman" w:cs="Times New Roman"/>
                <w:color w:val="000000"/>
                <w:sz w:val="24"/>
              </w:rPr>
            </w:pPr>
            <w:r>
              <w:rPr>
                <w:rFonts w:ascii="Times New Roman" w:eastAsia="Calibri" w:hAnsi="Times New Roman" w:cs="Times New Roman"/>
                <w:color w:val="000000"/>
                <w:sz w:val="24"/>
              </w:rPr>
              <w:t>-10.06</w:t>
            </w:r>
          </w:p>
        </w:tc>
      </w:tr>
    </w:tbl>
    <w:p w:rsidR="008C4BC6" w:rsidRDefault="008C4BC6" w:rsidP="008C4BC6">
      <w:pPr>
        <w:spacing w:before="120" w:after="120" w:line="360" w:lineRule="auto"/>
        <w:jc w:val="both"/>
        <w:rPr>
          <w:rFonts w:ascii="Times New Roman" w:eastAsia="Malgun Gothic" w:hAnsi="Times New Roman" w:cs="Times New Roman"/>
          <w:color w:val="000000"/>
          <w:sz w:val="24"/>
          <w:szCs w:val="24"/>
        </w:rPr>
      </w:pPr>
      <w:r>
        <w:rPr>
          <w:rFonts w:ascii="Times New Roman" w:eastAsia="Malgun Gothic" w:hAnsi="Times New Roman" w:cs="Times New Roman"/>
          <w:color w:val="000000"/>
          <w:sz w:val="24"/>
          <w:szCs w:val="24"/>
        </w:rPr>
        <w:t xml:space="preserve"> </w:t>
      </w:r>
    </w:p>
    <w:p w:rsidR="008C4BC6"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Pr>
          <w:rFonts w:ascii="Times New Roman" w:eastAsia="Malgun Gothic" w:hAnsi="Times New Roman" w:cs="Times New Roman"/>
          <w:color w:val="000000"/>
          <w:sz w:val="24"/>
          <w:szCs w:val="24"/>
        </w:rPr>
        <w:t>According to Table 2; t</w:t>
      </w:r>
      <w:r w:rsidRPr="00A6350F">
        <w:rPr>
          <w:rFonts w:ascii="Times New Roman" w:eastAsia="Malgun Gothic" w:hAnsi="Times New Roman" w:cs="Times New Roman"/>
          <w:color w:val="000000"/>
          <w:sz w:val="24"/>
          <w:szCs w:val="24"/>
        </w:rPr>
        <w:t xml:space="preserve">he optimal </w:t>
      </w:r>
      <w:r>
        <w:rPr>
          <w:rFonts w:ascii="Times New Roman" w:eastAsia="Malgun Gothic" w:hAnsi="Times New Roman" w:cs="Times New Roman"/>
          <w:color w:val="000000"/>
          <w:sz w:val="24"/>
          <w:szCs w:val="24"/>
        </w:rPr>
        <w:t>lag</w:t>
      </w:r>
      <w:r w:rsidRPr="00A6350F">
        <w:rPr>
          <w:rFonts w:ascii="Times New Roman" w:eastAsia="Malgun Gothic" w:hAnsi="Times New Roman" w:cs="Times New Roman"/>
          <w:color w:val="000000"/>
          <w:sz w:val="24"/>
          <w:szCs w:val="24"/>
        </w:rPr>
        <w:t xml:space="preserve"> length is 2 for FPE, AIC, HQ statistics, 1 for SC statistics, and 4 for LR test only. All </w:t>
      </w:r>
      <w:r>
        <w:rPr>
          <w:rFonts w:ascii="Times New Roman" w:eastAsia="Malgun Gothic" w:hAnsi="Times New Roman" w:cs="Times New Roman"/>
          <w:color w:val="000000"/>
          <w:sz w:val="24"/>
          <w:szCs w:val="24"/>
        </w:rPr>
        <w:t xml:space="preserve">of them were </w:t>
      </w:r>
      <w:r w:rsidRPr="00A6350F">
        <w:rPr>
          <w:rFonts w:ascii="Times New Roman" w:eastAsia="Malgun Gothic" w:hAnsi="Times New Roman" w:cs="Times New Roman"/>
          <w:color w:val="000000"/>
          <w:sz w:val="24"/>
          <w:szCs w:val="24"/>
        </w:rPr>
        <w:t xml:space="preserve">tested for a 5% level of significance. To determine the optimal lag length, we </w:t>
      </w:r>
      <w:r>
        <w:rPr>
          <w:rFonts w:ascii="Times New Roman" w:eastAsia="Malgun Gothic" w:hAnsi="Times New Roman" w:cs="Times New Roman"/>
          <w:color w:val="000000"/>
          <w:sz w:val="24"/>
          <w:szCs w:val="24"/>
        </w:rPr>
        <w:t>look at the Lagrange Multiplier (LM) test, which accounts</w:t>
      </w:r>
      <w:r w:rsidRPr="00A6350F">
        <w:rPr>
          <w:rFonts w:ascii="Times New Roman" w:eastAsia="Malgun Gothic" w:hAnsi="Times New Roman" w:cs="Times New Roman"/>
          <w:color w:val="000000"/>
          <w:sz w:val="24"/>
          <w:szCs w:val="24"/>
        </w:rPr>
        <w:t xml:space="preserve"> for autocorrelation. Accordingly, is seen that </w:t>
      </w:r>
      <w:r>
        <w:rPr>
          <w:rFonts w:ascii="Times New Roman" w:eastAsia="Malgun Gothic" w:hAnsi="Times New Roman" w:cs="Times New Roman"/>
          <w:color w:val="000000"/>
          <w:sz w:val="24"/>
          <w:szCs w:val="24"/>
        </w:rPr>
        <w:t>there exists autocorrelation. However, i</w:t>
      </w:r>
      <w:r w:rsidRPr="00A6350F">
        <w:rPr>
          <w:rFonts w:ascii="Times New Roman" w:eastAsia="Malgun Gothic" w:hAnsi="Times New Roman" w:cs="Times New Roman"/>
          <w:color w:val="000000"/>
          <w:sz w:val="24"/>
          <w:szCs w:val="24"/>
        </w:rPr>
        <w:t xml:space="preserve">n determining the lag length, there should be no autocorrelation and </w:t>
      </w:r>
      <w:r>
        <w:rPr>
          <w:rFonts w:ascii="Times New Roman" w:eastAsia="Malgun Gothic" w:hAnsi="Times New Roman" w:cs="Times New Roman"/>
          <w:color w:val="000000"/>
          <w:sz w:val="24"/>
          <w:szCs w:val="24"/>
        </w:rPr>
        <w:t>constant</w:t>
      </w:r>
      <w:r w:rsidRPr="00A6350F">
        <w:rPr>
          <w:rFonts w:ascii="Times New Roman" w:eastAsia="Malgun Gothic" w:hAnsi="Times New Roman" w:cs="Times New Roman"/>
          <w:color w:val="000000"/>
          <w:sz w:val="24"/>
          <w:szCs w:val="24"/>
        </w:rPr>
        <w:t xml:space="preserve"> variance</w:t>
      </w:r>
      <w:r>
        <w:rPr>
          <w:rFonts w:ascii="Times New Roman" w:eastAsia="Malgun Gothic" w:hAnsi="Times New Roman" w:cs="Times New Roman"/>
          <w:color w:val="000000"/>
          <w:sz w:val="24"/>
          <w:szCs w:val="24"/>
        </w:rPr>
        <w:t>.</w:t>
      </w:r>
      <w:r w:rsidRPr="00A6350F">
        <w:rPr>
          <w:rFonts w:ascii="Times New Roman" w:eastAsia="Malgun Gothic" w:hAnsi="Times New Roman" w:cs="Times New Roman"/>
          <w:color w:val="000000"/>
          <w:sz w:val="24"/>
          <w:szCs w:val="24"/>
        </w:rPr>
        <w:t xml:space="preserve"> In light of all this information, </w:t>
      </w:r>
      <w:r>
        <w:rPr>
          <w:rFonts w:ascii="Times New Roman" w:eastAsia="Malgun Gothic" w:hAnsi="Times New Roman" w:cs="Times New Roman"/>
          <w:color w:val="000000"/>
          <w:sz w:val="24"/>
          <w:szCs w:val="24"/>
        </w:rPr>
        <w:t>since</w:t>
      </w:r>
      <w:r w:rsidRPr="00A6350F">
        <w:rPr>
          <w:rFonts w:ascii="Times New Roman" w:eastAsia="Malgun Gothic" w:hAnsi="Times New Roman" w:cs="Times New Roman"/>
          <w:color w:val="000000"/>
          <w:sz w:val="24"/>
          <w:szCs w:val="24"/>
        </w:rPr>
        <w:t xml:space="preserve"> the fourth </w:t>
      </w:r>
      <w:r>
        <w:rPr>
          <w:rFonts w:ascii="Times New Roman" w:eastAsia="Malgun Gothic" w:hAnsi="Times New Roman" w:cs="Times New Roman"/>
          <w:color w:val="000000"/>
          <w:sz w:val="24"/>
          <w:szCs w:val="24"/>
        </w:rPr>
        <w:t>lag</w:t>
      </w:r>
      <w:r w:rsidRPr="00A6350F">
        <w:rPr>
          <w:rFonts w:ascii="Times New Roman" w:eastAsia="Malgun Gothic" w:hAnsi="Times New Roman" w:cs="Times New Roman"/>
          <w:color w:val="000000"/>
          <w:sz w:val="24"/>
          <w:szCs w:val="24"/>
        </w:rPr>
        <w:t xml:space="preserve"> length value contains autocorrelation the optimal lag length was determined </w:t>
      </w:r>
      <w:r>
        <w:rPr>
          <w:rFonts w:ascii="Times New Roman" w:eastAsia="Malgun Gothic" w:hAnsi="Times New Roman" w:cs="Times New Roman"/>
          <w:color w:val="000000"/>
          <w:sz w:val="24"/>
          <w:szCs w:val="24"/>
        </w:rPr>
        <w:t>as</w:t>
      </w:r>
      <w:r w:rsidRPr="00A6350F">
        <w:rPr>
          <w:rFonts w:ascii="Times New Roman" w:eastAsia="Malgun Gothic" w:hAnsi="Times New Roman" w:cs="Times New Roman"/>
          <w:color w:val="000000"/>
          <w:sz w:val="24"/>
          <w:szCs w:val="24"/>
        </w:rPr>
        <w:t xml:space="preserve"> 2</w:t>
      </w:r>
      <w:r>
        <w:rPr>
          <w:rFonts w:ascii="Times New Roman" w:eastAsia="Malgun Gothic" w:hAnsi="Times New Roman" w:cs="Times New Roman"/>
          <w:color w:val="000000"/>
          <w:sz w:val="24"/>
          <w:szCs w:val="24"/>
        </w:rPr>
        <w:t>.</w:t>
      </w:r>
      <w:r w:rsidRPr="00A6350F">
        <w:rPr>
          <w:rFonts w:ascii="Times New Roman" w:eastAsia="Malgun Gothic" w:hAnsi="Times New Roman" w:cs="Times New Roman"/>
          <w:color w:val="000000"/>
          <w:sz w:val="24"/>
          <w:szCs w:val="24"/>
        </w:rPr>
        <w:t xml:space="preserve"> </w:t>
      </w:r>
      <w:r>
        <w:rPr>
          <w:rFonts w:ascii="Times New Roman" w:eastAsia="Malgun Gothic" w:hAnsi="Times New Roman" w:cs="Times New Roman"/>
          <w:color w:val="000000"/>
          <w:sz w:val="24"/>
          <w:szCs w:val="24"/>
        </w:rPr>
        <w:t>Also, a</w:t>
      </w:r>
      <w:r w:rsidRPr="00A6350F">
        <w:rPr>
          <w:rFonts w:ascii="Times New Roman" w:eastAsia="Malgun Gothic" w:hAnsi="Times New Roman" w:cs="Times New Roman"/>
          <w:color w:val="000000"/>
          <w:sz w:val="24"/>
          <w:szCs w:val="24"/>
        </w:rPr>
        <w:t>ccording to the variance test we tried t</w:t>
      </w:r>
      <w:r>
        <w:rPr>
          <w:rFonts w:ascii="Times New Roman" w:eastAsia="Malgun Gothic" w:hAnsi="Times New Roman" w:cs="Times New Roman"/>
          <w:color w:val="000000"/>
          <w:sz w:val="24"/>
          <w:szCs w:val="24"/>
        </w:rPr>
        <w:t>o examine, Chi-square = 323.26 and p-</w:t>
      </w:r>
      <w:r w:rsidRPr="00A6350F">
        <w:rPr>
          <w:rFonts w:ascii="Times New Roman" w:eastAsia="Malgun Gothic" w:hAnsi="Times New Roman" w:cs="Times New Roman"/>
          <w:color w:val="000000"/>
          <w:sz w:val="24"/>
          <w:szCs w:val="24"/>
        </w:rPr>
        <w:t>value is greater than all significance levels, H0 hypothesis is not rejected and it is seen that there is no variable variance and this model has a normal distribution.</w:t>
      </w:r>
    </w:p>
    <w:p w:rsidR="008C4BC6" w:rsidRDefault="008C4BC6" w:rsidP="008C4BC6">
      <w:pPr>
        <w:spacing w:before="120" w:after="120" w:line="360" w:lineRule="auto"/>
        <w:jc w:val="center"/>
        <w:rPr>
          <w:rFonts w:ascii="Times New Roman" w:eastAsia="Malgun Gothic" w:hAnsi="Times New Roman" w:cs="Times New Roman"/>
          <w:b/>
          <w:color w:val="000000"/>
          <w:sz w:val="24"/>
          <w:szCs w:val="24"/>
        </w:rPr>
      </w:pPr>
      <w:r w:rsidRPr="00A6350F">
        <w:rPr>
          <w:rFonts w:ascii="Times New Roman" w:eastAsia="Malgun Gothic" w:hAnsi="Times New Roman" w:cs="Times New Roman"/>
          <w:b/>
          <w:color w:val="000000"/>
          <w:sz w:val="24"/>
          <w:szCs w:val="24"/>
        </w:rPr>
        <w:t>Table 3: Direction of Variables by Granger Causality Test</w:t>
      </w:r>
    </w:p>
    <w:tbl>
      <w:tblPr>
        <w:tblStyle w:val="TabloKlavuzu1"/>
        <w:tblpPr w:leftFromText="141" w:rightFromText="141" w:vertAnchor="text" w:horzAnchor="margin" w:tblpXSpec="right" w:tblpY="2"/>
        <w:tblW w:w="0" w:type="auto"/>
        <w:tblLook w:val="04A0" w:firstRow="1" w:lastRow="0" w:firstColumn="1" w:lastColumn="0" w:noHBand="0" w:noVBand="1"/>
      </w:tblPr>
      <w:tblGrid>
        <w:gridCol w:w="8364"/>
      </w:tblGrid>
      <w:tr w:rsidR="008C4BC6" w:rsidRPr="001B1CF3" w:rsidTr="002158EA">
        <w:trPr>
          <w:trHeight w:val="365"/>
        </w:trPr>
        <w:tc>
          <w:tcPr>
            <w:tcW w:w="8364" w:type="dxa"/>
            <w:vAlign w:val="center"/>
          </w:tcPr>
          <w:p w:rsidR="008C4BC6" w:rsidRPr="001B1CF3" w:rsidRDefault="008C4BC6" w:rsidP="002158EA">
            <w:pPr>
              <w:spacing w:line="360" w:lineRule="auto"/>
              <w:jc w:val="both"/>
              <w:rPr>
                <w:rFonts w:ascii="Times New Roman" w:eastAsia="Calibri" w:hAnsi="Times New Roman" w:cs="Times New Roman"/>
                <w:b/>
                <w:sz w:val="24"/>
                <w:szCs w:val="24"/>
              </w:rPr>
            </w:pPr>
            <w:r w:rsidRPr="00A6350F">
              <w:rPr>
                <w:rFonts w:ascii="Times New Roman" w:eastAsia="Malgun Gothic" w:hAnsi="Times New Roman" w:cs="Times New Roman"/>
                <w:b/>
                <w:color w:val="000000"/>
                <w:sz w:val="24"/>
                <w:szCs w:val="24"/>
              </w:rPr>
              <w:t>Variables</w:t>
            </w:r>
            <w:r w:rsidRPr="001B1C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B1C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Causes</w:t>
            </w:r>
            <w:r w:rsidRPr="001B1C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1B1CF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Variables</w:t>
            </w:r>
          </w:p>
        </w:tc>
      </w:tr>
      <w:tr w:rsidR="008C4BC6" w:rsidRPr="001B1CF3" w:rsidTr="002158EA">
        <w:tc>
          <w:tcPr>
            <w:tcW w:w="8364" w:type="dxa"/>
            <w:vAlign w:val="center"/>
          </w:tcPr>
          <w:p w:rsidR="008C4BC6" w:rsidRPr="001B1CF3" w:rsidRDefault="008C4BC6" w:rsidP="002158EA">
            <w:pPr>
              <w:spacing w:line="360" w:lineRule="auto"/>
              <w:jc w:val="both"/>
              <w:rPr>
                <w:rFonts w:ascii="Times New Roman" w:eastAsia="Calibri" w:hAnsi="Times New Roman" w:cs="Times New Roman"/>
                <w:sz w:val="24"/>
                <w:szCs w:val="24"/>
              </w:rPr>
            </w:pP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Interest</w:t>
            </w: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B1CF3">
              <w:rPr>
                <w:rFonts w:ascii="Times New Roman" w:eastAsia="Calibri" w:hAnsi="Times New Roman" w:cs="Times New Roman"/>
                <w:sz w:val="24"/>
                <w:szCs w:val="24"/>
              </w:rPr>
              <w:t xml:space="preserve">   </w:t>
            </w:r>
            <w:r w:rsidRPr="001B1CF3">
              <w:rPr>
                <w:rFonts w:ascii="Times New Roman" w:eastAsia="Calibri" w:hAnsi="Times New Roman" w:cs="Times New Roman"/>
                <w:sz w:val="24"/>
                <w:szCs w:val="24"/>
              </w:rPr>
              <w:sym w:font="Wingdings" w:char="F0E0"/>
            </w: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Output Gap</w:t>
            </w:r>
          </w:p>
          <w:p w:rsidR="008C4BC6" w:rsidRPr="001B1CF3" w:rsidRDefault="008C4BC6" w:rsidP="002158E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Interest</w:t>
            </w: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B1CF3">
              <w:rPr>
                <w:rFonts w:ascii="Times New Roman" w:eastAsia="Calibri" w:hAnsi="Times New Roman" w:cs="Times New Roman"/>
                <w:sz w:val="24"/>
                <w:szCs w:val="24"/>
              </w:rPr>
              <w:sym w:font="Wingdings" w:char="F0E0"/>
            </w: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Exchange Rate</w:t>
            </w:r>
          </w:p>
          <w:p w:rsidR="008C4BC6" w:rsidRPr="001B1CF3" w:rsidRDefault="008C4BC6" w:rsidP="002158EA">
            <w:pPr>
              <w:spacing w:line="360" w:lineRule="auto"/>
              <w:jc w:val="both"/>
              <w:rPr>
                <w:rFonts w:ascii="Calibri" w:eastAsia="Calibri" w:hAnsi="Calibri" w:cs="Times New Roman"/>
                <w:sz w:val="24"/>
              </w:rPr>
            </w:pP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CPI</w:t>
            </w: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B1CF3">
              <w:rPr>
                <w:rFonts w:ascii="Times New Roman" w:eastAsia="Calibri" w:hAnsi="Times New Roman" w:cs="Times New Roman"/>
                <w:sz w:val="24"/>
                <w:szCs w:val="24"/>
              </w:rPr>
              <w:t xml:space="preserve"> </w:t>
            </w:r>
            <w:r w:rsidRPr="001B1CF3">
              <w:rPr>
                <w:rFonts w:ascii="Times New Roman" w:eastAsia="Calibri" w:hAnsi="Times New Roman" w:cs="Times New Roman"/>
                <w:sz w:val="24"/>
                <w:szCs w:val="24"/>
              </w:rPr>
              <w:sym w:font="Wingdings" w:char="F0E0"/>
            </w:r>
            <w:r w:rsidRPr="001B1C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Exchange Rate</w:t>
            </w:r>
          </w:p>
        </w:tc>
      </w:tr>
    </w:tbl>
    <w:p w:rsidR="008C4BC6" w:rsidRPr="00A6350F" w:rsidRDefault="008C4BC6" w:rsidP="008C4BC6">
      <w:pPr>
        <w:spacing w:before="120" w:after="120" w:line="360" w:lineRule="auto"/>
        <w:jc w:val="center"/>
        <w:rPr>
          <w:rFonts w:ascii="Times New Roman" w:eastAsia="Malgun Gothic" w:hAnsi="Times New Roman" w:cs="Times New Roman"/>
          <w:b/>
          <w:color w:val="000000"/>
          <w:sz w:val="24"/>
          <w:szCs w:val="24"/>
        </w:rPr>
      </w:pPr>
    </w:p>
    <w:p w:rsidR="008C4BC6"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p>
    <w:p w:rsidR="008C4BC6"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sidRPr="00A6350F">
        <w:rPr>
          <w:rFonts w:ascii="Times New Roman" w:eastAsia="Malgun Gothic" w:hAnsi="Times New Roman" w:cs="Times New Roman"/>
          <w:color w:val="000000"/>
          <w:sz w:val="24"/>
          <w:szCs w:val="24"/>
        </w:rPr>
        <w:t>Granger Causality Test is a method used to determine the direction of causality of the relationship between variables statistically</w:t>
      </w:r>
      <w:r>
        <w:rPr>
          <w:rFonts w:ascii="Times New Roman" w:eastAsia="Malgun Gothic" w:hAnsi="Times New Roman" w:cs="Times New Roman"/>
          <w:color w:val="000000"/>
          <w:sz w:val="24"/>
          <w:szCs w:val="24"/>
        </w:rPr>
        <w:t xml:space="preserve">. </w:t>
      </w:r>
      <w:r w:rsidRPr="00A6350F">
        <w:rPr>
          <w:rFonts w:ascii="Times New Roman" w:eastAsia="Malgun Gothic" w:hAnsi="Times New Roman" w:cs="Times New Roman"/>
          <w:color w:val="000000"/>
          <w:sz w:val="24"/>
          <w:szCs w:val="24"/>
        </w:rPr>
        <w:t>In Table 3, the direction of causality of the variables is given. Accordingly, the direction of causality between interest and output is from interest to output</w:t>
      </w:r>
      <w:r>
        <w:rPr>
          <w:rFonts w:ascii="Times New Roman" w:eastAsia="Malgun Gothic" w:hAnsi="Times New Roman" w:cs="Times New Roman"/>
          <w:color w:val="000000"/>
          <w:sz w:val="24"/>
          <w:szCs w:val="24"/>
        </w:rPr>
        <w:t xml:space="preserve"> gap</w:t>
      </w:r>
      <w:r w:rsidRPr="00A6350F">
        <w:rPr>
          <w:rFonts w:ascii="Times New Roman" w:eastAsia="Malgun Gothic" w:hAnsi="Times New Roman" w:cs="Times New Roman"/>
          <w:color w:val="000000"/>
          <w:sz w:val="24"/>
          <w:szCs w:val="24"/>
        </w:rPr>
        <w:t>. In other words, interest is the cause of the output</w:t>
      </w:r>
      <w:r>
        <w:rPr>
          <w:rFonts w:ascii="Times New Roman" w:eastAsia="Malgun Gothic" w:hAnsi="Times New Roman" w:cs="Times New Roman"/>
          <w:color w:val="000000"/>
          <w:sz w:val="24"/>
          <w:szCs w:val="24"/>
        </w:rPr>
        <w:t xml:space="preserve"> gap. </w:t>
      </w:r>
      <w:r w:rsidRPr="00A6350F">
        <w:rPr>
          <w:rFonts w:ascii="Times New Roman" w:eastAsia="Malgun Gothic" w:hAnsi="Times New Roman" w:cs="Times New Roman"/>
          <w:color w:val="000000"/>
          <w:sz w:val="24"/>
          <w:szCs w:val="24"/>
        </w:rPr>
        <w:t xml:space="preserve">The relationship between interest and dollar </w:t>
      </w:r>
      <w:r>
        <w:rPr>
          <w:rFonts w:ascii="Times New Roman" w:eastAsia="Malgun Gothic" w:hAnsi="Times New Roman" w:cs="Times New Roman"/>
          <w:color w:val="000000"/>
          <w:sz w:val="24"/>
          <w:szCs w:val="24"/>
        </w:rPr>
        <w:t>showed that causality is</w:t>
      </w:r>
      <w:r w:rsidRPr="00A6350F">
        <w:rPr>
          <w:rFonts w:ascii="Times New Roman" w:eastAsia="Malgun Gothic" w:hAnsi="Times New Roman" w:cs="Times New Roman"/>
          <w:color w:val="000000"/>
          <w:sz w:val="24"/>
          <w:szCs w:val="24"/>
        </w:rPr>
        <w:t xml:space="preserve"> from interest to dollar. </w:t>
      </w:r>
      <w:r>
        <w:rPr>
          <w:rFonts w:ascii="Times New Roman" w:eastAsia="Malgun Gothic" w:hAnsi="Times New Roman" w:cs="Times New Roman"/>
          <w:color w:val="000000"/>
          <w:sz w:val="24"/>
          <w:szCs w:val="24"/>
        </w:rPr>
        <w:t>The</w:t>
      </w:r>
      <w:r w:rsidRPr="00A6350F">
        <w:rPr>
          <w:rFonts w:ascii="Times New Roman" w:eastAsia="Malgun Gothic" w:hAnsi="Times New Roman" w:cs="Times New Roman"/>
          <w:color w:val="000000"/>
          <w:sz w:val="24"/>
          <w:szCs w:val="24"/>
        </w:rPr>
        <w:t xml:space="preserve"> causality in the relationship between CPI and dollar</w:t>
      </w:r>
      <w:r>
        <w:rPr>
          <w:rFonts w:ascii="Times New Roman" w:eastAsia="Malgun Gothic" w:hAnsi="Times New Roman" w:cs="Times New Roman"/>
          <w:color w:val="000000"/>
          <w:sz w:val="24"/>
          <w:szCs w:val="24"/>
        </w:rPr>
        <w:t xml:space="preserve"> is</w:t>
      </w:r>
      <w:r w:rsidRPr="00A6350F">
        <w:rPr>
          <w:rFonts w:ascii="Times New Roman" w:eastAsia="Malgun Gothic" w:hAnsi="Times New Roman" w:cs="Times New Roman"/>
          <w:color w:val="000000"/>
          <w:sz w:val="24"/>
          <w:szCs w:val="24"/>
        </w:rPr>
        <w:t xml:space="preserve"> from CPI to dollar. There was no bi-directional causality between these variables. If we look at the results of causality, each volatility in interest rate affects the output</w:t>
      </w:r>
      <w:r>
        <w:rPr>
          <w:rFonts w:ascii="Times New Roman" w:eastAsia="Malgun Gothic" w:hAnsi="Times New Roman" w:cs="Times New Roman"/>
          <w:color w:val="000000"/>
          <w:sz w:val="24"/>
          <w:szCs w:val="24"/>
        </w:rPr>
        <w:t xml:space="preserve"> gap</w:t>
      </w:r>
      <w:r w:rsidRPr="00A6350F">
        <w:rPr>
          <w:rFonts w:ascii="Times New Roman" w:eastAsia="Malgun Gothic" w:hAnsi="Times New Roman" w:cs="Times New Roman"/>
          <w:color w:val="000000"/>
          <w:sz w:val="24"/>
          <w:szCs w:val="24"/>
        </w:rPr>
        <w:t>. In other words, increasing interest rates decreases the output gap</w:t>
      </w:r>
      <w:r>
        <w:rPr>
          <w:rFonts w:ascii="Times New Roman" w:eastAsia="Malgun Gothic" w:hAnsi="Times New Roman" w:cs="Times New Roman"/>
          <w:color w:val="000000"/>
          <w:sz w:val="24"/>
          <w:szCs w:val="24"/>
        </w:rPr>
        <w:t>.</w:t>
      </w:r>
      <w:r w:rsidRPr="00A6350F">
        <w:rPr>
          <w:rFonts w:ascii="Times New Roman" w:eastAsia="Malgun Gothic" w:hAnsi="Times New Roman" w:cs="Times New Roman"/>
          <w:color w:val="000000"/>
          <w:sz w:val="24"/>
          <w:szCs w:val="24"/>
        </w:rPr>
        <w:t xml:space="preserve"> </w:t>
      </w:r>
      <w:r>
        <w:rPr>
          <w:rFonts w:ascii="Times New Roman" w:eastAsia="Malgun Gothic" w:hAnsi="Times New Roman" w:cs="Times New Roman"/>
          <w:color w:val="000000"/>
          <w:sz w:val="24"/>
          <w:szCs w:val="24"/>
        </w:rPr>
        <w:t>T</w:t>
      </w:r>
      <w:r w:rsidRPr="00A6350F">
        <w:rPr>
          <w:rFonts w:ascii="Times New Roman" w:eastAsia="Malgun Gothic" w:hAnsi="Times New Roman" w:cs="Times New Roman"/>
          <w:color w:val="000000"/>
          <w:sz w:val="24"/>
          <w:szCs w:val="24"/>
        </w:rPr>
        <w:t>here is a causality fr</w:t>
      </w:r>
      <w:r>
        <w:rPr>
          <w:rFonts w:ascii="Times New Roman" w:eastAsia="Malgun Gothic" w:hAnsi="Times New Roman" w:cs="Times New Roman"/>
          <w:color w:val="000000"/>
          <w:sz w:val="24"/>
          <w:szCs w:val="24"/>
        </w:rPr>
        <w:t>om inflation to exchange rate; t</w:t>
      </w:r>
      <w:r w:rsidRPr="00A6350F">
        <w:rPr>
          <w:rFonts w:ascii="Times New Roman" w:eastAsia="Malgun Gothic" w:hAnsi="Times New Roman" w:cs="Times New Roman"/>
          <w:color w:val="000000"/>
          <w:sz w:val="24"/>
          <w:szCs w:val="24"/>
        </w:rPr>
        <w:t>his is the situation where consumers have expectations that inflation will rise and shape their behaviors accordingly. In such an environment, the decrease in the reliance on the national currency causes an increase in the demand for foreign exchange, causing the exchange rate to rise and the national currency to further depreciate. Inflationary environments without price stability cause the exchange rate to rise.</w:t>
      </w:r>
    </w:p>
    <w:p w:rsidR="00462055" w:rsidRPr="00A6350F" w:rsidRDefault="00462055" w:rsidP="008C4BC6">
      <w:pPr>
        <w:spacing w:before="120" w:after="120" w:line="360" w:lineRule="auto"/>
        <w:ind w:firstLine="708"/>
        <w:jc w:val="both"/>
        <w:rPr>
          <w:rFonts w:ascii="Times New Roman" w:eastAsia="Malgun Gothic" w:hAnsi="Times New Roman" w:cs="Times New Roman"/>
          <w:color w:val="000000"/>
          <w:sz w:val="24"/>
          <w:szCs w:val="24"/>
        </w:rPr>
      </w:pPr>
    </w:p>
    <w:p w:rsidR="008C4BC6" w:rsidRDefault="008C4BC6" w:rsidP="008C4BC6">
      <w:pPr>
        <w:spacing w:before="120" w:after="120" w:line="600" w:lineRule="auto"/>
        <w:jc w:val="center"/>
        <w:rPr>
          <w:rFonts w:ascii="Times New Roman" w:eastAsia="Malgun Gothic" w:hAnsi="Times New Roman" w:cs="Times New Roman"/>
          <w:b/>
          <w:color w:val="000000"/>
          <w:sz w:val="24"/>
          <w:szCs w:val="24"/>
        </w:rPr>
      </w:pPr>
      <w:r>
        <w:rPr>
          <w:rFonts w:ascii="Times New Roman" w:eastAsia="Malgun Gothic" w:hAnsi="Times New Roman" w:cs="Times New Roman"/>
          <w:b/>
          <w:color w:val="000000"/>
          <w:sz w:val="24"/>
          <w:szCs w:val="24"/>
        </w:rPr>
        <w:t>Figure 1</w:t>
      </w:r>
      <w:r w:rsidRPr="00A6350F">
        <w:rPr>
          <w:rFonts w:ascii="Times New Roman" w:eastAsia="Malgun Gothic" w:hAnsi="Times New Roman" w:cs="Times New Roman"/>
          <w:b/>
          <w:color w:val="000000"/>
          <w:sz w:val="24"/>
          <w:szCs w:val="24"/>
        </w:rPr>
        <w:t>: Ef</w:t>
      </w:r>
      <w:r>
        <w:rPr>
          <w:rFonts w:ascii="Times New Roman" w:eastAsia="Malgun Gothic" w:hAnsi="Times New Roman" w:cs="Times New Roman"/>
          <w:b/>
          <w:color w:val="000000"/>
          <w:sz w:val="24"/>
          <w:szCs w:val="24"/>
        </w:rPr>
        <w:t>fect of Variables on CPI: Impulse-Response Analysis</w:t>
      </w:r>
    </w:p>
    <w:p w:rsidR="008C4BC6" w:rsidRDefault="008C4BC6" w:rsidP="008C4BC6">
      <w:pPr>
        <w:spacing w:before="120" w:after="120" w:line="600" w:lineRule="auto"/>
        <w:jc w:val="center"/>
        <w:rPr>
          <w:rFonts w:ascii="Times New Roman" w:eastAsia="Malgun Gothic" w:hAnsi="Times New Roman" w:cs="Times New Roman"/>
          <w:b/>
          <w:color w:val="000000"/>
          <w:sz w:val="24"/>
          <w:szCs w:val="24"/>
        </w:rPr>
      </w:pPr>
      <w:r w:rsidRPr="00E0410C">
        <w:rPr>
          <w:rFonts w:ascii="Calibri" w:eastAsia="Calibri" w:hAnsi="Calibri" w:cs="Times New Roman"/>
        </w:rPr>
        <w:object w:dxaOrig="10066" w:dyaOrig="11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396pt" o:ole="">
            <v:imagedata r:id="rId7" o:title=""/>
          </v:shape>
          <o:OLEObject Type="Embed" ProgID="EViews.Workfile.2" ShapeID="_x0000_i1025" DrawAspect="Content" ObjectID="_1626440992" r:id="rId8"/>
        </w:object>
      </w:r>
    </w:p>
    <w:p w:rsidR="008C4BC6" w:rsidRPr="00A6350F"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sidRPr="00A6350F">
        <w:rPr>
          <w:rFonts w:ascii="Times New Roman" w:eastAsia="Malgun Gothic" w:hAnsi="Times New Roman" w:cs="Times New Roman"/>
          <w:color w:val="000000"/>
          <w:sz w:val="24"/>
          <w:szCs w:val="24"/>
        </w:rPr>
        <w:t>When we look at the gra</w:t>
      </w:r>
      <w:r>
        <w:rPr>
          <w:rFonts w:ascii="Times New Roman" w:eastAsia="Malgun Gothic" w:hAnsi="Times New Roman" w:cs="Times New Roman"/>
          <w:color w:val="000000"/>
          <w:sz w:val="24"/>
          <w:szCs w:val="24"/>
        </w:rPr>
        <w:t>phs of the results of the impulse-response analysis made in Figure 1</w:t>
      </w:r>
      <w:r w:rsidRPr="00A6350F">
        <w:rPr>
          <w:rFonts w:ascii="Times New Roman" w:eastAsia="Malgun Gothic" w:hAnsi="Times New Roman" w:cs="Times New Roman"/>
          <w:color w:val="000000"/>
          <w:sz w:val="24"/>
          <w:szCs w:val="24"/>
        </w:rPr>
        <w:t>, we</w:t>
      </w:r>
      <w:r>
        <w:rPr>
          <w:rFonts w:ascii="Times New Roman" w:eastAsia="Malgun Gothic" w:hAnsi="Times New Roman" w:cs="Times New Roman"/>
          <w:color w:val="000000"/>
          <w:sz w:val="24"/>
          <w:szCs w:val="24"/>
        </w:rPr>
        <w:t xml:space="preserve"> can say that the effect starts after one quarter</w:t>
      </w:r>
      <w:r w:rsidRPr="00A6350F">
        <w:rPr>
          <w:rFonts w:ascii="Times New Roman" w:eastAsia="Malgun Gothic" w:hAnsi="Times New Roman" w:cs="Times New Roman"/>
          <w:color w:val="000000"/>
          <w:sz w:val="24"/>
          <w:szCs w:val="24"/>
        </w:rPr>
        <w:t>. Here, as a result of a unit deviation given as a shock, the effect of independent variables on the dependent variable CPI is seen. When we examine all the variables separ</w:t>
      </w:r>
      <w:r>
        <w:rPr>
          <w:rFonts w:ascii="Times New Roman" w:eastAsia="Malgun Gothic" w:hAnsi="Times New Roman" w:cs="Times New Roman"/>
          <w:color w:val="000000"/>
          <w:sz w:val="24"/>
          <w:szCs w:val="24"/>
        </w:rPr>
        <w:t>ately, we see that in the impulse</w:t>
      </w:r>
      <w:r w:rsidRPr="00A6350F">
        <w:rPr>
          <w:rFonts w:ascii="Times New Roman" w:eastAsia="Malgun Gothic" w:hAnsi="Times New Roman" w:cs="Times New Roman"/>
          <w:color w:val="000000"/>
          <w:sz w:val="24"/>
          <w:szCs w:val="24"/>
        </w:rPr>
        <w:t xml:space="preserve">-response analysis, which has the effect of the variables on CPI, namely inflation, we can say that inflation had a positive effect on inflation from the first period but this effect started to decrease gradually. When the effect of the output gap on the CPI is analyzed, it is seen that the output gap has a negative effect and this negative effect has increased until the third period, </w:t>
      </w:r>
      <w:r>
        <w:rPr>
          <w:rFonts w:ascii="Times New Roman" w:eastAsia="Malgun Gothic" w:hAnsi="Times New Roman" w:cs="Times New Roman"/>
          <w:color w:val="000000"/>
          <w:sz w:val="24"/>
          <w:szCs w:val="24"/>
        </w:rPr>
        <w:t>then it approaches to zero. As can be seen from the figure,</w:t>
      </w:r>
      <w:r w:rsidRPr="00A6350F">
        <w:rPr>
          <w:rFonts w:ascii="Times New Roman" w:eastAsia="Malgun Gothic" w:hAnsi="Times New Roman" w:cs="Times New Roman"/>
          <w:color w:val="000000"/>
          <w:sz w:val="24"/>
          <w:szCs w:val="24"/>
        </w:rPr>
        <w:t xml:space="preserve"> output </w:t>
      </w:r>
      <w:r>
        <w:rPr>
          <w:rFonts w:ascii="Times New Roman" w:eastAsia="Malgun Gothic" w:hAnsi="Times New Roman" w:cs="Times New Roman"/>
          <w:color w:val="000000"/>
          <w:sz w:val="24"/>
          <w:szCs w:val="24"/>
        </w:rPr>
        <w:t xml:space="preserve">gap </w:t>
      </w:r>
      <w:r w:rsidRPr="00A6350F">
        <w:rPr>
          <w:rFonts w:ascii="Times New Roman" w:eastAsia="Malgun Gothic" w:hAnsi="Times New Roman" w:cs="Times New Roman"/>
          <w:color w:val="000000"/>
          <w:sz w:val="24"/>
          <w:szCs w:val="24"/>
        </w:rPr>
        <w:t>causes inflation to fall, but the effect remains very weak. The effect of oil</w:t>
      </w:r>
      <w:r>
        <w:rPr>
          <w:rFonts w:ascii="Times New Roman" w:eastAsia="Malgun Gothic" w:hAnsi="Times New Roman" w:cs="Times New Roman"/>
          <w:color w:val="000000"/>
          <w:sz w:val="24"/>
          <w:szCs w:val="24"/>
        </w:rPr>
        <w:t xml:space="preserve"> prices</w:t>
      </w:r>
      <w:r w:rsidRPr="00A6350F">
        <w:rPr>
          <w:rFonts w:ascii="Times New Roman" w:eastAsia="Malgun Gothic" w:hAnsi="Times New Roman" w:cs="Times New Roman"/>
          <w:color w:val="000000"/>
          <w:sz w:val="24"/>
          <w:szCs w:val="24"/>
        </w:rPr>
        <w:t xml:space="preserve"> on CPI has been increasing from the first period to the third </w:t>
      </w:r>
      <w:r w:rsidRPr="00A6350F">
        <w:rPr>
          <w:rFonts w:ascii="Times New Roman" w:eastAsia="Malgun Gothic" w:hAnsi="Times New Roman" w:cs="Times New Roman"/>
          <w:color w:val="000000"/>
          <w:sz w:val="24"/>
          <w:szCs w:val="24"/>
        </w:rPr>
        <w:lastRenderedPageBreak/>
        <w:t xml:space="preserve">period and has been continuously decreasing after the third period. When we </w:t>
      </w:r>
      <w:r>
        <w:rPr>
          <w:rFonts w:ascii="Times New Roman" w:eastAsia="Malgun Gothic" w:hAnsi="Times New Roman" w:cs="Times New Roman"/>
          <w:color w:val="000000"/>
          <w:sz w:val="24"/>
          <w:szCs w:val="24"/>
        </w:rPr>
        <w:t xml:space="preserve">look at the impact of the exchange rate on the CPI, </w:t>
      </w:r>
      <w:r w:rsidRPr="00A6350F">
        <w:rPr>
          <w:rFonts w:ascii="Times New Roman" w:eastAsia="Malgun Gothic" w:hAnsi="Times New Roman" w:cs="Times New Roman"/>
          <w:color w:val="000000"/>
          <w:sz w:val="24"/>
          <w:szCs w:val="24"/>
        </w:rPr>
        <w:t xml:space="preserve">the period in which the </w:t>
      </w:r>
      <w:r>
        <w:rPr>
          <w:rFonts w:ascii="Times New Roman" w:eastAsia="Malgun Gothic" w:hAnsi="Times New Roman" w:cs="Times New Roman"/>
          <w:color w:val="000000"/>
          <w:sz w:val="24"/>
          <w:szCs w:val="24"/>
        </w:rPr>
        <w:t>exchange rate</w:t>
      </w:r>
      <w:r w:rsidRPr="00A6350F">
        <w:rPr>
          <w:rFonts w:ascii="Times New Roman" w:eastAsia="Malgun Gothic" w:hAnsi="Times New Roman" w:cs="Times New Roman"/>
          <w:color w:val="000000"/>
          <w:sz w:val="24"/>
          <w:szCs w:val="24"/>
        </w:rPr>
        <w:t xml:space="preserve"> rises causes an increase in inflation and a decrease from the third period to the fourth period, although there is a minimum increase afterwards, this effect is continuous and this effect is not</w:t>
      </w:r>
      <w:r>
        <w:rPr>
          <w:rFonts w:ascii="Times New Roman" w:eastAsia="Malgun Gothic" w:hAnsi="Times New Roman" w:cs="Times New Roman"/>
          <w:color w:val="000000"/>
          <w:sz w:val="24"/>
          <w:szCs w:val="24"/>
        </w:rPr>
        <w:t xml:space="preserve"> long-term as shown in the figure</w:t>
      </w:r>
      <w:r w:rsidRPr="00A6350F">
        <w:rPr>
          <w:rFonts w:ascii="Times New Roman" w:eastAsia="Malgun Gothic" w:hAnsi="Times New Roman" w:cs="Times New Roman"/>
          <w:color w:val="000000"/>
          <w:sz w:val="24"/>
          <w:szCs w:val="24"/>
        </w:rPr>
        <w:t>. When we look at the effect of interest rates on the CPI, we observe an increase up to the third period, a decline from the third to the fourth period, and then an upward trend from the fourth to the fifth period, followed by a continuous but slow decline. It is seen that interest rate af</w:t>
      </w:r>
      <w:r>
        <w:rPr>
          <w:rFonts w:ascii="Times New Roman" w:eastAsia="Malgun Gothic" w:hAnsi="Times New Roman" w:cs="Times New Roman"/>
          <w:color w:val="000000"/>
          <w:sz w:val="24"/>
          <w:szCs w:val="24"/>
        </w:rPr>
        <w:t>fects inflation more than the exchange rate does</w:t>
      </w:r>
      <w:r w:rsidRPr="00A6350F">
        <w:rPr>
          <w:rFonts w:ascii="Times New Roman" w:eastAsia="Malgun Gothic" w:hAnsi="Times New Roman" w:cs="Times New Roman"/>
          <w:color w:val="000000"/>
          <w:sz w:val="24"/>
          <w:szCs w:val="24"/>
        </w:rPr>
        <w:t xml:space="preserve">. </w:t>
      </w:r>
      <w:r>
        <w:rPr>
          <w:rFonts w:ascii="Times New Roman" w:eastAsia="Malgun Gothic" w:hAnsi="Times New Roman" w:cs="Times New Roman"/>
          <w:color w:val="000000"/>
          <w:sz w:val="24"/>
          <w:szCs w:val="24"/>
        </w:rPr>
        <w:t>I</w:t>
      </w:r>
      <w:r w:rsidRPr="00A6350F">
        <w:rPr>
          <w:rFonts w:ascii="Times New Roman" w:eastAsia="Malgun Gothic" w:hAnsi="Times New Roman" w:cs="Times New Roman"/>
          <w:color w:val="000000"/>
          <w:sz w:val="24"/>
          <w:szCs w:val="24"/>
        </w:rPr>
        <w:t>t is seen that CPI is the most important variable tha</w:t>
      </w:r>
      <w:r>
        <w:rPr>
          <w:rFonts w:ascii="Times New Roman" w:eastAsia="Malgun Gothic" w:hAnsi="Times New Roman" w:cs="Times New Roman"/>
          <w:color w:val="000000"/>
          <w:sz w:val="24"/>
          <w:szCs w:val="24"/>
        </w:rPr>
        <w:t xml:space="preserve">t causes inflation to increase; there is an inflation inertia in Turkish economy.  </w:t>
      </w:r>
    </w:p>
    <w:p w:rsidR="008C4BC6"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sidRPr="00A6350F">
        <w:rPr>
          <w:rFonts w:ascii="Times New Roman" w:eastAsia="Malgun Gothic" w:hAnsi="Times New Roman" w:cs="Times New Roman"/>
          <w:color w:val="000000"/>
          <w:sz w:val="24"/>
          <w:szCs w:val="24"/>
        </w:rPr>
        <w:t xml:space="preserve">The inflation rate of the previous period directly affects the inflation rate after a period. </w:t>
      </w:r>
      <w:r>
        <w:rPr>
          <w:rFonts w:ascii="Times New Roman" w:eastAsia="Malgun Gothic" w:hAnsi="Times New Roman" w:cs="Times New Roman"/>
          <w:color w:val="000000"/>
          <w:sz w:val="24"/>
          <w:szCs w:val="24"/>
        </w:rPr>
        <w:t>I</w:t>
      </w:r>
      <w:r w:rsidRPr="00A6350F">
        <w:rPr>
          <w:rFonts w:ascii="Times New Roman" w:eastAsia="Malgun Gothic" w:hAnsi="Times New Roman" w:cs="Times New Roman"/>
          <w:color w:val="000000"/>
          <w:sz w:val="24"/>
          <w:szCs w:val="24"/>
        </w:rPr>
        <w:t xml:space="preserve">t is similar to the theory of adaptive expectations. Consumers, who have shaped their expectations over the inflation rate in the next period by looking at the inflation rate in the previous period, determine their consumption and expenditure </w:t>
      </w:r>
      <w:r>
        <w:rPr>
          <w:rFonts w:ascii="Times New Roman" w:eastAsia="Malgun Gothic" w:hAnsi="Times New Roman" w:cs="Times New Roman"/>
          <w:color w:val="000000"/>
          <w:sz w:val="24"/>
          <w:szCs w:val="24"/>
        </w:rPr>
        <w:t>plans</w:t>
      </w:r>
      <w:r w:rsidRPr="00A6350F">
        <w:rPr>
          <w:rFonts w:ascii="Times New Roman" w:eastAsia="Malgun Gothic" w:hAnsi="Times New Roman" w:cs="Times New Roman"/>
          <w:color w:val="000000"/>
          <w:sz w:val="24"/>
          <w:szCs w:val="24"/>
        </w:rPr>
        <w:t xml:space="preserve"> accordingly, which leads to the formation of inflation. According to our deduction from these graphs, expectations and cost </w:t>
      </w:r>
      <w:r>
        <w:rPr>
          <w:rFonts w:ascii="Times New Roman" w:eastAsia="Malgun Gothic" w:hAnsi="Times New Roman" w:cs="Times New Roman"/>
          <w:color w:val="000000"/>
          <w:sz w:val="24"/>
          <w:szCs w:val="24"/>
        </w:rPr>
        <w:t xml:space="preserve">push </w:t>
      </w:r>
      <w:r w:rsidRPr="00A6350F">
        <w:rPr>
          <w:rFonts w:ascii="Times New Roman" w:eastAsia="Malgun Gothic" w:hAnsi="Times New Roman" w:cs="Times New Roman"/>
          <w:color w:val="000000"/>
          <w:sz w:val="24"/>
          <w:szCs w:val="24"/>
        </w:rPr>
        <w:t>inflation</w:t>
      </w:r>
      <w:r>
        <w:rPr>
          <w:rFonts w:ascii="Times New Roman" w:eastAsia="Malgun Gothic" w:hAnsi="Times New Roman" w:cs="Times New Roman"/>
          <w:color w:val="000000"/>
          <w:sz w:val="24"/>
          <w:szCs w:val="24"/>
        </w:rPr>
        <w:t xml:space="preserve"> (due to exchange rate and interest rate)</w:t>
      </w:r>
      <w:r w:rsidRPr="00A6350F">
        <w:rPr>
          <w:rFonts w:ascii="Times New Roman" w:eastAsia="Malgun Gothic" w:hAnsi="Times New Roman" w:cs="Times New Roman"/>
          <w:color w:val="000000"/>
          <w:sz w:val="24"/>
          <w:szCs w:val="24"/>
        </w:rPr>
        <w:t xml:space="preserve">, which are the causes of inflation, co-exist and this plays a role in the high rates of inflation. </w:t>
      </w:r>
    </w:p>
    <w:p w:rsidR="008C4BC6" w:rsidRDefault="008C4BC6" w:rsidP="008C4BC6">
      <w:pPr>
        <w:spacing w:before="120" w:after="120" w:line="360" w:lineRule="auto"/>
        <w:jc w:val="center"/>
        <w:rPr>
          <w:rFonts w:ascii="Times New Roman" w:eastAsia="Malgun Gothic" w:hAnsi="Times New Roman" w:cs="Times New Roman"/>
          <w:b/>
          <w:color w:val="000000"/>
          <w:sz w:val="24"/>
          <w:szCs w:val="24"/>
        </w:rPr>
      </w:pPr>
      <w:r>
        <w:rPr>
          <w:rFonts w:ascii="Times New Roman" w:eastAsia="Malgun Gothic" w:hAnsi="Times New Roman" w:cs="Times New Roman"/>
          <w:b/>
          <w:color w:val="000000"/>
          <w:sz w:val="24"/>
          <w:szCs w:val="24"/>
        </w:rPr>
        <w:t>Table 4: Var</w:t>
      </w:r>
      <w:r w:rsidRPr="00A6350F">
        <w:rPr>
          <w:rFonts w:ascii="Times New Roman" w:eastAsia="Malgun Gothic" w:hAnsi="Times New Roman" w:cs="Times New Roman"/>
          <w:b/>
          <w:color w:val="000000"/>
          <w:sz w:val="24"/>
          <w:szCs w:val="24"/>
        </w:rPr>
        <w:t>iance Decomposition</w:t>
      </w:r>
    </w:p>
    <w:tbl>
      <w:tblPr>
        <w:tblpPr w:leftFromText="141" w:rightFromText="141" w:vertAnchor="text" w:horzAnchor="margin" w:tblpXSpec="right" w:tblpY="648"/>
        <w:tblW w:w="8898" w:type="dxa"/>
        <w:tblCellMar>
          <w:left w:w="70" w:type="dxa"/>
          <w:right w:w="70" w:type="dxa"/>
        </w:tblCellMar>
        <w:tblLook w:val="04A0" w:firstRow="1" w:lastRow="0" w:firstColumn="1" w:lastColumn="0" w:noHBand="0" w:noVBand="1"/>
      </w:tblPr>
      <w:tblGrid>
        <w:gridCol w:w="923"/>
        <w:gridCol w:w="1520"/>
        <w:gridCol w:w="1162"/>
        <w:gridCol w:w="1324"/>
        <w:gridCol w:w="1275"/>
        <w:gridCol w:w="1276"/>
        <w:gridCol w:w="1418"/>
      </w:tblGrid>
      <w:tr w:rsidR="008C4BC6" w:rsidRPr="000B10DC" w:rsidTr="002158EA">
        <w:trPr>
          <w:trHeight w:val="377"/>
        </w:trPr>
        <w:tc>
          <w:tcPr>
            <w:tcW w:w="923" w:type="dxa"/>
            <w:tcBorders>
              <w:top w:val="thinThickLargeGap" w:sz="8" w:space="0" w:color="auto"/>
              <w:left w:val="thinThickLargeGap" w:sz="8" w:space="0" w:color="auto"/>
              <w:bottom w:val="thickThinLargeGap" w:sz="8" w:space="0" w:color="auto"/>
              <w:right w:val="single" w:sz="8" w:space="0" w:color="auto"/>
            </w:tcBorders>
            <w:shd w:val="clear" w:color="auto" w:fill="auto"/>
            <w:vAlign w:val="center"/>
            <w:hideMark/>
          </w:tcPr>
          <w:p w:rsidR="008C4BC6" w:rsidRPr="000B10DC"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Period</w:t>
            </w:r>
          </w:p>
        </w:tc>
        <w:tc>
          <w:tcPr>
            <w:tcW w:w="1520" w:type="dxa"/>
            <w:tcBorders>
              <w:top w:val="thinThickLargeGap" w:sz="8" w:space="0" w:color="auto"/>
              <w:left w:val="nil"/>
              <w:bottom w:val="thickThinLargeGap" w:sz="8" w:space="0" w:color="auto"/>
              <w:right w:val="single" w:sz="8" w:space="0" w:color="auto"/>
            </w:tcBorders>
            <w:shd w:val="clear" w:color="auto" w:fill="auto"/>
            <w:vAlign w:val="center"/>
            <w:hideMark/>
          </w:tcPr>
          <w:p w:rsidR="008C4BC6" w:rsidRPr="000B10DC"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Standard Deviation</w:t>
            </w:r>
          </w:p>
        </w:tc>
        <w:tc>
          <w:tcPr>
            <w:tcW w:w="1162" w:type="dxa"/>
            <w:tcBorders>
              <w:top w:val="thinThickLargeGap" w:sz="8" w:space="0" w:color="auto"/>
              <w:left w:val="nil"/>
              <w:bottom w:val="thickThinLargeGap" w:sz="8" w:space="0" w:color="auto"/>
              <w:right w:val="single" w:sz="8" w:space="0" w:color="auto"/>
            </w:tcBorders>
            <w:shd w:val="clear" w:color="auto" w:fill="auto"/>
            <w:vAlign w:val="center"/>
            <w:hideMark/>
          </w:tcPr>
          <w:p w:rsidR="008C4BC6"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sidRPr="000B10DC">
              <w:rPr>
                <w:rFonts w:ascii="Times New Roman" w:eastAsia="Times New Roman" w:hAnsi="Times New Roman" w:cs="Times New Roman"/>
                <w:b/>
                <w:bCs/>
                <w:color w:val="000000"/>
                <w:sz w:val="20"/>
                <w:szCs w:val="20"/>
                <w:lang w:eastAsia="tr-TR"/>
              </w:rPr>
              <w:t>T</w:t>
            </w:r>
            <w:r>
              <w:rPr>
                <w:rFonts w:ascii="Times New Roman" w:eastAsia="Times New Roman" w:hAnsi="Times New Roman" w:cs="Times New Roman"/>
                <w:b/>
                <w:bCs/>
                <w:color w:val="000000"/>
                <w:sz w:val="20"/>
                <w:szCs w:val="20"/>
                <w:lang w:eastAsia="tr-TR"/>
              </w:rPr>
              <w:t>U</w:t>
            </w:r>
            <w:r w:rsidRPr="000B10DC">
              <w:rPr>
                <w:rFonts w:ascii="Times New Roman" w:eastAsia="Times New Roman" w:hAnsi="Times New Roman" w:cs="Times New Roman"/>
                <w:b/>
                <w:bCs/>
                <w:color w:val="000000"/>
                <w:sz w:val="20"/>
                <w:szCs w:val="20"/>
                <w:lang w:eastAsia="tr-TR"/>
              </w:rPr>
              <w:t>FE</w:t>
            </w:r>
          </w:p>
          <w:p w:rsidR="008C4BC6" w:rsidRPr="000B10DC"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(CPI)</w:t>
            </w:r>
          </w:p>
        </w:tc>
        <w:tc>
          <w:tcPr>
            <w:tcW w:w="1324" w:type="dxa"/>
            <w:tcBorders>
              <w:top w:val="thinThickLargeGap" w:sz="8" w:space="0" w:color="auto"/>
              <w:left w:val="nil"/>
              <w:bottom w:val="thickThinLargeGap" w:sz="8" w:space="0" w:color="auto"/>
              <w:right w:val="single" w:sz="8" w:space="0" w:color="auto"/>
            </w:tcBorders>
            <w:shd w:val="clear" w:color="auto" w:fill="auto"/>
            <w:vAlign w:val="center"/>
            <w:hideMark/>
          </w:tcPr>
          <w:p w:rsidR="008C4BC6"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sidRPr="000B10DC">
              <w:rPr>
                <w:rFonts w:ascii="Times New Roman" w:eastAsia="Times New Roman" w:hAnsi="Times New Roman" w:cs="Times New Roman"/>
                <w:b/>
                <w:bCs/>
                <w:color w:val="000000"/>
                <w:sz w:val="20"/>
                <w:szCs w:val="20"/>
                <w:lang w:eastAsia="tr-TR"/>
              </w:rPr>
              <w:t>CIKTI</w:t>
            </w:r>
          </w:p>
          <w:p w:rsidR="008C4BC6" w:rsidRPr="000B10DC"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(Output Gap)</w:t>
            </w:r>
          </w:p>
        </w:tc>
        <w:tc>
          <w:tcPr>
            <w:tcW w:w="1275" w:type="dxa"/>
            <w:tcBorders>
              <w:top w:val="thinThickLargeGap" w:sz="8" w:space="0" w:color="auto"/>
              <w:left w:val="nil"/>
              <w:bottom w:val="thickThinLargeGap" w:sz="8" w:space="0" w:color="auto"/>
              <w:right w:val="single" w:sz="8" w:space="0" w:color="auto"/>
            </w:tcBorders>
            <w:shd w:val="clear" w:color="auto" w:fill="auto"/>
            <w:vAlign w:val="center"/>
            <w:hideMark/>
          </w:tcPr>
          <w:p w:rsidR="008C4BC6"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sidRPr="000B10DC">
              <w:rPr>
                <w:rFonts w:ascii="Times New Roman" w:eastAsia="Times New Roman" w:hAnsi="Times New Roman" w:cs="Times New Roman"/>
                <w:b/>
                <w:bCs/>
                <w:color w:val="000000"/>
                <w:sz w:val="20"/>
                <w:szCs w:val="20"/>
                <w:lang w:eastAsia="tr-TR"/>
              </w:rPr>
              <w:t>PETROL</w:t>
            </w:r>
          </w:p>
          <w:p w:rsidR="008C4BC6" w:rsidRPr="000B10DC"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(Oil Prices)</w:t>
            </w:r>
          </w:p>
        </w:tc>
        <w:tc>
          <w:tcPr>
            <w:tcW w:w="1276" w:type="dxa"/>
            <w:tcBorders>
              <w:top w:val="thinThickLargeGap" w:sz="8" w:space="0" w:color="auto"/>
              <w:left w:val="nil"/>
              <w:bottom w:val="thickThinLargeGap" w:sz="8" w:space="0" w:color="auto"/>
              <w:right w:val="single" w:sz="8" w:space="0" w:color="auto"/>
            </w:tcBorders>
            <w:shd w:val="clear" w:color="auto" w:fill="auto"/>
            <w:vAlign w:val="center"/>
            <w:hideMark/>
          </w:tcPr>
          <w:p w:rsidR="008C4BC6"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sidRPr="000B10DC">
              <w:rPr>
                <w:rFonts w:ascii="Times New Roman" w:eastAsia="Times New Roman" w:hAnsi="Times New Roman" w:cs="Times New Roman"/>
                <w:b/>
                <w:bCs/>
                <w:color w:val="000000"/>
                <w:sz w:val="20"/>
                <w:szCs w:val="20"/>
                <w:lang w:eastAsia="tr-TR"/>
              </w:rPr>
              <w:t>DOLAR</w:t>
            </w:r>
          </w:p>
          <w:p w:rsidR="008C4BC6" w:rsidRPr="000B10DC"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(Exchange Rate)</w:t>
            </w:r>
          </w:p>
        </w:tc>
        <w:tc>
          <w:tcPr>
            <w:tcW w:w="1418" w:type="dxa"/>
            <w:tcBorders>
              <w:top w:val="thinThickLargeGap" w:sz="8" w:space="0" w:color="auto"/>
              <w:left w:val="nil"/>
              <w:bottom w:val="thickThinLargeGap" w:sz="8" w:space="0" w:color="auto"/>
              <w:right w:val="thickThinLargeGap" w:sz="8" w:space="0" w:color="auto"/>
            </w:tcBorders>
            <w:shd w:val="clear" w:color="auto" w:fill="auto"/>
            <w:vAlign w:val="center"/>
            <w:hideMark/>
          </w:tcPr>
          <w:p w:rsidR="008C4BC6"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sidRPr="000B10DC">
              <w:rPr>
                <w:rFonts w:ascii="Times New Roman" w:eastAsia="Times New Roman" w:hAnsi="Times New Roman" w:cs="Times New Roman"/>
                <w:b/>
                <w:bCs/>
                <w:color w:val="000000"/>
                <w:sz w:val="20"/>
                <w:szCs w:val="20"/>
                <w:lang w:eastAsia="tr-TR"/>
              </w:rPr>
              <w:t>FAIZ</w:t>
            </w:r>
          </w:p>
          <w:p w:rsidR="008C4BC6" w:rsidRPr="000B10DC" w:rsidRDefault="008C4BC6" w:rsidP="002158E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(Interest Rate)</w:t>
            </w:r>
          </w:p>
        </w:tc>
      </w:tr>
      <w:tr w:rsidR="008C4BC6" w:rsidRPr="000B10DC" w:rsidTr="002158EA">
        <w:trPr>
          <w:trHeight w:val="361"/>
        </w:trPr>
        <w:tc>
          <w:tcPr>
            <w:tcW w:w="923" w:type="dxa"/>
            <w:tcBorders>
              <w:top w:val="thickThinLargeGap" w:sz="8" w:space="0" w:color="auto"/>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1</w:t>
            </w:r>
          </w:p>
        </w:tc>
        <w:tc>
          <w:tcPr>
            <w:tcW w:w="1520" w:type="dxa"/>
            <w:tcBorders>
              <w:top w:val="thickThinLargeGap" w:sz="8" w:space="0" w:color="auto"/>
              <w:left w:val="nil"/>
              <w:bottom w:val="single" w:sz="8" w:space="0" w:color="auto"/>
              <w:right w:val="single" w:sz="8" w:space="0" w:color="auto"/>
            </w:tcBorders>
            <w:shd w:val="clear" w:color="auto" w:fill="auto"/>
            <w:vAlign w:val="center"/>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0.026</w:t>
            </w:r>
          </w:p>
        </w:tc>
        <w:tc>
          <w:tcPr>
            <w:tcW w:w="1162" w:type="dxa"/>
            <w:tcBorders>
              <w:top w:val="thickThinLargeGap" w:sz="8" w:space="0" w:color="auto"/>
              <w:left w:val="nil"/>
              <w:bottom w:val="single" w:sz="8" w:space="0" w:color="auto"/>
              <w:right w:val="single" w:sz="8" w:space="0" w:color="auto"/>
            </w:tcBorders>
            <w:shd w:val="clear" w:color="auto" w:fill="auto"/>
            <w:vAlign w:val="center"/>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1.000</w:t>
            </w:r>
          </w:p>
        </w:tc>
        <w:tc>
          <w:tcPr>
            <w:tcW w:w="1324" w:type="dxa"/>
            <w:tcBorders>
              <w:top w:val="thickThinLargeGap" w:sz="8" w:space="0" w:color="auto"/>
              <w:left w:val="nil"/>
              <w:bottom w:val="single" w:sz="8" w:space="0" w:color="auto"/>
              <w:right w:val="single" w:sz="8" w:space="0" w:color="auto"/>
            </w:tcBorders>
            <w:shd w:val="clear" w:color="auto" w:fill="auto"/>
            <w:vAlign w:val="center"/>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0.000</w:t>
            </w:r>
          </w:p>
        </w:tc>
        <w:tc>
          <w:tcPr>
            <w:tcW w:w="1275" w:type="dxa"/>
            <w:tcBorders>
              <w:top w:val="thickThinLargeGap" w:sz="8" w:space="0" w:color="auto"/>
              <w:left w:val="nil"/>
              <w:bottom w:val="single" w:sz="8" w:space="0" w:color="auto"/>
              <w:right w:val="single" w:sz="8" w:space="0" w:color="auto"/>
            </w:tcBorders>
            <w:shd w:val="clear" w:color="auto" w:fill="auto"/>
            <w:vAlign w:val="center"/>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0.000</w:t>
            </w:r>
          </w:p>
        </w:tc>
        <w:tc>
          <w:tcPr>
            <w:tcW w:w="1276" w:type="dxa"/>
            <w:tcBorders>
              <w:top w:val="thickThinLargeGap" w:sz="8" w:space="0" w:color="auto"/>
              <w:left w:val="nil"/>
              <w:bottom w:val="single" w:sz="8" w:space="0" w:color="auto"/>
              <w:right w:val="single" w:sz="8" w:space="0" w:color="auto"/>
            </w:tcBorders>
            <w:shd w:val="clear" w:color="auto" w:fill="auto"/>
            <w:vAlign w:val="center"/>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0.000</w:t>
            </w:r>
          </w:p>
        </w:tc>
        <w:tc>
          <w:tcPr>
            <w:tcW w:w="1418" w:type="dxa"/>
            <w:tcBorders>
              <w:top w:val="thickThinLargeGap" w:sz="8" w:space="0" w:color="auto"/>
              <w:left w:val="nil"/>
              <w:bottom w:val="single" w:sz="8" w:space="0" w:color="auto"/>
              <w:right w:val="thickThinLargeGap" w:sz="8" w:space="0" w:color="auto"/>
            </w:tcBorders>
            <w:shd w:val="clear" w:color="auto" w:fill="auto"/>
            <w:vAlign w:val="center"/>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0.000</w:t>
            </w:r>
          </w:p>
        </w:tc>
      </w:tr>
      <w:tr w:rsidR="008C4BC6" w:rsidRPr="000B10DC" w:rsidTr="002158EA">
        <w:trPr>
          <w:trHeight w:val="361"/>
        </w:trPr>
        <w:tc>
          <w:tcPr>
            <w:tcW w:w="923" w:type="dxa"/>
            <w:tcBorders>
              <w:top w:val="nil"/>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2</w:t>
            </w:r>
          </w:p>
        </w:tc>
        <w:tc>
          <w:tcPr>
            <w:tcW w:w="1520"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0.032</w:t>
            </w:r>
          </w:p>
        </w:tc>
        <w:tc>
          <w:tcPr>
            <w:tcW w:w="1162"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83.171</w:t>
            </w:r>
          </w:p>
        </w:tc>
        <w:tc>
          <w:tcPr>
            <w:tcW w:w="1324"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0.907</w:t>
            </w:r>
          </w:p>
        </w:tc>
        <w:tc>
          <w:tcPr>
            <w:tcW w:w="1275"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0.085</w:t>
            </w:r>
          </w:p>
        </w:tc>
        <w:tc>
          <w:tcPr>
            <w:tcW w:w="1276"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7.054</w:t>
            </w:r>
          </w:p>
        </w:tc>
        <w:tc>
          <w:tcPr>
            <w:tcW w:w="1418" w:type="dxa"/>
            <w:tcBorders>
              <w:top w:val="nil"/>
              <w:left w:val="nil"/>
              <w:bottom w:val="single"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8.781</w:t>
            </w:r>
          </w:p>
        </w:tc>
      </w:tr>
      <w:tr w:rsidR="008C4BC6" w:rsidRPr="000B10DC" w:rsidTr="002158EA">
        <w:trPr>
          <w:trHeight w:val="361"/>
        </w:trPr>
        <w:tc>
          <w:tcPr>
            <w:tcW w:w="923" w:type="dxa"/>
            <w:tcBorders>
              <w:top w:val="nil"/>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3</w:t>
            </w:r>
          </w:p>
        </w:tc>
        <w:tc>
          <w:tcPr>
            <w:tcW w:w="1520"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0.041</w:t>
            </w:r>
          </w:p>
        </w:tc>
        <w:tc>
          <w:tcPr>
            <w:tcW w:w="1162"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64.582</w:t>
            </w:r>
          </w:p>
        </w:tc>
        <w:tc>
          <w:tcPr>
            <w:tcW w:w="1324"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1.605</w:t>
            </w:r>
          </w:p>
        </w:tc>
        <w:tc>
          <w:tcPr>
            <w:tcW w:w="1275"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1.127</w:t>
            </w:r>
          </w:p>
        </w:tc>
        <w:tc>
          <w:tcPr>
            <w:tcW w:w="1276"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11.897</w:t>
            </w:r>
          </w:p>
        </w:tc>
        <w:tc>
          <w:tcPr>
            <w:tcW w:w="1418" w:type="dxa"/>
            <w:tcBorders>
              <w:top w:val="nil"/>
              <w:left w:val="nil"/>
              <w:bottom w:val="single"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20.787</w:t>
            </w:r>
          </w:p>
        </w:tc>
      </w:tr>
      <w:tr w:rsidR="008C4BC6" w:rsidRPr="000B10DC" w:rsidTr="002158EA">
        <w:trPr>
          <w:trHeight w:val="361"/>
        </w:trPr>
        <w:tc>
          <w:tcPr>
            <w:tcW w:w="923" w:type="dxa"/>
            <w:tcBorders>
              <w:top w:val="nil"/>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4</w:t>
            </w:r>
          </w:p>
        </w:tc>
        <w:tc>
          <w:tcPr>
            <w:tcW w:w="1520"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0.046</w:t>
            </w:r>
          </w:p>
        </w:tc>
        <w:tc>
          <w:tcPr>
            <w:tcW w:w="1162"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60.360</w:t>
            </w:r>
          </w:p>
        </w:tc>
        <w:tc>
          <w:tcPr>
            <w:tcW w:w="1324"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1.907</w:t>
            </w:r>
          </w:p>
        </w:tc>
        <w:tc>
          <w:tcPr>
            <w:tcW w:w="1275"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1.560</w:t>
            </w:r>
          </w:p>
        </w:tc>
        <w:tc>
          <w:tcPr>
            <w:tcW w:w="1276"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11.278</w:t>
            </w:r>
          </w:p>
        </w:tc>
        <w:tc>
          <w:tcPr>
            <w:tcW w:w="1418" w:type="dxa"/>
            <w:tcBorders>
              <w:top w:val="nil"/>
              <w:left w:val="nil"/>
              <w:bottom w:val="single"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24.892</w:t>
            </w:r>
          </w:p>
        </w:tc>
      </w:tr>
      <w:tr w:rsidR="008C4BC6" w:rsidRPr="000B10DC" w:rsidTr="002158EA">
        <w:trPr>
          <w:trHeight w:val="361"/>
        </w:trPr>
        <w:tc>
          <w:tcPr>
            <w:tcW w:w="923" w:type="dxa"/>
            <w:tcBorders>
              <w:top w:val="nil"/>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5</w:t>
            </w:r>
          </w:p>
        </w:tc>
        <w:tc>
          <w:tcPr>
            <w:tcW w:w="1520"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0.051</w:t>
            </w:r>
          </w:p>
        </w:tc>
        <w:tc>
          <w:tcPr>
            <w:tcW w:w="1162"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56.549</w:t>
            </w:r>
          </w:p>
        </w:tc>
        <w:tc>
          <w:tcPr>
            <w:tcW w:w="1324"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1.847</w:t>
            </w:r>
          </w:p>
        </w:tc>
        <w:tc>
          <w:tcPr>
            <w:tcW w:w="1275"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1.377</w:t>
            </w:r>
          </w:p>
        </w:tc>
        <w:tc>
          <w:tcPr>
            <w:tcW w:w="1276"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11.538</w:t>
            </w:r>
          </w:p>
        </w:tc>
        <w:tc>
          <w:tcPr>
            <w:tcW w:w="1418" w:type="dxa"/>
            <w:tcBorders>
              <w:top w:val="nil"/>
              <w:left w:val="nil"/>
              <w:bottom w:val="single"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28.687</w:t>
            </w:r>
          </w:p>
        </w:tc>
      </w:tr>
      <w:tr w:rsidR="008C4BC6" w:rsidRPr="000B10DC" w:rsidTr="002158EA">
        <w:trPr>
          <w:trHeight w:val="361"/>
        </w:trPr>
        <w:tc>
          <w:tcPr>
            <w:tcW w:w="923" w:type="dxa"/>
            <w:tcBorders>
              <w:top w:val="nil"/>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6</w:t>
            </w:r>
          </w:p>
        </w:tc>
        <w:tc>
          <w:tcPr>
            <w:tcW w:w="1520"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0.054</w:t>
            </w:r>
          </w:p>
        </w:tc>
        <w:tc>
          <w:tcPr>
            <w:tcW w:w="1162"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54.661</w:t>
            </w:r>
          </w:p>
        </w:tc>
        <w:tc>
          <w:tcPr>
            <w:tcW w:w="1324"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1.762</w:t>
            </w:r>
          </w:p>
        </w:tc>
        <w:tc>
          <w:tcPr>
            <w:tcW w:w="1275"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1.305</w:t>
            </w:r>
          </w:p>
        </w:tc>
        <w:tc>
          <w:tcPr>
            <w:tcW w:w="1276"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12.082</w:t>
            </w:r>
          </w:p>
        </w:tc>
        <w:tc>
          <w:tcPr>
            <w:tcW w:w="1418" w:type="dxa"/>
            <w:tcBorders>
              <w:top w:val="nil"/>
              <w:left w:val="nil"/>
              <w:bottom w:val="single"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30.187</w:t>
            </w:r>
          </w:p>
        </w:tc>
      </w:tr>
      <w:tr w:rsidR="008C4BC6" w:rsidRPr="000B10DC" w:rsidTr="002158EA">
        <w:trPr>
          <w:trHeight w:val="361"/>
        </w:trPr>
        <w:tc>
          <w:tcPr>
            <w:tcW w:w="923" w:type="dxa"/>
            <w:tcBorders>
              <w:top w:val="nil"/>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7</w:t>
            </w:r>
          </w:p>
        </w:tc>
        <w:tc>
          <w:tcPr>
            <w:tcW w:w="1520"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0.057</w:t>
            </w:r>
          </w:p>
        </w:tc>
        <w:tc>
          <w:tcPr>
            <w:tcW w:w="1162"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53.147</w:t>
            </w:r>
          </w:p>
        </w:tc>
        <w:tc>
          <w:tcPr>
            <w:tcW w:w="1324"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1.707</w:t>
            </w:r>
          </w:p>
        </w:tc>
        <w:tc>
          <w:tcPr>
            <w:tcW w:w="1275"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1.291</w:t>
            </w:r>
          </w:p>
        </w:tc>
        <w:tc>
          <w:tcPr>
            <w:tcW w:w="1276"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12.497</w:t>
            </w:r>
          </w:p>
        </w:tc>
        <w:tc>
          <w:tcPr>
            <w:tcW w:w="1418" w:type="dxa"/>
            <w:tcBorders>
              <w:top w:val="nil"/>
              <w:left w:val="nil"/>
              <w:bottom w:val="single"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31.355</w:t>
            </w:r>
          </w:p>
        </w:tc>
      </w:tr>
      <w:tr w:rsidR="008C4BC6" w:rsidRPr="000B10DC" w:rsidTr="002158EA">
        <w:trPr>
          <w:trHeight w:val="361"/>
        </w:trPr>
        <w:tc>
          <w:tcPr>
            <w:tcW w:w="923" w:type="dxa"/>
            <w:tcBorders>
              <w:top w:val="nil"/>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8</w:t>
            </w:r>
          </w:p>
        </w:tc>
        <w:tc>
          <w:tcPr>
            <w:tcW w:w="1520"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0.059</w:t>
            </w:r>
          </w:p>
        </w:tc>
        <w:tc>
          <w:tcPr>
            <w:tcW w:w="1162"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52.092</w:t>
            </w:r>
          </w:p>
        </w:tc>
        <w:tc>
          <w:tcPr>
            <w:tcW w:w="1324"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1.704</w:t>
            </w:r>
          </w:p>
        </w:tc>
        <w:tc>
          <w:tcPr>
            <w:tcW w:w="1275"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1.304</w:t>
            </w:r>
          </w:p>
        </w:tc>
        <w:tc>
          <w:tcPr>
            <w:tcW w:w="1276"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12.497</w:t>
            </w:r>
          </w:p>
        </w:tc>
        <w:tc>
          <w:tcPr>
            <w:tcW w:w="1418" w:type="dxa"/>
            <w:tcBorders>
              <w:top w:val="nil"/>
              <w:left w:val="nil"/>
              <w:bottom w:val="single"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32.401</w:t>
            </w:r>
          </w:p>
        </w:tc>
      </w:tr>
      <w:tr w:rsidR="008C4BC6" w:rsidRPr="000B10DC" w:rsidTr="002158EA">
        <w:trPr>
          <w:trHeight w:val="361"/>
        </w:trPr>
        <w:tc>
          <w:tcPr>
            <w:tcW w:w="923" w:type="dxa"/>
            <w:tcBorders>
              <w:top w:val="nil"/>
              <w:left w:val="thinThickLargeGap" w:sz="8" w:space="0" w:color="auto"/>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9</w:t>
            </w:r>
          </w:p>
        </w:tc>
        <w:tc>
          <w:tcPr>
            <w:tcW w:w="1520"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0.061</w:t>
            </w:r>
          </w:p>
        </w:tc>
        <w:tc>
          <w:tcPr>
            <w:tcW w:w="1162"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51.194</w:t>
            </w:r>
          </w:p>
        </w:tc>
        <w:tc>
          <w:tcPr>
            <w:tcW w:w="1324"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1.690</w:t>
            </w:r>
          </w:p>
        </w:tc>
        <w:tc>
          <w:tcPr>
            <w:tcW w:w="1275"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1.291</w:t>
            </w:r>
          </w:p>
        </w:tc>
        <w:tc>
          <w:tcPr>
            <w:tcW w:w="1276" w:type="dxa"/>
            <w:tcBorders>
              <w:top w:val="nil"/>
              <w:left w:val="nil"/>
              <w:bottom w:val="single"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12.517</w:t>
            </w:r>
          </w:p>
        </w:tc>
        <w:tc>
          <w:tcPr>
            <w:tcW w:w="1418" w:type="dxa"/>
            <w:tcBorders>
              <w:top w:val="nil"/>
              <w:left w:val="nil"/>
              <w:bottom w:val="single"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33.305</w:t>
            </w:r>
          </w:p>
        </w:tc>
      </w:tr>
      <w:tr w:rsidR="008C4BC6" w:rsidRPr="000B10DC" w:rsidTr="002158EA">
        <w:trPr>
          <w:trHeight w:val="361"/>
        </w:trPr>
        <w:tc>
          <w:tcPr>
            <w:tcW w:w="923" w:type="dxa"/>
            <w:tcBorders>
              <w:top w:val="nil"/>
              <w:left w:val="thinThickLargeGap" w:sz="8" w:space="0" w:color="auto"/>
              <w:bottom w:val="thickThinLargeGap"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b/>
                <w:color w:val="000000"/>
                <w:sz w:val="24"/>
                <w:lang w:eastAsia="tr-TR"/>
              </w:rPr>
            </w:pPr>
            <w:r w:rsidRPr="000B10DC">
              <w:rPr>
                <w:rFonts w:ascii="Times New Roman" w:eastAsia="Times New Roman" w:hAnsi="Times New Roman" w:cs="Times New Roman"/>
                <w:b/>
                <w:color w:val="000000"/>
                <w:lang w:eastAsia="tr-TR"/>
              </w:rPr>
              <w:t>10</w:t>
            </w:r>
          </w:p>
        </w:tc>
        <w:tc>
          <w:tcPr>
            <w:tcW w:w="1520" w:type="dxa"/>
            <w:tcBorders>
              <w:top w:val="nil"/>
              <w:left w:val="nil"/>
              <w:bottom w:val="thickThinLargeGap"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0.063</w:t>
            </w:r>
          </w:p>
        </w:tc>
        <w:tc>
          <w:tcPr>
            <w:tcW w:w="1162" w:type="dxa"/>
            <w:tcBorders>
              <w:top w:val="nil"/>
              <w:left w:val="nil"/>
              <w:bottom w:val="thickThinLargeGap"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50.568</w:t>
            </w:r>
          </w:p>
        </w:tc>
        <w:tc>
          <w:tcPr>
            <w:tcW w:w="1324" w:type="dxa"/>
            <w:tcBorders>
              <w:top w:val="nil"/>
              <w:left w:val="nil"/>
              <w:bottom w:val="thickThinLargeGap"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1.667</w:t>
            </w:r>
          </w:p>
        </w:tc>
        <w:tc>
          <w:tcPr>
            <w:tcW w:w="1275" w:type="dxa"/>
            <w:tcBorders>
              <w:top w:val="nil"/>
              <w:left w:val="nil"/>
              <w:bottom w:val="thickThinLargeGap"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1.279</w:t>
            </w:r>
          </w:p>
        </w:tc>
        <w:tc>
          <w:tcPr>
            <w:tcW w:w="1276" w:type="dxa"/>
            <w:tcBorders>
              <w:top w:val="nil"/>
              <w:left w:val="nil"/>
              <w:bottom w:val="thickThinLargeGap" w:sz="8" w:space="0" w:color="auto"/>
              <w:right w:val="single"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12.635</w:t>
            </w:r>
          </w:p>
        </w:tc>
        <w:tc>
          <w:tcPr>
            <w:tcW w:w="1418" w:type="dxa"/>
            <w:tcBorders>
              <w:top w:val="nil"/>
              <w:left w:val="nil"/>
              <w:bottom w:val="thickThinLargeGap" w:sz="8" w:space="0" w:color="auto"/>
              <w:right w:val="thickThinLargeGap" w:sz="8" w:space="0" w:color="auto"/>
            </w:tcBorders>
            <w:shd w:val="clear" w:color="auto" w:fill="auto"/>
            <w:vAlign w:val="bottom"/>
            <w:hideMark/>
          </w:tcPr>
          <w:p w:rsidR="008C4BC6" w:rsidRPr="000B10DC" w:rsidRDefault="008C4BC6" w:rsidP="002158EA">
            <w:pPr>
              <w:spacing w:after="0" w:line="240" w:lineRule="auto"/>
              <w:jc w:val="center"/>
              <w:rPr>
                <w:rFonts w:ascii="Times New Roman" w:eastAsia="Times New Roman" w:hAnsi="Times New Roman" w:cs="Times New Roman"/>
                <w:color w:val="000000"/>
                <w:sz w:val="24"/>
                <w:lang w:eastAsia="tr-TR"/>
              </w:rPr>
            </w:pPr>
            <w:r>
              <w:rPr>
                <w:rFonts w:ascii="Times New Roman" w:eastAsia="Times New Roman" w:hAnsi="Times New Roman" w:cs="Times New Roman"/>
                <w:color w:val="000000"/>
                <w:lang w:eastAsia="tr-TR"/>
              </w:rPr>
              <w:t>33.849</w:t>
            </w:r>
          </w:p>
        </w:tc>
      </w:tr>
    </w:tbl>
    <w:p w:rsidR="008C4BC6" w:rsidRPr="00A6350F" w:rsidRDefault="008C4BC6" w:rsidP="008C4BC6">
      <w:pPr>
        <w:spacing w:before="120" w:after="120" w:line="360" w:lineRule="auto"/>
        <w:jc w:val="center"/>
        <w:rPr>
          <w:rFonts w:ascii="Times New Roman" w:eastAsia="Malgun Gothic" w:hAnsi="Times New Roman" w:cs="Times New Roman"/>
          <w:color w:val="000000"/>
          <w:sz w:val="24"/>
          <w:szCs w:val="24"/>
        </w:rPr>
      </w:pPr>
    </w:p>
    <w:p w:rsidR="00462055" w:rsidRDefault="00462055" w:rsidP="008C4BC6">
      <w:pPr>
        <w:spacing w:before="120" w:after="120" w:line="360" w:lineRule="auto"/>
        <w:ind w:firstLine="708"/>
        <w:jc w:val="both"/>
        <w:rPr>
          <w:rFonts w:ascii="Times New Roman" w:eastAsia="Malgun Gothic" w:hAnsi="Times New Roman" w:cs="Times New Roman"/>
          <w:color w:val="000000"/>
          <w:sz w:val="24"/>
          <w:szCs w:val="24"/>
        </w:rPr>
      </w:pPr>
    </w:p>
    <w:p w:rsidR="008C4BC6" w:rsidRPr="00A6350F"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Pr>
          <w:rFonts w:ascii="Times New Roman" w:eastAsia="Malgun Gothic" w:hAnsi="Times New Roman" w:cs="Times New Roman"/>
          <w:color w:val="000000"/>
          <w:sz w:val="24"/>
          <w:szCs w:val="24"/>
        </w:rPr>
        <w:t>In Table 4</w:t>
      </w:r>
      <w:r w:rsidRPr="00A6350F">
        <w:rPr>
          <w:rFonts w:ascii="Times New Roman" w:eastAsia="Malgun Gothic" w:hAnsi="Times New Roman" w:cs="Times New Roman"/>
          <w:color w:val="000000"/>
          <w:sz w:val="24"/>
          <w:szCs w:val="24"/>
        </w:rPr>
        <w:t xml:space="preserve">, which shows the results of variance decomposition, we see the changes in CPI </w:t>
      </w:r>
      <w:r>
        <w:rPr>
          <w:rFonts w:ascii="Times New Roman" w:eastAsia="Malgun Gothic" w:hAnsi="Times New Roman" w:cs="Times New Roman"/>
          <w:color w:val="000000"/>
          <w:sz w:val="24"/>
          <w:szCs w:val="24"/>
        </w:rPr>
        <w:t>as a response of</w:t>
      </w:r>
      <w:r w:rsidRPr="00A6350F">
        <w:rPr>
          <w:rFonts w:ascii="Times New Roman" w:eastAsia="Malgun Gothic" w:hAnsi="Times New Roman" w:cs="Times New Roman"/>
          <w:color w:val="000000"/>
          <w:sz w:val="24"/>
          <w:szCs w:val="24"/>
        </w:rPr>
        <w:t xml:space="preserve"> the explanatory</w:t>
      </w:r>
      <w:r>
        <w:rPr>
          <w:rFonts w:ascii="Times New Roman" w:eastAsia="Malgun Gothic" w:hAnsi="Times New Roman" w:cs="Times New Roman"/>
          <w:color w:val="000000"/>
          <w:sz w:val="24"/>
          <w:szCs w:val="24"/>
        </w:rPr>
        <w:t xml:space="preserve"> variables used in the analysis. In the table, it is seen that </w:t>
      </w:r>
      <w:r>
        <w:rPr>
          <w:rFonts w:ascii="Times New Roman" w:eastAsia="Malgun Gothic" w:hAnsi="Times New Roman" w:cs="Times New Roman"/>
          <w:color w:val="000000"/>
          <w:sz w:val="24"/>
          <w:szCs w:val="24"/>
        </w:rPr>
        <w:lastRenderedPageBreak/>
        <w:t>CPI</w:t>
      </w:r>
      <w:r w:rsidRPr="00A6350F">
        <w:rPr>
          <w:rFonts w:ascii="Times New Roman" w:eastAsia="Malgun Gothic" w:hAnsi="Times New Roman" w:cs="Times New Roman"/>
          <w:color w:val="000000"/>
          <w:sz w:val="24"/>
          <w:szCs w:val="24"/>
        </w:rPr>
        <w:t xml:space="preserve"> is affected by itself the most in the rate of 83%</w:t>
      </w:r>
      <w:r>
        <w:rPr>
          <w:rFonts w:ascii="Times New Roman" w:eastAsia="Malgun Gothic" w:hAnsi="Times New Roman" w:cs="Times New Roman"/>
          <w:color w:val="000000"/>
          <w:sz w:val="24"/>
          <w:szCs w:val="24"/>
        </w:rPr>
        <w:t xml:space="preserve"> in the second quarter</w:t>
      </w:r>
      <w:r w:rsidRPr="00A6350F">
        <w:rPr>
          <w:rFonts w:ascii="Times New Roman" w:eastAsia="Malgun Gothic" w:hAnsi="Times New Roman" w:cs="Times New Roman"/>
          <w:color w:val="000000"/>
          <w:sz w:val="24"/>
          <w:szCs w:val="24"/>
        </w:rPr>
        <w:t xml:space="preserve">. After that, it is affected by the Dollar variable, </w:t>
      </w:r>
      <w:proofErr w:type="spellStart"/>
      <w:r w:rsidRPr="00A6350F">
        <w:rPr>
          <w:rFonts w:ascii="Times New Roman" w:eastAsia="Malgun Gothic" w:hAnsi="Times New Roman" w:cs="Times New Roman"/>
          <w:color w:val="000000"/>
          <w:sz w:val="24"/>
          <w:szCs w:val="24"/>
        </w:rPr>
        <w:t>ie</w:t>
      </w:r>
      <w:proofErr w:type="spellEnd"/>
      <w:r w:rsidRPr="00A6350F">
        <w:rPr>
          <w:rFonts w:ascii="Times New Roman" w:eastAsia="Malgun Gothic" w:hAnsi="Times New Roman" w:cs="Times New Roman"/>
          <w:color w:val="000000"/>
          <w:sz w:val="24"/>
          <w:szCs w:val="24"/>
        </w:rPr>
        <w:t xml:space="preserve"> the exchange rate at 7.05%</w:t>
      </w:r>
      <w:r>
        <w:rPr>
          <w:rFonts w:ascii="Times New Roman" w:eastAsia="Malgun Gothic" w:hAnsi="Times New Roman" w:cs="Times New Roman"/>
          <w:color w:val="000000"/>
          <w:sz w:val="24"/>
          <w:szCs w:val="24"/>
        </w:rPr>
        <w:t>,</w:t>
      </w:r>
      <w:r w:rsidRPr="00A6350F">
        <w:rPr>
          <w:rFonts w:ascii="Times New Roman" w:eastAsia="Malgun Gothic" w:hAnsi="Times New Roman" w:cs="Times New Roman"/>
          <w:color w:val="000000"/>
          <w:sz w:val="24"/>
          <w:szCs w:val="24"/>
        </w:rPr>
        <w:t xml:space="preserve"> from the Interest variable with 8.78%. As th</w:t>
      </w:r>
      <w:r>
        <w:rPr>
          <w:rFonts w:ascii="Times New Roman" w:eastAsia="Malgun Gothic" w:hAnsi="Times New Roman" w:cs="Times New Roman"/>
          <w:color w:val="000000"/>
          <w:sz w:val="24"/>
          <w:szCs w:val="24"/>
        </w:rPr>
        <w:t>e impulse</w:t>
      </w:r>
      <w:r w:rsidRPr="00A6350F">
        <w:rPr>
          <w:rFonts w:ascii="Times New Roman" w:eastAsia="Malgun Gothic" w:hAnsi="Times New Roman" w:cs="Times New Roman"/>
          <w:color w:val="000000"/>
          <w:sz w:val="24"/>
          <w:szCs w:val="24"/>
        </w:rPr>
        <w:t xml:space="preserve">-response analysis shows, the effect of interest on inflation and the response of inflation entered into an upward trend in the form of a sharp increase until the third period and after the third period, this trend followed a steady increasing trend, although not in the form of a jump. As the period progresses, it is observed that the effect of CPI on itself decreased to 50.56% in the 10th period, while the other explanatory variables that affect respectively are Interest and Dollar and their rates increase as time passes. In other words, it is possible to say that 33.84% of inflation is due to interest </w:t>
      </w:r>
      <w:r>
        <w:rPr>
          <w:rFonts w:ascii="Times New Roman" w:eastAsia="Malgun Gothic" w:hAnsi="Times New Roman" w:cs="Times New Roman"/>
          <w:color w:val="000000"/>
          <w:sz w:val="24"/>
          <w:szCs w:val="24"/>
        </w:rPr>
        <w:t xml:space="preserve">rates </w:t>
      </w:r>
      <w:r w:rsidRPr="00A6350F">
        <w:rPr>
          <w:rFonts w:ascii="Times New Roman" w:eastAsia="Malgun Gothic" w:hAnsi="Times New Roman" w:cs="Times New Roman"/>
          <w:color w:val="000000"/>
          <w:sz w:val="24"/>
          <w:szCs w:val="24"/>
        </w:rPr>
        <w:t xml:space="preserve">and 12.63% is due to the </w:t>
      </w:r>
      <w:r>
        <w:rPr>
          <w:rFonts w:ascii="Times New Roman" w:eastAsia="Malgun Gothic" w:hAnsi="Times New Roman" w:cs="Times New Roman"/>
          <w:color w:val="000000"/>
          <w:sz w:val="24"/>
          <w:szCs w:val="24"/>
        </w:rPr>
        <w:t>exchange rate</w:t>
      </w:r>
      <w:r w:rsidRPr="00A6350F">
        <w:rPr>
          <w:rFonts w:ascii="Times New Roman" w:eastAsia="Malgun Gothic" w:hAnsi="Times New Roman" w:cs="Times New Roman"/>
          <w:color w:val="000000"/>
          <w:sz w:val="24"/>
          <w:szCs w:val="24"/>
        </w:rPr>
        <w:t>. The effect of output and oil seems to be very low. We can say that the most intense effect is inflation itself with 50.56%, but the effect of exchange rate, especially interest rate, is quite large.</w:t>
      </w:r>
    </w:p>
    <w:p w:rsidR="008C4BC6" w:rsidRPr="00A6350F"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sidRPr="00A6350F">
        <w:rPr>
          <w:rFonts w:ascii="Times New Roman" w:eastAsia="Malgun Gothic" w:hAnsi="Times New Roman" w:cs="Times New Roman"/>
          <w:color w:val="000000"/>
          <w:sz w:val="24"/>
          <w:szCs w:val="24"/>
        </w:rPr>
        <w:t>Accordingly, the reason that inflation affects inflation is the expectation that the future inflation rate will increase. This gradually decreased over the periods, but this time the rise in interest rates triggered inflation. There are many reasons for the increase in interest rates, one of which is the exchange rate which causes inflation to rise, as shown in the table. The increase in the exchange rate decreases the value of the domestic currency and triggers inflation in a country whose economy is heavily dependent on foreign countries, leading to an increase in production costs, an inability to convert external borrowing debts and an increase in debt burden, resulting in lower production and an increase in prices. In order to prevent this, the central bank raises the interest rate, attracts foreign capital here and increases the amount of foreign currency and increases the value of the national currency. This interest rate hike does not cause inflation to fall due to the fact that the cost of borrowing is interest.</w:t>
      </w:r>
    </w:p>
    <w:p w:rsidR="008C4BC6" w:rsidRPr="00A6350F"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sidRPr="00A6350F">
        <w:rPr>
          <w:rFonts w:ascii="Times New Roman" w:eastAsia="Malgun Gothic" w:hAnsi="Times New Roman" w:cs="Times New Roman"/>
          <w:color w:val="000000"/>
          <w:sz w:val="24"/>
          <w:szCs w:val="24"/>
        </w:rPr>
        <w:t>This case is being implemented within the framework of inflation targeting Taylor rule strategy. Especially in an environment where there is cost</w:t>
      </w:r>
      <w:r>
        <w:rPr>
          <w:rFonts w:ascii="Times New Roman" w:eastAsia="Malgun Gothic" w:hAnsi="Times New Roman" w:cs="Times New Roman"/>
          <w:color w:val="000000"/>
          <w:sz w:val="24"/>
          <w:szCs w:val="24"/>
        </w:rPr>
        <w:t xml:space="preserve"> push</w:t>
      </w:r>
      <w:r w:rsidRPr="00A6350F">
        <w:rPr>
          <w:rFonts w:ascii="Times New Roman" w:eastAsia="Malgun Gothic" w:hAnsi="Times New Roman" w:cs="Times New Roman"/>
          <w:color w:val="000000"/>
          <w:sz w:val="24"/>
          <w:szCs w:val="24"/>
        </w:rPr>
        <w:t xml:space="preserve"> inflation, inflation does not decrease as a result of the interest rate hike to reduce both inflation and exchange rate. On the contrary, interest rates increase and cause cost inflation to increase further. Interventions made using the interest rate instrument are ineffective as inflation increases due to external factors. In such an economic environment, the Taylor Rule is ineffective.</w:t>
      </w:r>
      <w:r>
        <w:rPr>
          <w:rFonts w:ascii="Times New Roman" w:eastAsia="Malgun Gothic" w:hAnsi="Times New Roman" w:cs="Times New Roman"/>
          <w:color w:val="000000"/>
          <w:sz w:val="24"/>
          <w:szCs w:val="24"/>
        </w:rPr>
        <w:t xml:space="preserve"> </w:t>
      </w:r>
    </w:p>
    <w:p w:rsidR="008C4BC6"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sidRPr="00A6350F">
        <w:rPr>
          <w:rFonts w:ascii="Times New Roman" w:eastAsia="Malgun Gothic" w:hAnsi="Times New Roman" w:cs="Times New Roman"/>
          <w:color w:val="000000"/>
          <w:sz w:val="24"/>
          <w:szCs w:val="24"/>
        </w:rPr>
        <w:t xml:space="preserve">When we look at the developments that have occurred since the beginning of the inflation targeting strategy, it is seen that the interventions made with short-term interest rates had a lowering effect on inflation at the beginning, but especially the interventions made after 2010 were not functional. In the short term, this rule has had a positive effect, but in the long run, the effect of reducing inflation has weakened. Normally, the growth rate increases during </w:t>
      </w:r>
      <w:r w:rsidRPr="00A6350F">
        <w:rPr>
          <w:rFonts w:ascii="Times New Roman" w:eastAsia="Malgun Gothic" w:hAnsi="Times New Roman" w:cs="Times New Roman"/>
          <w:color w:val="000000"/>
          <w:sz w:val="24"/>
          <w:szCs w:val="24"/>
        </w:rPr>
        <w:lastRenderedPageBreak/>
        <w:t>periods of high inflation; but we see that there is a low rate of growth with high inflation, given the current economic conditions in Turkey. In such an economic environment, it is difficult to say that the Taylor Rule applied under the inflation targeting strategy is a valid policy.</w:t>
      </w:r>
    </w:p>
    <w:p w:rsidR="008C4BC6" w:rsidRPr="00993E79" w:rsidRDefault="008C4BC6" w:rsidP="008C4BC6">
      <w:pPr>
        <w:spacing w:before="120" w:after="120" w:line="360" w:lineRule="auto"/>
        <w:jc w:val="both"/>
        <w:rPr>
          <w:rFonts w:ascii="Times New Roman" w:eastAsia="Malgun Gothic" w:hAnsi="Times New Roman" w:cs="Times New Roman"/>
          <w:b/>
          <w:color w:val="000000"/>
          <w:sz w:val="24"/>
          <w:szCs w:val="24"/>
        </w:rPr>
      </w:pPr>
      <w:r>
        <w:rPr>
          <w:rFonts w:ascii="Times New Roman" w:eastAsia="Malgun Gothic" w:hAnsi="Times New Roman" w:cs="Times New Roman"/>
          <w:b/>
          <w:color w:val="000000"/>
          <w:sz w:val="24"/>
          <w:szCs w:val="24"/>
        </w:rPr>
        <w:t>4. Conclusion</w:t>
      </w:r>
    </w:p>
    <w:p w:rsidR="008C4BC6" w:rsidRPr="00986E48"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sidRPr="00986E48">
        <w:rPr>
          <w:rFonts w:ascii="Times New Roman" w:eastAsia="Malgun Gothic" w:hAnsi="Times New Roman" w:cs="Times New Roman"/>
          <w:color w:val="000000"/>
          <w:sz w:val="24"/>
          <w:szCs w:val="24"/>
        </w:rPr>
        <w:t xml:space="preserve">We analyzed the success of inflation targeting strategy and its interaction with macroeconomic factors through econometric analysis based on macro variables. The results show that there is structural inflation, expectation inflation and cost </w:t>
      </w:r>
      <w:r>
        <w:rPr>
          <w:rFonts w:ascii="Times New Roman" w:eastAsia="Malgun Gothic" w:hAnsi="Times New Roman" w:cs="Times New Roman"/>
          <w:color w:val="000000"/>
          <w:sz w:val="24"/>
          <w:szCs w:val="24"/>
        </w:rPr>
        <w:t xml:space="preserve">push </w:t>
      </w:r>
      <w:r w:rsidRPr="00986E48">
        <w:rPr>
          <w:rFonts w:ascii="Times New Roman" w:eastAsia="Malgun Gothic" w:hAnsi="Times New Roman" w:cs="Times New Roman"/>
          <w:color w:val="000000"/>
          <w:sz w:val="24"/>
          <w:szCs w:val="24"/>
        </w:rPr>
        <w:t>inflation in the country, all these causes tri</w:t>
      </w:r>
      <w:r>
        <w:rPr>
          <w:rFonts w:ascii="Times New Roman" w:eastAsia="Malgun Gothic" w:hAnsi="Times New Roman" w:cs="Times New Roman"/>
          <w:color w:val="000000"/>
          <w:sz w:val="24"/>
          <w:szCs w:val="24"/>
        </w:rPr>
        <w:t>gger inflation and thus, actual inflation</w:t>
      </w:r>
      <w:r w:rsidRPr="00986E48">
        <w:rPr>
          <w:rFonts w:ascii="Times New Roman" w:eastAsia="Malgun Gothic" w:hAnsi="Times New Roman" w:cs="Times New Roman"/>
          <w:color w:val="000000"/>
          <w:sz w:val="24"/>
          <w:szCs w:val="24"/>
        </w:rPr>
        <w:t xml:space="preserve"> is distanced from the target. There is also uncertainty about inflation due to the failure to reach the target value and a rising course. According to our results, it is seen that inflation targeting strategy is not a sufficient policy by itself, but this does not necessitate the abandonment of the policy.</w:t>
      </w:r>
      <w:r>
        <w:rPr>
          <w:rFonts w:ascii="Times New Roman" w:eastAsia="Malgun Gothic" w:hAnsi="Times New Roman" w:cs="Times New Roman"/>
          <w:color w:val="000000"/>
          <w:sz w:val="24"/>
          <w:szCs w:val="24"/>
        </w:rPr>
        <w:t xml:space="preserve"> Together with the inflation targeting strategy, some other</w:t>
      </w:r>
      <w:r w:rsidRPr="00986E48">
        <w:rPr>
          <w:rFonts w:ascii="Times New Roman" w:eastAsia="Malgun Gothic" w:hAnsi="Times New Roman" w:cs="Times New Roman"/>
          <w:color w:val="000000"/>
          <w:sz w:val="24"/>
          <w:szCs w:val="24"/>
        </w:rPr>
        <w:t xml:space="preserve"> steps </w:t>
      </w:r>
      <w:r>
        <w:rPr>
          <w:rFonts w:ascii="Times New Roman" w:eastAsia="Malgun Gothic" w:hAnsi="Times New Roman" w:cs="Times New Roman"/>
          <w:color w:val="000000"/>
          <w:sz w:val="24"/>
          <w:szCs w:val="24"/>
        </w:rPr>
        <w:t>have to be</w:t>
      </w:r>
      <w:r w:rsidRPr="00986E48">
        <w:rPr>
          <w:rFonts w:ascii="Times New Roman" w:eastAsia="Malgun Gothic" w:hAnsi="Times New Roman" w:cs="Times New Roman"/>
          <w:color w:val="000000"/>
          <w:sz w:val="24"/>
          <w:szCs w:val="24"/>
        </w:rPr>
        <w:t xml:space="preserve"> taken </w:t>
      </w:r>
      <w:r>
        <w:rPr>
          <w:rFonts w:ascii="Times New Roman" w:eastAsia="Malgun Gothic" w:hAnsi="Times New Roman" w:cs="Times New Roman"/>
          <w:color w:val="000000"/>
          <w:sz w:val="24"/>
          <w:szCs w:val="24"/>
        </w:rPr>
        <w:t xml:space="preserve">to improve the </w:t>
      </w:r>
      <w:r w:rsidRPr="00986E48">
        <w:rPr>
          <w:rFonts w:ascii="Times New Roman" w:eastAsia="Malgun Gothic" w:hAnsi="Times New Roman" w:cs="Times New Roman"/>
          <w:color w:val="000000"/>
          <w:sz w:val="24"/>
          <w:szCs w:val="24"/>
        </w:rPr>
        <w:t xml:space="preserve">conditions in order </w:t>
      </w:r>
      <w:r>
        <w:rPr>
          <w:rFonts w:ascii="Times New Roman" w:eastAsia="Malgun Gothic" w:hAnsi="Times New Roman" w:cs="Times New Roman"/>
          <w:color w:val="000000"/>
          <w:sz w:val="24"/>
          <w:szCs w:val="24"/>
        </w:rPr>
        <w:t>to strengthen the policy.  C</w:t>
      </w:r>
      <w:r w:rsidRPr="00986E48">
        <w:rPr>
          <w:rFonts w:ascii="Times New Roman" w:eastAsia="Malgun Gothic" w:hAnsi="Times New Roman" w:cs="Times New Roman"/>
          <w:color w:val="000000"/>
          <w:sz w:val="24"/>
          <w:szCs w:val="24"/>
        </w:rPr>
        <w:t xml:space="preserve">onsistent with fiscal policy </w:t>
      </w:r>
      <w:r>
        <w:rPr>
          <w:rFonts w:ascii="Times New Roman" w:eastAsia="Malgun Gothic" w:hAnsi="Times New Roman" w:cs="Times New Roman"/>
          <w:color w:val="000000"/>
          <w:sz w:val="24"/>
          <w:szCs w:val="24"/>
        </w:rPr>
        <w:t>and changing the inflation expectations of public are the possible policies to support the inflation targeting policy.</w:t>
      </w:r>
    </w:p>
    <w:p w:rsidR="008C4BC6" w:rsidRPr="00986E48"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Pr>
          <w:rFonts w:ascii="Times New Roman" w:eastAsia="Malgun Gothic" w:hAnsi="Times New Roman" w:cs="Times New Roman"/>
          <w:color w:val="000000"/>
          <w:sz w:val="24"/>
          <w:szCs w:val="24"/>
        </w:rPr>
        <w:t>As a result of the analys</w:t>
      </w:r>
      <w:r w:rsidRPr="00986E48">
        <w:rPr>
          <w:rFonts w:ascii="Times New Roman" w:eastAsia="Malgun Gothic" w:hAnsi="Times New Roman" w:cs="Times New Roman"/>
          <w:color w:val="000000"/>
          <w:sz w:val="24"/>
          <w:szCs w:val="24"/>
        </w:rPr>
        <w:t>es, it is inflation itself that affects inflation the most in the first order. The inflation rate of the previous period directly affects the inflation rate after a period. This is similar to the theory of adaptive expectations. From this point of view, the consumers, who shaped their expectations over the inflation rate in the next period by looking at the inflation rate in the previous period, determine their consumption and expenditure orientations accordingly; in other words,</w:t>
      </w:r>
      <w:r>
        <w:rPr>
          <w:rFonts w:ascii="Times New Roman" w:eastAsia="Malgun Gothic" w:hAnsi="Times New Roman" w:cs="Times New Roman"/>
          <w:color w:val="000000"/>
          <w:sz w:val="24"/>
          <w:szCs w:val="24"/>
        </w:rPr>
        <w:t xml:space="preserve"> expectation leads to inflation</w:t>
      </w:r>
      <w:r w:rsidRPr="00986E48">
        <w:rPr>
          <w:rFonts w:ascii="Times New Roman" w:eastAsia="Malgun Gothic" w:hAnsi="Times New Roman" w:cs="Times New Roman"/>
          <w:color w:val="000000"/>
          <w:sz w:val="24"/>
          <w:szCs w:val="24"/>
        </w:rPr>
        <w:t xml:space="preserve">. According to our </w:t>
      </w:r>
      <w:r>
        <w:rPr>
          <w:rFonts w:ascii="Times New Roman" w:eastAsia="Malgun Gothic" w:hAnsi="Times New Roman" w:cs="Times New Roman"/>
          <w:color w:val="000000"/>
          <w:sz w:val="24"/>
          <w:szCs w:val="24"/>
        </w:rPr>
        <w:t>conclu</w:t>
      </w:r>
      <w:r w:rsidRPr="00986E48">
        <w:rPr>
          <w:rFonts w:ascii="Times New Roman" w:eastAsia="Malgun Gothic" w:hAnsi="Times New Roman" w:cs="Times New Roman"/>
          <w:color w:val="000000"/>
          <w:sz w:val="24"/>
          <w:szCs w:val="24"/>
        </w:rPr>
        <w:t>sion</w:t>
      </w:r>
      <w:r>
        <w:rPr>
          <w:rFonts w:ascii="Times New Roman" w:eastAsia="Malgun Gothic" w:hAnsi="Times New Roman" w:cs="Times New Roman"/>
          <w:color w:val="000000"/>
          <w:sz w:val="24"/>
          <w:szCs w:val="24"/>
        </w:rPr>
        <w:t xml:space="preserve"> from the empirical results</w:t>
      </w:r>
      <w:r w:rsidRPr="00986E48">
        <w:rPr>
          <w:rFonts w:ascii="Times New Roman" w:eastAsia="Malgun Gothic" w:hAnsi="Times New Roman" w:cs="Times New Roman"/>
          <w:color w:val="000000"/>
          <w:sz w:val="24"/>
          <w:szCs w:val="24"/>
        </w:rPr>
        <w:t xml:space="preserve">, expectations and cost inflation, which are the causes of inflation, co-exist and this plays a role in the high rates of inflation. </w:t>
      </w:r>
    </w:p>
    <w:p w:rsidR="008C4BC6" w:rsidRPr="00A6350F" w:rsidRDefault="008C4BC6" w:rsidP="008C4BC6">
      <w:pPr>
        <w:spacing w:before="120" w:after="120" w:line="360" w:lineRule="auto"/>
        <w:ind w:firstLine="708"/>
        <w:jc w:val="both"/>
        <w:rPr>
          <w:rFonts w:ascii="Times New Roman" w:eastAsia="Malgun Gothic" w:hAnsi="Times New Roman" w:cs="Times New Roman"/>
          <w:color w:val="000000"/>
          <w:sz w:val="24"/>
          <w:szCs w:val="24"/>
        </w:rPr>
      </w:pPr>
      <w:r w:rsidRPr="00986E48">
        <w:rPr>
          <w:rFonts w:ascii="Times New Roman" w:eastAsia="Malgun Gothic" w:hAnsi="Times New Roman" w:cs="Times New Roman"/>
          <w:color w:val="000000"/>
          <w:sz w:val="24"/>
          <w:szCs w:val="24"/>
        </w:rPr>
        <w:t xml:space="preserve">Foreign exchange loss </w:t>
      </w:r>
      <w:r>
        <w:rPr>
          <w:rFonts w:ascii="Times New Roman" w:eastAsia="Malgun Gothic" w:hAnsi="Times New Roman" w:cs="Times New Roman"/>
          <w:color w:val="000000"/>
          <w:sz w:val="24"/>
          <w:szCs w:val="24"/>
        </w:rPr>
        <w:t>as a result of huge foreign trade deficits creates a deterioration in exchange rates and this situation triggers the</w:t>
      </w:r>
      <w:r w:rsidRPr="00986E48">
        <w:rPr>
          <w:rFonts w:ascii="Times New Roman" w:eastAsia="Malgun Gothic" w:hAnsi="Times New Roman" w:cs="Times New Roman"/>
          <w:color w:val="000000"/>
          <w:sz w:val="24"/>
          <w:szCs w:val="24"/>
        </w:rPr>
        <w:t xml:space="preserve"> cost-push pressures</w:t>
      </w:r>
      <w:r>
        <w:rPr>
          <w:rFonts w:ascii="Times New Roman" w:eastAsia="Malgun Gothic" w:hAnsi="Times New Roman" w:cs="Times New Roman"/>
          <w:color w:val="000000"/>
          <w:sz w:val="24"/>
          <w:szCs w:val="24"/>
        </w:rPr>
        <w:t xml:space="preserve"> in the inflation rate</w:t>
      </w:r>
      <w:r w:rsidRPr="00986E48">
        <w:rPr>
          <w:rFonts w:ascii="Times New Roman" w:eastAsia="Malgun Gothic" w:hAnsi="Times New Roman" w:cs="Times New Roman"/>
          <w:color w:val="000000"/>
          <w:sz w:val="24"/>
          <w:szCs w:val="24"/>
        </w:rPr>
        <w:t xml:space="preserve">. Each </w:t>
      </w:r>
      <w:r>
        <w:rPr>
          <w:rFonts w:ascii="Times New Roman" w:eastAsia="Malgun Gothic" w:hAnsi="Times New Roman" w:cs="Times New Roman"/>
          <w:color w:val="000000"/>
          <w:sz w:val="24"/>
          <w:szCs w:val="24"/>
        </w:rPr>
        <w:t>increase</w:t>
      </w:r>
      <w:r w:rsidRPr="00986E48">
        <w:rPr>
          <w:rFonts w:ascii="Times New Roman" w:eastAsia="Malgun Gothic" w:hAnsi="Times New Roman" w:cs="Times New Roman"/>
          <w:color w:val="000000"/>
          <w:sz w:val="24"/>
          <w:szCs w:val="24"/>
        </w:rPr>
        <w:t xml:space="preserve"> in interest rates affected inflation and led to an upward trend. Multiple macroeconomic variables have an impact on the rise of inflation, and the inflation targeting strategy alone cannot be a sufficient solution to weaken these effects, leading to a failed course of the strategy. In addition to inflation targeting strategy; to produce structu</w:t>
      </w:r>
      <w:r>
        <w:rPr>
          <w:rFonts w:ascii="Times New Roman" w:eastAsia="Malgun Gothic" w:hAnsi="Times New Roman" w:cs="Times New Roman"/>
          <w:color w:val="000000"/>
          <w:sz w:val="24"/>
          <w:szCs w:val="24"/>
        </w:rPr>
        <w:t>ral reforms that will reduce the</w:t>
      </w:r>
      <w:r w:rsidRPr="00986E48">
        <w:rPr>
          <w:rFonts w:ascii="Times New Roman" w:eastAsia="Malgun Gothic" w:hAnsi="Times New Roman" w:cs="Times New Roman"/>
          <w:color w:val="000000"/>
          <w:sz w:val="24"/>
          <w:szCs w:val="24"/>
        </w:rPr>
        <w:t xml:space="preserve"> import rate and foreign </w:t>
      </w:r>
      <w:r>
        <w:rPr>
          <w:rFonts w:ascii="Times New Roman" w:eastAsia="Malgun Gothic" w:hAnsi="Times New Roman" w:cs="Times New Roman"/>
          <w:color w:val="000000"/>
          <w:sz w:val="24"/>
          <w:szCs w:val="24"/>
        </w:rPr>
        <w:t xml:space="preserve">exchange </w:t>
      </w:r>
      <w:r w:rsidRPr="00986E48">
        <w:rPr>
          <w:rFonts w:ascii="Times New Roman" w:eastAsia="Malgun Gothic" w:hAnsi="Times New Roman" w:cs="Times New Roman"/>
          <w:color w:val="000000"/>
          <w:sz w:val="24"/>
          <w:szCs w:val="24"/>
        </w:rPr>
        <w:t>dependence, and to implement them strictly without compromising these policies, to develop strategies to increase the saving rate of th</w:t>
      </w:r>
      <w:r>
        <w:rPr>
          <w:rFonts w:ascii="Times New Roman" w:eastAsia="Malgun Gothic" w:hAnsi="Times New Roman" w:cs="Times New Roman"/>
          <w:color w:val="000000"/>
          <w:sz w:val="24"/>
          <w:szCs w:val="24"/>
        </w:rPr>
        <w:t>e country and thus to reduce the</w:t>
      </w:r>
      <w:r w:rsidRPr="00986E48">
        <w:rPr>
          <w:rFonts w:ascii="Times New Roman" w:eastAsia="Malgun Gothic" w:hAnsi="Times New Roman" w:cs="Times New Roman"/>
          <w:color w:val="000000"/>
          <w:sz w:val="24"/>
          <w:szCs w:val="24"/>
        </w:rPr>
        <w:t xml:space="preserve"> dependence on foreign capital. Thus, the negative impact of structural inflation will </w:t>
      </w:r>
      <w:r>
        <w:rPr>
          <w:rFonts w:ascii="Times New Roman" w:eastAsia="Malgun Gothic" w:hAnsi="Times New Roman" w:cs="Times New Roman"/>
          <w:color w:val="000000"/>
          <w:sz w:val="24"/>
          <w:szCs w:val="24"/>
        </w:rPr>
        <w:t xml:space="preserve">possibly </w:t>
      </w:r>
      <w:r w:rsidRPr="00986E48">
        <w:rPr>
          <w:rFonts w:ascii="Times New Roman" w:eastAsia="Malgun Gothic" w:hAnsi="Times New Roman" w:cs="Times New Roman"/>
          <w:color w:val="000000"/>
          <w:sz w:val="24"/>
          <w:szCs w:val="24"/>
        </w:rPr>
        <w:t xml:space="preserve">be eliminated. Expansionary fiscal policy should be replaced by contractionary fiscal policy until the macroeconomic situation improves and stabilizes. These are not only solutions that the </w:t>
      </w:r>
      <w:r w:rsidRPr="00986E48">
        <w:rPr>
          <w:rFonts w:ascii="Times New Roman" w:eastAsia="Malgun Gothic" w:hAnsi="Times New Roman" w:cs="Times New Roman"/>
          <w:color w:val="000000"/>
          <w:sz w:val="24"/>
          <w:szCs w:val="24"/>
        </w:rPr>
        <w:lastRenderedPageBreak/>
        <w:t xml:space="preserve">CBRT can produce and implement. For this purpose, macro balances should </w:t>
      </w:r>
      <w:r>
        <w:rPr>
          <w:rFonts w:ascii="Times New Roman" w:eastAsia="Malgun Gothic" w:hAnsi="Times New Roman" w:cs="Times New Roman"/>
          <w:color w:val="000000"/>
          <w:sz w:val="24"/>
          <w:szCs w:val="24"/>
        </w:rPr>
        <w:t>be restored, exchange rate dependence</w:t>
      </w:r>
      <w:r w:rsidRPr="00986E48">
        <w:rPr>
          <w:rFonts w:ascii="Times New Roman" w:eastAsia="Malgun Gothic" w:hAnsi="Times New Roman" w:cs="Times New Roman"/>
          <w:color w:val="000000"/>
          <w:sz w:val="24"/>
          <w:szCs w:val="24"/>
        </w:rPr>
        <w:t xml:space="preserve"> should be reduced and serious steps should be taken for this purpose. If all of these are implemented successfully, inflation can be reduced permanently and thus the policies implemented by the CBRT will be more effective, results will be achieved faster and economic stability, price stability and desired social welfare will be achieved by providing country development and economic growth.</w:t>
      </w:r>
    </w:p>
    <w:p w:rsidR="008C4BC6" w:rsidRPr="00383EFA" w:rsidRDefault="008C4BC6" w:rsidP="008C4BC6">
      <w:pPr>
        <w:spacing w:before="120" w:after="120" w:line="360" w:lineRule="auto"/>
        <w:jc w:val="both"/>
        <w:rPr>
          <w:rFonts w:ascii="Times New Roman" w:eastAsia="Calibri" w:hAnsi="Times New Roman" w:cs="Times New Roman"/>
          <w:bCs/>
          <w:color w:val="000000"/>
          <w:sz w:val="24"/>
          <w:szCs w:val="24"/>
        </w:rPr>
      </w:pPr>
    </w:p>
    <w:p w:rsidR="008C4BC6" w:rsidRPr="002F6396" w:rsidRDefault="008C4BC6" w:rsidP="008C4BC6">
      <w:pPr>
        <w:spacing w:line="360" w:lineRule="auto"/>
        <w:jc w:val="both"/>
        <w:rPr>
          <w:rFonts w:ascii="Times New Roman" w:hAnsi="Times New Roman" w:cs="Times New Roman"/>
          <w:sz w:val="24"/>
          <w:szCs w:val="24"/>
        </w:rPr>
      </w:pPr>
    </w:p>
    <w:p w:rsidR="009C22AA" w:rsidRDefault="009C22AA"/>
    <w:p w:rsidR="003A3465" w:rsidRDefault="003A3465"/>
    <w:p w:rsidR="003A3465" w:rsidRDefault="003A3465"/>
    <w:p w:rsidR="00462055" w:rsidRDefault="00462055"/>
    <w:p w:rsidR="00462055" w:rsidRDefault="00462055"/>
    <w:p w:rsidR="00462055" w:rsidRDefault="00462055"/>
    <w:p w:rsidR="00462055" w:rsidRDefault="00462055"/>
    <w:p w:rsidR="00462055" w:rsidRDefault="00462055"/>
    <w:p w:rsidR="00462055" w:rsidRDefault="00462055"/>
    <w:p w:rsidR="00462055" w:rsidRDefault="00462055"/>
    <w:p w:rsidR="00462055" w:rsidRDefault="00462055"/>
    <w:p w:rsidR="00462055" w:rsidRDefault="00462055"/>
    <w:p w:rsidR="00462055" w:rsidRDefault="00462055"/>
    <w:p w:rsidR="00462055" w:rsidRDefault="00462055"/>
    <w:p w:rsidR="00462055" w:rsidRDefault="00462055"/>
    <w:p w:rsidR="00462055" w:rsidRDefault="00462055"/>
    <w:p w:rsidR="003A3465" w:rsidRDefault="003A3465"/>
    <w:p w:rsidR="00462055" w:rsidRDefault="00462055" w:rsidP="004476E0">
      <w:pPr>
        <w:spacing w:line="240" w:lineRule="auto"/>
        <w:jc w:val="both"/>
        <w:rPr>
          <w:rFonts w:ascii="Times New Roman" w:hAnsi="Times New Roman" w:cs="Times New Roman"/>
          <w:b/>
          <w:sz w:val="24"/>
          <w:szCs w:val="24"/>
        </w:rPr>
      </w:pPr>
    </w:p>
    <w:p w:rsidR="00462055" w:rsidRDefault="00462055" w:rsidP="004476E0">
      <w:pPr>
        <w:spacing w:line="240" w:lineRule="auto"/>
        <w:jc w:val="both"/>
        <w:rPr>
          <w:rFonts w:ascii="Times New Roman" w:hAnsi="Times New Roman" w:cs="Times New Roman"/>
          <w:b/>
          <w:sz w:val="24"/>
          <w:szCs w:val="24"/>
        </w:rPr>
      </w:pPr>
    </w:p>
    <w:p w:rsidR="00462055" w:rsidRDefault="00462055" w:rsidP="004476E0">
      <w:pPr>
        <w:spacing w:line="240" w:lineRule="auto"/>
        <w:jc w:val="both"/>
        <w:rPr>
          <w:rFonts w:ascii="Times New Roman" w:hAnsi="Times New Roman" w:cs="Times New Roman"/>
          <w:b/>
          <w:sz w:val="24"/>
          <w:szCs w:val="24"/>
        </w:rPr>
      </w:pPr>
    </w:p>
    <w:p w:rsidR="00462055" w:rsidRDefault="00462055" w:rsidP="004476E0">
      <w:pPr>
        <w:spacing w:line="240" w:lineRule="auto"/>
        <w:jc w:val="both"/>
        <w:rPr>
          <w:rFonts w:ascii="Times New Roman" w:hAnsi="Times New Roman" w:cs="Times New Roman"/>
          <w:b/>
          <w:sz w:val="24"/>
          <w:szCs w:val="24"/>
        </w:rPr>
      </w:pPr>
    </w:p>
    <w:p w:rsidR="00462055" w:rsidRDefault="00462055" w:rsidP="004476E0">
      <w:pPr>
        <w:spacing w:line="240" w:lineRule="auto"/>
        <w:jc w:val="both"/>
        <w:rPr>
          <w:rFonts w:ascii="Times New Roman" w:hAnsi="Times New Roman" w:cs="Times New Roman"/>
          <w:b/>
          <w:sz w:val="24"/>
          <w:szCs w:val="24"/>
        </w:rPr>
      </w:pPr>
    </w:p>
    <w:p w:rsidR="00462055" w:rsidRDefault="00462055" w:rsidP="004476E0">
      <w:pPr>
        <w:spacing w:line="240" w:lineRule="auto"/>
        <w:jc w:val="both"/>
        <w:rPr>
          <w:rFonts w:ascii="Times New Roman" w:hAnsi="Times New Roman" w:cs="Times New Roman"/>
          <w:b/>
          <w:sz w:val="24"/>
          <w:szCs w:val="24"/>
        </w:rPr>
      </w:pPr>
    </w:p>
    <w:p w:rsidR="004476E0" w:rsidRPr="00F30657" w:rsidRDefault="004476E0" w:rsidP="004476E0">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476E0" w:rsidRDefault="004476E0" w:rsidP="004476E0">
      <w:pPr>
        <w:spacing w:line="240" w:lineRule="auto"/>
        <w:jc w:val="both"/>
        <w:rPr>
          <w:rFonts w:ascii="Times New Roman" w:hAnsi="Times New Roman" w:cs="Times New Roman"/>
          <w:sz w:val="24"/>
          <w:szCs w:val="24"/>
        </w:rPr>
      </w:pPr>
    </w:p>
    <w:p w:rsidR="004476E0" w:rsidRPr="00AA2001"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 H</w:t>
      </w:r>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Akyazı</w:t>
      </w:r>
      <w:proofErr w:type="spellEnd"/>
      <w:r w:rsidRPr="00AA200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A2001">
        <w:rPr>
          <w:rFonts w:ascii="Times New Roman" w:hAnsi="Times New Roman" w:cs="Times New Roman"/>
          <w:sz w:val="24"/>
          <w:szCs w:val="24"/>
        </w:rPr>
        <w:t>Enflasyon</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Hedeflemesi</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Ülke</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Deneyimleri</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ve</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Türkiye'de</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Uygulanabilirliği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Seçkin</w:t>
      </w:r>
      <w:proofErr w:type="spellEnd"/>
      <w:r>
        <w:rPr>
          <w:rFonts w:ascii="Times New Roman" w:hAnsi="Times New Roman" w:cs="Times New Roman"/>
          <w:sz w:val="24"/>
          <w:szCs w:val="24"/>
        </w:rPr>
        <w:t xml:space="preserve"> Publishing,</w:t>
      </w:r>
      <w:r w:rsidRPr="000E5E94">
        <w:rPr>
          <w:rFonts w:ascii="Times New Roman" w:hAnsi="Times New Roman" w:cs="Times New Roman"/>
          <w:sz w:val="24"/>
          <w:szCs w:val="24"/>
        </w:rPr>
        <w:t xml:space="preserve"> </w:t>
      </w:r>
      <w:r w:rsidRPr="00AA2001">
        <w:rPr>
          <w:rFonts w:ascii="Times New Roman" w:hAnsi="Times New Roman" w:cs="Times New Roman"/>
          <w:sz w:val="24"/>
          <w:szCs w:val="24"/>
        </w:rPr>
        <w:t>2004</w:t>
      </w:r>
      <w:r>
        <w:rPr>
          <w:rFonts w:ascii="Times New Roman" w:hAnsi="Times New Roman" w:cs="Times New Roman"/>
          <w:sz w:val="24"/>
          <w:szCs w:val="24"/>
        </w:rPr>
        <w:t>.</w:t>
      </w:r>
    </w:p>
    <w:p w:rsidR="004476E0"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 A. </w:t>
      </w:r>
      <w:proofErr w:type="spellStart"/>
      <w:r>
        <w:rPr>
          <w:rFonts w:ascii="Times New Roman" w:hAnsi="Times New Roman" w:cs="Times New Roman"/>
          <w:sz w:val="24"/>
          <w:szCs w:val="24"/>
        </w:rPr>
        <w:t>Ekinci</w:t>
      </w:r>
      <w:proofErr w:type="spellEnd"/>
      <w:r>
        <w:rPr>
          <w:rFonts w:ascii="Times New Roman" w:hAnsi="Times New Roman" w:cs="Times New Roman"/>
          <w:sz w:val="24"/>
          <w:szCs w:val="24"/>
        </w:rPr>
        <w:t>,</w:t>
      </w:r>
      <w:r w:rsidRPr="00AA200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A2001">
        <w:rPr>
          <w:rFonts w:ascii="Times New Roman" w:hAnsi="Times New Roman" w:cs="Times New Roman"/>
          <w:sz w:val="24"/>
          <w:szCs w:val="24"/>
        </w:rPr>
        <w:t>Enflasyon</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Hedeflemesi</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Büyüme</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ve</w:t>
      </w:r>
      <w:proofErr w:type="spellEnd"/>
      <w:r w:rsidRPr="00AA2001">
        <w:rPr>
          <w:rFonts w:ascii="Times New Roman" w:hAnsi="Times New Roman" w:cs="Times New Roman"/>
          <w:sz w:val="24"/>
          <w:szCs w:val="24"/>
        </w:rPr>
        <w:t xml:space="preserve"> </w:t>
      </w:r>
      <w:proofErr w:type="spellStart"/>
      <w:r w:rsidRPr="00AA2001">
        <w:rPr>
          <w:rFonts w:ascii="Times New Roman" w:hAnsi="Times New Roman" w:cs="Times New Roman"/>
          <w:sz w:val="24"/>
          <w:szCs w:val="24"/>
        </w:rPr>
        <w:t>Tü</w:t>
      </w:r>
      <w:r>
        <w:rPr>
          <w:rFonts w:ascii="Times New Roman" w:hAnsi="Times New Roman" w:cs="Times New Roman"/>
          <w:sz w:val="24"/>
          <w:szCs w:val="24"/>
        </w:rPr>
        <w:t>rkiye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Cumhuriyet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Merkez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Bankası</w:t>
      </w:r>
      <w:proofErr w:type="spellEnd"/>
      <w:r>
        <w:rPr>
          <w:rFonts w:ascii="Times New Roman" w:hAnsi="Times New Roman" w:cs="Times New Roman"/>
          <w:sz w:val="24"/>
          <w:szCs w:val="24"/>
        </w:rPr>
        <w:t>”,</w:t>
      </w:r>
      <w:r w:rsidRPr="00AA2001">
        <w:rPr>
          <w:rFonts w:ascii="Times New Roman" w:hAnsi="Times New Roman" w:cs="Times New Roman"/>
          <w:sz w:val="24"/>
          <w:szCs w:val="24"/>
        </w:rPr>
        <w:t xml:space="preserve"> </w:t>
      </w:r>
      <w:r>
        <w:rPr>
          <w:rFonts w:ascii="Times New Roman" w:hAnsi="Times New Roman" w:cs="Times New Roman"/>
          <w:sz w:val="24"/>
          <w:szCs w:val="24"/>
        </w:rPr>
        <w:t>Journal of Bankers, no</w:t>
      </w:r>
      <w:r w:rsidRPr="00AA2001">
        <w:rPr>
          <w:rFonts w:ascii="Times New Roman" w:hAnsi="Times New Roman" w:cs="Times New Roman"/>
          <w:sz w:val="24"/>
          <w:szCs w:val="24"/>
        </w:rPr>
        <w:t>. 68</w:t>
      </w:r>
      <w:r>
        <w:rPr>
          <w:rFonts w:ascii="Times New Roman" w:hAnsi="Times New Roman" w:cs="Times New Roman"/>
          <w:sz w:val="24"/>
          <w:szCs w:val="24"/>
        </w:rPr>
        <w:t>,</w:t>
      </w:r>
      <w:r w:rsidRPr="00AA2001">
        <w:rPr>
          <w:rFonts w:ascii="Times New Roman" w:hAnsi="Times New Roman" w:cs="Times New Roman"/>
          <w:sz w:val="24"/>
          <w:szCs w:val="24"/>
        </w:rPr>
        <w:t xml:space="preserve"> </w:t>
      </w:r>
      <w:r>
        <w:rPr>
          <w:rFonts w:ascii="Times New Roman" w:hAnsi="Times New Roman" w:cs="Times New Roman"/>
          <w:sz w:val="24"/>
          <w:szCs w:val="24"/>
        </w:rPr>
        <w:t>2009, pp.</w:t>
      </w:r>
      <w:r w:rsidRPr="00AA2001">
        <w:rPr>
          <w:rFonts w:ascii="Times New Roman" w:hAnsi="Times New Roman" w:cs="Times New Roman"/>
          <w:sz w:val="24"/>
          <w:szCs w:val="24"/>
        </w:rPr>
        <w:t xml:space="preserve"> 3-19.</w:t>
      </w:r>
    </w:p>
    <w:p w:rsidR="004476E0" w:rsidRPr="0043501F"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[3] N</w:t>
      </w:r>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Yiğit</w:t>
      </w:r>
      <w:proofErr w:type="spellEnd"/>
      <w:r>
        <w:rPr>
          <w:rFonts w:ascii="Times New Roman" w:hAnsi="Times New Roman" w:cs="Times New Roman"/>
          <w:sz w:val="24"/>
          <w:szCs w:val="24"/>
        </w:rPr>
        <w:t>, “</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w:t>
      </w:r>
      <w:proofErr w:type="spellEnd"/>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Unpublished MA Thesis,</w:t>
      </w:r>
      <w:r w:rsidRPr="00765735">
        <w:rPr>
          <w:rFonts w:ascii="Times New Roman" w:hAnsi="Times New Roman" w:cs="Times New Roman"/>
          <w:sz w:val="24"/>
          <w:szCs w:val="24"/>
        </w:rPr>
        <w:t xml:space="preserve"> Ankara </w:t>
      </w:r>
      <w:r>
        <w:rPr>
          <w:rFonts w:ascii="Times New Roman" w:hAnsi="Times New Roman" w:cs="Times New Roman"/>
          <w:sz w:val="24"/>
          <w:szCs w:val="24"/>
        </w:rPr>
        <w:t>University Institute of Social Sciences</w:t>
      </w:r>
      <w:r w:rsidRPr="00765735">
        <w:rPr>
          <w:rFonts w:ascii="Times New Roman" w:hAnsi="Times New Roman" w:cs="Times New Roman"/>
          <w:sz w:val="24"/>
          <w:szCs w:val="24"/>
        </w:rPr>
        <w:t xml:space="preserve">, </w:t>
      </w:r>
      <w:r>
        <w:rPr>
          <w:rFonts w:ascii="Times New Roman" w:hAnsi="Times New Roman" w:cs="Times New Roman"/>
          <w:sz w:val="24"/>
          <w:szCs w:val="24"/>
        </w:rPr>
        <w:t>2006</w:t>
      </w:r>
      <w:r w:rsidRPr="00765735">
        <w:rPr>
          <w:rFonts w:ascii="Times New Roman" w:hAnsi="Times New Roman" w:cs="Times New Roman"/>
          <w:sz w:val="24"/>
          <w:szCs w:val="24"/>
        </w:rPr>
        <w:t>.</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[4] S.</w:t>
      </w:r>
      <w:r w:rsidRPr="00765735">
        <w:rPr>
          <w:rFonts w:ascii="Times New Roman" w:hAnsi="Times New Roman" w:cs="Times New Roman"/>
          <w:sz w:val="24"/>
          <w:szCs w:val="24"/>
        </w:rPr>
        <w:t xml:space="preserve"> </w:t>
      </w:r>
      <w:proofErr w:type="spellStart"/>
      <w:r>
        <w:rPr>
          <w:rFonts w:ascii="Times New Roman" w:hAnsi="Times New Roman" w:cs="Times New Roman"/>
          <w:sz w:val="24"/>
          <w:szCs w:val="24"/>
        </w:rPr>
        <w:t>Yapraklı</w:t>
      </w:r>
      <w:proofErr w:type="spellEnd"/>
      <w:r>
        <w:rPr>
          <w:rFonts w:ascii="Times New Roman" w:hAnsi="Times New Roman" w:cs="Times New Roman"/>
          <w:sz w:val="24"/>
          <w:szCs w:val="24"/>
        </w:rPr>
        <w:t xml:space="preserve"> and</w:t>
      </w:r>
      <w:r w:rsidRPr="00765735">
        <w:rPr>
          <w:rFonts w:ascii="Times New Roman" w:hAnsi="Times New Roman" w:cs="Times New Roman"/>
          <w:sz w:val="24"/>
          <w:szCs w:val="24"/>
        </w:rPr>
        <w:t xml:space="preserve"> </w:t>
      </w:r>
      <w:r>
        <w:rPr>
          <w:rFonts w:ascii="Times New Roman" w:hAnsi="Times New Roman" w:cs="Times New Roman"/>
          <w:sz w:val="24"/>
          <w:szCs w:val="24"/>
        </w:rPr>
        <w:t>F. Kaplan, “</w:t>
      </w:r>
      <w:proofErr w:type="spellStart"/>
      <w:r w:rsidRPr="00765735">
        <w:rPr>
          <w:rFonts w:ascii="Times New Roman" w:hAnsi="Times New Roman" w:cs="Times New Roman"/>
          <w:sz w:val="24"/>
          <w:szCs w:val="24"/>
        </w:rPr>
        <w:t>Türkiye'de</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Uygulanan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Açık</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Stratejisinin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Başarısı</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Üzerin</w:t>
      </w:r>
      <w:r>
        <w:rPr>
          <w:rFonts w:ascii="Times New Roman" w:hAnsi="Times New Roman" w:cs="Times New Roman"/>
          <w:sz w:val="24"/>
          <w:szCs w:val="24"/>
        </w:rPr>
        <w: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Ekonometrik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Değerlendirme</w:t>
      </w:r>
      <w:proofErr w:type="spellEnd"/>
      <w:r>
        <w:rPr>
          <w:rFonts w:ascii="Times New Roman" w:hAnsi="Times New Roman" w:cs="Times New Roman"/>
          <w:sz w:val="24"/>
          <w:szCs w:val="24"/>
        </w:rPr>
        <w:t xml:space="preserve">”, Journal of Faculty of Economics and Administrative Sciences </w:t>
      </w:r>
      <w:proofErr w:type="spellStart"/>
      <w:r>
        <w:rPr>
          <w:rFonts w:ascii="Times New Roman" w:hAnsi="Times New Roman" w:cs="Times New Roman"/>
          <w:sz w:val="24"/>
          <w:szCs w:val="24"/>
        </w:rPr>
        <w:t>Hacettepe</w:t>
      </w:r>
      <w:proofErr w:type="spellEnd"/>
      <w:r>
        <w:rPr>
          <w:rFonts w:ascii="Times New Roman" w:hAnsi="Times New Roman" w:cs="Times New Roman"/>
          <w:sz w:val="24"/>
          <w:szCs w:val="24"/>
        </w:rPr>
        <w:t xml:space="preserve"> U</w:t>
      </w:r>
      <w:r w:rsidRPr="00765735">
        <w:rPr>
          <w:rFonts w:ascii="Times New Roman" w:hAnsi="Times New Roman" w:cs="Times New Roman"/>
          <w:sz w:val="24"/>
          <w:szCs w:val="24"/>
        </w:rPr>
        <w:t>ni</w:t>
      </w:r>
      <w:r>
        <w:rPr>
          <w:rFonts w:ascii="Times New Roman" w:hAnsi="Times New Roman" w:cs="Times New Roman"/>
          <w:sz w:val="24"/>
          <w:szCs w:val="24"/>
        </w:rPr>
        <w:t>versity, vol.</w:t>
      </w:r>
      <w:r w:rsidRPr="00765735">
        <w:rPr>
          <w:rFonts w:ascii="Times New Roman" w:hAnsi="Times New Roman" w:cs="Times New Roman"/>
          <w:sz w:val="24"/>
          <w:szCs w:val="24"/>
        </w:rPr>
        <w:t xml:space="preserve"> 30</w:t>
      </w:r>
      <w:r>
        <w:rPr>
          <w:rFonts w:ascii="Times New Roman" w:hAnsi="Times New Roman" w:cs="Times New Roman"/>
          <w:sz w:val="24"/>
          <w:szCs w:val="24"/>
        </w:rPr>
        <w:t>, no. 2,</w:t>
      </w:r>
      <w:r w:rsidRPr="00765735">
        <w:rPr>
          <w:rFonts w:ascii="Times New Roman" w:hAnsi="Times New Roman" w:cs="Times New Roman"/>
          <w:sz w:val="24"/>
          <w:szCs w:val="24"/>
        </w:rPr>
        <w:t xml:space="preserve"> </w:t>
      </w:r>
      <w:r>
        <w:rPr>
          <w:rFonts w:ascii="Times New Roman" w:hAnsi="Times New Roman" w:cs="Times New Roman"/>
          <w:sz w:val="24"/>
          <w:szCs w:val="24"/>
        </w:rPr>
        <w:t>2012,</w:t>
      </w:r>
      <w:r w:rsidRPr="00765735">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765735">
        <w:rPr>
          <w:rFonts w:ascii="Times New Roman" w:hAnsi="Times New Roman" w:cs="Times New Roman"/>
          <w:sz w:val="24"/>
          <w:szCs w:val="24"/>
        </w:rPr>
        <w:t>185-208.</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[5] P. Ö.</w:t>
      </w:r>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Güney</w:t>
      </w:r>
      <w:proofErr w:type="spellEnd"/>
      <w:r>
        <w:rPr>
          <w:rFonts w:ascii="Times New Roman" w:hAnsi="Times New Roman" w:cs="Times New Roman"/>
          <w:sz w:val="24"/>
          <w:szCs w:val="24"/>
        </w:rPr>
        <w:t xml:space="preserve"> and</w:t>
      </w:r>
      <w:r w:rsidRPr="00765735">
        <w:rPr>
          <w:rFonts w:ascii="Times New Roman" w:hAnsi="Times New Roman" w:cs="Times New Roman"/>
          <w:sz w:val="24"/>
          <w:szCs w:val="24"/>
        </w:rPr>
        <w:t xml:space="preserve"> </w:t>
      </w:r>
      <w:r>
        <w:rPr>
          <w:rFonts w:ascii="Times New Roman" w:hAnsi="Times New Roman" w:cs="Times New Roman"/>
          <w:sz w:val="24"/>
          <w:szCs w:val="24"/>
        </w:rPr>
        <w:t>M.</w:t>
      </w:r>
      <w:r w:rsidRPr="00765735">
        <w:rPr>
          <w:rFonts w:ascii="Times New Roman" w:hAnsi="Times New Roman" w:cs="Times New Roman"/>
          <w:sz w:val="24"/>
          <w:szCs w:val="24"/>
        </w:rPr>
        <w:t xml:space="preserve"> C</w:t>
      </w:r>
      <w:r>
        <w:rPr>
          <w:rFonts w:ascii="Times New Roman" w:hAnsi="Times New Roman" w:cs="Times New Roman"/>
          <w:sz w:val="24"/>
          <w:szCs w:val="24"/>
        </w:rPr>
        <w:t>.</w:t>
      </w:r>
      <w:r w:rsidRPr="00765735">
        <w:rPr>
          <w:rFonts w:ascii="Times New Roman" w:hAnsi="Times New Roman" w:cs="Times New Roman"/>
          <w:sz w:val="24"/>
          <w:szCs w:val="24"/>
        </w:rPr>
        <w:t xml:space="preserve"> İbrahim</w:t>
      </w:r>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Pr>
          <w:rFonts w:ascii="Times New Roman" w:hAnsi="Times New Roman" w:cs="Times New Roman"/>
          <w:sz w:val="24"/>
          <w:szCs w:val="24"/>
        </w:rPr>
        <w:t>hedeflemesi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Türkiye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Deneyimi</w:t>
      </w:r>
      <w:proofErr w:type="spellEnd"/>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 xml:space="preserve">Journal of Faculty of Economics and Administrative Sciences </w:t>
      </w:r>
      <w:proofErr w:type="spellStart"/>
      <w:r>
        <w:rPr>
          <w:rFonts w:ascii="Times New Roman" w:hAnsi="Times New Roman" w:cs="Times New Roman"/>
          <w:sz w:val="24"/>
          <w:szCs w:val="24"/>
        </w:rPr>
        <w:t>Hacettepe</w:t>
      </w:r>
      <w:proofErr w:type="spellEnd"/>
      <w:r>
        <w:rPr>
          <w:rFonts w:ascii="Times New Roman" w:hAnsi="Times New Roman" w:cs="Times New Roman"/>
          <w:sz w:val="24"/>
          <w:szCs w:val="24"/>
        </w:rPr>
        <w:t xml:space="preserve"> U</w:t>
      </w:r>
      <w:r w:rsidRPr="00765735">
        <w:rPr>
          <w:rFonts w:ascii="Times New Roman" w:hAnsi="Times New Roman" w:cs="Times New Roman"/>
          <w:sz w:val="24"/>
          <w:szCs w:val="24"/>
        </w:rPr>
        <w:t>ni</w:t>
      </w:r>
      <w:r>
        <w:rPr>
          <w:rFonts w:ascii="Times New Roman" w:hAnsi="Times New Roman" w:cs="Times New Roman"/>
          <w:sz w:val="24"/>
          <w:szCs w:val="24"/>
        </w:rPr>
        <w:t>versity, vol.</w:t>
      </w:r>
      <w:r w:rsidRPr="00765735">
        <w:rPr>
          <w:rFonts w:ascii="Times New Roman" w:hAnsi="Times New Roman" w:cs="Times New Roman"/>
          <w:sz w:val="24"/>
          <w:szCs w:val="24"/>
        </w:rPr>
        <w:t xml:space="preserve"> </w:t>
      </w:r>
      <w:r>
        <w:rPr>
          <w:rFonts w:ascii="Times New Roman" w:hAnsi="Times New Roman" w:cs="Times New Roman"/>
          <w:sz w:val="24"/>
          <w:szCs w:val="24"/>
        </w:rPr>
        <w:t xml:space="preserve">32, no. 1, 2014, pp. </w:t>
      </w:r>
      <w:r w:rsidRPr="00765735">
        <w:rPr>
          <w:rFonts w:ascii="Times New Roman" w:hAnsi="Times New Roman" w:cs="Times New Roman"/>
          <w:sz w:val="24"/>
          <w:szCs w:val="24"/>
        </w:rPr>
        <w:t>143-164.</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[6] B.</w:t>
      </w:r>
      <w:r w:rsidRPr="00765735">
        <w:rPr>
          <w:rFonts w:ascii="Times New Roman" w:hAnsi="Times New Roman" w:cs="Times New Roman"/>
          <w:sz w:val="24"/>
          <w:szCs w:val="24"/>
        </w:rPr>
        <w:t xml:space="preserve"> </w:t>
      </w:r>
      <w:proofErr w:type="spellStart"/>
      <w:r>
        <w:rPr>
          <w:rFonts w:ascii="Times New Roman" w:hAnsi="Times New Roman" w:cs="Times New Roman"/>
          <w:sz w:val="24"/>
          <w:szCs w:val="24"/>
        </w:rPr>
        <w:t>Şahan</w:t>
      </w:r>
      <w:proofErr w:type="spellEnd"/>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Stratejisinde</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Türkiye</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Cumhuriyet</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Merkez</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Ba</w:t>
      </w:r>
      <w:r>
        <w:rPr>
          <w:rFonts w:ascii="Times New Roman" w:hAnsi="Times New Roman" w:cs="Times New Roman"/>
          <w:sz w:val="24"/>
          <w:szCs w:val="24"/>
        </w:rPr>
        <w:t>nkası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Politikasının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Etkisi</w:t>
      </w:r>
      <w:proofErr w:type="spellEnd"/>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 xml:space="preserve">Unpublished MA Thesis, </w:t>
      </w:r>
      <w:proofErr w:type="spellStart"/>
      <w:r w:rsidRPr="00765735">
        <w:rPr>
          <w:rFonts w:ascii="Times New Roman" w:hAnsi="Times New Roman" w:cs="Times New Roman"/>
          <w:sz w:val="24"/>
          <w:szCs w:val="24"/>
        </w:rPr>
        <w:t>Balıkesir</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University Institute of Social Sciences,</w:t>
      </w:r>
      <w:r w:rsidRPr="000E5E94">
        <w:rPr>
          <w:rFonts w:ascii="Times New Roman" w:hAnsi="Times New Roman" w:cs="Times New Roman"/>
          <w:sz w:val="24"/>
          <w:szCs w:val="24"/>
        </w:rPr>
        <w:t xml:space="preserve"> </w:t>
      </w:r>
      <w:r w:rsidRPr="00765735">
        <w:rPr>
          <w:rFonts w:ascii="Times New Roman" w:hAnsi="Times New Roman" w:cs="Times New Roman"/>
          <w:sz w:val="24"/>
          <w:szCs w:val="24"/>
        </w:rPr>
        <w:t>2018.</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[7] İ.</w:t>
      </w:r>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Eroğlu</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Rejimi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ve</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Türkiye’deki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Uygulamanın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Analizi</w:t>
      </w:r>
      <w:proofErr w:type="spellEnd"/>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Unpublished MA Thesis, Marmara</w:t>
      </w:r>
      <w:r w:rsidRPr="00765735">
        <w:rPr>
          <w:rFonts w:ascii="Times New Roman" w:hAnsi="Times New Roman" w:cs="Times New Roman"/>
          <w:sz w:val="24"/>
          <w:szCs w:val="24"/>
        </w:rPr>
        <w:t xml:space="preserve"> </w:t>
      </w:r>
      <w:r>
        <w:rPr>
          <w:rFonts w:ascii="Times New Roman" w:hAnsi="Times New Roman" w:cs="Times New Roman"/>
          <w:sz w:val="24"/>
          <w:szCs w:val="24"/>
        </w:rPr>
        <w:t xml:space="preserve">University Institute of Social Sciences, </w:t>
      </w:r>
      <w:r w:rsidRPr="00765735">
        <w:rPr>
          <w:rFonts w:ascii="Times New Roman" w:hAnsi="Times New Roman" w:cs="Times New Roman"/>
          <w:sz w:val="24"/>
          <w:szCs w:val="24"/>
        </w:rPr>
        <w:t>2009.</w:t>
      </w:r>
    </w:p>
    <w:p w:rsidR="004476E0"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[8] A.</w:t>
      </w:r>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Tezgör</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Merkez</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Bankasının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Hedeflemesinin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Mak</w:t>
      </w:r>
      <w:r>
        <w:rPr>
          <w:rFonts w:ascii="Times New Roman" w:hAnsi="Times New Roman" w:cs="Times New Roman"/>
          <w:sz w:val="24"/>
          <w:szCs w:val="24"/>
        </w:rPr>
        <w: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Değişkenlere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Etkisi</w:t>
      </w:r>
      <w:proofErr w:type="spellEnd"/>
      <w:r>
        <w:rPr>
          <w:rFonts w:ascii="Times New Roman" w:hAnsi="Times New Roman" w:cs="Times New Roman"/>
          <w:sz w:val="24"/>
          <w:szCs w:val="24"/>
        </w:rPr>
        <w:t xml:space="preserve">”, Unpublished MA Thesis, </w:t>
      </w:r>
      <w:proofErr w:type="spellStart"/>
      <w:r>
        <w:rPr>
          <w:rFonts w:ascii="Times New Roman" w:hAnsi="Times New Roman" w:cs="Times New Roman"/>
          <w:sz w:val="24"/>
          <w:szCs w:val="24"/>
        </w:rPr>
        <w:t>Dumlupınar</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 xml:space="preserve">University Institute of Social Sciences, </w:t>
      </w:r>
      <w:r w:rsidRPr="00765735">
        <w:rPr>
          <w:rFonts w:ascii="Times New Roman" w:hAnsi="Times New Roman" w:cs="Times New Roman"/>
          <w:sz w:val="24"/>
          <w:szCs w:val="24"/>
        </w:rPr>
        <w:t>2010.</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[9] E.</w:t>
      </w:r>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Ermişoğlu</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Rejiminin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Türkiye'dek</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Başarısının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Değerlendirilmesi</w:t>
      </w:r>
      <w:proofErr w:type="spellEnd"/>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Working Paper Series,</w:t>
      </w:r>
      <w:r w:rsidRPr="00765735">
        <w:rPr>
          <w:rFonts w:ascii="Times New Roman" w:hAnsi="Times New Roman" w:cs="Times New Roman"/>
          <w:sz w:val="24"/>
          <w:szCs w:val="24"/>
        </w:rPr>
        <w:t xml:space="preserve"> </w:t>
      </w:r>
      <w:r>
        <w:rPr>
          <w:rFonts w:ascii="Times New Roman" w:hAnsi="Times New Roman" w:cs="Times New Roman"/>
          <w:sz w:val="24"/>
          <w:szCs w:val="24"/>
        </w:rPr>
        <w:t>Central Bank Republic of Turkey,</w:t>
      </w:r>
      <w:r w:rsidRPr="000E5E94">
        <w:rPr>
          <w:rFonts w:ascii="Times New Roman" w:hAnsi="Times New Roman" w:cs="Times New Roman"/>
          <w:sz w:val="24"/>
          <w:szCs w:val="24"/>
        </w:rPr>
        <w:t xml:space="preserve"> </w:t>
      </w:r>
      <w:r w:rsidRPr="00765735">
        <w:rPr>
          <w:rFonts w:ascii="Times New Roman" w:hAnsi="Times New Roman" w:cs="Times New Roman"/>
          <w:sz w:val="24"/>
          <w:szCs w:val="24"/>
        </w:rPr>
        <w:t>2011.</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[10] S.</w:t>
      </w:r>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Erdoğan</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Ç.</w:t>
      </w:r>
      <w:r w:rsidRPr="00765735">
        <w:rPr>
          <w:rFonts w:ascii="Times New Roman" w:hAnsi="Times New Roman" w:cs="Times New Roman"/>
          <w:sz w:val="24"/>
          <w:szCs w:val="24"/>
        </w:rPr>
        <w:t xml:space="preserve"> </w:t>
      </w:r>
      <w:r>
        <w:rPr>
          <w:rFonts w:ascii="Times New Roman" w:hAnsi="Times New Roman" w:cs="Times New Roman"/>
          <w:sz w:val="24"/>
          <w:szCs w:val="24"/>
        </w:rPr>
        <w:t>Y.</w:t>
      </w:r>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Durmuş</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and H.</w:t>
      </w:r>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Güneş</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Stratejisi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Makroekonomik</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Performans</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Üzerinde</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Etkili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midir</w:t>
      </w:r>
      <w:proofErr w:type="spellEnd"/>
      <w:r w:rsidRPr="00765735">
        <w:rPr>
          <w:rFonts w:ascii="Times New Roman" w:hAnsi="Times New Roman" w:cs="Times New Roman"/>
          <w:sz w:val="24"/>
          <w:szCs w:val="24"/>
        </w:rPr>
        <w:t>?</w:t>
      </w:r>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Finance Journal,</w:t>
      </w:r>
      <w:r w:rsidRPr="00765735">
        <w:rPr>
          <w:rFonts w:ascii="Times New Roman" w:hAnsi="Times New Roman" w:cs="Times New Roman"/>
          <w:sz w:val="24"/>
          <w:szCs w:val="24"/>
        </w:rPr>
        <w:t xml:space="preserve"> </w:t>
      </w:r>
      <w:r>
        <w:rPr>
          <w:rFonts w:ascii="Times New Roman" w:hAnsi="Times New Roman" w:cs="Times New Roman"/>
          <w:sz w:val="24"/>
          <w:szCs w:val="24"/>
        </w:rPr>
        <w:t>no. 159,</w:t>
      </w:r>
      <w:r w:rsidRPr="00765735">
        <w:rPr>
          <w:rFonts w:ascii="Times New Roman" w:hAnsi="Times New Roman" w:cs="Times New Roman"/>
          <w:sz w:val="24"/>
          <w:szCs w:val="24"/>
        </w:rPr>
        <w:t xml:space="preserve"> 2010</w:t>
      </w:r>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765735">
        <w:rPr>
          <w:rFonts w:ascii="Times New Roman" w:hAnsi="Times New Roman" w:cs="Times New Roman"/>
          <w:sz w:val="24"/>
          <w:szCs w:val="24"/>
        </w:rPr>
        <w:t>1-16.</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[11] Central Bank Republic of Turkey, “</w:t>
      </w:r>
      <w:r w:rsidRPr="00765735">
        <w:rPr>
          <w:rFonts w:ascii="Times New Roman" w:hAnsi="Times New Roman" w:cs="Times New Roman"/>
          <w:sz w:val="24"/>
          <w:szCs w:val="24"/>
        </w:rPr>
        <w:t xml:space="preserve">IMF </w:t>
      </w:r>
      <w:r>
        <w:rPr>
          <w:rFonts w:ascii="Times New Roman" w:hAnsi="Times New Roman" w:cs="Times New Roman"/>
          <w:sz w:val="24"/>
          <w:szCs w:val="24"/>
        </w:rPr>
        <w:t>Letter of Intent”,</w:t>
      </w:r>
      <w:r w:rsidRPr="00765735">
        <w:rPr>
          <w:rFonts w:ascii="Times New Roman" w:hAnsi="Times New Roman" w:cs="Times New Roman"/>
          <w:sz w:val="24"/>
          <w:szCs w:val="24"/>
        </w:rPr>
        <w:t xml:space="preserve"> </w:t>
      </w:r>
      <w:r>
        <w:rPr>
          <w:rFonts w:ascii="Times New Roman" w:hAnsi="Times New Roman" w:cs="Times New Roman"/>
          <w:sz w:val="24"/>
          <w:szCs w:val="24"/>
        </w:rPr>
        <w:t>Secretary of Treasury,</w:t>
      </w:r>
      <w:r w:rsidRPr="00765735">
        <w:rPr>
          <w:rFonts w:ascii="Times New Roman" w:hAnsi="Times New Roman" w:cs="Times New Roman"/>
          <w:sz w:val="24"/>
          <w:szCs w:val="24"/>
        </w:rPr>
        <w:t xml:space="preserve"> </w:t>
      </w:r>
      <w:r>
        <w:rPr>
          <w:rFonts w:ascii="Times New Roman" w:hAnsi="Times New Roman" w:cs="Times New Roman"/>
          <w:sz w:val="24"/>
          <w:szCs w:val="24"/>
        </w:rPr>
        <w:t>2002.</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[12] Central Bank Republic of Turkey,</w:t>
      </w:r>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Rejiminin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Genel</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Çerçevesi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ve</w:t>
      </w:r>
      <w:proofErr w:type="spellEnd"/>
      <w:r w:rsidRPr="00765735">
        <w:rPr>
          <w:rFonts w:ascii="Times New Roman" w:hAnsi="Times New Roman" w:cs="Times New Roman"/>
          <w:sz w:val="24"/>
          <w:szCs w:val="24"/>
        </w:rPr>
        <w:t xml:space="preserve"> 2006</w:t>
      </w:r>
      <w:r>
        <w:rPr>
          <w:rFonts w:ascii="Times New Roman" w:hAnsi="Times New Roman" w:cs="Times New Roman"/>
          <w:sz w:val="24"/>
          <w:szCs w:val="24"/>
        </w:rPr>
        <w:t xml:space="preserve"> </w:t>
      </w:r>
      <w:proofErr w:type="spellStart"/>
      <w:r>
        <w:rPr>
          <w:rFonts w:ascii="Times New Roman" w:hAnsi="Times New Roman" w:cs="Times New Roman"/>
          <w:sz w:val="24"/>
          <w:szCs w:val="24"/>
        </w:rPr>
        <w:t>Yılında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Kur </w:t>
      </w:r>
      <w:proofErr w:type="spellStart"/>
      <w:r>
        <w:rPr>
          <w:rFonts w:ascii="Times New Roman" w:hAnsi="Times New Roman" w:cs="Times New Roman"/>
          <w:sz w:val="24"/>
          <w:szCs w:val="24"/>
        </w:rPr>
        <w:t>Politikası</w:t>
      </w:r>
      <w:proofErr w:type="spellEnd"/>
      <w:r>
        <w:rPr>
          <w:rFonts w:ascii="Times New Roman" w:hAnsi="Times New Roman" w:cs="Times New Roman"/>
          <w:sz w:val="24"/>
          <w:szCs w:val="24"/>
        </w:rPr>
        <w:t>”</w:t>
      </w:r>
      <w:r w:rsidRPr="00765735">
        <w:rPr>
          <w:rFonts w:ascii="Times New Roman" w:hAnsi="Times New Roman" w:cs="Times New Roman"/>
          <w:sz w:val="24"/>
          <w:szCs w:val="24"/>
        </w:rPr>
        <w:t xml:space="preserve"> </w:t>
      </w:r>
      <w:r>
        <w:rPr>
          <w:rFonts w:ascii="Times New Roman" w:hAnsi="Times New Roman" w:cs="Times New Roman"/>
          <w:sz w:val="24"/>
          <w:szCs w:val="24"/>
        </w:rPr>
        <w:t>Working Paper Series,</w:t>
      </w:r>
      <w:r w:rsidRPr="00765735">
        <w:rPr>
          <w:rFonts w:ascii="Times New Roman" w:hAnsi="Times New Roman" w:cs="Times New Roman"/>
          <w:sz w:val="24"/>
          <w:szCs w:val="24"/>
        </w:rPr>
        <w:t xml:space="preserve"> 2005.</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[13] </w:t>
      </w:r>
      <w:r w:rsidRPr="00765735">
        <w:rPr>
          <w:rFonts w:ascii="Times New Roman" w:hAnsi="Times New Roman" w:cs="Times New Roman"/>
          <w:sz w:val="24"/>
          <w:szCs w:val="24"/>
        </w:rPr>
        <w:t xml:space="preserve">H. </w:t>
      </w:r>
      <w:proofErr w:type="spellStart"/>
      <w:r w:rsidRPr="00765735">
        <w:rPr>
          <w:rFonts w:ascii="Times New Roman" w:hAnsi="Times New Roman" w:cs="Times New Roman"/>
          <w:sz w:val="24"/>
          <w:szCs w:val="24"/>
        </w:rPr>
        <w:t>Durmuş</w:t>
      </w:r>
      <w:proofErr w:type="spellEnd"/>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Türkiye'de</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Hedeflemesi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Örtük</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ve</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Açık</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Enflasyon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Döne</w:t>
      </w:r>
      <w:r>
        <w:rPr>
          <w:rFonts w:ascii="Times New Roman" w:hAnsi="Times New Roman" w:cs="Times New Roman"/>
          <w:sz w:val="24"/>
          <w:szCs w:val="24"/>
        </w:rPr>
        <w:t>mleri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Üzerine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Değerlendirme</w:t>
      </w:r>
      <w:proofErr w:type="spellEnd"/>
      <w:r>
        <w:rPr>
          <w:rFonts w:ascii="Times New Roman" w:hAnsi="Times New Roman" w:cs="Times New Roman"/>
          <w:sz w:val="24"/>
          <w:szCs w:val="24"/>
        </w:rPr>
        <w:t>”,</w:t>
      </w:r>
      <w:r w:rsidRPr="00765735">
        <w:rPr>
          <w:rFonts w:ascii="Times New Roman" w:hAnsi="Times New Roman" w:cs="Times New Roman"/>
          <w:sz w:val="24"/>
          <w:szCs w:val="24"/>
        </w:rPr>
        <w:t xml:space="preserve"> </w:t>
      </w:r>
      <w:proofErr w:type="spellStart"/>
      <w:r>
        <w:rPr>
          <w:rFonts w:ascii="Times New Roman" w:hAnsi="Times New Roman" w:cs="Times New Roman"/>
          <w:sz w:val="24"/>
          <w:szCs w:val="24"/>
        </w:rPr>
        <w:t>Siirt</w:t>
      </w:r>
      <w:proofErr w:type="spellEnd"/>
      <w:r>
        <w:rPr>
          <w:rFonts w:ascii="Times New Roman" w:hAnsi="Times New Roman" w:cs="Times New Roman"/>
          <w:sz w:val="24"/>
          <w:szCs w:val="24"/>
        </w:rPr>
        <w:t xml:space="preserve"> University Journal of Social Sciences, no. 11, </w:t>
      </w:r>
      <w:r w:rsidRPr="00765735">
        <w:rPr>
          <w:rFonts w:ascii="Times New Roman" w:hAnsi="Times New Roman" w:cs="Times New Roman"/>
          <w:sz w:val="24"/>
          <w:szCs w:val="24"/>
        </w:rPr>
        <w:t>2018</w:t>
      </w:r>
      <w:r>
        <w:rPr>
          <w:rFonts w:ascii="Times New Roman" w:hAnsi="Times New Roman" w:cs="Times New Roman"/>
          <w:sz w:val="24"/>
          <w:szCs w:val="24"/>
        </w:rPr>
        <w:t xml:space="preserve">, pp. </w:t>
      </w:r>
      <w:r w:rsidRPr="00765735">
        <w:rPr>
          <w:rFonts w:ascii="Times New Roman" w:hAnsi="Times New Roman" w:cs="Times New Roman"/>
          <w:sz w:val="24"/>
          <w:szCs w:val="24"/>
        </w:rPr>
        <w:t>181-201.</w:t>
      </w:r>
    </w:p>
    <w:p w:rsidR="004476E0" w:rsidRPr="00765735" w:rsidRDefault="004476E0" w:rsidP="004476E0">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[14] Central Bank Republic of Turkey</w:t>
      </w:r>
      <w:r w:rsidRPr="0076573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65735">
        <w:rPr>
          <w:rFonts w:ascii="Times New Roman" w:hAnsi="Times New Roman" w:cs="Times New Roman"/>
          <w:sz w:val="24"/>
          <w:szCs w:val="24"/>
        </w:rPr>
        <w:t>Merkez</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Ba</w:t>
      </w:r>
      <w:r>
        <w:rPr>
          <w:rFonts w:ascii="Times New Roman" w:hAnsi="Times New Roman" w:cs="Times New Roman"/>
          <w:sz w:val="24"/>
          <w:szCs w:val="24"/>
        </w:rPr>
        <w:t>nkası</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Politikası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Çerçevesi</w:t>
      </w:r>
      <w:proofErr w:type="spellEnd"/>
      <w:r>
        <w:rPr>
          <w:rFonts w:ascii="Times New Roman" w:hAnsi="Times New Roman" w:cs="Times New Roman"/>
          <w:sz w:val="24"/>
          <w:szCs w:val="24"/>
        </w:rPr>
        <w:t>”,</w:t>
      </w:r>
      <w:r w:rsidRPr="00176405">
        <w:rPr>
          <w:rFonts w:ascii="Times New Roman" w:hAnsi="Times New Roman" w:cs="Times New Roman"/>
          <w:sz w:val="24"/>
          <w:szCs w:val="24"/>
        </w:rPr>
        <w:t xml:space="preserve"> </w:t>
      </w:r>
      <w:r w:rsidRPr="00765735">
        <w:rPr>
          <w:rFonts w:ascii="Times New Roman" w:hAnsi="Times New Roman" w:cs="Times New Roman"/>
          <w:sz w:val="24"/>
          <w:szCs w:val="24"/>
        </w:rPr>
        <w:t>2018.</w:t>
      </w:r>
    </w:p>
    <w:p w:rsidR="003A3465" w:rsidRPr="00462055" w:rsidRDefault="004476E0" w:rsidP="0046205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[15] E. C.</w:t>
      </w:r>
      <w:r w:rsidRPr="00765735">
        <w:rPr>
          <w:rFonts w:ascii="Times New Roman" w:hAnsi="Times New Roman" w:cs="Times New Roman"/>
          <w:sz w:val="24"/>
          <w:szCs w:val="24"/>
        </w:rPr>
        <w:t xml:space="preserve"> </w:t>
      </w:r>
      <w:proofErr w:type="spellStart"/>
      <w:r>
        <w:rPr>
          <w:rFonts w:ascii="Times New Roman" w:hAnsi="Times New Roman" w:cs="Times New Roman"/>
          <w:sz w:val="24"/>
          <w:szCs w:val="24"/>
        </w:rPr>
        <w:t>Alper</w:t>
      </w:r>
      <w:proofErr w:type="spellEnd"/>
      <w:r>
        <w:rPr>
          <w:rFonts w:ascii="Times New Roman" w:hAnsi="Times New Roman" w:cs="Times New Roman"/>
          <w:sz w:val="24"/>
          <w:szCs w:val="24"/>
        </w:rPr>
        <w:t xml:space="preserve"> and S.</w:t>
      </w:r>
      <w:r w:rsidRPr="00765735">
        <w:rPr>
          <w:rFonts w:ascii="Times New Roman" w:hAnsi="Times New Roman" w:cs="Times New Roman"/>
          <w:sz w:val="24"/>
          <w:szCs w:val="24"/>
        </w:rPr>
        <w:t xml:space="preserve"> B. </w:t>
      </w:r>
      <w:proofErr w:type="spellStart"/>
      <w:r w:rsidRPr="00765735">
        <w:rPr>
          <w:rFonts w:ascii="Times New Roman" w:hAnsi="Times New Roman" w:cs="Times New Roman"/>
          <w:sz w:val="24"/>
          <w:szCs w:val="24"/>
        </w:rPr>
        <w:t>A</w:t>
      </w:r>
      <w:r>
        <w:rPr>
          <w:rFonts w:ascii="Times New Roman" w:hAnsi="Times New Roman" w:cs="Times New Roman"/>
          <w:sz w:val="24"/>
          <w:szCs w:val="24"/>
        </w:rPr>
        <w:t>ruoba</w:t>
      </w:r>
      <w:proofErr w:type="spellEnd"/>
      <w:r w:rsidRPr="00765735">
        <w:rPr>
          <w:rFonts w:ascii="Times New Roman" w:hAnsi="Times New Roman" w:cs="Times New Roman"/>
          <w:sz w:val="24"/>
          <w:szCs w:val="24"/>
        </w:rPr>
        <w:t xml:space="preserve"> (2001). </w:t>
      </w:r>
      <w:proofErr w:type="spellStart"/>
      <w:r w:rsidRPr="00765735">
        <w:rPr>
          <w:rFonts w:ascii="Times New Roman" w:hAnsi="Times New Roman" w:cs="Times New Roman"/>
          <w:sz w:val="24"/>
          <w:szCs w:val="24"/>
        </w:rPr>
        <w:t>Makroekonomik</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Verilerin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Mevsimsellikten</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Arındırılması</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Türkiye'deki</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Uygulamalı</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Araştırmacılara</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Dikkat</w:t>
      </w:r>
      <w:proofErr w:type="spellEnd"/>
      <w:r w:rsidRPr="00765735">
        <w:rPr>
          <w:rFonts w:ascii="Times New Roman" w:hAnsi="Times New Roman" w:cs="Times New Roman"/>
          <w:sz w:val="24"/>
          <w:szCs w:val="24"/>
        </w:rPr>
        <w:t xml:space="preserve"> </w:t>
      </w:r>
      <w:proofErr w:type="spellStart"/>
      <w:r w:rsidRPr="00765735">
        <w:rPr>
          <w:rFonts w:ascii="Times New Roman" w:hAnsi="Times New Roman" w:cs="Times New Roman"/>
          <w:sz w:val="24"/>
          <w:szCs w:val="24"/>
        </w:rPr>
        <w:t>Notu</w:t>
      </w:r>
      <w:proofErr w:type="spellEnd"/>
      <w:r w:rsidRPr="00765735">
        <w:rPr>
          <w:rFonts w:ascii="Times New Roman" w:hAnsi="Times New Roman" w:cs="Times New Roman"/>
          <w:sz w:val="24"/>
          <w:szCs w:val="24"/>
        </w:rPr>
        <w:t xml:space="preserve">. </w:t>
      </w:r>
      <w:hyperlink r:id="rId9" w:history="1">
        <w:r w:rsidRPr="00FD7D72">
          <w:rPr>
            <w:rStyle w:val="Kpr"/>
            <w:rFonts w:ascii="Times New Roman" w:hAnsi="Times New Roman" w:cs="Times New Roman"/>
            <w:sz w:val="24"/>
            <w:szCs w:val="24"/>
          </w:rPr>
          <w:t>http://econweb.umd.edu/~webspace/aruoba/research/paper1/Alper_Aruoba_2001_Turkish.pdf</w:t>
        </w:r>
      </w:hyperlink>
    </w:p>
    <w:sectPr w:rsidR="003A3465" w:rsidRPr="00462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400BA"/>
    <w:multiLevelType w:val="hybridMultilevel"/>
    <w:tmpl w:val="4C4C6F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B50DB"/>
    <w:multiLevelType w:val="hybridMultilevel"/>
    <w:tmpl w:val="66986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D978BA"/>
    <w:multiLevelType w:val="hybridMultilevel"/>
    <w:tmpl w:val="E796EA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65"/>
    <w:rsid w:val="00341278"/>
    <w:rsid w:val="003A3465"/>
    <w:rsid w:val="004476E0"/>
    <w:rsid w:val="00462055"/>
    <w:rsid w:val="008C4BC6"/>
    <w:rsid w:val="009C2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E04AB-115B-479A-8AE0-33427F65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46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A3465"/>
    <w:rPr>
      <w:color w:val="0563C1" w:themeColor="hyperlink"/>
      <w:u w:val="single"/>
    </w:rPr>
  </w:style>
  <w:style w:type="paragraph" w:styleId="ListeParagraf">
    <w:name w:val="List Paragraph"/>
    <w:basedOn w:val="Normal"/>
    <w:uiPriority w:val="34"/>
    <w:qFormat/>
    <w:rsid w:val="008C4BC6"/>
    <w:pPr>
      <w:ind w:left="720"/>
      <w:contextualSpacing/>
    </w:pPr>
  </w:style>
  <w:style w:type="table" w:styleId="TabloKlavuzu">
    <w:name w:val="Table Grid"/>
    <w:basedOn w:val="NormalTablo"/>
    <w:uiPriority w:val="39"/>
    <w:rsid w:val="008C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8C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plansumeyye@gmail.com" TargetMode="External"/><Relationship Id="rId11" Type="http://schemas.openxmlformats.org/officeDocument/2006/relationships/theme" Target="theme/theme1.xml"/><Relationship Id="rId5" Type="http://schemas.openxmlformats.org/officeDocument/2006/relationships/hyperlink" Target="mailto:fkayikci@yildiz.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onweb.umd.edu/~webspace/aruoba/research/paper1/Alper_Aruoba_2001_Turkish.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4615</Words>
  <Characters>26309</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2019-08-02T12:25:00Z</dcterms:created>
  <dcterms:modified xsi:type="dcterms:W3CDTF">2019-08-04T13:23:00Z</dcterms:modified>
</cp:coreProperties>
</file>