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4A8F" w14:textId="4200E7AF" w:rsidR="00A9204E" w:rsidRPr="00787E93" w:rsidRDefault="00DA0498" w:rsidP="00787E93">
      <w:pPr>
        <w:pStyle w:val="Heading2"/>
        <w:jc w:val="center"/>
        <w:rPr>
          <w:rFonts w:ascii="Arial" w:hAnsi="Arial" w:cs="Arial"/>
          <w:color w:val="auto"/>
          <w:sz w:val="40"/>
          <w:szCs w:val="40"/>
        </w:rPr>
      </w:pPr>
      <w:r w:rsidRPr="00787E93">
        <w:rPr>
          <w:rFonts w:ascii="Arial" w:hAnsi="Arial" w:cs="Arial"/>
          <w:color w:val="auto"/>
          <w:sz w:val="40"/>
          <w:szCs w:val="40"/>
        </w:rPr>
        <w:t xml:space="preserve">Determinants of </w:t>
      </w:r>
      <w:r w:rsidR="005A1A4B" w:rsidRPr="00787E93">
        <w:rPr>
          <w:rFonts w:ascii="Arial" w:hAnsi="Arial" w:cs="Arial"/>
          <w:color w:val="auto"/>
          <w:sz w:val="40"/>
          <w:szCs w:val="40"/>
        </w:rPr>
        <w:t>B</w:t>
      </w:r>
      <w:r w:rsidR="002A241A" w:rsidRPr="00787E93">
        <w:rPr>
          <w:rFonts w:ascii="Arial" w:hAnsi="Arial" w:cs="Arial"/>
          <w:color w:val="auto"/>
          <w:sz w:val="40"/>
          <w:szCs w:val="40"/>
        </w:rPr>
        <w:t>ank</w:t>
      </w:r>
      <w:r w:rsidRPr="00787E93">
        <w:rPr>
          <w:rFonts w:ascii="Arial" w:hAnsi="Arial" w:cs="Arial"/>
          <w:color w:val="auto"/>
          <w:sz w:val="40"/>
          <w:szCs w:val="40"/>
        </w:rPr>
        <w:t xml:space="preserve"> </w:t>
      </w:r>
      <w:r w:rsidR="005A1A4B" w:rsidRPr="00787E93">
        <w:rPr>
          <w:rFonts w:ascii="Arial" w:hAnsi="Arial" w:cs="Arial"/>
          <w:color w:val="auto"/>
          <w:sz w:val="40"/>
          <w:szCs w:val="40"/>
        </w:rPr>
        <w:t>M</w:t>
      </w:r>
      <w:r w:rsidRPr="00787E93">
        <w:rPr>
          <w:rFonts w:ascii="Arial" w:hAnsi="Arial" w:cs="Arial"/>
          <w:color w:val="auto"/>
          <w:sz w:val="40"/>
          <w:szCs w:val="40"/>
        </w:rPr>
        <w:t xml:space="preserve">anagement </w:t>
      </w:r>
      <w:r w:rsidR="005A1A4B" w:rsidRPr="00787E93">
        <w:rPr>
          <w:rFonts w:ascii="Arial" w:hAnsi="Arial" w:cs="Arial"/>
          <w:color w:val="auto"/>
          <w:sz w:val="40"/>
          <w:szCs w:val="40"/>
        </w:rPr>
        <w:t>C</w:t>
      </w:r>
      <w:r w:rsidRPr="00787E93">
        <w:rPr>
          <w:rFonts w:ascii="Arial" w:hAnsi="Arial" w:cs="Arial"/>
          <w:color w:val="auto"/>
          <w:sz w:val="40"/>
          <w:szCs w:val="40"/>
        </w:rPr>
        <w:t xml:space="preserve">onfidence </w:t>
      </w:r>
      <w:r w:rsidR="005A1A4B" w:rsidRPr="00787E93">
        <w:rPr>
          <w:rFonts w:ascii="Arial" w:hAnsi="Arial" w:cs="Arial"/>
          <w:color w:val="auto"/>
          <w:sz w:val="40"/>
          <w:szCs w:val="40"/>
        </w:rPr>
        <w:t>L</w:t>
      </w:r>
      <w:r w:rsidRPr="00787E93">
        <w:rPr>
          <w:rFonts w:ascii="Arial" w:hAnsi="Arial" w:cs="Arial"/>
          <w:color w:val="auto"/>
          <w:sz w:val="40"/>
          <w:szCs w:val="40"/>
        </w:rPr>
        <w:t>evel in Indonesia</w:t>
      </w:r>
      <w:r w:rsidR="00787E93">
        <w:rPr>
          <w:rFonts w:ascii="Arial" w:hAnsi="Arial" w:cs="Arial"/>
          <w:color w:val="auto"/>
          <w:sz w:val="40"/>
          <w:szCs w:val="40"/>
        </w:rPr>
        <w:t xml:space="preserve"> </w:t>
      </w:r>
      <w:r w:rsidR="00686CE6" w:rsidRPr="00787E93">
        <w:rPr>
          <w:rFonts w:ascii="Arial" w:hAnsi="Arial" w:cs="Arial"/>
          <w:color w:val="auto"/>
          <w:sz w:val="40"/>
          <w:szCs w:val="40"/>
        </w:rPr>
        <w:t>moderated by</w:t>
      </w:r>
      <w:r w:rsidRPr="00787E93">
        <w:rPr>
          <w:rFonts w:ascii="Arial" w:hAnsi="Arial" w:cs="Arial"/>
          <w:color w:val="auto"/>
          <w:sz w:val="40"/>
          <w:szCs w:val="40"/>
        </w:rPr>
        <w:t xml:space="preserve"> Bank Scale</w:t>
      </w:r>
    </w:p>
    <w:p w14:paraId="7E60F826" w14:textId="691CB5B3" w:rsidR="00686CE6" w:rsidRDefault="00686CE6" w:rsidP="00686CE6"/>
    <w:p w14:paraId="0D738EFD" w14:textId="21C2688A" w:rsidR="00686CE6" w:rsidRDefault="00686CE6" w:rsidP="00686CE6"/>
    <w:p w14:paraId="3A313659" w14:textId="77777777" w:rsidR="00686CE6" w:rsidRPr="00686CE6" w:rsidRDefault="00686CE6" w:rsidP="00686CE6"/>
    <w:p w14:paraId="6C776D07" w14:textId="7495997B" w:rsidR="0037418F" w:rsidRPr="005D0454" w:rsidRDefault="0037418F" w:rsidP="00F8259A">
      <w:pPr>
        <w:jc w:val="center"/>
      </w:pPr>
      <w:r w:rsidRPr="005D0454">
        <w:t xml:space="preserve">I </w:t>
      </w:r>
      <w:proofErr w:type="spellStart"/>
      <w:r w:rsidRPr="005D0454">
        <w:t>Ketut</w:t>
      </w:r>
      <w:proofErr w:type="spellEnd"/>
      <w:r w:rsidRPr="005D0454">
        <w:t xml:space="preserve"> </w:t>
      </w:r>
      <w:proofErr w:type="spellStart"/>
      <w:r w:rsidRPr="005D0454">
        <w:t>Suyasa</w:t>
      </w:r>
      <w:proofErr w:type="spellEnd"/>
      <w:r w:rsidR="009E7580" w:rsidRPr="005D0454">
        <w:rPr>
          <w:rStyle w:val="FootnoteReference"/>
        </w:rPr>
        <w:footnoteReference w:id="1"/>
      </w:r>
    </w:p>
    <w:p w14:paraId="29AB93FE" w14:textId="68DFA13B" w:rsidR="00F8259A" w:rsidRPr="005D0454" w:rsidRDefault="00F8259A" w:rsidP="00F8259A">
      <w:pPr>
        <w:jc w:val="center"/>
      </w:pPr>
      <w:r w:rsidRPr="005D0454">
        <w:t>Adler Haymans Manurung</w:t>
      </w:r>
      <w:r w:rsidR="009E7580" w:rsidRPr="005D0454">
        <w:rPr>
          <w:rStyle w:val="FootnoteReference"/>
        </w:rPr>
        <w:footnoteReference w:id="2"/>
      </w:r>
    </w:p>
    <w:p w14:paraId="6324A977" w14:textId="65A4B2C6" w:rsidR="0066088F" w:rsidRPr="005D0454" w:rsidRDefault="0066088F" w:rsidP="00F8259A">
      <w:pPr>
        <w:jc w:val="center"/>
      </w:pPr>
      <w:proofErr w:type="spellStart"/>
      <w:r w:rsidRPr="005D0454">
        <w:t>J</w:t>
      </w:r>
      <w:r w:rsidR="00CE6983" w:rsidRPr="005D0454">
        <w:t>h</w:t>
      </w:r>
      <w:r w:rsidRPr="005D0454">
        <w:t>onni</w:t>
      </w:r>
      <w:proofErr w:type="spellEnd"/>
      <w:r w:rsidRPr="005D0454">
        <w:t xml:space="preserve"> </w:t>
      </w:r>
      <w:proofErr w:type="spellStart"/>
      <w:r w:rsidRPr="005D0454">
        <w:t>Sinaga</w:t>
      </w:r>
      <w:proofErr w:type="spellEnd"/>
      <w:r w:rsidRPr="005D0454">
        <w:rPr>
          <w:rStyle w:val="FootnoteReference"/>
        </w:rPr>
        <w:footnoteReference w:id="3"/>
      </w:r>
    </w:p>
    <w:p w14:paraId="663938C3" w14:textId="5FB2A304" w:rsidR="00F64F88" w:rsidRPr="005D0454" w:rsidRDefault="00F64F88" w:rsidP="00F8259A">
      <w:pPr>
        <w:jc w:val="center"/>
      </w:pPr>
      <w:r w:rsidRPr="005D0454">
        <w:t>Amran Manurung</w:t>
      </w:r>
      <w:r w:rsidRPr="005D0454">
        <w:rPr>
          <w:rStyle w:val="FootnoteReference"/>
        </w:rPr>
        <w:footnoteReference w:id="4"/>
      </w:r>
    </w:p>
    <w:p w14:paraId="4C35A4CA" w14:textId="495AC358" w:rsidR="00F8259A" w:rsidRPr="005D0454" w:rsidRDefault="00F8259A" w:rsidP="00F8259A"/>
    <w:p w14:paraId="52FD6B51" w14:textId="77777777" w:rsidR="0066088F" w:rsidRPr="005D0454" w:rsidRDefault="0066088F" w:rsidP="00F8259A"/>
    <w:p w14:paraId="339BDC9A" w14:textId="77777777" w:rsidR="00C20E4F" w:rsidRPr="005D0454" w:rsidRDefault="00C20E4F" w:rsidP="00F8259A"/>
    <w:p w14:paraId="613404B4" w14:textId="196A2D05" w:rsidR="00C20E4F" w:rsidRPr="005D0454" w:rsidRDefault="00787E93" w:rsidP="0036161F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0454">
        <w:rPr>
          <w:rFonts w:ascii="Times New Roman" w:hAnsi="Times New Roman" w:cs="Times New Roman"/>
          <w:b/>
          <w:color w:val="auto"/>
          <w:sz w:val="24"/>
          <w:szCs w:val="24"/>
        </w:rPr>
        <w:t>Abstract</w:t>
      </w:r>
    </w:p>
    <w:p w14:paraId="322F0052" w14:textId="74CCDC41" w:rsidR="00C20E4F" w:rsidRPr="005D0454" w:rsidRDefault="00C20E4F" w:rsidP="008D640A">
      <w:pPr>
        <w:jc w:val="both"/>
      </w:pPr>
    </w:p>
    <w:p w14:paraId="38D806C0" w14:textId="0FAA58E6" w:rsidR="007C452E" w:rsidRPr="005D0454" w:rsidRDefault="008D640A" w:rsidP="008737E9">
      <w:pPr>
        <w:ind w:firstLine="720"/>
        <w:jc w:val="both"/>
      </w:pPr>
      <w:r w:rsidRPr="005D0454">
        <w:t xml:space="preserve">This study examines the determinants of management confidence level of </w:t>
      </w:r>
      <w:r w:rsidR="002A241A" w:rsidRPr="005D0454">
        <w:t xml:space="preserve">the </w:t>
      </w:r>
      <w:r w:rsidRPr="005D0454">
        <w:t>listed bank</w:t>
      </w:r>
      <w:r w:rsidR="002A241A" w:rsidRPr="005D0454">
        <w:t xml:space="preserve">s on </w:t>
      </w:r>
      <w:r w:rsidRPr="005D0454">
        <w:t xml:space="preserve">Indonesian Stock Exchange. The </w:t>
      </w:r>
      <w:r w:rsidR="008737E9" w:rsidRPr="005D0454">
        <w:t>confidence</w:t>
      </w:r>
      <w:r w:rsidR="001C2AE5" w:rsidRPr="005D0454">
        <w:t xml:space="preserve"> level</w:t>
      </w:r>
      <w:r w:rsidR="002A241A" w:rsidRPr="005D0454">
        <w:t xml:space="preserve"> refers</w:t>
      </w:r>
      <w:r w:rsidRPr="005D0454">
        <w:t xml:space="preserve"> to </w:t>
      </w:r>
      <w:r w:rsidR="002A241A" w:rsidRPr="005D0454">
        <w:t xml:space="preserve">the </w:t>
      </w:r>
      <w:r w:rsidR="008737E9" w:rsidRPr="005D0454">
        <w:t>confidence</w:t>
      </w:r>
      <w:r w:rsidRPr="005D0454">
        <w:t xml:space="preserve"> in deciding the </w:t>
      </w:r>
      <w:r w:rsidR="002A241A" w:rsidRPr="005D0454">
        <w:t xml:space="preserve">given deposit interest rate </w:t>
      </w:r>
      <w:r w:rsidRPr="005D0454">
        <w:t xml:space="preserve">to customers. The lower the </w:t>
      </w:r>
      <w:r w:rsidR="002A241A" w:rsidRPr="005D0454">
        <w:t xml:space="preserve">given deposit </w:t>
      </w:r>
      <w:r w:rsidRPr="005D0454">
        <w:t>interest rate compared to the other</w:t>
      </w:r>
      <w:r w:rsidR="002A241A" w:rsidRPr="005D0454">
        <w:t>s, the bank</w:t>
      </w:r>
      <w:r w:rsidRPr="005D0454">
        <w:t xml:space="preserve"> management</w:t>
      </w:r>
      <w:r w:rsidR="002A241A" w:rsidRPr="005D0454">
        <w:t>s are more confident. This describes that under the lower deposit interest rate</w:t>
      </w:r>
      <w:r w:rsidRPr="005D0454">
        <w:t xml:space="preserve"> </w:t>
      </w:r>
      <w:r w:rsidR="002A241A" w:rsidRPr="005D0454">
        <w:t xml:space="preserve">the bank </w:t>
      </w:r>
      <w:r w:rsidRPr="005D0454">
        <w:t>management</w:t>
      </w:r>
      <w:r w:rsidR="002A241A" w:rsidRPr="005D0454">
        <w:t xml:space="preserve">s are confident </w:t>
      </w:r>
      <w:r w:rsidR="005D0454">
        <w:t xml:space="preserve">that </w:t>
      </w:r>
      <w:r w:rsidR="002A241A" w:rsidRPr="005D0454">
        <w:t xml:space="preserve">the </w:t>
      </w:r>
      <w:r w:rsidRPr="005D0454">
        <w:t xml:space="preserve">customers </w:t>
      </w:r>
      <w:r w:rsidR="005D0454">
        <w:t xml:space="preserve">will </w:t>
      </w:r>
      <w:r w:rsidRPr="005D0454">
        <w:t xml:space="preserve">remain loyal. </w:t>
      </w:r>
    </w:p>
    <w:p w14:paraId="150065E8" w14:textId="3BC6D389" w:rsidR="00F0546B" w:rsidRPr="005D0454" w:rsidRDefault="002A241A" w:rsidP="00F0546B">
      <w:pPr>
        <w:pStyle w:val="Heading2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research used </w:t>
      </w:r>
      <w:r w:rsidR="00F0546B" w:rsidRPr="005D0454">
        <w:rPr>
          <w:rFonts w:ascii="Times New Roman" w:hAnsi="Times New Roman" w:cs="Times New Roman"/>
          <w:color w:val="000000" w:themeColor="text1"/>
          <w:sz w:val="24"/>
          <w:szCs w:val="24"/>
        </w:rPr>
        <w:t>Panel Data</w:t>
      </w:r>
      <w:r w:rsidRPr="005D0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</w:t>
      </w:r>
      <w:r w:rsidR="00F0546B" w:rsidRPr="005D0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estimate </w:t>
      </w:r>
      <w:r w:rsidRPr="005D0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0546B" w:rsidRPr="005D0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determinants </w:t>
      </w:r>
      <w:r w:rsidRPr="005D0454">
        <w:rPr>
          <w:rFonts w:ascii="Times New Roman" w:hAnsi="Times New Roman" w:cs="Times New Roman"/>
          <w:color w:val="000000" w:themeColor="text1"/>
          <w:sz w:val="24"/>
          <w:szCs w:val="24"/>
        </w:rPr>
        <w:t>of Bank</w:t>
      </w:r>
      <w:r w:rsidR="00F0546B" w:rsidRPr="005D0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 Confidence Level in Indonesia moderated by Bank Scale. Banking ratio</w:t>
      </w:r>
      <w:r w:rsidRPr="005D045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0546B" w:rsidRPr="005D0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macroeconomic data for </w:t>
      </w:r>
      <w:r w:rsidR="001C6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E782C" w:rsidRPr="005D0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period </w:t>
      </w:r>
      <w:r w:rsidR="001C60F7">
        <w:rPr>
          <w:rFonts w:ascii="Times New Roman" w:hAnsi="Times New Roman" w:cs="Times New Roman"/>
          <w:color w:val="000000" w:themeColor="text1"/>
          <w:sz w:val="24"/>
          <w:szCs w:val="24"/>
        </w:rPr>
        <w:t>of 2017 until</w:t>
      </w:r>
      <w:r w:rsidR="009E782C" w:rsidRPr="005D0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become </w:t>
      </w:r>
      <w:r w:rsidR="001C6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Pr="005D0454">
        <w:rPr>
          <w:rFonts w:ascii="Times New Roman" w:hAnsi="Times New Roman" w:cs="Times New Roman"/>
          <w:color w:val="000000" w:themeColor="text1"/>
          <w:sz w:val="24"/>
          <w:szCs w:val="24"/>
        </w:rPr>
        <w:t>research variable</w:t>
      </w:r>
      <w:r w:rsidR="005D0454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14:paraId="42837403" w14:textId="458456BC" w:rsidR="00407E1A" w:rsidRDefault="002C157A" w:rsidP="007C452E">
      <w:pPr>
        <w:ind w:firstLine="720"/>
        <w:jc w:val="both"/>
      </w:pPr>
      <w:r>
        <w:t>This research f</w:t>
      </w:r>
      <w:r w:rsidR="00373A8C">
        <w:t>ound</w:t>
      </w:r>
      <w:r w:rsidR="009E782C">
        <w:t xml:space="preserve"> that </w:t>
      </w:r>
      <w:r w:rsidR="005D0454">
        <w:t>the CAR and NPL have</w:t>
      </w:r>
      <w:r w:rsidR="009E782C">
        <w:t xml:space="preserve"> positive and significant effect</w:t>
      </w:r>
      <w:r w:rsidR="005D0454">
        <w:t>s</w:t>
      </w:r>
      <w:r w:rsidR="009E782C">
        <w:t xml:space="preserve"> on </w:t>
      </w:r>
      <w:r w:rsidR="005D0454">
        <w:t xml:space="preserve">the </w:t>
      </w:r>
      <w:r w:rsidR="009E782C">
        <w:t xml:space="preserve">IETDR at </w:t>
      </w:r>
      <w:r w:rsidR="005D0454">
        <w:t>the level of significance</w:t>
      </w:r>
      <w:r w:rsidR="009E782C">
        <w:t xml:space="preserve"> of 5%.  </w:t>
      </w:r>
      <w:r w:rsidR="005D0454">
        <w:t>The i</w:t>
      </w:r>
      <w:r w:rsidR="009E782C">
        <w:t>nflation and COVID have negative and significant effect</w:t>
      </w:r>
      <w:r w:rsidR="005D0454">
        <w:t>s</w:t>
      </w:r>
      <w:r w:rsidR="009E782C">
        <w:t xml:space="preserve"> on </w:t>
      </w:r>
      <w:r w:rsidR="005D0454">
        <w:t xml:space="preserve">the </w:t>
      </w:r>
      <w:r w:rsidR="009E782C">
        <w:t xml:space="preserve">IETDR. </w:t>
      </w:r>
      <w:r w:rsidR="005D0454">
        <w:t xml:space="preserve">The </w:t>
      </w:r>
      <w:r w:rsidR="009E782C">
        <w:t>Bank Scale or Bank B</w:t>
      </w:r>
      <w:r w:rsidR="005D0454">
        <w:t xml:space="preserve">ook as </w:t>
      </w:r>
      <w:r w:rsidR="001C60F7">
        <w:t xml:space="preserve">a </w:t>
      </w:r>
      <w:r w:rsidR="005D0454">
        <w:t xml:space="preserve">moderating variable can </w:t>
      </w:r>
      <w:r w:rsidR="009E782C">
        <w:t>strength</w:t>
      </w:r>
      <w:r w:rsidR="005D0454">
        <w:t xml:space="preserve">en the </w:t>
      </w:r>
      <w:r w:rsidR="009E782C">
        <w:t>IETDR for CAR and NPL.</w:t>
      </w:r>
    </w:p>
    <w:p w14:paraId="1D45945E" w14:textId="77777777" w:rsidR="009E782C" w:rsidRDefault="009E782C" w:rsidP="007C452E">
      <w:pPr>
        <w:ind w:firstLine="720"/>
        <w:jc w:val="both"/>
      </w:pPr>
    </w:p>
    <w:p w14:paraId="22B134C0" w14:textId="49B9D777" w:rsidR="008D640A" w:rsidRDefault="008D640A" w:rsidP="008D640A">
      <w:pPr>
        <w:jc w:val="both"/>
      </w:pPr>
    </w:p>
    <w:p w14:paraId="798BD6E1" w14:textId="65BF854D" w:rsidR="0046752F" w:rsidRDefault="00D03B8E" w:rsidP="002C157A">
      <w:pPr>
        <w:ind w:left="1170" w:hanging="1170"/>
        <w:jc w:val="both"/>
      </w:pPr>
      <w:r>
        <w:t>Keywords: Confidence</w:t>
      </w:r>
      <w:r w:rsidR="002C157A">
        <w:t xml:space="preserve"> Level</w:t>
      </w:r>
      <w:r>
        <w:t xml:space="preserve">, CAR, NPL, ROA, </w:t>
      </w:r>
      <w:r w:rsidR="00573093">
        <w:t xml:space="preserve">covid, </w:t>
      </w:r>
      <w:r>
        <w:t>Inflation, Interest Rate, Customer Satisfaction.</w:t>
      </w:r>
    </w:p>
    <w:p w14:paraId="5800A1B6" w14:textId="5F719C23" w:rsidR="00246305" w:rsidRDefault="00246305" w:rsidP="00105C44">
      <w:pPr>
        <w:jc w:val="both"/>
      </w:pPr>
    </w:p>
    <w:p w14:paraId="247FC36F" w14:textId="0CFEC15D" w:rsidR="00686CE6" w:rsidRDefault="00686CE6">
      <w:r>
        <w:br w:type="page"/>
      </w:r>
    </w:p>
    <w:p w14:paraId="60970408" w14:textId="0D8DD693" w:rsidR="009E46D6" w:rsidRPr="00A27D45" w:rsidRDefault="007F1BBF" w:rsidP="009A44FE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I. </w:t>
      </w:r>
      <w:r w:rsidR="00D03B8E" w:rsidRPr="00A27D45">
        <w:rPr>
          <w:rFonts w:ascii="Times New Roman" w:hAnsi="Times New Roman" w:cs="Times New Roman"/>
          <w:b/>
          <w:color w:val="auto"/>
          <w:sz w:val="24"/>
          <w:szCs w:val="24"/>
        </w:rPr>
        <w:t>Introduction</w:t>
      </w:r>
    </w:p>
    <w:p w14:paraId="562A4A34" w14:textId="2F6D920C" w:rsidR="009E46D6" w:rsidRPr="00466E7E" w:rsidRDefault="009E46D6" w:rsidP="00105C44">
      <w:pPr>
        <w:jc w:val="both"/>
      </w:pPr>
    </w:p>
    <w:p w14:paraId="361F9895" w14:textId="208FFD76" w:rsidR="00FA4A99" w:rsidRDefault="00F53148" w:rsidP="00105C44">
      <w:pPr>
        <w:jc w:val="both"/>
      </w:pPr>
      <w:r>
        <w:tab/>
      </w:r>
      <w:r w:rsidR="00D03B8E" w:rsidRPr="00D03B8E">
        <w:t xml:space="preserve">The </w:t>
      </w:r>
      <w:r w:rsidR="00D81AF6">
        <w:t xml:space="preserve">years of 2017 </w:t>
      </w:r>
      <w:r w:rsidR="00466E7E">
        <w:t>til</w:t>
      </w:r>
      <w:r w:rsidR="00D81AF6">
        <w:t>l</w:t>
      </w:r>
      <w:r w:rsidR="00D03B8E" w:rsidRPr="00D03B8E">
        <w:t xml:space="preserve"> 2021 </w:t>
      </w:r>
      <w:r w:rsidR="00D03B8E">
        <w:t>were</w:t>
      </w:r>
      <w:r w:rsidR="00D03B8E" w:rsidRPr="00D03B8E">
        <w:t xml:space="preserve"> </w:t>
      </w:r>
      <w:r w:rsidR="00466E7E">
        <w:t xml:space="preserve">the </w:t>
      </w:r>
      <w:r w:rsidR="00D03B8E" w:rsidRPr="00D03B8E">
        <w:t>period</w:t>
      </w:r>
      <w:r w:rsidR="00150230">
        <w:t xml:space="preserve"> that</w:t>
      </w:r>
      <w:r w:rsidR="00D03B8E" w:rsidRPr="00D03B8E">
        <w:t xml:space="preserve"> full of dynamics for individuals, companies and the government</w:t>
      </w:r>
      <w:r w:rsidR="00D81AF6">
        <w:t>s</w:t>
      </w:r>
      <w:r w:rsidR="00D03B8E" w:rsidRPr="00D03B8E">
        <w:t xml:space="preserve">. Before </w:t>
      </w:r>
      <w:r w:rsidR="00466E7E">
        <w:t xml:space="preserve">the year of </w:t>
      </w:r>
      <w:r w:rsidR="00D03B8E" w:rsidRPr="00D03B8E">
        <w:t xml:space="preserve">2020, </w:t>
      </w:r>
      <w:r w:rsidR="00466E7E">
        <w:t xml:space="preserve">the </w:t>
      </w:r>
      <w:r w:rsidR="00D03B8E" w:rsidRPr="00D03B8E">
        <w:t xml:space="preserve">global conditions were quite stable, but since 2020 </w:t>
      </w:r>
      <w:r w:rsidR="00373A8C">
        <w:t xml:space="preserve">they </w:t>
      </w:r>
      <w:r w:rsidR="00466E7E">
        <w:t>turned to change</w:t>
      </w:r>
      <w:r w:rsidR="00D03B8E" w:rsidRPr="00D03B8E">
        <w:t xml:space="preserve"> drastically </w:t>
      </w:r>
      <w:r w:rsidR="00466E7E">
        <w:t xml:space="preserve">marked </w:t>
      </w:r>
      <w:r w:rsidR="00D03B8E" w:rsidRPr="00D03B8E">
        <w:t>with 2</w:t>
      </w:r>
      <w:r w:rsidR="00150230">
        <w:t xml:space="preserve"> (two)</w:t>
      </w:r>
      <w:r w:rsidR="00466E7E">
        <w:t xml:space="preserve"> very important incidents</w:t>
      </w:r>
      <w:r w:rsidR="00D81AF6">
        <w:t>, namely the Covid-</w:t>
      </w:r>
      <w:r w:rsidR="00D03B8E" w:rsidRPr="00D03B8E">
        <w:t>19 pandemic since 2020 and the Russi</w:t>
      </w:r>
      <w:r w:rsidR="00466E7E">
        <w:t>a – Ukraine war since 2021. During the spreading of</w:t>
      </w:r>
      <w:r w:rsidR="00D03B8E" w:rsidRPr="00D03B8E">
        <w:t xml:space="preserve"> </w:t>
      </w:r>
      <w:r w:rsidR="00466E7E">
        <w:t>the Covid-19, people could not do activities as usual due to the implemented</w:t>
      </w:r>
      <w:r w:rsidR="00D03B8E" w:rsidRPr="00D03B8E">
        <w:t xml:space="preserve"> government's policy to prevent the transmissi</w:t>
      </w:r>
      <w:r w:rsidR="00D81AF6">
        <w:t>on of the Covid-19 virus applying</w:t>
      </w:r>
      <w:r w:rsidR="00D03B8E" w:rsidRPr="00D03B8E">
        <w:t xml:space="preserve"> the </w:t>
      </w:r>
      <w:r w:rsidR="00D03B8E" w:rsidRPr="00150230">
        <w:rPr>
          <w:i/>
          <w:iCs/>
        </w:rPr>
        <w:t>Large-Scale Social Restrictions</w:t>
      </w:r>
      <w:r w:rsidR="00D03B8E" w:rsidRPr="00D03B8E">
        <w:t xml:space="preserve"> policy and </w:t>
      </w:r>
      <w:r w:rsidR="00D03B8E" w:rsidRPr="00150230">
        <w:rPr>
          <w:i/>
          <w:iCs/>
        </w:rPr>
        <w:t>social distancing</w:t>
      </w:r>
      <w:r w:rsidR="00D03B8E" w:rsidRPr="00D03B8E">
        <w:t xml:space="preserve">. </w:t>
      </w:r>
      <w:r w:rsidR="00466E7E">
        <w:t>The industries which</w:t>
      </w:r>
      <w:r w:rsidR="00D03B8E" w:rsidRPr="00D03B8E">
        <w:t xml:space="preserve"> require high mobility and physical presence have been particularly affected by this pandemic, such as tourism, transportation, automotive, construction</w:t>
      </w:r>
      <w:r w:rsidR="00466E7E">
        <w:t>, and others. T</w:t>
      </w:r>
      <w:r w:rsidR="00D03B8E" w:rsidRPr="00D03B8E">
        <w:t>he Covid-19 p</w:t>
      </w:r>
      <w:r w:rsidR="00466E7E">
        <w:t>andemic is a very worrying incident</w:t>
      </w:r>
      <w:r w:rsidR="00D03B8E" w:rsidRPr="00D03B8E">
        <w:t xml:space="preserve">, especially related to </w:t>
      </w:r>
      <w:r w:rsidR="00466E7E">
        <w:t xml:space="preserve">the </w:t>
      </w:r>
      <w:r w:rsidR="00D03B8E" w:rsidRPr="00D03B8E">
        <w:t xml:space="preserve">bad credit problems due to the </w:t>
      </w:r>
      <w:r w:rsidR="00FA4A99">
        <w:t xml:space="preserve">presence of debtors’ inability </w:t>
      </w:r>
      <w:r w:rsidR="00D03B8E" w:rsidRPr="00D03B8E">
        <w:t>to repay their loans.</w:t>
      </w:r>
      <w:r w:rsidR="00FA4A99">
        <w:t xml:space="preserve"> Refer</w:t>
      </w:r>
      <w:r w:rsidR="00150230">
        <w:t xml:space="preserve"> </w:t>
      </w:r>
      <w:r w:rsidR="00FA4A99">
        <w:t xml:space="preserve">to the </w:t>
      </w:r>
      <w:r w:rsidR="00150230">
        <w:t xml:space="preserve">research </w:t>
      </w:r>
      <w:r w:rsidR="00373A8C">
        <w:t xml:space="preserve">done </w:t>
      </w:r>
      <w:r w:rsidR="00150230">
        <w:t xml:space="preserve">by </w:t>
      </w:r>
      <w:proofErr w:type="spellStart"/>
      <w:r w:rsidR="00150230" w:rsidRPr="00D07EC8">
        <w:t>Tiwu</w:t>
      </w:r>
      <w:proofErr w:type="spellEnd"/>
      <w:r w:rsidR="00150230" w:rsidRPr="00D07EC8">
        <w:t xml:space="preserve"> (2020)</w:t>
      </w:r>
      <w:r w:rsidR="00440A74">
        <w:t xml:space="preserve"> </w:t>
      </w:r>
      <w:r w:rsidR="00FA4A99">
        <w:t>insist</w:t>
      </w:r>
      <w:r w:rsidR="00440A74">
        <w:t>ed</w:t>
      </w:r>
      <w:r w:rsidR="00BA7D65">
        <w:t xml:space="preserve"> that the Covid</w:t>
      </w:r>
      <w:r w:rsidR="00150230" w:rsidRPr="00150230">
        <w:t>-19 pandemic has a significant i</w:t>
      </w:r>
      <w:r w:rsidR="00791625">
        <w:t>mpact</w:t>
      </w:r>
      <w:r w:rsidR="00D81AF6">
        <w:t xml:space="preserve"> and positive relationship with</w:t>
      </w:r>
      <w:r w:rsidR="00150230" w:rsidRPr="00150230">
        <w:t xml:space="preserve"> </w:t>
      </w:r>
      <w:r w:rsidR="00FA4A99">
        <w:t xml:space="preserve">the </w:t>
      </w:r>
      <w:r w:rsidR="00150230" w:rsidRPr="00150230">
        <w:t xml:space="preserve">Non-Performance Loans (NPL) of </w:t>
      </w:r>
      <w:r w:rsidR="00150230">
        <w:t>special purpose</w:t>
      </w:r>
      <w:r w:rsidR="00FA4A99">
        <w:t xml:space="preserve"> </w:t>
      </w:r>
      <w:r w:rsidR="005D7011">
        <w:t>credit</w:t>
      </w:r>
      <w:r w:rsidR="00FA4A99">
        <w:t xml:space="preserve"> of</w:t>
      </w:r>
      <w:r w:rsidR="005A3F6E">
        <w:t xml:space="preserve"> </w:t>
      </w:r>
      <w:r w:rsidR="00440A74">
        <w:t>b</w:t>
      </w:r>
      <w:r w:rsidR="00150230" w:rsidRPr="00150230">
        <w:t>anks in Indonesia.</w:t>
      </w:r>
      <w:r w:rsidR="005D7011">
        <w:t xml:space="preserve"> </w:t>
      </w:r>
      <w:r w:rsidR="005D7011" w:rsidRPr="005D7011">
        <w:t xml:space="preserve">If the NPL increases significantly, it will reduce </w:t>
      </w:r>
      <w:r w:rsidR="00FA4A99">
        <w:t xml:space="preserve">the customer confidence so </w:t>
      </w:r>
      <w:r w:rsidR="005D7011" w:rsidRPr="005D7011">
        <w:t xml:space="preserve">it will have an impact on </w:t>
      </w:r>
      <w:r w:rsidR="00FA4A99">
        <w:t xml:space="preserve">the </w:t>
      </w:r>
      <w:r w:rsidR="005D7011" w:rsidRPr="005D7011">
        <w:t xml:space="preserve">bank performance. </w:t>
      </w:r>
      <w:r w:rsidR="00FA4A99">
        <w:t>The c</w:t>
      </w:r>
      <w:r w:rsidR="005D7011" w:rsidRPr="005D7011">
        <w:t xml:space="preserve">ustomer trust </w:t>
      </w:r>
      <w:r w:rsidR="005D7011">
        <w:t xml:space="preserve">is </w:t>
      </w:r>
      <w:r w:rsidR="00FA4A99">
        <w:t xml:space="preserve">an </w:t>
      </w:r>
      <w:r w:rsidR="005D7011">
        <w:t>important factor in</w:t>
      </w:r>
      <w:r w:rsidR="005D7011" w:rsidRPr="005D7011">
        <w:t xml:space="preserve"> the banking industry. </w:t>
      </w:r>
    </w:p>
    <w:p w14:paraId="18DF4864" w14:textId="25156522" w:rsidR="00D03B8E" w:rsidRPr="00135E56" w:rsidRDefault="005D7011" w:rsidP="00FA4A99">
      <w:pPr>
        <w:ind w:firstLine="720"/>
        <w:jc w:val="both"/>
      </w:pPr>
      <w:r w:rsidRPr="00135E56">
        <w:t xml:space="preserve">Many factors affect </w:t>
      </w:r>
      <w:r w:rsidR="00FA4A99" w:rsidRPr="00135E56">
        <w:t>the customer trust in</w:t>
      </w:r>
      <w:r w:rsidRPr="00135E56">
        <w:t xml:space="preserve"> banks.</w:t>
      </w:r>
      <w:r w:rsidR="00FA4A99" w:rsidRPr="00135E56">
        <w:t xml:space="preserve"> Some of the previous studies</w:t>
      </w:r>
      <w:r w:rsidR="002753E5" w:rsidRPr="00135E56">
        <w:t xml:space="preserve"> disclosed such facts</w:t>
      </w:r>
      <w:r w:rsidR="00FA4A99" w:rsidRPr="00135E56">
        <w:t>. A s</w:t>
      </w:r>
      <w:r w:rsidRPr="00135E56">
        <w:t xml:space="preserve">tudy </w:t>
      </w:r>
      <w:r w:rsidR="005A3F6E">
        <w:t xml:space="preserve">implemented </w:t>
      </w:r>
      <w:r w:rsidR="00334A6B" w:rsidRPr="00135E56">
        <w:t>by</w:t>
      </w:r>
      <w:r w:rsidRPr="00135E56">
        <w:t xml:space="preserve"> </w:t>
      </w:r>
      <w:proofErr w:type="spellStart"/>
      <w:r w:rsidRPr="00135E56">
        <w:t>Ojeaga</w:t>
      </w:r>
      <w:proofErr w:type="spellEnd"/>
      <w:r w:rsidRPr="00135E56">
        <w:t xml:space="preserve"> and </w:t>
      </w:r>
      <w:proofErr w:type="spellStart"/>
      <w:r w:rsidRPr="00135E56">
        <w:t>Odejimi</w:t>
      </w:r>
      <w:proofErr w:type="spellEnd"/>
      <w:r w:rsidRPr="00135E56">
        <w:t xml:space="preserve"> (2014) </w:t>
      </w:r>
      <w:r w:rsidR="00FA4A99" w:rsidRPr="00135E56">
        <w:t xml:space="preserve">in regards </w:t>
      </w:r>
      <w:r w:rsidRPr="00135E56">
        <w:t>the impact of interest rates on total</w:t>
      </w:r>
      <w:r w:rsidR="005A3F6E">
        <w:t xml:space="preserve"> deposit</w:t>
      </w:r>
      <w:r w:rsidR="00FA4A99" w:rsidRPr="00135E56">
        <w:t xml:space="preserve"> </w:t>
      </w:r>
      <w:r w:rsidR="00354515" w:rsidRPr="00135E56">
        <w:t xml:space="preserve">found </w:t>
      </w:r>
      <w:r w:rsidR="00681766">
        <w:rPr>
          <w:shd w:val="clear" w:color="auto" w:fill="FFFFFF"/>
        </w:rPr>
        <w:t>that interest rates probably increase the bank deposit</w:t>
      </w:r>
      <w:r w:rsidR="00354515" w:rsidRPr="00135E56">
        <w:rPr>
          <w:shd w:val="clear" w:color="auto" w:fill="FFFFFF"/>
        </w:rPr>
        <w:t xml:space="preserve"> while </w:t>
      </w:r>
      <w:r w:rsidR="00681766">
        <w:rPr>
          <w:shd w:val="clear" w:color="auto" w:fill="FFFFFF"/>
        </w:rPr>
        <w:t>the income is</w:t>
      </w:r>
      <w:r w:rsidR="00354515" w:rsidRPr="00135E56">
        <w:rPr>
          <w:shd w:val="clear" w:color="auto" w:fill="FFFFFF"/>
        </w:rPr>
        <w:t xml:space="preserve"> also found to affect bank deposits in general.</w:t>
      </w:r>
      <w:r w:rsidR="00354515" w:rsidRPr="00135E56">
        <w:t xml:space="preserve"> B</w:t>
      </w:r>
      <w:r w:rsidR="00C30334" w:rsidRPr="00135E56">
        <w:t>ase</w:t>
      </w:r>
      <w:r w:rsidR="00354515" w:rsidRPr="00135E56">
        <w:t>d</w:t>
      </w:r>
      <w:r w:rsidR="00C30334" w:rsidRPr="00135E56">
        <w:t xml:space="preserve"> on </w:t>
      </w:r>
      <w:proofErr w:type="spellStart"/>
      <w:r w:rsidR="00C30334" w:rsidRPr="00135E56">
        <w:t>Cahyono</w:t>
      </w:r>
      <w:proofErr w:type="spellEnd"/>
      <w:r w:rsidR="00C30334" w:rsidRPr="00135E56">
        <w:t xml:space="preserve"> </w:t>
      </w:r>
      <w:r w:rsidR="00C30334" w:rsidRPr="00135E56">
        <w:rPr>
          <w:i/>
        </w:rPr>
        <w:t>et. al</w:t>
      </w:r>
      <w:r w:rsidR="00C30334" w:rsidRPr="00135E56">
        <w:t>. (2021)</w:t>
      </w:r>
      <w:r w:rsidR="00334A6B" w:rsidRPr="00135E56">
        <w:t xml:space="preserve"> in </w:t>
      </w:r>
      <w:r w:rsidR="00354515" w:rsidRPr="00135E56">
        <w:t>a</w:t>
      </w:r>
      <w:r w:rsidR="00334A6B" w:rsidRPr="00135E56">
        <w:t xml:space="preserve"> research on the factors that influence </w:t>
      </w:r>
      <w:r w:rsidR="001112C8" w:rsidRPr="00135E56">
        <w:t xml:space="preserve">the </w:t>
      </w:r>
      <w:r w:rsidR="00334A6B" w:rsidRPr="00135E56">
        <w:t xml:space="preserve">depositor trust in </w:t>
      </w:r>
      <w:r w:rsidR="001112C8" w:rsidRPr="00135E56">
        <w:t xml:space="preserve">the </w:t>
      </w:r>
      <w:r w:rsidR="00334A6B" w:rsidRPr="00135E56">
        <w:t xml:space="preserve">conventional and Islamic banks in Indonesia, it was found that </w:t>
      </w:r>
      <w:r w:rsidR="001112C8" w:rsidRPr="00135E56">
        <w:t xml:space="preserve">the </w:t>
      </w:r>
      <w:r w:rsidR="00822608" w:rsidRPr="00135E56">
        <w:t>deposi</w:t>
      </w:r>
      <w:r w:rsidR="00681766">
        <w:t>tor trust is significantly affected</w:t>
      </w:r>
      <w:r w:rsidR="00822608" w:rsidRPr="00135E56">
        <w:t xml:space="preserve"> by </w:t>
      </w:r>
      <w:r w:rsidR="001112C8" w:rsidRPr="00135E56">
        <w:t xml:space="preserve">the </w:t>
      </w:r>
      <w:r w:rsidR="00334A6B" w:rsidRPr="00135E56">
        <w:t xml:space="preserve">conventional bank interest rates and yield rates equivalent to </w:t>
      </w:r>
      <w:r w:rsidR="001112C8" w:rsidRPr="00135E56">
        <w:t xml:space="preserve">the </w:t>
      </w:r>
      <w:r w:rsidR="00334A6B" w:rsidRPr="00135E56">
        <w:t>Islamic banks.</w:t>
      </w:r>
    </w:p>
    <w:p w14:paraId="5D661CCE" w14:textId="60949F5D" w:rsidR="00AB06E8" w:rsidRDefault="00C74F31" w:rsidP="00AB06E8">
      <w:pPr>
        <w:jc w:val="both"/>
      </w:pPr>
      <w:r>
        <w:tab/>
      </w:r>
      <w:proofErr w:type="spellStart"/>
      <w:r w:rsidR="00A75A4C" w:rsidRPr="00A75A4C">
        <w:t>Atmaja</w:t>
      </w:r>
      <w:proofErr w:type="spellEnd"/>
      <w:r w:rsidR="00A75A4C" w:rsidRPr="00A75A4C">
        <w:t xml:space="preserve"> (2018) conducted </w:t>
      </w:r>
      <w:r w:rsidR="00833A38">
        <w:t xml:space="preserve">a </w:t>
      </w:r>
      <w:r w:rsidR="00A75A4C" w:rsidRPr="00A75A4C">
        <w:t xml:space="preserve">research on </w:t>
      </w:r>
      <w:r w:rsidR="00833A38">
        <w:t xml:space="preserve">the </w:t>
      </w:r>
      <w:r w:rsidR="00A75A4C" w:rsidRPr="00A75A4C">
        <w:t>service qual</w:t>
      </w:r>
      <w:r w:rsidR="00833A38">
        <w:t>ity and customer satisfaction on</w:t>
      </w:r>
      <w:r w:rsidR="00A75A4C" w:rsidRPr="00A75A4C">
        <w:t xml:space="preserve"> </w:t>
      </w:r>
      <w:r w:rsidR="00833A38">
        <w:t xml:space="preserve">the </w:t>
      </w:r>
      <w:r w:rsidR="00E1691E">
        <w:t xml:space="preserve">customer </w:t>
      </w:r>
      <w:r w:rsidR="00833A38">
        <w:t xml:space="preserve">loyalty to </w:t>
      </w:r>
      <w:r w:rsidR="00A75A4C" w:rsidRPr="00A75A4C">
        <w:t>BJB</w:t>
      </w:r>
      <w:r w:rsidR="00833A38">
        <w:t xml:space="preserve"> Bank</w:t>
      </w:r>
      <w:r w:rsidR="00A75A4C">
        <w:t xml:space="preserve"> found that</w:t>
      </w:r>
      <w:r w:rsidR="00A75A4C" w:rsidRPr="00A75A4C">
        <w:t xml:space="preserve"> </w:t>
      </w:r>
      <w:r w:rsidR="00833A38">
        <w:t xml:space="preserve">the </w:t>
      </w:r>
      <w:r w:rsidR="00A75A4C" w:rsidRPr="00A75A4C">
        <w:t xml:space="preserve">service quality is an important factor in determining </w:t>
      </w:r>
      <w:r w:rsidR="00833A38">
        <w:t xml:space="preserve">the </w:t>
      </w:r>
      <w:r w:rsidR="00A75A4C" w:rsidRPr="00A75A4C">
        <w:t>customer sati</w:t>
      </w:r>
      <w:r w:rsidR="00E1691E">
        <w:t xml:space="preserve">sfaction or dissatisfaction and it’s </w:t>
      </w:r>
      <w:r w:rsidR="00A6012C">
        <w:t>the beginning of the birth of the</w:t>
      </w:r>
      <w:r w:rsidR="00A75A4C" w:rsidRPr="00A75A4C">
        <w:t xml:space="preserve"> consumer loyalty.</w:t>
      </w:r>
      <w:r w:rsidR="00A6012C">
        <w:t xml:space="preserve"> </w:t>
      </w:r>
      <w:r w:rsidR="009D5F73">
        <w:t>A</w:t>
      </w:r>
      <w:r w:rsidR="009D5F73" w:rsidRPr="009D5F73">
        <w:t xml:space="preserve">ccording to </w:t>
      </w:r>
      <w:r w:rsidR="00A6012C">
        <w:t xml:space="preserve">the </w:t>
      </w:r>
      <w:r w:rsidR="00E1691E">
        <w:t xml:space="preserve">research done </w:t>
      </w:r>
      <w:r w:rsidR="009D5F73">
        <w:t xml:space="preserve">by </w:t>
      </w:r>
      <w:proofErr w:type="spellStart"/>
      <w:r w:rsidR="009D5F73" w:rsidRPr="009D5F73">
        <w:t>Ozac</w:t>
      </w:r>
      <w:proofErr w:type="spellEnd"/>
      <w:r w:rsidR="009D5F73" w:rsidRPr="009D5F73">
        <w:t xml:space="preserve"> </w:t>
      </w:r>
      <w:r w:rsidR="009D5F73" w:rsidRPr="00A6012C">
        <w:rPr>
          <w:i/>
        </w:rPr>
        <w:t>et.al</w:t>
      </w:r>
      <w:r w:rsidR="009D5F73" w:rsidRPr="009D5F73">
        <w:t xml:space="preserve"> (2016)</w:t>
      </w:r>
      <w:r w:rsidR="00A6012C">
        <w:t xml:space="preserve">, </w:t>
      </w:r>
      <w:r w:rsidR="009D5F73" w:rsidRPr="009D5F73">
        <w:t>conducted in North Cyprus</w:t>
      </w:r>
      <w:r w:rsidR="009D5F73">
        <w:t>,</w:t>
      </w:r>
      <w:r w:rsidR="009D5F73" w:rsidRPr="009D5F73">
        <w:t xml:space="preserve"> found that </w:t>
      </w:r>
      <w:r w:rsidR="00A6012C">
        <w:t xml:space="preserve">the </w:t>
      </w:r>
      <w:r w:rsidR="00822608" w:rsidRPr="009D5F73">
        <w:t>good and strong relationships in the banking sector</w:t>
      </w:r>
      <w:r w:rsidR="00A6012C">
        <w:t xml:space="preserve"> build</w:t>
      </w:r>
      <w:r w:rsidR="00822608" w:rsidRPr="009D5F73">
        <w:t xml:space="preserve"> </w:t>
      </w:r>
      <w:r w:rsidR="00A6012C">
        <w:t xml:space="preserve">the </w:t>
      </w:r>
      <w:r w:rsidR="00822608" w:rsidRPr="009D5F73">
        <w:t xml:space="preserve">trust between </w:t>
      </w:r>
      <w:r w:rsidR="00A6012C">
        <w:t xml:space="preserve">the </w:t>
      </w:r>
      <w:r w:rsidR="00822608" w:rsidRPr="009D5F73">
        <w:t xml:space="preserve">customers and </w:t>
      </w:r>
      <w:r w:rsidR="00A6012C">
        <w:t xml:space="preserve">the </w:t>
      </w:r>
      <w:r w:rsidR="00822608" w:rsidRPr="009D5F73">
        <w:t>bank employees</w:t>
      </w:r>
      <w:r w:rsidR="00822608">
        <w:t xml:space="preserve"> </w:t>
      </w:r>
      <w:r w:rsidR="00A6012C">
        <w:t xml:space="preserve">and </w:t>
      </w:r>
      <w:r w:rsidR="00822608">
        <w:t xml:space="preserve">offer </w:t>
      </w:r>
      <w:r w:rsidR="00A6012C">
        <w:t xml:space="preserve">the </w:t>
      </w:r>
      <w:r w:rsidR="009D5F73" w:rsidRPr="009D5F73">
        <w:t>customer satisfaction</w:t>
      </w:r>
      <w:r w:rsidR="00822608">
        <w:t>.</w:t>
      </w:r>
      <w:r w:rsidR="009D5F73" w:rsidRPr="009D5F73">
        <w:t xml:space="preserve"> </w:t>
      </w:r>
      <w:r w:rsidR="00607CD2">
        <w:t xml:space="preserve">The positive word of mouth has a major role in creating the customer satisfaction. </w:t>
      </w:r>
    </w:p>
    <w:p w14:paraId="71377BCB" w14:textId="2B7975C3" w:rsidR="00026661" w:rsidRPr="00D07EC8" w:rsidRDefault="009D5F73" w:rsidP="002573C4">
      <w:pPr>
        <w:jc w:val="both"/>
      </w:pPr>
      <w:r>
        <w:tab/>
      </w:r>
      <w:r w:rsidR="00E55814">
        <w:t>The s</w:t>
      </w:r>
      <w:r w:rsidR="00A6012C" w:rsidRPr="00704E52">
        <w:t>urvey on</w:t>
      </w:r>
      <w:r w:rsidR="00886AF5" w:rsidRPr="00704E52">
        <w:t xml:space="preserve"> bank </w:t>
      </w:r>
      <w:r w:rsidR="00026661" w:rsidRPr="00704E52">
        <w:t xml:space="preserve">trust in China in 2012 conducted by </w:t>
      </w:r>
      <w:proofErr w:type="spellStart"/>
      <w:r w:rsidR="00026661" w:rsidRPr="00704E52">
        <w:t>Fungáčová</w:t>
      </w:r>
      <w:proofErr w:type="spellEnd"/>
      <w:r w:rsidR="00026661" w:rsidRPr="00704E52">
        <w:t xml:space="preserve"> and Weill (2018) found</w:t>
      </w:r>
      <w:r w:rsidR="00704E52" w:rsidRPr="00704E52">
        <w:t xml:space="preserve"> </w:t>
      </w:r>
      <w:r w:rsidR="00704E52">
        <w:t xml:space="preserve">that </w:t>
      </w:r>
      <w:r w:rsidR="00E55814">
        <w:t xml:space="preserve">the </w:t>
      </w:r>
      <w:r w:rsidR="00704E52">
        <w:t>a</w:t>
      </w:r>
      <w:r w:rsidR="00704E52" w:rsidRPr="00704E52">
        <w:rPr>
          <w:color w:val="111111"/>
          <w:shd w:val="clear" w:color="auto" w:fill="FFFFFF"/>
        </w:rPr>
        <w:t>ge and satisfaction with</w:t>
      </w:r>
      <w:r w:rsidR="00624817">
        <w:rPr>
          <w:color w:val="111111"/>
          <w:shd w:val="clear" w:color="auto" w:fill="FFFFFF"/>
        </w:rPr>
        <w:t xml:space="preserve"> financial situation contribute</w:t>
      </w:r>
      <w:r w:rsidR="00704E52" w:rsidRPr="00704E52">
        <w:rPr>
          <w:color w:val="111111"/>
          <w:shd w:val="clear" w:color="auto" w:fill="FFFFFF"/>
        </w:rPr>
        <w:t xml:space="preserve"> trust in banks.</w:t>
      </w:r>
      <w:r w:rsidR="00704E52">
        <w:rPr>
          <w:rFonts w:ascii="Arial" w:hAnsi="Arial" w:cs="Arial"/>
          <w:color w:val="111111"/>
          <w:sz w:val="21"/>
          <w:szCs w:val="21"/>
          <w:shd w:val="clear" w:color="auto" w:fill="FFFFFF"/>
        </w:rPr>
        <w:t> </w:t>
      </w:r>
      <w:proofErr w:type="spellStart"/>
      <w:r w:rsidR="00704E52">
        <w:t>Fungáčová</w:t>
      </w:r>
      <w:proofErr w:type="spellEnd"/>
      <w:r w:rsidR="00704E52">
        <w:t xml:space="preserve"> </w:t>
      </w:r>
      <w:r w:rsidR="00704E52" w:rsidRPr="00704E52">
        <w:rPr>
          <w:i/>
        </w:rPr>
        <w:t xml:space="preserve">et. </w:t>
      </w:r>
      <w:r w:rsidR="00026661" w:rsidRPr="00704E52">
        <w:rPr>
          <w:i/>
        </w:rPr>
        <w:t>al</w:t>
      </w:r>
      <w:r w:rsidR="00026661" w:rsidRPr="00026661">
        <w:t xml:space="preserve">. (2019) conducted </w:t>
      </w:r>
      <w:r w:rsidR="00704E52">
        <w:t xml:space="preserve">a </w:t>
      </w:r>
      <w:r w:rsidR="00026661" w:rsidRPr="00026661">
        <w:t>research related to trust in banks</w:t>
      </w:r>
      <w:r w:rsidR="00624817">
        <w:t xml:space="preserve"> u</w:t>
      </w:r>
      <w:r w:rsidR="002573C4">
        <w:t xml:space="preserve">sing World Values Survey </w:t>
      </w:r>
      <w:r w:rsidR="0075261A">
        <w:t>(</w:t>
      </w:r>
      <w:r w:rsidR="002573C4">
        <w:t>52 countries</w:t>
      </w:r>
      <w:r w:rsidR="0075261A">
        <w:t>,</w:t>
      </w:r>
      <w:r w:rsidR="002573C4">
        <w:t xml:space="preserve"> 2010–2014</w:t>
      </w:r>
      <w:r w:rsidR="00135E56">
        <w:t xml:space="preserve"> period) </w:t>
      </w:r>
      <w:r w:rsidR="0075261A">
        <w:t xml:space="preserve">found that man </w:t>
      </w:r>
      <w:r w:rsidR="002573C4">
        <w:t xml:space="preserve">tend to trust banks </w:t>
      </w:r>
      <w:r w:rsidR="0075261A">
        <w:t>less</w:t>
      </w:r>
      <w:r w:rsidR="002573C4">
        <w:t xml:space="preserve"> than </w:t>
      </w:r>
      <w:r w:rsidR="0075261A">
        <w:t>women</w:t>
      </w:r>
      <w:r w:rsidR="00135E56">
        <w:t>. The t</w:t>
      </w:r>
      <w:r w:rsidR="002573C4">
        <w:t xml:space="preserve">rust in banks tends to </w:t>
      </w:r>
      <w:r w:rsidR="0075261A">
        <w:t xml:space="preserve">decrease with </w:t>
      </w:r>
      <w:r w:rsidR="00E55814">
        <w:t xml:space="preserve">the </w:t>
      </w:r>
      <w:r w:rsidR="0075261A">
        <w:t xml:space="preserve">age and education but </w:t>
      </w:r>
      <w:r w:rsidR="002573C4">
        <w:t xml:space="preserve">increase with </w:t>
      </w:r>
      <w:r w:rsidR="00E55814">
        <w:t xml:space="preserve">the </w:t>
      </w:r>
      <w:r w:rsidR="002573C4">
        <w:t>income</w:t>
      </w:r>
      <w:r w:rsidR="00135E56">
        <w:t>. The t</w:t>
      </w:r>
      <w:r w:rsidR="0075261A">
        <w:t xml:space="preserve">rust can be eroded by </w:t>
      </w:r>
      <w:r w:rsidR="00E55814">
        <w:t xml:space="preserve">the </w:t>
      </w:r>
      <w:r w:rsidR="0075261A">
        <w:t xml:space="preserve">internet access but can be enhanced by </w:t>
      </w:r>
      <w:r w:rsidR="00E55814">
        <w:t xml:space="preserve">the </w:t>
      </w:r>
      <w:r w:rsidR="002573C4">
        <w:t xml:space="preserve">access to television. Additionally, </w:t>
      </w:r>
      <w:r w:rsidR="00624817">
        <w:t xml:space="preserve">the </w:t>
      </w:r>
      <w:r w:rsidR="0075261A">
        <w:t>trus</w:t>
      </w:r>
      <w:r w:rsidR="004A547D">
        <w:t xml:space="preserve">t in bank affected by economic values, </w:t>
      </w:r>
      <w:r w:rsidR="002573C4">
        <w:t>religious</w:t>
      </w:r>
      <w:r w:rsidR="00704E52">
        <w:t>,</w:t>
      </w:r>
      <w:r w:rsidR="004A547D">
        <w:t xml:space="preserve"> and </w:t>
      </w:r>
      <w:r w:rsidR="002573C4">
        <w:t>political. Notably, religious individuals tend to put greater trust in banks.</w:t>
      </w:r>
    </w:p>
    <w:p w14:paraId="6DBFB2DD" w14:textId="2B47ED49" w:rsidR="006A044C" w:rsidRPr="00D07EC8" w:rsidRDefault="00AB06E8" w:rsidP="00F508B2">
      <w:pPr>
        <w:jc w:val="both"/>
      </w:pPr>
      <w:r w:rsidRPr="00D07EC8">
        <w:tab/>
      </w:r>
      <w:r w:rsidR="00103184">
        <w:t>A r</w:t>
      </w:r>
      <w:r w:rsidR="005C6A04" w:rsidRPr="005C6A04">
        <w:t xml:space="preserve">esearch conducted on the Polish market by Piotrowski (2020) comparing the banking sector in Poland with </w:t>
      </w:r>
      <w:r w:rsidR="003B0FE0">
        <w:t xml:space="preserve">the </w:t>
      </w:r>
      <w:r w:rsidR="005C6A04" w:rsidRPr="005C6A04">
        <w:t>global trends</w:t>
      </w:r>
      <w:r w:rsidR="002D11F4">
        <w:t xml:space="preserve"> </w:t>
      </w:r>
      <w:r w:rsidR="005C6A04" w:rsidRPr="005C6A04">
        <w:t xml:space="preserve">shows that </w:t>
      </w:r>
      <w:r w:rsidR="004A547D" w:rsidRPr="005C6A04">
        <w:t xml:space="preserve">trust in banks in recent years </w:t>
      </w:r>
      <w:r w:rsidR="004A547D">
        <w:t xml:space="preserve">can be increased by </w:t>
      </w:r>
      <w:r w:rsidR="005C6A04" w:rsidRPr="005C6A04">
        <w:t xml:space="preserve">financial stability, improved quality of services provided, and concern for security </w:t>
      </w:r>
      <w:r w:rsidR="004A547D">
        <w:t>as the</w:t>
      </w:r>
      <w:r w:rsidR="005C6A04" w:rsidRPr="005C6A04">
        <w:t xml:space="preserve"> main factors. On a global scale, </w:t>
      </w:r>
      <w:r w:rsidR="00FA5883" w:rsidRPr="005C6A04">
        <w:t xml:space="preserve">high trust in banks </w:t>
      </w:r>
      <w:r w:rsidR="0090419F">
        <w:t>also has</w:t>
      </w:r>
      <w:r w:rsidR="00FA5883">
        <w:t xml:space="preserve"> an </w:t>
      </w:r>
      <w:r w:rsidR="005C6A04" w:rsidRPr="005C6A04">
        <w:t xml:space="preserve">efficient problem resolution/complaint handling </w:t>
      </w:r>
      <w:r w:rsidR="00FA5883">
        <w:t>as</w:t>
      </w:r>
      <w:r w:rsidR="005C6A04" w:rsidRPr="005C6A04">
        <w:t xml:space="preserve"> important determinant. In addition</w:t>
      </w:r>
      <w:r w:rsidR="00E82288">
        <w:t xml:space="preserve"> to</w:t>
      </w:r>
      <w:r w:rsidR="005C6A04" w:rsidRPr="005C6A04">
        <w:t xml:space="preserve">, </w:t>
      </w:r>
      <w:r w:rsidR="00FA5883" w:rsidRPr="005C6A04">
        <w:t xml:space="preserve">Western and Eastern countries </w:t>
      </w:r>
      <w:r w:rsidR="00FA5883">
        <w:t xml:space="preserve">have </w:t>
      </w:r>
      <w:r w:rsidR="003B0FE0">
        <w:t>different</w:t>
      </w:r>
      <w:r w:rsidR="00FA5883" w:rsidRPr="005C6A04">
        <w:t xml:space="preserve"> level of trust in the banking sector </w:t>
      </w:r>
      <w:r w:rsidR="00474AA6">
        <w:t xml:space="preserve">that can be </w:t>
      </w:r>
      <w:r w:rsidR="00474AA6" w:rsidRPr="005C6A04">
        <w:t xml:space="preserve">identified </w:t>
      </w:r>
      <w:r w:rsidR="00474AA6">
        <w:t xml:space="preserve">by </w:t>
      </w:r>
      <w:r w:rsidR="00A14D0D">
        <w:t xml:space="preserve">the </w:t>
      </w:r>
      <w:r w:rsidR="005C6A04" w:rsidRPr="005C6A04">
        <w:t>cultural factors as determinants</w:t>
      </w:r>
      <w:r w:rsidR="002D11F4">
        <w:t xml:space="preserve">. </w:t>
      </w:r>
      <w:r w:rsidR="00065EAF">
        <w:t>External sources and bank</w:t>
      </w:r>
      <w:r w:rsidR="00510AFB">
        <w:t>s</w:t>
      </w:r>
      <w:r w:rsidR="00065EAF">
        <w:t xml:space="preserve"> can produce trust and confidence base</w:t>
      </w:r>
      <w:r w:rsidR="003B0FE0">
        <w:t>d</w:t>
      </w:r>
      <w:r w:rsidR="00065EAF">
        <w:t xml:space="preserve"> on </w:t>
      </w:r>
      <w:r w:rsidR="0090419F">
        <w:t xml:space="preserve">the </w:t>
      </w:r>
      <w:r w:rsidR="00065EAF">
        <w:t xml:space="preserve">efficient operation as </w:t>
      </w:r>
      <w:r w:rsidR="00510AFB">
        <w:lastRenderedPageBreak/>
        <w:t xml:space="preserve">the </w:t>
      </w:r>
      <w:r w:rsidR="00065EAF">
        <w:t>informational intermediaries. As an interdisciplinary concept, bank’s information production and protection of micro- and macro-stability</w:t>
      </w:r>
      <w:r w:rsidR="0029567F">
        <w:t xml:space="preserve"> are in</w:t>
      </w:r>
      <w:r w:rsidR="00103184">
        <w:t>dispensable element of bank to</w:t>
      </w:r>
      <w:r w:rsidR="0029567F">
        <w:t xml:space="preserve"> establish trust and confidence</w:t>
      </w:r>
      <w:r w:rsidR="006A044C" w:rsidRPr="00AA7071">
        <w:t xml:space="preserve"> (</w:t>
      </w:r>
      <w:proofErr w:type="spellStart"/>
      <w:r w:rsidR="006A044C" w:rsidRPr="00AA7071">
        <w:t>Basaran</w:t>
      </w:r>
      <w:proofErr w:type="spellEnd"/>
      <w:r w:rsidR="006A044C" w:rsidRPr="00AA7071">
        <w:t xml:space="preserve"> &amp; Bagheri, 2020).</w:t>
      </w:r>
    </w:p>
    <w:p w14:paraId="727AB9AD" w14:textId="646CD721" w:rsidR="00EF5FDC" w:rsidRDefault="008F2850" w:rsidP="008B06F8">
      <w:pPr>
        <w:jc w:val="both"/>
      </w:pPr>
      <w:r>
        <w:tab/>
      </w:r>
      <w:r w:rsidR="00E82288">
        <w:t>The l</w:t>
      </w:r>
      <w:r w:rsidR="008B06F8" w:rsidRPr="008B06F8">
        <w:t>ower deposit</w:t>
      </w:r>
      <w:r w:rsidR="00E82288">
        <w:t xml:space="preserve"> interest</w:t>
      </w:r>
      <w:r w:rsidR="008B06F8" w:rsidRPr="008B06F8">
        <w:t xml:space="preserve"> rates</w:t>
      </w:r>
      <w:r w:rsidR="00E82288">
        <w:t xml:space="preserve"> are offered by</w:t>
      </w:r>
      <w:r w:rsidR="008B06F8">
        <w:t xml:space="preserve"> large, geographically diversified banking organizations compare</w:t>
      </w:r>
      <w:r w:rsidR="00E82288">
        <w:t>d to</w:t>
      </w:r>
      <w:r w:rsidR="008B06F8">
        <w:t xml:space="preserve"> their competitors (Hannan &amp; Prager, 2006). They </w:t>
      </w:r>
      <w:r w:rsidR="00F8012A">
        <w:t xml:space="preserve">also </w:t>
      </w:r>
      <w:r w:rsidR="008B06F8">
        <w:t xml:space="preserve">found </w:t>
      </w:r>
      <w:r w:rsidR="007D0906">
        <w:t xml:space="preserve">the </w:t>
      </w:r>
      <w:r w:rsidR="008B06F8">
        <w:t>deposit interest rates are negatively related</w:t>
      </w:r>
      <w:r w:rsidR="007D0906">
        <w:t xml:space="preserve"> </w:t>
      </w:r>
      <w:r w:rsidR="008B06F8">
        <w:t>to the number of local banking markets</w:t>
      </w:r>
      <w:r w:rsidR="007D0906">
        <w:t xml:space="preserve"> although </w:t>
      </w:r>
      <w:r w:rsidR="00510AFB">
        <w:t>after controlling the</w:t>
      </w:r>
      <w:r w:rsidR="007D0906" w:rsidRPr="007D0906">
        <w:t xml:space="preserve"> organization size</w:t>
      </w:r>
      <w:r w:rsidR="007D0906">
        <w:t xml:space="preserve">. </w:t>
      </w:r>
      <w:proofErr w:type="spellStart"/>
      <w:r w:rsidR="00EF5FDC">
        <w:t>Dewi</w:t>
      </w:r>
      <w:proofErr w:type="spellEnd"/>
      <w:r w:rsidR="00EF5FDC">
        <w:t xml:space="preserve"> &amp; Haryanto (2015) found that </w:t>
      </w:r>
      <w:r w:rsidR="00EF5FDC" w:rsidRPr="00EF5FDC">
        <w:t>inflation rate, Capital Adequacy Ratio (CAR) and Loan to Deposit Ratio (LDR)</w:t>
      </w:r>
      <w:r w:rsidR="00EF5FDC">
        <w:t xml:space="preserve"> have significant effect on </w:t>
      </w:r>
      <w:r w:rsidR="00EF5FDC" w:rsidRPr="00EF5FDC">
        <w:t xml:space="preserve">Time Deposit Interest Rate of </w:t>
      </w:r>
      <w:r w:rsidR="001348A4">
        <w:t xml:space="preserve">the </w:t>
      </w:r>
      <w:r w:rsidR="00EF5FDC" w:rsidRPr="00EF5FDC">
        <w:t>Commercial Bank in Indonesia</w:t>
      </w:r>
      <w:r w:rsidR="00EF5FDC">
        <w:t>.</w:t>
      </w:r>
      <w:r w:rsidR="00E412AB">
        <w:t xml:space="preserve"> </w:t>
      </w:r>
      <w:proofErr w:type="gramStart"/>
      <w:r w:rsidR="00E412AB">
        <w:t>A r</w:t>
      </w:r>
      <w:r w:rsidR="00AD0D23">
        <w:t>esearch</w:t>
      </w:r>
      <w:proofErr w:type="gramEnd"/>
      <w:r w:rsidR="00AD0D23">
        <w:t xml:space="preserve"> about </w:t>
      </w:r>
      <w:r w:rsidR="00E412AB">
        <w:t xml:space="preserve">the </w:t>
      </w:r>
      <w:r w:rsidR="00AD0D23" w:rsidRPr="00AD0D23">
        <w:t>impact of interest and inflation rates on deposits' behavior of banks</w:t>
      </w:r>
      <w:r w:rsidR="00AD0D23">
        <w:t xml:space="preserve"> in </w:t>
      </w:r>
      <w:r w:rsidR="00AD0D23" w:rsidRPr="00AD0D23">
        <w:t>Egypt</w:t>
      </w:r>
      <w:r w:rsidR="00AD0D23">
        <w:t xml:space="preserve"> conducted by Mohamed Youssef </w:t>
      </w:r>
      <w:r w:rsidR="00AD0D23" w:rsidRPr="00510AFB">
        <w:rPr>
          <w:i/>
        </w:rPr>
        <w:t>et. al.</w:t>
      </w:r>
      <w:r w:rsidR="001008BB">
        <w:t xml:space="preserve"> (2022) </w:t>
      </w:r>
      <w:r w:rsidR="00AD0D23">
        <w:t>found that t</w:t>
      </w:r>
      <w:r w:rsidR="00B23727" w:rsidRPr="00B23727">
        <w:t>he deposits' behavior of banks</w:t>
      </w:r>
      <w:r w:rsidR="00B23727">
        <w:t xml:space="preserve"> has </w:t>
      </w:r>
      <w:r w:rsidR="00B23727" w:rsidRPr="00B23727">
        <w:t>associat</w:t>
      </w:r>
      <w:r w:rsidR="00B23727">
        <w:t xml:space="preserve">ion with </w:t>
      </w:r>
      <w:r w:rsidR="00E412AB">
        <w:t xml:space="preserve">the </w:t>
      </w:r>
      <w:r w:rsidR="00B23727" w:rsidRPr="00B23727">
        <w:t>inflation rate</w:t>
      </w:r>
      <w:r w:rsidR="00B23727">
        <w:t xml:space="preserve"> </w:t>
      </w:r>
      <w:r w:rsidR="00B23727" w:rsidRPr="00B23727">
        <w:t>volatility</w:t>
      </w:r>
      <w:r w:rsidR="00B23727">
        <w:t xml:space="preserve"> but no association with </w:t>
      </w:r>
      <w:r w:rsidR="00E412AB">
        <w:t xml:space="preserve">the </w:t>
      </w:r>
      <w:r w:rsidR="00B23727" w:rsidRPr="00B23727">
        <w:t>in</w:t>
      </w:r>
      <w:r w:rsidR="00B23727">
        <w:t>terest</w:t>
      </w:r>
      <w:r w:rsidR="00B23727" w:rsidRPr="00B23727">
        <w:t xml:space="preserve"> rate</w:t>
      </w:r>
      <w:r w:rsidR="00B23727">
        <w:t xml:space="preserve"> </w:t>
      </w:r>
      <w:r w:rsidR="00B23727" w:rsidRPr="00B23727">
        <w:t>volatility</w:t>
      </w:r>
      <w:r w:rsidR="00AD0D23">
        <w:t>.</w:t>
      </w:r>
    </w:p>
    <w:p w14:paraId="30741E88" w14:textId="3EEC9A26" w:rsidR="000D0F77" w:rsidRDefault="000D0F77" w:rsidP="00B23727">
      <w:pPr>
        <w:ind w:firstLine="720"/>
        <w:jc w:val="both"/>
      </w:pPr>
      <w:r w:rsidRPr="000D0F77">
        <w:t xml:space="preserve">Based on </w:t>
      </w:r>
      <w:r w:rsidR="00E412AB">
        <w:t xml:space="preserve">all </w:t>
      </w:r>
      <w:r w:rsidRPr="000D0F77">
        <w:t>the description</w:t>
      </w:r>
      <w:r w:rsidR="00E412AB">
        <w:t>s</w:t>
      </w:r>
      <w:r w:rsidRPr="000D0F77">
        <w:t xml:space="preserve"> above, </w:t>
      </w:r>
      <w:r w:rsidR="00FC40EF">
        <w:t>w</w:t>
      </w:r>
      <w:r w:rsidRPr="000D0F77">
        <w:t>e have not</w:t>
      </w:r>
      <w:r w:rsidR="00E412AB">
        <w:t xml:space="preserve"> yet</w:t>
      </w:r>
      <w:r w:rsidRPr="000D0F77">
        <w:t xml:space="preserve"> found any research that tests the confidence level of bank management in making policies</w:t>
      </w:r>
      <w:r w:rsidR="00E412AB">
        <w:t xml:space="preserve"> using </w:t>
      </w:r>
      <w:r w:rsidR="00FC40EF">
        <w:t>secondary data.</w:t>
      </w:r>
      <w:r w:rsidR="00E412AB">
        <w:t xml:space="preserve"> Due to, we used  the secondary data to conduct</w:t>
      </w:r>
      <w:r w:rsidRPr="000D0F77">
        <w:t xml:space="preserve"> </w:t>
      </w:r>
      <w:r w:rsidR="00E412AB">
        <w:t xml:space="preserve">a </w:t>
      </w:r>
      <w:r w:rsidRPr="000D0F77">
        <w:t>research to test t</w:t>
      </w:r>
      <w:r w:rsidR="00E412AB">
        <w:t>his level of confidence by applying</w:t>
      </w:r>
      <w:r w:rsidRPr="000D0F77">
        <w:t xml:space="preserve"> the deposit </w:t>
      </w:r>
      <w:r w:rsidR="00FC40EF">
        <w:t xml:space="preserve">interest </w:t>
      </w:r>
      <w:r w:rsidRPr="000D0F77">
        <w:t xml:space="preserve">rate </w:t>
      </w:r>
      <w:r>
        <w:t xml:space="preserve">that </w:t>
      </w:r>
      <w:r w:rsidR="00D0568D">
        <w:t>set by the bank</w:t>
      </w:r>
      <w:r w:rsidRPr="000D0F77">
        <w:t>s</w:t>
      </w:r>
      <w:r w:rsidR="00D0568D">
        <w:t>’</w:t>
      </w:r>
      <w:r w:rsidRPr="000D0F77">
        <w:t xml:space="preserve"> management</w:t>
      </w:r>
      <w:r w:rsidR="00E412AB">
        <w:t>s</w:t>
      </w:r>
      <w:r w:rsidRPr="000D0F77">
        <w:t xml:space="preserve"> as an indicator.</w:t>
      </w:r>
      <w:r>
        <w:t xml:space="preserve"> </w:t>
      </w:r>
      <w:r w:rsidR="00D0568D">
        <w:t>Because deposit</w:t>
      </w:r>
      <w:r w:rsidRPr="000D0F77">
        <w:t xml:space="preserve"> interest rates fluctuate within a year, we use </w:t>
      </w:r>
      <w:r w:rsidR="00790015" w:rsidRPr="00732BB7">
        <w:rPr>
          <w:i/>
          <w:iCs/>
        </w:rPr>
        <w:t>In</w:t>
      </w:r>
      <w:r w:rsidR="00D0568D">
        <w:rPr>
          <w:i/>
          <w:iCs/>
        </w:rPr>
        <w:t>terest Expense to Total Deposit</w:t>
      </w:r>
      <w:r w:rsidR="00790015" w:rsidRPr="00732BB7">
        <w:rPr>
          <w:i/>
          <w:iCs/>
        </w:rPr>
        <w:t xml:space="preserve"> Ratio</w:t>
      </w:r>
      <w:r w:rsidR="00790015" w:rsidRPr="00732BB7">
        <w:t xml:space="preserve"> </w:t>
      </w:r>
      <w:r w:rsidR="001C7585">
        <w:t>(</w:t>
      </w:r>
      <w:r w:rsidR="00790015" w:rsidRPr="00732BB7">
        <w:t>IETDR</w:t>
      </w:r>
      <w:r w:rsidR="00790015">
        <w:t>) as</w:t>
      </w:r>
      <w:r w:rsidR="00790015" w:rsidRPr="000D0F77">
        <w:t xml:space="preserve"> </w:t>
      </w:r>
      <w:r w:rsidR="00A8268A">
        <w:t xml:space="preserve">a </w:t>
      </w:r>
      <w:r w:rsidRPr="000D0F77">
        <w:t>prox</w:t>
      </w:r>
      <w:r w:rsidR="00790015">
        <w:t>y</w:t>
      </w:r>
      <w:r w:rsidRPr="000D0F77">
        <w:t xml:space="preserve"> </w:t>
      </w:r>
      <w:r w:rsidR="001C7585">
        <w:t xml:space="preserve">and it </w:t>
      </w:r>
      <w:r w:rsidR="00A8268A">
        <w:t xml:space="preserve">is </w:t>
      </w:r>
      <w:r w:rsidR="001C7585">
        <w:t>use</w:t>
      </w:r>
      <w:r w:rsidR="00A8268A">
        <w:t>d</w:t>
      </w:r>
      <w:r w:rsidR="001C7585">
        <w:t xml:space="preserve"> </w:t>
      </w:r>
      <w:r w:rsidR="00790015">
        <w:t xml:space="preserve">as indicator </w:t>
      </w:r>
      <w:r w:rsidR="002D665B">
        <w:t>of</w:t>
      </w:r>
      <w:r w:rsidRPr="000D0F77">
        <w:t xml:space="preserve"> </w:t>
      </w:r>
      <w:r w:rsidR="00A8268A">
        <w:t xml:space="preserve">the </w:t>
      </w:r>
      <w:r w:rsidRPr="000D0F77">
        <w:t>level of management confidence</w:t>
      </w:r>
      <w:r w:rsidR="00AD255D">
        <w:t xml:space="preserve">. </w:t>
      </w:r>
      <w:r w:rsidR="00AD255D" w:rsidRPr="000F2419">
        <w:t xml:space="preserve">This ratio is the aggregate interest rate on deposits provided by </w:t>
      </w:r>
      <w:r w:rsidR="00A8268A">
        <w:t xml:space="preserve">the </w:t>
      </w:r>
      <w:r w:rsidR="00AD255D" w:rsidRPr="000F2419">
        <w:t>banks to their customers</w:t>
      </w:r>
      <w:r w:rsidR="00AD255D">
        <w:t xml:space="preserve">. </w:t>
      </w:r>
      <w:r w:rsidR="00AD255D" w:rsidRPr="009172B7">
        <w:t xml:space="preserve">This ratio </w:t>
      </w:r>
      <w:r w:rsidR="00A8268A">
        <w:t>is used as</w:t>
      </w:r>
      <w:r w:rsidR="00AD255D" w:rsidRPr="009172B7">
        <w:t xml:space="preserve"> one of management's considerations in making decisions regarding </w:t>
      </w:r>
      <w:r w:rsidR="00A8268A">
        <w:t xml:space="preserve">the </w:t>
      </w:r>
      <w:r w:rsidR="00AD255D" w:rsidRPr="009172B7">
        <w:t>deposit interest rates</w:t>
      </w:r>
      <w:r w:rsidR="00AD255D">
        <w:t xml:space="preserve">. </w:t>
      </w:r>
      <w:r w:rsidR="00AD255D" w:rsidRPr="008D640A">
        <w:t>The determinants used</w:t>
      </w:r>
      <w:r w:rsidR="00A8268A">
        <w:t xml:space="preserve"> are </w:t>
      </w:r>
      <w:r w:rsidR="00AD255D" w:rsidRPr="008D640A">
        <w:t>risk factors and operational factors such as efficiency and profitability.</w:t>
      </w:r>
      <w:r w:rsidR="00AD255D">
        <w:t xml:space="preserve"> R</w:t>
      </w:r>
      <w:r w:rsidR="00AD255D" w:rsidRPr="008D640A">
        <w:t>isk factors</w:t>
      </w:r>
      <w:r w:rsidR="00AD255D">
        <w:t xml:space="preserve"> use </w:t>
      </w:r>
      <w:r w:rsidR="00AD255D" w:rsidRPr="00732BB7">
        <w:rPr>
          <w:i/>
          <w:iCs/>
        </w:rPr>
        <w:t>Capital Adequacy Ratio</w:t>
      </w:r>
      <w:r w:rsidR="00AD255D" w:rsidRPr="00732BB7">
        <w:t xml:space="preserve"> (CAR)</w:t>
      </w:r>
      <w:r w:rsidR="00AD255D">
        <w:t xml:space="preserve"> and</w:t>
      </w:r>
      <w:r w:rsidR="00AD255D" w:rsidRPr="00732BB7">
        <w:t xml:space="preserve"> </w:t>
      </w:r>
      <w:r w:rsidR="00AD255D" w:rsidRPr="00732BB7">
        <w:rPr>
          <w:i/>
          <w:iCs/>
        </w:rPr>
        <w:t>Non-Performing Loan</w:t>
      </w:r>
      <w:r w:rsidR="00AD255D" w:rsidRPr="00732BB7">
        <w:t xml:space="preserve"> (NPL)</w:t>
      </w:r>
      <w:r w:rsidR="002D665B">
        <w:t xml:space="preserve"> as proxies</w:t>
      </w:r>
      <w:r w:rsidR="00AD255D">
        <w:t>. O</w:t>
      </w:r>
      <w:r w:rsidR="00AD255D" w:rsidRPr="008D640A">
        <w:t>perational factors</w:t>
      </w:r>
      <w:r w:rsidR="00AD255D">
        <w:t xml:space="preserve"> use </w:t>
      </w:r>
      <w:r w:rsidR="00AD255D" w:rsidRPr="00732BB7">
        <w:rPr>
          <w:i/>
          <w:iCs/>
        </w:rPr>
        <w:t>Return on Asset</w:t>
      </w:r>
      <w:r w:rsidR="00AD255D" w:rsidRPr="00732BB7">
        <w:t xml:space="preserve"> </w:t>
      </w:r>
      <w:r w:rsidR="00AD255D">
        <w:t>(</w:t>
      </w:r>
      <w:r w:rsidR="00AD255D" w:rsidRPr="00732BB7">
        <w:t xml:space="preserve">ROA) </w:t>
      </w:r>
      <w:r w:rsidR="00AD255D">
        <w:t>and</w:t>
      </w:r>
      <w:r w:rsidR="00AD255D" w:rsidRPr="00732BB7">
        <w:t xml:space="preserve"> Efficiency </w:t>
      </w:r>
      <w:r w:rsidR="00AD255D">
        <w:t xml:space="preserve">Ratio </w:t>
      </w:r>
      <w:r w:rsidR="00AD255D" w:rsidRPr="00732BB7">
        <w:t>(EFR)</w:t>
      </w:r>
      <w:r w:rsidR="002D665B">
        <w:t xml:space="preserve"> as proxies</w:t>
      </w:r>
      <w:r w:rsidR="00AD255D">
        <w:t xml:space="preserve">. For macroeconomic variable, </w:t>
      </w:r>
      <w:r w:rsidR="00AD255D" w:rsidRPr="00732BB7">
        <w:rPr>
          <w:i/>
          <w:iCs/>
        </w:rPr>
        <w:t>Inflation</w:t>
      </w:r>
      <w:r w:rsidR="00AD255D" w:rsidRPr="00732BB7">
        <w:t xml:space="preserve"> </w:t>
      </w:r>
      <w:r w:rsidR="00AD255D">
        <w:t>(</w:t>
      </w:r>
      <w:r w:rsidR="00AD255D" w:rsidRPr="00732BB7">
        <w:t>IF</w:t>
      </w:r>
      <w:r w:rsidR="00AD255D">
        <w:t xml:space="preserve">) and </w:t>
      </w:r>
      <w:r w:rsidR="00AD255D" w:rsidRPr="00732BB7">
        <w:rPr>
          <w:i/>
          <w:iCs/>
        </w:rPr>
        <w:t>Interest Rate</w:t>
      </w:r>
      <w:r w:rsidR="00AD255D" w:rsidRPr="00732BB7">
        <w:t xml:space="preserve"> </w:t>
      </w:r>
      <w:r w:rsidR="00AD255D">
        <w:t>(</w:t>
      </w:r>
      <w:r w:rsidR="00AD255D" w:rsidRPr="00732BB7">
        <w:t>IR</w:t>
      </w:r>
      <w:r w:rsidR="00AD255D">
        <w:t>) from Bank Indonesia</w:t>
      </w:r>
      <w:r w:rsidR="00A8268A">
        <w:t xml:space="preserve"> are used</w:t>
      </w:r>
      <w:r w:rsidR="00615BE9">
        <w:t xml:space="preserve"> and</w:t>
      </w:r>
      <w:r w:rsidR="00AD255D">
        <w:t xml:space="preserve"> </w:t>
      </w:r>
      <w:r w:rsidR="00A8268A">
        <w:t xml:space="preserve">Bank scale </w:t>
      </w:r>
      <w:r w:rsidR="006D3EA3">
        <w:t>functions</w:t>
      </w:r>
      <w:r w:rsidR="00A8268A">
        <w:t xml:space="preserve"> as m</w:t>
      </w:r>
      <w:r w:rsidR="00AD255D">
        <w:t>oderating variable</w:t>
      </w:r>
      <w:r w:rsidR="00A8268A">
        <w:t xml:space="preserve">. </w:t>
      </w:r>
    </w:p>
    <w:p w14:paraId="3FD3E0E6" w14:textId="4EA4E3C0" w:rsidR="00AD2D84" w:rsidRDefault="00AD2D84" w:rsidP="00105C44">
      <w:pPr>
        <w:jc w:val="both"/>
      </w:pPr>
    </w:p>
    <w:p w14:paraId="43EDE484" w14:textId="77777777" w:rsidR="003625BF" w:rsidRPr="00AD2D84" w:rsidRDefault="003625BF" w:rsidP="00105C44">
      <w:pPr>
        <w:jc w:val="both"/>
      </w:pPr>
    </w:p>
    <w:p w14:paraId="69B51D50" w14:textId="14AE16A2" w:rsidR="00B81929" w:rsidRPr="00A27D45" w:rsidRDefault="007F1BBF" w:rsidP="00A8268A">
      <w:pPr>
        <w:pStyle w:val="Heading2"/>
        <w:tabs>
          <w:tab w:val="left" w:pos="291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II. </w:t>
      </w:r>
      <w:r w:rsidR="005F2EED" w:rsidRPr="00A27D45">
        <w:rPr>
          <w:rFonts w:ascii="Times New Roman" w:hAnsi="Times New Roman" w:cs="Times New Roman"/>
          <w:b/>
          <w:color w:val="auto"/>
          <w:sz w:val="24"/>
          <w:szCs w:val="24"/>
        </w:rPr>
        <w:t>Literature Review</w:t>
      </w:r>
      <w:r w:rsidR="00A8268A" w:rsidRPr="00A27D45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E53DB88" w14:textId="0A5BD085" w:rsidR="0064449A" w:rsidRPr="00E82288" w:rsidRDefault="0064449A" w:rsidP="00105C44">
      <w:pPr>
        <w:jc w:val="both"/>
      </w:pPr>
    </w:p>
    <w:p w14:paraId="7F5B3BFB" w14:textId="7942E12C" w:rsidR="005C4D67" w:rsidRPr="00A27D45" w:rsidRDefault="00ED16D4" w:rsidP="005C4D67">
      <w:pPr>
        <w:pStyle w:val="Heading3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II.1 </w:t>
      </w:r>
      <w:r w:rsidR="005C4D67" w:rsidRPr="00A27D45">
        <w:rPr>
          <w:rFonts w:ascii="Times New Roman" w:hAnsi="Times New Roman" w:cs="Times New Roman"/>
          <w:b/>
          <w:color w:val="auto"/>
        </w:rPr>
        <w:t>Bank</w:t>
      </w:r>
    </w:p>
    <w:p w14:paraId="1F3A0623" w14:textId="77777777" w:rsidR="005C4D67" w:rsidRPr="00732BB7" w:rsidRDefault="005C4D67" w:rsidP="00266EBC">
      <w:pPr>
        <w:jc w:val="both"/>
      </w:pPr>
    </w:p>
    <w:p w14:paraId="4096CEC7" w14:textId="4F4D4437" w:rsidR="00BD7BA3" w:rsidRPr="00732BB7" w:rsidRDefault="005F2EED" w:rsidP="000D5EDF">
      <w:pPr>
        <w:ind w:firstLine="720"/>
        <w:jc w:val="both"/>
      </w:pPr>
      <w:r>
        <w:t>Base</w:t>
      </w:r>
      <w:r w:rsidR="006D3EA3">
        <w:t>d</w:t>
      </w:r>
      <w:r>
        <w:t xml:space="preserve"> on</w:t>
      </w:r>
      <w:r w:rsidR="00266EBC" w:rsidRPr="00732BB7">
        <w:t xml:space="preserve"> Rose </w:t>
      </w:r>
      <w:r>
        <w:t>and</w:t>
      </w:r>
      <w:r w:rsidR="00266EBC" w:rsidRPr="00732BB7">
        <w:t xml:space="preserve"> Hudgins (2013), </w:t>
      </w:r>
      <w:r w:rsidR="006D3EA3">
        <w:t>a</w:t>
      </w:r>
      <w:r>
        <w:t xml:space="preserve"> bank can be defined in terms of (1) </w:t>
      </w:r>
      <w:r w:rsidR="001F66BE">
        <w:t xml:space="preserve">perform </w:t>
      </w:r>
      <w:r>
        <w:t>the econ</w:t>
      </w:r>
      <w:r w:rsidR="006D3EA3">
        <w:t>omic functions, (2) services, and</w:t>
      </w:r>
      <w:r>
        <w:t xml:space="preserve"> (3) legal basis</w:t>
      </w:r>
      <w:r w:rsidR="00266EBC" w:rsidRPr="00732BB7">
        <w:t>.</w:t>
      </w:r>
      <w:r w:rsidR="008A1E5B" w:rsidRPr="00732BB7">
        <w:t xml:space="preserve"> </w:t>
      </w:r>
      <w:r w:rsidR="006D3EA3">
        <w:t>The</w:t>
      </w:r>
      <w:r w:rsidR="000D5EDF" w:rsidRPr="000D5EDF">
        <w:t xml:space="preserve"> function in the economy</w:t>
      </w:r>
      <w:r w:rsidR="001F66BE">
        <w:t>, bank as</w:t>
      </w:r>
      <w:r w:rsidR="000D5EDF" w:rsidRPr="000D5EDF">
        <w:t xml:space="preserve"> </w:t>
      </w:r>
      <w:r w:rsidR="001F66BE" w:rsidRPr="000D5EDF">
        <w:t xml:space="preserve">financial intermediation </w:t>
      </w:r>
      <w:r w:rsidR="001F66BE">
        <w:t>is</w:t>
      </w:r>
      <w:r w:rsidR="000D5EDF" w:rsidRPr="000D5EDF">
        <w:t xml:space="preserve"> involved in the transfer of funds from savers to borrowers and in paying for goods and services. </w:t>
      </w:r>
      <w:r w:rsidR="00CD6710">
        <w:t>I</w:t>
      </w:r>
      <w:r w:rsidR="00CD6710" w:rsidRPr="000D5EDF">
        <w:t>nsurance coverage, financial planning</w:t>
      </w:r>
      <w:r w:rsidR="00CD6710">
        <w:t>,</w:t>
      </w:r>
      <w:r w:rsidR="00CD6710" w:rsidRPr="000D5EDF">
        <w:t xml:space="preserve"> investment banking (security underwriting)</w:t>
      </w:r>
      <w:r w:rsidR="007C792C">
        <w:t>,</w:t>
      </w:r>
      <w:r w:rsidR="00CD6710">
        <w:t xml:space="preserve"> </w:t>
      </w:r>
      <w:r w:rsidR="00CD6710" w:rsidRPr="000D5EDF">
        <w:t>and a variety of other innovative financial products</w:t>
      </w:r>
      <w:r w:rsidR="006D3EA3">
        <w:t xml:space="preserve"> are included as </w:t>
      </w:r>
      <w:r w:rsidR="00CD6710">
        <w:t xml:space="preserve">their </w:t>
      </w:r>
      <w:r w:rsidR="00CD6710" w:rsidRPr="000D5EDF">
        <w:t>financial intermediation</w:t>
      </w:r>
      <w:r w:rsidR="006D3EA3">
        <w:t xml:space="preserve"> function</w:t>
      </w:r>
      <w:r w:rsidR="000D5EDF" w:rsidRPr="000D5EDF">
        <w:t xml:space="preserve">. </w:t>
      </w:r>
      <w:r w:rsidR="00CD6710">
        <w:t>In general,</w:t>
      </w:r>
      <w:r w:rsidR="006D3EA3">
        <w:t xml:space="preserve"> now b</w:t>
      </w:r>
      <w:r w:rsidR="00CD6710">
        <w:t>ank</w:t>
      </w:r>
      <w:r w:rsidR="00D96FD3">
        <w:t>s</w:t>
      </w:r>
      <w:r w:rsidR="00CD6710">
        <w:t xml:space="preserve"> become</w:t>
      </w:r>
      <w:r w:rsidR="000D5EDF" w:rsidRPr="000D5EDF">
        <w:t xml:space="preserve"> </w:t>
      </w:r>
      <w:r w:rsidR="006D3EA3">
        <w:t xml:space="preserve">the </w:t>
      </w:r>
      <w:r w:rsidR="000D5EDF" w:rsidRPr="000D5EDF">
        <w:t>providers of financial services.</w:t>
      </w:r>
      <w:r w:rsidR="005C4D67" w:rsidRPr="00732BB7">
        <w:t xml:space="preserve"> </w:t>
      </w:r>
    </w:p>
    <w:p w14:paraId="01302E96" w14:textId="4A6B8993" w:rsidR="000D5EDF" w:rsidRDefault="000D5EDF" w:rsidP="000D5EDF">
      <w:pPr>
        <w:ind w:firstLine="720"/>
        <w:jc w:val="both"/>
      </w:pPr>
      <w:r w:rsidRPr="000D5EDF">
        <w:t>As a company, the ba</w:t>
      </w:r>
      <w:r w:rsidR="00A27D45">
        <w:t xml:space="preserve">nk also has management who </w:t>
      </w:r>
      <w:r w:rsidRPr="000D5EDF">
        <w:t>manage</w:t>
      </w:r>
      <w:r w:rsidR="00A27D45">
        <w:t>s</w:t>
      </w:r>
      <w:r w:rsidRPr="000D5EDF">
        <w:t xml:space="preserve"> the company effectively and eff</w:t>
      </w:r>
      <w:r w:rsidR="00A27D45">
        <w:t>iciently</w:t>
      </w:r>
      <w:r w:rsidR="00D96FD3">
        <w:t>,</w:t>
      </w:r>
      <w:r w:rsidR="00A27D45">
        <w:t xml:space="preserve"> both for profit and </w:t>
      </w:r>
      <w:r w:rsidRPr="000D5EDF">
        <w:t>man</w:t>
      </w:r>
      <w:r w:rsidR="00A27D45">
        <w:t xml:space="preserve">aging risk. One of the policies or </w:t>
      </w:r>
      <w:r w:rsidRPr="000D5EDF">
        <w:t>decisions made by management is to determine the amount of bank interest rates for both deposits</w:t>
      </w:r>
      <w:r w:rsidR="00A27D45">
        <w:t xml:space="preserve"> </w:t>
      </w:r>
      <w:r w:rsidRPr="000D5EDF">
        <w:t>and loans. Many factors need to be considered in determining bank interest rates, such as risk factors, customers, competition with other banks, service quality (customer satisfaction) and so on.</w:t>
      </w:r>
    </w:p>
    <w:p w14:paraId="2E472878" w14:textId="3375C5A2" w:rsidR="007C09B0" w:rsidRPr="00732BB7" w:rsidRDefault="000D5EDF" w:rsidP="000D5EDF">
      <w:pPr>
        <w:ind w:firstLine="720"/>
        <w:jc w:val="both"/>
        <w:rPr>
          <w:b/>
          <w:bCs/>
        </w:rPr>
      </w:pPr>
      <w:r>
        <w:t>Bank</w:t>
      </w:r>
      <w:r w:rsidR="00B914B6">
        <w:t>s</w:t>
      </w:r>
      <w:r>
        <w:t xml:space="preserve"> in Ind</w:t>
      </w:r>
      <w:r w:rsidR="00A27D45">
        <w:t>onesia is divided into</w:t>
      </w:r>
      <w:r>
        <w:t xml:space="preserve"> 4 scales base</w:t>
      </w:r>
      <w:r w:rsidR="00A27D45">
        <w:t>d</w:t>
      </w:r>
      <w:r>
        <w:t xml:space="preserve"> on </w:t>
      </w:r>
      <w:r w:rsidR="00A27D45">
        <w:t xml:space="preserve">the </w:t>
      </w:r>
      <w:r>
        <w:t xml:space="preserve">core (tier 1) </w:t>
      </w:r>
      <w:r w:rsidR="00A27D45">
        <w:t>capital.  The</w:t>
      </w:r>
      <w:r>
        <w:t xml:space="preserve"> b</w:t>
      </w:r>
      <w:r w:rsidR="00B47C7A" w:rsidRPr="00732BB7">
        <w:t xml:space="preserve">ank </w:t>
      </w:r>
      <w:r>
        <w:t xml:space="preserve">scales </w:t>
      </w:r>
      <w:r w:rsidR="00A27D45">
        <w:t xml:space="preserve">is </w:t>
      </w:r>
      <w:r>
        <w:t xml:space="preserve">named </w:t>
      </w:r>
      <w:r w:rsidR="00A27D45">
        <w:t xml:space="preserve">as </w:t>
      </w:r>
      <w:r w:rsidR="00B47C7A" w:rsidRPr="00EB1D14">
        <w:rPr>
          <w:i/>
          <w:iCs/>
        </w:rPr>
        <w:t xml:space="preserve">Bank </w:t>
      </w:r>
      <w:proofErr w:type="spellStart"/>
      <w:r w:rsidR="00B47C7A" w:rsidRPr="00EB1D14">
        <w:rPr>
          <w:i/>
          <w:iCs/>
        </w:rPr>
        <w:t>Umum</w:t>
      </w:r>
      <w:proofErr w:type="spellEnd"/>
      <w:r w:rsidR="00B47C7A" w:rsidRPr="00EB1D14">
        <w:rPr>
          <w:i/>
          <w:iCs/>
        </w:rPr>
        <w:t xml:space="preserve"> </w:t>
      </w:r>
      <w:proofErr w:type="spellStart"/>
      <w:r w:rsidR="00B47C7A" w:rsidRPr="00EB1D14">
        <w:rPr>
          <w:i/>
          <w:iCs/>
        </w:rPr>
        <w:t>berdasarkan</w:t>
      </w:r>
      <w:proofErr w:type="spellEnd"/>
      <w:r w:rsidR="00B47C7A" w:rsidRPr="00EB1D14">
        <w:rPr>
          <w:i/>
          <w:iCs/>
        </w:rPr>
        <w:t xml:space="preserve"> </w:t>
      </w:r>
      <w:proofErr w:type="spellStart"/>
      <w:r w:rsidR="00B47C7A" w:rsidRPr="00EB1D14">
        <w:rPr>
          <w:i/>
          <w:iCs/>
        </w:rPr>
        <w:t>Kegiatan</w:t>
      </w:r>
      <w:proofErr w:type="spellEnd"/>
      <w:r w:rsidR="00B47C7A" w:rsidRPr="00EB1D14">
        <w:rPr>
          <w:i/>
          <w:iCs/>
        </w:rPr>
        <w:t xml:space="preserve"> Usaha</w:t>
      </w:r>
      <w:r w:rsidR="00B47C7A" w:rsidRPr="00732BB7">
        <w:t xml:space="preserve"> (BUKU) </w:t>
      </w:r>
      <w:r w:rsidR="00A27D45">
        <w:t>refers to</w:t>
      </w:r>
      <w:r w:rsidR="00EB1D14">
        <w:t xml:space="preserve"> </w:t>
      </w:r>
      <w:r w:rsidR="008A520C" w:rsidRPr="00732BB7">
        <w:t xml:space="preserve">Bank Indonesia </w:t>
      </w:r>
      <w:r w:rsidR="00EB1D14">
        <w:t xml:space="preserve">regulation </w:t>
      </w:r>
      <w:r w:rsidR="008A520C" w:rsidRPr="00732BB7">
        <w:t>N</w:t>
      </w:r>
      <w:r w:rsidR="00A27D45">
        <w:t xml:space="preserve">o. </w:t>
      </w:r>
      <w:r w:rsidR="008A520C" w:rsidRPr="00732BB7">
        <w:t xml:space="preserve">14/26/PBI/2012 </w:t>
      </w:r>
      <w:r w:rsidR="00EB1D14">
        <w:t>about</w:t>
      </w:r>
      <w:r w:rsidR="00EB1D14" w:rsidRPr="00EB1D14">
        <w:t xml:space="preserve"> Business Activities and Office Networks Based on Bank Core Capital</w:t>
      </w:r>
      <w:r w:rsidR="00EB1D14">
        <w:t>. This regulation has been revised by Financial Services Au</w:t>
      </w:r>
      <w:r w:rsidR="00A27D45">
        <w:t xml:space="preserve">thorities with regulation </w:t>
      </w:r>
      <w:r w:rsidR="00A27D45">
        <w:lastRenderedPageBreak/>
        <w:t>No.</w:t>
      </w:r>
      <w:r w:rsidR="00EB1D14">
        <w:t xml:space="preserve"> </w:t>
      </w:r>
      <w:r w:rsidR="008A520C" w:rsidRPr="00732BB7">
        <w:t xml:space="preserve">6/POJK.03/2016 </w:t>
      </w:r>
      <w:r w:rsidR="00EB1D14">
        <w:t>about</w:t>
      </w:r>
      <w:r w:rsidR="00EB1D14" w:rsidRPr="00EB1D14">
        <w:t xml:space="preserve"> Business Activities and Office Networks Based on Bank Core Capital</w:t>
      </w:r>
      <w:r w:rsidR="008A520C" w:rsidRPr="00732BB7">
        <w:t xml:space="preserve">. </w:t>
      </w:r>
      <w:r w:rsidR="00EB1D14">
        <w:t>In</w:t>
      </w:r>
      <w:r w:rsidR="008A520C" w:rsidRPr="00732BB7">
        <w:t xml:space="preserve"> 2021, </w:t>
      </w:r>
      <w:r w:rsidR="00EB1D14">
        <w:t>bank scale</w:t>
      </w:r>
      <w:r w:rsidR="008A520C" w:rsidRPr="00732BB7">
        <w:t xml:space="preserve"> </w:t>
      </w:r>
      <w:r w:rsidR="00EB1D14">
        <w:t xml:space="preserve">has </w:t>
      </w:r>
      <w:r w:rsidR="00CC6E63">
        <w:t xml:space="preserve">been </w:t>
      </w:r>
      <w:r w:rsidR="00A27D45">
        <w:t>changed into</w:t>
      </w:r>
      <w:r w:rsidR="00EB1D14">
        <w:t xml:space="preserve"> </w:t>
      </w:r>
      <w:proofErr w:type="spellStart"/>
      <w:r w:rsidR="00BD7BA3" w:rsidRPr="00EB1D14">
        <w:rPr>
          <w:i/>
          <w:iCs/>
        </w:rPr>
        <w:t>Kelompok</w:t>
      </w:r>
      <w:proofErr w:type="spellEnd"/>
      <w:r w:rsidR="00BD7BA3" w:rsidRPr="00EB1D14">
        <w:rPr>
          <w:i/>
          <w:iCs/>
        </w:rPr>
        <w:t xml:space="preserve"> Bank </w:t>
      </w:r>
      <w:proofErr w:type="spellStart"/>
      <w:r w:rsidR="00BD7BA3" w:rsidRPr="00EB1D14">
        <w:rPr>
          <w:i/>
          <w:iCs/>
        </w:rPr>
        <w:t>berdasarkan</w:t>
      </w:r>
      <w:proofErr w:type="spellEnd"/>
      <w:r w:rsidR="00BD7BA3" w:rsidRPr="00EB1D14">
        <w:rPr>
          <w:i/>
          <w:iCs/>
        </w:rPr>
        <w:t xml:space="preserve"> Modal Inti</w:t>
      </w:r>
      <w:r w:rsidR="00BD7BA3" w:rsidRPr="00732BB7">
        <w:t xml:space="preserve"> (KBMI) </w:t>
      </w:r>
      <w:r w:rsidR="00EB1D14">
        <w:t>by Financial Services Au</w:t>
      </w:r>
      <w:r w:rsidR="00A27D45">
        <w:t>thorities with regulation No.</w:t>
      </w:r>
      <w:r w:rsidR="00BD7BA3" w:rsidRPr="00732BB7">
        <w:t xml:space="preserve"> 12/POJK.03/2021.</w:t>
      </w:r>
    </w:p>
    <w:p w14:paraId="3A9B1371" w14:textId="6A45B821" w:rsidR="007C09B0" w:rsidRPr="00732BB7" w:rsidRDefault="007C09B0" w:rsidP="00105C44">
      <w:pPr>
        <w:jc w:val="both"/>
      </w:pPr>
    </w:p>
    <w:p w14:paraId="0FB5C147" w14:textId="1C9F1357" w:rsidR="007C09B0" w:rsidRPr="007F1BBF" w:rsidRDefault="00ED16D4" w:rsidP="00B43678">
      <w:pPr>
        <w:pStyle w:val="Heading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 xml:space="preserve">II.2 </w:t>
      </w:r>
      <w:r w:rsidR="00EB1D14" w:rsidRPr="007F1BBF">
        <w:rPr>
          <w:rFonts w:ascii="Times New Roman" w:hAnsi="Times New Roman" w:cs="Times New Roman"/>
          <w:b/>
          <w:color w:val="auto"/>
        </w:rPr>
        <w:t>Customer Satisfaction</w:t>
      </w:r>
      <w:r w:rsidR="009E4174" w:rsidRPr="007F1BBF">
        <w:rPr>
          <w:rFonts w:ascii="Times New Roman" w:hAnsi="Times New Roman" w:cs="Times New Roman"/>
          <w:b/>
          <w:color w:val="auto"/>
        </w:rPr>
        <w:t xml:space="preserve">, Trust dan </w:t>
      </w:r>
      <w:r w:rsidR="00501FC9" w:rsidRPr="007F1BBF">
        <w:rPr>
          <w:rFonts w:ascii="Times New Roman" w:hAnsi="Times New Roman" w:cs="Times New Roman"/>
          <w:b/>
          <w:color w:val="auto"/>
        </w:rPr>
        <w:t>Confidence</w:t>
      </w:r>
    </w:p>
    <w:p w14:paraId="25815104" w14:textId="6D0DDC18" w:rsidR="00B43678" w:rsidRPr="00EB1D14" w:rsidRDefault="00B43678" w:rsidP="00105C44">
      <w:pPr>
        <w:jc w:val="both"/>
      </w:pPr>
    </w:p>
    <w:p w14:paraId="0D619633" w14:textId="0B72D8A6" w:rsidR="008A520C" w:rsidRPr="00732BB7" w:rsidRDefault="006212B9" w:rsidP="009D6D5E">
      <w:pPr>
        <w:ind w:firstLine="720"/>
        <w:jc w:val="both"/>
      </w:pPr>
      <w:r>
        <w:t xml:space="preserve">In general, satisfaction is a </w:t>
      </w:r>
      <w:r w:rsidR="00B009E5">
        <w:t>pleasure or disappointment feeling from a person by</w:t>
      </w:r>
      <w:r>
        <w:t xml:space="preserve"> comparing </w:t>
      </w:r>
      <w:r w:rsidR="00F040D5">
        <w:t>his/</w:t>
      </w:r>
      <w:r w:rsidR="00B009E5">
        <w:t xml:space="preserve">her </w:t>
      </w:r>
      <w:r>
        <w:t>expectation</w:t>
      </w:r>
      <w:r w:rsidR="00B009E5">
        <w:t xml:space="preserve"> with reality</w:t>
      </w:r>
      <w:r>
        <w:t xml:space="preserve"> </w:t>
      </w:r>
      <w:r w:rsidRPr="00732BB7">
        <w:t xml:space="preserve">(Kotler </w:t>
      </w:r>
      <w:r w:rsidRPr="00F040D5">
        <w:rPr>
          <w:i/>
        </w:rPr>
        <w:t>et. al</w:t>
      </w:r>
      <w:r w:rsidRPr="00732BB7">
        <w:t xml:space="preserve">., 2022). </w:t>
      </w:r>
      <w:r w:rsidR="00097B0C">
        <w:t>People feel d</w:t>
      </w:r>
      <w:r w:rsidR="00B009E5">
        <w:t xml:space="preserve">issatisfied </w:t>
      </w:r>
      <w:r w:rsidR="000473D5">
        <w:t>i</w:t>
      </w:r>
      <w:r>
        <w:t xml:space="preserve">f </w:t>
      </w:r>
      <w:r w:rsidR="00097B0C">
        <w:t xml:space="preserve">the </w:t>
      </w:r>
      <w:r w:rsidR="000473D5">
        <w:t>reality</w:t>
      </w:r>
      <w:r>
        <w:t xml:space="preserve"> </w:t>
      </w:r>
      <w:r w:rsidR="00F040D5">
        <w:t>is below</w:t>
      </w:r>
      <w:r>
        <w:t xml:space="preserve"> </w:t>
      </w:r>
      <w:r w:rsidR="00097B0C">
        <w:t xml:space="preserve">their </w:t>
      </w:r>
      <w:r>
        <w:t xml:space="preserve">expectations. </w:t>
      </w:r>
      <w:r w:rsidR="00097B0C">
        <w:t>People feel s</w:t>
      </w:r>
      <w:r w:rsidR="00B009E5">
        <w:t xml:space="preserve">atisfied if </w:t>
      </w:r>
      <w:r w:rsidR="00097B0C">
        <w:t xml:space="preserve">the </w:t>
      </w:r>
      <w:r w:rsidR="00B009E5">
        <w:t xml:space="preserve">reality </w:t>
      </w:r>
      <w:r>
        <w:t xml:space="preserve">matches </w:t>
      </w:r>
      <w:r w:rsidR="00097B0C">
        <w:t>with their</w:t>
      </w:r>
      <w:r w:rsidR="000473D5">
        <w:t xml:space="preserve"> </w:t>
      </w:r>
      <w:r>
        <w:t xml:space="preserve">expectations. </w:t>
      </w:r>
      <w:r w:rsidR="00097B0C">
        <w:t>People feels h</w:t>
      </w:r>
      <w:r w:rsidR="00B009E5">
        <w:t xml:space="preserve">ighly satisfied or delighted if </w:t>
      </w:r>
      <w:r w:rsidR="00097B0C">
        <w:t xml:space="preserve">the </w:t>
      </w:r>
      <w:r w:rsidR="00B009E5">
        <w:t>reality</w:t>
      </w:r>
      <w:r w:rsidR="00F040D5">
        <w:t xml:space="preserve"> exceeds </w:t>
      </w:r>
      <w:r w:rsidR="00097B0C">
        <w:t xml:space="preserve">their </w:t>
      </w:r>
      <w:r>
        <w:t>expectations.</w:t>
      </w:r>
      <w:r w:rsidR="00026D40">
        <w:t xml:space="preserve"> Expectations result </w:t>
      </w:r>
      <w:r w:rsidR="00C506D2">
        <w:t>from</w:t>
      </w:r>
      <w:r w:rsidR="009D6D5E">
        <w:t xml:space="preserve"> </w:t>
      </w:r>
      <w:r w:rsidR="000473D5">
        <w:t xml:space="preserve">marketers and competitors’ information and promises, </w:t>
      </w:r>
      <w:r w:rsidR="009D6D5E">
        <w:t xml:space="preserve">past buying experience, friends and </w:t>
      </w:r>
      <w:r w:rsidR="000473D5">
        <w:t>associates’</w:t>
      </w:r>
      <w:r w:rsidR="009D6D5E">
        <w:t xml:space="preserve"> advice </w:t>
      </w:r>
      <w:r w:rsidR="000473D5">
        <w:t xml:space="preserve">and </w:t>
      </w:r>
      <w:r w:rsidR="009D6D5E">
        <w:t>public information and discourse</w:t>
      </w:r>
      <w:r w:rsidR="00B43678" w:rsidRPr="00732BB7">
        <w:t>.</w:t>
      </w:r>
    </w:p>
    <w:p w14:paraId="02B9FCA0" w14:textId="74E25A29" w:rsidR="009D6D5E" w:rsidRDefault="00793AAA" w:rsidP="00865903">
      <w:pPr>
        <w:ind w:firstLine="720"/>
        <w:jc w:val="both"/>
      </w:pPr>
      <w:r>
        <w:t>In banking,</w:t>
      </w:r>
      <w:r w:rsidR="00C506D2">
        <w:t xml:space="preserve"> the</w:t>
      </w:r>
      <w:r>
        <w:t xml:space="preserve"> t</w:t>
      </w:r>
      <w:r w:rsidR="009D6D5E" w:rsidRPr="009D6D5E">
        <w:t xml:space="preserve">rust is very important in the relationship between the bank and its customers. With </w:t>
      </w:r>
      <w:r w:rsidR="00C506D2">
        <w:t xml:space="preserve">the </w:t>
      </w:r>
      <w:r w:rsidR="009D6D5E" w:rsidRPr="009D6D5E">
        <w:t xml:space="preserve">trust, transactions will </w:t>
      </w:r>
      <w:r w:rsidR="009D6D5E">
        <w:t xml:space="preserve">be occurred. </w:t>
      </w:r>
      <w:proofErr w:type="spellStart"/>
      <w:r w:rsidR="009D6D5E" w:rsidRPr="00732BB7">
        <w:t>Ennew</w:t>
      </w:r>
      <w:proofErr w:type="spellEnd"/>
      <w:r w:rsidR="009D6D5E" w:rsidRPr="00732BB7">
        <w:t xml:space="preserve"> </w:t>
      </w:r>
      <w:r w:rsidR="009D6D5E">
        <w:t>and</w:t>
      </w:r>
      <w:r w:rsidR="009D6D5E" w:rsidRPr="00732BB7">
        <w:t xml:space="preserve"> </w:t>
      </w:r>
      <w:proofErr w:type="spellStart"/>
      <w:r w:rsidR="009D6D5E" w:rsidRPr="00732BB7">
        <w:t>Sekhon</w:t>
      </w:r>
      <w:proofErr w:type="spellEnd"/>
      <w:r w:rsidR="009D6D5E" w:rsidRPr="00732BB7">
        <w:t xml:space="preserve"> (2007)</w:t>
      </w:r>
      <w:r>
        <w:t xml:space="preserve"> </w:t>
      </w:r>
      <w:r w:rsidR="009D6D5E">
        <w:t xml:space="preserve">studied </w:t>
      </w:r>
      <w:r>
        <w:t xml:space="preserve">that </w:t>
      </w:r>
      <w:r w:rsidR="00C506D2">
        <w:t xml:space="preserve">the </w:t>
      </w:r>
      <w:r>
        <w:t>trust in financial services</w:t>
      </w:r>
      <w:r w:rsidR="0011706D">
        <w:t>,</w:t>
      </w:r>
      <w:r>
        <w:t xml:space="preserve"> </w:t>
      </w:r>
      <w:r w:rsidR="0011706D">
        <w:t>d</w:t>
      </w:r>
      <w:r>
        <w:t>efin</w:t>
      </w:r>
      <w:r w:rsidR="0011706D">
        <w:t>e</w:t>
      </w:r>
      <w:r w:rsidR="009D6D5E">
        <w:t xml:space="preserve"> that </w:t>
      </w:r>
      <w:r w:rsidR="00C506D2">
        <w:t xml:space="preserve">the </w:t>
      </w:r>
      <w:r w:rsidR="009D6D5E">
        <w:t xml:space="preserve">trust is </w:t>
      </w:r>
      <w:r w:rsidR="009D6D5E" w:rsidRPr="009D6D5E">
        <w:t xml:space="preserve">the individual's willingness to accept vulnerability on the basis of positive expectations about the intentions or behavior of others in </w:t>
      </w:r>
      <w:r w:rsidR="00C506D2">
        <w:t xml:space="preserve">the </w:t>
      </w:r>
      <w:r w:rsidR="009D6D5E" w:rsidRPr="009D6D5E">
        <w:t xml:space="preserve">situations characterized by </w:t>
      </w:r>
      <w:r w:rsidR="00C506D2">
        <w:t xml:space="preserve">the </w:t>
      </w:r>
      <w:r w:rsidR="009D6D5E" w:rsidRPr="009D6D5E">
        <w:t>interdependence and risk</w:t>
      </w:r>
      <w:r w:rsidR="009D6D5E">
        <w:t xml:space="preserve">. </w:t>
      </w:r>
      <w:r w:rsidR="00F54403" w:rsidRPr="00F54403">
        <w:t>For a narrower scope</w:t>
      </w:r>
      <w:r w:rsidR="00F54403">
        <w:t xml:space="preserve">, </w:t>
      </w:r>
      <w:proofErr w:type="spellStart"/>
      <w:r w:rsidR="00F54403" w:rsidRPr="00732BB7">
        <w:t>Sirdeshmukh</w:t>
      </w:r>
      <w:proofErr w:type="spellEnd"/>
      <w:r w:rsidR="00F54403" w:rsidRPr="00732BB7">
        <w:t xml:space="preserve"> </w:t>
      </w:r>
      <w:r w:rsidR="00F54403" w:rsidRPr="00793AAA">
        <w:rPr>
          <w:i/>
        </w:rPr>
        <w:t>et</w:t>
      </w:r>
      <w:r w:rsidRPr="00793AAA">
        <w:rPr>
          <w:i/>
        </w:rPr>
        <w:t>.</w:t>
      </w:r>
      <w:r w:rsidR="00F54403" w:rsidRPr="00793AAA">
        <w:rPr>
          <w:i/>
        </w:rPr>
        <w:t xml:space="preserve"> al.</w:t>
      </w:r>
      <w:r w:rsidR="00F54403" w:rsidRPr="00732BB7">
        <w:t xml:space="preserve"> (2002)</w:t>
      </w:r>
      <w:r w:rsidR="00F54403">
        <w:t xml:space="preserve"> </w:t>
      </w:r>
      <w:r w:rsidR="00207350">
        <w:t>define</w:t>
      </w:r>
      <w:r>
        <w:t>d</w:t>
      </w:r>
      <w:r w:rsidR="00207350">
        <w:t xml:space="preserve"> </w:t>
      </w:r>
      <w:r w:rsidR="00C506D2">
        <w:t xml:space="preserve">the </w:t>
      </w:r>
      <w:r w:rsidR="00207350">
        <w:t xml:space="preserve">trust as </w:t>
      </w:r>
      <w:r w:rsidR="00C506D2">
        <w:t xml:space="preserve">the </w:t>
      </w:r>
      <w:r w:rsidR="00207350" w:rsidRPr="00F54403">
        <w:t xml:space="preserve">customer </w:t>
      </w:r>
      <w:r w:rsidR="00F54403" w:rsidRPr="00F54403">
        <w:t xml:space="preserve">expectations that service providers </w:t>
      </w:r>
      <w:r w:rsidR="0052135E">
        <w:t>(</w:t>
      </w:r>
      <w:r w:rsidR="00207350">
        <w:t xml:space="preserve">in </w:t>
      </w:r>
      <w:r w:rsidR="00F54403" w:rsidRPr="00F54403">
        <w:t xml:space="preserve">this case </w:t>
      </w:r>
      <w:r w:rsidR="00207350">
        <w:t xml:space="preserve">is </w:t>
      </w:r>
      <w:r w:rsidR="00F54403" w:rsidRPr="00F54403">
        <w:t>banks</w:t>
      </w:r>
      <w:r w:rsidR="00207350">
        <w:t>)</w:t>
      </w:r>
      <w:r w:rsidR="00F54403" w:rsidRPr="00F54403">
        <w:t xml:space="preserve"> can b</w:t>
      </w:r>
      <w:r w:rsidR="0011706D">
        <w:t xml:space="preserve">e held and can be relied </w:t>
      </w:r>
      <w:r>
        <w:t>on the</w:t>
      </w:r>
      <w:r w:rsidR="00F54403" w:rsidRPr="00F54403">
        <w:t xml:space="preserve"> fulfill</w:t>
      </w:r>
      <w:r>
        <w:t>ment of</w:t>
      </w:r>
      <w:r w:rsidR="00F54403" w:rsidRPr="00F54403">
        <w:t xml:space="preserve"> their promises</w:t>
      </w:r>
      <w:r w:rsidR="00F54403">
        <w:t xml:space="preserve">. </w:t>
      </w:r>
    </w:p>
    <w:p w14:paraId="0B11581E" w14:textId="3F6B60FB" w:rsidR="0069730A" w:rsidRDefault="00CC2B01" w:rsidP="007F1BBF">
      <w:pPr>
        <w:ind w:firstLine="720"/>
        <w:jc w:val="both"/>
      </w:pPr>
      <w:r>
        <w:t xml:space="preserve">Some factors become </w:t>
      </w:r>
      <w:r w:rsidR="00C506D2">
        <w:t xml:space="preserve">the </w:t>
      </w:r>
      <w:r>
        <w:t>determinant</w:t>
      </w:r>
      <w:r w:rsidR="0011706D">
        <w:t>s</w:t>
      </w:r>
      <w:r>
        <w:t xml:space="preserve"> of </w:t>
      </w:r>
      <w:r w:rsidR="00865903" w:rsidRPr="00732BB7">
        <w:t xml:space="preserve">trust. </w:t>
      </w:r>
      <w:proofErr w:type="spellStart"/>
      <w:r w:rsidR="00865903" w:rsidRPr="00732BB7">
        <w:t>Doney</w:t>
      </w:r>
      <w:proofErr w:type="spellEnd"/>
      <w:r w:rsidR="00865903" w:rsidRPr="00732BB7">
        <w:t xml:space="preserve"> &amp; Cannon (1997</w:t>
      </w:r>
      <w:r w:rsidR="00DE33B8">
        <w:t xml:space="preserve">) </w:t>
      </w:r>
      <w:r w:rsidR="0076285C">
        <w:t>distinguish</w:t>
      </w:r>
      <w:r w:rsidR="0011706D">
        <w:t>ed</w:t>
      </w:r>
      <w:r w:rsidR="0076285C">
        <w:t xml:space="preserve"> </w:t>
      </w:r>
      <w:r w:rsidR="00337F05">
        <w:t xml:space="preserve">benevolence and </w:t>
      </w:r>
      <w:r w:rsidR="0076285C">
        <w:t xml:space="preserve">credibility. </w:t>
      </w:r>
      <w:r w:rsidR="00337F05">
        <w:t xml:space="preserve">Benevolence is the extent to which the institution is genuinely interested in the customer’s welfare. </w:t>
      </w:r>
      <w:r w:rsidR="0076285C">
        <w:t>Credibility is the expecta</w:t>
      </w:r>
      <w:r w:rsidR="00337F05">
        <w:t>tion</w:t>
      </w:r>
      <w:r w:rsidR="0076285C">
        <w:t xml:space="preserve"> that the word or written statement of the institution can be relied on and that promises will be kept.</w:t>
      </w:r>
      <w:r w:rsidR="00865903" w:rsidRPr="00732BB7">
        <w:t xml:space="preserve"> </w:t>
      </w:r>
      <w:proofErr w:type="spellStart"/>
      <w:r w:rsidR="00F342F4" w:rsidRPr="00732BB7">
        <w:t>Järvinen</w:t>
      </w:r>
      <w:proofErr w:type="spellEnd"/>
      <w:r w:rsidR="00F342F4" w:rsidRPr="00732BB7">
        <w:t xml:space="preserve"> (2014)</w:t>
      </w:r>
      <w:r w:rsidR="007F1BBF">
        <w:t xml:space="preserve"> showed</w:t>
      </w:r>
      <w:r w:rsidR="00F342F4">
        <w:t xml:space="preserve"> </w:t>
      </w:r>
      <w:r w:rsidR="00337F05">
        <w:t>in</w:t>
      </w:r>
      <w:r w:rsidR="00F342F4">
        <w:t xml:space="preserve"> </w:t>
      </w:r>
      <w:r w:rsidR="00337F05">
        <w:t xml:space="preserve">many European countries, </w:t>
      </w:r>
      <w:r w:rsidR="007F076F">
        <w:t>c</w:t>
      </w:r>
      <w:r w:rsidR="00F342F4">
        <w:t xml:space="preserve">onsumers’ trust in their banking relationships is quite low, </w:t>
      </w:r>
      <w:r w:rsidR="00337F05">
        <w:t>fortunately</w:t>
      </w:r>
      <w:r w:rsidR="00F342F4">
        <w:t xml:space="preserve"> there are also countries where banking relationships are </w:t>
      </w:r>
      <w:r w:rsidR="00337F05">
        <w:t xml:space="preserve">generating trust among consumers and </w:t>
      </w:r>
      <w:r w:rsidR="00F342F4">
        <w:t>functioning well.</w:t>
      </w:r>
    </w:p>
    <w:p w14:paraId="077DBFC2" w14:textId="60D9C9B4" w:rsidR="0064449A" w:rsidRDefault="007F1BBF" w:rsidP="007F1BBF">
      <w:pPr>
        <w:ind w:firstLine="720"/>
        <w:jc w:val="both"/>
      </w:pPr>
      <w:r>
        <w:rPr>
          <w:lang w:val="en-ID"/>
        </w:rPr>
        <w:t>V</w:t>
      </w:r>
      <w:r w:rsidR="00E869F6" w:rsidRPr="00DE33B8">
        <w:rPr>
          <w:lang w:val="en-ID"/>
        </w:rPr>
        <w:t xml:space="preserve">an </w:t>
      </w:r>
      <w:proofErr w:type="spellStart"/>
      <w:r w:rsidR="00E869F6" w:rsidRPr="00DE33B8">
        <w:rPr>
          <w:lang w:val="en-ID"/>
        </w:rPr>
        <w:t>Esterik-Plasmeijer</w:t>
      </w:r>
      <w:proofErr w:type="spellEnd"/>
      <w:r w:rsidR="0069730A">
        <w:rPr>
          <w:lang w:val="en-ID"/>
        </w:rPr>
        <w:t xml:space="preserve"> </w:t>
      </w:r>
      <w:r w:rsidR="00E869F6" w:rsidRPr="00DE33B8">
        <w:rPr>
          <w:lang w:val="en-ID"/>
        </w:rPr>
        <w:t xml:space="preserve">and van </w:t>
      </w:r>
      <w:proofErr w:type="spellStart"/>
      <w:r w:rsidR="00E869F6" w:rsidRPr="00DE33B8">
        <w:rPr>
          <w:lang w:val="en-ID"/>
        </w:rPr>
        <w:t>Raaij</w:t>
      </w:r>
      <w:proofErr w:type="spellEnd"/>
      <w:r w:rsidR="0069730A">
        <w:rPr>
          <w:lang w:val="en-ID"/>
        </w:rPr>
        <w:t xml:space="preserve"> </w:t>
      </w:r>
      <w:r w:rsidR="00E869F6" w:rsidRPr="00DE33B8">
        <w:rPr>
          <w:lang w:val="en-ID"/>
        </w:rPr>
        <w:t>(2017)</w:t>
      </w:r>
      <w:r w:rsidR="0069730A">
        <w:rPr>
          <w:lang w:val="en-ID"/>
        </w:rPr>
        <w:t xml:space="preserve"> </w:t>
      </w:r>
      <w:r w:rsidR="004C5372">
        <w:rPr>
          <w:lang w:val="en-ID"/>
        </w:rPr>
        <w:t>conduct</w:t>
      </w:r>
      <w:r>
        <w:rPr>
          <w:lang w:val="en-ID"/>
        </w:rPr>
        <w:t>ed</w:t>
      </w:r>
      <w:r w:rsidR="004C5372">
        <w:rPr>
          <w:lang w:val="en-ID"/>
        </w:rPr>
        <w:t xml:space="preserve"> a </w:t>
      </w:r>
      <w:r w:rsidR="004C5372">
        <w:t>survey</w:t>
      </w:r>
      <w:r w:rsidR="0069730A">
        <w:t xml:space="preserve"> in The Netherlands</w:t>
      </w:r>
      <w:r>
        <w:t>,</w:t>
      </w:r>
      <w:r w:rsidR="004C5372">
        <w:t xml:space="preserve"> found that </w:t>
      </w:r>
      <w:r w:rsidR="0068280C">
        <w:t xml:space="preserve">the most important determinant of bank trust is </w:t>
      </w:r>
      <w:r w:rsidR="004C5372">
        <w:t xml:space="preserve">integrity. </w:t>
      </w:r>
      <w:r w:rsidR="0068280C">
        <w:t>Other determinant</w:t>
      </w:r>
      <w:r>
        <w:t>s</w:t>
      </w:r>
      <w:r w:rsidR="0068280C">
        <w:t xml:space="preserve"> </w:t>
      </w:r>
      <w:r w:rsidR="004C4F77">
        <w:t xml:space="preserve">that </w:t>
      </w:r>
      <w:r w:rsidR="0068280C">
        <w:t>also significant are customer orientation, t</w:t>
      </w:r>
      <w:r>
        <w:t xml:space="preserve">ransparency, </w:t>
      </w:r>
      <w:r w:rsidR="004C5372">
        <w:t xml:space="preserve">and competence. Trust is a strong predictor of loyalty. </w:t>
      </w:r>
      <w:r w:rsidR="0068280C">
        <w:t xml:space="preserve">Stability, competence, transparency and value congruence are </w:t>
      </w:r>
      <w:r w:rsidR="004C4F77">
        <w:t xml:space="preserve">the </w:t>
      </w:r>
      <w:r w:rsidR="0068280C">
        <w:t>determinant</w:t>
      </w:r>
      <w:r>
        <w:t>s</w:t>
      </w:r>
      <w:r w:rsidR="0068280C">
        <w:t xml:space="preserve"> of bank loyalty</w:t>
      </w:r>
      <w:r w:rsidR="004C5372">
        <w:t>.</w:t>
      </w:r>
      <w:r>
        <w:t xml:space="preserve"> </w:t>
      </w:r>
      <w:r w:rsidR="00F342F4" w:rsidRPr="00F342F4">
        <w:t xml:space="preserve">If </w:t>
      </w:r>
      <w:r w:rsidR="004C4F77">
        <w:t xml:space="preserve">the </w:t>
      </w:r>
      <w:r w:rsidR="00F342F4" w:rsidRPr="00F342F4">
        <w:t>customer satisfaction is maintained properly (especially if it can be delighted) then the service provider will gain the trust of the customer. With the ex</w:t>
      </w:r>
      <w:r>
        <w:t xml:space="preserve">istence of trust from customers, </w:t>
      </w:r>
      <w:r w:rsidR="00F342F4" w:rsidRPr="00F342F4">
        <w:t xml:space="preserve">it will provide a </w:t>
      </w:r>
      <w:r>
        <w:t xml:space="preserve">level of </w:t>
      </w:r>
      <w:r w:rsidR="004C4F77">
        <w:t xml:space="preserve">management </w:t>
      </w:r>
      <w:r>
        <w:t xml:space="preserve">confidence </w:t>
      </w:r>
      <w:r w:rsidR="00F342F4" w:rsidRPr="00F342F4">
        <w:t>in making programs or adopting a policy.</w:t>
      </w:r>
    </w:p>
    <w:p w14:paraId="5138E667" w14:textId="0EEBDADB" w:rsidR="00F342F4" w:rsidRDefault="00F342F4" w:rsidP="00F342F4">
      <w:pPr>
        <w:jc w:val="both"/>
      </w:pPr>
    </w:p>
    <w:p w14:paraId="24A21CC1" w14:textId="736A8357" w:rsidR="00BC02EE" w:rsidRPr="00ED16D4" w:rsidRDefault="00DF356F" w:rsidP="00440776">
      <w:pPr>
        <w:pStyle w:val="Heading3"/>
        <w:rPr>
          <w:rFonts w:ascii="Times New Roman" w:hAnsi="Times New Roman" w:cs="Times New Roman"/>
          <w:b/>
          <w:color w:val="auto"/>
        </w:rPr>
      </w:pPr>
      <w:r w:rsidRPr="00ED16D4">
        <w:rPr>
          <w:rFonts w:ascii="Times New Roman" w:hAnsi="Times New Roman" w:cs="Times New Roman"/>
          <w:b/>
          <w:color w:val="auto"/>
        </w:rPr>
        <w:t>II.3. Panel</w:t>
      </w:r>
      <w:r w:rsidR="006212B9" w:rsidRPr="00ED16D4">
        <w:rPr>
          <w:rFonts w:ascii="Times New Roman" w:hAnsi="Times New Roman" w:cs="Times New Roman"/>
          <w:b/>
          <w:color w:val="auto"/>
        </w:rPr>
        <w:t xml:space="preserve"> Data</w:t>
      </w:r>
    </w:p>
    <w:p w14:paraId="3664857D" w14:textId="7BFBFDE9" w:rsidR="00DF356F" w:rsidRPr="00ED16D4" w:rsidRDefault="00DF356F" w:rsidP="00105C44">
      <w:pPr>
        <w:jc w:val="both"/>
        <w:rPr>
          <w:b/>
        </w:rPr>
      </w:pPr>
    </w:p>
    <w:p w14:paraId="0D48CC22" w14:textId="65E89500" w:rsidR="00B17334" w:rsidRPr="00732BB7" w:rsidRDefault="00B17334" w:rsidP="00B17334">
      <w:pPr>
        <w:ind w:firstLine="720"/>
        <w:jc w:val="both"/>
      </w:pPr>
      <w:r w:rsidRPr="00B17334">
        <w:t>Making models in econometrics</w:t>
      </w:r>
      <w:r w:rsidR="00132DFE">
        <w:t>,</w:t>
      </w:r>
      <w:r w:rsidRPr="00B17334">
        <w:t xml:space="preserve"> </w:t>
      </w:r>
      <w:r w:rsidR="00132DFE">
        <w:t xml:space="preserve">data </w:t>
      </w:r>
      <w:r w:rsidR="004B4A26">
        <w:t xml:space="preserve">form </w:t>
      </w:r>
      <w:r w:rsidRPr="00B17334">
        <w:t xml:space="preserve">often </w:t>
      </w:r>
      <w:r w:rsidR="004B4A26">
        <w:t xml:space="preserve">uses </w:t>
      </w:r>
      <w:r w:rsidRPr="00B17334">
        <w:t>cross-sections</w:t>
      </w:r>
      <w:r w:rsidR="00132DFE">
        <w:t xml:space="preserve"> </w:t>
      </w:r>
      <w:r w:rsidRPr="00B17334">
        <w:t>and time</w:t>
      </w:r>
      <w:r w:rsidR="00132DFE">
        <w:t xml:space="preserve"> series </w:t>
      </w:r>
      <w:r w:rsidR="004B4A26">
        <w:t>data, b</w:t>
      </w:r>
      <w:r w:rsidR="00114870">
        <w:t>ut there is</w:t>
      </w:r>
      <w:r w:rsidRPr="00B17334">
        <w:t xml:space="preserve"> </w:t>
      </w:r>
      <w:r w:rsidR="004B4A26">
        <w:t xml:space="preserve">a </w:t>
      </w:r>
      <w:r w:rsidRPr="00B17334">
        <w:t xml:space="preserve">times when the data is a </w:t>
      </w:r>
      <w:r w:rsidR="00114870">
        <w:t>combination of the</w:t>
      </w:r>
      <w:r w:rsidR="003307EE">
        <w:t>m</w:t>
      </w:r>
      <w:r w:rsidR="00114870">
        <w:t xml:space="preserve"> both. Due to the </w:t>
      </w:r>
      <w:r w:rsidR="004B4A26">
        <w:t>data form</w:t>
      </w:r>
      <w:r w:rsidR="00114870">
        <w:t>,</w:t>
      </w:r>
      <w:r w:rsidR="004B4A26">
        <w:t xml:space="preserve"> </w:t>
      </w:r>
      <w:r w:rsidRPr="00B17334">
        <w:t>we need a model that can be used</w:t>
      </w:r>
      <w:r w:rsidR="00114870">
        <w:t xml:space="preserve"> and helpful</w:t>
      </w:r>
      <w:r w:rsidRPr="00B17334">
        <w:t xml:space="preserve"> to </w:t>
      </w:r>
      <w:r w:rsidR="004B4A26">
        <w:t xml:space="preserve">make an </w:t>
      </w:r>
      <w:r w:rsidRPr="00B17334">
        <w:t>estimat</w:t>
      </w:r>
      <w:r w:rsidR="004B4A26">
        <w:t>ion</w:t>
      </w:r>
      <w:r w:rsidRPr="00B17334">
        <w:t xml:space="preserve">. </w:t>
      </w:r>
      <w:r w:rsidR="00114870">
        <w:t>This estimation model is called</w:t>
      </w:r>
      <w:r w:rsidR="00FC40EF">
        <w:t xml:space="preserve"> </w:t>
      </w:r>
      <w:r w:rsidR="00114870">
        <w:t>panel data</w:t>
      </w:r>
      <w:r w:rsidRPr="00B17334">
        <w:t>.</w:t>
      </w:r>
    </w:p>
    <w:p w14:paraId="7EEF7915" w14:textId="4CB75FDA" w:rsidR="00BC02EE" w:rsidRDefault="005A2D51" w:rsidP="00406FF7">
      <w:pPr>
        <w:ind w:firstLine="720"/>
        <w:jc w:val="both"/>
      </w:pPr>
      <w:r>
        <w:t>Panel d</w:t>
      </w:r>
      <w:r w:rsidR="004B4A26">
        <w:t xml:space="preserve">ata estimation </w:t>
      </w:r>
      <w:r>
        <w:t xml:space="preserve">model </w:t>
      </w:r>
      <w:r w:rsidR="004B4A26">
        <w:t xml:space="preserve">in general (also called </w:t>
      </w:r>
      <w:r w:rsidR="00C306B6">
        <w:rPr>
          <w:i/>
          <w:iCs/>
        </w:rPr>
        <w:t>Common Effect Model</w:t>
      </w:r>
      <w:r w:rsidR="00AC40D2">
        <w:rPr>
          <w:i/>
          <w:iCs/>
        </w:rPr>
        <w:t xml:space="preserve"> </w:t>
      </w:r>
      <w:r w:rsidR="00AC40D2" w:rsidRPr="007B4D83">
        <w:t>o</w:t>
      </w:r>
      <w:r w:rsidR="007B4D83" w:rsidRPr="007B4D83">
        <w:t>r</w:t>
      </w:r>
      <w:r w:rsidR="00AC40D2">
        <w:rPr>
          <w:i/>
          <w:iCs/>
        </w:rPr>
        <w:t xml:space="preserve"> Pooled Model</w:t>
      </w:r>
      <w:r w:rsidR="005505BE" w:rsidRPr="00732BB7">
        <w:t xml:space="preserve">) </w:t>
      </w:r>
      <w:r w:rsidR="004B4A26">
        <w:t xml:space="preserve">according to </w:t>
      </w:r>
      <w:r w:rsidR="005505BE" w:rsidRPr="00732BB7">
        <w:t>Brooks (2019)</w:t>
      </w:r>
      <w:r>
        <w:t xml:space="preserve"> is</w:t>
      </w:r>
      <w:r w:rsidR="005505BE" w:rsidRPr="00732BB7">
        <w:t>:</w:t>
      </w:r>
    </w:p>
    <w:p w14:paraId="61A52B38" w14:textId="77777777" w:rsidR="007B4D83" w:rsidRPr="00732BB7" w:rsidRDefault="007B4D83" w:rsidP="00406FF7">
      <w:pPr>
        <w:ind w:firstLine="720"/>
        <w:jc w:val="both"/>
      </w:pPr>
    </w:p>
    <w:p w14:paraId="4EDBF84F" w14:textId="2AAA86EB" w:rsidR="005505BE" w:rsidRPr="005505BE" w:rsidRDefault="00000000" w:rsidP="005505BE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>=α+β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</m:oMath>
      </m:oMathPara>
    </w:p>
    <w:p w14:paraId="3A11C141" w14:textId="06F43BAC" w:rsidR="009F48D0" w:rsidRPr="00732BB7" w:rsidRDefault="004B4A26" w:rsidP="00105C44">
      <w:pPr>
        <w:jc w:val="both"/>
      </w:pPr>
      <w:r>
        <w:t>Where</w:t>
      </w:r>
      <w:r w:rsidR="005505BE" w:rsidRPr="00732BB7">
        <w:t xml:space="preserve">: </w:t>
      </w:r>
    </w:p>
    <w:p w14:paraId="1486391E" w14:textId="5584BB51" w:rsidR="005505BE" w:rsidRPr="004B4A26" w:rsidRDefault="005505BE" w:rsidP="005505BE">
      <w:pPr>
        <w:ind w:left="720"/>
        <w:jc w:val="both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i=1, 2, …</m:t>
        </m:r>
        <m:r>
          <m:rPr>
            <m:sty m:val="p"/>
          </m:rPr>
          <w:rPr>
            <w:rFonts w:ascii="Cambria Math" w:eastAsia="Times New Roman" w:hAnsi="Cambria Math"/>
          </w:rPr>
          <m:t>, k</m:t>
        </m:r>
      </m:oMath>
      <w:r w:rsidRPr="00732BB7">
        <w:rPr>
          <w:rFonts w:eastAsia="Times New Roman"/>
        </w:rPr>
        <w:t xml:space="preserve"> </w:t>
      </w:r>
      <w:r w:rsidRPr="00732BB7">
        <w:rPr>
          <w:rFonts w:eastAsia="Times New Roman"/>
        </w:rPr>
        <w:tab/>
      </w:r>
      <w:r w:rsidR="003865D9" w:rsidRPr="00732BB7">
        <w:rPr>
          <w:rFonts w:eastAsia="Times New Roman"/>
        </w:rPr>
        <w:t>:</w:t>
      </w:r>
      <w:r w:rsidR="004B4A26">
        <w:rPr>
          <w:rFonts w:eastAsia="Times New Roman"/>
        </w:rPr>
        <w:t xml:space="preserve"> </w:t>
      </w:r>
      <w:r w:rsidR="004B4A26" w:rsidRPr="00C306B6">
        <w:rPr>
          <w:rFonts w:eastAsia="Times New Roman"/>
          <w:i/>
          <w:iCs/>
        </w:rPr>
        <w:t>C</w:t>
      </w:r>
      <w:r w:rsidRPr="00C306B6">
        <w:rPr>
          <w:rFonts w:eastAsia="Times New Roman"/>
          <w:i/>
          <w:iCs/>
        </w:rPr>
        <w:t>ross-section</w:t>
      </w:r>
      <w:r w:rsidR="004B4A26" w:rsidRPr="00C306B6">
        <w:rPr>
          <w:rFonts w:eastAsia="Times New Roman"/>
          <w:i/>
          <w:iCs/>
        </w:rPr>
        <w:t xml:space="preserve"> data index</w:t>
      </w:r>
    </w:p>
    <w:p w14:paraId="111743D2" w14:textId="5DAC100E" w:rsidR="00BC02EE" w:rsidRPr="00732BB7" w:rsidRDefault="005505BE" w:rsidP="005505BE">
      <w:pPr>
        <w:ind w:left="720"/>
        <w:jc w:val="both"/>
        <w:rPr>
          <w:rFonts w:eastAsiaTheme="minorEastAsia"/>
          <w:bCs/>
        </w:rPr>
      </w:pPr>
      <m:oMath>
        <m:r>
          <w:rPr>
            <w:rFonts w:ascii="Cambria Math" w:eastAsia="Times New Roman" w:hAnsi="Cambria Math"/>
          </w:rPr>
          <w:lastRenderedPageBreak/>
          <m:t>t=1,2, …,n</m:t>
        </m:r>
      </m:oMath>
      <w:r w:rsidRPr="00732BB7">
        <w:rPr>
          <w:rFonts w:eastAsiaTheme="minorEastAsia"/>
          <w:bCs/>
        </w:rPr>
        <w:t xml:space="preserve"> </w:t>
      </w:r>
      <w:r w:rsidRPr="00732BB7">
        <w:rPr>
          <w:rFonts w:eastAsiaTheme="minorEastAsia"/>
          <w:bCs/>
        </w:rPr>
        <w:tab/>
      </w:r>
      <w:r w:rsidR="003865D9" w:rsidRPr="00732BB7">
        <w:rPr>
          <w:rFonts w:eastAsiaTheme="minorEastAsia"/>
          <w:bCs/>
        </w:rPr>
        <w:t xml:space="preserve">: </w:t>
      </w:r>
      <w:r w:rsidR="004B4A26" w:rsidRPr="00C306B6">
        <w:rPr>
          <w:rFonts w:eastAsia="Times New Roman"/>
          <w:i/>
          <w:iCs/>
        </w:rPr>
        <w:t>Time series data index</w:t>
      </w:r>
    </w:p>
    <w:p w14:paraId="3FDF9587" w14:textId="7C879072" w:rsidR="003865D9" w:rsidRPr="00732BB7" w:rsidRDefault="00000000" w:rsidP="005505BE">
      <w:pPr>
        <w:ind w:left="720"/>
        <w:jc w:val="both"/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3865D9" w:rsidRPr="00732BB7">
        <w:rPr>
          <w:rFonts w:eastAsiaTheme="minorEastAsia"/>
          <w:iCs/>
        </w:rPr>
        <w:tab/>
      </w:r>
      <w:r w:rsidR="003865D9" w:rsidRPr="00732BB7">
        <w:rPr>
          <w:rFonts w:eastAsiaTheme="minorEastAsia"/>
          <w:iCs/>
        </w:rPr>
        <w:tab/>
        <w:t xml:space="preserve">: </w:t>
      </w:r>
      <w:r w:rsidR="003865D9" w:rsidRPr="00C306B6">
        <w:rPr>
          <w:rFonts w:eastAsiaTheme="minorEastAsia"/>
          <w:i/>
        </w:rPr>
        <w:t>Disturbance</w:t>
      </w:r>
    </w:p>
    <w:p w14:paraId="4D7D26CF" w14:textId="258D85CC" w:rsidR="005505BE" w:rsidRPr="00732BB7" w:rsidRDefault="005505BE" w:rsidP="00105C44">
      <w:pPr>
        <w:jc w:val="both"/>
      </w:pPr>
    </w:p>
    <w:p w14:paraId="13A86776" w14:textId="2CF0D80E" w:rsidR="005505BE" w:rsidRDefault="003865D9" w:rsidP="003865D9">
      <w:pPr>
        <w:jc w:val="both"/>
        <w:rPr>
          <w:rFonts w:eastAsiaTheme="minorEastAsia"/>
          <w:iCs/>
        </w:rPr>
      </w:pPr>
      <w:r w:rsidRPr="00C306B6">
        <w:rPr>
          <w:i/>
          <w:iCs/>
        </w:rPr>
        <w:t>Fix Effe</w:t>
      </w:r>
      <w:r w:rsidR="00A31746" w:rsidRPr="00C306B6">
        <w:rPr>
          <w:i/>
          <w:iCs/>
        </w:rPr>
        <w:t>c</w:t>
      </w:r>
      <w:r w:rsidRPr="00C306B6">
        <w:rPr>
          <w:i/>
          <w:iCs/>
        </w:rPr>
        <w:t>t Model</w:t>
      </w:r>
      <w:r w:rsidRPr="00732BB7">
        <w:t xml:space="preserve"> (FEM) </w:t>
      </w:r>
      <w:r w:rsidR="007352FF">
        <w:t xml:space="preserve">is </w:t>
      </w:r>
      <w:r w:rsidRPr="00C306B6">
        <w:rPr>
          <w:i/>
          <w:iCs/>
        </w:rPr>
        <w:t>Pooled model</w:t>
      </w:r>
      <w:r w:rsidRPr="00732BB7">
        <w:t xml:space="preserve"> </w:t>
      </w:r>
      <w:r w:rsidR="007352FF">
        <w:t xml:space="preserve">alternative where </w:t>
      </w:r>
      <w:r w:rsidRPr="00C306B6">
        <w:rPr>
          <w:rFonts w:eastAsiaTheme="minorEastAsia"/>
          <w:i/>
        </w:rPr>
        <w:t>Disturbance</w:t>
      </w:r>
      <w:r w:rsidRPr="00732BB7">
        <w:rPr>
          <w:rFonts w:eastAsiaTheme="minorEastAsia"/>
          <w:iCs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Pr="00732BB7">
        <w:rPr>
          <w:rFonts w:eastAsiaTheme="minorEastAsia"/>
          <w:iCs/>
        </w:rPr>
        <w:t xml:space="preserve">) </w:t>
      </w:r>
      <w:r w:rsidR="007352FF">
        <w:rPr>
          <w:rFonts w:eastAsiaTheme="minorEastAsia"/>
          <w:iCs/>
        </w:rPr>
        <w:t xml:space="preserve">is separated become an </w:t>
      </w:r>
      <w:r w:rsidRPr="00C306B6">
        <w:rPr>
          <w:rFonts w:eastAsiaTheme="minorEastAsia"/>
          <w:i/>
        </w:rPr>
        <w:t>individual specific effect</w:t>
      </w:r>
      <w:r w:rsidR="00050F78" w:rsidRPr="00732BB7">
        <w:rPr>
          <w:rFonts w:eastAsiaTheme="minorEastAsia"/>
          <w:iCs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050F78" w:rsidRPr="00732BB7">
        <w:rPr>
          <w:rFonts w:eastAsiaTheme="minorEastAsia"/>
          <w:iCs/>
        </w:rPr>
        <w:t>)</w:t>
      </w:r>
      <w:r w:rsidRPr="00732BB7">
        <w:rPr>
          <w:rFonts w:eastAsiaTheme="minorEastAsia"/>
          <w:iCs/>
        </w:rPr>
        <w:t xml:space="preserve"> </w:t>
      </w:r>
      <w:r w:rsidR="007352FF">
        <w:rPr>
          <w:rFonts w:eastAsiaTheme="minorEastAsia"/>
          <w:iCs/>
        </w:rPr>
        <w:t>and</w:t>
      </w:r>
      <w:r w:rsidRPr="00732BB7">
        <w:rPr>
          <w:rFonts w:eastAsiaTheme="minorEastAsia"/>
          <w:iCs/>
        </w:rPr>
        <w:t xml:space="preserve"> </w:t>
      </w:r>
      <w:r w:rsidR="007352FF">
        <w:rPr>
          <w:rFonts w:eastAsiaTheme="minorEastAsia"/>
          <w:iCs/>
        </w:rPr>
        <w:t xml:space="preserve">a </w:t>
      </w:r>
      <w:r w:rsidRPr="00C306B6">
        <w:rPr>
          <w:rFonts w:eastAsiaTheme="minorEastAsia"/>
          <w:i/>
        </w:rPr>
        <w:t>remainder disturbance</w:t>
      </w:r>
      <w:r w:rsidR="00050F78" w:rsidRPr="00732BB7">
        <w:rPr>
          <w:rFonts w:eastAsiaTheme="minorEastAsia"/>
          <w:iCs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050F78" w:rsidRPr="00732BB7">
        <w:rPr>
          <w:rFonts w:eastAsiaTheme="minorEastAsia"/>
          <w:iCs/>
        </w:rPr>
        <w:t>)</w:t>
      </w:r>
      <w:r w:rsidR="007352FF">
        <w:rPr>
          <w:rFonts w:eastAsiaTheme="minorEastAsia"/>
          <w:iCs/>
        </w:rPr>
        <w:t xml:space="preserve">, </w:t>
      </w:r>
      <w:r w:rsidR="007352FF" w:rsidRPr="007352FF">
        <w:rPr>
          <w:rFonts w:eastAsiaTheme="minorEastAsia"/>
          <w:iCs/>
        </w:rPr>
        <w:t>so the equation become</w:t>
      </w:r>
      <w:r w:rsidR="00050F78" w:rsidRPr="00732BB7">
        <w:rPr>
          <w:rFonts w:eastAsiaTheme="minorEastAsia"/>
          <w:iCs/>
        </w:rPr>
        <w:t>:</w:t>
      </w:r>
    </w:p>
    <w:p w14:paraId="790F051E" w14:textId="77777777" w:rsidR="007352FF" w:rsidRPr="00732BB7" w:rsidRDefault="007352FF" w:rsidP="003865D9">
      <w:pPr>
        <w:jc w:val="both"/>
        <w:rPr>
          <w:rFonts w:eastAsiaTheme="minorEastAsia"/>
          <w:iCs/>
        </w:rPr>
      </w:pPr>
    </w:p>
    <w:p w14:paraId="75DC8618" w14:textId="3DCB4D23" w:rsidR="00050F78" w:rsidRPr="005505BE" w:rsidRDefault="00000000" w:rsidP="00050F78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>=α+β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</m:oMath>
      </m:oMathPara>
    </w:p>
    <w:p w14:paraId="47EF2D5F" w14:textId="3DAC79B1" w:rsidR="00050F78" w:rsidRPr="00732BB7" w:rsidRDefault="00050F78" w:rsidP="003865D9">
      <w:pPr>
        <w:jc w:val="both"/>
        <w:rPr>
          <w:rFonts w:eastAsiaTheme="minorEastAsia"/>
          <w:iCs/>
        </w:rPr>
      </w:pPr>
    </w:p>
    <w:p w14:paraId="0F2A8088" w14:textId="57555632" w:rsidR="00116610" w:rsidRPr="00732BB7" w:rsidRDefault="00000000" w:rsidP="00A31746">
      <w:pPr>
        <w:jc w:val="both"/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116610" w:rsidRPr="00732BB7">
        <w:rPr>
          <w:rFonts w:eastAsiaTheme="minorEastAsia"/>
          <w:iCs/>
        </w:rPr>
        <w:t xml:space="preserve"> </w:t>
      </w:r>
      <w:r w:rsidR="007352FF" w:rsidRPr="007352FF">
        <w:rPr>
          <w:rFonts w:eastAsiaTheme="minorEastAsia"/>
          <w:iCs/>
        </w:rPr>
        <w:t xml:space="preserve">captures the impact of different unit cross-section characteristics on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C306B6">
        <w:rPr>
          <w:rFonts w:eastAsiaTheme="minorEastAsia"/>
          <w:iCs/>
        </w:rPr>
        <w:t xml:space="preserve"> </w:t>
      </w:r>
      <w:r w:rsidR="007352FF" w:rsidRPr="007352FF">
        <w:rPr>
          <w:rFonts w:eastAsiaTheme="minorEastAsia"/>
          <w:iCs/>
        </w:rPr>
        <w:t>that are not explained in the model</w:t>
      </w:r>
      <w:r w:rsidR="00116610" w:rsidRPr="00732BB7">
        <w:t>.</w:t>
      </w:r>
    </w:p>
    <w:p w14:paraId="1D111361" w14:textId="77777777" w:rsidR="00116610" w:rsidRPr="00732BB7" w:rsidRDefault="00116610" w:rsidP="00A31746">
      <w:pPr>
        <w:jc w:val="both"/>
      </w:pPr>
    </w:p>
    <w:p w14:paraId="1CC54F86" w14:textId="3C216189" w:rsidR="00050F78" w:rsidRPr="00732BB7" w:rsidRDefault="00C306B6" w:rsidP="00A31746">
      <w:pPr>
        <w:jc w:val="both"/>
      </w:pPr>
      <w:r>
        <w:t>Next alternative model called</w:t>
      </w:r>
      <w:r w:rsidR="00A31746" w:rsidRPr="00732BB7">
        <w:t xml:space="preserve"> </w:t>
      </w:r>
      <w:r w:rsidR="00A31746" w:rsidRPr="00C306B6">
        <w:rPr>
          <w:i/>
          <w:iCs/>
        </w:rPr>
        <w:t>Random Effect Model</w:t>
      </w:r>
      <w:r w:rsidR="00A31746" w:rsidRPr="00732BB7">
        <w:t xml:space="preserve"> (REM)</w:t>
      </w:r>
      <w:r>
        <w:t xml:space="preserve"> or sometime called </w:t>
      </w:r>
      <w:r w:rsidR="00A31746" w:rsidRPr="00732BB7">
        <w:rPr>
          <w:i/>
          <w:iCs/>
        </w:rPr>
        <w:t>Error Component Model</w:t>
      </w:r>
      <w:r w:rsidR="00A31746" w:rsidRPr="00732BB7">
        <w:t xml:space="preserve">. REM </w:t>
      </w:r>
      <w:r>
        <w:t>equation is</w:t>
      </w:r>
      <w:r w:rsidR="00A31746" w:rsidRPr="00732BB7">
        <w:t>:</w:t>
      </w:r>
    </w:p>
    <w:p w14:paraId="03C2B518" w14:textId="77777777" w:rsidR="00116610" w:rsidRPr="00732BB7" w:rsidRDefault="00116610" w:rsidP="00A31746">
      <w:pPr>
        <w:jc w:val="both"/>
      </w:pPr>
    </w:p>
    <w:p w14:paraId="77B055C3" w14:textId="4807D1AB" w:rsidR="00116610" w:rsidRPr="00732BB7" w:rsidRDefault="00000000" w:rsidP="00A31746">
      <w:pPr>
        <w:jc w:val="both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it</m:t>
              </m:r>
            </m:sub>
          </m:sSub>
          <m:r>
            <w:rPr>
              <w:rFonts w:ascii="Cambria Math" w:eastAsiaTheme="minorEastAsia" w:hAnsi="Cambria Math"/>
            </w:rPr>
            <m:t>=α+β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it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it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>dimana</m:t>
          </m:r>
          <m:r>
            <w:rPr>
              <w:rFonts w:ascii="Cambria Math" w:eastAsiaTheme="minorEastAsia" w:hAnsi="Cambria Math"/>
            </w:rPr>
            <m:t>  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it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it</m:t>
              </m:r>
            </m:sub>
          </m:sSub>
        </m:oMath>
      </m:oMathPara>
    </w:p>
    <w:p w14:paraId="643F18AF" w14:textId="5692B0DC" w:rsidR="00A31746" w:rsidRPr="00732BB7" w:rsidRDefault="00A31746" w:rsidP="00A31746">
      <w:pPr>
        <w:jc w:val="both"/>
      </w:pPr>
    </w:p>
    <w:p w14:paraId="5497DB63" w14:textId="06D0B485" w:rsidR="00116610" w:rsidRPr="00732BB7" w:rsidRDefault="00000000" w:rsidP="00A31746">
      <w:pPr>
        <w:jc w:val="both"/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8A6D58" w:rsidRPr="00732BB7">
        <w:rPr>
          <w:rFonts w:eastAsiaTheme="minorEastAsia"/>
          <w:iCs/>
        </w:rPr>
        <w:t xml:space="preserve"> </w:t>
      </w:r>
      <w:r w:rsidR="00C306B6">
        <w:rPr>
          <w:rFonts w:eastAsiaTheme="minorEastAsia"/>
          <w:iCs/>
        </w:rPr>
        <w:t xml:space="preserve">is </w:t>
      </w:r>
      <w:r w:rsidR="00C306B6" w:rsidRPr="00C306B6">
        <w:rPr>
          <w:rFonts w:eastAsiaTheme="minorEastAsia"/>
          <w:iCs/>
        </w:rPr>
        <w:t xml:space="preserve">used to capture heterogeneity between </w:t>
      </w:r>
      <w:r w:rsidR="008A6D58" w:rsidRPr="00C31BCF">
        <w:rPr>
          <w:i/>
          <w:iCs/>
        </w:rPr>
        <w:t>cross section</w:t>
      </w:r>
      <w:r w:rsidR="00C306B6">
        <w:rPr>
          <w:i/>
          <w:iCs/>
        </w:rPr>
        <w:t xml:space="preserve"> </w:t>
      </w:r>
      <w:r w:rsidR="00C306B6">
        <w:t>unit</w:t>
      </w:r>
      <w:r w:rsidR="008A6D58" w:rsidRPr="00732BB7">
        <w:t>.</w:t>
      </w:r>
    </w:p>
    <w:p w14:paraId="7C971C95" w14:textId="77777777" w:rsidR="00116610" w:rsidRPr="00732BB7" w:rsidRDefault="00116610" w:rsidP="00A31746">
      <w:pPr>
        <w:jc w:val="both"/>
      </w:pPr>
    </w:p>
    <w:p w14:paraId="002AC730" w14:textId="1D72F7C5" w:rsidR="00A31746" w:rsidRPr="00732BB7" w:rsidRDefault="00C306B6" w:rsidP="00A31746">
      <w:pPr>
        <w:jc w:val="both"/>
      </w:pPr>
      <w:r>
        <w:t>Some test</w:t>
      </w:r>
      <w:r w:rsidR="004C02AA">
        <w:t>s are</w:t>
      </w:r>
      <w:r>
        <w:t xml:space="preserve"> used to determine</w:t>
      </w:r>
      <w:r w:rsidR="008A6D58" w:rsidRPr="00732BB7">
        <w:t xml:space="preserve"> </w:t>
      </w:r>
      <w:r>
        <w:t>the model of panel data</w:t>
      </w:r>
      <w:r w:rsidR="008A6D58" w:rsidRPr="00732BB7">
        <w:t>:</w:t>
      </w:r>
    </w:p>
    <w:p w14:paraId="650AE59A" w14:textId="77777777" w:rsidR="00457B03" w:rsidRPr="00732BB7" w:rsidRDefault="00457B03" w:rsidP="00A31746">
      <w:pPr>
        <w:jc w:val="both"/>
      </w:pPr>
    </w:p>
    <w:p w14:paraId="0FBE6268" w14:textId="0C3CE47D" w:rsidR="008A6D58" w:rsidRPr="00370237" w:rsidRDefault="008A6D58" w:rsidP="008A6D58">
      <w:pPr>
        <w:pStyle w:val="ListParagraph"/>
        <w:numPr>
          <w:ilvl w:val="0"/>
          <w:numId w:val="24"/>
        </w:numPr>
        <w:jc w:val="both"/>
      </w:pPr>
      <w:r w:rsidRPr="00370237">
        <w:t>Chow Test</w:t>
      </w:r>
    </w:p>
    <w:p w14:paraId="67638F64" w14:textId="33801A3B" w:rsidR="00457B03" w:rsidRPr="00732BB7" w:rsidRDefault="00457B03" w:rsidP="00457B03">
      <w:pPr>
        <w:ind w:left="1440"/>
        <w:jc w:val="both"/>
      </w:pPr>
      <w:r w:rsidRPr="00732BB7">
        <w:rPr>
          <w:i/>
          <w:iCs/>
        </w:rPr>
        <w:t>Chow test</w:t>
      </w:r>
      <w:r w:rsidRPr="00732BB7">
        <w:t xml:space="preserve"> </w:t>
      </w:r>
      <w:r w:rsidR="00C306B6">
        <w:t xml:space="preserve">is used to </w:t>
      </w:r>
      <w:r w:rsidR="000C244D">
        <w:t>determine either CEM or FEM</w:t>
      </w:r>
      <w:r w:rsidRPr="00732BB7">
        <w:t>. FEM</w:t>
      </w:r>
      <w:r w:rsidR="00043D7C">
        <w:t xml:space="preserve"> estimation will produce individual </w:t>
      </w:r>
      <m:oMath>
        <m:r>
          <w:rPr>
            <w:rFonts w:ascii="Cambria Math" w:hAnsi="Cambria Math"/>
          </w:rPr>
          <m:t>μ</m:t>
        </m:r>
      </m:oMath>
      <w:r w:rsidR="00043D7C">
        <w:t xml:space="preserve"> value for each</w:t>
      </w:r>
      <w:r w:rsidRPr="00732BB7">
        <w:t xml:space="preserve"> </w:t>
      </w:r>
      <w:r w:rsidRPr="00C31BCF">
        <w:rPr>
          <w:i/>
          <w:iCs/>
        </w:rPr>
        <w:t>cross-section</w:t>
      </w:r>
      <w:r w:rsidR="00043D7C">
        <w:rPr>
          <w:i/>
          <w:iCs/>
        </w:rPr>
        <w:t xml:space="preserve"> </w:t>
      </w:r>
      <w:r w:rsidR="00043D7C" w:rsidRPr="00732BB7">
        <w:t>data</w:t>
      </w:r>
      <w:r w:rsidRPr="00732BB7">
        <w:t xml:space="preserve">. </w:t>
      </w:r>
      <w:r w:rsidR="00043D7C">
        <w:t>If each</w:t>
      </w:r>
      <w:r w:rsidRPr="00732BB7">
        <w:t xml:space="preserve"> </w:t>
      </w:r>
      <m:oMath>
        <m:r>
          <w:rPr>
            <w:rFonts w:ascii="Cambria Math" w:hAnsi="Cambria Math"/>
          </w:rPr>
          <m:t>μ</m:t>
        </m:r>
      </m:oMath>
      <w:r w:rsidRPr="00732BB7">
        <w:t xml:space="preserve"> </w:t>
      </w:r>
      <w:r w:rsidR="00043D7C">
        <w:t>has the same value then CEM is selected for candidate, otherwise FEM is selected for candidate.</w:t>
      </w:r>
      <w:r w:rsidRPr="00732BB7">
        <w:t xml:space="preserve"> </w:t>
      </w:r>
      <w:r w:rsidRPr="00732BB7">
        <w:rPr>
          <w:i/>
          <w:iCs/>
        </w:rPr>
        <w:t>Chow test</w:t>
      </w:r>
      <w:r w:rsidRPr="00732BB7">
        <w:rPr>
          <w:rFonts w:eastAsiaTheme="minorEastAsia"/>
        </w:rPr>
        <w:t xml:space="preserve"> </w:t>
      </w:r>
      <w:r w:rsidR="00043D7C">
        <w:rPr>
          <w:rFonts w:eastAsiaTheme="minorEastAsia"/>
        </w:rPr>
        <w:t xml:space="preserve">compare </w:t>
      </w:r>
      <m:oMath>
        <m:r>
          <w:rPr>
            <w:rFonts w:ascii="Cambria Math" w:hAnsi="Cambria Math"/>
          </w:rPr>
          <m:t>μ</m:t>
        </m:r>
      </m:oMath>
      <w:r w:rsidRPr="00732BB7">
        <w:t xml:space="preserve"> </w:t>
      </w:r>
      <w:r w:rsidR="00543668">
        <w:t>value of</w:t>
      </w:r>
      <w:r w:rsidR="00043D7C">
        <w:t xml:space="preserve"> each</w:t>
      </w:r>
      <w:r w:rsidRPr="00732BB7">
        <w:t xml:space="preserve"> </w:t>
      </w:r>
      <w:r w:rsidRPr="00C31BCF">
        <w:rPr>
          <w:i/>
          <w:iCs/>
        </w:rPr>
        <w:t>cross-section</w:t>
      </w:r>
      <w:r w:rsidRPr="00732BB7">
        <w:t xml:space="preserve"> </w:t>
      </w:r>
      <w:r w:rsidR="00300EA9">
        <w:t>data.</w:t>
      </w:r>
      <w:r w:rsidRPr="00732BB7">
        <w:t xml:space="preserve"> </w:t>
      </w:r>
      <w:r w:rsidRPr="00732BB7">
        <w:rPr>
          <w:i/>
          <w:iCs/>
        </w:rPr>
        <w:t>Chow test</w:t>
      </w:r>
      <w:r w:rsidRPr="00732BB7">
        <w:t xml:space="preserve"> </w:t>
      </w:r>
      <w:r w:rsidR="00300EA9">
        <w:t>hypothesis:</w:t>
      </w:r>
    </w:p>
    <w:p w14:paraId="1891128A" w14:textId="77777777" w:rsidR="00457B03" w:rsidRPr="00732BB7" w:rsidRDefault="00457B03" w:rsidP="00457B03">
      <w:pPr>
        <w:ind w:left="1440"/>
        <w:rPr>
          <w:rFonts w:eastAsiaTheme="minorEastAsia"/>
          <w:iCs/>
        </w:rPr>
      </w:pPr>
    </w:p>
    <w:p w14:paraId="7180CF89" w14:textId="0118340A" w:rsidR="00457B03" w:rsidRPr="00732BB7" w:rsidRDefault="00457B03" w:rsidP="00457B03">
      <w:pPr>
        <w:ind w:left="2160"/>
        <w:rPr>
          <w:rFonts w:eastAsiaTheme="minorEastAsia"/>
          <w:iCs/>
        </w:rPr>
      </w:pPr>
      <w:r w:rsidRPr="00732BB7">
        <w:rPr>
          <w:rFonts w:eastAsiaTheme="minorEastAsia"/>
          <w:iCs/>
        </w:rPr>
        <w:t>H</w:t>
      </w:r>
      <w:r w:rsidRPr="00732BB7">
        <w:rPr>
          <w:rFonts w:eastAsiaTheme="minorEastAsia"/>
          <w:iCs/>
          <w:vertAlign w:val="subscript"/>
        </w:rPr>
        <w:t>0</w:t>
      </w:r>
      <w:r w:rsidRPr="00732BB7">
        <w:rPr>
          <w:rFonts w:eastAsiaTheme="minorEastAsia"/>
          <w:iCs/>
        </w:rPr>
        <w:t>:</w:t>
      </w:r>
      <w:r w:rsidRPr="00732BB7">
        <w:rPr>
          <w:rFonts w:eastAsiaTheme="minorEastAsia"/>
          <w:iCs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 ....=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75A69D4C" w14:textId="7BE17209" w:rsidR="00457B03" w:rsidRPr="00732BB7" w:rsidRDefault="00457B03" w:rsidP="00457B03">
      <w:pPr>
        <w:ind w:left="2160"/>
      </w:pPr>
      <w:r w:rsidRPr="00732BB7">
        <w:t>H</w:t>
      </w:r>
      <w:r w:rsidRPr="00732BB7">
        <w:rPr>
          <w:vertAlign w:val="subscript"/>
        </w:rPr>
        <w:t>1</w:t>
      </w:r>
      <w:r w:rsidRPr="00732BB7">
        <w:t>:</w:t>
      </w:r>
      <w:r w:rsidRPr="00732BB7">
        <w:tab/>
      </w:r>
      <w:r w:rsidR="00300EA9">
        <w:t>if 1 or more</w:t>
      </w:r>
      <w:r w:rsidRPr="00732BB7">
        <w:t xml:space="preserve"> </w:t>
      </w:r>
      <m:oMath>
        <m:r>
          <w:rPr>
            <w:rFonts w:ascii="Cambria Math" w:hAnsi="Cambria Math"/>
          </w:rPr>
          <m:t>μ</m:t>
        </m:r>
      </m:oMath>
      <w:r w:rsidRPr="00732BB7">
        <w:rPr>
          <w:rFonts w:eastAsiaTheme="minorEastAsia"/>
          <w:iCs/>
        </w:rPr>
        <w:t xml:space="preserve"> </w:t>
      </w:r>
      <w:r w:rsidR="007B4D83">
        <w:rPr>
          <w:rFonts w:eastAsiaTheme="minorEastAsia"/>
          <w:iCs/>
        </w:rPr>
        <w:t>have</w:t>
      </w:r>
      <w:r w:rsidR="00300EA9">
        <w:rPr>
          <w:rFonts w:eastAsiaTheme="minorEastAsia"/>
          <w:iCs/>
        </w:rPr>
        <w:t xml:space="preserve"> different</w:t>
      </w:r>
      <w:r w:rsidR="007B4D83">
        <w:rPr>
          <w:rFonts w:eastAsiaTheme="minorEastAsia"/>
          <w:iCs/>
        </w:rPr>
        <w:t xml:space="preserve"> value</w:t>
      </w:r>
      <w:r w:rsidRPr="00732BB7">
        <w:rPr>
          <w:rFonts w:eastAsiaTheme="minorEastAsia"/>
          <w:iCs/>
        </w:rPr>
        <w:t>.</w:t>
      </w:r>
    </w:p>
    <w:p w14:paraId="40EC2E08" w14:textId="77777777" w:rsidR="00457B03" w:rsidRPr="00732BB7" w:rsidRDefault="00457B03" w:rsidP="00457B03">
      <w:pPr>
        <w:ind w:left="1440"/>
        <w:jc w:val="both"/>
      </w:pPr>
    </w:p>
    <w:p w14:paraId="13ED676B" w14:textId="0966AE4D" w:rsidR="00457B03" w:rsidRPr="00732BB7" w:rsidRDefault="00300EA9" w:rsidP="00457B03">
      <w:pPr>
        <w:ind w:left="1440"/>
        <w:jc w:val="both"/>
      </w:pPr>
      <w:r>
        <w:t>From the result of</w:t>
      </w:r>
      <w:r w:rsidR="00457B03" w:rsidRPr="00732BB7">
        <w:t xml:space="preserve"> </w:t>
      </w:r>
      <w:r w:rsidR="00457B03" w:rsidRPr="00732BB7">
        <w:rPr>
          <w:i/>
          <w:iCs/>
        </w:rPr>
        <w:t>Chow test</w:t>
      </w:r>
      <w:r w:rsidRPr="00300EA9">
        <w:t xml:space="preserve">, </w:t>
      </w:r>
      <w:r>
        <w:t>if</w:t>
      </w:r>
      <w:r w:rsidR="00457B03" w:rsidRPr="00732BB7">
        <w:t xml:space="preserve"> </w:t>
      </w:r>
      <w:r w:rsidR="00457B03" w:rsidRPr="00732BB7">
        <w:rPr>
          <w:i/>
          <w:iCs/>
        </w:rPr>
        <w:t>p-value</w:t>
      </w:r>
      <w:r w:rsidR="00457B03" w:rsidRPr="00732BB7">
        <w:t xml:space="preserve"> </w:t>
      </w:r>
      <w:r w:rsidR="006C205C">
        <w:t>of</w:t>
      </w:r>
      <w:r>
        <w:t xml:space="preserve"> </w:t>
      </w:r>
      <w:r w:rsidR="00916118" w:rsidRPr="00916118">
        <w:rPr>
          <w:i/>
          <w:iCs/>
        </w:rPr>
        <w:t>c</w:t>
      </w:r>
      <w:r w:rsidRPr="00916118">
        <w:rPr>
          <w:i/>
          <w:iCs/>
        </w:rPr>
        <w:t>ross-section chi-square</w:t>
      </w:r>
      <w:r>
        <w:t xml:space="preserve"> is </w:t>
      </w:r>
      <w:r w:rsidR="00457B03" w:rsidRPr="00732BB7">
        <w:t xml:space="preserve">≤ 5% </w:t>
      </w:r>
      <w:r>
        <w:t>then reject</w:t>
      </w:r>
      <w:r w:rsidR="00457B03" w:rsidRPr="00732BB7">
        <w:t xml:space="preserve"> </w:t>
      </w:r>
      <w:r w:rsidR="00457B03" w:rsidRPr="00732BB7">
        <w:rPr>
          <w:rFonts w:eastAsiaTheme="minorEastAsia"/>
          <w:iCs/>
        </w:rPr>
        <w:t>H</w:t>
      </w:r>
      <w:r w:rsidR="00457B03" w:rsidRPr="00732BB7">
        <w:rPr>
          <w:rFonts w:eastAsiaTheme="minorEastAsia"/>
          <w:iCs/>
          <w:vertAlign w:val="subscript"/>
        </w:rPr>
        <w:t>0</w:t>
      </w:r>
      <w:r w:rsidR="00457B03" w:rsidRPr="00732BB7">
        <w:t xml:space="preserve">, </w:t>
      </w:r>
      <w:r>
        <w:t xml:space="preserve">the candidate model is </w:t>
      </w:r>
      <w:r w:rsidR="00457B03" w:rsidRPr="00732BB7">
        <w:t xml:space="preserve">FEM. </w:t>
      </w:r>
      <w:r>
        <w:t xml:space="preserve">But if </w:t>
      </w:r>
      <w:r w:rsidRPr="00732BB7">
        <w:rPr>
          <w:i/>
          <w:iCs/>
        </w:rPr>
        <w:t>p-value</w:t>
      </w:r>
      <w:r w:rsidRPr="00732BB7">
        <w:t xml:space="preserve"> </w:t>
      </w:r>
      <w:r w:rsidR="006C205C">
        <w:t>of</w:t>
      </w:r>
      <w:r>
        <w:t xml:space="preserve"> </w:t>
      </w:r>
      <w:r w:rsidR="00916118" w:rsidRPr="00916118">
        <w:rPr>
          <w:i/>
          <w:iCs/>
        </w:rPr>
        <w:t>c</w:t>
      </w:r>
      <w:r w:rsidRPr="00916118">
        <w:rPr>
          <w:i/>
          <w:iCs/>
        </w:rPr>
        <w:t>ross-section chi-square</w:t>
      </w:r>
      <w:r>
        <w:t xml:space="preserve"> is </w:t>
      </w:r>
      <w:r w:rsidR="00457B03" w:rsidRPr="00732BB7">
        <w:t xml:space="preserve">&gt; 5% </w:t>
      </w:r>
      <w:r>
        <w:t xml:space="preserve">then accept </w:t>
      </w:r>
      <w:r w:rsidR="00457B03" w:rsidRPr="00732BB7">
        <w:t>H</w:t>
      </w:r>
      <w:r w:rsidR="00457B03" w:rsidRPr="00732BB7">
        <w:rPr>
          <w:vertAlign w:val="subscript"/>
        </w:rPr>
        <w:t>0</w:t>
      </w:r>
      <w:r w:rsidR="00457B03" w:rsidRPr="00732BB7">
        <w:t xml:space="preserve">, </w:t>
      </w:r>
      <w:r>
        <w:t>the candidate model is CEM</w:t>
      </w:r>
    </w:p>
    <w:p w14:paraId="0114A283" w14:textId="77777777" w:rsidR="00457B03" w:rsidRPr="00732BB7" w:rsidRDefault="00457B03" w:rsidP="008A6D58">
      <w:pPr>
        <w:ind w:left="1440"/>
        <w:jc w:val="both"/>
      </w:pPr>
    </w:p>
    <w:p w14:paraId="62E7EDB9" w14:textId="13CD8BA6" w:rsidR="008A6D58" w:rsidRPr="00370237" w:rsidRDefault="008A6D58" w:rsidP="008A6D58">
      <w:pPr>
        <w:pStyle w:val="ListParagraph"/>
        <w:numPr>
          <w:ilvl w:val="0"/>
          <w:numId w:val="24"/>
        </w:numPr>
        <w:jc w:val="both"/>
      </w:pPr>
      <w:r w:rsidRPr="00370237">
        <w:t>Hausman Test</w:t>
      </w:r>
    </w:p>
    <w:p w14:paraId="1A53A09B" w14:textId="1376EA58" w:rsidR="00457B03" w:rsidRPr="00732BB7" w:rsidRDefault="00457B03" w:rsidP="00457B03">
      <w:pPr>
        <w:ind w:left="1440"/>
        <w:jc w:val="both"/>
      </w:pPr>
      <w:r w:rsidRPr="00732BB7">
        <w:rPr>
          <w:i/>
          <w:iCs/>
        </w:rPr>
        <w:t>Hausman test</w:t>
      </w:r>
      <w:r w:rsidRPr="00732BB7">
        <w:t xml:space="preserve"> </w:t>
      </w:r>
      <w:r w:rsidR="00300EA9">
        <w:t>is used to determine either FEM or REM</w:t>
      </w:r>
      <w:r w:rsidRPr="00732BB7">
        <w:t xml:space="preserve">. </w:t>
      </w:r>
      <w:r w:rsidR="00916118" w:rsidRPr="00916118">
        <w:t>REM has disadvantage that no endogeneity</w:t>
      </w:r>
      <w:r w:rsidR="001F174F">
        <w:t xml:space="preserve"> is allowed. It</w:t>
      </w:r>
      <w:r w:rsidR="00916118">
        <w:t xml:space="preserve"> mean</w:t>
      </w:r>
      <w:r w:rsidR="001F174F">
        <w:t>s</w:t>
      </w:r>
      <w:r w:rsidR="00916118">
        <w:t xml:space="preserve"> that there is no</w:t>
      </w:r>
      <w:r w:rsidR="00916118" w:rsidRPr="00916118">
        <w:t xml:space="preserve"> significant correlation between the </w:t>
      </w:r>
      <w:r w:rsidR="00916118" w:rsidRPr="00916118">
        <w:rPr>
          <w:i/>
          <w:iCs/>
        </w:rPr>
        <w:t>error</w:t>
      </w:r>
      <w:r w:rsidR="00916118" w:rsidRPr="00916118">
        <w:t xml:space="preserve"> values and the </w:t>
      </w:r>
      <w:r w:rsidR="00916118" w:rsidRPr="00916118">
        <w:rPr>
          <w:i/>
          <w:iCs/>
        </w:rPr>
        <w:t>independent variables</w:t>
      </w:r>
      <w:r w:rsidR="00916118" w:rsidRPr="00916118">
        <w:t xml:space="preserve"> in the model.</w:t>
      </w:r>
      <w:r w:rsidR="00916118">
        <w:t xml:space="preserve"> </w:t>
      </w:r>
      <w:r w:rsidR="00916118" w:rsidRPr="00370237">
        <w:rPr>
          <w:i/>
          <w:iCs/>
        </w:rPr>
        <w:t>Hausman test</w:t>
      </w:r>
      <w:r w:rsidR="00916118">
        <w:t xml:space="preserve"> </w:t>
      </w:r>
      <w:r w:rsidR="00370237">
        <w:t xml:space="preserve">used to test the correlation </w:t>
      </w:r>
      <w:r w:rsidRPr="00732BB7">
        <w:t>(</w:t>
      </w:r>
      <w:r w:rsidRPr="00732BB7">
        <w:rPr>
          <w:i/>
          <w:iCs/>
        </w:rPr>
        <w:t>covariant</w:t>
      </w:r>
      <w:r w:rsidRPr="00732BB7">
        <w:t xml:space="preserve">) </w:t>
      </w:r>
      <w:r w:rsidR="00370237">
        <w:t>between</w:t>
      </w:r>
      <w:r w:rsidRPr="00732BB7">
        <w:t xml:space="preserve"> error </w:t>
      </w:r>
      <w:r w:rsidR="00370237">
        <w:t xml:space="preserve">value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</m:oMath>
      <w:r w:rsidRPr="00732BB7">
        <w:rPr>
          <w:rFonts w:eastAsiaTheme="minorEastAsia"/>
          <w:iCs/>
        </w:rPr>
        <w:t xml:space="preserve"> </w:t>
      </w:r>
      <w:r w:rsidR="00370237">
        <w:rPr>
          <w:rFonts w:eastAsiaTheme="minorEastAsia"/>
          <w:iCs/>
        </w:rPr>
        <w:t xml:space="preserve">and </w:t>
      </w:r>
      <w:r w:rsidRPr="00732BB7">
        <w:rPr>
          <w:rFonts w:eastAsiaTheme="minorEastAsia"/>
          <w:iCs/>
        </w:rPr>
        <w:t>variab</w:t>
      </w:r>
      <w:r w:rsidR="00370237">
        <w:rPr>
          <w:rFonts w:eastAsiaTheme="minorEastAsia"/>
          <w:iCs/>
        </w:rPr>
        <w:t>le</w:t>
      </w:r>
      <w:r w:rsidRPr="00732BB7">
        <w:rPr>
          <w:rFonts w:eastAsiaTheme="minorEastAsia"/>
          <w:iCs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</m:oMath>
      <w:r w:rsidRPr="00732BB7">
        <w:rPr>
          <w:rFonts w:eastAsiaTheme="minorEastAsia"/>
          <w:iCs/>
        </w:rPr>
        <w:t xml:space="preserve">. </w:t>
      </w:r>
      <w:r w:rsidRPr="00732BB7">
        <w:rPr>
          <w:i/>
          <w:iCs/>
        </w:rPr>
        <w:t>Hausman test</w:t>
      </w:r>
      <w:r w:rsidRPr="00732BB7">
        <w:t xml:space="preserve"> </w:t>
      </w:r>
      <w:r w:rsidR="00370237">
        <w:t>hypothesis</w:t>
      </w:r>
      <w:r w:rsidRPr="00732BB7">
        <w:t>:</w:t>
      </w:r>
    </w:p>
    <w:p w14:paraId="1C902057" w14:textId="77777777" w:rsidR="00457B03" w:rsidRPr="00732BB7" w:rsidRDefault="00457B03" w:rsidP="00457B03">
      <w:pPr>
        <w:ind w:left="1440"/>
      </w:pPr>
    </w:p>
    <w:p w14:paraId="15450997" w14:textId="14690922" w:rsidR="00457B03" w:rsidRPr="00732BB7" w:rsidRDefault="00457B03" w:rsidP="00457B03">
      <w:pPr>
        <w:ind w:left="2160"/>
        <w:rPr>
          <w:rFonts w:eastAsiaTheme="minorEastAsia"/>
          <w:iCs/>
        </w:rPr>
      </w:pPr>
      <w:r w:rsidRPr="00732BB7">
        <w:t>H</w:t>
      </w:r>
      <w:r w:rsidRPr="00732BB7">
        <w:rPr>
          <w:vertAlign w:val="subscript"/>
        </w:rPr>
        <w:t>0</w:t>
      </w:r>
      <w:r w:rsidRPr="00732BB7">
        <w:t>:</w:t>
      </w:r>
      <w:r w:rsidRPr="00732BB7"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Cov(ω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  <m:r>
          <w:rPr>
            <w:rFonts w:ascii="Cambria Math" w:eastAsiaTheme="minorEastAsia" w:hAnsi="Cambria Math"/>
          </w:rPr>
          <m:t>)=0</m:t>
        </m:r>
      </m:oMath>
    </w:p>
    <w:p w14:paraId="148DB0F0" w14:textId="77777777" w:rsidR="00457B03" w:rsidRPr="00732BB7" w:rsidRDefault="00457B03" w:rsidP="00457B03">
      <w:pPr>
        <w:ind w:left="2160"/>
        <w:rPr>
          <w:rFonts w:eastAsiaTheme="minorEastAsia"/>
          <w:iCs/>
        </w:rPr>
      </w:pPr>
      <w:r w:rsidRPr="00732BB7">
        <w:t>H</w:t>
      </w:r>
      <w:r w:rsidRPr="00732BB7">
        <w:rPr>
          <w:vertAlign w:val="subscript"/>
        </w:rPr>
        <w:t>1</w:t>
      </w:r>
      <w:r w:rsidRPr="00732BB7">
        <w:t>:</w:t>
      </w:r>
      <w:r w:rsidRPr="00732BB7"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Cov(ω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  <m:r>
          <w:rPr>
            <w:rFonts w:ascii="Cambria Math" w:eastAsiaTheme="minorEastAsia" w:hAnsi="Cambria Math"/>
          </w:rPr>
          <m:t>)≠0</m:t>
        </m:r>
      </m:oMath>
    </w:p>
    <w:p w14:paraId="7C79E6B1" w14:textId="4C71FD11" w:rsidR="00457B03" w:rsidRDefault="00457B03" w:rsidP="00457B03">
      <w:pPr>
        <w:ind w:left="1440"/>
        <w:jc w:val="both"/>
      </w:pPr>
    </w:p>
    <w:p w14:paraId="2BAFDFFE" w14:textId="3E0D1485" w:rsidR="00370237" w:rsidRDefault="00370237" w:rsidP="00370237">
      <w:pPr>
        <w:ind w:left="1440"/>
        <w:jc w:val="both"/>
      </w:pPr>
      <w:r w:rsidRPr="007C75B2">
        <w:t xml:space="preserve">From the result of </w:t>
      </w:r>
      <w:r w:rsidRPr="007C75B2">
        <w:rPr>
          <w:i/>
          <w:iCs/>
        </w:rPr>
        <w:t>Hausman test</w:t>
      </w:r>
      <w:r w:rsidRPr="007C75B2">
        <w:t xml:space="preserve">, if </w:t>
      </w:r>
      <w:r w:rsidRPr="007C75B2">
        <w:rPr>
          <w:i/>
          <w:iCs/>
        </w:rPr>
        <w:t>p-value</w:t>
      </w:r>
      <w:r w:rsidR="001F174F">
        <w:t xml:space="preserve"> of</w:t>
      </w:r>
      <w:r w:rsidRPr="007C75B2">
        <w:t xml:space="preserve"> </w:t>
      </w:r>
      <w:r w:rsidRPr="007C75B2">
        <w:rPr>
          <w:i/>
          <w:iCs/>
        </w:rPr>
        <w:t>cross-section random</w:t>
      </w:r>
      <w:r w:rsidRPr="007C75B2">
        <w:t xml:space="preserve"> is ≤ 5% then reject </w:t>
      </w:r>
      <w:r w:rsidRPr="007C75B2">
        <w:rPr>
          <w:rFonts w:eastAsiaTheme="minorEastAsia"/>
          <w:iCs/>
        </w:rPr>
        <w:t>H</w:t>
      </w:r>
      <w:r w:rsidRPr="007C75B2">
        <w:rPr>
          <w:rFonts w:eastAsiaTheme="minorEastAsia"/>
          <w:iCs/>
          <w:vertAlign w:val="subscript"/>
        </w:rPr>
        <w:t>0</w:t>
      </w:r>
      <w:r w:rsidRPr="007C75B2">
        <w:t xml:space="preserve">, the candidate model is FEM. But if </w:t>
      </w:r>
      <w:r w:rsidRPr="007C75B2">
        <w:rPr>
          <w:i/>
          <w:iCs/>
        </w:rPr>
        <w:t>p-value</w:t>
      </w:r>
      <w:r w:rsidR="001F174F">
        <w:t xml:space="preserve"> of</w:t>
      </w:r>
      <w:r w:rsidRPr="007C75B2">
        <w:t xml:space="preserve"> </w:t>
      </w:r>
      <w:r w:rsidRPr="007C75B2">
        <w:rPr>
          <w:i/>
          <w:iCs/>
        </w:rPr>
        <w:t>cross-section random</w:t>
      </w:r>
      <w:r w:rsidRPr="007C75B2">
        <w:t xml:space="preserve"> is &gt; 5% then accept H</w:t>
      </w:r>
      <w:r w:rsidRPr="007C75B2">
        <w:rPr>
          <w:vertAlign w:val="subscript"/>
        </w:rPr>
        <w:t>0</w:t>
      </w:r>
      <w:r w:rsidRPr="007C75B2">
        <w:t>, the candidate model is REM</w:t>
      </w:r>
      <w:r w:rsidR="007C75B2">
        <w:t>.</w:t>
      </w:r>
    </w:p>
    <w:p w14:paraId="61A76206" w14:textId="77777777" w:rsidR="00370237" w:rsidRDefault="00370237" w:rsidP="00370237">
      <w:pPr>
        <w:ind w:left="1440"/>
        <w:jc w:val="both"/>
      </w:pPr>
    </w:p>
    <w:p w14:paraId="5DC04684" w14:textId="77777777" w:rsidR="004C02AA" w:rsidRDefault="004C02AA" w:rsidP="00370237">
      <w:pPr>
        <w:ind w:left="1440"/>
        <w:jc w:val="both"/>
      </w:pPr>
    </w:p>
    <w:p w14:paraId="2B2FE0DB" w14:textId="093EB9C4" w:rsidR="00370237" w:rsidRDefault="00370237" w:rsidP="00370237">
      <w:pPr>
        <w:pStyle w:val="ListParagraph"/>
        <w:numPr>
          <w:ilvl w:val="0"/>
          <w:numId w:val="24"/>
        </w:numPr>
        <w:jc w:val="both"/>
      </w:pPr>
      <w:r>
        <w:t>Lagrange Multiplier</w:t>
      </w:r>
      <w:r w:rsidR="0039510D">
        <w:t xml:space="preserve"> (LM) Test</w:t>
      </w:r>
      <w:r>
        <w:t>.</w:t>
      </w:r>
    </w:p>
    <w:p w14:paraId="4C6932E2" w14:textId="2B2D4FBD" w:rsidR="0039510D" w:rsidRPr="00732BB7" w:rsidRDefault="0039510D" w:rsidP="0039510D">
      <w:pPr>
        <w:ind w:left="1440"/>
        <w:jc w:val="both"/>
      </w:pPr>
      <w:r>
        <w:rPr>
          <w:i/>
          <w:iCs/>
        </w:rPr>
        <w:t>LM</w:t>
      </w:r>
      <w:r w:rsidRPr="0039510D">
        <w:rPr>
          <w:i/>
          <w:iCs/>
        </w:rPr>
        <w:t xml:space="preserve"> test</w:t>
      </w:r>
      <w:r w:rsidRPr="00732BB7">
        <w:t xml:space="preserve"> </w:t>
      </w:r>
      <w:r>
        <w:t>is used to determine either CEM or REM</w:t>
      </w:r>
      <w:r w:rsidRPr="00732BB7">
        <w:t xml:space="preserve">. </w:t>
      </w:r>
      <w:r w:rsidR="00746055">
        <w:t>LM test use</w:t>
      </w:r>
      <w:r w:rsidR="0051721A">
        <w:t>s</w:t>
      </w:r>
      <w:r w:rsidR="00746055">
        <w:t xml:space="preserve"> Breusch-Pagan and then called </w:t>
      </w:r>
      <w:r w:rsidR="00746055" w:rsidRPr="00746055">
        <w:rPr>
          <w:i/>
          <w:iCs/>
        </w:rPr>
        <w:t>Breusch-Pagan LM Test</w:t>
      </w:r>
      <w:r w:rsidR="00746055">
        <w:t xml:space="preserve">. </w:t>
      </w:r>
      <w:r>
        <w:t>R</w:t>
      </w:r>
      <w:r w:rsidRPr="00732BB7">
        <w:t>EM</w:t>
      </w:r>
      <w:r>
        <w:t xml:space="preserve"> estimation will produce individual </w:t>
      </w:r>
      <m:oMath>
        <m:r>
          <w:rPr>
            <w:rFonts w:ascii="Cambria Math" w:hAnsi="Cambria Math"/>
          </w:rPr>
          <m:t>v</m:t>
        </m:r>
      </m:oMath>
      <w:r>
        <w:t xml:space="preserve"> value for each</w:t>
      </w:r>
      <w:r w:rsidRPr="00732BB7">
        <w:t xml:space="preserve"> </w:t>
      </w:r>
      <w:r w:rsidRPr="0039510D">
        <w:rPr>
          <w:i/>
          <w:iCs/>
        </w:rPr>
        <w:t xml:space="preserve">cross-section </w:t>
      </w:r>
      <w:r w:rsidRPr="00732BB7">
        <w:t xml:space="preserve">data. </w:t>
      </w:r>
      <w:r>
        <w:t xml:space="preserve">If </w:t>
      </w:r>
      <w:r w:rsidR="00DC31B2">
        <w:t>there is</w:t>
      </w:r>
      <w:r w:rsidR="00746055">
        <w:t xml:space="preserve"> no random effect then </w:t>
      </w:r>
      <m:oMath>
        <m:r>
          <w:rPr>
            <w:rFonts w:ascii="Cambria Math" w:hAnsi="Cambria Math"/>
          </w:rPr>
          <m:t>var(v)</m:t>
        </m:r>
      </m:oMath>
      <w:r w:rsidRPr="00732BB7">
        <w:t xml:space="preserve"> </w:t>
      </w:r>
      <w:r w:rsidR="00746055">
        <w:t xml:space="preserve">value </w:t>
      </w:r>
      <w:r>
        <w:t xml:space="preserve">is </w:t>
      </w:r>
      <w:r w:rsidR="00746055">
        <w:t>zero</w:t>
      </w:r>
      <w:r>
        <w:t>.</w:t>
      </w:r>
      <w:r w:rsidRPr="00732BB7">
        <w:t xml:space="preserve"> </w:t>
      </w:r>
      <w:r w:rsidR="00226D51" w:rsidRPr="00746055">
        <w:rPr>
          <w:i/>
          <w:iCs/>
        </w:rPr>
        <w:t xml:space="preserve">Breusch-Pagan </w:t>
      </w:r>
      <w:r w:rsidR="00746055">
        <w:rPr>
          <w:i/>
          <w:iCs/>
        </w:rPr>
        <w:t>LM</w:t>
      </w:r>
      <w:r w:rsidRPr="00732BB7">
        <w:t xml:space="preserve"> </w:t>
      </w:r>
      <w:r>
        <w:t>hypothesis:</w:t>
      </w:r>
    </w:p>
    <w:p w14:paraId="7AD1EDED" w14:textId="77777777" w:rsidR="0039510D" w:rsidRPr="0039510D" w:rsidRDefault="0039510D" w:rsidP="0039510D">
      <w:pPr>
        <w:ind w:left="1440"/>
        <w:rPr>
          <w:rFonts w:eastAsiaTheme="minorEastAsia"/>
          <w:iCs/>
        </w:rPr>
      </w:pPr>
    </w:p>
    <w:p w14:paraId="62A19787" w14:textId="156D7847" w:rsidR="0039510D" w:rsidRPr="0039510D" w:rsidRDefault="0039510D" w:rsidP="00746055">
      <w:pPr>
        <w:ind w:left="2160"/>
        <w:rPr>
          <w:rFonts w:eastAsiaTheme="minorEastAsia"/>
          <w:iCs/>
        </w:rPr>
      </w:pPr>
      <w:r w:rsidRPr="0039510D">
        <w:rPr>
          <w:rFonts w:eastAsiaTheme="minorEastAsia"/>
          <w:iCs/>
        </w:rPr>
        <w:t>H</w:t>
      </w:r>
      <w:r w:rsidRPr="0039510D">
        <w:rPr>
          <w:rFonts w:eastAsiaTheme="minorEastAsia"/>
          <w:iCs/>
          <w:vertAlign w:val="subscript"/>
        </w:rPr>
        <w:t>0</w:t>
      </w:r>
      <w:r w:rsidRPr="0039510D">
        <w:rPr>
          <w:rFonts w:eastAsiaTheme="minorEastAsia"/>
          <w:iCs/>
        </w:rPr>
        <w:t>:</w:t>
      </w:r>
      <w:r w:rsidRPr="0039510D">
        <w:rPr>
          <w:rFonts w:eastAsiaTheme="minorEastAsia"/>
          <w:iCs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v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=0</m:t>
        </m:r>
      </m:oMath>
    </w:p>
    <w:p w14:paraId="6C3F0EC0" w14:textId="7062529E" w:rsidR="0039510D" w:rsidRPr="00732BB7" w:rsidRDefault="0039510D" w:rsidP="00746055">
      <w:pPr>
        <w:ind w:left="2160"/>
      </w:pPr>
      <w:r w:rsidRPr="00732BB7">
        <w:t>H</w:t>
      </w:r>
      <w:r w:rsidRPr="0039510D">
        <w:rPr>
          <w:vertAlign w:val="subscript"/>
        </w:rPr>
        <w:t>1</w:t>
      </w:r>
      <w:r w:rsidRPr="00732BB7">
        <w:t>:</w:t>
      </w:r>
      <w:r w:rsidRPr="00732BB7"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v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≠0</m:t>
        </m:r>
      </m:oMath>
    </w:p>
    <w:p w14:paraId="4A25CD7E" w14:textId="77777777" w:rsidR="0039510D" w:rsidRPr="00732BB7" w:rsidRDefault="0039510D" w:rsidP="0039510D">
      <w:pPr>
        <w:ind w:left="1440"/>
        <w:jc w:val="both"/>
      </w:pPr>
    </w:p>
    <w:p w14:paraId="27492A6D" w14:textId="44812720" w:rsidR="0039510D" w:rsidRPr="00732BB7" w:rsidRDefault="0039510D" w:rsidP="0039510D">
      <w:pPr>
        <w:ind w:left="1440"/>
        <w:jc w:val="both"/>
      </w:pPr>
      <w:r>
        <w:t>From the result of</w:t>
      </w:r>
      <w:r w:rsidRPr="00732BB7">
        <w:t xml:space="preserve"> </w:t>
      </w:r>
      <w:r w:rsidR="00746055" w:rsidRPr="00746055">
        <w:rPr>
          <w:i/>
          <w:iCs/>
        </w:rPr>
        <w:t xml:space="preserve">Breusch-Pagan </w:t>
      </w:r>
      <w:r w:rsidR="00746055">
        <w:rPr>
          <w:i/>
          <w:iCs/>
        </w:rPr>
        <w:t>LM</w:t>
      </w:r>
      <w:r w:rsidRPr="0039510D">
        <w:rPr>
          <w:i/>
          <w:iCs/>
        </w:rPr>
        <w:t xml:space="preserve"> test</w:t>
      </w:r>
      <w:r w:rsidRPr="00300EA9">
        <w:t xml:space="preserve">, </w:t>
      </w:r>
      <w:r>
        <w:t>if</w:t>
      </w:r>
      <w:r w:rsidRPr="00732BB7">
        <w:t xml:space="preserve"> </w:t>
      </w:r>
      <w:r w:rsidRPr="0039510D">
        <w:rPr>
          <w:i/>
          <w:iCs/>
        </w:rPr>
        <w:t>p-value</w:t>
      </w:r>
      <w:r w:rsidRPr="00732BB7">
        <w:t xml:space="preserve"> </w:t>
      </w:r>
      <w:r w:rsidR="006C724B">
        <w:t>of</w:t>
      </w:r>
      <w:r>
        <w:t xml:space="preserve"> </w:t>
      </w:r>
      <w:r w:rsidR="00746055" w:rsidRPr="00746055">
        <w:rPr>
          <w:i/>
          <w:iCs/>
        </w:rPr>
        <w:t xml:space="preserve">Breusch-Pagan </w:t>
      </w:r>
      <w:r>
        <w:t xml:space="preserve">is </w:t>
      </w:r>
      <w:r w:rsidRPr="00732BB7">
        <w:t xml:space="preserve">≤ 5% </w:t>
      </w:r>
      <w:r>
        <w:t>then reject</w:t>
      </w:r>
      <w:r w:rsidRPr="00732BB7">
        <w:t xml:space="preserve"> </w:t>
      </w:r>
      <w:r w:rsidRPr="0039510D">
        <w:rPr>
          <w:rFonts w:eastAsiaTheme="minorEastAsia"/>
          <w:iCs/>
        </w:rPr>
        <w:t>H</w:t>
      </w:r>
      <w:r w:rsidRPr="0039510D">
        <w:rPr>
          <w:rFonts w:eastAsiaTheme="minorEastAsia"/>
          <w:iCs/>
          <w:vertAlign w:val="subscript"/>
        </w:rPr>
        <w:t>0</w:t>
      </w:r>
      <w:r w:rsidRPr="00732BB7">
        <w:t xml:space="preserve">, </w:t>
      </w:r>
      <w:r>
        <w:t xml:space="preserve">the candidate model is </w:t>
      </w:r>
      <w:r w:rsidR="00746055">
        <w:t>R</w:t>
      </w:r>
      <w:r w:rsidRPr="00732BB7">
        <w:t xml:space="preserve">EM. </w:t>
      </w:r>
      <w:r>
        <w:t xml:space="preserve">But if </w:t>
      </w:r>
      <w:r w:rsidRPr="0039510D">
        <w:rPr>
          <w:i/>
          <w:iCs/>
        </w:rPr>
        <w:t>p-value</w:t>
      </w:r>
      <w:r w:rsidRPr="00732BB7">
        <w:t xml:space="preserve"> </w:t>
      </w:r>
      <w:r w:rsidR="006C724B">
        <w:t>of</w:t>
      </w:r>
      <w:r>
        <w:t xml:space="preserve"> </w:t>
      </w:r>
      <w:r w:rsidR="00746055" w:rsidRPr="00746055">
        <w:rPr>
          <w:i/>
          <w:iCs/>
        </w:rPr>
        <w:t>Breusch-Pagan</w:t>
      </w:r>
      <w:r>
        <w:t xml:space="preserve"> is </w:t>
      </w:r>
      <w:r w:rsidRPr="00732BB7">
        <w:t xml:space="preserve">&gt; 5% </w:t>
      </w:r>
      <w:r>
        <w:t xml:space="preserve">then accept </w:t>
      </w:r>
      <w:r w:rsidRPr="00732BB7">
        <w:t>H</w:t>
      </w:r>
      <w:r w:rsidRPr="0039510D">
        <w:rPr>
          <w:vertAlign w:val="subscript"/>
        </w:rPr>
        <w:t>0</w:t>
      </w:r>
      <w:r w:rsidRPr="00732BB7">
        <w:t xml:space="preserve">, </w:t>
      </w:r>
      <w:r>
        <w:t>the candidate model is CEM</w:t>
      </w:r>
    </w:p>
    <w:p w14:paraId="11537E6C" w14:textId="77777777" w:rsidR="00A31746" w:rsidRPr="00732BB7" w:rsidRDefault="00A31746" w:rsidP="00A31746">
      <w:pPr>
        <w:jc w:val="both"/>
      </w:pPr>
    </w:p>
    <w:p w14:paraId="53673AEC" w14:textId="77777777" w:rsidR="003865D9" w:rsidRPr="00732BB7" w:rsidRDefault="003865D9" w:rsidP="00105C44">
      <w:pPr>
        <w:jc w:val="both"/>
      </w:pPr>
    </w:p>
    <w:p w14:paraId="20F535A2" w14:textId="50E92B09" w:rsidR="0064449A" w:rsidRDefault="0064449A" w:rsidP="009A44FE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47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III. </w:t>
      </w:r>
      <w:r w:rsidR="00746055" w:rsidRPr="000847FD">
        <w:rPr>
          <w:rFonts w:ascii="Times New Roman" w:hAnsi="Times New Roman" w:cs="Times New Roman"/>
          <w:b/>
          <w:color w:val="auto"/>
          <w:sz w:val="24"/>
          <w:szCs w:val="24"/>
        </w:rPr>
        <w:t>Research Design</w:t>
      </w:r>
    </w:p>
    <w:p w14:paraId="1352BD04" w14:textId="77777777" w:rsidR="00D63831" w:rsidRPr="00D63831" w:rsidRDefault="00D63831" w:rsidP="00D63831"/>
    <w:p w14:paraId="7E2CA2F9" w14:textId="33381356" w:rsidR="0064449A" w:rsidRDefault="00442900" w:rsidP="00105C44">
      <w:pPr>
        <w:jc w:val="both"/>
      </w:pPr>
      <w:r>
        <w:tab/>
        <w:t>This research wants to explore the effect</w:t>
      </w:r>
      <w:r w:rsidR="000847FD">
        <w:t>s</w:t>
      </w:r>
      <w:r>
        <w:t xml:space="preserve"> </w:t>
      </w:r>
      <w:r w:rsidR="000847FD">
        <w:t xml:space="preserve">of </w:t>
      </w:r>
      <w:r>
        <w:t xml:space="preserve">some </w:t>
      </w:r>
      <w:r w:rsidR="000847FD">
        <w:t xml:space="preserve">bank internal and external variables on the level of </w:t>
      </w:r>
      <w:r w:rsidR="000462C6">
        <w:t xml:space="preserve">management </w:t>
      </w:r>
      <w:r w:rsidR="000847FD">
        <w:t>confidence in</w:t>
      </w:r>
      <w:r>
        <w:t xml:space="preserve"> </w:t>
      </w:r>
      <w:r w:rsidR="000847FD">
        <w:t xml:space="preserve">the </w:t>
      </w:r>
      <w:r>
        <w:t>bank</w:t>
      </w:r>
      <w:r w:rsidR="000847FD">
        <w:t>s</w:t>
      </w:r>
      <w:r>
        <w:t xml:space="preserve">.  This research could be mentioned </w:t>
      </w:r>
      <w:r w:rsidR="000847FD">
        <w:t>as exploring causalities</w:t>
      </w:r>
      <w:r w:rsidR="00D63831">
        <w:t xml:space="preserve"> between</w:t>
      </w:r>
      <w:r>
        <w:t xml:space="preserve"> variable</w:t>
      </w:r>
      <w:r w:rsidR="000847FD">
        <w:t>s</w:t>
      </w:r>
      <w:r>
        <w:t xml:space="preserve"> in the ba</w:t>
      </w:r>
      <w:r w:rsidR="000847FD">
        <w:t>nk</w:t>
      </w:r>
      <w:r w:rsidR="004675FD">
        <w:t>s</w:t>
      </w:r>
      <w:r w:rsidR="000847FD">
        <w:t>.  This research could be cate</w:t>
      </w:r>
      <w:r>
        <w:t xml:space="preserve">gorized as </w:t>
      </w:r>
      <w:r w:rsidR="00F571FB">
        <w:t xml:space="preserve">a </w:t>
      </w:r>
      <w:r>
        <w:t xml:space="preserve">Quantitative Research. </w:t>
      </w:r>
    </w:p>
    <w:p w14:paraId="6B776AEA" w14:textId="77777777" w:rsidR="000847FD" w:rsidRPr="00732BB7" w:rsidRDefault="000847FD" w:rsidP="00105C44">
      <w:pPr>
        <w:jc w:val="both"/>
      </w:pPr>
    </w:p>
    <w:p w14:paraId="5888C06F" w14:textId="214AC248" w:rsidR="00107CDF" w:rsidRPr="00D63831" w:rsidRDefault="00107CDF" w:rsidP="009A44FE">
      <w:pPr>
        <w:pStyle w:val="Heading3"/>
        <w:rPr>
          <w:rFonts w:ascii="Times New Roman" w:hAnsi="Times New Roman" w:cs="Times New Roman"/>
          <w:b/>
          <w:color w:val="auto"/>
        </w:rPr>
      </w:pPr>
      <w:r w:rsidRPr="00D63831">
        <w:rPr>
          <w:rFonts w:ascii="Times New Roman" w:hAnsi="Times New Roman" w:cs="Times New Roman"/>
          <w:b/>
          <w:color w:val="auto"/>
        </w:rPr>
        <w:t>III.1. Variab</w:t>
      </w:r>
      <w:r w:rsidR="00692F30" w:rsidRPr="00D63831">
        <w:rPr>
          <w:rFonts w:ascii="Times New Roman" w:hAnsi="Times New Roman" w:cs="Times New Roman"/>
          <w:b/>
          <w:color w:val="auto"/>
        </w:rPr>
        <w:t>le and</w:t>
      </w:r>
      <w:r w:rsidRPr="00D63831">
        <w:rPr>
          <w:rFonts w:ascii="Times New Roman" w:hAnsi="Times New Roman" w:cs="Times New Roman"/>
          <w:b/>
          <w:color w:val="auto"/>
        </w:rPr>
        <w:t xml:space="preserve"> Data</w:t>
      </w:r>
    </w:p>
    <w:p w14:paraId="11DC4011" w14:textId="77777777" w:rsidR="00107CDF" w:rsidRPr="00732BB7" w:rsidRDefault="00107CDF" w:rsidP="00105C44">
      <w:pPr>
        <w:jc w:val="both"/>
      </w:pPr>
    </w:p>
    <w:p w14:paraId="45C7725A" w14:textId="6718C4B2" w:rsidR="001C7585" w:rsidRDefault="00726C9A" w:rsidP="00EA4C39">
      <w:pPr>
        <w:ind w:firstLine="720"/>
        <w:jc w:val="both"/>
      </w:pPr>
      <w:r w:rsidRPr="00726C9A">
        <w:t xml:space="preserve">The data used in this study </w:t>
      </w:r>
      <w:r w:rsidR="000B7684">
        <w:t>are</w:t>
      </w:r>
      <w:r w:rsidRPr="00726C9A">
        <w:t xml:space="preserve"> </w:t>
      </w:r>
      <w:r w:rsidR="00620483">
        <w:t xml:space="preserve">yearly </w:t>
      </w:r>
      <w:r w:rsidRPr="00726C9A">
        <w:t>secondary data</w:t>
      </w:r>
      <w:r>
        <w:t xml:space="preserve"> from Indonesian bank</w:t>
      </w:r>
      <w:r w:rsidR="00D63831">
        <w:t>s listed on</w:t>
      </w:r>
      <w:r w:rsidR="000462C6">
        <w:t xml:space="preserve"> Indonesia Stock Exchange (IDX) whose</w:t>
      </w:r>
      <w:r w:rsidRPr="00726C9A">
        <w:t xml:space="preserve"> first stock registration</w:t>
      </w:r>
      <w:r w:rsidR="00D63831">
        <w:t xml:space="preserve">s </w:t>
      </w:r>
      <w:r w:rsidRPr="00726C9A">
        <w:t>before 2010.</w:t>
      </w:r>
      <w:r w:rsidR="000B7684">
        <w:t xml:space="preserve"> There are</w:t>
      </w:r>
      <w:r>
        <w:t xml:space="preserve"> 28 bank</w:t>
      </w:r>
      <w:r w:rsidR="00D63831">
        <w:t>s that meet this</w:t>
      </w:r>
      <w:r>
        <w:t xml:space="preserve"> criteria</w:t>
      </w:r>
      <w:r w:rsidR="00D63831">
        <w:t>,</w:t>
      </w:r>
      <w:r>
        <w:t xml:space="preserve"> but 27 bank</w:t>
      </w:r>
      <w:r w:rsidR="00D63831">
        <w:t>s</w:t>
      </w:r>
      <w:r w:rsidR="000B7684">
        <w:t xml:space="preserve"> are included as</w:t>
      </w:r>
      <w:r>
        <w:t xml:space="preserve"> one of the bank</w:t>
      </w:r>
      <w:r w:rsidR="00620483">
        <w:t>s</w:t>
      </w:r>
      <w:r w:rsidR="000B7684">
        <w:t xml:space="preserve"> does not have</w:t>
      </w:r>
      <w:r w:rsidR="00620483">
        <w:t xml:space="preserve"> a complete data set in the annual report. </w:t>
      </w:r>
      <w:r w:rsidR="000B7684">
        <w:t>The p</w:t>
      </w:r>
      <w:r w:rsidR="00620483">
        <w:t xml:space="preserve">eriod of </w:t>
      </w:r>
      <w:r w:rsidR="001C7585">
        <w:t>d</w:t>
      </w:r>
      <w:r w:rsidR="00620483">
        <w:t>ata sample was 5 years</w:t>
      </w:r>
      <w:r w:rsidR="000B7684">
        <w:t xml:space="preserve">, </w:t>
      </w:r>
      <w:r w:rsidR="00620483">
        <w:t>2017 – 2021.</w:t>
      </w:r>
    </w:p>
    <w:p w14:paraId="05C0764E" w14:textId="6BBA1C17" w:rsidR="001C7585" w:rsidRDefault="000462C6" w:rsidP="00EA4C39">
      <w:pPr>
        <w:ind w:firstLine="720"/>
        <w:jc w:val="both"/>
      </w:pPr>
      <w:r>
        <w:t xml:space="preserve">The </w:t>
      </w:r>
      <w:r w:rsidR="00620483">
        <w:t xml:space="preserve">Dependent Variable </w:t>
      </w:r>
      <w:r w:rsidR="000B7684">
        <w:t>is</w:t>
      </w:r>
      <w:r w:rsidR="001C7585">
        <w:t xml:space="preserve"> </w:t>
      </w:r>
      <w:r w:rsidR="001C7585" w:rsidRPr="00732BB7">
        <w:rPr>
          <w:i/>
          <w:iCs/>
        </w:rPr>
        <w:t>Interest Expense to Total Deposits Ratio</w:t>
      </w:r>
      <w:r w:rsidR="001C7585" w:rsidRPr="00732BB7">
        <w:t xml:space="preserve"> </w:t>
      </w:r>
      <m:oMath>
        <m:r>
          <w:rPr>
            <w:rFonts w:ascii="Cambria Math" w:hAnsi="Cambria Math"/>
          </w:rPr>
          <m:t>(IETDR)</m:t>
        </m:r>
      </m:oMath>
      <w:r w:rsidR="001C7585">
        <w:rPr>
          <w:rFonts w:eastAsiaTheme="minorEastAsia"/>
        </w:rPr>
        <w:t xml:space="preserve"> </w:t>
      </w:r>
      <w:r w:rsidR="001C7585">
        <w:t>as</w:t>
      </w:r>
      <w:r w:rsidR="001C7585" w:rsidRPr="000D0F77">
        <w:t xml:space="preserve"> prox</w:t>
      </w:r>
      <w:r w:rsidR="001C7585">
        <w:t xml:space="preserve">y and it </w:t>
      </w:r>
      <w:r w:rsidR="000B7684">
        <w:t xml:space="preserve">is </w:t>
      </w:r>
      <w:r w:rsidR="001C7585">
        <w:t>use</w:t>
      </w:r>
      <w:r w:rsidR="000B7684">
        <w:t>d</w:t>
      </w:r>
      <w:r w:rsidR="001C7585" w:rsidRPr="000D0F77">
        <w:t xml:space="preserve"> </w:t>
      </w:r>
      <w:r w:rsidR="001C7585">
        <w:t xml:space="preserve">as </w:t>
      </w:r>
      <w:r w:rsidR="000B7684">
        <w:t xml:space="preserve">an indicator for the </w:t>
      </w:r>
      <w:r w:rsidR="001C7585" w:rsidRPr="000D0F77">
        <w:t>level of management confidence</w:t>
      </w:r>
      <w:r w:rsidR="001C7585">
        <w:t xml:space="preserve">. </w:t>
      </w:r>
      <w:r w:rsidR="001C7585" w:rsidRPr="000F2419">
        <w:t xml:space="preserve">This ratio is the aggregate interest rate on deposits provided by </w:t>
      </w:r>
      <w:r w:rsidR="000B7684">
        <w:t xml:space="preserve">the </w:t>
      </w:r>
      <w:r w:rsidR="001C7585" w:rsidRPr="000F2419">
        <w:t>banks to their customers</w:t>
      </w:r>
      <w:r w:rsidR="001C7585">
        <w:t xml:space="preserve">. </w:t>
      </w:r>
      <w:r w:rsidR="001C7585" w:rsidRPr="009172B7">
        <w:t xml:space="preserve">This ratio </w:t>
      </w:r>
      <w:r w:rsidR="000B7684">
        <w:t>is used as</w:t>
      </w:r>
      <w:r w:rsidR="001C7585" w:rsidRPr="009172B7">
        <w:t xml:space="preserve"> one of management's considerations in making decisions regarding deposit interest rates</w:t>
      </w:r>
      <w:r w:rsidR="001C7585">
        <w:t>.</w:t>
      </w:r>
    </w:p>
    <w:p w14:paraId="6B0547FE" w14:textId="26B9BA10" w:rsidR="00726C9A" w:rsidRDefault="000462C6" w:rsidP="00EA4C39">
      <w:pPr>
        <w:ind w:firstLine="720"/>
        <w:jc w:val="both"/>
      </w:pPr>
      <w:r>
        <w:t xml:space="preserve">The </w:t>
      </w:r>
      <w:r w:rsidR="001C7585">
        <w:t>Independent variables</w:t>
      </w:r>
      <w:r w:rsidR="001C7585" w:rsidRPr="008D640A">
        <w:t xml:space="preserve"> </w:t>
      </w:r>
      <w:r w:rsidR="00FC7403">
        <w:t xml:space="preserve">come from </w:t>
      </w:r>
      <w:r>
        <w:t xml:space="preserve">the </w:t>
      </w:r>
      <w:r w:rsidR="00FC7403">
        <w:t>risk</w:t>
      </w:r>
      <w:r w:rsidR="001C7585" w:rsidRPr="008D640A">
        <w:t xml:space="preserve"> and operational factors such as efficiency and profitability.</w:t>
      </w:r>
      <w:r w:rsidR="001C7585">
        <w:t xml:space="preserve"> </w:t>
      </w:r>
      <w:r w:rsidR="00FC7403">
        <w:t>The r</w:t>
      </w:r>
      <w:r w:rsidR="001C7585" w:rsidRPr="008D640A">
        <w:t>isk factors</w:t>
      </w:r>
      <w:r w:rsidR="001C7585">
        <w:t xml:space="preserve"> use </w:t>
      </w:r>
      <w:r w:rsidR="001C7585" w:rsidRPr="00732BB7">
        <w:rPr>
          <w:i/>
          <w:iCs/>
        </w:rPr>
        <w:t>Capital Adequacy Ratio</w:t>
      </w:r>
      <w:r w:rsidR="001C7585" w:rsidRPr="00732BB7">
        <w:t xml:space="preserve"> (CAR)</w:t>
      </w:r>
      <w:r w:rsidR="001C7585">
        <w:t xml:space="preserve"> and</w:t>
      </w:r>
      <w:r w:rsidR="001C7585" w:rsidRPr="00732BB7">
        <w:t xml:space="preserve"> </w:t>
      </w:r>
      <w:r w:rsidR="001C7585" w:rsidRPr="00732BB7">
        <w:rPr>
          <w:i/>
          <w:iCs/>
        </w:rPr>
        <w:t>Non-Performing Loan</w:t>
      </w:r>
      <w:r w:rsidR="001C7585" w:rsidRPr="00732BB7">
        <w:t xml:space="preserve"> (NPL)</w:t>
      </w:r>
      <w:r>
        <w:t xml:space="preserve"> as proxies</w:t>
      </w:r>
      <w:r w:rsidR="001C7585">
        <w:t xml:space="preserve">. </w:t>
      </w:r>
      <w:r w:rsidR="00FC7403">
        <w:t>The o</w:t>
      </w:r>
      <w:r w:rsidR="001C7585" w:rsidRPr="008D640A">
        <w:t>perational factors</w:t>
      </w:r>
      <w:r w:rsidR="001C7585">
        <w:t xml:space="preserve"> use </w:t>
      </w:r>
      <w:r w:rsidR="001C7585" w:rsidRPr="00732BB7">
        <w:rPr>
          <w:i/>
          <w:iCs/>
        </w:rPr>
        <w:t>Return on Asset</w:t>
      </w:r>
      <w:r w:rsidR="001C7585" w:rsidRPr="00732BB7">
        <w:t xml:space="preserve"> </w:t>
      </w:r>
      <w:r w:rsidR="001C7585">
        <w:t>(</w:t>
      </w:r>
      <w:r w:rsidR="001C7585" w:rsidRPr="00732BB7">
        <w:t xml:space="preserve">ROA) </w:t>
      </w:r>
      <w:r w:rsidR="001C7585">
        <w:t>and</w:t>
      </w:r>
      <w:r w:rsidR="001C7585" w:rsidRPr="00732BB7">
        <w:t xml:space="preserve"> </w:t>
      </w:r>
      <w:r w:rsidR="001C7585" w:rsidRPr="00FC7403">
        <w:rPr>
          <w:i/>
        </w:rPr>
        <w:t>Efficiency Ratio</w:t>
      </w:r>
      <w:r w:rsidR="001C7585">
        <w:t xml:space="preserve"> </w:t>
      </w:r>
      <w:r w:rsidR="001C7585" w:rsidRPr="00732BB7">
        <w:t>(EFR)</w:t>
      </w:r>
      <w:r>
        <w:t xml:space="preserve"> as proxies</w:t>
      </w:r>
      <w:r w:rsidR="001C7585">
        <w:t>. For macroeconomic variable</w:t>
      </w:r>
      <w:r w:rsidR="00FC7403">
        <w:t>s</w:t>
      </w:r>
      <w:r w:rsidR="001C7585">
        <w:t xml:space="preserve">, we use </w:t>
      </w:r>
      <w:r w:rsidR="001C7585" w:rsidRPr="00732BB7">
        <w:rPr>
          <w:i/>
          <w:iCs/>
        </w:rPr>
        <w:t>Inflation</w:t>
      </w:r>
      <w:r w:rsidR="001C7585" w:rsidRPr="00732BB7">
        <w:t xml:space="preserve"> </w:t>
      </w:r>
      <w:r w:rsidR="001C7585">
        <w:t>(</w:t>
      </w:r>
      <w:r w:rsidR="001C7585" w:rsidRPr="00732BB7">
        <w:t>IF</w:t>
      </w:r>
      <w:r w:rsidR="001C7585">
        <w:t xml:space="preserve">) and </w:t>
      </w:r>
      <w:r w:rsidR="001C7585" w:rsidRPr="00732BB7">
        <w:rPr>
          <w:i/>
          <w:iCs/>
        </w:rPr>
        <w:t>Interest Rate</w:t>
      </w:r>
      <w:r w:rsidR="001C7585" w:rsidRPr="00732BB7">
        <w:t xml:space="preserve"> </w:t>
      </w:r>
      <w:r w:rsidR="001C7585">
        <w:t>(</w:t>
      </w:r>
      <w:r w:rsidR="001C7585" w:rsidRPr="00732BB7">
        <w:t>IR</w:t>
      </w:r>
      <w:r w:rsidR="001C7585">
        <w:t xml:space="preserve">) from Bank Indonesia. </w:t>
      </w:r>
      <w:r>
        <w:t xml:space="preserve">The </w:t>
      </w:r>
      <w:r w:rsidR="00FC7403">
        <w:t>moderating variable</w:t>
      </w:r>
      <w:r w:rsidR="001C7585">
        <w:t xml:space="preserve"> is Indonesian Bank Scale. </w:t>
      </w:r>
      <w:r w:rsidR="00FC7403">
        <w:t>The d</w:t>
      </w:r>
      <w:r w:rsidR="0005370E">
        <w:t>ata of bank</w:t>
      </w:r>
      <w:r w:rsidR="00FC7403">
        <w:t>s were</w:t>
      </w:r>
      <w:r w:rsidR="0005370E">
        <w:t xml:space="preserve"> taken from </w:t>
      </w:r>
      <w:r w:rsidR="00FC7403">
        <w:t xml:space="preserve">the </w:t>
      </w:r>
      <w:r w:rsidR="0005370E">
        <w:t>bank annual report</w:t>
      </w:r>
      <w:r w:rsidR="00FC7403">
        <w:t>s by downloading</w:t>
      </w:r>
      <w:r w:rsidR="0005370E">
        <w:t xml:space="preserve"> from their website</w:t>
      </w:r>
      <w:r>
        <w:t>s</w:t>
      </w:r>
      <w:r w:rsidR="0005370E">
        <w:t xml:space="preserve"> for </w:t>
      </w:r>
      <w:r w:rsidR="00FC7403">
        <w:t>the period of 5 years (2017 – 2021). Meanwhile</w:t>
      </w:r>
      <w:r w:rsidR="0005370E">
        <w:t xml:space="preserve"> </w:t>
      </w:r>
      <w:r w:rsidR="00FC7403">
        <w:t xml:space="preserve">the </w:t>
      </w:r>
      <w:r w:rsidR="0005370E">
        <w:t>data</w:t>
      </w:r>
      <w:r w:rsidR="00FC7403">
        <w:t xml:space="preserve"> for macroeconomics variables were</w:t>
      </w:r>
      <w:r w:rsidR="0005370E">
        <w:t xml:space="preserve"> taken fr</w:t>
      </w:r>
      <w:r w:rsidR="00FC7403">
        <w:t>om Bank Indonesia’s website for</w:t>
      </w:r>
      <w:r w:rsidR="0005370E">
        <w:t xml:space="preserve"> the sa</w:t>
      </w:r>
      <w:r w:rsidR="00FC7403">
        <w:t>me period. We add</w:t>
      </w:r>
      <w:r w:rsidR="00F817A1">
        <w:t>ed</w:t>
      </w:r>
      <w:r w:rsidR="0005370E">
        <w:t xml:space="preserve"> “COVID</w:t>
      </w:r>
      <w:r w:rsidR="00FC7403">
        <w:t>-19</w:t>
      </w:r>
      <w:r w:rsidR="0005370E">
        <w:t xml:space="preserve">” </w:t>
      </w:r>
      <w:r w:rsidR="00FC7403">
        <w:t xml:space="preserve">as dummy variable </w:t>
      </w:r>
      <w:r w:rsidR="0005370E">
        <w:t>to</w:t>
      </w:r>
      <w:r w:rsidR="00FC7403">
        <w:t xml:space="preserve"> be able to</w:t>
      </w:r>
      <w:r w:rsidR="0005370E">
        <w:t xml:space="preserve"> distinguish global condition</w:t>
      </w:r>
      <w:r w:rsidR="00FC7403">
        <w:t xml:space="preserve">s before and after </w:t>
      </w:r>
      <w:r>
        <w:t xml:space="preserve">the </w:t>
      </w:r>
      <w:r w:rsidR="00FC7403">
        <w:t>Covid-19 pandemic. All data were</w:t>
      </w:r>
      <w:r w:rsidR="0005370E">
        <w:t xml:space="preserve"> compiled </w:t>
      </w:r>
      <w:r w:rsidR="00FC7403">
        <w:t>and beca</w:t>
      </w:r>
      <w:r w:rsidR="0005370E">
        <w:t>me panel data.</w:t>
      </w:r>
    </w:p>
    <w:p w14:paraId="282DED70" w14:textId="405AE42F" w:rsidR="0064449A" w:rsidRPr="00732BB7" w:rsidRDefault="0005370E" w:rsidP="00C33FED">
      <w:pPr>
        <w:ind w:firstLine="720"/>
        <w:jc w:val="both"/>
      </w:pPr>
      <w:r>
        <w:t>Note</w:t>
      </w:r>
      <w:r w:rsidR="00FC7403">
        <w:t>;</w:t>
      </w:r>
      <w:r>
        <w:t xml:space="preserve"> for Efficiency Ratio, the formula is show</w:t>
      </w:r>
      <w:r w:rsidR="00CF31EA">
        <w:t>n</w:t>
      </w:r>
      <w:r>
        <w:t xml:space="preserve"> below:</w:t>
      </w:r>
    </w:p>
    <w:p w14:paraId="401E209C" w14:textId="77777777" w:rsidR="00C33FED" w:rsidRPr="00732BB7" w:rsidRDefault="00C33FED" w:rsidP="00C33FED">
      <w:pPr>
        <w:ind w:firstLine="720"/>
        <w:jc w:val="both"/>
      </w:pPr>
    </w:p>
    <w:p w14:paraId="7C6D63CC" w14:textId="40656F72" w:rsidR="00C33FED" w:rsidRPr="00732BB7" w:rsidRDefault="00C33FED" w:rsidP="00105C44">
      <w:pPr>
        <w:jc w:val="both"/>
      </w:pPr>
      <m:oMathPara>
        <m:oMath>
          <m:r>
            <w:rPr>
              <w:rFonts w:ascii="Cambria Math" w:hAnsi="Cambria Math"/>
            </w:rPr>
            <w:lastRenderedPageBreak/>
            <m:t>EFR=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Non Interest Expense</m:t>
              </m:r>
            </m:num>
            <m:den>
              <m:r>
                <w:rPr>
                  <w:rFonts w:ascii="Cambria Math" w:hAnsi="Cambria Math"/>
                </w:rPr>
                <m:t>NII+Non Interest Income</m:t>
              </m:r>
            </m:den>
          </m:f>
        </m:oMath>
      </m:oMathPara>
    </w:p>
    <w:p w14:paraId="4F511CAB" w14:textId="77777777" w:rsidR="00DC43F5" w:rsidRPr="00732BB7" w:rsidRDefault="00DC43F5" w:rsidP="00105C44">
      <w:pPr>
        <w:jc w:val="both"/>
      </w:pPr>
    </w:p>
    <w:p w14:paraId="03555B25" w14:textId="30639C9E" w:rsidR="00107CDF" w:rsidRPr="00627474" w:rsidRDefault="00107CDF" w:rsidP="009A44FE">
      <w:pPr>
        <w:pStyle w:val="Heading3"/>
        <w:rPr>
          <w:rFonts w:ascii="Times New Roman" w:hAnsi="Times New Roman" w:cs="Times New Roman"/>
          <w:b/>
          <w:color w:val="auto"/>
        </w:rPr>
      </w:pPr>
      <w:r w:rsidRPr="00627474">
        <w:rPr>
          <w:rFonts w:ascii="Times New Roman" w:hAnsi="Times New Roman" w:cs="Times New Roman"/>
          <w:b/>
          <w:color w:val="auto"/>
        </w:rPr>
        <w:t>III.2. Met</w:t>
      </w:r>
      <w:r w:rsidR="0005370E" w:rsidRPr="00627474">
        <w:rPr>
          <w:rFonts w:ascii="Times New Roman" w:hAnsi="Times New Roman" w:cs="Times New Roman"/>
          <w:b/>
          <w:color w:val="auto"/>
        </w:rPr>
        <w:t>hodology</w:t>
      </w:r>
    </w:p>
    <w:p w14:paraId="220FDF14" w14:textId="55EDB597" w:rsidR="00107CDF" w:rsidRPr="00732BB7" w:rsidRDefault="00107CDF" w:rsidP="00105C44">
      <w:pPr>
        <w:jc w:val="both"/>
      </w:pPr>
    </w:p>
    <w:p w14:paraId="0B801FC0" w14:textId="335CB0FF" w:rsidR="00CE6FD2" w:rsidRDefault="00CE6FD2" w:rsidP="00EA4C39">
      <w:pPr>
        <w:ind w:firstLine="720"/>
        <w:jc w:val="both"/>
      </w:pPr>
      <w:r w:rsidRPr="00CE6FD2">
        <w:t xml:space="preserve">In this study, </w:t>
      </w:r>
      <w:r>
        <w:t xml:space="preserve">we use </w:t>
      </w:r>
      <w:r w:rsidRPr="00CE6FD2">
        <w:t>panel data regression</w:t>
      </w:r>
      <w:r>
        <w:t xml:space="preserve"> for estimation</w:t>
      </w:r>
      <w:r w:rsidRPr="00CE6FD2">
        <w:t xml:space="preserve">. The equation of the panel data </w:t>
      </w:r>
      <w:r>
        <w:t>base</w:t>
      </w:r>
      <w:r w:rsidR="004466C7">
        <w:t>d</w:t>
      </w:r>
      <w:r>
        <w:t xml:space="preserve"> on</w:t>
      </w:r>
      <w:r w:rsidRPr="00CE6FD2">
        <w:t xml:space="preserve"> </w:t>
      </w:r>
      <w:r w:rsidR="004466C7">
        <w:t xml:space="preserve">the </w:t>
      </w:r>
      <w:r>
        <w:t xml:space="preserve">defined </w:t>
      </w:r>
      <w:r w:rsidRPr="00CE6FD2">
        <w:t>variables are</w:t>
      </w:r>
      <w:r>
        <w:t>:</w:t>
      </w:r>
    </w:p>
    <w:p w14:paraId="2FB82955" w14:textId="77777777" w:rsidR="007539FC" w:rsidRPr="00732BB7" w:rsidRDefault="007539FC" w:rsidP="00105C44">
      <w:pPr>
        <w:jc w:val="both"/>
      </w:pPr>
    </w:p>
    <w:bookmarkStart w:id="0" w:name="_Hlk54498337"/>
    <w:p w14:paraId="2F52881C" w14:textId="4475FFAC" w:rsidR="007539FC" w:rsidRPr="00732BB7" w:rsidRDefault="00000000" w:rsidP="00CF31EA">
      <w:pPr>
        <w:widowControl w:val="0"/>
        <w:autoSpaceDE w:val="0"/>
        <w:autoSpaceDN w:val="0"/>
        <w:ind w:left="567" w:hanging="56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IETDR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w:bookmarkEnd w:id="0"/>
          <m:r>
            <w:rPr>
              <w:rFonts w:ascii="Cambria Math" w:eastAsiaTheme="minorEastAsia" w:hAnsi="Cambria Math"/>
            </w:rPr>
            <m:t>=</m:t>
          </m:r>
          <w:bookmarkStart w:id="1" w:name="_Hlk54499651"/>
          <w:bookmarkStart w:id="2" w:name="_Hlk76476256"/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w:bookmarkEnd w:id="1"/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CAR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NPL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ROA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EFR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IF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IR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COVID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BB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</m:t>
              </m:r>
              <w:bookmarkStart w:id="3" w:name="_Hlk76476025"/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BB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it </m:t>
                  </m:r>
                </m:sub>
              </m:sSub>
              <w:bookmarkEnd w:id="3"/>
              <m:r>
                <w:rPr>
                  <w:rFonts w:ascii="Cambria Math" w:eastAsiaTheme="minorEastAsia" w:hAnsi="Cambria Math"/>
                </w:rPr>
                <m:t>*CAR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  <m:r>
            <w:rPr>
              <w:rFonts w:ascii="Cambria Math" w:eastAsiaTheme="minorEastAsia" w:hAnsi="Cambria Math"/>
            </w:rPr>
            <m:t>)+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10 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BB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it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*NPL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  <m:r>
            <w:rPr>
              <w:rFonts w:ascii="Cambria Math" w:eastAsiaTheme="minorEastAsia" w:hAnsi="Cambria Math"/>
            </w:rPr>
            <m:t>)+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BB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it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*ROA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  <m:r>
            <w:rPr>
              <w:rFonts w:ascii="Cambria Math" w:eastAsiaTheme="minorEastAsia" w:hAnsi="Cambria Math"/>
            </w:rPr>
            <m:t>)+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BB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it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*EFR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  <m:r>
            <w:rPr>
              <w:rFonts w:ascii="Cambria Math" w:eastAsiaTheme="minorEastAsia" w:hAnsi="Cambria Math"/>
            </w:rPr>
            <m:t>)+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BB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it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*IF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  <m:r>
            <w:rPr>
              <w:rFonts w:ascii="Cambria Math" w:eastAsiaTheme="minorEastAsia" w:hAnsi="Cambria Math"/>
            </w:rPr>
            <m:t>)+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14 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BB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it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*IR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  <m:r>
            <w:rPr>
              <w:rFonts w:ascii="Cambria Math" w:eastAsiaTheme="minorEastAsia" w:hAnsi="Cambria Math"/>
            </w:rPr>
            <m:t>)+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15 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BB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it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*COVID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  <m:r>
            <w:rPr>
              <w:rFonts w:ascii="Cambria Math" w:eastAsiaTheme="minorEastAsia" w:hAnsi="Cambria Math"/>
            </w:rPr>
            <m:t>)+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it </m:t>
              </m:r>
            </m:sub>
          </m:sSub>
        </m:oMath>
      </m:oMathPara>
    </w:p>
    <w:bookmarkEnd w:id="2"/>
    <w:p w14:paraId="580CD41E" w14:textId="2FC9E156" w:rsidR="007539FC" w:rsidRPr="00732BB7" w:rsidRDefault="007539FC" w:rsidP="00105C44">
      <w:pPr>
        <w:jc w:val="both"/>
      </w:pPr>
    </w:p>
    <w:p w14:paraId="6ED6677F" w14:textId="77777777" w:rsidR="00054E31" w:rsidRPr="00732BB7" w:rsidRDefault="00054E31" w:rsidP="00105C44">
      <w:pPr>
        <w:jc w:val="both"/>
      </w:pPr>
    </w:p>
    <w:p w14:paraId="7B1BF17E" w14:textId="36E28DE9" w:rsidR="0064449A" w:rsidRPr="00BB2906" w:rsidRDefault="004466C7" w:rsidP="00C0456F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IV. </w:t>
      </w:r>
      <w:r w:rsidR="00CE6FD2" w:rsidRPr="00BB2906">
        <w:rPr>
          <w:rFonts w:ascii="Times New Roman" w:hAnsi="Times New Roman" w:cs="Times New Roman"/>
          <w:b/>
          <w:bCs/>
          <w:color w:val="auto"/>
          <w:sz w:val="24"/>
          <w:szCs w:val="24"/>
        </w:rPr>
        <w:t>Empirical Result</w:t>
      </w:r>
    </w:p>
    <w:p w14:paraId="545E17EF" w14:textId="38C91241" w:rsidR="008C2955" w:rsidRDefault="008C2955" w:rsidP="008C2955"/>
    <w:p w14:paraId="14CE06B5" w14:textId="581F9369" w:rsidR="008C2955" w:rsidRPr="008C2955" w:rsidRDefault="004466C7" w:rsidP="008C2955">
      <w:r>
        <w:t>The empirical r</w:t>
      </w:r>
      <w:r w:rsidR="008C2955">
        <w:t xml:space="preserve">esults will </w:t>
      </w:r>
      <w:r w:rsidR="00BB2906">
        <w:t xml:space="preserve">be </w:t>
      </w:r>
      <w:r w:rsidR="008C2955">
        <w:t>explain</w:t>
      </w:r>
      <w:r w:rsidR="00BB2906">
        <w:t>ed into</w:t>
      </w:r>
      <w:r>
        <w:t xml:space="preserve"> two </w:t>
      </w:r>
      <w:r w:rsidR="008C2955">
        <w:t>discussion</w:t>
      </w:r>
      <w:r>
        <w:t xml:space="preserve"> topics</w:t>
      </w:r>
      <w:r w:rsidR="008C2955">
        <w:t xml:space="preserve">.  </w:t>
      </w:r>
      <w:r>
        <w:t>The d</w:t>
      </w:r>
      <w:r w:rsidR="008C2955">
        <w:t>escriptive data will be</w:t>
      </w:r>
      <w:r>
        <w:t xml:space="preserve"> explained first</w:t>
      </w:r>
      <w:r w:rsidR="008C2955">
        <w:t xml:space="preserve"> and </w:t>
      </w:r>
      <w:r>
        <w:t xml:space="preserve">then followed by </w:t>
      </w:r>
      <w:r w:rsidR="00530BC5">
        <w:t xml:space="preserve">the </w:t>
      </w:r>
      <w:r>
        <w:t>c</w:t>
      </w:r>
      <w:r w:rsidR="008C2955">
        <w:t>ausalities between variable.</w:t>
      </w:r>
    </w:p>
    <w:p w14:paraId="190AECFC" w14:textId="77777777" w:rsidR="00BB2906" w:rsidRDefault="00BB2906" w:rsidP="00C0456F">
      <w:pPr>
        <w:pStyle w:val="Heading3"/>
        <w:rPr>
          <w:rFonts w:ascii="Times New Roman" w:hAnsi="Times New Roman" w:cs="Times New Roman"/>
          <w:color w:val="auto"/>
        </w:rPr>
      </w:pPr>
    </w:p>
    <w:p w14:paraId="213EEF23" w14:textId="1D0DBABD" w:rsidR="009E46D6" w:rsidRPr="00BB2906" w:rsidRDefault="004466C7" w:rsidP="00C0456F">
      <w:pPr>
        <w:pStyle w:val="Heading3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IV.1 </w:t>
      </w:r>
      <w:r w:rsidR="00CE6FD2" w:rsidRPr="00BB2906">
        <w:rPr>
          <w:rFonts w:ascii="Times New Roman" w:hAnsi="Times New Roman" w:cs="Times New Roman"/>
          <w:b/>
          <w:bCs/>
          <w:color w:val="auto"/>
        </w:rPr>
        <w:t>Descriptive Data</w:t>
      </w:r>
    </w:p>
    <w:p w14:paraId="39A1B575" w14:textId="77777777" w:rsidR="00C0456F" w:rsidRPr="00732BB7" w:rsidRDefault="00C0456F" w:rsidP="00105C44">
      <w:pPr>
        <w:jc w:val="both"/>
      </w:pPr>
    </w:p>
    <w:p w14:paraId="2DEAB3F2" w14:textId="637E24C8" w:rsidR="00694DA4" w:rsidRDefault="00BB2906" w:rsidP="006A5BCF">
      <w:pPr>
        <w:ind w:firstLine="720"/>
        <w:jc w:val="both"/>
      </w:pPr>
      <w:r>
        <w:t>As mentioned previously, t</w:t>
      </w:r>
      <w:r w:rsidR="00694DA4" w:rsidRPr="00694DA4">
        <w:t>his section discusses the de</w:t>
      </w:r>
      <w:r w:rsidR="004466C7">
        <w:t>scriptive data on the variables</w:t>
      </w:r>
      <w:r>
        <w:t xml:space="preserve"> </w:t>
      </w:r>
      <w:r w:rsidR="00694DA4" w:rsidRPr="00694DA4">
        <w:t>used</w:t>
      </w:r>
      <w:r>
        <w:t xml:space="preserve"> in this research</w:t>
      </w:r>
      <w:r w:rsidR="00694DA4" w:rsidRPr="00694DA4">
        <w:t xml:space="preserve">. </w:t>
      </w:r>
      <w:r w:rsidR="004466C7">
        <w:t>The descriptive data can be overviewed</w:t>
      </w:r>
      <w:r>
        <w:t xml:space="preserve"> as follows.</w:t>
      </w:r>
    </w:p>
    <w:p w14:paraId="071A655D" w14:textId="77777777" w:rsidR="00C0456F" w:rsidRPr="00732BB7" w:rsidRDefault="00C0456F" w:rsidP="00105C44">
      <w:pPr>
        <w:jc w:val="both"/>
      </w:pPr>
    </w:p>
    <w:p w14:paraId="647BB771" w14:textId="212E94AA" w:rsidR="00C0456F" w:rsidRDefault="00C0456F" w:rsidP="00091E1C">
      <w:pPr>
        <w:pStyle w:val="Caption"/>
        <w:keepNext/>
        <w:spacing w:after="0"/>
        <w:jc w:val="center"/>
        <w:rPr>
          <w:b/>
          <w:bCs/>
          <w:i w:val="0"/>
          <w:iCs w:val="0"/>
          <w:color w:val="auto"/>
          <w:sz w:val="22"/>
          <w:szCs w:val="16"/>
        </w:rPr>
      </w:pPr>
      <w:r w:rsidRPr="004466C7">
        <w:rPr>
          <w:b/>
          <w:bCs/>
          <w:i w:val="0"/>
          <w:iCs w:val="0"/>
          <w:color w:val="auto"/>
          <w:sz w:val="22"/>
          <w:szCs w:val="16"/>
        </w:rPr>
        <w:t>Tab</w:t>
      </w:r>
      <w:r w:rsidR="00694DA4" w:rsidRPr="004466C7">
        <w:rPr>
          <w:b/>
          <w:bCs/>
          <w:i w:val="0"/>
          <w:iCs w:val="0"/>
          <w:color w:val="auto"/>
          <w:sz w:val="22"/>
          <w:szCs w:val="16"/>
        </w:rPr>
        <w:t>le</w:t>
      </w:r>
      <w:r w:rsidRPr="004466C7">
        <w:rPr>
          <w:b/>
          <w:bCs/>
          <w:i w:val="0"/>
          <w:iCs w:val="0"/>
          <w:color w:val="auto"/>
          <w:sz w:val="22"/>
          <w:szCs w:val="16"/>
        </w:rPr>
        <w:t xml:space="preserve"> </w:t>
      </w:r>
      <w:r w:rsidRPr="004466C7">
        <w:rPr>
          <w:b/>
          <w:bCs/>
          <w:i w:val="0"/>
          <w:iCs w:val="0"/>
          <w:color w:val="auto"/>
          <w:sz w:val="22"/>
          <w:szCs w:val="16"/>
        </w:rPr>
        <w:fldChar w:fldCharType="begin"/>
      </w:r>
      <w:r w:rsidRPr="004466C7">
        <w:rPr>
          <w:b/>
          <w:bCs/>
          <w:i w:val="0"/>
          <w:iCs w:val="0"/>
          <w:color w:val="auto"/>
          <w:sz w:val="22"/>
          <w:szCs w:val="16"/>
        </w:rPr>
        <w:instrText xml:space="preserve"> SEQ Tabel \* ARABIC </w:instrText>
      </w:r>
      <w:r w:rsidRPr="004466C7">
        <w:rPr>
          <w:b/>
          <w:bCs/>
          <w:i w:val="0"/>
          <w:iCs w:val="0"/>
          <w:color w:val="auto"/>
          <w:sz w:val="22"/>
          <w:szCs w:val="16"/>
        </w:rPr>
        <w:fldChar w:fldCharType="separate"/>
      </w:r>
      <w:r w:rsidR="00CC6B0E" w:rsidRPr="004466C7">
        <w:rPr>
          <w:b/>
          <w:bCs/>
          <w:i w:val="0"/>
          <w:iCs w:val="0"/>
          <w:noProof/>
          <w:color w:val="auto"/>
          <w:sz w:val="22"/>
          <w:szCs w:val="16"/>
        </w:rPr>
        <w:t>1</w:t>
      </w:r>
      <w:r w:rsidRPr="004466C7">
        <w:rPr>
          <w:b/>
          <w:bCs/>
          <w:i w:val="0"/>
          <w:iCs w:val="0"/>
          <w:color w:val="auto"/>
          <w:sz w:val="22"/>
          <w:szCs w:val="16"/>
        </w:rPr>
        <w:fldChar w:fldCharType="end"/>
      </w:r>
      <w:r w:rsidR="00091E1C" w:rsidRPr="004466C7">
        <w:rPr>
          <w:b/>
          <w:bCs/>
          <w:i w:val="0"/>
          <w:iCs w:val="0"/>
          <w:color w:val="auto"/>
          <w:sz w:val="22"/>
          <w:szCs w:val="16"/>
        </w:rPr>
        <w:t xml:space="preserve">. </w:t>
      </w:r>
      <w:r w:rsidR="00C20D5B" w:rsidRPr="004466C7">
        <w:rPr>
          <w:b/>
          <w:bCs/>
          <w:i w:val="0"/>
          <w:iCs w:val="0"/>
          <w:color w:val="auto"/>
          <w:sz w:val="22"/>
          <w:szCs w:val="16"/>
        </w:rPr>
        <w:t>D</w:t>
      </w:r>
      <w:r w:rsidR="00091E1C" w:rsidRPr="004466C7">
        <w:rPr>
          <w:b/>
          <w:bCs/>
          <w:i w:val="0"/>
          <w:iCs w:val="0"/>
          <w:color w:val="auto"/>
          <w:sz w:val="22"/>
          <w:szCs w:val="16"/>
        </w:rPr>
        <w:t>es</w:t>
      </w:r>
      <w:r w:rsidR="00C20D5B" w:rsidRPr="004466C7">
        <w:rPr>
          <w:b/>
          <w:bCs/>
          <w:i w:val="0"/>
          <w:iCs w:val="0"/>
          <w:color w:val="auto"/>
          <w:sz w:val="22"/>
          <w:szCs w:val="16"/>
        </w:rPr>
        <w:t>c</w:t>
      </w:r>
      <w:r w:rsidR="00091E1C" w:rsidRPr="004466C7">
        <w:rPr>
          <w:b/>
          <w:bCs/>
          <w:i w:val="0"/>
          <w:iCs w:val="0"/>
          <w:color w:val="auto"/>
          <w:sz w:val="22"/>
          <w:szCs w:val="16"/>
        </w:rPr>
        <w:t>ripti</w:t>
      </w:r>
      <w:r w:rsidR="00C20D5B" w:rsidRPr="004466C7">
        <w:rPr>
          <w:b/>
          <w:bCs/>
          <w:i w:val="0"/>
          <w:iCs w:val="0"/>
          <w:color w:val="auto"/>
          <w:sz w:val="22"/>
          <w:szCs w:val="16"/>
        </w:rPr>
        <w:t>ve</w:t>
      </w:r>
      <w:r w:rsidR="00091E1C" w:rsidRPr="004466C7">
        <w:rPr>
          <w:b/>
          <w:bCs/>
          <w:i w:val="0"/>
          <w:iCs w:val="0"/>
          <w:color w:val="auto"/>
          <w:sz w:val="22"/>
          <w:szCs w:val="16"/>
        </w:rPr>
        <w:t xml:space="preserve"> </w:t>
      </w:r>
      <w:r w:rsidR="00CF4FBB" w:rsidRPr="004466C7">
        <w:rPr>
          <w:b/>
          <w:bCs/>
          <w:i w:val="0"/>
          <w:iCs w:val="0"/>
          <w:color w:val="auto"/>
          <w:sz w:val="22"/>
          <w:szCs w:val="16"/>
        </w:rPr>
        <w:t>statistics</w:t>
      </w:r>
      <w:r w:rsidR="00C20D5B" w:rsidRPr="004466C7">
        <w:rPr>
          <w:b/>
          <w:bCs/>
          <w:i w:val="0"/>
          <w:iCs w:val="0"/>
          <w:color w:val="auto"/>
          <w:sz w:val="22"/>
          <w:szCs w:val="16"/>
        </w:rPr>
        <w:t xml:space="preserve"> </w:t>
      </w:r>
      <w:r w:rsidR="00CF4FBB" w:rsidRPr="004466C7">
        <w:rPr>
          <w:b/>
          <w:bCs/>
          <w:i w:val="0"/>
          <w:iCs w:val="0"/>
          <w:color w:val="auto"/>
          <w:sz w:val="22"/>
          <w:szCs w:val="16"/>
        </w:rPr>
        <w:t>data from all</w:t>
      </w:r>
      <w:r w:rsidR="00091E1C" w:rsidRPr="004466C7">
        <w:rPr>
          <w:b/>
          <w:bCs/>
          <w:i w:val="0"/>
          <w:iCs w:val="0"/>
          <w:color w:val="auto"/>
          <w:sz w:val="22"/>
          <w:szCs w:val="16"/>
        </w:rPr>
        <w:t xml:space="preserve"> variab</w:t>
      </w:r>
      <w:r w:rsidR="00CF4FBB" w:rsidRPr="004466C7">
        <w:rPr>
          <w:b/>
          <w:bCs/>
          <w:i w:val="0"/>
          <w:iCs w:val="0"/>
          <w:color w:val="auto"/>
          <w:sz w:val="22"/>
          <w:szCs w:val="16"/>
        </w:rPr>
        <w:t>les</w:t>
      </w:r>
    </w:p>
    <w:p w14:paraId="795605E3" w14:textId="77777777" w:rsidR="004466C7" w:rsidRPr="004466C7" w:rsidRDefault="004466C7" w:rsidP="004466C7"/>
    <w:p w14:paraId="7E86C1C5" w14:textId="4E6BB731" w:rsidR="009E46D6" w:rsidRDefault="00065971" w:rsidP="00C0456F">
      <w:pPr>
        <w:jc w:val="center"/>
        <w:rPr>
          <w:rFonts w:ascii="Arial" w:hAnsi="Arial" w:cs="Arial"/>
        </w:rPr>
      </w:pPr>
      <w:r w:rsidRPr="00065971">
        <w:rPr>
          <w:noProof/>
        </w:rPr>
        <w:drawing>
          <wp:inline distT="0" distB="0" distL="0" distR="0" wp14:anchorId="2EA85CC2" wp14:editId="2EF49B9E">
            <wp:extent cx="5943600" cy="22409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46A80" w14:textId="0BA36BFD" w:rsidR="009E46D6" w:rsidRPr="00732BB7" w:rsidRDefault="009E46D6" w:rsidP="00105C44">
      <w:pPr>
        <w:jc w:val="both"/>
      </w:pPr>
    </w:p>
    <w:p w14:paraId="4EC0DF23" w14:textId="46E2E947" w:rsidR="00091E1C" w:rsidRPr="00732BB7" w:rsidRDefault="00BB2906" w:rsidP="00EA4C39">
      <w:pPr>
        <w:ind w:firstLine="720"/>
        <w:jc w:val="both"/>
      </w:pPr>
      <w:r>
        <w:t>This research use</w:t>
      </w:r>
      <w:r w:rsidR="004466C7">
        <w:t>s</w:t>
      </w:r>
      <w:r>
        <w:t xml:space="preserve"> the </w:t>
      </w:r>
      <w:r w:rsidR="002159E6">
        <w:t xml:space="preserve">Bank </w:t>
      </w:r>
      <w:r w:rsidR="00A4498A">
        <w:t>M</w:t>
      </w:r>
      <w:r w:rsidR="002159E6">
        <w:t xml:space="preserve">anagement </w:t>
      </w:r>
      <w:r w:rsidR="00A4498A">
        <w:t>C</w:t>
      </w:r>
      <w:r w:rsidR="002159E6">
        <w:t xml:space="preserve">onfidence </w:t>
      </w:r>
      <w:r w:rsidR="00A4498A">
        <w:t>L</w:t>
      </w:r>
      <w:r w:rsidR="002159E6">
        <w:t xml:space="preserve">evel </w:t>
      </w:r>
      <w:r w:rsidR="004466C7">
        <w:t xml:space="preserve">as </w:t>
      </w:r>
      <w:r w:rsidR="00023839">
        <w:t xml:space="preserve">the </w:t>
      </w:r>
      <w:r w:rsidR="004466C7">
        <w:t>topic</w:t>
      </w:r>
      <w:r w:rsidR="00150F16">
        <w:t xml:space="preserve"> of</w:t>
      </w:r>
      <w:r w:rsidR="004466C7">
        <w:t xml:space="preserve"> discussion that i</w:t>
      </w:r>
      <w:r>
        <w:t>t become</w:t>
      </w:r>
      <w:r w:rsidR="004466C7">
        <w:t>s</w:t>
      </w:r>
      <w:r>
        <w:t xml:space="preserve"> </w:t>
      </w:r>
      <w:r w:rsidR="004466C7">
        <w:t xml:space="preserve">a </w:t>
      </w:r>
      <w:r>
        <w:t xml:space="preserve">dependent variable. </w:t>
      </w:r>
      <w:r w:rsidR="004466C7">
        <w:t xml:space="preserve">The </w:t>
      </w:r>
      <w:r w:rsidR="004B3095" w:rsidRPr="00732BB7">
        <w:rPr>
          <w:i/>
          <w:iCs/>
        </w:rPr>
        <w:t>Interest Expense to Total Deposits Ratio</w:t>
      </w:r>
      <w:r w:rsidR="004B3095" w:rsidRPr="00732BB7">
        <w:t xml:space="preserve"> </w:t>
      </w:r>
      <m:oMath>
        <m:r>
          <w:rPr>
            <w:rFonts w:ascii="Cambria Math" w:hAnsi="Cambria Math"/>
          </w:rPr>
          <m:t>(IETDR</m:t>
        </m:r>
      </m:oMath>
      <w:r w:rsidR="004B3095" w:rsidRPr="00732BB7">
        <w:t xml:space="preserve">) </w:t>
      </w:r>
      <w:r>
        <w:t>as proxy of Ban</w:t>
      </w:r>
      <w:r w:rsidR="00A4498A">
        <w:t xml:space="preserve">k Management Confidence Level </w:t>
      </w:r>
      <w:r w:rsidR="002159E6">
        <w:t>has mean value</w:t>
      </w:r>
      <w:r w:rsidR="00A4498A">
        <w:t xml:space="preserve"> of</w:t>
      </w:r>
      <w:r w:rsidR="000D23BC" w:rsidRPr="00732BB7">
        <w:t xml:space="preserve"> </w:t>
      </w:r>
      <w:r w:rsidR="00FD0690" w:rsidRPr="00732BB7">
        <w:t>5</w:t>
      </w:r>
      <w:r w:rsidR="00A4498A">
        <w:t>.</w:t>
      </w:r>
      <w:r w:rsidR="00FD0690" w:rsidRPr="00732BB7">
        <w:t>3239</w:t>
      </w:r>
      <w:r w:rsidR="00A4498A">
        <w:t>%</w:t>
      </w:r>
      <w:r w:rsidR="00FD0690" w:rsidRPr="00732BB7">
        <w:t xml:space="preserve"> </w:t>
      </w:r>
      <w:r w:rsidR="002159E6">
        <w:t xml:space="preserve">and </w:t>
      </w:r>
      <w:r w:rsidR="00391DDD">
        <w:t xml:space="preserve">the </w:t>
      </w:r>
      <w:r w:rsidR="000D23BC" w:rsidRPr="00732BB7">
        <w:t>standar</w:t>
      </w:r>
      <w:r w:rsidR="002159E6">
        <w:t>d</w:t>
      </w:r>
      <w:r w:rsidR="00023839">
        <w:t xml:space="preserve"> </w:t>
      </w:r>
      <w:r w:rsidR="000D23BC" w:rsidRPr="00732BB7">
        <w:t>devia</w:t>
      </w:r>
      <w:r w:rsidR="002159E6">
        <w:t>tion</w:t>
      </w:r>
      <w:r w:rsidR="000D23BC" w:rsidRPr="00732BB7">
        <w:t xml:space="preserve"> </w:t>
      </w:r>
      <w:r w:rsidR="00A4498A">
        <w:t xml:space="preserve">of </w:t>
      </w:r>
      <w:r w:rsidR="00FD0690" w:rsidRPr="00732BB7">
        <w:t>1</w:t>
      </w:r>
      <w:r w:rsidR="00A4498A">
        <w:t>.</w:t>
      </w:r>
      <w:r w:rsidR="00FD0690" w:rsidRPr="00732BB7">
        <w:t>8398</w:t>
      </w:r>
      <w:r w:rsidR="00A4498A">
        <w:t>%</w:t>
      </w:r>
      <w:r w:rsidR="002159E6">
        <w:t>.</w:t>
      </w:r>
      <w:r w:rsidR="000D23BC" w:rsidRPr="00732BB7">
        <w:t xml:space="preserve"> </w:t>
      </w:r>
      <w:r w:rsidR="004466C7">
        <w:t>Meanwhile</w:t>
      </w:r>
      <w:r w:rsidR="00023839">
        <w:t xml:space="preserve"> the</w:t>
      </w:r>
      <w:r w:rsidR="004466C7">
        <w:t xml:space="preserve"> </w:t>
      </w:r>
      <w:r w:rsidR="004466C7" w:rsidRPr="004466C7">
        <w:rPr>
          <w:i/>
        </w:rPr>
        <w:t>Interest R</w:t>
      </w:r>
      <w:r w:rsidR="002159E6" w:rsidRPr="004466C7">
        <w:rPr>
          <w:i/>
        </w:rPr>
        <w:t>ate</w:t>
      </w:r>
      <w:r w:rsidR="002159E6">
        <w:t xml:space="preserve"> has mean value </w:t>
      </w:r>
      <w:r w:rsidR="00A4498A">
        <w:t xml:space="preserve">of </w:t>
      </w:r>
      <w:r w:rsidR="00B71EC9" w:rsidRPr="00732BB7">
        <w:t>4</w:t>
      </w:r>
      <w:r w:rsidR="00A4498A">
        <w:t>.</w:t>
      </w:r>
      <w:r w:rsidR="00B71EC9" w:rsidRPr="00732BB7">
        <w:t>5</w:t>
      </w:r>
      <w:r w:rsidR="00A4498A">
        <w:t>%</w:t>
      </w:r>
      <w:r w:rsidR="002159E6">
        <w:t xml:space="preserve"> and </w:t>
      </w:r>
      <w:r w:rsidR="00391DDD">
        <w:t xml:space="preserve">the </w:t>
      </w:r>
      <w:r w:rsidR="000D23BC" w:rsidRPr="00732BB7">
        <w:t>standar</w:t>
      </w:r>
      <w:r w:rsidR="002159E6">
        <w:t>d</w:t>
      </w:r>
      <w:r w:rsidR="000D23BC" w:rsidRPr="00732BB7">
        <w:t xml:space="preserve"> devia</w:t>
      </w:r>
      <w:r w:rsidR="002159E6">
        <w:t>tion</w:t>
      </w:r>
      <w:r w:rsidR="000D23BC" w:rsidRPr="00732BB7">
        <w:t xml:space="preserve"> </w:t>
      </w:r>
      <w:r w:rsidR="00A4498A">
        <w:t>of 0.</w:t>
      </w:r>
      <w:r w:rsidR="00B71EC9" w:rsidRPr="00732BB7">
        <w:t>9117</w:t>
      </w:r>
      <w:r w:rsidR="00A4498A">
        <w:t>%</w:t>
      </w:r>
      <w:r w:rsidR="000D23BC" w:rsidRPr="00732BB7">
        <w:t xml:space="preserve">. </w:t>
      </w:r>
      <w:r w:rsidR="004466C7">
        <w:t>The m</w:t>
      </w:r>
      <w:r w:rsidR="002159E6">
        <w:t>ean valu</w:t>
      </w:r>
      <w:r w:rsidR="005025C0">
        <w:t>e</w:t>
      </w:r>
      <w:r w:rsidR="002159E6">
        <w:t xml:space="preserve"> of</w:t>
      </w:r>
      <w:r w:rsidR="00023839">
        <w:t xml:space="preserve"> the</w:t>
      </w:r>
      <w:r w:rsidR="002159E6">
        <w:t xml:space="preserve"> </w:t>
      </w:r>
      <m:oMath>
        <m:r>
          <w:rPr>
            <w:rFonts w:ascii="Cambria Math" w:hAnsi="Cambria Math"/>
          </w:rPr>
          <m:t>ITDR</m:t>
        </m:r>
      </m:oMath>
      <w:r w:rsidR="00B71EC9" w:rsidRPr="00732BB7">
        <w:t xml:space="preserve"> </w:t>
      </w:r>
      <w:r w:rsidR="002159E6">
        <w:t>is less than 6% but</w:t>
      </w:r>
      <w:r w:rsidR="001D569A">
        <w:t xml:space="preserve"> it is</w:t>
      </w:r>
      <w:r w:rsidR="002159E6">
        <w:t xml:space="preserve"> hig</w:t>
      </w:r>
      <w:r w:rsidR="00E430E7">
        <w:t>h</w:t>
      </w:r>
      <w:r w:rsidR="002159E6">
        <w:t xml:space="preserve">er than </w:t>
      </w:r>
      <w:r w:rsidR="001D569A">
        <w:t xml:space="preserve">the </w:t>
      </w:r>
      <w:r w:rsidR="002159E6">
        <w:t xml:space="preserve">mean </w:t>
      </w:r>
      <w:r w:rsidR="001D569A">
        <w:t xml:space="preserve">value </w:t>
      </w:r>
      <w:r w:rsidR="002159E6">
        <w:t xml:space="preserve">of </w:t>
      </w:r>
      <w:r w:rsidR="001D569A">
        <w:t xml:space="preserve">the </w:t>
      </w:r>
      <w:r w:rsidR="001D569A" w:rsidRPr="001D569A">
        <w:rPr>
          <w:i/>
        </w:rPr>
        <w:t>Interest R</w:t>
      </w:r>
      <w:r w:rsidR="002159E6" w:rsidRPr="001D569A">
        <w:rPr>
          <w:i/>
        </w:rPr>
        <w:t>ate</w:t>
      </w:r>
      <w:r w:rsidR="000D23BC" w:rsidRPr="00732BB7">
        <w:t>.</w:t>
      </w:r>
    </w:p>
    <w:p w14:paraId="06C13846" w14:textId="0CB20B84" w:rsidR="00B71EC9" w:rsidRPr="00732BB7" w:rsidRDefault="001178B3" w:rsidP="00EA4C39">
      <w:pPr>
        <w:ind w:firstLine="720"/>
        <w:jc w:val="both"/>
      </w:pPr>
      <w:r>
        <w:lastRenderedPageBreak/>
        <w:t xml:space="preserve">The </w:t>
      </w:r>
      <w:r w:rsidR="008648BD">
        <w:t xml:space="preserve">Capital Adequacy Ratio as measurement </w:t>
      </w:r>
      <w:r>
        <w:t xml:space="preserve">of </w:t>
      </w:r>
      <w:r w:rsidR="00D95E9C">
        <w:t>the bank soundness is measured applying</w:t>
      </w:r>
      <w:r w:rsidR="00962F16">
        <w:t xml:space="preserve"> a ratio between </w:t>
      </w:r>
      <w:r>
        <w:t xml:space="preserve">the capital to risk weight asset that </w:t>
      </w:r>
      <w:r w:rsidR="00962F16">
        <w:t xml:space="preserve">should be provided by a bank every time. </w:t>
      </w:r>
      <w:r>
        <w:t>The m</w:t>
      </w:r>
      <w:r w:rsidR="002159E6">
        <w:t>ean value of</w:t>
      </w:r>
      <w:r w:rsidR="00D2653E" w:rsidRPr="00732BB7">
        <w:rPr>
          <w:i/>
          <w:iCs/>
        </w:rPr>
        <w:t xml:space="preserve"> Capital Adequacy Ratio</w:t>
      </w:r>
      <w:r w:rsidR="00D2653E" w:rsidRPr="00732BB7">
        <w:t xml:space="preserve"> (</w:t>
      </w:r>
      <m:oMath>
        <m:r>
          <w:rPr>
            <w:rFonts w:ascii="Cambria Math" w:hAnsi="Cambria Math"/>
          </w:rPr>
          <m:t>CAR</m:t>
        </m:r>
      </m:oMath>
      <w:r w:rsidR="00D2653E" w:rsidRPr="00732BB7">
        <w:t xml:space="preserve">) </w:t>
      </w:r>
      <w:r w:rsidR="002159E6">
        <w:t>is</w:t>
      </w:r>
      <w:r w:rsidR="00B71EC9" w:rsidRPr="00732BB7">
        <w:t xml:space="preserve"> 0</w:t>
      </w:r>
      <w:r w:rsidR="002159E6">
        <w:t>.</w:t>
      </w:r>
      <w:r w:rsidR="00B71EC9" w:rsidRPr="00732BB7">
        <w:t xml:space="preserve">214629 </w:t>
      </w:r>
      <w:r w:rsidR="002159E6">
        <w:t xml:space="preserve">with </w:t>
      </w:r>
      <w:r>
        <w:t xml:space="preserve">the </w:t>
      </w:r>
      <w:r w:rsidR="002159E6">
        <w:t>minim</w:t>
      </w:r>
      <w:r w:rsidR="00703237">
        <w:t>um</w:t>
      </w:r>
      <w:r w:rsidR="002159E6">
        <w:t xml:space="preserve"> value</w:t>
      </w:r>
      <w:r w:rsidR="00B71EC9" w:rsidRPr="00732BB7">
        <w:t xml:space="preserve"> 0</w:t>
      </w:r>
      <w:r w:rsidR="00703237">
        <w:t>.</w:t>
      </w:r>
      <w:r w:rsidR="00B71EC9" w:rsidRPr="00732BB7">
        <w:t>0901</w:t>
      </w:r>
      <w:r w:rsidR="00962F16">
        <w:t xml:space="preserve"> (9,01%)</w:t>
      </w:r>
      <w:r w:rsidR="00703237">
        <w:t>. It shows that</w:t>
      </w:r>
      <w:r w:rsidR="00B71EC9" w:rsidRPr="00732BB7">
        <w:t xml:space="preserve"> </w:t>
      </w:r>
      <w:r>
        <w:t xml:space="preserve">the </w:t>
      </w:r>
      <w:r w:rsidR="00703237">
        <w:t xml:space="preserve">mean value of </w:t>
      </w:r>
      <m:oMath>
        <m:r>
          <w:rPr>
            <w:rFonts w:ascii="Cambria Math" w:hAnsi="Cambria Math"/>
          </w:rPr>
          <m:t>CAR</m:t>
        </m:r>
      </m:oMath>
      <w:r w:rsidR="00B71EC9" w:rsidRPr="00732BB7">
        <w:t xml:space="preserve"> </w:t>
      </w:r>
      <w:r w:rsidR="00703237">
        <w:t xml:space="preserve">is higher than </w:t>
      </w:r>
      <w:r>
        <w:t xml:space="preserve">the </w:t>
      </w:r>
      <w:r w:rsidR="00703237">
        <w:t xml:space="preserve">regulated minimum </w:t>
      </w:r>
      <m:oMath>
        <m:r>
          <w:rPr>
            <w:rFonts w:ascii="Cambria Math" w:hAnsi="Cambria Math"/>
          </w:rPr>
          <m:t>CAR</m:t>
        </m:r>
      </m:oMath>
      <w:r w:rsidR="00FC2AC9" w:rsidRPr="00732BB7">
        <w:t xml:space="preserve"> </w:t>
      </w:r>
      <w:r w:rsidR="00703237">
        <w:t>(</w:t>
      </w:r>
      <w:r w:rsidR="00FC2AC9" w:rsidRPr="00732BB7">
        <w:t>8%</w:t>
      </w:r>
      <w:r w:rsidR="00703237">
        <w:t xml:space="preserve">) and all </w:t>
      </w:r>
      <w:r w:rsidR="00C4432A">
        <w:t xml:space="preserve">the </w:t>
      </w:r>
      <w:r w:rsidR="00703237">
        <w:t>bank</w:t>
      </w:r>
      <w:r w:rsidR="00C4432A">
        <w:t>s</w:t>
      </w:r>
      <w:r w:rsidR="00703237">
        <w:t xml:space="preserve"> pass the regulated minimum </w:t>
      </w:r>
      <m:oMath>
        <m:r>
          <w:rPr>
            <w:rFonts w:ascii="Cambria Math" w:hAnsi="Cambria Math"/>
          </w:rPr>
          <m:t>CAR</m:t>
        </m:r>
      </m:oMath>
      <w:r w:rsidR="00703237">
        <w:t>.</w:t>
      </w:r>
    </w:p>
    <w:p w14:paraId="6A80CAAB" w14:textId="2D1EAEFA" w:rsidR="00FC2AC9" w:rsidRPr="00732BB7" w:rsidRDefault="00C4432A" w:rsidP="00EA4C39">
      <w:pPr>
        <w:ind w:firstLine="720"/>
        <w:jc w:val="both"/>
      </w:pPr>
      <w:r>
        <w:t xml:space="preserve">The </w:t>
      </w:r>
      <w:r w:rsidR="008F5A70">
        <w:t>Non-Performing Loan (NPL) is a measurement</w:t>
      </w:r>
      <w:r>
        <w:t xml:space="preserve"> of</w:t>
      </w:r>
      <w:r w:rsidR="008F5A70">
        <w:t xml:space="preserve"> how the bank</w:t>
      </w:r>
      <w:r>
        <w:t>s</w:t>
      </w:r>
      <w:r w:rsidR="008F5A70">
        <w:t xml:space="preserve"> manage </w:t>
      </w:r>
      <w:r>
        <w:t xml:space="preserve">their </w:t>
      </w:r>
      <w:r w:rsidR="008F5A70">
        <w:t>credit</w:t>
      </w:r>
      <w:r>
        <w:t xml:space="preserve">s and the rule </w:t>
      </w:r>
      <w:r w:rsidR="008F5A70">
        <w:t xml:space="preserve">is </w:t>
      </w:r>
      <w:r>
        <w:t>issued by Central Bank</w:t>
      </w:r>
      <w:r w:rsidR="008F5A70">
        <w:t xml:space="preserve">.  </w:t>
      </w:r>
      <w:r>
        <w:t>The m</w:t>
      </w:r>
      <w:r w:rsidR="00EB2CD9">
        <w:t>ean value of</w:t>
      </w:r>
      <w:r w:rsidR="00EB2CD9" w:rsidRPr="00732BB7">
        <w:rPr>
          <w:i/>
          <w:iCs/>
        </w:rPr>
        <w:t xml:space="preserve"> </w:t>
      </w:r>
      <w:r w:rsidR="00D2653E" w:rsidRPr="00732BB7">
        <w:rPr>
          <w:i/>
          <w:iCs/>
        </w:rPr>
        <w:t>Non-Performing Loan</w:t>
      </w:r>
      <w:r w:rsidR="00D2653E" w:rsidRPr="00732BB7">
        <w:t xml:space="preserve"> (</w:t>
      </w:r>
      <m:oMath>
        <m:r>
          <w:rPr>
            <w:rFonts w:ascii="Cambria Math" w:hAnsi="Cambria Math"/>
          </w:rPr>
          <m:t>NPL</m:t>
        </m:r>
      </m:oMath>
      <w:r w:rsidR="00D2653E" w:rsidRPr="00732BB7">
        <w:t xml:space="preserve">) </w:t>
      </w:r>
      <w:r w:rsidR="00EB2CD9">
        <w:t>is</w:t>
      </w:r>
      <w:r w:rsidR="00FC2AC9" w:rsidRPr="00732BB7">
        <w:t xml:space="preserve"> 0</w:t>
      </w:r>
      <w:r w:rsidR="00EB2CD9">
        <w:t>.</w:t>
      </w:r>
      <w:r w:rsidR="00FC2AC9" w:rsidRPr="00732BB7">
        <w:t>03595</w:t>
      </w:r>
      <w:r w:rsidR="008F5A70">
        <w:t xml:space="preserve"> (3,6%)</w:t>
      </w:r>
      <w:r w:rsidR="00FC2AC9" w:rsidRPr="00732BB7">
        <w:t xml:space="preserve"> </w:t>
      </w:r>
      <w:r w:rsidR="00EB2CD9">
        <w:t xml:space="preserve">and </w:t>
      </w:r>
      <w:r w:rsidR="00EB2CD9" w:rsidRPr="00732BB7">
        <w:t>standar</w:t>
      </w:r>
      <w:r w:rsidR="00EB2CD9">
        <w:t>d</w:t>
      </w:r>
      <w:r w:rsidR="00EB2CD9" w:rsidRPr="00732BB7">
        <w:t xml:space="preserve"> devia</w:t>
      </w:r>
      <w:r w:rsidR="00EB2CD9">
        <w:t>tion is</w:t>
      </w:r>
      <w:r w:rsidR="00FC2AC9" w:rsidRPr="00732BB7">
        <w:t xml:space="preserve"> 0</w:t>
      </w:r>
      <w:r w:rsidR="00EB2CD9">
        <w:t>.</w:t>
      </w:r>
      <w:r w:rsidR="00FC2AC9" w:rsidRPr="00732BB7">
        <w:t>026706</w:t>
      </w:r>
      <w:r w:rsidR="002A79F6">
        <w:t>. These</w:t>
      </w:r>
      <w:r w:rsidR="00101815">
        <w:t xml:space="preserve"> </w:t>
      </w:r>
      <w:r w:rsidR="002A79F6">
        <w:t>show</w:t>
      </w:r>
      <w:r w:rsidR="00101815">
        <w:t xml:space="preserve"> that </w:t>
      </w:r>
      <w:r w:rsidR="009B33BD">
        <w:t>bank</w:t>
      </w:r>
      <w:r>
        <w:t>s</w:t>
      </w:r>
      <w:r w:rsidR="009B33BD">
        <w:t xml:space="preserve"> included in this study have </w:t>
      </w:r>
      <w:r>
        <w:t xml:space="preserve">met the </w:t>
      </w:r>
      <w:r w:rsidR="009B33BD">
        <w:rPr>
          <w:rStyle w:val="rynqvb"/>
          <w:lang w:val="en"/>
        </w:rPr>
        <w:t>healthy</w:t>
      </w:r>
      <w:r w:rsidR="009B33BD">
        <w:t xml:space="preserve"> criteria in average base</w:t>
      </w:r>
      <w:r>
        <w:t>d</w:t>
      </w:r>
      <w:r w:rsidR="009B33BD">
        <w:t xml:space="preserve"> on </w:t>
      </w:r>
      <w:r>
        <w:t xml:space="preserve">the </w:t>
      </w:r>
      <w:r w:rsidR="009B33BD" w:rsidRPr="009B33BD">
        <w:t>Bank Indonesia Circular Letter</w:t>
      </w:r>
      <w:r>
        <w:t xml:space="preserve"> No.</w:t>
      </w:r>
      <w:r w:rsidR="009B33BD">
        <w:t xml:space="preserve"> 6/23/DPNP year 2004</w:t>
      </w:r>
      <w:r w:rsidR="008F5A70">
        <w:t xml:space="preserve"> which is should be below 2%.</w:t>
      </w:r>
    </w:p>
    <w:p w14:paraId="22C5A9FB" w14:textId="3427375F" w:rsidR="00FC2AC9" w:rsidRPr="00732BB7" w:rsidRDefault="00C4432A" w:rsidP="00EA4C39">
      <w:pPr>
        <w:ind w:firstLine="720"/>
        <w:jc w:val="both"/>
      </w:pPr>
      <w:r>
        <w:t xml:space="preserve">The Return on </w:t>
      </w:r>
      <w:r w:rsidR="00855FB3">
        <w:t xml:space="preserve">Asset is a measurement </w:t>
      </w:r>
      <w:r>
        <w:t xml:space="preserve">of </w:t>
      </w:r>
      <w:r w:rsidR="00855FB3">
        <w:t>how the bank</w:t>
      </w:r>
      <w:r>
        <w:t xml:space="preserve">s </w:t>
      </w:r>
      <w:r w:rsidR="00855FB3">
        <w:t>manage the</w:t>
      </w:r>
      <w:r>
        <w:t>ir</w:t>
      </w:r>
      <w:r w:rsidR="00855FB3">
        <w:t xml:space="preserve"> asset</w:t>
      </w:r>
      <w:r>
        <w:t>s and the</w:t>
      </w:r>
      <w:r w:rsidR="00855FB3">
        <w:t xml:space="preserve"> return</w:t>
      </w:r>
      <w:r>
        <w:t>s</w:t>
      </w:r>
      <w:r w:rsidR="00855FB3">
        <w:t>.  This rat</w:t>
      </w:r>
      <w:r w:rsidR="001416A3">
        <w:t>io is measured by applying</w:t>
      </w:r>
      <w:r>
        <w:t xml:space="preserve"> the net income to total asset ratio.  This </w:t>
      </w:r>
      <w:r w:rsidR="00855FB3">
        <w:t>mean</w:t>
      </w:r>
      <w:r>
        <w:t>s</w:t>
      </w:r>
      <w:r w:rsidR="00855FB3">
        <w:t xml:space="preserve"> how much the bank</w:t>
      </w:r>
      <w:r>
        <w:t>s</w:t>
      </w:r>
      <w:r w:rsidR="00855FB3">
        <w:t xml:space="preserve"> </w:t>
      </w:r>
      <w:r>
        <w:t>provide the return of the</w:t>
      </w:r>
      <w:r w:rsidR="00855FB3">
        <w:t xml:space="preserve"> asset management.  </w:t>
      </w:r>
      <w:r>
        <w:t>The m</w:t>
      </w:r>
      <w:r w:rsidR="009B33BD">
        <w:t>ean value of</w:t>
      </w:r>
      <w:r w:rsidR="009B33BD" w:rsidRPr="00732BB7">
        <w:rPr>
          <w:i/>
          <w:iCs/>
        </w:rPr>
        <w:t xml:space="preserve"> </w:t>
      </w:r>
      <w:r w:rsidR="00D2653E" w:rsidRPr="00732BB7">
        <w:rPr>
          <w:i/>
          <w:iCs/>
        </w:rPr>
        <w:t>Return on Asset</w:t>
      </w:r>
      <w:r w:rsidR="00D2653E" w:rsidRPr="00732BB7">
        <w:t xml:space="preserve"> </w:t>
      </w:r>
      <w:r w:rsidR="009B33BD">
        <w:t>(</w:t>
      </w:r>
      <m:oMath>
        <m:r>
          <w:rPr>
            <w:rFonts w:ascii="Cambria Math" w:hAnsi="Cambria Math"/>
          </w:rPr>
          <m:t>ROA</m:t>
        </m:r>
      </m:oMath>
      <w:r w:rsidR="00D2653E" w:rsidRPr="00732BB7">
        <w:t xml:space="preserve">) </w:t>
      </w:r>
      <w:r w:rsidR="009B33BD">
        <w:t>is</w:t>
      </w:r>
      <w:r w:rsidR="00FC2AC9" w:rsidRPr="00732BB7">
        <w:t xml:space="preserve"> </w:t>
      </w:r>
      <w:r w:rsidR="00EA4C39" w:rsidRPr="00732BB7">
        <w:t>0</w:t>
      </w:r>
      <w:r w:rsidR="009B33BD">
        <w:t>.</w:t>
      </w:r>
      <w:r w:rsidR="00EA4C39" w:rsidRPr="00732BB7">
        <w:t xml:space="preserve">007621 </w:t>
      </w:r>
      <w:r w:rsidR="00855FB3">
        <w:t xml:space="preserve">(0.762%) </w:t>
      </w:r>
      <w:r w:rsidR="00A17DDC">
        <w:t xml:space="preserve">and </w:t>
      </w:r>
      <w:r>
        <w:t xml:space="preserve">the </w:t>
      </w:r>
      <w:r w:rsidR="00A17DDC" w:rsidRPr="00732BB7">
        <w:t>standar</w:t>
      </w:r>
      <w:r w:rsidR="00A17DDC">
        <w:t>d</w:t>
      </w:r>
      <w:r w:rsidR="00A17DDC" w:rsidRPr="00732BB7">
        <w:t xml:space="preserve"> devia</w:t>
      </w:r>
      <w:r w:rsidR="00A17DDC">
        <w:t>tion is</w:t>
      </w:r>
      <w:r w:rsidR="00A17DDC" w:rsidRPr="00732BB7">
        <w:t xml:space="preserve"> </w:t>
      </w:r>
      <w:r w:rsidR="00EA4C39" w:rsidRPr="00732BB7">
        <w:t>0</w:t>
      </w:r>
      <w:r w:rsidR="00A17DDC">
        <w:t>.</w:t>
      </w:r>
      <w:r w:rsidR="00EA4C39" w:rsidRPr="00732BB7">
        <w:t>025106</w:t>
      </w:r>
      <w:r>
        <w:t>. Th</w:t>
      </w:r>
      <w:r w:rsidR="002A79F6">
        <w:t>ese</w:t>
      </w:r>
      <w:r w:rsidR="00825FF1">
        <w:t xml:space="preserve"> show</w:t>
      </w:r>
      <w:r w:rsidR="00A17DDC">
        <w:t xml:space="preserve"> that bank</w:t>
      </w:r>
      <w:r>
        <w:t>s included</w:t>
      </w:r>
      <w:r w:rsidR="00A17DDC">
        <w:t xml:space="preserve"> in this study have </w:t>
      </w:r>
      <w:r w:rsidR="00A17DDC">
        <w:rPr>
          <w:rStyle w:val="rynqvb"/>
          <w:lang w:val="en"/>
        </w:rPr>
        <w:t>unhealthy</w:t>
      </w:r>
      <w:r w:rsidR="00A17DDC">
        <w:t xml:space="preserve"> criteria in average base</w:t>
      </w:r>
      <w:r>
        <w:t>d</w:t>
      </w:r>
      <w:r w:rsidR="00A17DDC">
        <w:t xml:space="preserve"> on </w:t>
      </w:r>
      <w:r w:rsidR="00A17DDC" w:rsidRPr="009B33BD">
        <w:t>Bank Indonesia Circular Letter</w:t>
      </w:r>
      <w:r>
        <w:t xml:space="preserve"> No.</w:t>
      </w:r>
      <w:r w:rsidR="00A17DDC">
        <w:t xml:space="preserve"> 6/23/DPNP year 2004</w:t>
      </w:r>
      <w:r w:rsidR="00FC2AC9" w:rsidRPr="00732BB7">
        <w:t>.</w:t>
      </w:r>
    </w:p>
    <w:p w14:paraId="4C2FD5C4" w14:textId="44635E22" w:rsidR="00EA4C39" w:rsidRPr="00732BB7" w:rsidRDefault="00C4432A" w:rsidP="00EA4C39">
      <w:pPr>
        <w:ind w:firstLine="720"/>
        <w:jc w:val="both"/>
      </w:pPr>
      <w:r>
        <w:t>As mentioned previously, the e</w:t>
      </w:r>
      <w:r w:rsidR="00273108">
        <w:t xml:space="preserve">fficiency ratio is </w:t>
      </w:r>
      <w:r>
        <w:t xml:space="preserve">the </w:t>
      </w:r>
      <w:r w:rsidR="00273108">
        <w:t>ratio between non-interest expense to net interest income and non-interest income.  This ratio state</w:t>
      </w:r>
      <w:r>
        <w:t>s</w:t>
      </w:r>
      <w:r w:rsidR="00273108">
        <w:t xml:space="preserve"> how the company do</w:t>
      </w:r>
      <w:r>
        <w:t>es</w:t>
      </w:r>
      <w:r w:rsidR="00273108">
        <w:t xml:space="preserve"> efficiency in the bank</w:t>
      </w:r>
      <w:r>
        <w:t>s</w:t>
      </w:r>
      <w:r w:rsidR="00273108">
        <w:t xml:space="preserve">. </w:t>
      </w:r>
      <w:r w:rsidR="005401E8">
        <w:t xml:space="preserve">The </w:t>
      </w:r>
      <w:r w:rsidR="00795607">
        <w:t xml:space="preserve">Efficiency Ratio is </w:t>
      </w:r>
      <w:r w:rsidR="005401E8">
        <w:t xml:space="preserve">the </w:t>
      </w:r>
      <w:r w:rsidR="00795607">
        <w:t xml:space="preserve">ratio between </w:t>
      </w:r>
      <w:r w:rsidR="005401E8">
        <w:t>the m</w:t>
      </w:r>
      <w:r w:rsidR="00A17DDC">
        <w:t>ean value of</w:t>
      </w:r>
      <w:r w:rsidR="00A17DDC" w:rsidRPr="00732BB7">
        <w:rPr>
          <w:i/>
          <w:iCs/>
        </w:rPr>
        <w:t xml:space="preserve"> </w:t>
      </w:r>
      <w:r w:rsidR="00A17DDC">
        <w:t>Efficiency Ratio</w:t>
      </w:r>
      <w:r w:rsidR="00D2653E" w:rsidRPr="00732BB7">
        <w:t xml:space="preserve"> (</w:t>
      </w:r>
      <m:oMath>
        <m:r>
          <w:rPr>
            <w:rFonts w:ascii="Cambria Math" w:hAnsi="Cambria Math"/>
          </w:rPr>
          <m:t>EFR</m:t>
        </m:r>
      </m:oMath>
      <w:r w:rsidR="00D2653E" w:rsidRPr="00732BB7">
        <w:t>)</w:t>
      </w:r>
      <w:r w:rsidR="00EA4C39" w:rsidRPr="00732BB7">
        <w:t xml:space="preserve"> </w:t>
      </w:r>
      <w:r w:rsidR="002A79F6">
        <w:t>and it is</w:t>
      </w:r>
      <w:r w:rsidR="00EA4C39" w:rsidRPr="00732BB7">
        <w:t xml:space="preserve"> </w:t>
      </w:r>
      <w:r w:rsidR="00D2653E" w:rsidRPr="00732BB7">
        <w:t>0</w:t>
      </w:r>
      <w:r w:rsidR="00A17DDC">
        <w:t>.</w:t>
      </w:r>
      <w:r w:rsidR="00D2653E" w:rsidRPr="00732BB7">
        <w:t xml:space="preserve">965513 </w:t>
      </w:r>
      <w:r w:rsidR="00A17DDC">
        <w:t xml:space="preserve">and </w:t>
      </w:r>
      <w:r w:rsidR="002A79F6">
        <w:t xml:space="preserve">the </w:t>
      </w:r>
      <w:r w:rsidR="00A17DDC" w:rsidRPr="00732BB7">
        <w:t>standar</w:t>
      </w:r>
      <w:r w:rsidR="00A17DDC">
        <w:t>d</w:t>
      </w:r>
      <w:r w:rsidR="00A17DDC" w:rsidRPr="00732BB7">
        <w:t xml:space="preserve"> devia</w:t>
      </w:r>
      <w:r w:rsidR="00A17DDC">
        <w:t>tion is</w:t>
      </w:r>
      <w:r w:rsidR="00A17DDC" w:rsidRPr="00732BB7">
        <w:t xml:space="preserve"> </w:t>
      </w:r>
      <w:r w:rsidR="00D2653E" w:rsidRPr="00732BB7">
        <w:t>1</w:t>
      </w:r>
      <w:r w:rsidR="00A17DDC">
        <w:t>.</w:t>
      </w:r>
      <w:r w:rsidR="00D2653E" w:rsidRPr="00732BB7">
        <w:t>314128</w:t>
      </w:r>
      <w:r w:rsidR="002A79F6">
        <w:t>. These</w:t>
      </w:r>
      <w:r w:rsidR="00825FF1">
        <w:t xml:space="preserve"> show</w:t>
      </w:r>
      <w:r w:rsidR="00A17DDC">
        <w:t xml:space="preserve"> that </w:t>
      </w:r>
      <w:r w:rsidR="002A79F6">
        <w:t xml:space="preserve">the </w:t>
      </w:r>
      <w:r w:rsidR="00A17DDC">
        <w:t>bank</w:t>
      </w:r>
      <w:r w:rsidR="002A79F6">
        <w:t>s</w:t>
      </w:r>
      <w:r w:rsidR="00A17DDC">
        <w:t xml:space="preserve"> in average on this study </w:t>
      </w:r>
      <w:r w:rsidR="00825FF1">
        <w:t xml:space="preserve">are </w:t>
      </w:r>
      <w:r w:rsidR="00A17DDC">
        <w:t>un</w:t>
      </w:r>
      <w:r w:rsidR="00A17DDC" w:rsidRPr="00A17DDC">
        <w:t xml:space="preserve">able to control expenses other than </w:t>
      </w:r>
      <w:r w:rsidR="00EB31AD">
        <w:t xml:space="preserve">the </w:t>
      </w:r>
      <w:r w:rsidR="00A17DDC" w:rsidRPr="00A17DDC">
        <w:t>interest</w:t>
      </w:r>
      <w:r w:rsidR="00A17DDC">
        <w:t xml:space="preserve"> expense</w:t>
      </w:r>
      <w:r w:rsidR="00A17DDC" w:rsidRPr="00A17DDC">
        <w:t xml:space="preserve">, but </w:t>
      </w:r>
      <w:r w:rsidR="00825FF1">
        <w:t>if we look into</w:t>
      </w:r>
      <w:r w:rsidR="00A17DDC" w:rsidRPr="00A17DDC">
        <w:t xml:space="preserve"> the minimum value</w:t>
      </w:r>
      <w:r w:rsidR="00825FF1">
        <w:t>s</w:t>
      </w:r>
      <w:r w:rsidR="00A17DDC" w:rsidRPr="00A17DDC">
        <w:t xml:space="preserve">, there </w:t>
      </w:r>
      <w:r w:rsidR="00825FF1">
        <w:t>are</w:t>
      </w:r>
      <w:r w:rsidR="00A17DDC">
        <w:t xml:space="preserve"> some </w:t>
      </w:r>
      <w:r w:rsidR="00A17DDC" w:rsidRPr="00A17DDC">
        <w:t>banks</w:t>
      </w:r>
      <w:r w:rsidR="00825FF1">
        <w:t xml:space="preserve"> that are</w:t>
      </w:r>
      <w:r w:rsidR="00A17DDC" w:rsidRPr="00A17DDC">
        <w:t xml:space="preserve"> able to control expenses </w:t>
      </w:r>
      <w:r w:rsidR="00C258C4">
        <w:t>other than</w:t>
      </w:r>
      <w:r w:rsidR="00A17DDC" w:rsidRPr="00A17DDC">
        <w:t xml:space="preserve"> </w:t>
      </w:r>
      <w:r w:rsidR="00EB31AD">
        <w:t xml:space="preserve">the </w:t>
      </w:r>
      <w:r w:rsidR="00A17DDC" w:rsidRPr="00A17DDC">
        <w:t xml:space="preserve">interest </w:t>
      </w:r>
      <w:r w:rsidR="00C258C4">
        <w:t xml:space="preserve">expense </w:t>
      </w:r>
      <w:r w:rsidR="00A17DDC" w:rsidRPr="00A17DDC">
        <w:t>properly</w:t>
      </w:r>
      <w:r w:rsidR="00A17DDC">
        <w:t>.</w:t>
      </w:r>
    </w:p>
    <w:p w14:paraId="7353EE2F" w14:textId="129BDFC8" w:rsidR="00090CCF" w:rsidRPr="00732BB7" w:rsidRDefault="00825FF1" w:rsidP="00090CCF">
      <w:pPr>
        <w:ind w:firstLine="720"/>
        <w:jc w:val="both"/>
      </w:pPr>
      <w:r>
        <w:t>The i</w:t>
      </w:r>
      <w:r w:rsidR="000F03B9">
        <w:t xml:space="preserve">nflation is a measurement to see </w:t>
      </w:r>
      <w:r>
        <w:t xml:space="preserve">the fluctuation </w:t>
      </w:r>
      <w:r w:rsidR="000F03B9">
        <w:t xml:space="preserve">of commodity </w:t>
      </w:r>
      <w:r>
        <w:t xml:space="preserve">prices of </w:t>
      </w:r>
      <w:r w:rsidR="000F03B9">
        <w:t xml:space="preserve">a nation. </w:t>
      </w:r>
      <w:r>
        <w:t>The m</w:t>
      </w:r>
      <w:r w:rsidR="00035B08">
        <w:t>ean value of</w:t>
      </w:r>
      <w:r w:rsidR="00035B08" w:rsidRPr="00732BB7">
        <w:rPr>
          <w:i/>
          <w:iCs/>
        </w:rPr>
        <w:t xml:space="preserve"> </w:t>
      </w:r>
      <w:r w:rsidR="00090CCF" w:rsidRPr="00732BB7">
        <w:t>Infla</w:t>
      </w:r>
      <w:r w:rsidR="00035B08">
        <w:t>tion</w:t>
      </w:r>
      <w:r w:rsidR="00090CCF" w:rsidRPr="00732BB7">
        <w:t xml:space="preserve"> (</w:t>
      </w:r>
      <m:oMath>
        <m:r>
          <w:rPr>
            <w:rFonts w:ascii="Cambria Math" w:hAnsi="Cambria Math"/>
          </w:rPr>
          <m:t>IF</m:t>
        </m:r>
      </m:oMath>
      <w:r w:rsidR="00090CCF" w:rsidRPr="00732BB7">
        <w:t xml:space="preserve">) </w:t>
      </w:r>
      <w:r w:rsidR="00035B08">
        <w:t>is</w:t>
      </w:r>
      <w:r w:rsidR="00090CCF" w:rsidRPr="00732BB7">
        <w:t xml:space="preserve"> </w:t>
      </w:r>
      <w:r w:rsidR="00855E17" w:rsidRPr="00732BB7">
        <w:t>0</w:t>
      </w:r>
      <w:r w:rsidR="00035B08">
        <w:t>.</w:t>
      </w:r>
      <w:r w:rsidR="00855E17" w:rsidRPr="00732BB7">
        <w:t xml:space="preserve">02602 </w:t>
      </w:r>
      <w:r w:rsidR="000F03B9">
        <w:t xml:space="preserve">(2,60%) </w:t>
      </w:r>
      <w:r w:rsidR="00035B08">
        <w:t xml:space="preserve">and </w:t>
      </w:r>
      <w:r>
        <w:t xml:space="preserve">the </w:t>
      </w:r>
      <w:r w:rsidR="00035B08" w:rsidRPr="00732BB7">
        <w:t>standar</w:t>
      </w:r>
      <w:r w:rsidR="00035B08">
        <w:t>d</w:t>
      </w:r>
      <w:r w:rsidR="00035B08" w:rsidRPr="00732BB7">
        <w:t xml:space="preserve"> devia</w:t>
      </w:r>
      <w:r w:rsidR="00035B08">
        <w:t>tion is</w:t>
      </w:r>
      <w:r w:rsidR="00035B08" w:rsidRPr="00732BB7">
        <w:t xml:space="preserve"> </w:t>
      </w:r>
      <w:r w:rsidR="00855E17" w:rsidRPr="00732BB7">
        <w:t>0</w:t>
      </w:r>
      <w:r w:rsidR="00035B08">
        <w:t>.</w:t>
      </w:r>
      <w:r w:rsidR="00855E17" w:rsidRPr="00732BB7">
        <w:t>007369</w:t>
      </w:r>
      <w:r>
        <w:t>. these show that purchasing power in average is</w:t>
      </w:r>
      <w:r w:rsidR="00035B08">
        <w:t xml:space="preserve"> </w:t>
      </w:r>
      <w:r>
        <w:t>fairly stable although there is</w:t>
      </w:r>
      <w:r w:rsidR="00035B08">
        <w:t xml:space="preserve"> a small price increase</w:t>
      </w:r>
      <w:r>
        <w:t xml:space="preserve"> identified</w:t>
      </w:r>
      <w:r w:rsidR="00090CCF" w:rsidRPr="00732BB7">
        <w:t>.</w:t>
      </w:r>
    </w:p>
    <w:p w14:paraId="6BA82D3B" w14:textId="66FA832E" w:rsidR="00090CCF" w:rsidRPr="00732BB7" w:rsidRDefault="00825FF1" w:rsidP="00EA4C39">
      <w:pPr>
        <w:ind w:firstLine="720"/>
        <w:jc w:val="both"/>
      </w:pPr>
      <w:r>
        <w:t>The i</w:t>
      </w:r>
      <w:r w:rsidR="006B4F4A">
        <w:t>nterest rate is a measurement for macroeconomic variable</w:t>
      </w:r>
      <w:r>
        <w:t>. The m</w:t>
      </w:r>
      <w:r w:rsidR="00035B08">
        <w:t>ean value of</w:t>
      </w:r>
      <w:r w:rsidR="00035B08" w:rsidRPr="00732BB7">
        <w:rPr>
          <w:i/>
          <w:iCs/>
        </w:rPr>
        <w:t xml:space="preserve"> </w:t>
      </w:r>
      <w:r w:rsidR="00855E17" w:rsidRPr="00732BB7">
        <w:rPr>
          <w:i/>
          <w:iCs/>
        </w:rPr>
        <w:t>Interest Rate</w:t>
      </w:r>
      <w:r w:rsidR="00855E17" w:rsidRPr="00732BB7">
        <w:t xml:space="preserve"> </w:t>
      </w:r>
      <w:r w:rsidR="00035B08">
        <w:t>(</w:t>
      </w:r>
      <m:oMath>
        <m:r>
          <w:rPr>
            <w:rFonts w:ascii="Cambria Math" w:hAnsi="Cambria Math"/>
          </w:rPr>
          <m:t>IR</m:t>
        </m:r>
      </m:oMath>
      <w:r w:rsidR="00855E17" w:rsidRPr="00732BB7">
        <w:t xml:space="preserve">) </w:t>
      </w:r>
      <w:r w:rsidR="00035B08">
        <w:t>is</w:t>
      </w:r>
      <w:r w:rsidR="00855E17" w:rsidRPr="00732BB7">
        <w:t xml:space="preserve"> </w:t>
      </w:r>
      <w:r w:rsidR="00054E31" w:rsidRPr="00732BB7">
        <w:t>0</w:t>
      </w:r>
      <w:r w:rsidR="001016FC">
        <w:t>.</w:t>
      </w:r>
      <w:r w:rsidR="00054E31" w:rsidRPr="00732BB7">
        <w:t>045</w:t>
      </w:r>
      <w:r w:rsidR="006B4F4A">
        <w:t xml:space="preserve"> (4.5%)</w:t>
      </w:r>
      <w:r w:rsidR="00054E31" w:rsidRPr="00732BB7">
        <w:t xml:space="preserve"> </w:t>
      </w:r>
      <w:r w:rsidR="00035B08">
        <w:t xml:space="preserve">and </w:t>
      </w:r>
      <w:r>
        <w:t xml:space="preserve">the </w:t>
      </w:r>
      <w:r w:rsidR="00035B08" w:rsidRPr="00732BB7">
        <w:t>standar</w:t>
      </w:r>
      <w:r w:rsidR="00035B08">
        <w:t>d</w:t>
      </w:r>
      <w:r w:rsidR="00035B08" w:rsidRPr="00732BB7">
        <w:t xml:space="preserve"> devia</w:t>
      </w:r>
      <w:r w:rsidR="00035B08">
        <w:t>tion is</w:t>
      </w:r>
      <w:r w:rsidR="00035B08" w:rsidRPr="00732BB7">
        <w:t xml:space="preserve"> </w:t>
      </w:r>
      <w:r w:rsidR="00054E31" w:rsidRPr="00732BB7">
        <w:t>0.009117</w:t>
      </w:r>
      <w:r w:rsidR="001016FC">
        <w:t>.</w:t>
      </w:r>
      <w:r>
        <w:t xml:space="preserve"> This result</w:t>
      </w:r>
      <w:r w:rsidR="006B4F4A">
        <w:t xml:space="preserve"> </w:t>
      </w:r>
      <w:r w:rsidR="00B96493">
        <w:t>shows that the i</w:t>
      </w:r>
      <w:r>
        <w:t>nterest rate is</w:t>
      </w:r>
      <w:r w:rsidR="001016FC">
        <w:t xml:space="preserve"> stable with a small deviation</w:t>
      </w:r>
      <w:r>
        <w:t xml:space="preserve"> occurs</w:t>
      </w:r>
      <w:r w:rsidR="001016FC">
        <w:t>.</w:t>
      </w:r>
    </w:p>
    <w:p w14:paraId="4E61422C" w14:textId="77777777" w:rsidR="00FC2AC9" w:rsidRPr="00732BB7" w:rsidRDefault="00FC2AC9" w:rsidP="00105C44">
      <w:pPr>
        <w:jc w:val="both"/>
      </w:pPr>
    </w:p>
    <w:p w14:paraId="7525F8E2" w14:textId="314A5CAF" w:rsidR="005D35A3" w:rsidRPr="009854C0" w:rsidRDefault="00825FF1" w:rsidP="0021516C">
      <w:pPr>
        <w:pStyle w:val="Heading3"/>
        <w:rPr>
          <w:rFonts w:ascii="Times New Roman" w:hAnsi="Times New Roman" w:cs="Times New Roman"/>
          <w:b/>
          <w:color w:val="auto"/>
        </w:rPr>
      </w:pPr>
      <w:r w:rsidRPr="009854C0">
        <w:rPr>
          <w:rFonts w:ascii="Times New Roman" w:hAnsi="Times New Roman" w:cs="Times New Roman"/>
          <w:b/>
          <w:color w:val="auto"/>
        </w:rPr>
        <w:t xml:space="preserve">IV.2 </w:t>
      </w:r>
      <w:r w:rsidR="00825AAA" w:rsidRPr="009854C0">
        <w:rPr>
          <w:rFonts w:ascii="Times New Roman" w:hAnsi="Times New Roman" w:cs="Times New Roman"/>
          <w:b/>
          <w:color w:val="auto"/>
        </w:rPr>
        <w:t>Causality Effect</w:t>
      </w:r>
    </w:p>
    <w:p w14:paraId="4ACCB876" w14:textId="41F20BAF" w:rsidR="005D35A3" w:rsidRDefault="005D35A3" w:rsidP="00105C44">
      <w:pPr>
        <w:jc w:val="both"/>
      </w:pPr>
    </w:p>
    <w:p w14:paraId="2579809E" w14:textId="5582621A" w:rsidR="005D35A3" w:rsidRDefault="00825AAA" w:rsidP="00105C44">
      <w:pPr>
        <w:jc w:val="both"/>
      </w:pPr>
      <w:r>
        <w:tab/>
      </w:r>
      <w:r w:rsidR="006817F2">
        <w:t>T</w:t>
      </w:r>
      <w:r w:rsidRPr="004F0DEC">
        <w:t xml:space="preserve">his sub-section will explain </w:t>
      </w:r>
      <w:r w:rsidR="006817F2">
        <w:t xml:space="preserve">the </w:t>
      </w:r>
      <w:r w:rsidRPr="004F0DEC">
        <w:t xml:space="preserve">causalities used </w:t>
      </w:r>
      <w:r w:rsidR="006817F2">
        <w:t xml:space="preserve">in the </w:t>
      </w:r>
      <w:r w:rsidRPr="004F0DEC">
        <w:t>panel data</w:t>
      </w:r>
      <w:r w:rsidR="006817F2">
        <w:t xml:space="preserve"> model in this research</w:t>
      </w:r>
      <w:r w:rsidRPr="004F0DEC">
        <w:t xml:space="preserve">. </w:t>
      </w:r>
      <w:r w:rsidR="001016FC" w:rsidRPr="004F0DEC">
        <w:t xml:space="preserve">Before estimating the panel data, </w:t>
      </w:r>
      <w:r w:rsidR="006817F2">
        <w:t>this research got through</w:t>
      </w:r>
      <w:r w:rsidR="001016FC" w:rsidRPr="004F0DEC">
        <w:t xml:space="preserve"> </w:t>
      </w:r>
      <w:r w:rsidR="00513654">
        <w:t>a multicollinearity test for all</w:t>
      </w:r>
      <w:r w:rsidR="001016FC" w:rsidRPr="004F0DEC">
        <w:t xml:space="preserve"> independent variables.</w:t>
      </w:r>
      <w:r w:rsidR="006817F2">
        <w:t xml:space="preserve"> Multicollinearity can be measured based on the coefficient of c</w:t>
      </w:r>
      <w:r w:rsidR="00D57ACE" w:rsidRPr="004F0DEC">
        <w:t xml:space="preserve">orrelation </w:t>
      </w:r>
      <w:r w:rsidR="006817F2">
        <w:t>a</w:t>
      </w:r>
      <w:r w:rsidR="00D57ACE" w:rsidRPr="004F0DEC">
        <w:t xml:space="preserve">mong </w:t>
      </w:r>
      <w:r w:rsidR="00513654">
        <w:t xml:space="preserve">the </w:t>
      </w:r>
      <w:r w:rsidR="00D57ACE" w:rsidRPr="004F0DEC">
        <w:t>independent variab</w:t>
      </w:r>
      <w:r w:rsidR="00BD4D21" w:rsidRPr="004F0DEC">
        <w:t>l</w:t>
      </w:r>
      <w:r w:rsidR="00D57ACE" w:rsidRPr="004F0DEC">
        <w:t xml:space="preserve">es. </w:t>
      </w:r>
      <w:r w:rsidR="001016FC" w:rsidRPr="004F0DEC">
        <w:t xml:space="preserve"> </w:t>
      </w:r>
      <w:r w:rsidR="004F0DEC" w:rsidRPr="004F0DEC">
        <w:t>Tes</w:t>
      </w:r>
      <w:r w:rsidR="006817F2">
        <w:t xml:space="preserve">ting for multicollinearity can be done </w:t>
      </w:r>
      <w:r w:rsidR="00513654">
        <w:t xml:space="preserve">by </w:t>
      </w:r>
      <w:r w:rsidR="006817F2">
        <w:t>applying</w:t>
      </w:r>
      <w:r w:rsidR="004F0DEC" w:rsidRPr="004F0DEC">
        <w:t xml:space="preserve"> VIF (</w:t>
      </w:r>
      <w:r w:rsidR="004F0DEC" w:rsidRPr="006817F2">
        <w:rPr>
          <w:color w:val="292929"/>
          <w:spacing w:val="-1"/>
          <w:shd w:val="clear" w:color="auto" w:fill="FFFFFF"/>
        </w:rPr>
        <w:t>Variance</w:t>
      </w:r>
      <w:r w:rsidR="006817F2">
        <w:rPr>
          <w:color w:val="292929"/>
          <w:spacing w:val="-1"/>
          <w:shd w:val="clear" w:color="auto" w:fill="FFFFFF"/>
        </w:rPr>
        <w:t xml:space="preserve"> Inflation F</w:t>
      </w:r>
      <w:r w:rsidR="004F0DEC" w:rsidRPr="006817F2">
        <w:rPr>
          <w:color w:val="292929"/>
          <w:spacing w:val="-1"/>
          <w:shd w:val="clear" w:color="auto" w:fill="FFFFFF"/>
        </w:rPr>
        <w:t>actor</w:t>
      </w:r>
      <w:r w:rsidR="004F0DEC" w:rsidRPr="004F0DEC">
        <w:rPr>
          <w:rFonts w:ascii="Georgia" w:hAnsi="Georgia"/>
          <w:color w:val="292929"/>
          <w:spacing w:val="-1"/>
          <w:shd w:val="clear" w:color="auto" w:fill="FFFFFF"/>
        </w:rPr>
        <w:t>).</w:t>
      </w:r>
      <w:r w:rsidR="004F0DEC">
        <w:t xml:space="preserve"> </w:t>
      </w:r>
      <w:r w:rsidR="001016FC">
        <w:t xml:space="preserve">According to </w:t>
      </w:r>
      <w:r w:rsidR="00883DD7">
        <w:t>Gujarati and Porter</w:t>
      </w:r>
      <w:r w:rsidR="001016FC" w:rsidRPr="00732BB7">
        <w:t xml:space="preserve"> (20</w:t>
      </w:r>
      <w:r w:rsidR="006817F2">
        <w:t>0</w:t>
      </w:r>
      <w:r w:rsidR="00883DD7">
        <w:t>9</w:t>
      </w:r>
      <w:r w:rsidR="001016FC" w:rsidRPr="00732BB7">
        <w:t>:</w:t>
      </w:r>
      <w:r w:rsidR="006817F2">
        <w:t xml:space="preserve"> </w:t>
      </w:r>
      <w:r w:rsidR="00883DD7">
        <w:t>33</w:t>
      </w:r>
      <w:r w:rsidR="001016FC" w:rsidRPr="00732BB7">
        <w:t>8)</w:t>
      </w:r>
      <w:r w:rsidR="001016FC">
        <w:t xml:space="preserve">, </w:t>
      </w:r>
      <w:r w:rsidR="006817F2">
        <w:t xml:space="preserve">the </w:t>
      </w:r>
      <w:r w:rsidR="001016FC" w:rsidRPr="001016FC">
        <w:t xml:space="preserve">correlation between variables is considered non-existent </w:t>
      </w:r>
      <w:r w:rsidR="006817F2">
        <w:t>if the correlation value among</w:t>
      </w:r>
      <w:r w:rsidR="001016FC" w:rsidRPr="001016FC">
        <w:t xml:space="preserve"> variables is not more than 0.</w:t>
      </w:r>
      <w:r w:rsidR="00883DD7">
        <w:t>5</w:t>
      </w:r>
      <w:r w:rsidR="001016FC" w:rsidRPr="001016FC">
        <w:t>.</w:t>
      </w:r>
      <w:r w:rsidR="001016FC">
        <w:t xml:space="preserve"> Base</w:t>
      </w:r>
      <w:r w:rsidR="006817F2">
        <w:t>d on the test, there</w:t>
      </w:r>
      <w:r w:rsidR="001016FC">
        <w:t xml:space="preserve"> found 3 pair</w:t>
      </w:r>
      <w:r w:rsidR="006817F2">
        <w:t>s</w:t>
      </w:r>
      <w:r w:rsidR="001016FC">
        <w:t xml:space="preserve"> of variable</w:t>
      </w:r>
      <w:r w:rsidR="0025414C">
        <w:t>s</w:t>
      </w:r>
      <w:r w:rsidR="001016FC">
        <w:t xml:space="preserve"> have </w:t>
      </w:r>
      <w:r w:rsidR="0025414C">
        <w:t>correlation</w:t>
      </w:r>
      <w:r w:rsidR="006817F2">
        <w:t>s</w:t>
      </w:r>
      <w:r w:rsidR="0025414C">
        <w:t xml:space="preserve">, i.e., </w:t>
      </w:r>
      <w:r w:rsidR="0025414C" w:rsidRPr="00732BB7">
        <w:t>ROA-BBROA</w:t>
      </w:r>
      <w:r w:rsidR="0025414C">
        <w:t>,</w:t>
      </w:r>
      <w:r w:rsidR="0025414C" w:rsidRPr="00732BB7">
        <w:t xml:space="preserve"> EFR-BBEFR</w:t>
      </w:r>
      <w:r w:rsidR="0025414C">
        <w:t xml:space="preserve"> </w:t>
      </w:r>
      <w:r w:rsidR="00B235FF">
        <w:t>and</w:t>
      </w:r>
      <w:r w:rsidR="0025414C">
        <w:t xml:space="preserve"> COVID-BBCOVID.</w:t>
      </w:r>
      <w:r w:rsidR="00883DD7">
        <w:t xml:space="preserve"> </w:t>
      </w:r>
      <w:r w:rsidR="002D35A9">
        <w:t xml:space="preserve"> </w:t>
      </w:r>
      <w:r w:rsidR="00883DD7">
        <w:t xml:space="preserve">Then, this research also did </w:t>
      </w:r>
      <w:r w:rsidR="006817F2">
        <w:t xml:space="preserve">the </w:t>
      </w:r>
      <w:r w:rsidR="002D35A9">
        <w:t>elimination for hetero</w:t>
      </w:r>
      <w:r w:rsidR="006817F2">
        <w:t xml:space="preserve">scedasticity </w:t>
      </w:r>
      <w:r w:rsidR="002D35A9">
        <w:t xml:space="preserve">using cross-section weights in </w:t>
      </w:r>
      <w:proofErr w:type="spellStart"/>
      <w:r w:rsidR="002D35A9">
        <w:t>Eviews</w:t>
      </w:r>
      <w:proofErr w:type="spellEnd"/>
      <w:r w:rsidR="006817F2">
        <w:t xml:space="preserve"> Program.  In the Panel D</w:t>
      </w:r>
      <w:r w:rsidR="002D35A9">
        <w:t>ata</w:t>
      </w:r>
      <w:r w:rsidR="006817F2">
        <w:t xml:space="preserve"> Model, there</w:t>
      </w:r>
      <w:r w:rsidR="002D35A9">
        <w:t xml:space="preserve"> will </w:t>
      </w:r>
      <w:r w:rsidR="006817F2">
        <w:t xml:space="preserve">be </w:t>
      </w:r>
      <w:r w:rsidR="002D35A9">
        <w:t>three model</w:t>
      </w:r>
      <w:r w:rsidR="006817F2">
        <w:t>s, they are;</w:t>
      </w:r>
      <w:r w:rsidR="002D35A9">
        <w:t xml:space="preserve"> Pool</w:t>
      </w:r>
      <w:r w:rsidR="00513654">
        <w:t>ed</w:t>
      </w:r>
      <w:r w:rsidR="002D35A9">
        <w:t xml:space="preserve"> Model</w:t>
      </w:r>
      <w:r w:rsidR="006817F2">
        <w:t xml:space="preserve"> (PM)</w:t>
      </w:r>
      <w:r w:rsidR="002D35A9">
        <w:t>, Random Effect Model</w:t>
      </w:r>
      <w:r w:rsidR="006817F2">
        <w:t xml:space="preserve"> (REM)</w:t>
      </w:r>
      <w:r w:rsidR="002D35A9">
        <w:t xml:space="preserve"> and Fixed Effect Model</w:t>
      </w:r>
      <w:r w:rsidR="0091780C">
        <w:t xml:space="preserve"> (FEM)</w:t>
      </w:r>
      <w:r w:rsidR="002D35A9">
        <w:t xml:space="preserve">.  </w:t>
      </w:r>
      <w:r w:rsidR="00EC63FE">
        <w:t>The s</w:t>
      </w:r>
      <w:r w:rsidR="002D35A9">
        <w:t xml:space="preserve">election </w:t>
      </w:r>
      <w:r w:rsidR="00EC63FE">
        <w:t>of model must</w:t>
      </w:r>
      <w:r w:rsidR="002D35A9">
        <w:t xml:space="preserve"> be done to get </w:t>
      </w:r>
      <w:r w:rsidR="00EC63FE">
        <w:t xml:space="preserve">the best </w:t>
      </w:r>
      <w:r w:rsidR="00513654">
        <w:t>model used</w:t>
      </w:r>
      <w:r w:rsidR="002D35A9">
        <w:t xml:space="preserve"> </w:t>
      </w:r>
      <w:r w:rsidR="00C556ED" w:rsidRPr="00732BB7">
        <w:rPr>
          <w:i/>
          <w:iCs/>
        </w:rPr>
        <w:t>Chow</w:t>
      </w:r>
      <w:r w:rsidR="0025414C">
        <w:rPr>
          <w:i/>
          <w:iCs/>
        </w:rPr>
        <w:t xml:space="preserve"> test,</w:t>
      </w:r>
      <w:r w:rsidR="00C556ED" w:rsidRPr="00732BB7">
        <w:t xml:space="preserve"> </w:t>
      </w:r>
      <w:r w:rsidR="00C556ED" w:rsidRPr="00732BB7">
        <w:rPr>
          <w:i/>
          <w:iCs/>
        </w:rPr>
        <w:t>Hausman</w:t>
      </w:r>
      <w:r w:rsidR="00C556ED" w:rsidRPr="00732BB7">
        <w:t xml:space="preserve"> </w:t>
      </w:r>
      <w:r w:rsidR="0025414C" w:rsidRPr="0025414C">
        <w:rPr>
          <w:i/>
          <w:iCs/>
        </w:rPr>
        <w:t>test</w:t>
      </w:r>
      <w:r w:rsidR="0025414C">
        <w:rPr>
          <w:i/>
          <w:iCs/>
        </w:rPr>
        <w:t xml:space="preserve"> and </w:t>
      </w:r>
      <w:r w:rsidR="0025414C" w:rsidRPr="00746055">
        <w:rPr>
          <w:i/>
          <w:iCs/>
        </w:rPr>
        <w:t>Breusch-Pagan LM Test</w:t>
      </w:r>
      <w:r w:rsidR="002D35A9">
        <w:t xml:space="preserve">. The Fixed Effect Model will </w:t>
      </w:r>
      <w:r w:rsidR="00EC63FE">
        <w:t>be applied</w:t>
      </w:r>
      <w:r w:rsidR="002D35A9">
        <w:t xml:space="preserve"> in this paper because </w:t>
      </w:r>
      <w:r w:rsidR="00EC63FE">
        <w:t xml:space="preserve">the </w:t>
      </w:r>
      <w:r w:rsidR="002D35A9">
        <w:t>sample</w:t>
      </w:r>
      <w:r w:rsidR="00EC63FE">
        <w:t>s</w:t>
      </w:r>
      <w:r w:rsidR="002D35A9">
        <w:t xml:space="preserve"> </w:t>
      </w:r>
      <w:r w:rsidR="00EC63FE">
        <w:t>in this research were not selected</w:t>
      </w:r>
      <w:r w:rsidR="002D35A9">
        <w:t xml:space="preserve"> using random method.  </w:t>
      </w:r>
      <w:r w:rsidR="004D3D42">
        <w:t>Judge</w:t>
      </w:r>
      <w:r w:rsidR="005D06DD">
        <w:t xml:space="preserve"> </w:t>
      </w:r>
      <w:r w:rsidR="005D06DD" w:rsidRPr="00EC63FE">
        <w:rPr>
          <w:i/>
        </w:rPr>
        <w:t>et.al</w:t>
      </w:r>
      <w:r w:rsidR="005D06DD">
        <w:t xml:space="preserve"> </w:t>
      </w:r>
      <w:r w:rsidR="004D3D42">
        <w:t xml:space="preserve">(1982), </w:t>
      </w:r>
      <w:r w:rsidR="004D3D42">
        <w:lastRenderedPageBreak/>
        <w:t xml:space="preserve">Wooldridge (2002), </w:t>
      </w:r>
      <w:r w:rsidR="005D06DD">
        <w:t xml:space="preserve">Greene (2008), </w:t>
      </w:r>
      <w:proofErr w:type="spellStart"/>
      <w:r w:rsidR="004D3D42">
        <w:t>Biorn</w:t>
      </w:r>
      <w:proofErr w:type="spellEnd"/>
      <w:r w:rsidR="004D3D42">
        <w:t xml:space="preserve"> (2017) and Sul</w:t>
      </w:r>
      <w:r w:rsidR="0025414C">
        <w:t xml:space="preserve"> </w:t>
      </w:r>
      <w:r w:rsidR="004D3D42">
        <w:t>(2019</w:t>
      </w:r>
      <w:r w:rsidR="00EC63FE">
        <w:t>) stated that FEM</w:t>
      </w:r>
      <w:r w:rsidR="004D3D42">
        <w:t xml:space="preserve"> can be used to estimate </w:t>
      </w:r>
      <w:r w:rsidR="00EC63FE">
        <w:t xml:space="preserve">the model coefficient, </w:t>
      </w:r>
      <w:r w:rsidR="004D3D42">
        <w:t xml:space="preserve">because </w:t>
      </w:r>
      <w:r w:rsidR="00EC63FE">
        <w:t xml:space="preserve">the sample were selected </w:t>
      </w:r>
      <w:r w:rsidR="004D3D42">
        <w:t>non-random</w:t>
      </w:r>
      <w:r w:rsidR="00EC63FE">
        <w:t>ly</w:t>
      </w:r>
      <w:r w:rsidR="004D3D42">
        <w:t xml:space="preserve">. </w:t>
      </w:r>
      <w:r w:rsidR="003B1602">
        <w:t>The e</w:t>
      </w:r>
      <w:r w:rsidR="00B235FF">
        <w:t xml:space="preserve">stimation </w:t>
      </w:r>
      <w:r w:rsidR="00CF31EA">
        <w:t xml:space="preserve">result </w:t>
      </w:r>
      <w:r w:rsidR="00B235FF">
        <w:t xml:space="preserve">of </w:t>
      </w:r>
      <w:r w:rsidR="003B1602">
        <w:t xml:space="preserve">the </w:t>
      </w:r>
      <w:r w:rsidR="00B235FF">
        <w:t>panel data</w:t>
      </w:r>
      <w:r w:rsidR="003B1602">
        <w:t xml:space="preserve"> model is shown in the</w:t>
      </w:r>
      <w:r w:rsidR="00B235FF">
        <w:t xml:space="preserve"> </w:t>
      </w:r>
      <w:r w:rsidR="004D3D42">
        <w:t>T</w:t>
      </w:r>
      <w:r w:rsidR="003B1602">
        <w:t>able 2 below.</w:t>
      </w:r>
    </w:p>
    <w:p w14:paraId="4EE6731E" w14:textId="79DB15EB" w:rsidR="005B1758" w:rsidRDefault="005B1758" w:rsidP="00105C44">
      <w:pPr>
        <w:jc w:val="both"/>
      </w:pPr>
    </w:p>
    <w:p w14:paraId="403634D7" w14:textId="6A96D04E" w:rsidR="005B1758" w:rsidRPr="00EC63FE" w:rsidRDefault="005B1758" w:rsidP="005B1758">
      <w:pPr>
        <w:pStyle w:val="Caption"/>
        <w:keepNext/>
        <w:jc w:val="center"/>
        <w:rPr>
          <w:b/>
          <w:i w:val="0"/>
          <w:iCs w:val="0"/>
          <w:color w:val="auto"/>
          <w:sz w:val="22"/>
          <w:szCs w:val="16"/>
        </w:rPr>
      </w:pPr>
      <w:r w:rsidRPr="00EC63FE">
        <w:rPr>
          <w:b/>
          <w:i w:val="0"/>
          <w:iCs w:val="0"/>
          <w:color w:val="auto"/>
          <w:sz w:val="22"/>
          <w:szCs w:val="16"/>
        </w:rPr>
        <w:t>Tab</w:t>
      </w:r>
      <w:r w:rsidR="00CF4FBB" w:rsidRPr="00EC63FE">
        <w:rPr>
          <w:b/>
          <w:i w:val="0"/>
          <w:iCs w:val="0"/>
          <w:color w:val="auto"/>
          <w:sz w:val="22"/>
          <w:szCs w:val="16"/>
        </w:rPr>
        <w:t>le</w:t>
      </w:r>
      <w:r w:rsidRPr="00EC63FE">
        <w:rPr>
          <w:b/>
          <w:i w:val="0"/>
          <w:iCs w:val="0"/>
          <w:color w:val="auto"/>
          <w:sz w:val="22"/>
          <w:szCs w:val="16"/>
        </w:rPr>
        <w:t xml:space="preserve"> </w:t>
      </w:r>
      <w:r w:rsidRPr="00EC63FE">
        <w:rPr>
          <w:b/>
          <w:i w:val="0"/>
          <w:iCs w:val="0"/>
          <w:color w:val="auto"/>
          <w:sz w:val="22"/>
          <w:szCs w:val="16"/>
        </w:rPr>
        <w:fldChar w:fldCharType="begin"/>
      </w:r>
      <w:r w:rsidRPr="00EC63FE">
        <w:rPr>
          <w:b/>
          <w:i w:val="0"/>
          <w:iCs w:val="0"/>
          <w:color w:val="auto"/>
          <w:sz w:val="22"/>
          <w:szCs w:val="16"/>
        </w:rPr>
        <w:instrText xml:space="preserve"> SEQ Tabel \* ARABIC </w:instrText>
      </w:r>
      <w:r w:rsidRPr="00EC63FE">
        <w:rPr>
          <w:b/>
          <w:i w:val="0"/>
          <w:iCs w:val="0"/>
          <w:color w:val="auto"/>
          <w:sz w:val="22"/>
          <w:szCs w:val="16"/>
        </w:rPr>
        <w:fldChar w:fldCharType="separate"/>
      </w:r>
      <w:r w:rsidR="00CC6B0E" w:rsidRPr="00EC63FE">
        <w:rPr>
          <w:b/>
          <w:i w:val="0"/>
          <w:iCs w:val="0"/>
          <w:noProof/>
          <w:color w:val="auto"/>
          <w:sz w:val="22"/>
          <w:szCs w:val="16"/>
        </w:rPr>
        <w:t>2</w:t>
      </w:r>
      <w:r w:rsidRPr="00EC63FE">
        <w:rPr>
          <w:b/>
          <w:i w:val="0"/>
          <w:iCs w:val="0"/>
          <w:color w:val="auto"/>
          <w:sz w:val="22"/>
          <w:szCs w:val="16"/>
        </w:rPr>
        <w:fldChar w:fldCharType="end"/>
      </w:r>
      <w:r w:rsidRPr="00EC63FE">
        <w:rPr>
          <w:b/>
          <w:i w:val="0"/>
          <w:iCs w:val="0"/>
          <w:color w:val="auto"/>
          <w:sz w:val="22"/>
          <w:szCs w:val="16"/>
        </w:rPr>
        <w:t xml:space="preserve">. </w:t>
      </w:r>
      <w:r w:rsidR="007B4D83" w:rsidRPr="00EC63FE">
        <w:rPr>
          <w:b/>
          <w:i w:val="0"/>
          <w:iCs w:val="0"/>
          <w:color w:val="auto"/>
          <w:sz w:val="22"/>
          <w:szCs w:val="16"/>
        </w:rPr>
        <w:t>Panel d</w:t>
      </w:r>
      <w:r w:rsidRPr="00EC63FE">
        <w:rPr>
          <w:b/>
          <w:i w:val="0"/>
          <w:iCs w:val="0"/>
          <w:color w:val="auto"/>
          <w:sz w:val="22"/>
          <w:szCs w:val="16"/>
        </w:rPr>
        <w:t xml:space="preserve">ata </w:t>
      </w:r>
      <w:r w:rsidR="00CF4FBB" w:rsidRPr="00EC63FE">
        <w:rPr>
          <w:b/>
          <w:i w:val="0"/>
          <w:iCs w:val="0"/>
          <w:color w:val="auto"/>
          <w:sz w:val="22"/>
          <w:szCs w:val="16"/>
        </w:rPr>
        <w:t>estimation result with</w:t>
      </w:r>
      <w:r w:rsidRPr="00EC63FE">
        <w:rPr>
          <w:b/>
          <w:i w:val="0"/>
          <w:iCs w:val="0"/>
          <w:color w:val="auto"/>
          <w:sz w:val="22"/>
          <w:szCs w:val="16"/>
        </w:rPr>
        <w:t xml:space="preserve"> </w:t>
      </w:r>
      <w:r w:rsidRPr="00EC63FE">
        <w:rPr>
          <w:b/>
          <w:color w:val="auto"/>
          <w:sz w:val="22"/>
          <w:szCs w:val="16"/>
        </w:rPr>
        <w:t>Random Effect Model</w:t>
      </w:r>
      <w:r w:rsidRPr="00EC63FE">
        <w:rPr>
          <w:b/>
          <w:i w:val="0"/>
          <w:iCs w:val="0"/>
          <w:color w:val="auto"/>
          <w:sz w:val="22"/>
          <w:szCs w:val="16"/>
        </w:rPr>
        <w:t xml:space="preserve"> (REM).</w:t>
      </w:r>
    </w:p>
    <w:p w14:paraId="7A95E0E3" w14:textId="4FEFD252" w:rsidR="005B1758" w:rsidRDefault="004F0DEC" w:rsidP="005B1758">
      <w:pPr>
        <w:jc w:val="center"/>
        <w:rPr>
          <w:rFonts w:ascii="Arial" w:hAnsi="Arial" w:cs="Arial"/>
        </w:rPr>
      </w:pPr>
      <w:r w:rsidRPr="00B236C1">
        <w:rPr>
          <w:noProof/>
        </w:rPr>
        <w:drawing>
          <wp:inline distT="0" distB="0" distL="0" distR="0" wp14:anchorId="3E647EB6" wp14:editId="2E6FCB0E">
            <wp:extent cx="4158615" cy="4806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6"/>
                    <a:stretch/>
                  </pic:blipFill>
                  <pic:spPr bwMode="auto">
                    <a:xfrm>
                      <a:off x="0" y="0"/>
                      <a:ext cx="4158615" cy="48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4D846" w14:textId="77777777" w:rsidR="005B1758" w:rsidRPr="00732BB7" w:rsidRDefault="005B1758" w:rsidP="00105C44">
      <w:pPr>
        <w:jc w:val="both"/>
      </w:pPr>
    </w:p>
    <w:p w14:paraId="03B06E54" w14:textId="0A4A6FBF" w:rsidR="005B1758" w:rsidRPr="00732BB7" w:rsidRDefault="00CF31EA" w:rsidP="005B1758">
      <w:pPr>
        <w:ind w:firstLine="720"/>
        <w:jc w:val="both"/>
      </w:pPr>
      <w:r>
        <w:t>Base</w:t>
      </w:r>
      <w:r w:rsidR="00E5737B">
        <w:t>d</w:t>
      </w:r>
      <w:r>
        <w:t xml:space="preserve"> on </w:t>
      </w:r>
      <w:r w:rsidR="00150F16">
        <w:t xml:space="preserve">the </w:t>
      </w:r>
      <w:r w:rsidR="00C068AB">
        <w:t>T</w:t>
      </w:r>
      <w:r>
        <w:t xml:space="preserve">able 2, </w:t>
      </w:r>
      <w:r w:rsidR="00C068AB">
        <w:t xml:space="preserve">using </w:t>
      </w:r>
      <w:r w:rsidR="00E5737B">
        <w:t xml:space="preserve">the </w:t>
      </w:r>
      <w:r w:rsidR="00C068AB">
        <w:t xml:space="preserve">level of </w:t>
      </w:r>
      <w:r>
        <w:t xml:space="preserve">significant </w:t>
      </w:r>
      <w:r w:rsidR="00E5737B">
        <w:t>o</w:t>
      </w:r>
      <w:r w:rsidR="00C068AB">
        <w:t xml:space="preserve">f 5% to decide </w:t>
      </w:r>
      <w:r w:rsidR="00E5737B">
        <w:t xml:space="preserve">that the </w:t>
      </w:r>
      <w:r w:rsidR="00C068AB">
        <w:t>independent variable</w:t>
      </w:r>
      <w:r w:rsidR="00E5737B">
        <w:t>s</w:t>
      </w:r>
      <w:r w:rsidR="00C068AB">
        <w:t xml:space="preserve"> affecting </w:t>
      </w:r>
      <w:r w:rsidR="00E5737B">
        <w:t>the dependent variable of the</w:t>
      </w:r>
      <w:r w:rsidR="00C068AB">
        <w:t xml:space="preserve"> level of </w:t>
      </w:r>
      <w:r w:rsidR="00144C95">
        <w:t xml:space="preserve">the </w:t>
      </w:r>
      <w:r w:rsidR="00E5737B">
        <w:t>Bank Management Confidence</w:t>
      </w:r>
      <w:r w:rsidR="00C068AB">
        <w:t xml:space="preserve">. </w:t>
      </w:r>
      <w:r w:rsidR="00E5737B">
        <w:t>The</w:t>
      </w:r>
      <w:r w:rsidR="00C068AB">
        <w:t xml:space="preserve"> </w:t>
      </w:r>
      <w:r w:rsidR="005B1758">
        <w:t>CAR</w:t>
      </w:r>
      <w:r w:rsidR="005B1758" w:rsidRPr="00732BB7">
        <w:t xml:space="preserve"> </w:t>
      </w:r>
      <w:r>
        <w:t xml:space="preserve">has significant and positive </w:t>
      </w:r>
      <w:r w:rsidR="007C3EE5">
        <w:t>effect</w:t>
      </w:r>
      <w:r>
        <w:t xml:space="preserve"> on </w:t>
      </w:r>
      <w:r w:rsidR="00E5737B">
        <w:t xml:space="preserve">the </w:t>
      </w:r>
      <w:r w:rsidR="005B1758" w:rsidRPr="00732BB7">
        <w:t xml:space="preserve">IETDR. </w:t>
      </w:r>
      <w:r w:rsidR="00E5737B">
        <w:t>The s</w:t>
      </w:r>
      <w:r w:rsidR="007C3EE5">
        <w:t>maller</w:t>
      </w:r>
      <w:r w:rsidR="005B1758" w:rsidRPr="00732BB7">
        <w:t xml:space="preserve"> </w:t>
      </w:r>
      <w:r w:rsidR="00144C95">
        <w:t xml:space="preserve">the </w:t>
      </w:r>
      <w:r w:rsidR="00A25FC8">
        <w:t>CAR</w:t>
      </w:r>
      <w:r w:rsidR="005B1758" w:rsidRPr="00732BB7">
        <w:t xml:space="preserve"> </w:t>
      </w:r>
      <w:r w:rsidR="007C3EE5">
        <w:t>value,</w:t>
      </w:r>
      <w:r w:rsidR="005B1758" w:rsidRPr="00732BB7">
        <w:t xml:space="preserve"> </w:t>
      </w:r>
      <w:r w:rsidR="00E5737B">
        <w:t xml:space="preserve">the </w:t>
      </w:r>
      <w:r w:rsidR="005B1758" w:rsidRPr="00732BB7">
        <w:t xml:space="preserve">IETDR </w:t>
      </w:r>
      <w:r w:rsidR="007C3EE5">
        <w:t>become</w:t>
      </w:r>
      <w:r w:rsidR="00E5737B">
        <w:t>s smaller too. This</w:t>
      </w:r>
      <w:r w:rsidR="007C3EE5">
        <w:t xml:space="preserve"> mean</w:t>
      </w:r>
      <w:r w:rsidR="00E5737B">
        <w:t>s</w:t>
      </w:r>
      <w:r w:rsidR="007C3EE5">
        <w:t xml:space="preserve"> that with </w:t>
      </w:r>
      <w:r w:rsidR="001E7696">
        <w:t xml:space="preserve">the </w:t>
      </w:r>
      <w:r w:rsidR="007C3EE5">
        <w:t xml:space="preserve">smaller CAR value, </w:t>
      </w:r>
      <w:r w:rsidR="0093284B">
        <w:t xml:space="preserve">the </w:t>
      </w:r>
      <w:r w:rsidR="007C3EE5">
        <w:t>ban</w:t>
      </w:r>
      <w:r w:rsidR="001E7696">
        <w:t>k management</w:t>
      </w:r>
      <w:r w:rsidR="0093284B">
        <w:t>s have</w:t>
      </w:r>
      <w:r w:rsidR="001E7696">
        <w:t xml:space="preserve"> confidence</w:t>
      </w:r>
      <w:r w:rsidR="007C3EE5">
        <w:t xml:space="preserve"> </w:t>
      </w:r>
      <w:r w:rsidR="001E7696">
        <w:t xml:space="preserve">to reduce </w:t>
      </w:r>
      <w:r w:rsidR="00144C95">
        <w:t xml:space="preserve">the </w:t>
      </w:r>
      <w:r w:rsidR="00C65C85">
        <w:t>deposit</w:t>
      </w:r>
      <w:r w:rsidR="001E7696">
        <w:t xml:space="preserve"> interest rate as</w:t>
      </w:r>
      <w:r w:rsidR="007C3EE5">
        <w:t xml:space="preserve"> one of </w:t>
      </w:r>
      <w:r w:rsidR="0093284B">
        <w:t xml:space="preserve">the </w:t>
      </w:r>
      <w:r w:rsidR="00C13915">
        <w:t xml:space="preserve">management </w:t>
      </w:r>
      <w:r w:rsidR="007C3EE5">
        <w:t>solution</w:t>
      </w:r>
      <w:r w:rsidR="0093284B">
        <w:t>s</w:t>
      </w:r>
      <w:r w:rsidR="005B1758" w:rsidRPr="00732BB7">
        <w:t>.</w:t>
      </w:r>
      <w:r w:rsidR="005A2D51">
        <w:t xml:space="preserve"> This result is similar with </w:t>
      </w:r>
      <w:r w:rsidR="001E7696">
        <w:t xml:space="preserve">the </w:t>
      </w:r>
      <w:r w:rsidR="005A2D51">
        <w:t xml:space="preserve">research result </w:t>
      </w:r>
      <w:r w:rsidR="001E7696">
        <w:t xml:space="preserve">done </w:t>
      </w:r>
      <w:r w:rsidR="005A2D51">
        <w:t xml:space="preserve">by </w:t>
      </w:r>
      <w:proofErr w:type="spellStart"/>
      <w:r w:rsidR="005A2D51">
        <w:t>Dewi</w:t>
      </w:r>
      <w:proofErr w:type="spellEnd"/>
      <w:r w:rsidR="005A2D51">
        <w:t xml:space="preserve"> &amp; Haryanto (2015)</w:t>
      </w:r>
      <w:r w:rsidR="001E7696">
        <w:t>.</w:t>
      </w:r>
      <w:r w:rsidR="005A2D51">
        <w:t xml:space="preserve"> </w:t>
      </w:r>
    </w:p>
    <w:p w14:paraId="2A4747AF" w14:textId="049EC93D" w:rsidR="005020ED" w:rsidRDefault="0093284B" w:rsidP="005020ED">
      <w:pPr>
        <w:ind w:firstLine="720"/>
        <w:jc w:val="both"/>
      </w:pPr>
      <w:r>
        <w:t xml:space="preserve">The </w:t>
      </w:r>
      <w:r w:rsidR="005020ED" w:rsidRPr="00732BB7">
        <w:t xml:space="preserve">NPL </w:t>
      </w:r>
      <w:r w:rsidR="007C3EE5">
        <w:t xml:space="preserve">has significant and positive effect on </w:t>
      </w:r>
      <w:r>
        <w:t xml:space="preserve">the </w:t>
      </w:r>
      <w:r w:rsidR="007C3EE5" w:rsidRPr="00732BB7">
        <w:t>IETDR</w:t>
      </w:r>
      <w:r w:rsidR="005020ED" w:rsidRPr="00732BB7">
        <w:t xml:space="preserve">. </w:t>
      </w:r>
      <w:r>
        <w:t>The s</w:t>
      </w:r>
      <w:r w:rsidR="007C3EE5">
        <w:t>maller</w:t>
      </w:r>
      <w:r w:rsidR="005020ED" w:rsidRPr="00732BB7">
        <w:t xml:space="preserve"> </w:t>
      </w:r>
      <w:r>
        <w:t xml:space="preserve">the </w:t>
      </w:r>
      <w:r w:rsidR="005020ED" w:rsidRPr="00732BB7">
        <w:t>NPL</w:t>
      </w:r>
      <w:r w:rsidR="007C3EE5">
        <w:t xml:space="preserve"> value,</w:t>
      </w:r>
      <w:r w:rsidR="005020ED" w:rsidRPr="00732BB7">
        <w:t xml:space="preserve"> </w:t>
      </w:r>
      <w:r>
        <w:t xml:space="preserve">the </w:t>
      </w:r>
      <w:r w:rsidR="005020ED" w:rsidRPr="00732BB7">
        <w:t xml:space="preserve">IETDR </w:t>
      </w:r>
      <w:r>
        <w:t>become</w:t>
      </w:r>
      <w:r w:rsidR="003C1BE5">
        <w:t>s</w:t>
      </w:r>
      <w:r>
        <w:t xml:space="preserve"> small</w:t>
      </w:r>
      <w:r w:rsidR="00C65C85">
        <w:t>er</w:t>
      </w:r>
      <w:r>
        <w:t>. This describes</w:t>
      </w:r>
      <w:r w:rsidR="007C3EE5">
        <w:t xml:space="preserve"> that with </w:t>
      </w:r>
      <w:r>
        <w:t xml:space="preserve">the </w:t>
      </w:r>
      <w:r w:rsidR="007C3EE5">
        <w:t xml:space="preserve">smaller NPL value, </w:t>
      </w:r>
      <w:r>
        <w:t xml:space="preserve">the </w:t>
      </w:r>
      <w:r w:rsidR="007C3EE5">
        <w:t>bank managem</w:t>
      </w:r>
      <w:r w:rsidR="003C1BE5">
        <w:t xml:space="preserve">ent has confidence to reduce </w:t>
      </w:r>
      <w:r w:rsidR="00C65C85">
        <w:t>the deposit</w:t>
      </w:r>
      <w:r w:rsidR="003C1BE5">
        <w:t xml:space="preserve"> interest rate as</w:t>
      </w:r>
      <w:r w:rsidR="007C3EE5">
        <w:t xml:space="preserve"> one of </w:t>
      </w:r>
      <w:r w:rsidR="003C1BE5">
        <w:t xml:space="preserve">the </w:t>
      </w:r>
      <w:r w:rsidR="00C13915">
        <w:t xml:space="preserve">management </w:t>
      </w:r>
      <w:r w:rsidR="007C3EE5">
        <w:t>solution</w:t>
      </w:r>
      <w:r w:rsidR="003C1BE5">
        <w:t>s</w:t>
      </w:r>
      <w:r w:rsidR="007C3EE5">
        <w:t xml:space="preserve"> for </w:t>
      </w:r>
      <w:r w:rsidR="003C1BE5">
        <w:t>the banks</w:t>
      </w:r>
      <w:r w:rsidR="007C3EE5">
        <w:t xml:space="preserve"> to achieve </w:t>
      </w:r>
      <w:r w:rsidR="00A471D6">
        <w:t>another goal, i.e., increasing profit</w:t>
      </w:r>
      <w:r w:rsidR="00A25FC8">
        <w:t>.</w:t>
      </w:r>
    </w:p>
    <w:p w14:paraId="7925B0A4" w14:textId="7A5EFFED" w:rsidR="00347437" w:rsidRPr="00732BB7" w:rsidRDefault="00F2567C" w:rsidP="00347437">
      <w:pPr>
        <w:ind w:firstLine="720"/>
        <w:jc w:val="both"/>
      </w:pPr>
      <w:r>
        <w:lastRenderedPageBreak/>
        <w:t xml:space="preserve">The </w:t>
      </w:r>
      <w:r w:rsidR="00347437">
        <w:t>IF</w:t>
      </w:r>
      <w:r w:rsidR="00347437" w:rsidRPr="00732BB7">
        <w:t xml:space="preserve"> </w:t>
      </w:r>
      <w:r w:rsidR="00E0051C">
        <w:t xml:space="preserve">has significant </w:t>
      </w:r>
      <w:r w:rsidR="00D87537">
        <w:t xml:space="preserve">and negative </w:t>
      </w:r>
      <w:r w:rsidR="00E0051C">
        <w:t>effect on</w:t>
      </w:r>
      <w:r w:rsidR="00347437" w:rsidRPr="00732BB7">
        <w:t xml:space="preserve"> </w:t>
      </w:r>
      <w:r>
        <w:t xml:space="preserve">the </w:t>
      </w:r>
      <w:r w:rsidR="00347437" w:rsidRPr="00732BB7">
        <w:t xml:space="preserve">IETDR. </w:t>
      </w:r>
      <w:r>
        <w:t>The b</w:t>
      </w:r>
      <w:r w:rsidR="00E51824">
        <w:t>igger</w:t>
      </w:r>
      <w:r w:rsidR="00347437">
        <w:t xml:space="preserve"> </w:t>
      </w:r>
      <w:r>
        <w:t xml:space="preserve">the </w:t>
      </w:r>
      <w:r w:rsidR="00347437">
        <w:t xml:space="preserve">IF </w:t>
      </w:r>
      <w:r w:rsidR="00E51824">
        <w:t>value,</w:t>
      </w:r>
      <w:r w:rsidR="00347437" w:rsidRPr="00732BB7">
        <w:t xml:space="preserve"> </w:t>
      </w:r>
      <w:r>
        <w:t xml:space="preserve">the </w:t>
      </w:r>
      <w:r w:rsidR="00347437" w:rsidRPr="00732BB7">
        <w:t xml:space="preserve">IETDR </w:t>
      </w:r>
      <w:r w:rsidR="00E51824">
        <w:t>become</w:t>
      </w:r>
      <w:r>
        <w:t>s</w:t>
      </w:r>
      <w:r w:rsidR="00E51824">
        <w:t xml:space="preserve"> smaller.</w:t>
      </w:r>
      <w:r w:rsidR="00347437" w:rsidRPr="00732BB7">
        <w:t xml:space="preserve"> </w:t>
      </w:r>
      <w:r>
        <w:t>This denotes</w:t>
      </w:r>
      <w:r w:rsidR="00E51824">
        <w:t xml:space="preserve"> that with </w:t>
      </w:r>
      <w:r>
        <w:t xml:space="preserve">the </w:t>
      </w:r>
      <w:r w:rsidR="00E51824">
        <w:t xml:space="preserve">bigger IF value, </w:t>
      </w:r>
      <w:r>
        <w:t xml:space="preserve">the </w:t>
      </w:r>
      <w:r w:rsidR="00E51824">
        <w:t>bank management</w:t>
      </w:r>
      <w:r>
        <w:t>s have</w:t>
      </w:r>
      <w:r w:rsidR="00E51824">
        <w:t xml:space="preserve"> confidence </w:t>
      </w:r>
      <w:r>
        <w:t>to reduce</w:t>
      </w:r>
      <w:r w:rsidR="00E51824">
        <w:t xml:space="preserve"> </w:t>
      </w:r>
      <w:r>
        <w:t>the deposits interest rate as</w:t>
      </w:r>
      <w:r w:rsidR="00E51824">
        <w:t xml:space="preserve"> one of </w:t>
      </w:r>
      <w:r>
        <w:t xml:space="preserve">the </w:t>
      </w:r>
      <w:r w:rsidR="00C13915">
        <w:t xml:space="preserve">management </w:t>
      </w:r>
      <w:r w:rsidR="00E51824">
        <w:t>solution</w:t>
      </w:r>
      <w:r>
        <w:t>s</w:t>
      </w:r>
      <w:r w:rsidR="00347437" w:rsidRPr="00732BB7">
        <w:t>.</w:t>
      </w:r>
    </w:p>
    <w:p w14:paraId="7E24EE42" w14:textId="4BDFE306" w:rsidR="00F52423" w:rsidRPr="00732BB7" w:rsidRDefault="00D87537" w:rsidP="00F52423">
      <w:pPr>
        <w:ind w:firstLine="720"/>
        <w:jc w:val="both"/>
      </w:pPr>
      <w:r>
        <w:t>In this research we used d</w:t>
      </w:r>
      <w:r w:rsidR="00C13915">
        <w:t>ummy variable</w:t>
      </w:r>
      <w:r w:rsidR="00C65C85">
        <w:t xml:space="preserve"> to represent the </w:t>
      </w:r>
      <w:r>
        <w:t>COVID-19 Period.  The</w:t>
      </w:r>
      <w:r w:rsidR="00C13915">
        <w:t xml:space="preserve"> </w:t>
      </w:r>
      <w:r w:rsidR="00F52423">
        <w:t>COVID</w:t>
      </w:r>
      <w:r>
        <w:t>-19</w:t>
      </w:r>
      <w:r w:rsidR="00F52423" w:rsidRPr="00732BB7">
        <w:t xml:space="preserve"> </w:t>
      </w:r>
      <w:r w:rsidR="002812F3">
        <w:t>has significant effect but negative on</w:t>
      </w:r>
      <w:r w:rsidR="002812F3" w:rsidRPr="00732BB7">
        <w:t xml:space="preserve"> </w:t>
      </w:r>
      <w:r w:rsidR="00C65C85">
        <w:t xml:space="preserve">the </w:t>
      </w:r>
      <w:r w:rsidR="002812F3" w:rsidRPr="00732BB7">
        <w:t>IETDR</w:t>
      </w:r>
      <w:r w:rsidR="00F52423" w:rsidRPr="00732BB7">
        <w:t xml:space="preserve">. </w:t>
      </w:r>
      <w:r w:rsidR="002812F3">
        <w:t>When</w:t>
      </w:r>
      <w:r w:rsidR="00F52423">
        <w:t xml:space="preserve"> </w:t>
      </w:r>
      <w:r w:rsidR="00C65C85">
        <w:t xml:space="preserve">the </w:t>
      </w:r>
      <w:r w:rsidR="00F52423">
        <w:t xml:space="preserve">COVID </w:t>
      </w:r>
      <w:r w:rsidR="002812F3">
        <w:t xml:space="preserve">value is 1, then </w:t>
      </w:r>
      <w:r w:rsidR="00C65C85">
        <w:t xml:space="preserve">the </w:t>
      </w:r>
      <w:r w:rsidR="00F52423" w:rsidRPr="00732BB7">
        <w:t xml:space="preserve">IETDR </w:t>
      </w:r>
      <w:r w:rsidR="002812F3">
        <w:t>become</w:t>
      </w:r>
      <w:r w:rsidR="00C65C85">
        <w:t>s smaller. This</w:t>
      </w:r>
      <w:r w:rsidR="002812F3">
        <w:t xml:space="preserve"> mean</w:t>
      </w:r>
      <w:r w:rsidR="00C65C85">
        <w:t>s that during the time of the Covid-19 pandemics</w:t>
      </w:r>
      <w:r w:rsidR="002812F3">
        <w:t xml:space="preserve">, </w:t>
      </w:r>
      <w:r w:rsidR="00C65C85">
        <w:t xml:space="preserve">the </w:t>
      </w:r>
      <w:r w:rsidR="002812F3">
        <w:t>bank management</w:t>
      </w:r>
      <w:r w:rsidR="00C65C85">
        <w:t>s have</w:t>
      </w:r>
      <w:r w:rsidR="002812F3">
        <w:t xml:space="preserve"> confidence </w:t>
      </w:r>
      <w:r w:rsidR="00C65C85">
        <w:t>to reduce</w:t>
      </w:r>
      <w:r w:rsidR="002812F3">
        <w:t xml:space="preserve"> </w:t>
      </w:r>
      <w:r w:rsidR="00C65C85">
        <w:t xml:space="preserve">the deposit interest rate as one of the </w:t>
      </w:r>
      <w:r w:rsidR="002812F3">
        <w:t>management</w:t>
      </w:r>
      <w:r w:rsidR="00C65C85">
        <w:t xml:space="preserve"> solutions</w:t>
      </w:r>
      <w:r w:rsidR="002812F3">
        <w:t>.</w:t>
      </w:r>
    </w:p>
    <w:p w14:paraId="0B95DC9E" w14:textId="59B92ACB" w:rsidR="005020ED" w:rsidRPr="00732BB7" w:rsidRDefault="00FC1D3E" w:rsidP="005020ED">
      <w:pPr>
        <w:ind w:firstLine="720"/>
        <w:jc w:val="both"/>
      </w:pPr>
      <w:r>
        <w:t xml:space="preserve">This research used Bank Book </w:t>
      </w:r>
      <w:r w:rsidR="005C6BD3">
        <w:t xml:space="preserve">or Bank Scale </w:t>
      </w:r>
      <w:r>
        <w:t xml:space="preserve">as </w:t>
      </w:r>
      <w:r w:rsidR="00283288">
        <w:t>a moderating</w:t>
      </w:r>
      <w:r>
        <w:t xml:space="preserve"> variable for independent variable</w:t>
      </w:r>
      <w:r w:rsidR="00283288">
        <w:t>s’ effect</w:t>
      </w:r>
      <w:r>
        <w:t xml:space="preserve"> on depen</w:t>
      </w:r>
      <w:r w:rsidR="00283288">
        <w:t>dent variable. There</w:t>
      </w:r>
      <w:r>
        <w:t xml:space="preserve"> found that</w:t>
      </w:r>
      <w:r w:rsidR="005020ED" w:rsidRPr="00732BB7">
        <w:t xml:space="preserve"> </w:t>
      </w:r>
      <w:r w:rsidR="00283288">
        <w:t xml:space="preserve">the </w:t>
      </w:r>
      <w:r w:rsidR="005020ED" w:rsidRPr="00732BB7">
        <w:t xml:space="preserve">CAR </w:t>
      </w:r>
      <w:r w:rsidR="002812F3">
        <w:t>and</w:t>
      </w:r>
      <w:r w:rsidR="00283288">
        <w:t xml:space="preserve"> NPL (BBCAR and</w:t>
      </w:r>
      <w:r w:rsidR="005020ED" w:rsidRPr="00732BB7">
        <w:t xml:space="preserve"> BBNPL) </w:t>
      </w:r>
      <w:r w:rsidR="002812F3">
        <w:t>have significant effect</w:t>
      </w:r>
      <w:r w:rsidR="00283288">
        <w:t>s</w:t>
      </w:r>
      <w:r w:rsidR="002812F3">
        <w:t xml:space="preserve"> but negative on</w:t>
      </w:r>
      <w:r w:rsidR="002812F3" w:rsidRPr="00732BB7">
        <w:t xml:space="preserve"> </w:t>
      </w:r>
      <w:r w:rsidR="00283288">
        <w:t xml:space="preserve">the </w:t>
      </w:r>
      <w:r w:rsidR="002812F3" w:rsidRPr="00732BB7">
        <w:t>IETDR</w:t>
      </w:r>
      <w:r w:rsidR="005020ED" w:rsidRPr="00732BB7">
        <w:t xml:space="preserve">. </w:t>
      </w:r>
      <w:r>
        <w:t xml:space="preserve"> </w:t>
      </w:r>
      <w:r w:rsidR="00C13915">
        <w:t xml:space="preserve">Because </w:t>
      </w:r>
      <w:r w:rsidR="00283288">
        <w:t xml:space="preserve">the </w:t>
      </w:r>
      <w:r w:rsidR="005020ED" w:rsidRPr="00732BB7">
        <w:t>NPL</w:t>
      </w:r>
      <w:r>
        <w:t xml:space="preserve">, CAR </w:t>
      </w:r>
      <w:r w:rsidR="00C13915">
        <w:t>and</w:t>
      </w:r>
      <w:r w:rsidR="005020ED" w:rsidRPr="00732BB7">
        <w:t xml:space="preserve"> </w:t>
      </w:r>
      <w:r>
        <w:t xml:space="preserve">BB </w:t>
      </w:r>
      <w:r w:rsidR="00C13915">
        <w:t>have positive impact</w:t>
      </w:r>
      <w:r w:rsidR="00283288">
        <w:t>s</w:t>
      </w:r>
      <w:r w:rsidR="00C13915">
        <w:t xml:space="preserve"> on </w:t>
      </w:r>
      <w:r w:rsidR="00283288">
        <w:t xml:space="preserve">the </w:t>
      </w:r>
      <w:r w:rsidR="005020ED" w:rsidRPr="00732BB7">
        <w:t>IETDR</w:t>
      </w:r>
      <w:r w:rsidR="00283288">
        <w:t xml:space="preserve"> with </w:t>
      </w:r>
      <w:r w:rsidR="00C13915">
        <w:t xml:space="preserve">the same value of </w:t>
      </w:r>
      <w:r w:rsidR="00283288">
        <w:t xml:space="preserve">the </w:t>
      </w:r>
      <w:r w:rsidR="00C13915">
        <w:t xml:space="preserve">CAR and NPL, </w:t>
      </w:r>
      <w:r w:rsidR="00283288">
        <w:t xml:space="preserve">the </w:t>
      </w:r>
      <w:r w:rsidR="00C13915">
        <w:t>bank management</w:t>
      </w:r>
      <w:r w:rsidR="00283288">
        <w:t>s</w:t>
      </w:r>
      <w:r w:rsidR="00C13915">
        <w:t xml:space="preserve"> with </w:t>
      </w:r>
      <w:r w:rsidR="00283288">
        <w:t xml:space="preserve">the </w:t>
      </w:r>
      <w:r w:rsidR="00C13915">
        <w:t>bigger bank scale</w:t>
      </w:r>
      <w:r w:rsidR="00283288">
        <w:t>s have</w:t>
      </w:r>
      <w:r w:rsidR="00C13915">
        <w:t xml:space="preserve"> more confidence to reduce </w:t>
      </w:r>
      <w:r w:rsidR="00283288">
        <w:t>the deposits interest rate as</w:t>
      </w:r>
      <w:r w:rsidR="00C13915">
        <w:t xml:space="preserve"> one of </w:t>
      </w:r>
      <w:r w:rsidR="00283288">
        <w:t xml:space="preserve">the </w:t>
      </w:r>
      <w:r w:rsidR="00C13915">
        <w:t>management solution</w:t>
      </w:r>
      <w:r w:rsidR="00283288">
        <w:t>s</w:t>
      </w:r>
      <w:r w:rsidR="00C13915">
        <w:t>.</w:t>
      </w:r>
    </w:p>
    <w:p w14:paraId="0F3D5D49" w14:textId="7465C201" w:rsidR="005020ED" w:rsidRPr="00732BB7" w:rsidRDefault="00FC1D3E" w:rsidP="005020ED">
      <w:pPr>
        <w:ind w:firstLine="720"/>
        <w:jc w:val="both"/>
      </w:pPr>
      <w:r>
        <w:t xml:space="preserve">This research found that </w:t>
      </w:r>
      <w:r w:rsidR="005020ED" w:rsidRPr="00732BB7">
        <w:t>ROA</w:t>
      </w:r>
      <w:r w:rsidR="00283288">
        <w:t>,</w:t>
      </w:r>
      <w:r w:rsidR="005020ED" w:rsidRPr="00732BB7">
        <w:t xml:space="preserve"> EFR, I</w:t>
      </w:r>
      <w:r w:rsidR="00B438DE">
        <w:t>R</w:t>
      </w:r>
      <w:r w:rsidR="005020ED" w:rsidRPr="00732BB7">
        <w:t>, BB, BBIF</w:t>
      </w:r>
      <w:r w:rsidR="00283288">
        <w:t xml:space="preserve"> (variable IF moderated by </w:t>
      </w:r>
      <w:r w:rsidR="0024465A">
        <w:t>BB</w:t>
      </w:r>
      <w:r w:rsidR="00F94B2C">
        <w:t>)</w:t>
      </w:r>
      <w:r w:rsidR="005020ED" w:rsidRPr="00732BB7">
        <w:t xml:space="preserve"> an</w:t>
      </w:r>
      <w:r w:rsidR="0024465A">
        <w:t>d</w:t>
      </w:r>
      <w:r w:rsidR="005020ED" w:rsidRPr="00732BB7">
        <w:t xml:space="preserve"> </w:t>
      </w:r>
      <w:r w:rsidR="0024465A">
        <w:t xml:space="preserve">BBIR (variable IR moderated by </w:t>
      </w:r>
      <w:r w:rsidR="005020ED" w:rsidRPr="00732BB7">
        <w:t>BB</w:t>
      </w:r>
      <w:r w:rsidR="00F94B2C">
        <w:t xml:space="preserve">) also have impact (positive or negative) on </w:t>
      </w:r>
      <w:r w:rsidR="00283288">
        <w:t xml:space="preserve">the </w:t>
      </w:r>
      <w:r w:rsidR="005020ED" w:rsidRPr="00732BB7">
        <w:t>IETDR</w:t>
      </w:r>
      <w:r w:rsidR="00F94B2C">
        <w:t xml:space="preserve"> but not significant</w:t>
      </w:r>
      <w:r w:rsidR="005020ED" w:rsidRPr="00732BB7">
        <w:t>.</w:t>
      </w:r>
    </w:p>
    <w:p w14:paraId="2013DECE" w14:textId="0AA28C27" w:rsidR="005020ED" w:rsidRPr="00732BB7" w:rsidRDefault="00887A3E" w:rsidP="005020ED">
      <w:pPr>
        <w:ind w:firstLine="720"/>
        <w:jc w:val="both"/>
      </w:pPr>
      <w:r>
        <w:t>Base</w:t>
      </w:r>
      <w:r w:rsidR="00283288">
        <w:t>d</w:t>
      </w:r>
      <w:r>
        <w:t xml:space="preserve"> on </w:t>
      </w:r>
      <w:r w:rsidR="00283288">
        <w:t xml:space="preserve">the </w:t>
      </w:r>
      <w:r>
        <w:t xml:space="preserve">estimation result on </w:t>
      </w:r>
      <w:r w:rsidR="00283288">
        <w:t xml:space="preserve">the </w:t>
      </w:r>
      <w:r>
        <w:t xml:space="preserve">table 2, all </w:t>
      </w:r>
      <w:r w:rsidR="00283288">
        <w:t xml:space="preserve">the </w:t>
      </w:r>
      <w:r>
        <w:t xml:space="preserve">variable </w:t>
      </w:r>
      <w:r w:rsidRPr="00887A3E">
        <w:t>simultaneously</w:t>
      </w:r>
      <w:r w:rsidR="00A85E62">
        <w:t xml:space="preserve"> </w:t>
      </w:r>
      <w:r w:rsidR="00283288">
        <w:t>have</w:t>
      </w:r>
      <w:r>
        <w:t xml:space="preserve"> significant effect</w:t>
      </w:r>
      <w:r w:rsidR="00283288">
        <w:t>s</w:t>
      </w:r>
      <w:r>
        <w:t xml:space="preserve"> on </w:t>
      </w:r>
      <w:r w:rsidR="00283288">
        <w:t xml:space="preserve">the </w:t>
      </w:r>
      <w:r w:rsidRPr="00732BB7">
        <w:t>IETDR</w:t>
      </w:r>
      <w:r w:rsidR="00283288">
        <w:t>. Referring</w:t>
      </w:r>
      <w:r>
        <w:t xml:space="preserve"> to</w:t>
      </w:r>
      <w:r w:rsidR="00283288">
        <w:t xml:space="preserve"> the</w:t>
      </w:r>
      <w:r>
        <w:t xml:space="preserve"> </w:t>
      </w:r>
      <w:r w:rsidRPr="00732BB7">
        <w:t>R</w:t>
      </w:r>
      <w:r w:rsidRPr="00732BB7">
        <w:rPr>
          <w:vertAlign w:val="superscript"/>
        </w:rPr>
        <w:t>2</w:t>
      </w:r>
      <w:r>
        <w:t xml:space="preserve"> value, </w:t>
      </w:r>
      <w:r w:rsidR="00283288">
        <w:t>the significant level of the</w:t>
      </w:r>
      <w:r w:rsidR="00375791">
        <w:t xml:space="preserve"> estimation was affected by </w:t>
      </w:r>
      <w:r w:rsidR="0024465A">
        <w:t>84,49</w:t>
      </w:r>
      <w:proofErr w:type="gramStart"/>
      <w:r w:rsidR="00375791">
        <w:t xml:space="preserve">% </w:t>
      </w:r>
      <w:r w:rsidR="00DE62F2">
        <w:t>,</w:t>
      </w:r>
      <w:proofErr w:type="gramEnd"/>
      <w:r w:rsidR="00DE62F2">
        <w:t xml:space="preserve"> </w:t>
      </w:r>
      <w:r w:rsidR="00375791">
        <w:t xml:space="preserve">simultaneous variable that used in </w:t>
      </w:r>
      <w:r w:rsidR="00283288">
        <w:t xml:space="preserve">the </w:t>
      </w:r>
      <w:r w:rsidR="00375791">
        <w:t xml:space="preserve">estimation, </w:t>
      </w:r>
      <w:r w:rsidR="00283288">
        <w:t xml:space="preserve">the other of </w:t>
      </w:r>
      <w:r w:rsidR="0024465A">
        <w:t>15.51%</w:t>
      </w:r>
      <w:r w:rsidR="00283288">
        <w:t xml:space="preserve"> was affected by unknown </w:t>
      </w:r>
      <w:r w:rsidR="00375791">
        <w:t>variables</w:t>
      </w:r>
      <w:r w:rsidR="00DE62F2">
        <w:t xml:space="preserve"> in this rese</w:t>
      </w:r>
      <w:r w:rsidR="00283288">
        <w:t>a</w:t>
      </w:r>
      <w:r w:rsidR="00DE62F2">
        <w:t>r</w:t>
      </w:r>
      <w:r w:rsidR="00283288">
        <w:t>ch</w:t>
      </w:r>
      <w:r w:rsidR="005020ED" w:rsidRPr="00732BB7">
        <w:t>.</w:t>
      </w:r>
    </w:p>
    <w:p w14:paraId="35575862" w14:textId="77777777" w:rsidR="005020ED" w:rsidRPr="00732BB7" w:rsidRDefault="005020ED" w:rsidP="005020ED">
      <w:pPr>
        <w:jc w:val="both"/>
      </w:pPr>
    </w:p>
    <w:p w14:paraId="3265EC06" w14:textId="77777777" w:rsidR="005020ED" w:rsidRPr="00732BB7" w:rsidRDefault="005020ED" w:rsidP="00105C44">
      <w:pPr>
        <w:jc w:val="both"/>
      </w:pPr>
    </w:p>
    <w:p w14:paraId="0A009D98" w14:textId="560B02C0" w:rsidR="0064449A" w:rsidRPr="00493932" w:rsidRDefault="0064449A" w:rsidP="00184419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39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V. </w:t>
      </w:r>
      <w:r w:rsidR="00391BFE" w:rsidRPr="00493932">
        <w:rPr>
          <w:rFonts w:ascii="Times New Roman" w:hAnsi="Times New Roman" w:cs="Times New Roman"/>
          <w:b/>
          <w:color w:val="auto"/>
          <w:sz w:val="24"/>
          <w:szCs w:val="24"/>
        </w:rPr>
        <w:t>Conclusion</w:t>
      </w:r>
      <w:r w:rsidR="00C50AAF" w:rsidRPr="0049393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5C12A5FB" w14:textId="20976AFC" w:rsidR="00DD50A1" w:rsidRPr="00493932" w:rsidRDefault="00DD50A1" w:rsidP="00105C44">
      <w:pPr>
        <w:jc w:val="both"/>
        <w:rPr>
          <w:b/>
        </w:rPr>
      </w:pPr>
    </w:p>
    <w:p w14:paraId="7FE2ACC8" w14:textId="6278FB93" w:rsidR="0064449A" w:rsidRPr="00732BB7" w:rsidRDefault="00870489" w:rsidP="00105C44">
      <w:pPr>
        <w:jc w:val="both"/>
      </w:pPr>
      <w:r w:rsidRPr="00732BB7">
        <w:tab/>
      </w:r>
      <w:r w:rsidR="00132D86">
        <w:t>C</w:t>
      </w:r>
      <w:r w:rsidR="00391BFE" w:rsidRPr="00391BFE">
        <w:t xml:space="preserve">ustomer satisfaction has been </w:t>
      </w:r>
      <w:r w:rsidR="00391BFE">
        <w:t>studied</w:t>
      </w:r>
      <w:r w:rsidR="00391BFE" w:rsidRPr="00391BFE">
        <w:t xml:space="preserve"> </w:t>
      </w:r>
      <w:r w:rsidR="00391BFE">
        <w:t>very often but</w:t>
      </w:r>
      <w:r w:rsidR="00493932">
        <w:t xml:space="preserve"> usually using primary data by applying</w:t>
      </w:r>
      <w:r w:rsidR="00391BFE">
        <w:t xml:space="preserve"> customer interviews or</w:t>
      </w:r>
      <w:r w:rsidR="00391BFE" w:rsidRPr="00391BFE">
        <w:t xml:space="preserve"> questionnaires. From the results of the customer satisfaction </w:t>
      </w:r>
      <w:r w:rsidR="00493932">
        <w:t>studies</w:t>
      </w:r>
      <w:r w:rsidR="00391BFE" w:rsidRPr="00391BFE">
        <w:t>, the</w:t>
      </w:r>
      <w:r w:rsidR="00391BFE">
        <w:t xml:space="preserve"> </w:t>
      </w:r>
      <w:r w:rsidR="00391BFE" w:rsidRPr="00391BFE">
        <w:t>management</w:t>
      </w:r>
      <w:r w:rsidR="00493932">
        <w:t>s</w:t>
      </w:r>
      <w:r w:rsidR="00391BFE" w:rsidRPr="00391BFE">
        <w:t xml:space="preserve"> will </w:t>
      </w:r>
      <w:r w:rsidR="00493932">
        <w:t xml:space="preserve">do a </w:t>
      </w:r>
      <w:r w:rsidR="00391BFE" w:rsidRPr="00391BFE">
        <w:t>follow up</w:t>
      </w:r>
      <w:r w:rsidR="00493932">
        <w:t xml:space="preserve"> action</w:t>
      </w:r>
      <w:r w:rsidR="00132D86">
        <w:t xml:space="preserve"> by launching</w:t>
      </w:r>
      <w:r w:rsidR="00391BFE" w:rsidRPr="00391BFE">
        <w:t xml:space="preserve"> </w:t>
      </w:r>
      <w:r w:rsidR="00AD719C">
        <w:t>some</w:t>
      </w:r>
      <w:r w:rsidR="00391BFE" w:rsidRPr="00391BFE">
        <w:t xml:space="preserve"> program</w:t>
      </w:r>
      <w:r w:rsidR="00AD719C">
        <w:t>s</w:t>
      </w:r>
      <w:r w:rsidR="00391BFE" w:rsidRPr="00391BFE">
        <w:t xml:space="preserve"> or polic</w:t>
      </w:r>
      <w:r w:rsidR="00AD719C">
        <w:t>ies</w:t>
      </w:r>
      <w:r w:rsidR="00391BFE">
        <w:t>.</w:t>
      </w:r>
    </w:p>
    <w:p w14:paraId="3B56C995" w14:textId="63D104D9" w:rsidR="00DD50A1" w:rsidRPr="00732BB7" w:rsidRDefault="009E20A6" w:rsidP="000F45C7">
      <w:pPr>
        <w:ind w:firstLine="720"/>
        <w:jc w:val="both"/>
      </w:pPr>
      <w:r>
        <w:t>Banking system is a financial service that relay</w:t>
      </w:r>
      <w:r w:rsidR="00132D86">
        <w:t>s</w:t>
      </w:r>
      <w:r>
        <w:t xml:space="preserve"> on their customers satisfaction. </w:t>
      </w:r>
      <w:r w:rsidR="00132D86">
        <w:t>The c</w:t>
      </w:r>
      <w:r>
        <w:t>ustomer satisfaction depend</w:t>
      </w:r>
      <w:r w:rsidR="00132D86">
        <w:t>s</w:t>
      </w:r>
      <w:r>
        <w:t xml:space="preserve"> on </w:t>
      </w:r>
      <w:r w:rsidR="00132D86">
        <w:t xml:space="preserve">the services </w:t>
      </w:r>
      <w:r w:rsidR="00AD719C">
        <w:t xml:space="preserve">offered by </w:t>
      </w:r>
      <w:r w:rsidR="00132D86">
        <w:t xml:space="preserve">the </w:t>
      </w:r>
      <w:r w:rsidR="00AD719C">
        <w:t>bank</w:t>
      </w:r>
      <w:r w:rsidR="00132D86">
        <w:t>s</w:t>
      </w:r>
      <w:r w:rsidR="00AD719C">
        <w:t xml:space="preserve"> and also </w:t>
      </w:r>
      <w:r w:rsidR="00132D86">
        <w:t xml:space="preserve">the </w:t>
      </w:r>
      <w:r w:rsidR="00AD719C">
        <w:t>internal condition</w:t>
      </w:r>
      <w:r w:rsidR="00132D86">
        <w:t>s</w:t>
      </w:r>
      <w:r w:rsidR="002B2714">
        <w:t xml:space="preserve"> of</w:t>
      </w:r>
      <w:r w:rsidR="00AD719C">
        <w:t xml:space="preserve"> the bank</w:t>
      </w:r>
      <w:r w:rsidR="00132D86">
        <w:t>s</w:t>
      </w:r>
      <w:r w:rsidR="00AD719C">
        <w:t>. Satisfied customer make the bank management become confidence when they make some programs or policies. One of their policies is determining deposit interest rate</w:t>
      </w:r>
      <w:r w:rsidR="000F45C7" w:rsidRPr="00732BB7">
        <w:t>.</w:t>
      </w:r>
    </w:p>
    <w:p w14:paraId="25FBEC0E" w14:textId="581FB519" w:rsidR="000F45C7" w:rsidRPr="00732BB7" w:rsidRDefault="00132D86" w:rsidP="00132D86">
      <w:pPr>
        <w:tabs>
          <w:tab w:val="left" w:pos="2430"/>
        </w:tabs>
        <w:ind w:firstLine="720"/>
        <w:jc w:val="both"/>
      </w:pPr>
      <w:r>
        <w:t>This research</w:t>
      </w:r>
      <w:r w:rsidR="00AD719C">
        <w:t xml:space="preserve"> </w:t>
      </w:r>
      <w:r>
        <w:t>applied</w:t>
      </w:r>
      <w:r w:rsidR="00AD719C">
        <w:t xml:space="preserve"> a different </w:t>
      </w:r>
      <w:r w:rsidR="00560DE0" w:rsidRPr="00560DE0">
        <w:t>approach</w:t>
      </w:r>
      <w:r w:rsidR="00560DE0">
        <w:t xml:space="preserve">, </w:t>
      </w:r>
      <w:r>
        <w:t>the secondary data were</w:t>
      </w:r>
      <w:r w:rsidR="00560DE0">
        <w:t xml:space="preserve"> used to test </w:t>
      </w:r>
      <w:r>
        <w:t xml:space="preserve">the </w:t>
      </w:r>
      <w:r w:rsidR="00560DE0">
        <w:t xml:space="preserve">bank management confidence level to determine </w:t>
      </w:r>
      <w:r>
        <w:t xml:space="preserve">the </w:t>
      </w:r>
      <w:r w:rsidR="00560DE0">
        <w:t xml:space="preserve">deposit interest rate as one of </w:t>
      </w:r>
      <w:r>
        <w:t xml:space="preserve">management </w:t>
      </w:r>
      <w:r w:rsidR="00560DE0">
        <w:t>solution</w:t>
      </w:r>
      <w:r>
        <w:t>s</w:t>
      </w:r>
      <w:r w:rsidR="00560DE0">
        <w:t xml:space="preserve">. The confidence level was observed by </w:t>
      </w:r>
      <w:r w:rsidR="00A02D40">
        <w:t>using aggregate of yearly a</w:t>
      </w:r>
      <w:r>
        <w:t>pplied deposit interest rate. There</w:t>
      </w:r>
      <w:r w:rsidR="00A02D40">
        <w:t xml:space="preserve"> found that Capital Adequacy Ratio and Non-Performing Loan have positive and significant impact</w:t>
      </w:r>
      <w:r>
        <w:t>s</w:t>
      </w:r>
      <w:r w:rsidR="00A02D40">
        <w:t xml:space="preserve"> on </w:t>
      </w:r>
      <w:r>
        <w:t xml:space="preserve">the bank management </w:t>
      </w:r>
      <w:r w:rsidR="00A02D40">
        <w:t xml:space="preserve">confidence level. </w:t>
      </w:r>
      <w:r>
        <w:t>This implies</w:t>
      </w:r>
      <w:r w:rsidR="006C35EA">
        <w:t xml:space="preserve"> when </w:t>
      </w:r>
      <w:r>
        <w:t xml:space="preserve">the </w:t>
      </w:r>
      <w:r w:rsidR="006C35EA">
        <w:t xml:space="preserve">Capital Adequacy Ratio or </w:t>
      </w:r>
      <w:r>
        <w:t xml:space="preserve">the </w:t>
      </w:r>
      <w:r w:rsidR="006C35EA">
        <w:t>Non-Performing Loan decrease</w:t>
      </w:r>
      <w:r>
        <w:t>s</w:t>
      </w:r>
      <w:r w:rsidR="006C35EA">
        <w:t xml:space="preserve">, </w:t>
      </w:r>
      <w:r>
        <w:t xml:space="preserve">the bank </w:t>
      </w:r>
      <w:r w:rsidR="006C35EA">
        <w:t>management</w:t>
      </w:r>
      <w:r>
        <w:t>s have</w:t>
      </w:r>
      <w:r w:rsidR="006C35EA">
        <w:t xml:space="preserve"> confidence to reduce </w:t>
      </w:r>
      <w:r>
        <w:t>the deposit</w:t>
      </w:r>
      <w:r w:rsidR="006C35EA">
        <w:t xml:space="preserve"> interest rate. </w:t>
      </w:r>
      <w:r>
        <w:t>The i</w:t>
      </w:r>
      <w:r w:rsidR="00A02D40">
        <w:t>nflation and covid-19 pandemic have significant impact</w:t>
      </w:r>
      <w:r>
        <w:t>s</w:t>
      </w:r>
      <w:r w:rsidR="00BF46CB">
        <w:t xml:space="preserve"> but negative on </w:t>
      </w:r>
      <w:r>
        <w:t xml:space="preserve">the management </w:t>
      </w:r>
      <w:r w:rsidR="00BF46CB">
        <w:t xml:space="preserve">confidence level. </w:t>
      </w:r>
      <w:r>
        <w:t>This explains</w:t>
      </w:r>
      <w:r w:rsidR="006C35EA">
        <w:t xml:space="preserve"> when </w:t>
      </w:r>
      <w:r>
        <w:t xml:space="preserve">the </w:t>
      </w:r>
      <w:r w:rsidR="006C35EA">
        <w:t>inflation increase</w:t>
      </w:r>
      <w:r>
        <w:t>d</w:t>
      </w:r>
      <w:r w:rsidR="006C35EA">
        <w:t xml:space="preserve"> or </w:t>
      </w:r>
      <w:r>
        <w:t>The Covid-19 pandemic occurred</w:t>
      </w:r>
      <w:r w:rsidR="006C35EA">
        <w:t xml:space="preserve">, </w:t>
      </w:r>
      <w:r>
        <w:t xml:space="preserve">the bank </w:t>
      </w:r>
      <w:r w:rsidR="006C35EA">
        <w:t>management</w:t>
      </w:r>
      <w:r>
        <w:t>s have</w:t>
      </w:r>
      <w:r w:rsidR="006C35EA">
        <w:t xml:space="preserve"> confidence to reduce </w:t>
      </w:r>
      <w:r>
        <w:t>the deposit</w:t>
      </w:r>
      <w:r w:rsidR="006C35EA">
        <w:t xml:space="preserve"> interest rate</w:t>
      </w:r>
      <w:r w:rsidR="00640287">
        <w:t>.</w:t>
      </w:r>
      <w:r w:rsidR="006C35EA">
        <w:t xml:space="preserve"> </w:t>
      </w:r>
      <w:r>
        <w:t xml:space="preserve">The </w:t>
      </w:r>
      <w:r w:rsidR="00BF46CB">
        <w:t>Moderated Capital Adequacy Ratio and Non-Performing Loan by bank scale have significant impact</w:t>
      </w:r>
      <w:r>
        <w:t>s</w:t>
      </w:r>
      <w:r w:rsidR="00BF46CB">
        <w:t xml:space="preserve"> but negative on </w:t>
      </w:r>
      <w:r>
        <w:t xml:space="preserve">the management </w:t>
      </w:r>
      <w:r w:rsidR="00BF46CB">
        <w:t xml:space="preserve">confidence level. </w:t>
      </w:r>
      <w:r>
        <w:t xml:space="preserve">This implies </w:t>
      </w:r>
      <w:r w:rsidR="00640287">
        <w:t xml:space="preserve">that </w:t>
      </w:r>
      <w:r>
        <w:t xml:space="preserve">the </w:t>
      </w:r>
      <w:r w:rsidR="00640287">
        <w:t xml:space="preserve">banks with similar </w:t>
      </w:r>
      <w:r w:rsidR="006C35EA">
        <w:t xml:space="preserve">Capital Adequacy Ratio </w:t>
      </w:r>
      <w:r w:rsidR="00640287">
        <w:t>or</w:t>
      </w:r>
      <w:r w:rsidR="006C35EA">
        <w:t xml:space="preserve"> Non-Performing Loan</w:t>
      </w:r>
      <w:r>
        <w:t xml:space="preserve"> with the bigger bank scale are</w:t>
      </w:r>
      <w:r w:rsidR="00640287">
        <w:t xml:space="preserve"> mo</w:t>
      </w:r>
      <w:r>
        <w:t>re confidence to reduce deposit</w:t>
      </w:r>
      <w:r w:rsidR="00640287">
        <w:t xml:space="preserve"> interest rate. </w:t>
      </w:r>
      <w:r>
        <w:t xml:space="preserve">The </w:t>
      </w:r>
      <w:r w:rsidR="00640287" w:rsidRPr="00732BB7">
        <w:t>Return on Asset</w:t>
      </w:r>
      <w:r>
        <w:t xml:space="preserve"> </w:t>
      </w:r>
      <w:r w:rsidR="00640287">
        <w:t xml:space="preserve"> Efficiency Ratio, Interest </w:t>
      </w:r>
      <w:r w:rsidR="00F15ADF">
        <w:lastRenderedPageBreak/>
        <w:t>R</w:t>
      </w:r>
      <w:r w:rsidR="00640287">
        <w:t>ate</w:t>
      </w:r>
      <w:r w:rsidR="00F15ADF">
        <w:t>, Bank Scale, Moderated Efficiency Ratio</w:t>
      </w:r>
      <w:r>
        <w:t>,</w:t>
      </w:r>
      <w:r w:rsidR="00F15ADF">
        <w:t xml:space="preserve"> and Moderated Interest Rate have impact</w:t>
      </w:r>
      <w:r>
        <w:t>s</w:t>
      </w:r>
      <w:r w:rsidR="00F15ADF">
        <w:t xml:space="preserve"> (positive or negative) on </w:t>
      </w:r>
      <w:r>
        <w:t xml:space="preserve">the management </w:t>
      </w:r>
      <w:r w:rsidR="00F15ADF">
        <w:t>confidence level but not significant.</w:t>
      </w:r>
    </w:p>
    <w:p w14:paraId="6E1969EA" w14:textId="54081B45" w:rsidR="0064449A" w:rsidRDefault="0064449A" w:rsidP="00105C44">
      <w:pPr>
        <w:jc w:val="both"/>
      </w:pPr>
    </w:p>
    <w:p w14:paraId="0A950BEC" w14:textId="77777777" w:rsidR="00F15ADF" w:rsidRDefault="00F15ADF" w:rsidP="00105C44">
      <w:pPr>
        <w:jc w:val="both"/>
      </w:pPr>
    </w:p>
    <w:p w14:paraId="58FC37E5" w14:textId="77777777" w:rsidR="00BE0EAB" w:rsidRDefault="00BE0EAB" w:rsidP="00105C44">
      <w:pPr>
        <w:jc w:val="both"/>
      </w:pPr>
    </w:p>
    <w:p w14:paraId="26BDC7A5" w14:textId="55AACE6B" w:rsidR="0064449A" w:rsidRPr="00B96493" w:rsidRDefault="009E20A6" w:rsidP="00184419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96493">
        <w:rPr>
          <w:rFonts w:ascii="Times New Roman" w:hAnsi="Times New Roman" w:cs="Times New Roman"/>
          <w:b/>
          <w:color w:val="auto"/>
          <w:sz w:val="24"/>
          <w:szCs w:val="24"/>
        </w:rPr>
        <w:t>References</w:t>
      </w:r>
    </w:p>
    <w:p w14:paraId="67F33DB8" w14:textId="7849F81F" w:rsidR="0064449A" w:rsidRPr="00B96493" w:rsidRDefault="0064449A" w:rsidP="00105C44">
      <w:pPr>
        <w:jc w:val="both"/>
        <w:rPr>
          <w:b/>
        </w:rPr>
      </w:pPr>
    </w:p>
    <w:p w14:paraId="49E8D028" w14:textId="77777777" w:rsidR="0097655A" w:rsidRPr="00B96493" w:rsidRDefault="0097655A" w:rsidP="00B96493">
      <w:pPr>
        <w:pStyle w:val="NormalWeb"/>
        <w:spacing w:before="0" w:beforeAutospacing="0" w:after="0" w:afterAutospacing="0"/>
        <w:ind w:left="480" w:hanging="480"/>
        <w:jc w:val="both"/>
      </w:pPr>
      <w:proofErr w:type="spellStart"/>
      <w:r w:rsidRPr="00B96493">
        <w:t>Atmaja</w:t>
      </w:r>
      <w:proofErr w:type="spellEnd"/>
      <w:r w:rsidRPr="00B96493">
        <w:t xml:space="preserve">, J. (2018). </w:t>
      </w:r>
      <w:proofErr w:type="spellStart"/>
      <w:r w:rsidRPr="00B96493">
        <w:t>Kualitas</w:t>
      </w:r>
      <w:proofErr w:type="spellEnd"/>
      <w:r w:rsidRPr="00B96493">
        <w:t xml:space="preserve"> </w:t>
      </w:r>
      <w:proofErr w:type="spellStart"/>
      <w:r w:rsidRPr="00B96493">
        <w:t>Pelayanan</w:t>
      </w:r>
      <w:proofErr w:type="spellEnd"/>
      <w:r w:rsidRPr="00B96493">
        <w:t xml:space="preserve"> dan </w:t>
      </w:r>
      <w:proofErr w:type="spellStart"/>
      <w:r w:rsidRPr="00B96493">
        <w:t>Kepuasan</w:t>
      </w:r>
      <w:proofErr w:type="spellEnd"/>
      <w:r w:rsidRPr="00B96493">
        <w:t xml:space="preserve"> </w:t>
      </w:r>
      <w:proofErr w:type="spellStart"/>
      <w:r w:rsidRPr="00B96493">
        <w:t>Nasabah</w:t>
      </w:r>
      <w:proofErr w:type="spellEnd"/>
      <w:r w:rsidRPr="00B96493">
        <w:t xml:space="preserve"> </w:t>
      </w:r>
      <w:proofErr w:type="spellStart"/>
      <w:r w:rsidRPr="00B96493">
        <w:t>Terhadap</w:t>
      </w:r>
      <w:proofErr w:type="spellEnd"/>
      <w:r w:rsidRPr="00B96493">
        <w:t xml:space="preserve"> </w:t>
      </w:r>
      <w:proofErr w:type="spellStart"/>
      <w:r w:rsidRPr="00B96493">
        <w:t>Loyalitas</w:t>
      </w:r>
      <w:proofErr w:type="spellEnd"/>
      <w:r w:rsidRPr="00B96493">
        <w:t xml:space="preserve"> Pada Bank BJB. </w:t>
      </w:r>
      <w:proofErr w:type="spellStart"/>
      <w:r w:rsidRPr="00B96493">
        <w:rPr>
          <w:i/>
          <w:iCs/>
        </w:rPr>
        <w:t>Jurnal</w:t>
      </w:r>
      <w:proofErr w:type="spellEnd"/>
      <w:r w:rsidRPr="00B96493">
        <w:rPr>
          <w:i/>
          <w:iCs/>
        </w:rPr>
        <w:t xml:space="preserve"> </w:t>
      </w:r>
      <w:proofErr w:type="spellStart"/>
      <w:r w:rsidRPr="00B96493">
        <w:rPr>
          <w:i/>
          <w:iCs/>
        </w:rPr>
        <w:t>Ecodemica</w:t>
      </w:r>
      <w:proofErr w:type="spellEnd"/>
      <w:r w:rsidRPr="00B96493">
        <w:t xml:space="preserve">, </w:t>
      </w:r>
      <w:r w:rsidRPr="00B96493">
        <w:rPr>
          <w:i/>
          <w:iCs/>
        </w:rPr>
        <w:t>2</w:t>
      </w:r>
      <w:r w:rsidRPr="00B96493">
        <w:t>(1).</w:t>
      </w:r>
    </w:p>
    <w:p w14:paraId="598C5195" w14:textId="77777777" w:rsidR="0097655A" w:rsidRPr="00B96493" w:rsidRDefault="0097655A" w:rsidP="00B96493">
      <w:pPr>
        <w:pStyle w:val="NormalWeb"/>
        <w:spacing w:before="0" w:beforeAutospacing="0" w:after="0" w:afterAutospacing="0"/>
        <w:ind w:left="480" w:hanging="480"/>
      </w:pPr>
      <w:proofErr w:type="spellStart"/>
      <w:r w:rsidRPr="00B96493">
        <w:t>Basaran</w:t>
      </w:r>
      <w:proofErr w:type="spellEnd"/>
      <w:r w:rsidRPr="00B96493">
        <w:t xml:space="preserve">, B., &amp; Bagheri, M. (2020). The relevance of “trust and confidence” in financial markets to the information production role of banks. </w:t>
      </w:r>
      <w:r w:rsidRPr="00B96493">
        <w:rPr>
          <w:i/>
          <w:iCs/>
        </w:rPr>
        <w:t>European Journal of Risk Regulation</w:t>
      </w:r>
      <w:r w:rsidRPr="00B96493">
        <w:t xml:space="preserve">, </w:t>
      </w:r>
      <w:r w:rsidRPr="00B96493">
        <w:rPr>
          <w:i/>
          <w:iCs/>
        </w:rPr>
        <w:t>11</w:t>
      </w:r>
      <w:r w:rsidRPr="00B96493">
        <w:t>(3). https://doi.org/10.1017/err.2020.52</w:t>
      </w:r>
    </w:p>
    <w:p w14:paraId="090126D8" w14:textId="77777777" w:rsidR="0097655A" w:rsidRPr="00B96493" w:rsidRDefault="0097655A" w:rsidP="00B96493">
      <w:pPr>
        <w:ind w:left="567" w:hanging="567"/>
        <w:jc w:val="both"/>
      </w:pPr>
      <w:r w:rsidRPr="00B96493">
        <w:t xml:space="preserve">Brooks, C. (2019). </w:t>
      </w:r>
      <w:r w:rsidRPr="00B96493">
        <w:rPr>
          <w:i/>
        </w:rPr>
        <w:t>Introductory Econometrics for Finance, 4</w:t>
      </w:r>
      <w:r w:rsidRPr="00B96493">
        <w:rPr>
          <w:i/>
          <w:vertAlign w:val="superscript"/>
        </w:rPr>
        <w:t>th</w:t>
      </w:r>
      <w:r w:rsidRPr="00B96493">
        <w:rPr>
          <w:i/>
        </w:rPr>
        <w:t xml:space="preserve"> Edition</w:t>
      </w:r>
      <w:r w:rsidRPr="00B96493">
        <w:t>. Cambridge University Press. New York</w:t>
      </w:r>
    </w:p>
    <w:p w14:paraId="6E112F58" w14:textId="77777777" w:rsidR="0097655A" w:rsidRPr="00B96493" w:rsidRDefault="0097655A" w:rsidP="00B96493">
      <w:pPr>
        <w:pStyle w:val="NormalWeb"/>
        <w:spacing w:before="0" w:beforeAutospacing="0" w:after="0" w:afterAutospacing="0"/>
        <w:ind w:left="480" w:hanging="480"/>
        <w:jc w:val="both"/>
      </w:pPr>
      <w:proofErr w:type="spellStart"/>
      <w:r w:rsidRPr="00B96493">
        <w:t>Cahyono</w:t>
      </w:r>
      <w:proofErr w:type="spellEnd"/>
      <w:r w:rsidRPr="00B96493">
        <w:t xml:space="preserve">, E. F., Rani, L. N., &amp; </w:t>
      </w:r>
      <w:proofErr w:type="spellStart"/>
      <w:r w:rsidRPr="00B96493">
        <w:t>Mardianto</w:t>
      </w:r>
      <w:proofErr w:type="spellEnd"/>
      <w:r w:rsidRPr="00B96493">
        <w:t xml:space="preserve">, M. F. F. (2021). DETERMINANTS OF INDONESIAN CONVENTIONAL AND ISLAMIC BANK DEPOSITOR TRUST DURING THE COVID-19 PANDEMIC. </w:t>
      </w:r>
      <w:r w:rsidRPr="00B96493">
        <w:rPr>
          <w:i/>
          <w:iCs/>
        </w:rPr>
        <w:t>Journal of Islamic Monetary Economics and Finance</w:t>
      </w:r>
      <w:r w:rsidRPr="00B96493">
        <w:t xml:space="preserve">, </w:t>
      </w:r>
      <w:r w:rsidRPr="00B96493">
        <w:rPr>
          <w:i/>
          <w:iCs/>
        </w:rPr>
        <w:t>7</w:t>
      </w:r>
      <w:r w:rsidRPr="00B96493">
        <w:t>. https://doi.org/10.21098/jimf.v7i1.1352</w:t>
      </w:r>
    </w:p>
    <w:p w14:paraId="10F6D2A5" w14:textId="77777777" w:rsidR="00EF5FDC" w:rsidRPr="00B96493" w:rsidRDefault="00EF5FDC" w:rsidP="00B96493">
      <w:pPr>
        <w:pStyle w:val="NormalWeb"/>
        <w:spacing w:before="0" w:beforeAutospacing="0" w:after="0" w:afterAutospacing="0"/>
        <w:ind w:left="480" w:hanging="480"/>
        <w:jc w:val="both"/>
      </w:pPr>
      <w:proofErr w:type="spellStart"/>
      <w:r w:rsidRPr="00B96493">
        <w:t>Dewi</w:t>
      </w:r>
      <w:proofErr w:type="spellEnd"/>
      <w:r w:rsidRPr="00B96493">
        <w:t xml:space="preserve">, S. H., &amp; Haryanto, A. M. (2015). </w:t>
      </w:r>
      <w:proofErr w:type="spellStart"/>
      <w:r w:rsidRPr="00B96493">
        <w:t>Analisis</w:t>
      </w:r>
      <w:proofErr w:type="spellEnd"/>
      <w:r w:rsidRPr="00B96493">
        <w:t xml:space="preserve"> </w:t>
      </w:r>
      <w:proofErr w:type="spellStart"/>
      <w:r w:rsidRPr="00B96493">
        <w:t>Faktor-Faktor</w:t>
      </w:r>
      <w:proofErr w:type="spellEnd"/>
      <w:r w:rsidRPr="00B96493">
        <w:t xml:space="preserve"> yang </w:t>
      </w:r>
      <w:proofErr w:type="spellStart"/>
      <w:r w:rsidRPr="00B96493">
        <w:t>Mempengaruhi</w:t>
      </w:r>
      <w:proofErr w:type="spellEnd"/>
      <w:r w:rsidRPr="00B96493">
        <w:t xml:space="preserve"> Tingkat </w:t>
      </w:r>
      <w:proofErr w:type="spellStart"/>
      <w:r w:rsidRPr="00B96493">
        <w:t>Suku</w:t>
      </w:r>
      <w:proofErr w:type="spellEnd"/>
      <w:r w:rsidRPr="00B96493">
        <w:t xml:space="preserve"> Bunga Deposito </w:t>
      </w:r>
      <w:proofErr w:type="spellStart"/>
      <w:r w:rsidRPr="00B96493">
        <w:t>Berjangka</w:t>
      </w:r>
      <w:proofErr w:type="spellEnd"/>
      <w:r w:rsidRPr="00B96493">
        <w:t xml:space="preserve"> pada Bank </w:t>
      </w:r>
      <w:proofErr w:type="spellStart"/>
      <w:r w:rsidRPr="00B96493">
        <w:t>Umum</w:t>
      </w:r>
      <w:proofErr w:type="spellEnd"/>
      <w:r w:rsidRPr="00B96493">
        <w:t xml:space="preserve"> di Indonesia </w:t>
      </w:r>
      <w:proofErr w:type="spellStart"/>
      <w:r w:rsidRPr="00B96493">
        <w:t>Tahun</w:t>
      </w:r>
      <w:proofErr w:type="spellEnd"/>
      <w:r w:rsidRPr="00B96493">
        <w:t xml:space="preserve"> 2006-2008. </w:t>
      </w:r>
      <w:proofErr w:type="spellStart"/>
      <w:r w:rsidRPr="00B96493">
        <w:rPr>
          <w:i/>
          <w:iCs/>
        </w:rPr>
        <w:t>Diponegoro</w:t>
      </w:r>
      <w:proofErr w:type="spellEnd"/>
      <w:r w:rsidRPr="00B96493">
        <w:rPr>
          <w:i/>
          <w:iCs/>
        </w:rPr>
        <w:t xml:space="preserve"> Journal of Management</w:t>
      </w:r>
      <w:r w:rsidRPr="00B96493">
        <w:t xml:space="preserve">, </w:t>
      </w:r>
      <w:r w:rsidRPr="00B96493">
        <w:rPr>
          <w:i/>
          <w:iCs/>
        </w:rPr>
        <w:t>4</w:t>
      </w:r>
      <w:r w:rsidRPr="00B96493">
        <w:t>(February).</w:t>
      </w:r>
    </w:p>
    <w:p w14:paraId="009D7267" w14:textId="6607BC5F" w:rsidR="0097655A" w:rsidRPr="00B96493" w:rsidRDefault="0097655A" w:rsidP="00B96493">
      <w:pPr>
        <w:pStyle w:val="NormalWeb"/>
        <w:spacing w:before="0" w:beforeAutospacing="0" w:after="0" w:afterAutospacing="0"/>
        <w:ind w:left="480" w:hanging="480"/>
        <w:jc w:val="both"/>
      </w:pPr>
      <w:proofErr w:type="spellStart"/>
      <w:r w:rsidRPr="00B96493">
        <w:t>Doney</w:t>
      </w:r>
      <w:proofErr w:type="spellEnd"/>
      <w:r w:rsidRPr="00B96493">
        <w:t xml:space="preserve">, P. M., &amp; Cannon, J. P. (1997). An examination of the nature of trust in buyer-seller relationships. </w:t>
      </w:r>
      <w:r w:rsidRPr="00B96493">
        <w:rPr>
          <w:i/>
          <w:iCs/>
        </w:rPr>
        <w:t>Journal of Marketing</w:t>
      </w:r>
      <w:r w:rsidRPr="00B96493">
        <w:t xml:space="preserve">, </w:t>
      </w:r>
      <w:r w:rsidRPr="00B96493">
        <w:rPr>
          <w:i/>
          <w:iCs/>
        </w:rPr>
        <w:t>61</w:t>
      </w:r>
      <w:r w:rsidRPr="00B96493">
        <w:t>(2). https://doi.org/10.2307/1251829</w:t>
      </w:r>
    </w:p>
    <w:p w14:paraId="665BF476" w14:textId="77777777" w:rsidR="0097655A" w:rsidRPr="00B96493" w:rsidRDefault="0097655A" w:rsidP="00B96493">
      <w:pPr>
        <w:pStyle w:val="NormalWeb"/>
        <w:spacing w:before="0" w:beforeAutospacing="0" w:after="0" w:afterAutospacing="0"/>
        <w:ind w:left="480" w:hanging="480"/>
        <w:jc w:val="both"/>
      </w:pPr>
      <w:proofErr w:type="spellStart"/>
      <w:r w:rsidRPr="00B96493">
        <w:t>Ennew</w:t>
      </w:r>
      <w:proofErr w:type="spellEnd"/>
      <w:r w:rsidRPr="00B96493">
        <w:t xml:space="preserve">, C., &amp; </w:t>
      </w:r>
      <w:proofErr w:type="spellStart"/>
      <w:r w:rsidRPr="00B96493">
        <w:t>Sekhon</w:t>
      </w:r>
      <w:proofErr w:type="spellEnd"/>
      <w:r w:rsidRPr="00B96493">
        <w:t xml:space="preserve">, H. (2007). Measuring trust in financial services: The Trust Index. </w:t>
      </w:r>
      <w:r w:rsidRPr="00B96493">
        <w:rPr>
          <w:i/>
          <w:iCs/>
        </w:rPr>
        <w:t>Consumer Policy Review</w:t>
      </w:r>
      <w:r w:rsidRPr="00B96493">
        <w:t xml:space="preserve">, </w:t>
      </w:r>
      <w:r w:rsidRPr="00B96493">
        <w:rPr>
          <w:i/>
          <w:iCs/>
        </w:rPr>
        <w:t>17</w:t>
      </w:r>
      <w:r w:rsidRPr="00B96493">
        <w:t>(2).</w:t>
      </w:r>
    </w:p>
    <w:p w14:paraId="38AB4CE4" w14:textId="77777777" w:rsidR="008B06F8" w:rsidRPr="00B96493" w:rsidRDefault="008B06F8" w:rsidP="00B96493">
      <w:pPr>
        <w:pStyle w:val="NormalWeb"/>
        <w:spacing w:before="0" w:beforeAutospacing="0" w:after="0" w:afterAutospacing="0"/>
        <w:ind w:left="480" w:hanging="480"/>
        <w:jc w:val="both"/>
      </w:pPr>
      <w:bookmarkStart w:id="4" w:name="_Hlk125765391"/>
      <w:r w:rsidRPr="00B96493">
        <w:t xml:space="preserve">Hannan, T. H., &amp; Prager, R. A. (2006). Multimarket bank pricing: An empirical investigation of deposit interest rates. </w:t>
      </w:r>
      <w:r w:rsidRPr="00B96493">
        <w:rPr>
          <w:i/>
          <w:iCs/>
        </w:rPr>
        <w:t>Journal of Economics and Business</w:t>
      </w:r>
      <w:r w:rsidRPr="00B96493">
        <w:t xml:space="preserve">, </w:t>
      </w:r>
      <w:r w:rsidRPr="00B96493">
        <w:rPr>
          <w:i/>
          <w:iCs/>
        </w:rPr>
        <w:t>58</w:t>
      </w:r>
      <w:r w:rsidRPr="00B96493">
        <w:t>(3). https://doi.org/10.1016/j.jeconbus.2005.07.004</w:t>
      </w:r>
    </w:p>
    <w:p w14:paraId="440B6A40" w14:textId="1DB5A19E" w:rsidR="00076A23" w:rsidRPr="00B96493" w:rsidRDefault="00076A23" w:rsidP="00B96493">
      <w:pPr>
        <w:pStyle w:val="NormalWeb"/>
        <w:spacing w:before="0" w:beforeAutospacing="0" w:after="0" w:afterAutospacing="0"/>
        <w:ind w:left="480" w:hanging="480"/>
        <w:jc w:val="both"/>
      </w:pPr>
      <w:proofErr w:type="spellStart"/>
      <w:r w:rsidRPr="00B96493">
        <w:t>Fungáčová</w:t>
      </w:r>
      <w:proofErr w:type="spellEnd"/>
      <w:r w:rsidRPr="00B96493">
        <w:t>, Z., &amp; Weill, L. (2018)</w:t>
      </w:r>
      <w:bookmarkEnd w:id="4"/>
      <w:r w:rsidRPr="00B96493">
        <w:t xml:space="preserve">. Trusting banks in China. </w:t>
      </w:r>
      <w:r w:rsidRPr="00B96493">
        <w:rPr>
          <w:i/>
          <w:iCs/>
        </w:rPr>
        <w:t>Pacific Economic Review</w:t>
      </w:r>
      <w:r w:rsidRPr="00B96493">
        <w:t xml:space="preserve">, </w:t>
      </w:r>
      <w:r w:rsidRPr="00B96493">
        <w:rPr>
          <w:i/>
          <w:iCs/>
        </w:rPr>
        <w:t>23</w:t>
      </w:r>
      <w:r w:rsidRPr="00B96493">
        <w:t>(2). https://doi.org/10.1111/1468-0106.12265</w:t>
      </w:r>
    </w:p>
    <w:p w14:paraId="4C14CE52" w14:textId="713C6C7E" w:rsidR="0097655A" w:rsidRPr="00B96493" w:rsidRDefault="0097655A" w:rsidP="00B96493">
      <w:pPr>
        <w:pStyle w:val="NormalWeb"/>
        <w:spacing w:before="0" w:beforeAutospacing="0" w:after="0" w:afterAutospacing="0"/>
        <w:ind w:left="480" w:hanging="480"/>
        <w:jc w:val="both"/>
      </w:pPr>
      <w:proofErr w:type="spellStart"/>
      <w:r w:rsidRPr="00B96493">
        <w:t>Fungáčová</w:t>
      </w:r>
      <w:proofErr w:type="spellEnd"/>
      <w:r w:rsidRPr="00B96493">
        <w:t xml:space="preserve">, Z., Hasan, I., &amp; Weill, L. (2019). Trust in banks. </w:t>
      </w:r>
      <w:r w:rsidRPr="00B96493">
        <w:rPr>
          <w:i/>
          <w:iCs/>
        </w:rPr>
        <w:t xml:space="preserve">Journal of Economic </w:t>
      </w:r>
      <w:proofErr w:type="spellStart"/>
      <w:r w:rsidRPr="00B96493">
        <w:rPr>
          <w:i/>
          <w:iCs/>
        </w:rPr>
        <w:t>Behavior</w:t>
      </w:r>
      <w:proofErr w:type="spellEnd"/>
      <w:r w:rsidRPr="00B96493">
        <w:rPr>
          <w:i/>
          <w:iCs/>
        </w:rPr>
        <w:t xml:space="preserve"> and Organization</w:t>
      </w:r>
      <w:r w:rsidRPr="00B96493">
        <w:t xml:space="preserve">, </w:t>
      </w:r>
      <w:r w:rsidRPr="00B96493">
        <w:rPr>
          <w:i/>
          <w:iCs/>
        </w:rPr>
        <w:t>157</w:t>
      </w:r>
      <w:r w:rsidRPr="00B96493">
        <w:t>. https://doi.org/10.1016/j.jebo.2017.08.014</w:t>
      </w:r>
    </w:p>
    <w:p w14:paraId="7B17CDCF" w14:textId="6FE57E33" w:rsidR="0097655A" w:rsidRPr="00B96493" w:rsidRDefault="0097655A" w:rsidP="00B96493">
      <w:pPr>
        <w:ind w:left="567" w:hanging="567"/>
        <w:jc w:val="both"/>
        <w:rPr>
          <w:rStyle w:val="markedcontent"/>
        </w:rPr>
      </w:pPr>
      <w:proofErr w:type="spellStart"/>
      <w:r w:rsidRPr="00B96493">
        <w:rPr>
          <w:rStyle w:val="markedcontent"/>
        </w:rPr>
        <w:t>Ghozali</w:t>
      </w:r>
      <w:proofErr w:type="spellEnd"/>
      <w:r w:rsidRPr="00B96493">
        <w:rPr>
          <w:rStyle w:val="markedcontent"/>
        </w:rPr>
        <w:t xml:space="preserve">, Imam. (2013). </w:t>
      </w:r>
      <w:proofErr w:type="spellStart"/>
      <w:r w:rsidRPr="00B96493">
        <w:rPr>
          <w:rStyle w:val="markedcontent"/>
          <w:i/>
          <w:iCs/>
        </w:rPr>
        <w:t>Aplikasi</w:t>
      </w:r>
      <w:proofErr w:type="spellEnd"/>
      <w:r w:rsidRPr="00B96493">
        <w:rPr>
          <w:rStyle w:val="markedcontent"/>
          <w:i/>
          <w:iCs/>
        </w:rPr>
        <w:t xml:space="preserve"> </w:t>
      </w:r>
      <w:proofErr w:type="spellStart"/>
      <w:r w:rsidRPr="00B96493">
        <w:rPr>
          <w:rStyle w:val="markedcontent"/>
          <w:i/>
          <w:iCs/>
        </w:rPr>
        <w:t>Analisis</w:t>
      </w:r>
      <w:proofErr w:type="spellEnd"/>
      <w:r w:rsidRPr="00B96493">
        <w:rPr>
          <w:rStyle w:val="markedcontent"/>
          <w:i/>
          <w:iCs/>
        </w:rPr>
        <w:t xml:space="preserve"> Multivariate </w:t>
      </w:r>
      <w:proofErr w:type="spellStart"/>
      <w:r w:rsidRPr="00B96493">
        <w:rPr>
          <w:rStyle w:val="markedcontent"/>
          <w:i/>
          <w:iCs/>
        </w:rPr>
        <w:t>Dengan</w:t>
      </w:r>
      <w:proofErr w:type="spellEnd"/>
      <w:r w:rsidRPr="00B96493">
        <w:rPr>
          <w:rStyle w:val="markedcontent"/>
          <w:i/>
          <w:iCs/>
        </w:rPr>
        <w:t xml:space="preserve"> Program IBMSPSS 21</w:t>
      </w:r>
      <w:r w:rsidRPr="00B96493">
        <w:rPr>
          <w:rStyle w:val="markedcontent"/>
        </w:rPr>
        <w:t xml:space="preserve">. Badan </w:t>
      </w:r>
      <w:proofErr w:type="spellStart"/>
      <w:r w:rsidRPr="00B96493">
        <w:rPr>
          <w:rStyle w:val="markedcontent"/>
        </w:rPr>
        <w:t>Penerbit</w:t>
      </w:r>
      <w:proofErr w:type="spellEnd"/>
      <w:r w:rsidRPr="00B96493">
        <w:rPr>
          <w:rStyle w:val="markedcontent"/>
        </w:rPr>
        <w:t xml:space="preserve"> Universitas </w:t>
      </w:r>
      <w:proofErr w:type="spellStart"/>
      <w:r w:rsidRPr="00B96493">
        <w:rPr>
          <w:rStyle w:val="markedcontent"/>
        </w:rPr>
        <w:t>Diponegoro</w:t>
      </w:r>
      <w:proofErr w:type="spellEnd"/>
      <w:r w:rsidRPr="00B96493">
        <w:rPr>
          <w:rStyle w:val="markedcontent"/>
        </w:rPr>
        <w:t>. Semarang</w:t>
      </w:r>
    </w:p>
    <w:p w14:paraId="5418F333" w14:textId="77777777" w:rsidR="005D06DD" w:rsidRPr="00B96493" w:rsidRDefault="005D06DD" w:rsidP="00B96493">
      <w:pPr>
        <w:jc w:val="both"/>
        <w:rPr>
          <w:rFonts w:eastAsia="Times New Roman"/>
          <w:lang w:val="en-ID" w:eastAsia="en-ID"/>
        </w:rPr>
      </w:pPr>
      <w:r w:rsidRPr="00B96493">
        <w:rPr>
          <w:rFonts w:eastAsia="Times New Roman"/>
          <w:color w:val="000000"/>
          <w:lang w:val="en-ID" w:eastAsia="en-ID"/>
        </w:rPr>
        <w:t>Greene, W. H. (2008); Econometric Analysis; Pearson – Prentice Hall.</w:t>
      </w:r>
    </w:p>
    <w:p w14:paraId="2D7F4B90" w14:textId="70E54FA5" w:rsidR="0097655A" w:rsidRPr="00B96493" w:rsidRDefault="0097655A" w:rsidP="00B96493">
      <w:pPr>
        <w:pStyle w:val="NormalWeb"/>
        <w:spacing w:before="0" w:beforeAutospacing="0" w:after="0" w:afterAutospacing="0"/>
        <w:ind w:left="480" w:hanging="480"/>
        <w:jc w:val="both"/>
      </w:pPr>
      <w:proofErr w:type="spellStart"/>
      <w:r w:rsidRPr="00B96493">
        <w:t>Järvinen</w:t>
      </w:r>
      <w:proofErr w:type="spellEnd"/>
      <w:r w:rsidRPr="00B96493">
        <w:t xml:space="preserve">, R. A. (2014). Consumer trust in banking relationships in </w:t>
      </w:r>
      <w:proofErr w:type="spellStart"/>
      <w:r w:rsidRPr="00B96493">
        <w:t>europe</w:t>
      </w:r>
      <w:proofErr w:type="spellEnd"/>
      <w:r w:rsidRPr="00B96493">
        <w:t xml:space="preserve">. </w:t>
      </w:r>
      <w:r w:rsidRPr="00B96493">
        <w:rPr>
          <w:i/>
          <w:iCs/>
        </w:rPr>
        <w:t>International Journal of Bank Marketing</w:t>
      </w:r>
      <w:r w:rsidRPr="00B96493">
        <w:t xml:space="preserve">, </w:t>
      </w:r>
      <w:r w:rsidRPr="00B96493">
        <w:rPr>
          <w:i/>
          <w:iCs/>
        </w:rPr>
        <w:t>32</w:t>
      </w:r>
      <w:r w:rsidRPr="00B96493">
        <w:t xml:space="preserve">(6). </w:t>
      </w:r>
      <w:hyperlink r:id="rId13" w:history="1">
        <w:r w:rsidR="005D06DD" w:rsidRPr="00B96493">
          <w:rPr>
            <w:rStyle w:val="Hyperlink"/>
          </w:rPr>
          <w:t>https://doi.org/10.1108/IJBM-08-2013-0086</w:t>
        </w:r>
      </w:hyperlink>
    </w:p>
    <w:p w14:paraId="7040F8D7" w14:textId="77777777" w:rsidR="005D06DD" w:rsidRPr="00B96493" w:rsidRDefault="005D06DD" w:rsidP="00B96493">
      <w:pPr>
        <w:ind w:left="480" w:hanging="480"/>
        <w:jc w:val="both"/>
        <w:rPr>
          <w:rFonts w:eastAsia="Times New Roman"/>
          <w:lang w:val="en-ID" w:eastAsia="en-ID"/>
        </w:rPr>
      </w:pPr>
      <w:r w:rsidRPr="00B96493">
        <w:rPr>
          <w:rFonts w:eastAsia="Times New Roman"/>
          <w:color w:val="000000"/>
          <w:lang w:val="en-ID" w:eastAsia="en-ID"/>
        </w:rPr>
        <w:t xml:space="preserve">Judge, G. G., R. C. Hill, W. E. Griffiths, and H. </w:t>
      </w:r>
      <w:proofErr w:type="spellStart"/>
      <w:r w:rsidRPr="00B96493">
        <w:rPr>
          <w:rFonts w:eastAsia="Times New Roman"/>
          <w:color w:val="000000"/>
          <w:lang w:val="en-ID" w:eastAsia="en-ID"/>
        </w:rPr>
        <w:t>Lutkepohl</w:t>
      </w:r>
      <w:proofErr w:type="spellEnd"/>
      <w:r w:rsidRPr="00B96493">
        <w:rPr>
          <w:rFonts w:eastAsia="Times New Roman"/>
          <w:color w:val="000000"/>
          <w:lang w:val="en-ID" w:eastAsia="en-ID"/>
        </w:rPr>
        <w:t xml:space="preserve"> (1982), Introduction to the</w:t>
      </w:r>
      <w:r w:rsidRPr="00B96493">
        <w:rPr>
          <w:rFonts w:eastAsia="Times New Roman"/>
          <w:color w:val="000000"/>
          <w:lang w:val="en-ID" w:eastAsia="en-ID"/>
        </w:rPr>
        <w:br/>
        <w:t>Theory and Practice of Econometrics; John Wiley &amp; Sons, New York.</w:t>
      </w:r>
    </w:p>
    <w:p w14:paraId="27947DBD" w14:textId="3D4FCF39" w:rsidR="009E46D6" w:rsidRPr="00B96493" w:rsidRDefault="00B43678" w:rsidP="00B96493">
      <w:pPr>
        <w:ind w:left="567" w:hanging="567"/>
        <w:jc w:val="both"/>
      </w:pPr>
      <w:r w:rsidRPr="00B96493">
        <w:t xml:space="preserve">Kotler, </w:t>
      </w:r>
      <w:r w:rsidR="004B6837" w:rsidRPr="00B96493">
        <w:t xml:space="preserve">Philip., Keller, </w:t>
      </w:r>
      <w:r w:rsidRPr="00B96493">
        <w:t xml:space="preserve">Kevin Lane and </w:t>
      </w:r>
      <w:proofErr w:type="spellStart"/>
      <w:r w:rsidR="004B6837" w:rsidRPr="00B96493">
        <w:t>Chernev</w:t>
      </w:r>
      <w:proofErr w:type="spellEnd"/>
      <w:r w:rsidR="004B6837" w:rsidRPr="00B96493">
        <w:t xml:space="preserve">, </w:t>
      </w:r>
      <w:r w:rsidRPr="00B96493">
        <w:t>Alexander</w:t>
      </w:r>
      <w:r w:rsidR="004B6837" w:rsidRPr="00B96493">
        <w:t>.</w:t>
      </w:r>
      <w:r w:rsidRPr="00B96493">
        <w:t xml:space="preserve"> (2022). </w:t>
      </w:r>
      <w:r w:rsidR="004B6837" w:rsidRPr="00B96493">
        <w:rPr>
          <w:i/>
          <w:iCs/>
        </w:rPr>
        <w:t>Marketing Management, 16</w:t>
      </w:r>
      <w:r w:rsidR="004B6837" w:rsidRPr="00B96493">
        <w:rPr>
          <w:i/>
          <w:iCs/>
          <w:vertAlign w:val="superscript"/>
        </w:rPr>
        <w:t>th</w:t>
      </w:r>
      <w:r w:rsidR="004B6837" w:rsidRPr="00B96493">
        <w:rPr>
          <w:i/>
          <w:iCs/>
        </w:rPr>
        <w:t xml:space="preserve"> edition</w:t>
      </w:r>
      <w:r w:rsidR="004B6837" w:rsidRPr="00B96493">
        <w:t>. Pearson Education Limited. United Kingdom.</w:t>
      </w:r>
    </w:p>
    <w:p w14:paraId="5CF7878E" w14:textId="77777777" w:rsidR="00AD0D23" w:rsidRPr="00B96493" w:rsidRDefault="00AD0D23" w:rsidP="00B96493">
      <w:pPr>
        <w:pStyle w:val="NormalWeb"/>
        <w:spacing w:before="0" w:beforeAutospacing="0" w:after="0" w:afterAutospacing="0"/>
        <w:ind w:left="480" w:hanging="480"/>
        <w:jc w:val="both"/>
      </w:pPr>
      <w:r w:rsidRPr="00B96493">
        <w:t xml:space="preserve">Mohamed Youssef, A., </w:t>
      </w:r>
      <w:proofErr w:type="spellStart"/>
      <w:r w:rsidRPr="00B96493">
        <w:t>Lashin</w:t>
      </w:r>
      <w:proofErr w:type="spellEnd"/>
      <w:r w:rsidRPr="00B96493">
        <w:t xml:space="preserve"> Mohamed Mansi, A., &amp; Mohamed Hassan </w:t>
      </w:r>
      <w:proofErr w:type="spellStart"/>
      <w:r w:rsidRPr="00B96493">
        <w:t>Shahwan</w:t>
      </w:r>
      <w:proofErr w:type="spellEnd"/>
      <w:r w:rsidRPr="00B96493">
        <w:t xml:space="preserve">, T. (2022). The Impact of Interest and Inflation Rates on Deposits </w:t>
      </w:r>
      <w:proofErr w:type="spellStart"/>
      <w:r w:rsidRPr="00B96493">
        <w:t>Behavior</w:t>
      </w:r>
      <w:proofErr w:type="spellEnd"/>
      <w:r w:rsidRPr="00B96493">
        <w:t xml:space="preserve"> of Banks: The Case of Egypt. </w:t>
      </w:r>
      <w:r w:rsidRPr="00B96493">
        <w:rPr>
          <w:i/>
          <w:iCs/>
        </w:rPr>
        <w:t>The Academic Journal of Contemporary Commercial Research</w:t>
      </w:r>
      <w:r w:rsidRPr="00B96493">
        <w:t xml:space="preserve">, </w:t>
      </w:r>
      <w:r w:rsidRPr="00B96493">
        <w:rPr>
          <w:i/>
          <w:iCs/>
        </w:rPr>
        <w:t>2</w:t>
      </w:r>
      <w:r w:rsidRPr="00B96493">
        <w:t>(1). https://doi.org/10.21608/ajccr.2022.223049</w:t>
      </w:r>
    </w:p>
    <w:p w14:paraId="36CC899D" w14:textId="29D11504" w:rsidR="0097655A" w:rsidRPr="00B96493" w:rsidRDefault="0097655A" w:rsidP="00B96493">
      <w:pPr>
        <w:pStyle w:val="NormalWeb"/>
        <w:spacing w:before="0" w:beforeAutospacing="0" w:after="0" w:afterAutospacing="0"/>
        <w:ind w:left="480" w:hanging="480"/>
        <w:jc w:val="both"/>
      </w:pPr>
      <w:proofErr w:type="spellStart"/>
      <w:r w:rsidRPr="00B96493">
        <w:lastRenderedPageBreak/>
        <w:t>Ojeaga</w:t>
      </w:r>
      <w:proofErr w:type="spellEnd"/>
      <w:r w:rsidRPr="00B96493">
        <w:t xml:space="preserve">, P., &amp; </w:t>
      </w:r>
      <w:proofErr w:type="spellStart"/>
      <w:r w:rsidRPr="00B96493">
        <w:t>Odejimi</w:t>
      </w:r>
      <w:proofErr w:type="spellEnd"/>
      <w:r w:rsidRPr="00B96493">
        <w:t xml:space="preserve">, O. (2014). The impact of interest rate on bank deposit: Evidence from the Nigerian banking sector. </w:t>
      </w:r>
      <w:r w:rsidRPr="00B96493">
        <w:rPr>
          <w:i/>
          <w:iCs/>
        </w:rPr>
        <w:t>Mediterranean Journal of Social Sciences</w:t>
      </w:r>
      <w:r w:rsidRPr="00B96493">
        <w:t xml:space="preserve">, </w:t>
      </w:r>
      <w:r w:rsidRPr="00B96493">
        <w:rPr>
          <w:i/>
          <w:iCs/>
        </w:rPr>
        <w:t>5</w:t>
      </w:r>
      <w:r w:rsidRPr="00B96493">
        <w:t>(16). https://doi.org/10.5901/mjss.2014.v5n16p232</w:t>
      </w:r>
    </w:p>
    <w:p w14:paraId="1CDD6E7D" w14:textId="77777777" w:rsidR="0097655A" w:rsidRPr="00B96493" w:rsidRDefault="0097655A" w:rsidP="00B96493">
      <w:pPr>
        <w:pStyle w:val="NormalWeb"/>
        <w:spacing w:before="0" w:beforeAutospacing="0" w:after="0" w:afterAutospacing="0"/>
        <w:ind w:left="480" w:hanging="480"/>
        <w:jc w:val="both"/>
      </w:pPr>
      <w:proofErr w:type="spellStart"/>
      <w:r w:rsidRPr="00B96493">
        <w:t>Ozatac</w:t>
      </w:r>
      <w:proofErr w:type="spellEnd"/>
      <w:r w:rsidRPr="00B96493">
        <w:t xml:space="preserve">, N., Saner, T., &amp; Sen, Z. S. (2016). Customer Satisfaction in the Banking Sector: The Case of North Cyprus. </w:t>
      </w:r>
      <w:r w:rsidRPr="00B96493">
        <w:rPr>
          <w:i/>
          <w:iCs/>
        </w:rPr>
        <w:t>Procedia Economics and Finance</w:t>
      </w:r>
      <w:r w:rsidRPr="00B96493">
        <w:t xml:space="preserve">, </w:t>
      </w:r>
      <w:r w:rsidRPr="00B96493">
        <w:rPr>
          <w:i/>
          <w:iCs/>
        </w:rPr>
        <w:t>39</w:t>
      </w:r>
      <w:r w:rsidRPr="00B96493">
        <w:t>. https://doi.org/10.1016/s2212-5671(16)30247-7</w:t>
      </w:r>
    </w:p>
    <w:p w14:paraId="581E71B1" w14:textId="77777777" w:rsidR="0097655A" w:rsidRPr="00B96493" w:rsidRDefault="0097655A" w:rsidP="00B96493">
      <w:pPr>
        <w:pStyle w:val="NormalWeb"/>
        <w:spacing w:before="0" w:beforeAutospacing="0" w:after="0" w:afterAutospacing="0"/>
        <w:ind w:left="480" w:hanging="480"/>
        <w:jc w:val="both"/>
      </w:pPr>
      <w:r w:rsidRPr="00B96493">
        <w:t xml:space="preserve">Piotrowski, D. (2020). Trust in the banking sector in Poland in comparison to global trends. </w:t>
      </w:r>
      <w:proofErr w:type="spellStart"/>
      <w:r w:rsidRPr="00B96493">
        <w:rPr>
          <w:i/>
          <w:iCs/>
        </w:rPr>
        <w:t>Ekonomia</w:t>
      </w:r>
      <w:proofErr w:type="spellEnd"/>
      <w:r w:rsidRPr="00B96493">
        <w:rPr>
          <w:i/>
          <w:iCs/>
        </w:rPr>
        <w:t xml:space="preserve"> i </w:t>
      </w:r>
      <w:proofErr w:type="spellStart"/>
      <w:r w:rsidRPr="00B96493">
        <w:rPr>
          <w:i/>
          <w:iCs/>
        </w:rPr>
        <w:t>Prawo</w:t>
      </w:r>
      <w:proofErr w:type="spellEnd"/>
      <w:r w:rsidRPr="00B96493">
        <w:t xml:space="preserve">, </w:t>
      </w:r>
      <w:r w:rsidRPr="00B96493">
        <w:rPr>
          <w:i/>
          <w:iCs/>
        </w:rPr>
        <w:t>19</w:t>
      </w:r>
      <w:r w:rsidRPr="00B96493">
        <w:t>(2). https://doi.org/10.12775/eip.2020.022</w:t>
      </w:r>
    </w:p>
    <w:p w14:paraId="603BD3D8" w14:textId="5045835D" w:rsidR="009E46D6" w:rsidRPr="00B96493" w:rsidRDefault="008A1E5B" w:rsidP="00B96493">
      <w:pPr>
        <w:ind w:left="426" w:hanging="426"/>
        <w:jc w:val="both"/>
      </w:pPr>
      <w:r w:rsidRPr="00B96493">
        <w:t>Rose, Peter S. and Hudgins, Sylvia C</w:t>
      </w:r>
      <w:r w:rsidR="004B6837" w:rsidRPr="00B96493">
        <w:t>.</w:t>
      </w:r>
      <w:r w:rsidRPr="00B96493">
        <w:t xml:space="preserve"> (2013). </w:t>
      </w:r>
      <w:r w:rsidRPr="00B96493">
        <w:rPr>
          <w:i/>
          <w:iCs/>
        </w:rPr>
        <w:t xml:space="preserve">Bank </w:t>
      </w:r>
      <w:r w:rsidR="00AC7139" w:rsidRPr="00B96493">
        <w:rPr>
          <w:i/>
          <w:iCs/>
        </w:rPr>
        <w:t>M</w:t>
      </w:r>
      <w:r w:rsidRPr="00B96493">
        <w:rPr>
          <w:i/>
          <w:iCs/>
        </w:rPr>
        <w:t xml:space="preserve">anagement &amp; </w:t>
      </w:r>
      <w:r w:rsidR="00AC7139" w:rsidRPr="00B96493">
        <w:rPr>
          <w:i/>
          <w:iCs/>
        </w:rPr>
        <w:t>F</w:t>
      </w:r>
      <w:r w:rsidRPr="00B96493">
        <w:rPr>
          <w:i/>
          <w:iCs/>
        </w:rPr>
        <w:t xml:space="preserve">inancial </w:t>
      </w:r>
      <w:r w:rsidR="00AC7139" w:rsidRPr="00B96493">
        <w:rPr>
          <w:i/>
          <w:iCs/>
        </w:rPr>
        <w:t>S</w:t>
      </w:r>
      <w:r w:rsidRPr="00B96493">
        <w:rPr>
          <w:i/>
          <w:iCs/>
        </w:rPr>
        <w:t>ervices</w:t>
      </w:r>
      <w:r w:rsidR="004B6837" w:rsidRPr="00B96493">
        <w:rPr>
          <w:i/>
          <w:iCs/>
        </w:rPr>
        <w:t>,</w:t>
      </w:r>
      <w:r w:rsidRPr="00B96493">
        <w:rPr>
          <w:i/>
          <w:iCs/>
        </w:rPr>
        <w:t xml:space="preserve"> 9th </w:t>
      </w:r>
      <w:r w:rsidR="00B00639" w:rsidRPr="00B96493">
        <w:rPr>
          <w:i/>
          <w:iCs/>
        </w:rPr>
        <w:t>E</w:t>
      </w:r>
      <w:r w:rsidRPr="00B96493">
        <w:rPr>
          <w:i/>
          <w:iCs/>
        </w:rPr>
        <w:t>d</w:t>
      </w:r>
      <w:r w:rsidR="004B6837" w:rsidRPr="00B96493">
        <w:rPr>
          <w:i/>
          <w:iCs/>
        </w:rPr>
        <w:t>ition</w:t>
      </w:r>
      <w:r w:rsidRPr="00B96493">
        <w:t>. McGraw-Hill.</w:t>
      </w:r>
      <w:r w:rsidR="003B789C" w:rsidRPr="00B96493">
        <w:t xml:space="preserve"> New York.</w:t>
      </w:r>
    </w:p>
    <w:p w14:paraId="76B85A55" w14:textId="0E5A9D94" w:rsidR="007610F2" w:rsidRPr="00B96493" w:rsidRDefault="007610F2" w:rsidP="00D06F6C">
      <w:pPr>
        <w:pStyle w:val="NormalWeb"/>
        <w:spacing w:before="0" w:beforeAutospacing="0" w:after="0" w:afterAutospacing="0"/>
        <w:ind w:left="540" w:hanging="540"/>
        <w:jc w:val="both"/>
      </w:pPr>
      <w:proofErr w:type="spellStart"/>
      <w:r w:rsidRPr="00B96493">
        <w:t>Sirdeshmukh</w:t>
      </w:r>
      <w:proofErr w:type="spellEnd"/>
      <w:r w:rsidRPr="00B96493">
        <w:t xml:space="preserve">, D., Singh, J., &amp; Sabol, B. (2002). Consumer trust, value, and loyalty in </w:t>
      </w:r>
      <w:proofErr w:type="gramStart"/>
      <w:r w:rsidRPr="00B96493">
        <w:t xml:space="preserve">relational </w:t>
      </w:r>
      <w:r w:rsidR="00D06F6C">
        <w:t xml:space="preserve"> </w:t>
      </w:r>
      <w:r w:rsidRPr="00B96493">
        <w:t>exchanges</w:t>
      </w:r>
      <w:proofErr w:type="gramEnd"/>
      <w:r w:rsidRPr="00B96493">
        <w:t xml:space="preserve">. </w:t>
      </w:r>
      <w:r w:rsidRPr="00B96493">
        <w:rPr>
          <w:i/>
          <w:iCs/>
        </w:rPr>
        <w:t>Journal of Marketing</w:t>
      </w:r>
      <w:r w:rsidRPr="00B96493">
        <w:t xml:space="preserve">, </w:t>
      </w:r>
      <w:r w:rsidRPr="00B96493">
        <w:rPr>
          <w:i/>
          <w:iCs/>
        </w:rPr>
        <w:t>66</w:t>
      </w:r>
      <w:r w:rsidRPr="00B96493">
        <w:t xml:space="preserve">(1). </w:t>
      </w:r>
      <w:hyperlink r:id="rId14" w:history="1">
        <w:r w:rsidR="005D06DD" w:rsidRPr="00B96493">
          <w:rPr>
            <w:rStyle w:val="Hyperlink"/>
          </w:rPr>
          <w:t>https://doi.org/10.1509/jmkg.66.1.15.18449</w:t>
        </w:r>
      </w:hyperlink>
    </w:p>
    <w:p w14:paraId="26F277CA" w14:textId="72DA83FA" w:rsidR="005D06DD" w:rsidRPr="00B96493" w:rsidRDefault="005D06DD" w:rsidP="00310955">
      <w:pPr>
        <w:ind w:left="540" w:hanging="540"/>
        <w:jc w:val="both"/>
        <w:rPr>
          <w:rFonts w:eastAsia="Times New Roman"/>
          <w:color w:val="000000"/>
          <w:lang w:val="en-ID" w:eastAsia="en-ID"/>
        </w:rPr>
      </w:pPr>
      <w:r w:rsidRPr="00B96493">
        <w:rPr>
          <w:rFonts w:eastAsia="Times New Roman"/>
          <w:color w:val="000000"/>
          <w:lang w:val="en-ID" w:eastAsia="en-ID"/>
        </w:rPr>
        <w:t xml:space="preserve">Sul, </w:t>
      </w:r>
      <w:proofErr w:type="spellStart"/>
      <w:r w:rsidRPr="00B96493">
        <w:rPr>
          <w:rFonts w:eastAsia="Times New Roman"/>
          <w:color w:val="000000"/>
          <w:lang w:val="en-ID" w:eastAsia="en-ID"/>
        </w:rPr>
        <w:t>Donggyu</w:t>
      </w:r>
      <w:proofErr w:type="spellEnd"/>
      <w:r w:rsidRPr="00B96493">
        <w:rPr>
          <w:rFonts w:eastAsia="Times New Roman"/>
          <w:color w:val="000000"/>
          <w:lang w:val="en-ID" w:eastAsia="en-ID"/>
        </w:rPr>
        <w:t xml:space="preserve"> (2019), Panel Data Econometrics: Common Factor Analysis for Empirical</w:t>
      </w:r>
      <w:r w:rsidRPr="00B96493">
        <w:rPr>
          <w:rFonts w:eastAsia="Times New Roman"/>
          <w:color w:val="000000"/>
          <w:lang w:val="en-ID" w:eastAsia="en-ID"/>
        </w:rPr>
        <w:br/>
        <w:t>Researchers; Routledge.</w:t>
      </w:r>
    </w:p>
    <w:p w14:paraId="734068A4" w14:textId="2F45E1C1" w:rsidR="00DE49D9" w:rsidRPr="00B96493" w:rsidRDefault="00DE49D9" w:rsidP="00D06F6C">
      <w:pPr>
        <w:pStyle w:val="NormalWeb"/>
        <w:spacing w:before="0" w:beforeAutospacing="0" w:after="0" w:afterAutospacing="0"/>
        <w:ind w:left="547" w:hanging="547"/>
        <w:jc w:val="both"/>
      </w:pPr>
      <w:proofErr w:type="spellStart"/>
      <w:r w:rsidRPr="00B96493">
        <w:t>Tiwu</w:t>
      </w:r>
      <w:proofErr w:type="spellEnd"/>
      <w:r w:rsidRPr="00B96493">
        <w:t xml:space="preserve">, M. I. H. (2020). PENGARUH PANDEMIC COVID 19 TERHADAP NPL BANK PERKREDITAN RAKYAT DI INDONESIA. </w:t>
      </w:r>
      <w:r w:rsidRPr="00B96493">
        <w:rPr>
          <w:i/>
          <w:iCs/>
        </w:rPr>
        <w:t>JURNAL AKUNTANSI: TRANSPARANSI DAN AKUNTABILITAS</w:t>
      </w:r>
      <w:r w:rsidRPr="00B96493">
        <w:t xml:space="preserve">, </w:t>
      </w:r>
      <w:r w:rsidRPr="00B96493">
        <w:rPr>
          <w:i/>
          <w:iCs/>
        </w:rPr>
        <w:t>8</w:t>
      </w:r>
      <w:r w:rsidRPr="00B96493">
        <w:t>(2). https://doi.org/10.35508/jak.v8i2.2869</w:t>
      </w:r>
    </w:p>
    <w:p w14:paraId="005CBAFB" w14:textId="0C026DE3" w:rsidR="00DE33B8" w:rsidRPr="00B96493" w:rsidRDefault="00D06F6C" w:rsidP="00D06F6C">
      <w:pPr>
        <w:ind w:left="547" w:hanging="547"/>
        <w:jc w:val="both"/>
        <w:rPr>
          <w:lang w:val="en-ID"/>
        </w:rPr>
      </w:pPr>
      <w:r>
        <w:rPr>
          <w:lang w:val="en-ID"/>
        </w:rPr>
        <w:t>V</w:t>
      </w:r>
      <w:r w:rsidR="00DE33B8" w:rsidRPr="00B96493">
        <w:rPr>
          <w:lang w:val="en-ID"/>
        </w:rPr>
        <w:t xml:space="preserve">an </w:t>
      </w:r>
      <w:proofErr w:type="spellStart"/>
      <w:r w:rsidR="00DE33B8" w:rsidRPr="00B96493">
        <w:rPr>
          <w:lang w:val="en-ID"/>
        </w:rPr>
        <w:t>Esterik-Plasmeijer</w:t>
      </w:r>
      <w:proofErr w:type="spellEnd"/>
      <w:r w:rsidR="00DE33B8" w:rsidRPr="00B96493">
        <w:rPr>
          <w:lang w:val="en-ID"/>
        </w:rPr>
        <w:t xml:space="preserve">, P.W.J. and van </w:t>
      </w:r>
      <w:proofErr w:type="spellStart"/>
      <w:r w:rsidR="00DE33B8" w:rsidRPr="00B96493">
        <w:rPr>
          <w:lang w:val="en-ID"/>
        </w:rPr>
        <w:t>Raaij</w:t>
      </w:r>
      <w:proofErr w:type="spellEnd"/>
      <w:r w:rsidR="00DE33B8" w:rsidRPr="00B96493">
        <w:rPr>
          <w:lang w:val="en-ID"/>
        </w:rPr>
        <w:t xml:space="preserve">, W.F. (2017), "Banking system trust, bank trust, and bank loyalty", </w:t>
      </w:r>
      <w:r w:rsidR="00DE33B8" w:rsidRPr="00B96493">
        <w:rPr>
          <w:i/>
          <w:iCs/>
          <w:lang w:val="en-ID"/>
        </w:rPr>
        <w:t>International Journal of Bank Marketing</w:t>
      </w:r>
      <w:r w:rsidR="00DE33B8" w:rsidRPr="00B96493">
        <w:rPr>
          <w:lang w:val="en-ID"/>
        </w:rPr>
        <w:t xml:space="preserve">, Vol. 35 No. 1, pp. 97-111. https://doi.org/10.1108/IJBM-12-2015-0195 </w:t>
      </w:r>
    </w:p>
    <w:p w14:paraId="34978EF0" w14:textId="30017460" w:rsidR="005D06DD" w:rsidRPr="00B96493" w:rsidRDefault="005D06DD" w:rsidP="00D06F6C">
      <w:pPr>
        <w:ind w:left="540" w:hanging="540"/>
        <w:jc w:val="both"/>
        <w:rPr>
          <w:rFonts w:eastAsia="Times New Roman"/>
          <w:lang w:val="en-ID" w:eastAsia="en-ID"/>
        </w:rPr>
      </w:pPr>
      <w:r w:rsidRPr="00B96493">
        <w:rPr>
          <w:rFonts w:eastAsia="Times New Roman"/>
          <w:color w:val="000000"/>
          <w:lang w:val="en-ID" w:eastAsia="en-ID"/>
        </w:rPr>
        <w:t>Wooldridge, J. M. (2002); Econometric Analysis of Cross Section and Panel Data; the MIT</w:t>
      </w:r>
      <w:r w:rsidR="005C6BD3" w:rsidRPr="00B96493">
        <w:rPr>
          <w:rFonts w:eastAsia="Times New Roman"/>
          <w:color w:val="000000"/>
          <w:lang w:val="en-ID" w:eastAsia="en-ID"/>
        </w:rPr>
        <w:t xml:space="preserve"> </w:t>
      </w:r>
      <w:r w:rsidRPr="00B96493">
        <w:rPr>
          <w:rFonts w:eastAsia="Times New Roman"/>
          <w:color w:val="000000"/>
          <w:lang w:val="en-ID" w:eastAsia="en-ID"/>
        </w:rPr>
        <w:t>Press, Cambridge – England.</w:t>
      </w:r>
    </w:p>
    <w:p w14:paraId="02E56BBB" w14:textId="2C15EC24" w:rsidR="00543600" w:rsidRPr="00B96493" w:rsidRDefault="00543600" w:rsidP="00B96493">
      <w:pPr>
        <w:jc w:val="both"/>
      </w:pPr>
    </w:p>
    <w:sectPr w:rsidR="00543600" w:rsidRPr="00B9649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40C5" w14:textId="77777777" w:rsidR="00F72D8F" w:rsidRDefault="00F72D8F" w:rsidP="001F6ED4">
      <w:r>
        <w:separator/>
      </w:r>
    </w:p>
  </w:endnote>
  <w:endnote w:type="continuationSeparator" w:id="0">
    <w:p w14:paraId="27E7BB87" w14:textId="77777777" w:rsidR="00F72D8F" w:rsidRDefault="00F72D8F" w:rsidP="001F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97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DE3C7" w14:textId="1D84D8F3" w:rsidR="006817F2" w:rsidRDefault="0068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06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1720E51" w14:textId="77777777" w:rsidR="006817F2" w:rsidRDefault="006817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DF5A" w14:textId="77777777" w:rsidR="00F72D8F" w:rsidRDefault="00F72D8F" w:rsidP="001F6ED4">
      <w:r>
        <w:separator/>
      </w:r>
    </w:p>
  </w:footnote>
  <w:footnote w:type="continuationSeparator" w:id="0">
    <w:p w14:paraId="0E28D8DD" w14:textId="77777777" w:rsidR="00F72D8F" w:rsidRDefault="00F72D8F" w:rsidP="001F6ED4">
      <w:r>
        <w:continuationSeparator/>
      </w:r>
    </w:p>
  </w:footnote>
  <w:footnote w:id="1">
    <w:p w14:paraId="0FABCC03" w14:textId="4DC41E08" w:rsidR="006817F2" w:rsidRPr="00466E7E" w:rsidRDefault="006817F2">
      <w:pPr>
        <w:pStyle w:val="FootnoteText"/>
        <w:rPr>
          <w:sz w:val="20"/>
        </w:rPr>
      </w:pPr>
      <w:r w:rsidRPr="00466E7E">
        <w:rPr>
          <w:rStyle w:val="FootnoteReference"/>
          <w:sz w:val="20"/>
        </w:rPr>
        <w:footnoteRef/>
      </w:r>
      <w:r w:rsidRPr="00466E7E">
        <w:rPr>
          <w:sz w:val="20"/>
        </w:rPr>
        <w:t xml:space="preserve"> Economics Doctoral Program Student, Economics and Business Faculty, </w:t>
      </w:r>
      <w:proofErr w:type="spellStart"/>
      <w:r w:rsidRPr="00466E7E">
        <w:rPr>
          <w:sz w:val="20"/>
        </w:rPr>
        <w:t>Trisakti</w:t>
      </w:r>
      <w:proofErr w:type="spellEnd"/>
      <w:r w:rsidRPr="00466E7E">
        <w:rPr>
          <w:sz w:val="20"/>
        </w:rPr>
        <w:t xml:space="preserve"> University, Jakarta, Indonesia </w:t>
      </w:r>
    </w:p>
    <w:p w14:paraId="55859678" w14:textId="7D36C62E" w:rsidR="006817F2" w:rsidRPr="00466E7E" w:rsidRDefault="006817F2">
      <w:pPr>
        <w:pStyle w:val="FootnoteText"/>
        <w:rPr>
          <w:sz w:val="20"/>
        </w:rPr>
      </w:pPr>
      <w:r w:rsidRPr="00466E7E">
        <w:rPr>
          <w:sz w:val="20"/>
        </w:rPr>
        <w:t xml:space="preserve">  Email: </w:t>
      </w:r>
      <w:hyperlink r:id="rId1" w:history="1">
        <w:r w:rsidRPr="00100798">
          <w:rPr>
            <w:rStyle w:val="Hyperlink"/>
            <w:sz w:val="20"/>
          </w:rPr>
          <w:t>iksuyasa@gmail.com</w:t>
        </w:r>
      </w:hyperlink>
      <w:r>
        <w:rPr>
          <w:sz w:val="20"/>
        </w:rPr>
        <w:t xml:space="preserve"> .</w:t>
      </w:r>
    </w:p>
  </w:footnote>
  <w:footnote w:id="2">
    <w:p w14:paraId="6830CD70" w14:textId="2881A2A4" w:rsidR="006817F2" w:rsidRPr="00466E7E" w:rsidRDefault="006817F2" w:rsidP="009E7580">
      <w:pPr>
        <w:pStyle w:val="FootnoteText"/>
        <w:rPr>
          <w:sz w:val="20"/>
        </w:rPr>
      </w:pPr>
      <w:r w:rsidRPr="00466E7E">
        <w:rPr>
          <w:rStyle w:val="FootnoteReference"/>
          <w:sz w:val="20"/>
        </w:rPr>
        <w:footnoteRef/>
      </w:r>
      <w:r w:rsidRPr="00466E7E">
        <w:rPr>
          <w:sz w:val="20"/>
        </w:rPr>
        <w:t xml:space="preserve"> Professor in Capital Market and Banking at University of </w:t>
      </w:r>
      <w:proofErr w:type="spellStart"/>
      <w:r w:rsidRPr="00466E7E">
        <w:rPr>
          <w:sz w:val="20"/>
        </w:rPr>
        <w:t>Bhayangkara</w:t>
      </w:r>
      <w:proofErr w:type="spellEnd"/>
      <w:r w:rsidRPr="00466E7E">
        <w:rPr>
          <w:sz w:val="20"/>
        </w:rPr>
        <w:t xml:space="preserve"> Jakarta Raya - Indonesia. </w:t>
      </w:r>
    </w:p>
    <w:p w14:paraId="0CD0A668" w14:textId="7F648CE2" w:rsidR="006817F2" w:rsidRPr="00466E7E" w:rsidRDefault="006817F2" w:rsidP="009E7580">
      <w:pPr>
        <w:pStyle w:val="FootnoteText"/>
        <w:rPr>
          <w:sz w:val="20"/>
        </w:rPr>
      </w:pPr>
      <w:r w:rsidRPr="00466E7E">
        <w:rPr>
          <w:sz w:val="20"/>
        </w:rPr>
        <w:t xml:space="preserve">  Email: </w:t>
      </w:r>
      <w:hyperlink r:id="rId2" w:history="1">
        <w:r w:rsidRPr="00100798">
          <w:rPr>
            <w:rStyle w:val="Hyperlink"/>
            <w:sz w:val="20"/>
          </w:rPr>
          <w:t>adler.manurung@yahoo.com</w:t>
        </w:r>
      </w:hyperlink>
      <w:r>
        <w:rPr>
          <w:sz w:val="20"/>
        </w:rPr>
        <w:t xml:space="preserve"> .</w:t>
      </w:r>
    </w:p>
  </w:footnote>
  <w:footnote w:id="3">
    <w:p w14:paraId="074613F8" w14:textId="0034C85D" w:rsidR="006817F2" w:rsidRPr="00466E7E" w:rsidRDefault="006817F2">
      <w:pPr>
        <w:pStyle w:val="FootnoteText"/>
        <w:rPr>
          <w:sz w:val="20"/>
        </w:rPr>
      </w:pPr>
      <w:r w:rsidRPr="00466E7E">
        <w:rPr>
          <w:rStyle w:val="FootnoteReference"/>
          <w:sz w:val="20"/>
        </w:rPr>
        <w:footnoteRef/>
      </w:r>
      <w:r w:rsidRPr="00466E7E">
        <w:rPr>
          <w:sz w:val="20"/>
        </w:rPr>
        <w:t xml:space="preserve"> Lecturer at </w:t>
      </w:r>
      <w:proofErr w:type="spellStart"/>
      <w:r w:rsidRPr="00466E7E">
        <w:rPr>
          <w:sz w:val="20"/>
        </w:rPr>
        <w:t>at</w:t>
      </w:r>
      <w:proofErr w:type="spellEnd"/>
      <w:r w:rsidRPr="00466E7E">
        <w:rPr>
          <w:sz w:val="20"/>
        </w:rPr>
        <w:t xml:space="preserve"> University of </w:t>
      </w:r>
      <w:proofErr w:type="spellStart"/>
      <w:r w:rsidRPr="00466E7E">
        <w:rPr>
          <w:sz w:val="20"/>
        </w:rPr>
        <w:t>Bhayangkara</w:t>
      </w:r>
      <w:proofErr w:type="spellEnd"/>
      <w:r w:rsidRPr="00466E7E">
        <w:rPr>
          <w:sz w:val="20"/>
        </w:rPr>
        <w:t xml:space="preserve"> Jakarta Raya - Indonesia.</w:t>
      </w:r>
    </w:p>
  </w:footnote>
  <w:footnote w:id="4">
    <w:p w14:paraId="31DF3815" w14:textId="77F08603" w:rsidR="006817F2" w:rsidRDefault="006817F2">
      <w:pPr>
        <w:pStyle w:val="FootnoteText"/>
      </w:pPr>
      <w:r w:rsidRPr="00466E7E">
        <w:rPr>
          <w:rStyle w:val="FootnoteReference"/>
          <w:sz w:val="20"/>
        </w:rPr>
        <w:footnoteRef/>
      </w:r>
      <w:r w:rsidRPr="00466E7E">
        <w:rPr>
          <w:sz w:val="20"/>
        </w:rPr>
        <w:t xml:space="preserve"> Lecturer at Faculty of Economic and Business, University of HKBP </w:t>
      </w:r>
      <w:proofErr w:type="spellStart"/>
      <w:r w:rsidRPr="00466E7E">
        <w:rPr>
          <w:sz w:val="20"/>
        </w:rPr>
        <w:t>Nomensen</w:t>
      </w:r>
      <w:proofErr w:type="spellEnd"/>
      <w:r w:rsidRPr="00466E7E">
        <w:rPr>
          <w:sz w:val="20"/>
        </w:rPr>
        <w:t>, Medan.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BCF6E87"/>
    <w:multiLevelType w:val="hybridMultilevel"/>
    <w:tmpl w:val="C09EE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89934022">
    <w:abstractNumId w:val="19"/>
  </w:num>
  <w:num w:numId="2" w16cid:durableId="1733231669">
    <w:abstractNumId w:val="12"/>
  </w:num>
  <w:num w:numId="3" w16cid:durableId="1007713511">
    <w:abstractNumId w:val="10"/>
  </w:num>
  <w:num w:numId="4" w16cid:durableId="376320439">
    <w:abstractNumId w:val="22"/>
  </w:num>
  <w:num w:numId="5" w16cid:durableId="478814525">
    <w:abstractNumId w:val="13"/>
  </w:num>
  <w:num w:numId="6" w16cid:durableId="854461231">
    <w:abstractNumId w:val="16"/>
  </w:num>
  <w:num w:numId="7" w16cid:durableId="234054784">
    <w:abstractNumId w:val="18"/>
  </w:num>
  <w:num w:numId="8" w16cid:durableId="259292037">
    <w:abstractNumId w:val="9"/>
  </w:num>
  <w:num w:numId="9" w16cid:durableId="1302810604">
    <w:abstractNumId w:val="7"/>
  </w:num>
  <w:num w:numId="10" w16cid:durableId="761802544">
    <w:abstractNumId w:val="6"/>
  </w:num>
  <w:num w:numId="11" w16cid:durableId="1998457275">
    <w:abstractNumId w:val="5"/>
  </w:num>
  <w:num w:numId="12" w16cid:durableId="884565614">
    <w:abstractNumId w:val="4"/>
  </w:num>
  <w:num w:numId="13" w16cid:durableId="957223722">
    <w:abstractNumId w:val="8"/>
  </w:num>
  <w:num w:numId="14" w16cid:durableId="1048994126">
    <w:abstractNumId w:val="3"/>
  </w:num>
  <w:num w:numId="15" w16cid:durableId="83579242">
    <w:abstractNumId w:val="2"/>
  </w:num>
  <w:num w:numId="16" w16cid:durableId="139930720">
    <w:abstractNumId w:val="1"/>
  </w:num>
  <w:num w:numId="17" w16cid:durableId="315887252">
    <w:abstractNumId w:val="0"/>
  </w:num>
  <w:num w:numId="18" w16cid:durableId="1011183000">
    <w:abstractNumId w:val="14"/>
  </w:num>
  <w:num w:numId="19" w16cid:durableId="86928641">
    <w:abstractNumId w:val="15"/>
  </w:num>
  <w:num w:numId="20" w16cid:durableId="380134579">
    <w:abstractNumId w:val="21"/>
  </w:num>
  <w:num w:numId="21" w16cid:durableId="1319117078">
    <w:abstractNumId w:val="17"/>
  </w:num>
  <w:num w:numId="22" w16cid:durableId="254019661">
    <w:abstractNumId w:val="11"/>
  </w:num>
  <w:num w:numId="23" w16cid:durableId="1063988052">
    <w:abstractNumId w:val="23"/>
  </w:num>
  <w:num w:numId="24" w16cid:durableId="18242011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8F"/>
    <w:rsid w:val="000206CA"/>
    <w:rsid w:val="00023839"/>
    <w:rsid w:val="00026661"/>
    <w:rsid w:val="00026D40"/>
    <w:rsid w:val="00035B08"/>
    <w:rsid w:val="00043D7C"/>
    <w:rsid w:val="000462C6"/>
    <w:rsid w:val="000463B8"/>
    <w:rsid w:val="000473D5"/>
    <w:rsid w:val="00047722"/>
    <w:rsid w:val="00050F78"/>
    <w:rsid w:val="00052A23"/>
    <w:rsid w:val="0005370E"/>
    <w:rsid w:val="00054E31"/>
    <w:rsid w:val="000569C0"/>
    <w:rsid w:val="00065971"/>
    <w:rsid w:val="00065EAF"/>
    <w:rsid w:val="0006667E"/>
    <w:rsid w:val="000676F0"/>
    <w:rsid w:val="00076A23"/>
    <w:rsid w:val="000847FD"/>
    <w:rsid w:val="00090CCF"/>
    <w:rsid w:val="00091E1C"/>
    <w:rsid w:val="00097B0C"/>
    <w:rsid w:val="000A24C6"/>
    <w:rsid w:val="000A3133"/>
    <w:rsid w:val="000A3A80"/>
    <w:rsid w:val="000B1B15"/>
    <w:rsid w:val="000B7684"/>
    <w:rsid w:val="000C244D"/>
    <w:rsid w:val="000D0F77"/>
    <w:rsid w:val="000D23BC"/>
    <w:rsid w:val="000D5EDF"/>
    <w:rsid w:val="000F03B9"/>
    <w:rsid w:val="000F2419"/>
    <w:rsid w:val="000F45C7"/>
    <w:rsid w:val="001008BB"/>
    <w:rsid w:val="001016FC"/>
    <w:rsid w:val="00101815"/>
    <w:rsid w:val="0010226E"/>
    <w:rsid w:val="00103184"/>
    <w:rsid w:val="00105C44"/>
    <w:rsid w:val="00107CDF"/>
    <w:rsid w:val="001112C8"/>
    <w:rsid w:val="00114870"/>
    <w:rsid w:val="00116610"/>
    <w:rsid w:val="0011706D"/>
    <w:rsid w:val="001178B3"/>
    <w:rsid w:val="00117B6F"/>
    <w:rsid w:val="00132D86"/>
    <w:rsid w:val="00132DFE"/>
    <w:rsid w:val="001348A4"/>
    <w:rsid w:val="00135E56"/>
    <w:rsid w:val="001416A3"/>
    <w:rsid w:val="00144C95"/>
    <w:rsid w:val="00150230"/>
    <w:rsid w:val="00150F16"/>
    <w:rsid w:val="00184343"/>
    <w:rsid w:val="00184419"/>
    <w:rsid w:val="0019585C"/>
    <w:rsid w:val="001A4E7A"/>
    <w:rsid w:val="001A72E3"/>
    <w:rsid w:val="001A78B7"/>
    <w:rsid w:val="001C2AE5"/>
    <w:rsid w:val="001C60F7"/>
    <w:rsid w:val="001C7585"/>
    <w:rsid w:val="001D569A"/>
    <w:rsid w:val="001E7696"/>
    <w:rsid w:val="001F174F"/>
    <w:rsid w:val="001F66BE"/>
    <w:rsid w:val="001F6ED4"/>
    <w:rsid w:val="00202E29"/>
    <w:rsid w:val="00207350"/>
    <w:rsid w:val="0021516C"/>
    <w:rsid w:val="002159E6"/>
    <w:rsid w:val="002223A9"/>
    <w:rsid w:val="00224AA4"/>
    <w:rsid w:val="00226D51"/>
    <w:rsid w:val="0024465A"/>
    <w:rsid w:val="00246305"/>
    <w:rsid w:val="00253440"/>
    <w:rsid w:val="0025414C"/>
    <w:rsid w:val="002573C4"/>
    <w:rsid w:val="00264874"/>
    <w:rsid w:val="0026604A"/>
    <w:rsid w:val="00266EBC"/>
    <w:rsid w:val="00273108"/>
    <w:rsid w:val="00273994"/>
    <w:rsid w:val="00273A2F"/>
    <w:rsid w:val="002753E5"/>
    <w:rsid w:val="002812F3"/>
    <w:rsid w:val="002829BA"/>
    <w:rsid w:val="00283288"/>
    <w:rsid w:val="0029567F"/>
    <w:rsid w:val="002A241A"/>
    <w:rsid w:val="002A79F6"/>
    <w:rsid w:val="002B2383"/>
    <w:rsid w:val="002B2714"/>
    <w:rsid w:val="002B6E27"/>
    <w:rsid w:val="002C157A"/>
    <w:rsid w:val="002C484B"/>
    <w:rsid w:val="002D11F4"/>
    <w:rsid w:val="002D35A9"/>
    <w:rsid w:val="002D665B"/>
    <w:rsid w:val="002F1F94"/>
    <w:rsid w:val="00300EA9"/>
    <w:rsid w:val="00310955"/>
    <w:rsid w:val="00316897"/>
    <w:rsid w:val="00324B5A"/>
    <w:rsid w:val="003307EE"/>
    <w:rsid w:val="00331CFE"/>
    <w:rsid w:val="00334A6B"/>
    <w:rsid w:val="00337F05"/>
    <w:rsid w:val="003414B7"/>
    <w:rsid w:val="00347437"/>
    <w:rsid w:val="00354515"/>
    <w:rsid w:val="00356351"/>
    <w:rsid w:val="0036161F"/>
    <w:rsid w:val="003625BF"/>
    <w:rsid w:val="003625EC"/>
    <w:rsid w:val="00364922"/>
    <w:rsid w:val="00364B26"/>
    <w:rsid w:val="00370237"/>
    <w:rsid w:val="00373A8C"/>
    <w:rsid w:val="0037418F"/>
    <w:rsid w:val="00375482"/>
    <w:rsid w:val="00375791"/>
    <w:rsid w:val="00376EB7"/>
    <w:rsid w:val="003865D9"/>
    <w:rsid w:val="00391BFE"/>
    <w:rsid w:val="00391DDD"/>
    <w:rsid w:val="0039510D"/>
    <w:rsid w:val="003A2511"/>
    <w:rsid w:val="003B0FE0"/>
    <w:rsid w:val="003B1602"/>
    <w:rsid w:val="003B7328"/>
    <w:rsid w:val="003B789C"/>
    <w:rsid w:val="003C1BE5"/>
    <w:rsid w:val="00406FF7"/>
    <w:rsid w:val="00407E1A"/>
    <w:rsid w:val="00417610"/>
    <w:rsid w:val="0043163A"/>
    <w:rsid w:val="00440776"/>
    <w:rsid w:val="00440A74"/>
    <w:rsid w:val="00442900"/>
    <w:rsid w:val="004466C7"/>
    <w:rsid w:val="00450A03"/>
    <w:rsid w:val="00457B03"/>
    <w:rsid w:val="0046574B"/>
    <w:rsid w:val="00466E7E"/>
    <w:rsid w:val="0046752F"/>
    <w:rsid w:val="004675FD"/>
    <w:rsid w:val="004721F8"/>
    <w:rsid w:val="00474AA6"/>
    <w:rsid w:val="004818FE"/>
    <w:rsid w:val="004855EA"/>
    <w:rsid w:val="00493932"/>
    <w:rsid w:val="00494D60"/>
    <w:rsid w:val="004A547D"/>
    <w:rsid w:val="004B1154"/>
    <w:rsid w:val="004B3095"/>
    <w:rsid w:val="004B3368"/>
    <w:rsid w:val="004B4A26"/>
    <w:rsid w:val="004B6837"/>
    <w:rsid w:val="004C02AA"/>
    <w:rsid w:val="004C034D"/>
    <w:rsid w:val="004C4F77"/>
    <w:rsid w:val="004C5372"/>
    <w:rsid w:val="004D325D"/>
    <w:rsid w:val="004D3D42"/>
    <w:rsid w:val="004E7AD6"/>
    <w:rsid w:val="004F0DEC"/>
    <w:rsid w:val="004F2066"/>
    <w:rsid w:val="004F7057"/>
    <w:rsid w:val="005004C4"/>
    <w:rsid w:val="00501FC9"/>
    <w:rsid w:val="005020ED"/>
    <w:rsid w:val="005025C0"/>
    <w:rsid w:val="005063B2"/>
    <w:rsid w:val="00510AFB"/>
    <w:rsid w:val="00513654"/>
    <w:rsid w:val="0051721A"/>
    <w:rsid w:val="0052135E"/>
    <w:rsid w:val="00530BC5"/>
    <w:rsid w:val="005401B6"/>
    <w:rsid w:val="005401E8"/>
    <w:rsid w:val="00543600"/>
    <w:rsid w:val="00543668"/>
    <w:rsid w:val="005505BE"/>
    <w:rsid w:val="00560DE0"/>
    <w:rsid w:val="00562E9F"/>
    <w:rsid w:val="00573093"/>
    <w:rsid w:val="005902C6"/>
    <w:rsid w:val="005A0068"/>
    <w:rsid w:val="005A1A4B"/>
    <w:rsid w:val="005A2D51"/>
    <w:rsid w:val="005A3F6E"/>
    <w:rsid w:val="005B1758"/>
    <w:rsid w:val="005B539A"/>
    <w:rsid w:val="005C4D67"/>
    <w:rsid w:val="005C6A04"/>
    <w:rsid w:val="005C6BD3"/>
    <w:rsid w:val="005D0454"/>
    <w:rsid w:val="005D06DD"/>
    <w:rsid w:val="005D35A3"/>
    <w:rsid w:val="005D7011"/>
    <w:rsid w:val="005E44CB"/>
    <w:rsid w:val="005F2EED"/>
    <w:rsid w:val="006047F1"/>
    <w:rsid w:val="00607CD2"/>
    <w:rsid w:val="00615BE9"/>
    <w:rsid w:val="0061745C"/>
    <w:rsid w:val="00620483"/>
    <w:rsid w:val="006212B9"/>
    <w:rsid w:val="00621FAF"/>
    <w:rsid w:val="006240C3"/>
    <w:rsid w:val="00624817"/>
    <w:rsid w:val="00627474"/>
    <w:rsid w:val="00640287"/>
    <w:rsid w:val="0064449A"/>
    <w:rsid w:val="00645252"/>
    <w:rsid w:val="0066088F"/>
    <w:rsid w:val="00681766"/>
    <w:rsid w:val="006817F2"/>
    <w:rsid w:val="0068280C"/>
    <w:rsid w:val="00686CE6"/>
    <w:rsid w:val="00690245"/>
    <w:rsid w:val="00692F30"/>
    <w:rsid w:val="00694DA4"/>
    <w:rsid w:val="0069730A"/>
    <w:rsid w:val="006A044C"/>
    <w:rsid w:val="006A10E7"/>
    <w:rsid w:val="006A4396"/>
    <w:rsid w:val="006A5BCF"/>
    <w:rsid w:val="006A5BED"/>
    <w:rsid w:val="006B4F4A"/>
    <w:rsid w:val="006B6056"/>
    <w:rsid w:val="006C205C"/>
    <w:rsid w:val="006C35EA"/>
    <w:rsid w:val="006C526A"/>
    <w:rsid w:val="006C724B"/>
    <w:rsid w:val="006D1D64"/>
    <w:rsid w:val="006D3D74"/>
    <w:rsid w:val="006D3EA3"/>
    <w:rsid w:val="006D4FAF"/>
    <w:rsid w:val="006D5599"/>
    <w:rsid w:val="00703237"/>
    <w:rsid w:val="00704E52"/>
    <w:rsid w:val="00725CD0"/>
    <w:rsid w:val="00726C9A"/>
    <w:rsid w:val="00732BB7"/>
    <w:rsid w:val="0073503F"/>
    <w:rsid w:val="007352FF"/>
    <w:rsid w:val="00746055"/>
    <w:rsid w:val="0075261A"/>
    <w:rsid w:val="007539FC"/>
    <w:rsid w:val="00755E86"/>
    <w:rsid w:val="007610F2"/>
    <w:rsid w:val="0076285C"/>
    <w:rsid w:val="00787E93"/>
    <w:rsid w:val="00790015"/>
    <w:rsid w:val="00791625"/>
    <w:rsid w:val="00793AAA"/>
    <w:rsid w:val="00795607"/>
    <w:rsid w:val="007A0BE2"/>
    <w:rsid w:val="007A24C6"/>
    <w:rsid w:val="007B4D83"/>
    <w:rsid w:val="007C09B0"/>
    <w:rsid w:val="007C3EE5"/>
    <w:rsid w:val="007C452E"/>
    <w:rsid w:val="007C75B2"/>
    <w:rsid w:val="007C792C"/>
    <w:rsid w:val="007D0906"/>
    <w:rsid w:val="007D3FA1"/>
    <w:rsid w:val="007F076F"/>
    <w:rsid w:val="007F1BBF"/>
    <w:rsid w:val="00804836"/>
    <w:rsid w:val="00822608"/>
    <w:rsid w:val="00822F5C"/>
    <w:rsid w:val="008233C7"/>
    <w:rsid w:val="00825AAA"/>
    <w:rsid w:val="00825FF1"/>
    <w:rsid w:val="00833A38"/>
    <w:rsid w:val="0083569A"/>
    <w:rsid w:val="00836C21"/>
    <w:rsid w:val="00841F46"/>
    <w:rsid w:val="00847A10"/>
    <w:rsid w:val="00855E17"/>
    <w:rsid w:val="00855FB3"/>
    <w:rsid w:val="008615E4"/>
    <w:rsid w:val="008628A1"/>
    <w:rsid w:val="008648BD"/>
    <w:rsid w:val="00865903"/>
    <w:rsid w:val="008659B5"/>
    <w:rsid w:val="00870489"/>
    <w:rsid w:val="008737E9"/>
    <w:rsid w:val="00883DD7"/>
    <w:rsid w:val="00886AF5"/>
    <w:rsid w:val="00887A3E"/>
    <w:rsid w:val="00891E15"/>
    <w:rsid w:val="008953F0"/>
    <w:rsid w:val="00895830"/>
    <w:rsid w:val="008A1E5B"/>
    <w:rsid w:val="008A520C"/>
    <w:rsid w:val="008A6D58"/>
    <w:rsid w:val="008B06F8"/>
    <w:rsid w:val="008B22A9"/>
    <w:rsid w:val="008B3AF9"/>
    <w:rsid w:val="008C2955"/>
    <w:rsid w:val="008C425B"/>
    <w:rsid w:val="008D640A"/>
    <w:rsid w:val="008E21B0"/>
    <w:rsid w:val="008F2850"/>
    <w:rsid w:val="008F5A70"/>
    <w:rsid w:val="0090419F"/>
    <w:rsid w:val="00916118"/>
    <w:rsid w:val="009172B7"/>
    <w:rsid w:val="0091780C"/>
    <w:rsid w:val="00923463"/>
    <w:rsid w:val="009264F5"/>
    <w:rsid w:val="0093030F"/>
    <w:rsid w:val="00930CD2"/>
    <w:rsid w:val="0093284B"/>
    <w:rsid w:val="00950E79"/>
    <w:rsid w:val="00952300"/>
    <w:rsid w:val="00962F16"/>
    <w:rsid w:val="0097655A"/>
    <w:rsid w:val="009854C0"/>
    <w:rsid w:val="009A44FE"/>
    <w:rsid w:val="009B26A9"/>
    <w:rsid w:val="009B33BD"/>
    <w:rsid w:val="009D5F73"/>
    <w:rsid w:val="009D6363"/>
    <w:rsid w:val="009D6D5E"/>
    <w:rsid w:val="009D7CB3"/>
    <w:rsid w:val="009E20A6"/>
    <w:rsid w:val="009E4174"/>
    <w:rsid w:val="009E46D6"/>
    <w:rsid w:val="009E709C"/>
    <w:rsid w:val="009E7580"/>
    <w:rsid w:val="009E782C"/>
    <w:rsid w:val="009F48D0"/>
    <w:rsid w:val="00A02D40"/>
    <w:rsid w:val="00A14D0D"/>
    <w:rsid w:val="00A17DDC"/>
    <w:rsid w:val="00A25FC8"/>
    <w:rsid w:val="00A26516"/>
    <w:rsid w:val="00A27D45"/>
    <w:rsid w:val="00A31746"/>
    <w:rsid w:val="00A4098F"/>
    <w:rsid w:val="00A4498A"/>
    <w:rsid w:val="00A471D6"/>
    <w:rsid w:val="00A512AB"/>
    <w:rsid w:val="00A6012C"/>
    <w:rsid w:val="00A75A4C"/>
    <w:rsid w:val="00A8268A"/>
    <w:rsid w:val="00A83F96"/>
    <w:rsid w:val="00A85E62"/>
    <w:rsid w:val="00A9204E"/>
    <w:rsid w:val="00AA7071"/>
    <w:rsid w:val="00AB06E8"/>
    <w:rsid w:val="00AB6621"/>
    <w:rsid w:val="00AC0905"/>
    <w:rsid w:val="00AC40D2"/>
    <w:rsid w:val="00AC7139"/>
    <w:rsid w:val="00AD0D23"/>
    <w:rsid w:val="00AD255D"/>
    <w:rsid w:val="00AD2D84"/>
    <w:rsid w:val="00AD719C"/>
    <w:rsid w:val="00AD7C50"/>
    <w:rsid w:val="00AE1095"/>
    <w:rsid w:val="00AE2E33"/>
    <w:rsid w:val="00B00639"/>
    <w:rsid w:val="00B009E5"/>
    <w:rsid w:val="00B17334"/>
    <w:rsid w:val="00B20B7E"/>
    <w:rsid w:val="00B21008"/>
    <w:rsid w:val="00B235FF"/>
    <w:rsid w:val="00B23727"/>
    <w:rsid w:val="00B26C98"/>
    <w:rsid w:val="00B274C5"/>
    <w:rsid w:val="00B43678"/>
    <w:rsid w:val="00B438DE"/>
    <w:rsid w:val="00B47C7A"/>
    <w:rsid w:val="00B647E5"/>
    <w:rsid w:val="00B71EC9"/>
    <w:rsid w:val="00B752ED"/>
    <w:rsid w:val="00B75E5D"/>
    <w:rsid w:val="00B81929"/>
    <w:rsid w:val="00B848EB"/>
    <w:rsid w:val="00B84EE4"/>
    <w:rsid w:val="00B914B6"/>
    <w:rsid w:val="00B96493"/>
    <w:rsid w:val="00B97C32"/>
    <w:rsid w:val="00BA5A27"/>
    <w:rsid w:val="00BA7D65"/>
    <w:rsid w:val="00BB1A41"/>
    <w:rsid w:val="00BB2906"/>
    <w:rsid w:val="00BB3DEA"/>
    <w:rsid w:val="00BC02EE"/>
    <w:rsid w:val="00BC5211"/>
    <w:rsid w:val="00BD1B76"/>
    <w:rsid w:val="00BD3519"/>
    <w:rsid w:val="00BD4D21"/>
    <w:rsid w:val="00BD7BA3"/>
    <w:rsid w:val="00BE0EAB"/>
    <w:rsid w:val="00BF46CB"/>
    <w:rsid w:val="00C0456F"/>
    <w:rsid w:val="00C04A5E"/>
    <w:rsid w:val="00C068AB"/>
    <w:rsid w:val="00C06951"/>
    <w:rsid w:val="00C13915"/>
    <w:rsid w:val="00C20D5B"/>
    <w:rsid w:val="00C20E4F"/>
    <w:rsid w:val="00C258C4"/>
    <w:rsid w:val="00C30334"/>
    <w:rsid w:val="00C306B6"/>
    <w:rsid w:val="00C31BCF"/>
    <w:rsid w:val="00C33FED"/>
    <w:rsid w:val="00C413C1"/>
    <w:rsid w:val="00C4432A"/>
    <w:rsid w:val="00C506D2"/>
    <w:rsid w:val="00C50AAF"/>
    <w:rsid w:val="00C54776"/>
    <w:rsid w:val="00C556ED"/>
    <w:rsid w:val="00C62BDD"/>
    <w:rsid w:val="00C65C85"/>
    <w:rsid w:val="00C72B23"/>
    <w:rsid w:val="00C7304F"/>
    <w:rsid w:val="00C74F31"/>
    <w:rsid w:val="00C7606A"/>
    <w:rsid w:val="00C912FF"/>
    <w:rsid w:val="00CA215C"/>
    <w:rsid w:val="00CC2574"/>
    <w:rsid w:val="00CC2B01"/>
    <w:rsid w:val="00CC5856"/>
    <w:rsid w:val="00CC6B0E"/>
    <w:rsid w:val="00CC6E63"/>
    <w:rsid w:val="00CC7AD7"/>
    <w:rsid w:val="00CD6710"/>
    <w:rsid w:val="00CE6983"/>
    <w:rsid w:val="00CE6FD2"/>
    <w:rsid w:val="00CF31EA"/>
    <w:rsid w:val="00CF4FBB"/>
    <w:rsid w:val="00D03B8E"/>
    <w:rsid w:val="00D0568D"/>
    <w:rsid w:val="00D06F6C"/>
    <w:rsid w:val="00D07EC8"/>
    <w:rsid w:val="00D2653E"/>
    <w:rsid w:val="00D358C4"/>
    <w:rsid w:val="00D57ACE"/>
    <w:rsid w:val="00D63831"/>
    <w:rsid w:val="00D667C3"/>
    <w:rsid w:val="00D71C09"/>
    <w:rsid w:val="00D81AF6"/>
    <w:rsid w:val="00D8744C"/>
    <w:rsid w:val="00D87537"/>
    <w:rsid w:val="00D952F3"/>
    <w:rsid w:val="00D95E9C"/>
    <w:rsid w:val="00D96FD3"/>
    <w:rsid w:val="00DA0498"/>
    <w:rsid w:val="00DA61F3"/>
    <w:rsid w:val="00DC31B2"/>
    <w:rsid w:val="00DC43F5"/>
    <w:rsid w:val="00DC6444"/>
    <w:rsid w:val="00DD0A1C"/>
    <w:rsid w:val="00DD50A1"/>
    <w:rsid w:val="00DD58C6"/>
    <w:rsid w:val="00DE33B8"/>
    <w:rsid w:val="00DE49D9"/>
    <w:rsid w:val="00DE62F2"/>
    <w:rsid w:val="00DF3329"/>
    <w:rsid w:val="00DF356F"/>
    <w:rsid w:val="00DF40B7"/>
    <w:rsid w:val="00DF48FB"/>
    <w:rsid w:val="00E0051C"/>
    <w:rsid w:val="00E1691E"/>
    <w:rsid w:val="00E2473B"/>
    <w:rsid w:val="00E25468"/>
    <w:rsid w:val="00E25CD5"/>
    <w:rsid w:val="00E339C8"/>
    <w:rsid w:val="00E33E38"/>
    <w:rsid w:val="00E40676"/>
    <w:rsid w:val="00E412AB"/>
    <w:rsid w:val="00E430E7"/>
    <w:rsid w:val="00E51824"/>
    <w:rsid w:val="00E55814"/>
    <w:rsid w:val="00E5737B"/>
    <w:rsid w:val="00E61AAB"/>
    <w:rsid w:val="00E74DFD"/>
    <w:rsid w:val="00E758B0"/>
    <w:rsid w:val="00E769BD"/>
    <w:rsid w:val="00E82288"/>
    <w:rsid w:val="00E84205"/>
    <w:rsid w:val="00E869F6"/>
    <w:rsid w:val="00EA3186"/>
    <w:rsid w:val="00EA3F7C"/>
    <w:rsid w:val="00EA4C39"/>
    <w:rsid w:val="00EB1D14"/>
    <w:rsid w:val="00EB2CD9"/>
    <w:rsid w:val="00EB31AD"/>
    <w:rsid w:val="00EC63FE"/>
    <w:rsid w:val="00EC7202"/>
    <w:rsid w:val="00ED16D4"/>
    <w:rsid w:val="00EF5FDC"/>
    <w:rsid w:val="00F040D5"/>
    <w:rsid w:val="00F0546B"/>
    <w:rsid w:val="00F065F4"/>
    <w:rsid w:val="00F122AB"/>
    <w:rsid w:val="00F15ADF"/>
    <w:rsid w:val="00F22CB5"/>
    <w:rsid w:val="00F2567C"/>
    <w:rsid w:val="00F342F4"/>
    <w:rsid w:val="00F34E21"/>
    <w:rsid w:val="00F508B2"/>
    <w:rsid w:val="00F52423"/>
    <w:rsid w:val="00F53148"/>
    <w:rsid w:val="00F54403"/>
    <w:rsid w:val="00F571FB"/>
    <w:rsid w:val="00F64F88"/>
    <w:rsid w:val="00F65201"/>
    <w:rsid w:val="00F656B4"/>
    <w:rsid w:val="00F72D8F"/>
    <w:rsid w:val="00F72FFC"/>
    <w:rsid w:val="00F8012A"/>
    <w:rsid w:val="00F817A1"/>
    <w:rsid w:val="00F8259A"/>
    <w:rsid w:val="00F86B27"/>
    <w:rsid w:val="00F94B2C"/>
    <w:rsid w:val="00FA0E71"/>
    <w:rsid w:val="00FA2C1C"/>
    <w:rsid w:val="00FA4A99"/>
    <w:rsid w:val="00FA5883"/>
    <w:rsid w:val="00FA78BE"/>
    <w:rsid w:val="00FC1D3E"/>
    <w:rsid w:val="00FC2AC9"/>
    <w:rsid w:val="00FC40EF"/>
    <w:rsid w:val="00FC7403"/>
    <w:rsid w:val="00FD0690"/>
    <w:rsid w:val="00FE69C1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AE230"/>
  <w15:chartTrackingRefBased/>
  <w15:docId w15:val="{94031CB2-812A-4607-B547-F79B0B19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60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markedcontent">
    <w:name w:val="markedcontent"/>
    <w:basedOn w:val="DefaultParagraphFont"/>
    <w:rsid w:val="005B539A"/>
  </w:style>
  <w:style w:type="paragraph" w:styleId="ListParagraph">
    <w:name w:val="List Paragraph"/>
    <w:basedOn w:val="Normal"/>
    <w:uiPriority w:val="34"/>
    <w:unhideWhenUsed/>
    <w:qFormat/>
    <w:rsid w:val="008A6D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6951"/>
    <w:pPr>
      <w:spacing w:before="100" w:beforeAutospacing="1" w:after="100" w:afterAutospacing="1"/>
    </w:pPr>
    <w:rPr>
      <w:rFonts w:eastAsia="Times New Roman"/>
      <w:lang w:val="en-ID" w:eastAsia="en-ID"/>
    </w:rPr>
  </w:style>
  <w:style w:type="character" w:styleId="EndnoteReference">
    <w:name w:val="endnote reference"/>
    <w:basedOn w:val="DefaultParagraphFont"/>
    <w:uiPriority w:val="99"/>
    <w:semiHidden/>
    <w:unhideWhenUsed/>
    <w:rsid w:val="009E75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E758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58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9B33BD"/>
  </w:style>
  <w:style w:type="character" w:customStyle="1" w:styleId="fontstyle01">
    <w:name w:val="fontstyle01"/>
    <w:basedOn w:val="DefaultParagraphFont"/>
    <w:rsid w:val="005D06D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08/IJBM-08-2013-008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509/jmkg.66.1.15.18449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dler.manurung@yahoo.com" TargetMode="External"/><Relationship Id="rId1" Type="http://schemas.openxmlformats.org/officeDocument/2006/relationships/hyperlink" Target="mailto:iksuyas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ye\AppData\Local\Microsoft\Office\16.0\DTS\en-US%7b5C2AA922-BFD2-4F75-A214-AFE6DE1954AE%7d\%7b4E4A1BBF-CB48-4823-B186-6DBC346C763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65633E1-DFD1-4DF9-AEA5-C9E091333A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{4E4A1BBF-CB48-4823-B186-6DBC346C7635}tf02786999_win32</Template>
  <TotalTime>1</TotalTime>
  <Pages>12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Suye</dc:creator>
  <cp:keywords/>
  <dc:description/>
  <cp:lastModifiedBy>Prof. Adler Haymans Manurung</cp:lastModifiedBy>
  <cp:revision>2</cp:revision>
  <cp:lastPrinted>2023-02-08T17:47:00Z</cp:lastPrinted>
  <dcterms:created xsi:type="dcterms:W3CDTF">2023-03-05T16:11:00Z</dcterms:created>
  <dcterms:modified xsi:type="dcterms:W3CDTF">2023-03-05T16:11:00Z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