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40" w:rsidRPr="00363921" w:rsidRDefault="00256B40" w:rsidP="00222D20">
      <w:pPr>
        <w:jc w:val="center"/>
        <w:rPr>
          <w:rFonts w:ascii="Times New Roman" w:hAnsi="Times New Roman"/>
          <w:b/>
          <w:sz w:val="28"/>
          <w:szCs w:val="28"/>
        </w:rPr>
      </w:pPr>
      <w:r w:rsidRPr="00575C08">
        <w:rPr>
          <w:rFonts w:ascii="Times New Roman" w:hAnsi="Times New Roman"/>
          <w:b/>
          <w:sz w:val="28"/>
          <w:szCs w:val="28"/>
        </w:rPr>
        <w:t>How Corporate Governance Affects Free Cash Flow?</w:t>
      </w:r>
    </w:p>
    <w:p w:rsidR="00256B40" w:rsidRPr="00363921" w:rsidRDefault="00256B40" w:rsidP="00222D20">
      <w:pPr>
        <w:jc w:val="center"/>
        <w:rPr>
          <w:rFonts w:ascii="Times New Roman" w:hAnsi="Times New Roman"/>
        </w:rPr>
      </w:pPr>
    </w:p>
    <w:p w:rsidR="00256B40" w:rsidRPr="00363921" w:rsidRDefault="00256B40" w:rsidP="00222D20">
      <w:pPr>
        <w:jc w:val="center"/>
        <w:rPr>
          <w:rFonts w:ascii="Times New Roman" w:hAnsi="Times New Roman"/>
        </w:rPr>
      </w:pPr>
    </w:p>
    <w:p w:rsidR="00256B40" w:rsidRPr="00363921" w:rsidRDefault="00256B40" w:rsidP="00222D20">
      <w:pPr>
        <w:pStyle w:val="IEEEAuthorName"/>
        <w:adjustRightInd/>
        <w:snapToGrid/>
        <w:spacing w:before="0" w:after="0"/>
        <w:ind w:firstLine="480"/>
        <w:rPr>
          <w:rFonts w:eastAsia="標楷體"/>
          <w:sz w:val="24"/>
          <w:szCs w:val="20"/>
          <w:vertAlign w:val="superscript"/>
          <w:lang w:eastAsia="zh-TW"/>
        </w:rPr>
      </w:pPr>
      <w:r w:rsidRPr="00363921">
        <w:rPr>
          <w:rFonts w:eastAsia="標楷體"/>
          <w:sz w:val="24"/>
          <w:szCs w:val="20"/>
          <w:lang w:eastAsia="zh-TW"/>
        </w:rPr>
        <w:t>Dan Lin</w:t>
      </w:r>
      <w:r w:rsidRPr="00363921">
        <w:rPr>
          <w:rFonts w:eastAsia="標楷體"/>
          <w:sz w:val="24"/>
          <w:szCs w:val="20"/>
          <w:vertAlign w:val="superscript"/>
          <w:lang w:eastAsia="zh-TW"/>
        </w:rPr>
        <w:t>1</w:t>
      </w:r>
      <w:r w:rsidRPr="00363921">
        <w:rPr>
          <w:rFonts w:eastAsia="標楷體"/>
          <w:sz w:val="24"/>
          <w:szCs w:val="20"/>
        </w:rPr>
        <w:t xml:space="preserve">, </w:t>
      </w:r>
      <w:r w:rsidRPr="00363921">
        <w:rPr>
          <w:rFonts w:eastAsia="標楷體"/>
          <w:sz w:val="24"/>
          <w:szCs w:val="20"/>
          <w:lang w:eastAsia="zh-TW"/>
        </w:rPr>
        <w:t>Lu Lin</w:t>
      </w:r>
      <w:r w:rsidRPr="00363921">
        <w:rPr>
          <w:rFonts w:eastAsia="標楷體"/>
          <w:sz w:val="24"/>
          <w:szCs w:val="20"/>
          <w:vertAlign w:val="superscript"/>
          <w:lang w:eastAsia="zh-TW"/>
        </w:rPr>
        <w:t>2</w:t>
      </w:r>
    </w:p>
    <w:p w:rsidR="00256B40" w:rsidRPr="00363921" w:rsidRDefault="00256B40" w:rsidP="00222D20">
      <w:pPr>
        <w:rPr>
          <w:rFonts w:ascii="Times New Roman" w:hAnsi="Times New Roman"/>
          <w:lang w:val="en-GB"/>
        </w:rPr>
      </w:pPr>
    </w:p>
    <w:p w:rsidR="00256B40" w:rsidRPr="00363921" w:rsidRDefault="00256B40" w:rsidP="00222D20">
      <w:pPr>
        <w:pStyle w:val="IEEEAuthorAffiliation"/>
        <w:spacing w:after="0"/>
        <w:ind w:firstLine="480"/>
        <w:rPr>
          <w:rFonts w:eastAsia="標楷體"/>
          <w:i w:val="0"/>
          <w:szCs w:val="20"/>
          <w:lang w:eastAsia="zh-TW"/>
        </w:rPr>
      </w:pPr>
      <w:r w:rsidRPr="00363921">
        <w:rPr>
          <w:i w:val="0"/>
          <w:kern w:val="2"/>
          <w:szCs w:val="20"/>
          <w:vertAlign w:val="superscript"/>
          <w:lang w:eastAsia="zh-TW"/>
        </w:rPr>
        <w:t xml:space="preserve">1 </w:t>
      </w:r>
      <w:r w:rsidRPr="00363921">
        <w:rPr>
          <w:rFonts w:eastAsia="標楷體"/>
          <w:i w:val="0"/>
          <w:szCs w:val="20"/>
          <w:lang w:eastAsia="zh-TW"/>
        </w:rPr>
        <w:t>D</w:t>
      </w:r>
      <w:r w:rsidRPr="00363921">
        <w:rPr>
          <w:rFonts w:eastAsia="標楷體"/>
          <w:i w:val="0"/>
          <w:szCs w:val="20"/>
        </w:rPr>
        <w:t xml:space="preserve">epartment of </w:t>
      </w:r>
      <w:r w:rsidRPr="00363921">
        <w:rPr>
          <w:rFonts w:eastAsia="標楷體"/>
          <w:i w:val="0"/>
          <w:szCs w:val="20"/>
          <w:lang w:eastAsia="zh-TW"/>
        </w:rPr>
        <w:t>Banking</w:t>
      </w:r>
      <w:r w:rsidRPr="00363921">
        <w:rPr>
          <w:rFonts w:eastAsia="標楷體"/>
          <w:i w:val="0"/>
          <w:szCs w:val="20"/>
        </w:rPr>
        <w:t xml:space="preserve"> and </w:t>
      </w:r>
      <w:r w:rsidRPr="00363921">
        <w:rPr>
          <w:rFonts w:eastAsia="標楷體"/>
          <w:i w:val="0"/>
          <w:szCs w:val="20"/>
          <w:lang w:eastAsia="zh-TW"/>
        </w:rPr>
        <w:t>Finance</w:t>
      </w:r>
      <w:r w:rsidRPr="00363921">
        <w:rPr>
          <w:rFonts w:eastAsia="標楷體"/>
          <w:i w:val="0"/>
          <w:szCs w:val="20"/>
        </w:rPr>
        <w:t xml:space="preserve">, </w:t>
      </w:r>
      <w:r w:rsidRPr="00363921">
        <w:rPr>
          <w:rFonts w:eastAsia="標楷體"/>
          <w:bCs/>
          <w:i w:val="0"/>
          <w:szCs w:val="20"/>
        </w:rPr>
        <w:t>T</w:t>
      </w:r>
      <w:r w:rsidRPr="00363921">
        <w:rPr>
          <w:rFonts w:eastAsia="標楷體"/>
          <w:i w:val="0"/>
          <w:szCs w:val="20"/>
        </w:rPr>
        <w:t>akming University of Science and Technology, No.56, Sec.1, Huanshan Rd., Neihu District, Taipei,</w:t>
      </w:r>
      <w:r w:rsidRPr="00363921">
        <w:rPr>
          <w:rFonts w:eastAsia="標楷體"/>
          <w:bCs/>
          <w:i w:val="0"/>
          <w:szCs w:val="20"/>
        </w:rPr>
        <w:t xml:space="preserve"> Taiwan</w:t>
      </w:r>
      <w:r w:rsidRPr="00363921">
        <w:rPr>
          <w:rFonts w:eastAsia="標楷體"/>
          <w:bCs/>
          <w:i w:val="0"/>
          <w:szCs w:val="20"/>
          <w:lang w:eastAsia="zh-TW"/>
        </w:rPr>
        <w:t>;</w:t>
      </w:r>
      <w:r w:rsidRPr="00363921">
        <w:rPr>
          <w:rFonts w:eastAsia="標楷體"/>
          <w:i w:val="0"/>
          <w:szCs w:val="20"/>
        </w:rPr>
        <w:t xml:space="preserve"> +886-2-2658-5801</w:t>
      </w:r>
      <w:r w:rsidRPr="00363921">
        <w:rPr>
          <w:rFonts w:eastAsia="標楷體"/>
          <w:i w:val="0"/>
          <w:szCs w:val="20"/>
          <w:lang w:eastAsia="zh-TW"/>
        </w:rPr>
        <w:t>;</w:t>
      </w:r>
      <w:r w:rsidRPr="00363921">
        <w:rPr>
          <w:rFonts w:eastAsia="標楷體"/>
          <w:i w:val="0"/>
          <w:szCs w:val="20"/>
        </w:rPr>
        <w:t xml:space="preserve"> mcylin@takming.edu.tw</w:t>
      </w:r>
    </w:p>
    <w:p w:rsidR="00256B40" w:rsidRPr="00363921" w:rsidRDefault="00256B40" w:rsidP="00222D20">
      <w:pPr>
        <w:ind w:firstLine="360"/>
        <w:jc w:val="center"/>
        <w:rPr>
          <w:rFonts w:ascii="Times New Roman" w:hAnsi="Times New Roman"/>
          <w:sz w:val="20"/>
          <w:szCs w:val="20"/>
          <w:lang w:val="en-GB" w:eastAsia="en-GB"/>
        </w:rPr>
      </w:pPr>
      <w:r w:rsidRPr="00363921">
        <w:rPr>
          <w:rFonts w:ascii="Times New Roman" w:hAnsi="Times New Roman"/>
          <w:sz w:val="20"/>
          <w:szCs w:val="20"/>
          <w:vertAlign w:val="superscript"/>
          <w:lang w:val="en-GB"/>
        </w:rPr>
        <w:t xml:space="preserve">2 </w:t>
      </w:r>
      <w:r w:rsidRPr="00363921">
        <w:rPr>
          <w:rFonts w:ascii="Times New Roman" w:hAnsi="Times New Roman"/>
          <w:sz w:val="20"/>
          <w:szCs w:val="20"/>
          <w:lang w:val="en-GB"/>
        </w:rPr>
        <w:t xml:space="preserve">Corresponding Author; </w:t>
      </w:r>
      <w:r w:rsidRPr="00363921">
        <w:rPr>
          <w:rFonts w:ascii="Times New Roman" w:hAnsi="Times New Roman"/>
          <w:sz w:val="20"/>
          <w:szCs w:val="20"/>
        </w:rPr>
        <w:t xml:space="preserve">Department of Public Finance and Taxation, Takming University of Science and Technology, No.56, Sec.1, Huanshan Rd., Neihu District, Taipei, Taiwan; +886-2-2658-5801; </w:t>
      </w:r>
      <w:r w:rsidRPr="00363921">
        <w:rPr>
          <w:rFonts w:ascii="Times New Roman" w:hAnsi="Times New Roman"/>
          <w:sz w:val="20"/>
          <w:szCs w:val="20"/>
          <w:lang w:val="en-GB" w:eastAsia="en-GB"/>
        </w:rPr>
        <w:t>suzannelin@takming.edu.tw</w:t>
      </w:r>
    </w:p>
    <w:p w:rsidR="00256B40" w:rsidRPr="00363921" w:rsidRDefault="00256B40" w:rsidP="00222D20">
      <w:pPr>
        <w:jc w:val="center"/>
        <w:rPr>
          <w:rFonts w:ascii="Times New Roman" w:hAnsi="Times New Roman"/>
          <w:lang w:val="en-GB"/>
        </w:rPr>
      </w:pPr>
    </w:p>
    <w:p w:rsidR="00256B40" w:rsidRPr="00363921" w:rsidRDefault="00256B40" w:rsidP="00222D20">
      <w:pPr>
        <w:rPr>
          <w:rFonts w:ascii="Times New Roman" w:hAnsi="Times New Roman"/>
          <w:b/>
          <w:lang w:val="en-GB"/>
        </w:rPr>
      </w:pPr>
      <w:r w:rsidRPr="00363921">
        <w:rPr>
          <w:rFonts w:ascii="Times New Roman" w:hAnsi="Times New Roman"/>
          <w:b/>
          <w:lang w:val="en-GB"/>
        </w:rPr>
        <w:t>Abstract</w:t>
      </w:r>
    </w:p>
    <w:p w:rsidR="00256B40" w:rsidRPr="00363921" w:rsidRDefault="007C5B30" w:rsidP="00222D20">
      <w:pPr>
        <w:jc w:val="both"/>
        <w:rPr>
          <w:rFonts w:ascii="Times New Roman" w:hAnsi="Times New Roman"/>
          <w:lang w:val="en-GB"/>
        </w:rPr>
      </w:pPr>
      <w:r>
        <w:rPr>
          <w:rFonts w:ascii="Times New Roman" w:hAnsi="Times New Roman" w:hint="eastAsia"/>
          <w:lang w:val="en-GB"/>
        </w:rPr>
        <w:t>According to the free cash flow hypothesis, l</w:t>
      </w:r>
      <w:r>
        <w:rPr>
          <w:rFonts w:ascii="Times New Roman" w:hAnsi="Times New Roman"/>
          <w:lang w:val="en-GB"/>
        </w:rPr>
        <w:t xml:space="preserve">arge free cash flows </w:t>
      </w:r>
      <w:r>
        <w:rPr>
          <w:rFonts w:ascii="Times New Roman" w:hAnsi="Times New Roman" w:hint="eastAsia"/>
          <w:lang w:val="en-GB"/>
        </w:rPr>
        <w:t xml:space="preserve">are likely to </w:t>
      </w:r>
      <w:r w:rsidR="00256B40" w:rsidRPr="00363921">
        <w:rPr>
          <w:rFonts w:ascii="Times New Roman" w:hAnsi="Times New Roman"/>
          <w:lang w:val="en-GB"/>
        </w:rPr>
        <w:t>lead to managerial dis</w:t>
      </w:r>
      <w:r>
        <w:rPr>
          <w:rFonts w:ascii="Times New Roman" w:hAnsi="Times New Roman"/>
          <w:lang w:val="en-GB"/>
        </w:rPr>
        <w:t xml:space="preserve">cretion and </w:t>
      </w:r>
      <w:r>
        <w:rPr>
          <w:rFonts w:ascii="Times New Roman" w:hAnsi="Times New Roman" w:hint="eastAsia"/>
          <w:lang w:val="en-GB"/>
        </w:rPr>
        <w:t>agency problems. This is because r</w:t>
      </w:r>
      <w:r w:rsidR="00256B40" w:rsidRPr="00363921">
        <w:rPr>
          <w:rFonts w:ascii="Times New Roman" w:hAnsi="Times New Roman"/>
          <w:lang w:val="en-GB"/>
        </w:rPr>
        <w:t xml:space="preserve">etaining free cash flows reduces the ability of capital market to monitor managers. </w:t>
      </w:r>
      <w:r>
        <w:rPr>
          <w:rFonts w:ascii="Times New Roman" w:hAnsi="Times New Roman" w:hint="eastAsia"/>
          <w:lang w:val="en-GB"/>
        </w:rPr>
        <w:t xml:space="preserve">The aim of this </w:t>
      </w:r>
      <w:r w:rsidR="00256B40" w:rsidRPr="00363921">
        <w:rPr>
          <w:rFonts w:ascii="Times New Roman" w:hAnsi="Times New Roman"/>
          <w:lang w:val="en-GB"/>
        </w:rPr>
        <w:t xml:space="preserve">study </w:t>
      </w:r>
      <w:r>
        <w:rPr>
          <w:rFonts w:ascii="Times New Roman" w:hAnsi="Times New Roman" w:hint="eastAsia"/>
          <w:lang w:val="en-GB"/>
        </w:rPr>
        <w:t>is to examine</w:t>
      </w:r>
      <w:r w:rsidR="00256B40" w:rsidRPr="00363921">
        <w:rPr>
          <w:rFonts w:ascii="Times New Roman" w:hAnsi="Times New Roman"/>
          <w:lang w:val="en-GB"/>
        </w:rPr>
        <w:t xml:space="preserve"> the relationship between corporate governance and free cash flow for a sample of Canadian companies. </w:t>
      </w:r>
      <w:r>
        <w:rPr>
          <w:rFonts w:ascii="Times New Roman" w:hAnsi="Times New Roman" w:hint="eastAsia"/>
          <w:lang w:val="en-GB"/>
        </w:rPr>
        <w:t>This study does not find evidence supporting the agency costs of free cash flow hypothesis. The results show that</w:t>
      </w:r>
      <w:r w:rsidR="00256B40" w:rsidRPr="00363921">
        <w:rPr>
          <w:rFonts w:ascii="Times New Roman" w:hAnsi="Times New Roman"/>
          <w:lang w:val="en-GB"/>
        </w:rPr>
        <w:t xml:space="preserve"> better governed firms have larger free cash flow</w:t>
      </w:r>
      <w:r>
        <w:rPr>
          <w:rFonts w:ascii="Times New Roman" w:hAnsi="Times New Roman" w:hint="eastAsia"/>
          <w:lang w:val="en-GB"/>
        </w:rPr>
        <w:t>s</w:t>
      </w:r>
      <w:r w:rsidR="00256B40" w:rsidRPr="00363921">
        <w:rPr>
          <w:rFonts w:ascii="Times New Roman" w:hAnsi="Times New Roman"/>
          <w:lang w:val="en-GB"/>
        </w:rPr>
        <w:t xml:space="preserve">. </w:t>
      </w:r>
      <w:r>
        <w:rPr>
          <w:rFonts w:ascii="Times New Roman" w:hAnsi="Times New Roman" w:hint="eastAsia"/>
          <w:lang w:val="en-GB"/>
        </w:rPr>
        <w:t xml:space="preserve">The </w:t>
      </w:r>
      <w:r w:rsidR="00256B40" w:rsidRPr="00363921">
        <w:rPr>
          <w:rFonts w:ascii="Times New Roman" w:hAnsi="Times New Roman"/>
          <w:lang w:val="en-GB"/>
        </w:rPr>
        <w:t>increased free cash flow</w:t>
      </w:r>
      <w:r>
        <w:rPr>
          <w:rFonts w:ascii="Times New Roman" w:hAnsi="Times New Roman" w:hint="eastAsia"/>
          <w:lang w:val="en-GB"/>
        </w:rPr>
        <w:t>s</w:t>
      </w:r>
      <w:r w:rsidR="00256B40" w:rsidRPr="00363921">
        <w:rPr>
          <w:rFonts w:ascii="Times New Roman" w:hAnsi="Times New Roman"/>
          <w:lang w:val="en-GB"/>
        </w:rPr>
        <w:t xml:space="preserve"> </w:t>
      </w:r>
      <w:r>
        <w:rPr>
          <w:rFonts w:ascii="Times New Roman" w:hAnsi="Times New Roman" w:hint="eastAsia"/>
          <w:lang w:val="en-GB"/>
        </w:rPr>
        <w:t>can</w:t>
      </w:r>
      <w:r w:rsidR="00256B40" w:rsidRPr="00363921">
        <w:rPr>
          <w:rFonts w:ascii="Times New Roman" w:hAnsi="Times New Roman"/>
          <w:lang w:val="en-GB"/>
        </w:rPr>
        <w:t xml:space="preserve"> be a result of better internal operating efficiency</w:t>
      </w:r>
      <w:r w:rsidR="005F72E2">
        <w:rPr>
          <w:rFonts w:ascii="Times New Roman" w:hAnsi="Times New Roman" w:hint="eastAsia"/>
          <w:lang w:val="en-GB"/>
        </w:rPr>
        <w:t>.</w:t>
      </w:r>
    </w:p>
    <w:p w:rsidR="00256B40" w:rsidRPr="00363921" w:rsidRDefault="00256B40" w:rsidP="00222D20">
      <w:pPr>
        <w:jc w:val="both"/>
        <w:rPr>
          <w:rFonts w:ascii="Times New Roman" w:hAnsi="Times New Roman"/>
          <w:lang w:val="en-GB"/>
        </w:rPr>
      </w:pPr>
    </w:p>
    <w:p w:rsidR="00256B40" w:rsidRPr="00363921" w:rsidRDefault="00256B40" w:rsidP="00222D20">
      <w:pPr>
        <w:jc w:val="both"/>
        <w:rPr>
          <w:rFonts w:ascii="Times New Roman" w:hAnsi="Times New Roman"/>
          <w:lang w:val="en-GB"/>
        </w:rPr>
      </w:pPr>
    </w:p>
    <w:p w:rsidR="00256B40" w:rsidRDefault="00256B40" w:rsidP="00222D20">
      <w:pPr>
        <w:jc w:val="both"/>
        <w:rPr>
          <w:rFonts w:ascii="Times New Roman" w:hAnsi="Times New Roman"/>
          <w:lang w:val="en-GB"/>
        </w:rPr>
      </w:pPr>
      <w:r w:rsidRPr="00363921">
        <w:rPr>
          <w:rFonts w:ascii="Times New Roman" w:hAnsi="Times New Roman"/>
          <w:lang w:val="en-GB"/>
        </w:rPr>
        <w:t>Keywords: Free cash flow, corporate governance, agency problems</w:t>
      </w:r>
    </w:p>
    <w:p w:rsidR="00FE7BD6" w:rsidRPr="00363921" w:rsidRDefault="00FE7BD6" w:rsidP="00222D20">
      <w:pPr>
        <w:jc w:val="both"/>
        <w:rPr>
          <w:rFonts w:ascii="Times New Roman" w:hAnsi="Times New Roman"/>
          <w:lang w:val="en-GB"/>
        </w:rPr>
      </w:pPr>
      <w:r w:rsidRPr="00FE7BD6">
        <w:rPr>
          <w:rFonts w:ascii="Times New Roman" w:hAnsi="Times New Roman"/>
          <w:lang w:val="en-GB"/>
        </w:rPr>
        <w:t>JEL classification:</w:t>
      </w:r>
      <w:r>
        <w:rPr>
          <w:rFonts w:ascii="Times New Roman" w:hAnsi="Times New Roman" w:hint="eastAsia"/>
          <w:lang w:val="en-GB"/>
        </w:rPr>
        <w:t xml:space="preserve"> G34</w:t>
      </w:r>
    </w:p>
    <w:p w:rsidR="00256B40" w:rsidRPr="00363921" w:rsidRDefault="00256B40">
      <w:pPr>
        <w:widowControl/>
        <w:rPr>
          <w:rFonts w:ascii="Times New Roman" w:hAnsi="Times New Roman"/>
          <w:lang w:val="en-GB"/>
        </w:rPr>
      </w:pPr>
    </w:p>
    <w:p w:rsidR="00256B40" w:rsidRPr="00363921" w:rsidRDefault="00256B40" w:rsidP="00222D20">
      <w:pPr>
        <w:pStyle w:val="a3"/>
        <w:numPr>
          <w:ilvl w:val="0"/>
          <w:numId w:val="2"/>
        </w:numPr>
        <w:ind w:leftChars="0"/>
        <w:jc w:val="both"/>
        <w:rPr>
          <w:rFonts w:ascii="Times New Roman" w:hAnsi="Times New Roman"/>
          <w:b/>
          <w:lang w:val="en-GB"/>
        </w:rPr>
      </w:pPr>
      <w:r w:rsidRPr="00363921">
        <w:rPr>
          <w:rFonts w:ascii="Times New Roman" w:hAnsi="Times New Roman"/>
          <w:b/>
          <w:lang w:val="en-GB"/>
        </w:rPr>
        <w:br w:type="page"/>
      </w:r>
      <w:r w:rsidRPr="00363921">
        <w:rPr>
          <w:rFonts w:ascii="Times New Roman" w:hAnsi="Times New Roman"/>
          <w:b/>
          <w:lang w:val="en-GB"/>
        </w:rPr>
        <w:lastRenderedPageBreak/>
        <w:t>Introduction</w:t>
      </w: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 xml:space="preserve">Agency problems arise when there is a separation of ownership and control. Due to incomplete contractual relationship, managers (the agents) may not act in the best interests of the shareholders (the principals) </w:t>
      </w:r>
      <w:r w:rsidRPr="00363921">
        <w:rPr>
          <w:rFonts w:ascii="Times New Roman" w:hAnsi="Times New Roman"/>
          <w:noProof/>
          <w:lang w:val="en-GB"/>
        </w:rPr>
        <w:t>(Jensen and Meckling, 1976)</w:t>
      </w:r>
      <w:r w:rsidRPr="00363921">
        <w:rPr>
          <w:rFonts w:ascii="Times New Roman" w:hAnsi="Times New Roman"/>
          <w:lang w:val="en-GB"/>
        </w:rPr>
        <w:t xml:space="preserve">. The free cash flow hypothesis proposed by Jensen </w:t>
      </w:r>
      <w:r w:rsidRPr="00363921">
        <w:rPr>
          <w:rFonts w:ascii="Times New Roman" w:hAnsi="Times New Roman"/>
          <w:noProof/>
          <w:lang w:val="en-GB"/>
        </w:rPr>
        <w:t>(1986)</w:t>
      </w:r>
      <w:r w:rsidRPr="00363921">
        <w:rPr>
          <w:rFonts w:ascii="Times New Roman" w:hAnsi="Times New Roman"/>
          <w:lang w:val="en-GB"/>
        </w:rPr>
        <w:t xml:space="preserve"> suggests that when managers have more cash than is needed to fund all profitable projects, they are likely to waste the free cash on value-decreasing investments. The hypothesis implies that high levels of free cash flow may result in lower firm value and higher agency costs to </w:t>
      </w:r>
      <w:r w:rsidR="00222D20">
        <w:rPr>
          <w:rFonts w:ascii="Times New Roman" w:hAnsi="Times New Roman"/>
          <w:lang w:val="en-GB"/>
        </w:rPr>
        <w:t>shareholder</w:t>
      </w:r>
      <w:r w:rsidRPr="00363921">
        <w:rPr>
          <w:rFonts w:ascii="Times New Roman" w:hAnsi="Times New Roman"/>
          <w:lang w:val="en-GB"/>
        </w:rPr>
        <w:t xml:space="preserve">s. </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 xml:space="preserve">Tests on the free cash flow hypothesis have reported mixed findings. Some studies, including Brush et al. </w:t>
      </w:r>
      <w:r w:rsidRPr="00363921">
        <w:rPr>
          <w:rFonts w:ascii="Times New Roman" w:hAnsi="Times New Roman"/>
          <w:noProof/>
          <w:lang w:val="en-GB"/>
        </w:rPr>
        <w:t>(2000)</w:t>
      </w:r>
      <w:r w:rsidRPr="00363921">
        <w:rPr>
          <w:rFonts w:ascii="Times New Roman" w:hAnsi="Times New Roman"/>
          <w:lang w:val="en-GB"/>
        </w:rPr>
        <w:t xml:space="preserve"> and Chung et al. </w:t>
      </w:r>
      <w:r w:rsidRPr="00363921">
        <w:rPr>
          <w:rFonts w:ascii="Times New Roman" w:hAnsi="Times New Roman"/>
          <w:noProof/>
          <w:lang w:val="en-GB"/>
        </w:rPr>
        <w:t>(2005)</w:t>
      </w:r>
      <w:r w:rsidRPr="00363921">
        <w:rPr>
          <w:rFonts w:ascii="Times New Roman" w:hAnsi="Times New Roman"/>
          <w:lang w:val="en-GB"/>
        </w:rPr>
        <w:t xml:space="preserve">, find support for the free cash flow hypothesis. Brush et al. </w:t>
      </w:r>
      <w:r w:rsidRPr="00363921">
        <w:rPr>
          <w:rFonts w:ascii="Times New Roman" w:hAnsi="Times New Roman"/>
          <w:noProof/>
          <w:lang w:val="en-GB"/>
        </w:rPr>
        <w:t>(2000)</w:t>
      </w:r>
      <w:r w:rsidRPr="00363921">
        <w:rPr>
          <w:rFonts w:ascii="Times New Roman" w:hAnsi="Times New Roman"/>
          <w:lang w:val="en-GB"/>
        </w:rPr>
        <w:t xml:space="preserve"> show that free cash flow reduces the positive influence of sales growth on performance. Chung et al. </w:t>
      </w:r>
      <w:r w:rsidRPr="00363921">
        <w:rPr>
          <w:rFonts w:ascii="Times New Roman" w:hAnsi="Times New Roman"/>
          <w:noProof/>
          <w:lang w:val="en-GB"/>
        </w:rPr>
        <w:t>(2005)</w:t>
      </w:r>
      <w:r w:rsidRPr="00363921">
        <w:rPr>
          <w:rFonts w:ascii="Times New Roman" w:hAnsi="Times New Roman"/>
          <w:lang w:val="en-GB"/>
        </w:rPr>
        <w:t xml:space="preserve"> report that excessive free cash flow is negatively associated with corporate profitability and </w:t>
      </w:r>
      <w:r w:rsidR="00260138">
        <w:rPr>
          <w:rFonts w:ascii="Times New Roman" w:hAnsi="Times New Roman" w:hint="eastAsia"/>
          <w:lang w:val="en-GB"/>
        </w:rPr>
        <w:t>share</w:t>
      </w:r>
      <w:r w:rsidRPr="00363921">
        <w:rPr>
          <w:rFonts w:ascii="Times New Roman" w:hAnsi="Times New Roman"/>
          <w:lang w:val="en-GB"/>
        </w:rPr>
        <w:t xml:space="preserve"> valuation. Carroll and Griffith </w:t>
      </w:r>
      <w:r w:rsidRPr="00363921">
        <w:rPr>
          <w:rFonts w:ascii="Times New Roman" w:hAnsi="Times New Roman"/>
          <w:noProof/>
          <w:lang w:val="en-GB"/>
        </w:rPr>
        <w:t>(2001)</w:t>
      </w:r>
      <w:r w:rsidRPr="00363921">
        <w:rPr>
          <w:rFonts w:ascii="Times New Roman" w:hAnsi="Times New Roman"/>
          <w:lang w:val="en-GB"/>
        </w:rPr>
        <w:t xml:space="preserve"> test the free cash flow hypothesis in the context of market for corporate control also find evidence consistent with the free cash flow hypothesis. Specifically, they find that white knights that do not have positive NPV projects tend to waste the free cash flow and excess debt capacity on value-decreasing acquisitions. In contrast, hostile bidders, which usually do not have high free cash flow, do not waste the free cash flow on buying negative NPV targets.</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 xml:space="preserve">On the other hand, some studies find evidence inconsistent with the free cash flow hypothesis. For example, Gregory </w:t>
      </w:r>
      <w:r w:rsidRPr="00363921">
        <w:rPr>
          <w:rFonts w:ascii="Times New Roman" w:hAnsi="Times New Roman"/>
          <w:noProof/>
          <w:lang w:val="en-GB"/>
        </w:rPr>
        <w:t>(2005)</w:t>
      </w:r>
      <w:r w:rsidRPr="00363921">
        <w:rPr>
          <w:rFonts w:ascii="Times New Roman" w:hAnsi="Times New Roman"/>
          <w:lang w:val="en-GB"/>
        </w:rPr>
        <w:t xml:space="preserve"> examines the long-run abnormal performance of UK acquirers and reports that acquirers with higher FCF have better performance. Chang et al. </w:t>
      </w:r>
      <w:r w:rsidRPr="00363921">
        <w:rPr>
          <w:rFonts w:ascii="Times New Roman" w:hAnsi="Times New Roman"/>
          <w:noProof/>
          <w:lang w:val="en-GB"/>
        </w:rPr>
        <w:t>(2007)</w:t>
      </w:r>
      <w:r w:rsidRPr="00363921">
        <w:rPr>
          <w:rFonts w:ascii="Times New Roman" w:hAnsi="Times New Roman"/>
          <w:lang w:val="en-GB"/>
        </w:rPr>
        <w:t xml:space="preserve"> find that investors prefer companies with large free cash flow and profitable investment opportunities. Wang </w:t>
      </w:r>
      <w:r w:rsidRPr="00363921">
        <w:rPr>
          <w:rFonts w:ascii="Times New Roman" w:hAnsi="Times New Roman"/>
          <w:noProof/>
          <w:lang w:val="en-GB"/>
        </w:rPr>
        <w:t>(2010)</w:t>
      </w:r>
      <w:r w:rsidRPr="00363921">
        <w:rPr>
          <w:rFonts w:ascii="Times New Roman" w:hAnsi="Times New Roman"/>
          <w:lang w:val="en-GB"/>
        </w:rPr>
        <w:t xml:space="preserve"> finds that free cash flow is positively related to firm performance. Chen et al. </w:t>
      </w:r>
      <w:r w:rsidRPr="00363921">
        <w:rPr>
          <w:rFonts w:ascii="Times New Roman" w:hAnsi="Times New Roman"/>
          <w:noProof/>
          <w:lang w:val="en-GB"/>
        </w:rPr>
        <w:t>(2012)</w:t>
      </w:r>
      <w:r w:rsidRPr="00363921">
        <w:rPr>
          <w:rFonts w:ascii="Times New Roman" w:hAnsi="Times New Roman"/>
          <w:lang w:val="en-GB"/>
        </w:rPr>
        <w:t xml:space="preserve"> reports that prior to the split share </w:t>
      </w:r>
      <w:r w:rsidR="00222D20">
        <w:rPr>
          <w:rFonts w:ascii="Times New Roman" w:hAnsi="Times New Roman"/>
          <w:lang w:val="en-GB"/>
        </w:rPr>
        <w:t xml:space="preserve">structure reform in China, </w:t>
      </w:r>
      <w:r w:rsidR="00222D20">
        <w:rPr>
          <w:rFonts w:ascii="Times New Roman" w:hAnsi="Times New Roman" w:hint="eastAsia"/>
          <w:lang w:val="en-GB"/>
        </w:rPr>
        <w:t xml:space="preserve">firms </w:t>
      </w:r>
      <w:r w:rsidRPr="00363921">
        <w:rPr>
          <w:rFonts w:ascii="Times New Roman" w:hAnsi="Times New Roman"/>
          <w:lang w:val="en-GB"/>
        </w:rPr>
        <w:t>with weaker governance have greater reduction</w:t>
      </w:r>
      <w:r w:rsidR="00222D20">
        <w:rPr>
          <w:rFonts w:ascii="Times New Roman" w:hAnsi="Times New Roman" w:hint="eastAsia"/>
          <w:lang w:val="en-GB"/>
        </w:rPr>
        <w:t>s</w:t>
      </w:r>
      <w:r w:rsidRPr="00363921">
        <w:rPr>
          <w:rFonts w:ascii="Times New Roman" w:hAnsi="Times New Roman"/>
          <w:lang w:val="en-GB"/>
        </w:rPr>
        <w:t xml:space="preserve"> in cash holdings.</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 xml:space="preserve">In the presence of agency problems, corporate governance is essential in alleviating the agency costs and protecting shareholders’ interests. The aim of this study is to examine the relationship between corporate governance and free cash flow. That is, we test if firms with better corporate governance are associated with lower free cash flow. Understanding how corporate governance affects free cash flow can help </w:t>
      </w:r>
      <w:r w:rsidR="00222D20">
        <w:rPr>
          <w:rFonts w:ascii="Times New Roman" w:hAnsi="Times New Roman" w:hint="eastAsia"/>
          <w:lang w:val="en-GB"/>
        </w:rPr>
        <w:t xml:space="preserve">market </w:t>
      </w:r>
      <w:r w:rsidRPr="00363921">
        <w:rPr>
          <w:rFonts w:ascii="Times New Roman" w:hAnsi="Times New Roman"/>
          <w:lang w:val="en-GB"/>
        </w:rPr>
        <w:t>investors at large know whether sufficient governance mechanisms are in place to monitor managers and to protect their interests.</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lastRenderedPageBreak/>
        <w:t xml:space="preserve">The agency model identifies a number of governance mechanisms that can be used to realign the interests of shareholders and managers. This study contributes to the literature by adopting a corporate governance index which considers several facets of corporate governance, including board composition, shareholding and compensation, shareholder rights, and disclosure. In contrast, previous studies have typically examined only one or two elements of corporate governance, such as board characteristics </w:t>
      </w:r>
      <w:r w:rsidRPr="00363921">
        <w:rPr>
          <w:rFonts w:ascii="Times New Roman" w:hAnsi="Times New Roman"/>
          <w:noProof/>
          <w:lang w:val="en-GB"/>
        </w:rPr>
        <w:t>(McKnight and Weir, 2009)</w:t>
      </w:r>
      <w:r w:rsidRPr="00363921">
        <w:rPr>
          <w:rFonts w:ascii="Times New Roman" w:hAnsi="Times New Roman"/>
          <w:lang w:val="en-GB"/>
        </w:rPr>
        <w:t xml:space="preserve">, ownership structure </w:t>
      </w:r>
      <w:r w:rsidRPr="00363921">
        <w:rPr>
          <w:rFonts w:ascii="Times New Roman" w:hAnsi="Times New Roman"/>
          <w:noProof/>
          <w:lang w:val="en-GB"/>
        </w:rPr>
        <w:t>(McKnight and Weir, 2009; Fatma and Chichti, 2011)</w:t>
      </w:r>
      <w:r w:rsidRPr="00363921">
        <w:rPr>
          <w:rFonts w:ascii="Times New Roman" w:hAnsi="Times New Roman"/>
          <w:lang w:val="en-GB"/>
        </w:rPr>
        <w:t xml:space="preserve"> and board committee characteristics </w:t>
      </w:r>
      <w:r w:rsidRPr="00363921">
        <w:rPr>
          <w:rFonts w:ascii="Times New Roman" w:hAnsi="Times New Roman"/>
          <w:noProof/>
          <w:lang w:val="en-GB"/>
        </w:rPr>
        <w:t>(McKnight and Weir, 2009; Adinehzadeh and Jaffar, 2013)</w:t>
      </w:r>
      <w:r w:rsidRPr="00363921">
        <w:rPr>
          <w:rFonts w:ascii="Times New Roman" w:hAnsi="Times New Roman"/>
          <w:lang w:val="en-GB"/>
        </w:rPr>
        <w:t xml:space="preserve">, and neglects other possible governance mechanisms. </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 xml:space="preserve">Specifically, Adinehzadeh and Jaffar </w:t>
      </w:r>
      <w:r w:rsidRPr="00363921">
        <w:rPr>
          <w:rFonts w:ascii="Times New Roman" w:hAnsi="Times New Roman"/>
          <w:noProof/>
          <w:lang w:val="en-GB"/>
        </w:rPr>
        <w:t>(2013)</w:t>
      </w:r>
      <w:r w:rsidRPr="00363921">
        <w:rPr>
          <w:rFonts w:ascii="Times New Roman" w:hAnsi="Times New Roman"/>
          <w:lang w:val="en-GB"/>
        </w:rPr>
        <w:t xml:space="preserve"> examine Malaysian companies and find that </w:t>
      </w:r>
      <w:r w:rsidR="002F0234">
        <w:rPr>
          <w:rFonts w:ascii="Times New Roman" w:hAnsi="Times New Roman" w:hint="eastAsia"/>
          <w:lang w:val="en-GB"/>
        </w:rPr>
        <w:t xml:space="preserve">the </w:t>
      </w:r>
      <w:r w:rsidR="002F0234" w:rsidRPr="00363921">
        <w:rPr>
          <w:rFonts w:ascii="Times New Roman" w:hAnsi="Times New Roman"/>
          <w:lang w:val="en-GB"/>
        </w:rPr>
        <w:t xml:space="preserve">characteristics </w:t>
      </w:r>
      <w:r w:rsidR="002F0234">
        <w:rPr>
          <w:rFonts w:ascii="Times New Roman" w:hAnsi="Times New Roman" w:hint="eastAsia"/>
          <w:lang w:val="en-GB"/>
        </w:rPr>
        <w:t xml:space="preserve">of </w:t>
      </w:r>
      <w:r w:rsidRPr="00363921">
        <w:rPr>
          <w:rFonts w:ascii="Times New Roman" w:hAnsi="Times New Roman"/>
          <w:lang w:val="en-GB"/>
        </w:rPr>
        <w:t>audit committee, including the size of audit committee, frequency of audit committee meeting, and the proportion of audit committee independence, are positively associated with the level of free cash. They show the important governance role of audit committee in monitoring managers and in the management of cash flow. Fatma</w:t>
      </w:r>
      <w:r w:rsidRPr="00363921">
        <w:rPr>
          <w:rFonts w:ascii="Times New Roman" w:hAnsi="Times New Roman"/>
        </w:rPr>
        <w:t xml:space="preserve"> </w:t>
      </w:r>
      <w:r w:rsidRPr="00363921">
        <w:rPr>
          <w:rFonts w:ascii="Times New Roman" w:hAnsi="Times New Roman"/>
          <w:lang w:val="en-GB"/>
        </w:rPr>
        <w:t xml:space="preserve">and Chichti </w:t>
      </w:r>
      <w:r w:rsidRPr="00363921">
        <w:rPr>
          <w:rFonts w:ascii="Times New Roman" w:hAnsi="Times New Roman"/>
          <w:noProof/>
          <w:lang w:val="en-GB"/>
        </w:rPr>
        <w:t>(2011)</w:t>
      </w:r>
      <w:r w:rsidR="002F0234">
        <w:rPr>
          <w:rFonts w:ascii="Times New Roman" w:hAnsi="Times New Roman"/>
          <w:lang w:val="en-GB"/>
        </w:rPr>
        <w:t xml:space="preserve"> adopt a three</w:t>
      </w:r>
      <w:r w:rsidR="002F0234">
        <w:rPr>
          <w:rFonts w:ascii="Times New Roman" w:hAnsi="Times New Roman" w:hint="eastAsia"/>
          <w:lang w:val="en-GB"/>
        </w:rPr>
        <w:t>-</w:t>
      </w:r>
      <w:r w:rsidRPr="00363921">
        <w:rPr>
          <w:rFonts w:ascii="Times New Roman" w:hAnsi="Times New Roman"/>
          <w:lang w:val="en-GB"/>
        </w:rPr>
        <w:t xml:space="preserve">stage least square simultaneous model and find that debt policy is the main governance mechanism in limiting free cash flow. </w:t>
      </w:r>
      <w:r w:rsidR="002F0234">
        <w:rPr>
          <w:rFonts w:ascii="Times New Roman" w:hAnsi="Times New Roman" w:hint="eastAsia"/>
          <w:lang w:val="en-GB"/>
        </w:rPr>
        <w:t>In addition, m</w:t>
      </w:r>
      <w:r w:rsidRPr="00363921">
        <w:rPr>
          <w:rFonts w:ascii="Times New Roman" w:hAnsi="Times New Roman"/>
          <w:lang w:val="en-GB"/>
        </w:rPr>
        <w:t xml:space="preserve">anagerial ownership has a negative effect </w:t>
      </w:r>
      <w:r w:rsidR="002F0234">
        <w:rPr>
          <w:rFonts w:ascii="Times New Roman" w:hAnsi="Times New Roman"/>
          <w:lang w:val="en-GB"/>
        </w:rPr>
        <w:t>on the level of free cash flow</w:t>
      </w:r>
      <w:r w:rsidR="002F0234">
        <w:rPr>
          <w:rFonts w:ascii="Times New Roman" w:hAnsi="Times New Roman" w:hint="eastAsia"/>
          <w:lang w:val="en-GB"/>
        </w:rPr>
        <w:t xml:space="preserve"> while </w:t>
      </w:r>
      <w:r w:rsidRPr="00363921">
        <w:rPr>
          <w:rFonts w:ascii="Times New Roman" w:hAnsi="Times New Roman"/>
          <w:lang w:val="en-GB"/>
        </w:rPr>
        <w:t>ownership concentration is posit</w:t>
      </w:r>
      <w:r w:rsidR="002F0234">
        <w:rPr>
          <w:rFonts w:ascii="Times New Roman" w:hAnsi="Times New Roman"/>
          <w:lang w:val="en-GB"/>
        </w:rPr>
        <w:t>ively related to free cash flow</w:t>
      </w:r>
      <w:r w:rsidR="002F0234">
        <w:rPr>
          <w:rFonts w:ascii="Times New Roman" w:hAnsi="Times New Roman" w:hint="eastAsia"/>
          <w:lang w:val="en-GB"/>
        </w:rPr>
        <w:t>. I</w:t>
      </w:r>
      <w:r w:rsidRPr="00363921">
        <w:rPr>
          <w:rFonts w:ascii="Times New Roman" w:hAnsi="Times New Roman"/>
          <w:lang w:val="en-GB"/>
        </w:rPr>
        <w:t>nstitutional ownership is not significantly associated with free cash flow.</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 xml:space="preserve">The results from this study do not support Jensen’s </w:t>
      </w:r>
      <w:r w:rsidRPr="00363921">
        <w:rPr>
          <w:rFonts w:ascii="Times New Roman" w:hAnsi="Times New Roman"/>
          <w:noProof/>
          <w:lang w:val="en-GB"/>
        </w:rPr>
        <w:t>(1986)</w:t>
      </w:r>
      <w:r w:rsidRPr="00363921">
        <w:rPr>
          <w:rFonts w:ascii="Times New Roman" w:hAnsi="Times New Roman"/>
          <w:lang w:val="en-GB"/>
        </w:rPr>
        <w:t xml:space="preserve"> free cash flow hypothesis. Based on a sample of Canadian companies between 2009 and 2012, we find that firms with higher corporate governance scores have larger free cash flow</w:t>
      </w:r>
      <w:r w:rsidR="002F0234">
        <w:rPr>
          <w:rFonts w:ascii="Times New Roman" w:hAnsi="Times New Roman" w:hint="eastAsia"/>
          <w:lang w:val="en-GB"/>
        </w:rPr>
        <w:t>s</w:t>
      </w:r>
      <w:r w:rsidRPr="00363921">
        <w:rPr>
          <w:rFonts w:ascii="Times New Roman" w:hAnsi="Times New Roman"/>
          <w:lang w:val="en-GB"/>
        </w:rPr>
        <w:t xml:space="preserve">. The results are consistent with the findings of Gregory </w:t>
      </w:r>
      <w:r w:rsidRPr="00363921">
        <w:rPr>
          <w:rFonts w:ascii="Times New Roman" w:hAnsi="Times New Roman"/>
          <w:noProof/>
          <w:lang w:val="en-GB"/>
        </w:rPr>
        <w:t>(2005)</w:t>
      </w:r>
      <w:r w:rsidRPr="00363921">
        <w:rPr>
          <w:rFonts w:ascii="Times New Roman" w:hAnsi="Times New Roman"/>
          <w:lang w:val="en-GB"/>
        </w:rPr>
        <w:t xml:space="preserve"> and Wang </w:t>
      </w:r>
      <w:r w:rsidRPr="00363921">
        <w:rPr>
          <w:rFonts w:ascii="Times New Roman" w:hAnsi="Times New Roman"/>
          <w:noProof/>
          <w:lang w:val="en-GB"/>
        </w:rPr>
        <w:t>(2010)</w:t>
      </w:r>
      <w:r w:rsidRPr="00363921">
        <w:rPr>
          <w:rFonts w:ascii="Times New Roman" w:hAnsi="Times New Roman"/>
          <w:lang w:val="en-GB"/>
        </w:rPr>
        <w:t xml:space="preserve"> and suggest that increased free cash flow</w:t>
      </w:r>
      <w:r w:rsidR="002F0234">
        <w:rPr>
          <w:rFonts w:ascii="Times New Roman" w:hAnsi="Times New Roman" w:hint="eastAsia"/>
          <w:lang w:val="en-GB"/>
        </w:rPr>
        <w:t>s</w:t>
      </w:r>
      <w:r w:rsidRPr="00363921">
        <w:rPr>
          <w:rFonts w:ascii="Times New Roman" w:hAnsi="Times New Roman"/>
          <w:lang w:val="en-GB"/>
        </w:rPr>
        <w:t xml:space="preserve"> </w:t>
      </w:r>
      <w:r w:rsidR="002F0234">
        <w:rPr>
          <w:rFonts w:ascii="Times New Roman" w:hAnsi="Times New Roman" w:hint="eastAsia"/>
          <w:lang w:val="en-GB"/>
        </w:rPr>
        <w:t>can</w:t>
      </w:r>
      <w:r w:rsidRPr="00363921">
        <w:rPr>
          <w:rFonts w:ascii="Times New Roman" w:hAnsi="Times New Roman"/>
          <w:lang w:val="en-GB"/>
        </w:rPr>
        <w:t xml:space="preserve"> be a result of better internal operating efficiency. High free cash flow firms are found to have good firm performance and are associated with high ROE and Tobin’s </w:t>
      </w:r>
      <w:r w:rsidR="00125EBC">
        <w:rPr>
          <w:rFonts w:ascii="Times New Roman" w:hAnsi="Times New Roman" w:hint="eastAsia"/>
          <w:lang w:val="en-GB"/>
        </w:rPr>
        <w:t>Q</w:t>
      </w:r>
      <w:r w:rsidRPr="00363921">
        <w:rPr>
          <w:rFonts w:ascii="Times New Roman" w:hAnsi="Times New Roman"/>
          <w:lang w:val="en-GB"/>
        </w:rPr>
        <w:t xml:space="preserve"> although the result on ROE is statistically insignificant.</w:t>
      </w:r>
    </w:p>
    <w:p w:rsidR="00256B40" w:rsidRPr="00363921" w:rsidRDefault="00256B40" w:rsidP="00222D20">
      <w:pPr>
        <w:tabs>
          <w:tab w:val="left" w:pos="851"/>
        </w:tabs>
        <w:jc w:val="both"/>
        <w:rPr>
          <w:rFonts w:ascii="Times New Roman" w:hAnsi="Times New Roman"/>
          <w:highlight w:val="yellow"/>
          <w:lang w:val="en-GB"/>
        </w:rPr>
      </w:pPr>
    </w:p>
    <w:p w:rsidR="00256B40" w:rsidRPr="00363921" w:rsidRDefault="00256B40" w:rsidP="00222D20">
      <w:pPr>
        <w:tabs>
          <w:tab w:val="left" w:pos="851"/>
        </w:tabs>
        <w:jc w:val="both"/>
        <w:rPr>
          <w:rFonts w:ascii="Times New Roman" w:hAnsi="Times New Roman"/>
          <w:lang w:val="en-GB"/>
        </w:rPr>
      </w:pPr>
      <w:r w:rsidRPr="00363921">
        <w:rPr>
          <w:rFonts w:ascii="Times New Roman" w:hAnsi="Times New Roman"/>
          <w:lang w:val="en-GB"/>
        </w:rPr>
        <w:t>This paper is structured as follows. The following section reviews the prior empirical literature on free cash flow and corporate governance, and develops the hypothesis tested in this study. Then, we describe the sample and data, and specify the model. Finally, we present the empirical results and provide conclusions from this study.</w:t>
      </w:r>
    </w:p>
    <w:p w:rsidR="00256B40" w:rsidRPr="00363921" w:rsidRDefault="00256B40" w:rsidP="00222D20">
      <w:pPr>
        <w:tabs>
          <w:tab w:val="left" w:pos="851"/>
        </w:tabs>
        <w:jc w:val="both"/>
        <w:rPr>
          <w:rFonts w:ascii="Times New Roman" w:hAnsi="Times New Roman"/>
          <w:lang w:val="en-GB"/>
        </w:rPr>
      </w:pPr>
    </w:p>
    <w:p w:rsidR="00256B40" w:rsidRPr="00363921" w:rsidRDefault="00256B40" w:rsidP="00222D20">
      <w:pPr>
        <w:pStyle w:val="a3"/>
        <w:widowControl/>
        <w:numPr>
          <w:ilvl w:val="0"/>
          <w:numId w:val="2"/>
        </w:numPr>
        <w:ind w:leftChars="0"/>
        <w:rPr>
          <w:rFonts w:ascii="Times New Roman" w:hAnsi="Times New Roman"/>
          <w:b/>
          <w:lang w:val="en-GB"/>
        </w:rPr>
      </w:pPr>
      <w:r w:rsidRPr="00363921">
        <w:rPr>
          <w:rFonts w:ascii="Times New Roman" w:hAnsi="Times New Roman"/>
          <w:b/>
          <w:lang w:val="en-GB"/>
        </w:rPr>
        <w:t>Literature Review and Hypothesis Development</w:t>
      </w:r>
    </w:p>
    <w:p w:rsidR="00256B40" w:rsidRPr="00363921" w:rsidRDefault="00256B40" w:rsidP="00222D20">
      <w:pPr>
        <w:pStyle w:val="a3"/>
        <w:widowControl/>
        <w:ind w:leftChars="0" w:left="0"/>
        <w:jc w:val="both"/>
        <w:rPr>
          <w:rFonts w:ascii="Times New Roman" w:hAnsi="Times New Roman"/>
          <w:lang w:val="en-GB"/>
        </w:rPr>
      </w:pPr>
      <w:r w:rsidRPr="00363921">
        <w:rPr>
          <w:rFonts w:ascii="Times New Roman" w:hAnsi="Times New Roman"/>
          <w:lang w:val="en-GB"/>
        </w:rPr>
        <w:t>The basic idea of agency theory is that the agents (or managers) are prone to maximi</w:t>
      </w:r>
      <w:r w:rsidR="00C710E6">
        <w:rPr>
          <w:rFonts w:ascii="Times New Roman" w:hAnsi="Times New Roman" w:hint="eastAsia"/>
          <w:lang w:val="en-GB"/>
        </w:rPr>
        <w:t>z</w:t>
      </w:r>
      <w:r w:rsidRPr="00363921">
        <w:rPr>
          <w:rFonts w:ascii="Times New Roman" w:hAnsi="Times New Roman"/>
          <w:lang w:val="en-GB"/>
        </w:rPr>
        <w:t>e his self-interest</w:t>
      </w:r>
      <w:r w:rsidR="00C710E6">
        <w:rPr>
          <w:rFonts w:ascii="Times New Roman" w:hAnsi="Times New Roman" w:hint="eastAsia"/>
          <w:lang w:val="en-GB"/>
        </w:rPr>
        <w:t>s</w:t>
      </w:r>
      <w:r w:rsidRPr="00363921">
        <w:rPr>
          <w:rFonts w:ascii="Times New Roman" w:hAnsi="Times New Roman"/>
          <w:lang w:val="en-GB"/>
        </w:rPr>
        <w:t xml:space="preserve">. Jensen </w:t>
      </w:r>
      <w:r w:rsidRPr="00363921">
        <w:rPr>
          <w:rFonts w:ascii="Times New Roman" w:hAnsi="Times New Roman"/>
          <w:noProof/>
          <w:lang w:val="en-GB"/>
        </w:rPr>
        <w:t>(1986)</w:t>
      </w:r>
      <w:r w:rsidRPr="00363921">
        <w:rPr>
          <w:rFonts w:ascii="Times New Roman" w:hAnsi="Times New Roman"/>
          <w:lang w:val="en-GB"/>
        </w:rPr>
        <w:t xml:space="preserve"> suggests that the existence of free cash </w:t>
      </w:r>
      <w:r w:rsidRPr="00363921">
        <w:rPr>
          <w:rFonts w:ascii="Times New Roman" w:hAnsi="Times New Roman"/>
          <w:lang w:val="en-GB"/>
        </w:rPr>
        <w:lastRenderedPageBreak/>
        <w:t xml:space="preserve">flow intensifies this problem and increases the potential conflicts of interests between managers and shareholders as managers have discretion over the use of free cash flow. There is an increased risk that managers may spend this money on unprofitable projects rather than returning the money to shareholders, for example, in the form of dividends. According to Brush et al. </w:t>
      </w:r>
      <w:r w:rsidRPr="00363921">
        <w:rPr>
          <w:rFonts w:ascii="Times New Roman" w:hAnsi="Times New Roman"/>
          <w:noProof/>
          <w:lang w:val="en-GB"/>
        </w:rPr>
        <w:t>(2000)</w:t>
      </w:r>
      <w:r w:rsidRPr="00363921">
        <w:rPr>
          <w:rFonts w:ascii="Times New Roman" w:hAnsi="Times New Roman"/>
          <w:lang w:val="en-GB"/>
        </w:rPr>
        <w:t xml:space="preserve">, the agency theory lies on three premises. First, managers are motivated to meet their self-interests and maximize their own wealth. Secondly, the presence of free cash flow could lead to managerial waste and inefficiency. Thirdly, weak corporate governance increases the agency costs to </w:t>
      </w:r>
      <w:r w:rsidR="00222D20">
        <w:rPr>
          <w:rFonts w:ascii="Times New Roman" w:hAnsi="Times New Roman"/>
          <w:lang w:val="en-GB"/>
        </w:rPr>
        <w:t>shareholder</w:t>
      </w:r>
      <w:r w:rsidRPr="00363921">
        <w:rPr>
          <w:rFonts w:ascii="Times New Roman" w:hAnsi="Times New Roman"/>
          <w:lang w:val="en-GB"/>
        </w:rPr>
        <w:t xml:space="preserve">s. Jensen </w:t>
      </w:r>
      <w:r w:rsidRPr="00363921">
        <w:rPr>
          <w:rFonts w:ascii="Times New Roman" w:hAnsi="Times New Roman"/>
          <w:noProof/>
          <w:lang w:val="en-GB"/>
        </w:rPr>
        <w:t>(1993)</w:t>
      </w:r>
      <w:r w:rsidRPr="00363921">
        <w:rPr>
          <w:rFonts w:ascii="Times New Roman" w:hAnsi="Times New Roman"/>
          <w:lang w:val="en-GB"/>
        </w:rPr>
        <w:t xml:space="preserve"> argues that the free cash flow problem was the reason that the investment return fell below the required rate of return in the US companies in the 1980s.</w:t>
      </w:r>
    </w:p>
    <w:p w:rsidR="00256B40" w:rsidRPr="00363921" w:rsidRDefault="00256B40" w:rsidP="00222D20">
      <w:pPr>
        <w:pStyle w:val="a3"/>
        <w:widowControl/>
        <w:ind w:leftChars="0" w:left="0"/>
        <w:jc w:val="both"/>
        <w:rPr>
          <w:rFonts w:ascii="Times New Roman" w:hAnsi="Times New Roman"/>
          <w:lang w:val="en-GB"/>
        </w:rPr>
      </w:pPr>
    </w:p>
    <w:p w:rsidR="00256B40" w:rsidRPr="00363921" w:rsidRDefault="00256B40" w:rsidP="00222D20">
      <w:pPr>
        <w:pStyle w:val="a3"/>
        <w:widowControl/>
        <w:ind w:leftChars="0" w:left="0"/>
        <w:jc w:val="both"/>
        <w:rPr>
          <w:rFonts w:ascii="Times New Roman" w:hAnsi="Times New Roman"/>
          <w:lang w:val="en-GB"/>
        </w:rPr>
      </w:pPr>
      <w:r w:rsidRPr="00363921">
        <w:rPr>
          <w:rFonts w:ascii="Times New Roman" w:hAnsi="Times New Roman"/>
          <w:lang w:val="en-GB"/>
        </w:rPr>
        <w:t xml:space="preserve">Wang </w:t>
      </w:r>
      <w:r w:rsidRPr="00363921">
        <w:rPr>
          <w:rFonts w:ascii="Times New Roman" w:hAnsi="Times New Roman"/>
          <w:noProof/>
          <w:lang w:val="en-GB"/>
        </w:rPr>
        <w:t>(2010)</w:t>
      </w:r>
      <w:r w:rsidRPr="00363921">
        <w:rPr>
          <w:rFonts w:ascii="Times New Roman" w:hAnsi="Times New Roman"/>
          <w:lang w:val="en-GB"/>
        </w:rPr>
        <w:t xml:space="preserve"> examines the relationship between free cash flow and agency costs and how free cash flow and agency costs affect firm performance. Wang </w:t>
      </w:r>
      <w:r w:rsidRPr="00363921">
        <w:rPr>
          <w:rFonts w:ascii="Times New Roman" w:hAnsi="Times New Roman"/>
          <w:noProof/>
          <w:lang w:val="en-GB"/>
        </w:rPr>
        <w:t>(2010)</w:t>
      </w:r>
      <w:r w:rsidRPr="00363921">
        <w:rPr>
          <w:rFonts w:ascii="Times New Roman" w:hAnsi="Times New Roman"/>
          <w:lang w:val="en-GB"/>
        </w:rPr>
        <w:t xml:space="preserve"> finds two counter effects that free cash flow has on agency costs. Free cash flow can increase agency costs due to managerial perquisite consumption. On the other hand, free cash flow can be associated with lower agency costs if the free cash flow is a result of better operating efficiency. Wang </w:t>
      </w:r>
      <w:r w:rsidRPr="00363921">
        <w:rPr>
          <w:rFonts w:ascii="Times New Roman" w:hAnsi="Times New Roman"/>
          <w:noProof/>
          <w:lang w:val="en-GB"/>
        </w:rPr>
        <w:t>(2010)</w:t>
      </w:r>
      <w:r w:rsidRPr="00363921">
        <w:rPr>
          <w:rFonts w:ascii="Times New Roman" w:hAnsi="Times New Roman"/>
          <w:lang w:val="en-GB"/>
        </w:rPr>
        <w:t xml:space="preserve"> show</w:t>
      </w:r>
      <w:r w:rsidR="00C710E6">
        <w:rPr>
          <w:rFonts w:ascii="Times New Roman" w:hAnsi="Times New Roman" w:hint="eastAsia"/>
          <w:lang w:val="en-GB"/>
        </w:rPr>
        <w:t>s</w:t>
      </w:r>
      <w:r w:rsidRPr="00363921">
        <w:rPr>
          <w:rFonts w:ascii="Times New Roman" w:hAnsi="Times New Roman"/>
          <w:lang w:val="en-GB"/>
        </w:rPr>
        <w:t xml:space="preserve"> that agency costs is significantly negatively associated with firm performance while free cash flow is significantly positively related to firm performance. The former result supports the agency theory while the latter is inconsistent with the free cash flow hypothesis.</w:t>
      </w:r>
    </w:p>
    <w:p w:rsidR="00256B40" w:rsidRPr="00363921" w:rsidRDefault="00256B40" w:rsidP="00222D20">
      <w:pPr>
        <w:pStyle w:val="a3"/>
        <w:widowControl/>
        <w:ind w:leftChars="0" w:left="0"/>
        <w:jc w:val="both"/>
        <w:rPr>
          <w:rFonts w:ascii="Times New Roman" w:hAnsi="Times New Roman"/>
          <w:lang w:val="en-GB"/>
        </w:rPr>
      </w:pPr>
    </w:p>
    <w:p w:rsidR="00256B40" w:rsidRPr="00363921" w:rsidRDefault="00256B40" w:rsidP="00222D20">
      <w:pPr>
        <w:pStyle w:val="a3"/>
        <w:widowControl/>
        <w:ind w:leftChars="0" w:left="0"/>
        <w:jc w:val="both"/>
        <w:rPr>
          <w:rFonts w:ascii="Times New Roman" w:hAnsi="Times New Roman"/>
          <w:lang w:val="en-GB"/>
        </w:rPr>
      </w:pPr>
      <w:r w:rsidRPr="00363921">
        <w:rPr>
          <w:rFonts w:ascii="Times New Roman" w:hAnsi="Times New Roman"/>
          <w:lang w:val="en-GB"/>
        </w:rPr>
        <w:t xml:space="preserve">McKnight and Weir </w:t>
      </w:r>
      <w:r w:rsidRPr="00363921">
        <w:rPr>
          <w:rFonts w:ascii="Times New Roman" w:hAnsi="Times New Roman"/>
          <w:noProof/>
          <w:lang w:val="en-GB"/>
        </w:rPr>
        <w:t>(2009)</w:t>
      </w:r>
      <w:r w:rsidRPr="00363921">
        <w:rPr>
          <w:rFonts w:ascii="Times New Roman" w:hAnsi="Times New Roman"/>
          <w:lang w:val="en-GB"/>
        </w:rPr>
        <w:t xml:space="preserve"> examines the relationship between corporate governance and agency costs, measured by the ratio of sales to total assets, the interaction of free </w:t>
      </w:r>
      <w:r w:rsidR="00C710E6">
        <w:rPr>
          <w:rFonts w:ascii="Times New Roman" w:hAnsi="Times New Roman" w:hint="eastAsia"/>
          <w:lang w:val="en-GB"/>
        </w:rPr>
        <w:t>c</w:t>
      </w:r>
      <w:r w:rsidRPr="00363921">
        <w:rPr>
          <w:rFonts w:ascii="Times New Roman" w:hAnsi="Times New Roman"/>
          <w:lang w:val="en-GB"/>
        </w:rPr>
        <w:t>ash flow and growth prospects, and the number of acquisitions. Their evidence based a sample of large UK publicly quoted companies shows that increasing board ownership and debt reduce agency costs. However, changes in board structures barely have any impact on agency costs and having a nomination committee increases, rather than lowers, the agency costs.</w:t>
      </w:r>
    </w:p>
    <w:p w:rsidR="00256B40" w:rsidRPr="00363921" w:rsidRDefault="00256B40" w:rsidP="00222D20">
      <w:pPr>
        <w:pStyle w:val="a3"/>
        <w:widowControl/>
        <w:ind w:leftChars="0" w:left="0"/>
        <w:jc w:val="both"/>
        <w:rPr>
          <w:rFonts w:ascii="Times New Roman" w:hAnsi="Times New Roman"/>
          <w:lang w:val="en-GB"/>
        </w:rPr>
      </w:pPr>
    </w:p>
    <w:p w:rsidR="00256B40" w:rsidRPr="00363921" w:rsidRDefault="00256B40" w:rsidP="00222D20">
      <w:pPr>
        <w:pStyle w:val="a3"/>
        <w:widowControl/>
        <w:ind w:leftChars="0" w:left="0"/>
        <w:jc w:val="both"/>
        <w:rPr>
          <w:rFonts w:ascii="Times New Roman" w:hAnsi="Times New Roman"/>
        </w:rPr>
      </w:pPr>
      <w:r w:rsidRPr="00363921">
        <w:rPr>
          <w:rFonts w:ascii="Times New Roman" w:hAnsi="Times New Roman"/>
          <w:lang w:val="en-GB"/>
        </w:rPr>
        <w:t xml:space="preserve">The level of free cash flow proxies for the agency costs to </w:t>
      </w:r>
      <w:r w:rsidR="00222D20">
        <w:rPr>
          <w:rFonts w:ascii="Times New Roman" w:hAnsi="Times New Roman"/>
          <w:lang w:val="en-GB"/>
        </w:rPr>
        <w:t>shareholder</w:t>
      </w:r>
      <w:r w:rsidRPr="00363921">
        <w:rPr>
          <w:rFonts w:ascii="Times New Roman" w:hAnsi="Times New Roman"/>
          <w:lang w:val="en-GB"/>
        </w:rPr>
        <w:t>s. Previous studies suggest that corporate governance mechanisms are effective in lowering agency problem</w:t>
      </w:r>
      <w:r w:rsidR="00C710E6">
        <w:rPr>
          <w:rFonts w:ascii="Times New Roman" w:hAnsi="Times New Roman" w:hint="eastAsia"/>
          <w:lang w:val="en-GB"/>
        </w:rPr>
        <w:t>s</w:t>
      </w:r>
      <w:r w:rsidRPr="00363921">
        <w:rPr>
          <w:rFonts w:ascii="Times New Roman" w:hAnsi="Times New Roman"/>
          <w:lang w:val="en-GB"/>
        </w:rPr>
        <w:t xml:space="preserve"> and maximizing firm value </w:t>
      </w:r>
      <w:r w:rsidRPr="00363921">
        <w:rPr>
          <w:rFonts w:ascii="Times New Roman" w:hAnsi="Times New Roman"/>
          <w:noProof/>
          <w:lang w:val="en-GB"/>
        </w:rPr>
        <w:t>(Boone et al., 2007; Coles et al., 2008; Chi and Lee, 2010)</w:t>
      </w:r>
      <w:r w:rsidRPr="00363921">
        <w:rPr>
          <w:rFonts w:ascii="Times New Roman" w:hAnsi="Times New Roman"/>
          <w:lang w:val="en-GB"/>
        </w:rPr>
        <w:t xml:space="preserve">. For example, Chi and Lee </w:t>
      </w:r>
      <w:r w:rsidRPr="00363921">
        <w:rPr>
          <w:rFonts w:ascii="Times New Roman" w:hAnsi="Times New Roman"/>
          <w:noProof/>
          <w:lang w:val="en-GB"/>
        </w:rPr>
        <w:t>(2010)</w:t>
      </w:r>
      <w:r w:rsidRPr="00363921">
        <w:rPr>
          <w:rFonts w:ascii="Times New Roman" w:hAnsi="Times New Roman"/>
          <w:lang w:val="en-GB"/>
        </w:rPr>
        <w:t xml:space="preserve"> </w:t>
      </w:r>
      <w:r w:rsidRPr="00363921">
        <w:rPr>
          <w:rFonts w:ascii="Times New Roman" w:hAnsi="Times New Roman"/>
        </w:rPr>
        <w:t xml:space="preserve">examine the relationship between corporate governance and firm value conditional on the level of free cash flow available to managers. They find </w:t>
      </w:r>
      <w:r w:rsidR="00F91114">
        <w:rPr>
          <w:rFonts w:ascii="Times New Roman" w:hAnsi="Times New Roman" w:hint="eastAsia"/>
        </w:rPr>
        <w:t xml:space="preserve">that corporate </w:t>
      </w:r>
      <w:r w:rsidRPr="00363921">
        <w:rPr>
          <w:rFonts w:ascii="Times New Roman" w:hAnsi="Times New Roman"/>
        </w:rPr>
        <w:t xml:space="preserve">governance </w:t>
      </w:r>
      <w:r w:rsidR="00F91114">
        <w:rPr>
          <w:rFonts w:ascii="Times New Roman" w:hAnsi="Times New Roman" w:hint="eastAsia"/>
        </w:rPr>
        <w:t>affects</w:t>
      </w:r>
      <w:r w:rsidRPr="00363921">
        <w:rPr>
          <w:rFonts w:ascii="Times New Roman" w:hAnsi="Times New Roman"/>
        </w:rPr>
        <w:t xml:space="preserve"> firm value </w:t>
      </w:r>
      <w:r w:rsidR="00F91114">
        <w:rPr>
          <w:rFonts w:ascii="Times New Roman" w:hAnsi="Times New Roman" w:hint="eastAsia"/>
        </w:rPr>
        <w:t xml:space="preserve">differently </w:t>
      </w:r>
      <w:r w:rsidRPr="00363921">
        <w:rPr>
          <w:rFonts w:ascii="Times New Roman" w:hAnsi="Times New Roman"/>
        </w:rPr>
        <w:t xml:space="preserve">depending on whether the firm has </w:t>
      </w:r>
      <w:r w:rsidR="00F91114">
        <w:rPr>
          <w:rFonts w:ascii="Times New Roman" w:hAnsi="Times New Roman" w:hint="eastAsia"/>
        </w:rPr>
        <w:t>high</w:t>
      </w:r>
      <w:r w:rsidRPr="00363921">
        <w:rPr>
          <w:rFonts w:ascii="Times New Roman" w:hAnsi="Times New Roman"/>
        </w:rPr>
        <w:t xml:space="preserve"> or </w:t>
      </w:r>
      <w:r w:rsidR="00F91114">
        <w:rPr>
          <w:rFonts w:ascii="Times New Roman" w:hAnsi="Times New Roman" w:hint="eastAsia"/>
        </w:rPr>
        <w:t>low</w:t>
      </w:r>
      <w:r w:rsidRPr="00363921">
        <w:rPr>
          <w:rFonts w:ascii="Times New Roman" w:hAnsi="Times New Roman"/>
        </w:rPr>
        <w:t xml:space="preserve"> free cash flow. Specifically, firm value increases with better governance quality among high free cash flow firms </w:t>
      </w:r>
      <w:r w:rsidRPr="00363921">
        <w:rPr>
          <w:rFonts w:ascii="Times New Roman" w:hAnsi="Times New Roman"/>
        </w:rPr>
        <w:lastRenderedPageBreak/>
        <w:t xml:space="preserve">while the governance effect is lower or insignificant among low free cash flow firms. Francis et al. </w:t>
      </w:r>
      <w:r w:rsidRPr="00363921">
        <w:rPr>
          <w:rFonts w:ascii="Times New Roman" w:hAnsi="Times New Roman"/>
          <w:noProof/>
        </w:rPr>
        <w:t>(2013)</w:t>
      </w:r>
      <w:r w:rsidRPr="00363921">
        <w:rPr>
          <w:rFonts w:ascii="Times New Roman" w:hAnsi="Times New Roman"/>
        </w:rPr>
        <w:t xml:space="preserve"> shows that firms’ investment-cash flow sensitivity increases when firms have poor corporate governance.</w:t>
      </w:r>
    </w:p>
    <w:p w:rsidR="00256B40" w:rsidRPr="00363921" w:rsidRDefault="00256B40" w:rsidP="00222D20">
      <w:pPr>
        <w:pStyle w:val="a3"/>
        <w:widowControl/>
        <w:ind w:leftChars="0" w:left="0"/>
        <w:jc w:val="both"/>
        <w:rPr>
          <w:rFonts w:ascii="Times New Roman" w:hAnsi="Times New Roman"/>
        </w:rPr>
      </w:pPr>
    </w:p>
    <w:p w:rsidR="00256B40" w:rsidRPr="00363921" w:rsidRDefault="00256B40" w:rsidP="00222D20">
      <w:pPr>
        <w:pStyle w:val="a3"/>
        <w:widowControl/>
        <w:ind w:leftChars="0" w:left="0"/>
        <w:jc w:val="both"/>
        <w:rPr>
          <w:rFonts w:ascii="Times New Roman" w:hAnsi="Times New Roman"/>
        </w:rPr>
      </w:pPr>
      <w:r w:rsidRPr="00363921">
        <w:rPr>
          <w:rFonts w:ascii="Times New Roman" w:hAnsi="Times New Roman"/>
        </w:rPr>
        <w:t xml:space="preserve">Moreover, a number of studies, including Richardson </w:t>
      </w:r>
      <w:r w:rsidRPr="00363921">
        <w:rPr>
          <w:rFonts w:ascii="Times New Roman" w:hAnsi="Times New Roman"/>
          <w:noProof/>
        </w:rPr>
        <w:t>(2006)</w:t>
      </w:r>
      <w:r w:rsidRPr="00363921">
        <w:rPr>
          <w:rFonts w:ascii="Times New Roman" w:hAnsi="Times New Roman"/>
        </w:rPr>
        <w:t xml:space="preserve">, Cai </w:t>
      </w:r>
      <w:r w:rsidRPr="00363921">
        <w:rPr>
          <w:rFonts w:ascii="Times New Roman" w:hAnsi="Times New Roman"/>
          <w:noProof/>
        </w:rPr>
        <w:t>(2013)</w:t>
      </w:r>
      <w:r w:rsidRPr="00363921">
        <w:rPr>
          <w:rFonts w:ascii="Times New Roman" w:hAnsi="Times New Roman"/>
        </w:rPr>
        <w:t xml:space="preserve"> and Chen et al. </w:t>
      </w:r>
      <w:r w:rsidRPr="00363921">
        <w:rPr>
          <w:rFonts w:ascii="Times New Roman" w:hAnsi="Times New Roman"/>
          <w:noProof/>
        </w:rPr>
        <w:t>(2015)</w:t>
      </w:r>
      <w:r w:rsidRPr="00363921">
        <w:rPr>
          <w:rFonts w:ascii="Times New Roman" w:hAnsi="Times New Roman"/>
        </w:rPr>
        <w:t xml:space="preserve">, examine the relationship between free cash flow, corporate governance and over-investment in China and find evidence consistent with the free cash flow hypothesis. Firms with higher free cash flow show more pronounced over-investment. Cai </w:t>
      </w:r>
      <w:r w:rsidRPr="00363921">
        <w:rPr>
          <w:rFonts w:ascii="Times New Roman" w:hAnsi="Times New Roman"/>
          <w:noProof/>
        </w:rPr>
        <w:t>(2013)</w:t>
      </w:r>
      <w:r w:rsidRPr="00363921">
        <w:rPr>
          <w:rFonts w:ascii="Times New Roman" w:hAnsi="Times New Roman"/>
        </w:rPr>
        <w:t xml:space="preserve"> finds that the positive relationship between over-investment and free cash flow is driven largely by the state-owned enterprises sub-group. Chen et al. </w:t>
      </w:r>
      <w:r w:rsidRPr="00363921">
        <w:rPr>
          <w:rFonts w:ascii="Times New Roman" w:hAnsi="Times New Roman"/>
          <w:noProof/>
        </w:rPr>
        <w:t>(2015)</w:t>
      </w:r>
      <w:r w:rsidRPr="00363921">
        <w:rPr>
          <w:rFonts w:ascii="Times New Roman" w:hAnsi="Times New Roman"/>
        </w:rPr>
        <w:t xml:space="preserve"> further report that some governance structures, such as concentrated ownership and larger board size of supervisors, can alleviate the over-investment problem. </w:t>
      </w:r>
    </w:p>
    <w:p w:rsidR="00256B40" w:rsidRPr="00363921" w:rsidRDefault="00256B40" w:rsidP="00222D20">
      <w:pPr>
        <w:pStyle w:val="a3"/>
        <w:widowControl/>
        <w:ind w:leftChars="0" w:left="0"/>
        <w:jc w:val="both"/>
        <w:rPr>
          <w:rFonts w:ascii="Times New Roman" w:hAnsi="Times New Roman"/>
        </w:rPr>
      </w:pPr>
    </w:p>
    <w:p w:rsidR="00256B40" w:rsidRPr="00363921" w:rsidRDefault="00256B40" w:rsidP="00222D20">
      <w:pPr>
        <w:pStyle w:val="a3"/>
        <w:widowControl/>
        <w:ind w:leftChars="0" w:left="0"/>
        <w:jc w:val="both"/>
        <w:rPr>
          <w:rFonts w:ascii="Times New Roman" w:hAnsi="Times New Roman"/>
          <w:lang w:val="en-GB"/>
        </w:rPr>
      </w:pPr>
      <w:r w:rsidRPr="00363921">
        <w:rPr>
          <w:rFonts w:ascii="Times New Roman" w:hAnsi="Times New Roman"/>
        </w:rPr>
        <w:t>Accordingly</w:t>
      </w:r>
      <w:r w:rsidRPr="00363921">
        <w:rPr>
          <w:rFonts w:ascii="Times New Roman" w:hAnsi="Times New Roman"/>
          <w:lang w:val="en-GB"/>
        </w:rPr>
        <w:t xml:space="preserve">, corporate governance is expected to lower the free cash flow problem and </w:t>
      </w:r>
      <w:r w:rsidR="00A54411">
        <w:rPr>
          <w:rFonts w:ascii="Times New Roman" w:hAnsi="Times New Roman" w:hint="eastAsia"/>
          <w:lang w:val="en-GB"/>
        </w:rPr>
        <w:t>based Jensen</w:t>
      </w:r>
      <w:r w:rsidR="00A54411">
        <w:rPr>
          <w:rFonts w:ascii="Times New Roman" w:hAnsi="Times New Roman"/>
          <w:lang w:val="en-GB"/>
        </w:rPr>
        <w:t>’</w:t>
      </w:r>
      <w:r w:rsidR="00A54411">
        <w:rPr>
          <w:rFonts w:ascii="Times New Roman" w:hAnsi="Times New Roman" w:hint="eastAsia"/>
          <w:lang w:val="en-GB"/>
        </w:rPr>
        <w:t>s (1986) free cash flow hypoth</w:t>
      </w:r>
      <w:r w:rsidR="00A54411">
        <w:rPr>
          <w:rFonts w:ascii="Times New Roman" w:hAnsi="Times New Roman"/>
          <w:lang w:val="en-GB"/>
        </w:rPr>
        <w:t>esis</w:t>
      </w:r>
      <w:r w:rsidR="00A54411">
        <w:rPr>
          <w:rFonts w:ascii="Times New Roman" w:hAnsi="Times New Roman" w:hint="eastAsia"/>
          <w:lang w:val="en-GB"/>
        </w:rPr>
        <w:t xml:space="preserve">, </w:t>
      </w:r>
      <w:r w:rsidRPr="00363921">
        <w:rPr>
          <w:rFonts w:ascii="Times New Roman" w:hAnsi="Times New Roman"/>
          <w:lang w:val="en-GB"/>
        </w:rPr>
        <w:t>the following hypothesis is tested:</w:t>
      </w:r>
    </w:p>
    <w:p w:rsidR="00256B40" w:rsidRPr="00363921" w:rsidRDefault="00256B40" w:rsidP="00222D20">
      <w:pPr>
        <w:pStyle w:val="a3"/>
        <w:widowControl/>
        <w:ind w:leftChars="0" w:left="0"/>
        <w:jc w:val="both"/>
        <w:rPr>
          <w:rFonts w:ascii="Times New Roman" w:hAnsi="Times New Roman"/>
          <w:lang w:val="en-GB"/>
        </w:rPr>
      </w:pPr>
    </w:p>
    <w:p w:rsidR="00256B40" w:rsidRPr="00363921" w:rsidRDefault="00256B40" w:rsidP="00222D20">
      <w:pPr>
        <w:pStyle w:val="a3"/>
        <w:widowControl/>
        <w:ind w:leftChars="0" w:hangingChars="200" w:hanging="480"/>
        <w:jc w:val="both"/>
        <w:rPr>
          <w:rFonts w:ascii="Times New Roman" w:hAnsi="Times New Roman"/>
          <w:lang w:val="en-GB"/>
        </w:rPr>
      </w:pPr>
      <w:r w:rsidRPr="00363921">
        <w:rPr>
          <w:rFonts w:ascii="Times New Roman" w:hAnsi="Times New Roman"/>
          <w:i/>
          <w:lang w:val="en-GB"/>
        </w:rPr>
        <w:t>H1: Firms with higher corporate governance scores have lower levels of free cash flow.</w:t>
      </w:r>
    </w:p>
    <w:p w:rsidR="00256B40" w:rsidRPr="00363921" w:rsidRDefault="00256B40" w:rsidP="00222D20">
      <w:pPr>
        <w:pStyle w:val="a3"/>
        <w:widowControl/>
        <w:ind w:leftChars="0" w:left="0"/>
        <w:jc w:val="both"/>
        <w:rPr>
          <w:rFonts w:ascii="Times New Roman" w:hAnsi="Times New Roman"/>
          <w:lang w:val="en-GB"/>
        </w:rPr>
      </w:pPr>
    </w:p>
    <w:p w:rsidR="00256B40" w:rsidRPr="00363921" w:rsidRDefault="00256B40" w:rsidP="00222D20">
      <w:pPr>
        <w:pStyle w:val="a3"/>
        <w:widowControl/>
        <w:numPr>
          <w:ilvl w:val="0"/>
          <w:numId w:val="2"/>
        </w:numPr>
        <w:ind w:leftChars="0"/>
        <w:jc w:val="both"/>
        <w:rPr>
          <w:rFonts w:ascii="Times New Roman" w:hAnsi="Times New Roman"/>
          <w:b/>
          <w:lang w:val="en-GB"/>
        </w:rPr>
      </w:pPr>
      <w:r w:rsidRPr="00363921">
        <w:rPr>
          <w:rFonts w:ascii="Times New Roman" w:hAnsi="Times New Roman"/>
          <w:b/>
          <w:lang w:val="en-GB"/>
        </w:rPr>
        <w:t>Data and Method</w:t>
      </w:r>
    </w:p>
    <w:p w:rsidR="00256B40" w:rsidRPr="00363921" w:rsidRDefault="00256B40" w:rsidP="00222D20">
      <w:pPr>
        <w:pStyle w:val="Paragraph"/>
        <w:numPr>
          <w:ilvl w:val="1"/>
          <w:numId w:val="2"/>
        </w:numPr>
        <w:spacing w:before="0" w:line="240" w:lineRule="auto"/>
        <w:rPr>
          <w:i/>
          <w:lang w:eastAsia="zh-TW"/>
        </w:rPr>
      </w:pPr>
      <w:r w:rsidRPr="00363921">
        <w:rPr>
          <w:i/>
          <w:lang w:eastAsia="zh-TW"/>
        </w:rPr>
        <w:t>Sample and Data</w:t>
      </w:r>
    </w:p>
    <w:p w:rsidR="00256B40" w:rsidRPr="00363921" w:rsidRDefault="00256B40" w:rsidP="00222D20">
      <w:pPr>
        <w:pStyle w:val="Paragraph"/>
        <w:spacing w:before="0" w:line="240" w:lineRule="auto"/>
        <w:jc w:val="both"/>
      </w:pPr>
      <w:r w:rsidRPr="00363921">
        <w:t xml:space="preserve">The sample </w:t>
      </w:r>
      <w:r w:rsidRPr="00363921">
        <w:rPr>
          <w:lang w:eastAsia="zh-TW"/>
        </w:rPr>
        <w:t>is based on</w:t>
      </w:r>
      <w:r w:rsidRPr="00363921">
        <w:t xml:space="preserve"> firms listed on the S&amp;P/TSX composite index for the period 2009-2012</w:t>
      </w:r>
      <w:r w:rsidRPr="00363921">
        <w:rPr>
          <w:lang w:eastAsia="zh-TW"/>
        </w:rPr>
        <w:t xml:space="preserve">. The corporate governance scores are obtained from </w:t>
      </w:r>
      <w:r w:rsidRPr="00363921">
        <w:rPr>
          <w:i/>
        </w:rPr>
        <w:t>The Globe and Mail</w:t>
      </w:r>
      <w:r w:rsidRPr="00363921">
        <w:t xml:space="preserve"> (G&amp;M). </w:t>
      </w:r>
      <w:r w:rsidRPr="00363921">
        <w:rPr>
          <w:lang w:eastAsia="zh-TW"/>
        </w:rPr>
        <w:t xml:space="preserve">The G&amp;M provides annual corporate governance rankings and companies are given the scores on board compositions, shareholding and compensation, shareholder rights, and disclosure. </w:t>
      </w:r>
      <w:r w:rsidRPr="00363921">
        <w:t>The reason for choosing this sample period</w:t>
      </w:r>
      <w:r w:rsidRPr="00363921">
        <w:rPr>
          <w:lang w:eastAsia="zh-TW"/>
        </w:rPr>
        <w:t>,</w:t>
      </w:r>
      <w:r w:rsidRPr="00363921">
        <w:t xml:space="preserve"> 2009-2012</w:t>
      </w:r>
      <w:r w:rsidRPr="00363921">
        <w:rPr>
          <w:lang w:eastAsia="zh-TW"/>
        </w:rPr>
        <w:t>,</w:t>
      </w:r>
      <w:r w:rsidRPr="00363921">
        <w:t xml:space="preserve"> is that there were </w:t>
      </w:r>
      <w:r w:rsidRPr="00363921">
        <w:rPr>
          <w:lang w:eastAsia="zh-TW"/>
        </w:rPr>
        <w:t>modifications</w:t>
      </w:r>
      <w:r w:rsidRPr="00363921">
        <w:t xml:space="preserve"> to </w:t>
      </w:r>
      <w:r w:rsidRPr="00363921">
        <w:rPr>
          <w:lang w:eastAsia="zh-TW"/>
        </w:rPr>
        <w:t xml:space="preserve">composites of </w:t>
      </w:r>
      <w:r w:rsidRPr="00363921">
        <w:t>the index</w:t>
      </w:r>
      <w:r w:rsidRPr="00363921">
        <w:rPr>
          <w:lang w:eastAsia="zh-TW"/>
        </w:rPr>
        <w:t>. S</w:t>
      </w:r>
      <w:r w:rsidRPr="00363921">
        <w:t xml:space="preserve">everal </w:t>
      </w:r>
      <w:r w:rsidRPr="00363921">
        <w:rPr>
          <w:lang w:eastAsia="zh-TW"/>
        </w:rPr>
        <w:t>criteria</w:t>
      </w:r>
      <w:r w:rsidRPr="00363921">
        <w:t xml:space="preserve"> </w:t>
      </w:r>
      <w:r w:rsidRPr="00363921">
        <w:rPr>
          <w:lang w:eastAsia="zh-TW"/>
        </w:rPr>
        <w:t xml:space="preserve">were added to the disclosure assessments of the index </w:t>
      </w:r>
      <w:r w:rsidRPr="00363921">
        <w:t xml:space="preserve">in 2009 and in 2013. </w:t>
      </w:r>
      <w:r w:rsidRPr="00363921">
        <w:rPr>
          <w:lang w:eastAsia="zh-TW"/>
        </w:rPr>
        <w:t xml:space="preserve">To ensure consistency in corporate governance measurements, the sample period is constrained to this time period 2009-2012. Accounting and financial data are obtained from the </w:t>
      </w:r>
      <w:r w:rsidRPr="00363921">
        <w:t>Standard &amp; Poor’s Compustat database</w:t>
      </w:r>
      <w:r w:rsidRPr="00363921">
        <w:rPr>
          <w:lang w:eastAsia="zh-TW"/>
        </w:rPr>
        <w:t xml:space="preserve">. </w:t>
      </w:r>
      <w:r w:rsidRPr="00363921">
        <w:t xml:space="preserve">Firms that do not have all the required financial and accounting data </w:t>
      </w:r>
      <w:r w:rsidRPr="00363921">
        <w:rPr>
          <w:lang w:eastAsia="zh-TW"/>
        </w:rPr>
        <w:t xml:space="preserve">for the entire period </w:t>
      </w:r>
      <w:r w:rsidRPr="00363921">
        <w:t xml:space="preserve">are eliminated from the sample. The final sample consists of </w:t>
      </w:r>
      <w:r w:rsidRPr="00363921">
        <w:rPr>
          <w:lang w:eastAsia="zh-TW"/>
        </w:rPr>
        <w:t>452</w:t>
      </w:r>
      <w:r w:rsidRPr="00363921">
        <w:t xml:space="preserve"> firm</w:t>
      </w:r>
      <w:r w:rsidRPr="00363921">
        <w:rPr>
          <w:lang w:eastAsia="zh-TW"/>
        </w:rPr>
        <w:t>-</w:t>
      </w:r>
      <w:r w:rsidRPr="00363921">
        <w:t>year observations.</w:t>
      </w:r>
    </w:p>
    <w:p w:rsidR="00256B40" w:rsidRPr="00363921" w:rsidRDefault="00256B40" w:rsidP="00222D20">
      <w:pPr>
        <w:widowControl/>
        <w:jc w:val="both"/>
        <w:rPr>
          <w:rFonts w:ascii="Times New Roman" w:hAnsi="Times New Roman"/>
          <w:lang w:val="en-GB"/>
        </w:rPr>
      </w:pPr>
    </w:p>
    <w:p w:rsidR="00256B40" w:rsidRPr="00363921" w:rsidRDefault="00256B40" w:rsidP="00222D20">
      <w:pPr>
        <w:pStyle w:val="a3"/>
        <w:widowControl/>
        <w:numPr>
          <w:ilvl w:val="1"/>
          <w:numId w:val="2"/>
        </w:numPr>
        <w:ind w:leftChars="0"/>
        <w:jc w:val="both"/>
        <w:rPr>
          <w:rFonts w:ascii="Times New Roman" w:hAnsi="Times New Roman"/>
          <w:i/>
          <w:lang w:val="en-GB"/>
        </w:rPr>
      </w:pPr>
      <w:r w:rsidRPr="00363921">
        <w:rPr>
          <w:rFonts w:ascii="Times New Roman" w:hAnsi="Times New Roman"/>
          <w:i/>
          <w:lang w:val="en-GB"/>
        </w:rPr>
        <w:t>Empirical Model</w:t>
      </w:r>
    </w:p>
    <w:p w:rsidR="00256B40" w:rsidRPr="00363921" w:rsidRDefault="00256B40" w:rsidP="00222D20">
      <w:pPr>
        <w:pStyle w:val="Paragraph"/>
        <w:spacing w:before="0" w:line="240" w:lineRule="auto"/>
        <w:jc w:val="both"/>
        <w:rPr>
          <w:lang w:eastAsia="zh-TW"/>
        </w:rPr>
      </w:pPr>
      <w:r w:rsidRPr="00363921">
        <w:t xml:space="preserve">To examine how </w:t>
      </w:r>
      <w:r w:rsidRPr="00363921">
        <w:rPr>
          <w:lang w:eastAsia="zh-TW"/>
        </w:rPr>
        <w:t>corporate governance</w:t>
      </w:r>
      <w:r w:rsidRPr="00363921">
        <w:t xml:space="preserve"> </w:t>
      </w:r>
      <w:r w:rsidRPr="00363921">
        <w:rPr>
          <w:lang w:eastAsia="zh-TW"/>
        </w:rPr>
        <w:t>affects the level of free cash flow</w:t>
      </w:r>
      <w:r w:rsidRPr="00363921">
        <w:t xml:space="preserve">, </w:t>
      </w:r>
      <w:r w:rsidRPr="00363921">
        <w:rPr>
          <w:lang w:eastAsia="zh-TW"/>
        </w:rPr>
        <w:t xml:space="preserve">the following model is developed and tested using a panel regression model: </w:t>
      </w:r>
    </w:p>
    <w:p w:rsidR="00256B40" w:rsidRPr="00363921" w:rsidRDefault="00256B40" w:rsidP="00222D20">
      <w:pPr>
        <w:rPr>
          <w:rFonts w:ascii="Times New Roman" w:hAnsi="Times New Roman"/>
          <w:lang w:val="en-GB"/>
        </w:rPr>
      </w:pPr>
    </w:p>
    <w:p w:rsidR="00256B40" w:rsidRPr="00363921" w:rsidRDefault="00256B40" w:rsidP="00222D20">
      <w:pPr>
        <w:pStyle w:val="Displayedequation"/>
        <w:spacing w:before="0" w:after="0" w:line="240" w:lineRule="auto"/>
        <w:rPr>
          <w:lang w:eastAsia="zh-TW"/>
        </w:rPr>
      </w:pPr>
      <w:r w:rsidRPr="00363921">
        <w:rPr>
          <w:position w:val="-26"/>
          <w:lang w:eastAsia="zh-TW"/>
        </w:rPr>
        <w:object w:dxaOrig="66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31.65pt" o:ole="">
            <v:imagedata r:id="rId8" o:title=""/>
          </v:shape>
          <o:OLEObject Type="Embed" ProgID="Equation.3" ShapeID="_x0000_i1025" DrawAspect="Content" ObjectID="_1518971559" r:id="rId9"/>
        </w:object>
      </w:r>
      <w:r w:rsidRPr="00363921">
        <w:rPr>
          <w:lang w:eastAsia="zh-TW"/>
        </w:rPr>
        <w:t xml:space="preserve">  (1)</w:t>
      </w:r>
    </w:p>
    <w:p w:rsidR="00256B40" w:rsidRPr="00363921" w:rsidRDefault="00256B40" w:rsidP="00222D20">
      <w:pPr>
        <w:pStyle w:val="Newparagraph"/>
        <w:spacing w:line="240" w:lineRule="auto"/>
        <w:ind w:firstLine="0"/>
        <w:rPr>
          <w:lang w:eastAsia="zh-TW"/>
        </w:rPr>
      </w:pPr>
    </w:p>
    <w:p w:rsidR="00256B40" w:rsidRPr="00363921" w:rsidRDefault="00256B40" w:rsidP="00222D20">
      <w:pPr>
        <w:pStyle w:val="Newparagraph"/>
        <w:spacing w:line="240" w:lineRule="auto"/>
        <w:ind w:firstLine="0"/>
        <w:jc w:val="both"/>
        <w:rPr>
          <w:lang w:eastAsia="zh-TW"/>
        </w:rPr>
      </w:pPr>
      <w:r w:rsidRPr="00363921">
        <w:t xml:space="preserve">The dependent variable of Model 1 is </w:t>
      </w:r>
      <w:r w:rsidRPr="00363921">
        <w:rPr>
          <w:lang w:eastAsia="zh-TW"/>
        </w:rPr>
        <w:t xml:space="preserve">free cash flow, measured by the ratio of free cash flow (defined as </w:t>
      </w:r>
      <w:r w:rsidRPr="00363921">
        <w:t>the net cash flow from operating activities minus capital expenditures)</w:t>
      </w:r>
      <w:r w:rsidRPr="00363921">
        <w:rPr>
          <w:lang w:eastAsia="zh-TW"/>
        </w:rPr>
        <w:t xml:space="preserve"> to book value of assets. Firms with larger free cash flow are likely to suffer from greater agency problems. </w:t>
      </w:r>
    </w:p>
    <w:p w:rsidR="00256B40" w:rsidRPr="00363921" w:rsidRDefault="00256B40" w:rsidP="00222D20">
      <w:pPr>
        <w:pStyle w:val="Newparagraph"/>
        <w:spacing w:line="240" w:lineRule="auto"/>
        <w:ind w:firstLine="0"/>
        <w:jc w:val="both"/>
        <w:rPr>
          <w:lang w:eastAsia="zh-TW"/>
        </w:rPr>
      </w:pPr>
    </w:p>
    <w:p w:rsidR="00256B40" w:rsidRPr="00363921" w:rsidRDefault="00256B40" w:rsidP="00222D20">
      <w:pPr>
        <w:pStyle w:val="Newparagraph"/>
        <w:spacing w:line="240" w:lineRule="auto"/>
        <w:ind w:firstLine="0"/>
        <w:jc w:val="both"/>
        <w:rPr>
          <w:lang w:eastAsia="zh-TW"/>
        </w:rPr>
      </w:pPr>
      <w:r w:rsidRPr="00363921">
        <w:t xml:space="preserve">The main variable of interest in this study is corporate governance score (CG). The free cash flow hypothesis </w:t>
      </w:r>
      <w:r w:rsidRPr="00363921">
        <w:rPr>
          <w:noProof/>
          <w:lang w:eastAsia="zh-TW"/>
        </w:rPr>
        <w:t>(Jensen, 1986)</w:t>
      </w:r>
      <w:r w:rsidRPr="00363921">
        <w:t xml:space="preserve"> suggests that firms with abundant free cash are more likely to engage in value-decreasing investment and</w:t>
      </w:r>
      <w:r w:rsidRPr="00363921">
        <w:rPr>
          <w:lang w:eastAsia="zh-TW"/>
        </w:rPr>
        <w:t xml:space="preserve"> </w:t>
      </w:r>
      <w:r w:rsidRPr="00363921">
        <w:t>suffer from greater agency problems.</w:t>
      </w:r>
      <w:r w:rsidRPr="00363921">
        <w:rPr>
          <w:lang w:eastAsia="zh-TW"/>
        </w:rPr>
        <w:t xml:space="preserve"> This is because retaining free cash flows reduces market monitoring on managerial actions and managers are able to pursue personal goals without the need to raise funds from bond or equity markets. Strong corporate governance can help align managers’ and shareholders’ interests. Therefore, this study tests if firms with better corporate governance in place are associated with </w:t>
      </w:r>
      <w:r w:rsidR="00ED55F3">
        <w:rPr>
          <w:rFonts w:hint="eastAsia"/>
          <w:lang w:eastAsia="zh-TW"/>
        </w:rPr>
        <w:t>lower</w:t>
      </w:r>
      <w:r w:rsidRPr="00363921">
        <w:rPr>
          <w:lang w:eastAsia="zh-TW"/>
        </w:rPr>
        <w:t xml:space="preserve"> agency problem</w:t>
      </w:r>
      <w:r w:rsidR="00ED55F3">
        <w:rPr>
          <w:rFonts w:hint="eastAsia"/>
          <w:lang w:eastAsia="zh-TW"/>
        </w:rPr>
        <w:t>s</w:t>
      </w:r>
      <w:r w:rsidRPr="00363921">
        <w:rPr>
          <w:lang w:eastAsia="zh-TW"/>
        </w:rPr>
        <w:t xml:space="preserve"> and thus lower free cash flow. </w:t>
      </w:r>
    </w:p>
    <w:p w:rsidR="00256B40" w:rsidRPr="00363921" w:rsidRDefault="00256B40" w:rsidP="00222D20">
      <w:pPr>
        <w:pStyle w:val="Newparagraph"/>
        <w:spacing w:line="240" w:lineRule="auto"/>
        <w:ind w:firstLine="0"/>
        <w:jc w:val="both"/>
        <w:rPr>
          <w:iCs/>
          <w:lang w:eastAsia="zh-TW"/>
        </w:rPr>
      </w:pPr>
    </w:p>
    <w:p w:rsidR="00256B40" w:rsidRPr="00363921" w:rsidRDefault="00256B40" w:rsidP="00222D20">
      <w:pPr>
        <w:widowControl/>
        <w:jc w:val="both"/>
        <w:rPr>
          <w:rFonts w:ascii="Times New Roman" w:hAnsi="Times New Roman"/>
          <w:kern w:val="0"/>
          <w:sz w:val="36"/>
          <w:szCs w:val="24"/>
          <w:lang w:val="en-GB"/>
        </w:rPr>
      </w:pPr>
      <w:r w:rsidRPr="00363921">
        <w:rPr>
          <w:rFonts w:ascii="Times New Roman" w:hAnsi="Times New Roman"/>
          <w:kern w:val="0"/>
          <w:szCs w:val="24"/>
          <w:lang w:val="en-GB"/>
        </w:rPr>
        <w:t xml:space="preserve">Other variables that have been suggested by previous studies as having an influence on free cash flow are also included in our analyses as control variables and are discussed below. </w:t>
      </w:r>
      <w:r w:rsidRPr="00363921">
        <w:rPr>
          <w:rFonts w:ascii="Times New Roman" w:hAnsi="Times New Roman"/>
          <w:iCs/>
        </w:rPr>
        <w:t xml:space="preserve">Firm size, measured by natural logarithm of total assets, is included as a control variable. Larger firms have more access to outside resources and are less dependent on internal funds </w:t>
      </w:r>
      <w:r w:rsidRPr="00363921">
        <w:rPr>
          <w:rFonts w:ascii="Times New Roman" w:hAnsi="Times New Roman"/>
          <w:iCs/>
          <w:noProof/>
        </w:rPr>
        <w:t>(Fama and French, 2001; Denis and Osobov, 2008)</w:t>
      </w:r>
      <w:r w:rsidRPr="00363921">
        <w:rPr>
          <w:rFonts w:ascii="Times New Roman" w:hAnsi="Times New Roman"/>
          <w:iCs/>
        </w:rPr>
        <w:t>. Therefore, larger firms have less need to hold the free cash flow. Accordingly, firm size is expected to be negatively associated with free cash flow.</w:t>
      </w:r>
    </w:p>
    <w:p w:rsidR="00256B40" w:rsidRPr="00363921" w:rsidRDefault="00256B40" w:rsidP="00222D20">
      <w:pPr>
        <w:pStyle w:val="Newparagraph"/>
        <w:spacing w:line="240" w:lineRule="auto"/>
        <w:ind w:firstLine="0"/>
        <w:jc w:val="both"/>
        <w:rPr>
          <w:iCs/>
          <w:lang w:eastAsia="zh-TW"/>
        </w:rPr>
      </w:pPr>
    </w:p>
    <w:p w:rsidR="00256B40" w:rsidRPr="00363921" w:rsidRDefault="00256B40" w:rsidP="00222D20">
      <w:pPr>
        <w:widowControl/>
        <w:jc w:val="both"/>
        <w:rPr>
          <w:rFonts w:ascii="Times New Roman" w:hAnsi="Times New Roman"/>
          <w:highlight w:val="yellow"/>
        </w:rPr>
      </w:pPr>
      <w:r w:rsidRPr="00363921">
        <w:rPr>
          <w:rFonts w:ascii="Times New Roman" w:hAnsi="Times New Roman"/>
        </w:rPr>
        <w:t xml:space="preserve">Leverage, defined as the ratio of total debt to total assets, is controlled for because debt can limit managers’ discretionary behavior on free cash flow </w:t>
      </w:r>
      <w:r w:rsidRPr="00363921">
        <w:rPr>
          <w:rFonts w:ascii="Times New Roman" w:hAnsi="Times New Roman"/>
          <w:noProof/>
        </w:rPr>
        <w:t>(Jensen, 1986; Stulz, 1990)</w:t>
      </w:r>
      <w:r w:rsidRPr="00363921">
        <w:rPr>
          <w:rFonts w:ascii="Times New Roman" w:hAnsi="Times New Roman"/>
        </w:rPr>
        <w:t xml:space="preserve">. Managers are subject to regular debt repayments. Hence, debt can lower the opportunistic behavior of managers and can be considered as a substitute corporate governance mechanism for alleviating the potential free cash flow problem </w:t>
      </w:r>
      <w:r w:rsidRPr="00363921">
        <w:rPr>
          <w:rFonts w:ascii="Times New Roman" w:hAnsi="Times New Roman"/>
          <w:noProof/>
        </w:rPr>
        <w:t>(Renneboog and Trojanowski, 2007; Setia-Atmaja et al., 2009)</w:t>
      </w:r>
      <w:r w:rsidRPr="00363921">
        <w:rPr>
          <w:rFonts w:ascii="Times New Roman" w:hAnsi="Times New Roman"/>
        </w:rPr>
        <w:t xml:space="preserve">. An opposing view is that debt may aggravate the agency conflicts between shareholders and creditors due to the wealth transfer from </w:t>
      </w:r>
      <w:r w:rsidR="00222D20">
        <w:rPr>
          <w:rFonts w:ascii="Times New Roman" w:hAnsi="Times New Roman"/>
        </w:rPr>
        <w:t>shareholder</w:t>
      </w:r>
      <w:r w:rsidRPr="00363921">
        <w:rPr>
          <w:rFonts w:ascii="Times New Roman" w:hAnsi="Times New Roman"/>
        </w:rPr>
        <w:t xml:space="preserve">s to bondholders </w:t>
      </w:r>
      <w:r w:rsidRPr="00363921">
        <w:rPr>
          <w:rFonts w:ascii="Times New Roman" w:hAnsi="Times New Roman"/>
          <w:noProof/>
        </w:rPr>
        <w:t>(Fatma and Chichti, 2011)</w:t>
      </w:r>
      <w:r w:rsidRPr="00363921">
        <w:rPr>
          <w:rFonts w:ascii="Times New Roman" w:hAnsi="Times New Roman"/>
        </w:rPr>
        <w:t>. Therefore, the relationship between leverage and free cash flow is not clear.</w:t>
      </w:r>
    </w:p>
    <w:p w:rsidR="00256B40" w:rsidRPr="00363921" w:rsidRDefault="00256B40" w:rsidP="00222D20">
      <w:pPr>
        <w:pStyle w:val="Newparagraph"/>
        <w:spacing w:line="240" w:lineRule="auto"/>
        <w:ind w:firstLine="0"/>
        <w:jc w:val="both"/>
        <w:rPr>
          <w:highlight w:val="yellow"/>
          <w:lang w:eastAsia="zh-TW"/>
        </w:rPr>
      </w:pPr>
    </w:p>
    <w:p w:rsidR="00256B40" w:rsidRPr="00363921" w:rsidRDefault="00256B40" w:rsidP="00222D20">
      <w:pPr>
        <w:widowControl/>
        <w:jc w:val="both"/>
        <w:rPr>
          <w:rFonts w:ascii="Times New Roman" w:hAnsi="Times New Roman"/>
        </w:rPr>
      </w:pPr>
      <w:r w:rsidRPr="00363921">
        <w:rPr>
          <w:rFonts w:ascii="Times New Roman" w:hAnsi="Times New Roman"/>
        </w:rPr>
        <w:lastRenderedPageBreak/>
        <w:t>Firm profitability is also controlled for and is measured by return on equity (ROE). Firms with higher profitability have more net income and therefore, a positive relationship with free cash flow is expected. Growth opportunities (defined as the ratio of capital expe</w:t>
      </w:r>
      <w:r w:rsidR="00837C40">
        <w:rPr>
          <w:rFonts w:ascii="Times New Roman" w:hAnsi="Times New Roman"/>
        </w:rPr>
        <w:t>nditure to total assets) proxy</w:t>
      </w:r>
      <w:r w:rsidRPr="00363921">
        <w:rPr>
          <w:rFonts w:ascii="Times New Roman" w:hAnsi="Times New Roman"/>
        </w:rPr>
        <w:t xml:space="preserve"> for future cash flow needs for investment and operating activities </w:t>
      </w:r>
      <w:r w:rsidRPr="00363921">
        <w:rPr>
          <w:rFonts w:ascii="Times New Roman" w:hAnsi="Times New Roman"/>
          <w:noProof/>
        </w:rPr>
        <w:t>(Adjaoud and Ben-Amar, 2010; Chang and Dutta, 2012)</w:t>
      </w:r>
      <w:r w:rsidRPr="00363921">
        <w:rPr>
          <w:rFonts w:ascii="Times New Roman" w:hAnsi="Times New Roman"/>
        </w:rPr>
        <w:t xml:space="preserve">. Firms with high growth prospects are more likely to be better managed </w:t>
      </w:r>
      <w:r w:rsidRPr="00363921">
        <w:rPr>
          <w:rFonts w:ascii="Times New Roman" w:hAnsi="Times New Roman"/>
          <w:noProof/>
        </w:rPr>
        <w:t>(Opler and Titman, 1993)</w:t>
      </w:r>
      <w:r w:rsidRPr="00363921">
        <w:rPr>
          <w:rFonts w:ascii="Times New Roman" w:hAnsi="Times New Roman"/>
        </w:rPr>
        <w:t xml:space="preserve"> while firms with low growth opportunities have less profitable investments and are likely to have more serious free cash flow problem. Therefore, growth opportunities are controlled for and lower growth opportunities are expected to be associated with higher free cash flow. </w:t>
      </w:r>
    </w:p>
    <w:p w:rsidR="00256B40" w:rsidRPr="00363921" w:rsidRDefault="00256B40" w:rsidP="00222D20">
      <w:pPr>
        <w:widowControl/>
        <w:jc w:val="both"/>
        <w:rPr>
          <w:rFonts w:ascii="Times New Roman" w:hAnsi="Times New Roman"/>
        </w:rPr>
      </w:pPr>
    </w:p>
    <w:p w:rsidR="00256B40" w:rsidRPr="00363921" w:rsidRDefault="00256B40" w:rsidP="00222D20">
      <w:pPr>
        <w:widowControl/>
        <w:jc w:val="both"/>
        <w:rPr>
          <w:rFonts w:ascii="Times New Roman" w:hAnsi="Times New Roman"/>
        </w:rPr>
      </w:pPr>
      <w:r w:rsidRPr="00363921">
        <w:rPr>
          <w:rFonts w:ascii="Times New Roman" w:hAnsi="Times New Roman"/>
        </w:rPr>
        <w:t xml:space="preserve">Following Lang et al. </w:t>
      </w:r>
      <w:r w:rsidRPr="00363921">
        <w:rPr>
          <w:rFonts w:ascii="Times New Roman" w:hAnsi="Times New Roman"/>
          <w:noProof/>
        </w:rPr>
        <w:t>(1991)</w:t>
      </w:r>
      <w:r w:rsidRPr="00363921">
        <w:rPr>
          <w:rFonts w:ascii="Times New Roman" w:hAnsi="Times New Roman"/>
        </w:rPr>
        <w:t xml:space="preserve">, we measure investment opportunities with Tobin’s Q, defined as </w:t>
      </w:r>
      <w:r w:rsidRPr="00363921">
        <w:rPr>
          <w:rFonts w:ascii="Times New Roman" w:hAnsi="Times New Roman"/>
          <w:szCs w:val="24"/>
        </w:rPr>
        <w:t>the ratio of market value of equity plus the book value of debt to the book value of assets</w:t>
      </w:r>
      <w:r w:rsidRPr="00363921">
        <w:rPr>
          <w:rFonts w:ascii="Times New Roman" w:hAnsi="Times New Roman"/>
        </w:rPr>
        <w:t xml:space="preserve">. Tobin’s Q has been used by Lang et al. </w:t>
      </w:r>
      <w:r w:rsidRPr="00363921">
        <w:rPr>
          <w:rFonts w:ascii="Times New Roman" w:hAnsi="Times New Roman"/>
          <w:noProof/>
        </w:rPr>
        <w:t>(1991)</w:t>
      </w:r>
      <w:r w:rsidRPr="00363921">
        <w:rPr>
          <w:rFonts w:ascii="Times New Roman" w:hAnsi="Times New Roman"/>
        </w:rPr>
        <w:t xml:space="preserve"> and Brush et al. </w:t>
      </w:r>
      <w:r w:rsidRPr="00363921">
        <w:rPr>
          <w:rFonts w:ascii="Times New Roman" w:hAnsi="Times New Roman"/>
          <w:noProof/>
        </w:rPr>
        <w:t>(2000)</w:t>
      </w:r>
      <w:r w:rsidRPr="00363921">
        <w:rPr>
          <w:rFonts w:ascii="Times New Roman" w:hAnsi="Times New Roman"/>
        </w:rPr>
        <w:t xml:space="preserve"> to identify if there are positive net present value projects available to firms. Firms with higher investment opportunities are expected to have less free cash flow. </w:t>
      </w:r>
      <w:r w:rsidR="00260138">
        <w:rPr>
          <w:rFonts w:ascii="Times New Roman" w:hAnsi="Times New Roman" w:hint="eastAsia"/>
        </w:rPr>
        <w:t>Moreover, f</w:t>
      </w:r>
      <w:r w:rsidRPr="00363921">
        <w:rPr>
          <w:rFonts w:ascii="Times New Roman" w:hAnsi="Times New Roman"/>
        </w:rPr>
        <w:t>irms with higher retained earnings (measured by the ratio of retained earnings to total equity) are likely to</w:t>
      </w:r>
      <w:r w:rsidR="00260138">
        <w:rPr>
          <w:rFonts w:ascii="Times New Roman" w:hAnsi="Times New Roman" w:hint="eastAsia"/>
        </w:rPr>
        <w:t xml:space="preserve"> have</w:t>
      </w:r>
      <w:r w:rsidRPr="00363921">
        <w:rPr>
          <w:rFonts w:ascii="Times New Roman" w:hAnsi="Times New Roman"/>
        </w:rPr>
        <w:t xml:space="preserve"> more free cash flow. Hence, we expect a positive relationship between retained earnings and free cash flow. </w:t>
      </w:r>
    </w:p>
    <w:p w:rsidR="00256B40" w:rsidRPr="00363921" w:rsidRDefault="00256B40" w:rsidP="00222D20">
      <w:pPr>
        <w:widowControl/>
        <w:jc w:val="both"/>
        <w:rPr>
          <w:rFonts w:ascii="Times New Roman" w:hAnsi="Times New Roman"/>
        </w:rPr>
      </w:pPr>
    </w:p>
    <w:p w:rsidR="00256B40" w:rsidRPr="00363921" w:rsidRDefault="00256B40" w:rsidP="00222D20">
      <w:pPr>
        <w:widowControl/>
        <w:jc w:val="both"/>
        <w:rPr>
          <w:rFonts w:ascii="Times New Roman" w:hAnsi="Times New Roman"/>
        </w:rPr>
      </w:pPr>
      <w:r w:rsidRPr="00363921">
        <w:rPr>
          <w:rFonts w:ascii="Times New Roman" w:hAnsi="Times New Roman"/>
        </w:rPr>
        <w:t xml:space="preserve">The free cash flow hypothesis proposed by Jensen </w:t>
      </w:r>
      <w:r w:rsidRPr="00363921">
        <w:rPr>
          <w:rFonts w:ascii="Times New Roman" w:hAnsi="Times New Roman"/>
          <w:noProof/>
        </w:rPr>
        <w:t>(1986)</w:t>
      </w:r>
      <w:r w:rsidRPr="00363921">
        <w:rPr>
          <w:rFonts w:ascii="Times New Roman" w:hAnsi="Times New Roman"/>
        </w:rPr>
        <w:t xml:space="preserve"> suggests that firms may reduce the agency costs of free cash flow by distributing the free cash to shareholders through dividend payments. Therefore, dividend payout measured by dividend yield (that is, the ratio of cash dividend per share to </w:t>
      </w:r>
      <w:r w:rsidR="003D7DFB">
        <w:rPr>
          <w:rFonts w:ascii="Times New Roman" w:hAnsi="Times New Roman"/>
        </w:rPr>
        <w:t>price per share</w:t>
      </w:r>
      <w:r w:rsidRPr="00363921">
        <w:rPr>
          <w:rFonts w:ascii="Times New Roman" w:hAnsi="Times New Roman"/>
        </w:rPr>
        <w:t>) is controlled for. Firms with higher free cash flow are able to paid out more dividends and therefore a positively relationship is expected between free cash flow and dividend payout.</w:t>
      </w:r>
    </w:p>
    <w:p w:rsidR="00256B40" w:rsidRPr="00363921" w:rsidRDefault="00256B40" w:rsidP="00222D20">
      <w:pPr>
        <w:widowControl/>
        <w:jc w:val="both"/>
        <w:rPr>
          <w:rFonts w:ascii="Times New Roman" w:hAnsi="Times New Roman"/>
        </w:rPr>
      </w:pPr>
    </w:p>
    <w:p w:rsidR="00256B40" w:rsidRPr="00363921" w:rsidRDefault="00256B40" w:rsidP="00222D20">
      <w:pPr>
        <w:widowControl/>
        <w:jc w:val="both"/>
        <w:rPr>
          <w:rFonts w:ascii="Times New Roman" w:hAnsi="Times New Roman"/>
        </w:rPr>
      </w:pPr>
      <w:r w:rsidRPr="00363921">
        <w:rPr>
          <w:rFonts w:ascii="Times New Roman" w:hAnsi="Times New Roman"/>
        </w:rPr>
        <w:t xml:space="preserve">Taxation, defined as the ratio of income tax to net income, will reduce the profits and thereby the amount of free cash available. Therefore, taxation is expected to be negatively associated with free cash flow. To control for possible variations across industries, we include a dummy variable for industrial sectors. </w:t>
      </w:r>
      <w:r w:rsidRPr="00363921">
        <w:rPr>
          <w:rFonts w:ascii="Times New Roman" w:hAnsi="Times New Roman"/>
          <w:kern w:val="0"/>
          <w:szCs w:val="24"/>
          <w:lang w:val="en-GB"/>
        </w:rPr>
        <w:t>Table 1 provides the definitions of all relevant dependent, independent and control variables used in the analyses.</w:t>
      </w:r>
    </w:p>
    <w:p w:rsidR="00256B40" w:rsidRPr="00363921" w:rsidRDefault="00256B40" w:rsidP="00222D20">
      <w:pPr>
        <w:widowControl/>
        <w:jc w:val="both"/>
        <w:rPr>
          <w:rFonts w:ascii="Times New Roman" w:hAnsi="Times New Roman"/>
          <w:kern w:val="0"/>
          <w:szCs w:val="24"/>
          <w:lang w:val="en-GB"/>
        </w:rPr>
      </w:pPr>
    </w:p>
    <w:p w:rsidR="00256B40" w:rsidRPr="00363921" w:rsidRDefault="00256B40">
      <w:pPr>
        <w:widowControl/>
        <w:rPr>
          <w:rFonts w:ascii="Times New Roman" w:hAnsi="Times New Roman"/>
        </w:rPr>
      </w:pPr>
      <w:r w:rsidRPr="00363921">
        <w:rPr>
          <w:rFonts w:ascii="Times New Roman" w:hAnsi="Times New Roman"/>
        </w:rPr>
        <w:br w:type="page"/>
      </w:r>
    </w:p>
    <w:p w:rsidR="00256B40" w:rsidRPr="00363921" w:rsidRDefault="00256B40" w:rsidP="00222D20">
      <w:pPr>
        <w:widowControl/>
        <w:jc w:val="both"/>
        <w:rPr>
          <w:rFonts w:ascii="Times New Roman" w:hAnsi="Times New Roman"/>
        </w:rPr>
      </w:pPr>
      <w:r w:rsidRPr="00363921">
        <w:rPr>
          <w:rFonts w:ascii="Times New Roman" w:hAnsi="Times New Roman"/>
        </w:rPr>
        <w:lastRenderedPageBreak/>
        <w:t>Table 1 Variable descriptions</w:t>
      </w:r>
    </w:p>
    <w:tbl>
      <w:tblPr>
        <w:tblW w:w="8472" w:type="dxa"/>
        <w:tblLayout w:type="fixed"/>
        <w:tblLook w:val="04A0" w:firstRow="1" w:lastRow="0" w:firstColumn="1" w:lastColumn="0" w:noHBand="0" w:noVBand="1"/>
      </w:tblPr>
      <w:tblGrid>
        <w:gridCol w:w="2518"/>
        <w:gridCol w:w="1418"/>
        <w:gridCol w:w="709"/>
        <w:gridCol w:w="3827"/>
      </w:tblGrid>
      <w:tr w:rsidR="00256B40" w:rsidRPr="00363921" w:rsidTr="00222D20">
        <w:tc>
          <w:tcPr>
            <w:tcW w:w="2518" w:type="dxa"/>
            <w:tcBorders>
              <w:top w:val="single" w:sz="4" w:space="0" w:color="auto"/>
              <w:bottom w:val="single" w:sz="4" w:space="0" w:color="auto"/>
            </w:tcBorders>
            <w:shd w:val="clear" w:color="auto" w:fill="auto"/>
          </w:tcPr>
          <w:p w:rsidR="00256B40" w:rsidRPr="00363921" w:rsidRDefault="00256B40" w:rsidP="00222D20">
            <w:pPr>
              <w:adjustRightInd w:val="0"/>
              <w:snapToGrid w:val="0"/>
              <w:spacing w:beforeLines="50" w:before="180"/>
              <w:jc w:val="center"/>
              <w:rPr>
                <w:rFonts w:ascii="Times New Roman" w:hAnsi="Times New Roman"/>
                <w:szCs w:val="24"/>
              </w:rPr>
            </w:pPr>
            <w:r w:rsidRPr="00363921">
              <w:rPr>
                <w:rFonts w:ascii="Times New Roman" w:hAnsi="Times New Roman"/>
                <w:szCs w:val="24"/>
              </w:rPr>
              <w:t>Variable</w:t>
            </w:r>
          </w:p>
        </w:tc>
        <w:tc>
          <w:tcPr>
            <w:tcW w:w="1418" w:type="dxa"/>
            <w:tcBorders>
              <w:top w:val="single" w:sz="4" w:space="0" w:color="auto"/>
              <w:bottom w:val="single" w:sz="4" w:space="0" w:color="auto"/>
            </w:tcBorders>
          </w:tcPr>
          <w:p w:rsidR="00256B40" w:rsidRPr="00363921" w:rsidRDefault="00256B40" w:rsidP="00222D20">
            <w:pPr>
              <w:adjustRightInd w:val="0"/>
              <w:snapToGrid w:val="0"/>
              <w:spacing w:beforeLines="50" w:before="180"/>
              <w:jc w:val="center"/>
              <w:rPr>
                <w:rFonts w:ascii="Times New Roman" w:hAnsi="Times New Roman"/>
                <w:szCs w:val="24"/>
              </w:rPr>
            </w:pPr>
            <w:r w:rsidRPr="00363921">
              <w:rPr>
                <w:rFonts w:ascii="Times New Roman" w:hAnsi="Times New Roman"/>
                <w:szCs w:val="24"/>
              </w:rPr>
              <w:t>Symbol</w:t>
            </w:r>
          </w:p>
        </w:tc>
        <w:tc>
          <w:tcPr>
            <w:tcW w:w="709" w:type="dxa"/>
            <w:tcBorders>
              <w:top w:val="single" w:sz="4" w:space="0" w:color="auto"/>
              <w:bottom w:val="single" w:sz="4" w:space="0" w:color="auto"/>
            </w:tcBorders>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Exp Sign</w:t>
            </w:r>
          </w:p>
        </w:tc>
        <w:tc>
          <w:tcPr>
            <w:tcW w:w="3827" w:type="dxa"/>
            <w:tcBorders>
              <w:top w:val="single" w:sz="4" w:space="0" w:color="auto"/>
              <w:bottom w:val="single" w:sz="4" w:space="0" w:color="auto"/>
            </w:tcBorders>
          </w:tcPr>
          <w:p w:rsidR="00256B40" w:rsidRPr="00363921" w:rsidRDefault="00256B40" w:rsidP="00222D20">
            <w:pPr>
              <w:adjustRightInd w:val="0"/>
              <w:snapToGrid w:val="0"/>
              <w:spacing w:beforeLines="50" w:before="180"/>
              <w:jc w:val="center"/>
              <w:rPr>
                <w:rFonts w:ascii="Times New Roman" w:hAnsi="Times New Roman"/>
                <w:szCs w:val="24"/>
              </w:rPr>
            </w:pPr>
            <w:r w:rsidRPr="00363921">
              <w:rPr>
                <w:rFonts w:ascii="Times New Roman" w:hAnsi="Times New Roman"/>
                <w:szCs w:val="24"/>
              </w:rPr>
              <w:t>Description</w:t>
            </w:r>
          </w:p>
        </w:tc>
      </w:tr>
      <w:tr w:rsidR="00256B40" w:rsidRPr="00363921" w:rsidTr="00222D20">
        <w:tc>
          <w:tcPr>
            <w:tcW w:w="2518" w:type="dxa"/>
            <w:tcBorders>
              <w:top w:val="single" w:sz="4" w:space="0" w:color="auto"/>
            </w:tcBorders>
            <w:shd w:val="clear" w:color="auto" w:fill="auto"/>
          </w:tcPr>
          <w:p w:rsidR="00256B40" w:rsidRPr="00363921" w:rsidRDefault="00256B40" w:rsidP="00222D20">
            <w:pPr>
              <w:adjustRightInd w:val="0"/>
              <w:snapToGrid w:val="0"/>
              <w:rPr>
                <w:rFonts w:ascii="Times New Roman" w:hAnsi="Times New Roman"/>
                <w:b/>
                <w:szCs w:val="24"/>
              </w:rPr>
            </w:pPr>
            <w:r w:rsidRPr="00363921">
              <w:rPr>
                <w:rFonts w:ascii="Times New Roman" w:hAnsi="Times New Roman"/>
                <w:b/>
                <w:szCs w:val="24"/>
              </w:rPr>
              <w:t>Dependent variable</w:t>
            </w:r>
          </w:p>
        </w:tc>
        <w:tc>
          <w:tcPr>
            <w:tcW w:w="1418" w:type="dxa"/>
            <w:tcBorders>
              <w:top w:val="single" w:sz="4" w:space="0" w:color="auto"/>
            </w:tcBorders>
          </w:tcPr>
          <w:p w:rsidR="00256B40" w:rsidRPr="00363921" w:rsidRDefault="00256B40" w:rsidP="00222D20">
            <w:pPr>
              <w:adjustRightInd w:val="0"/>
              <w:snapToGrid w:val="0"/>
              <w:jc w:val="center"/>
              <w:rPr>
                <w:rFonts w:ascii="Times New Roman" w:hAnsi="Times New Roman"/>
                <w:szCs w:val="24"/>
              </w:rPr>
            </w:pPr>
          </w:p>
        </w:tc>
        <w:tc>
          <w:tcPr>
            <w:tcW w:w="709" w:type="dxa"/>
            <w:tcBorders>
              <w:top w:val="single" w:sz="4" w:space="0" w:color="auto"/>
            </w:tcBorders>
          </w:tcPr>
          <w:p w:rsidR="00256B40" w:rsidRPr="00363921" w:rsidRDefault="00256B40" w:rsidP="00222D20">
            <w:pPr>
              <w:adjustRightInd w:val="0"/>
              <w:snapToGrid w:val="0"/>
              <w:jc w:val="center"/>
              <w:rPr>
                <w:rFonts w:ascii="Times New Roman" w:hAnsi="Times New Roman"/>
                <w:szCs w:val="24"/>
              </w:rPr>
            </w:pPr>
          </w:p>
        </w:tc>
        <w:tc>
          <w:tcPr>
            <w:tcW w:w="3827" w:type="dxa"/>
            <w:tcBorders>
              <w:top w:val="single" w:sz="4" w:space="0" w:color="auto"/>
            </w:tcBorders>
          </w:tcPr>
          <w:p w:rsidR="00256B40" w:rsidRPr="00363921" w:rsidRDefault="00256B40" w:rsidP="00222D20">
            <w:pPr>
              <w:adjustRightInd w:val="0"/>
              <w:snapToGrid w:val="0"/>
              <w:rPr>
                <w:rFonts w:ascii="Times New Roman" w:hAnsi="Times New Roman"/>
                <w:szCs w:val="24"/>
              </w:rPr>
            </w:pP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Free cash flow</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FCF</w:t>
            </w:r>
          </w:p>
        </w:tc>
        <w:tc>
          <w:tcPr>
            <w:tcW w:w="709" w:type="dxa"/>
          </w:tcPr>
          <w:p w:rsidR="00256B40" w:rsidRPr="00363921" w:rsidRDefault="00256B40" w:rsidP="00222D20">
            <w:pPr>
              <w:adjustRightInd w:val="0"/>
              <w:snapToGrid w:val="0"/>
              <w:jc w:val="center"/>
              <w:rPr>
                <w:rFonts w:ascii="Times New Roman" w:hAnsi="Times New Roman"/>
                <w:szCs w:val="24"/>
              </w:rPr>
            </w:pP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Ratio of free cash flow (defined as net cash flow from operating activities minus capital expenditures) to book value of assets.</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b/>
                <w:szCs w:val="24"/>
              </w:rPr>
            </w:pPr>
            <w:r w:rsidRPr="00363921">
              <w:rPr>
                <w:rFonts w:ascii="Times New Roman" w:hAnsi="Times New Roman"/>
                <w:b/>
                <w:szCs w:val="24"/>
              </w:rPr>
              <w:t>Independent variable</w:t>
            </w:r>
          </w:p>
        </w:tc>
        <w:tc>
          <w:tcPr>
            <w:tcW w:w="1418" w:type="dxa"/>
          </w:tcPr>
          <w:p w:rsidR="00256B40" w:rsidRPr="00363921" w:rsidRDefault="00256B40" w:rsidP="00222D20">
            <w:pPr>
              <w:adjustRightInd w:val="0"/>
              <w:snapToGrid w:val="0"/>
              <w:jc w:val="center"/>
              <w:rPr>
                <w:rFonts w:ascii="Times New Roman" w:hAnsi="Times New Roman"/>
                <w:i/>
                <w:szCs w:val="24"/>
              </w:rPr>
            </w:pPr>
          </w:p>
        </w:tc>
        <w:tc>
          <w:tcPr>
            <w:tcW w:w="709" w:type="dxa"/>
          </w:tcPr>
          <w:p w:rsidR="00256B40" w:rsidRPr="00363921" w:rsidRDefault="00256B40" w:rsidP="00222D20">
            <w:pPr>
              <w:adjustRightInd w:val="0"/>
              <w:snapToGrid w:val="0"/>
              <w:jc w:val="center"/>
              <w:rPr>
                <w:rFonts w:ascii="Times New Roman" w:hAnsi="Times New Roman"/>
                <w:szCs w:val="24"/>
              </w:rPr>
            </w:pPr>
          </w:p>
        </w:tc>
        <w:tc>
          <w:tcPr>
            <w:tcW w:w="3827" w:type="dxa"/>
          </w:tcPr>
          <w:p w:rsidR="00256B40" w:rsidRPr="00363921" w:rsidRDefault="00256B40" w:rsidP="00222D20">
            <w:pPr>
              <w:adjustRightInd w:val="0"/>
              <w:snapToGrid w:val="0"/>
              <w:rPr>
                <w:rFonts w:ascii="Times New Roman" w:hAnsi="Times New Roman"/>
                <w:szCs w:val="24"/>
              </w:rPr>
            </w:pP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 xml:space="preserve">Corporate governance </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CG</w:t>
            </w:r>
          </w:p>
        </w:tc>
        <w:tc>
          <w:tcPr>
            <w:tcW w:w="709" w:type="dxa"/>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 xml:space="preserve">Corporate governance score is collected from </w:t>
            </w:r>
            <w:r w:rsidRPr="00363921">
              <w:rPr>
                <w:rFonts w:ascii="Times New Roman" w:hAnsi="Times New Roman"/>
                <w:i/>
                <w:szCs w:val="24"/>
              </w:rPr>
              <w:t>The Globe and Mail</w:t>
            </w:r>
            <w:r w:rsidRPr="00363921">
              <w:rPr>
                <w:rFonts w:ascii="Times New Roman" w:hAnsi="Times New Roman"/>
                <w:szCs w:val="24"/>
              </w:rPr>
              <w:t>.</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b/>
                <w:szCs w:val="24"/>
              </w:rPr>
            </w:pPr>
            <w:r w:rsidRPr="00363921">
              <w:rPr>
                <w:rFonts w:ascii="Times New Roman" w:hAnsi="Times New Roman"/>
                <w:b/>
                <w:szCs w:val="24"/>
              </w:rPr>
              <w:t>Control variable</w:t>
            </w:r>
          </w:p>
        </w:tc>
        <w:tc>
          <w:tcPr>
            <w:tcW w:w="1418" w:type="dxa"/>
          </w:tcPr>
          <w:p w:rsidR="00256B40" w:rsidRPr="00363921" w:rsidRDefault="00256B40" w:rsidP="00222D20">
            <w:pPr>
              <w:adjustRightInd w:val="0"/>
              <w:snapToGrid w:val="0"/>
              <w:jc w:val="center"/>
              <w:rPr>
                <w:rFonts w:ascii="Times New Roman" w:hAnsi="Times New Roman"/>
                <w:b/>
                <w:i/>
                <w:szCs w:val="24"/>
              </w:rPr>
            </w:pPr>
          </w:p>
        </w:tc>
        <w:tc>
          <w:tcPr>
            <w:tcW w:w="709" w:type="dxa"/>
          </w:tcPr>
          <w:p w:rsidR="00256B40" w:rsidRPr="00363921" w:rsidRDefault="00256B40" w:rsidP="00222D20">
            <w:pPr>
              <w:adjustRightInd w:val="0"/>
              <w:snapToGrid w:val="0"/>
              <w:jc w:val="center"/>
              <w:rPr>
                <w:rFonts w:ascii="Times New Roman" w:hAnsi="Times New Roman"/>
                <w:b/>
                <w:szCs w:val="24"/>
              </w:rPr>
            </w:pPr>
          </w:p>
        </w:tc>
        <w:tc>
          <w:tcPr>
            <w:tcW w:w="3827" w:type="dxa"/>
          </w:tcPr>
          <w:p w:rsidR="00256B40" w:rsidRPr="00363921" w:rsidRDefault="00256B40" w:rsidP="00222D20">
            <w:pPr>
              <w:adjustRightInd w:val="0"/>
              <w:snapToGrid w:val="0"/>
              <w:rPr>
                <w:rFonts w:ascii="Times New Roman" w:hAnsi="Times New Roman"/>
                <w:b/>
                <w:szCs w:val="24"/>
              </w:rPr>
            </w:pPr>
          </w:p>
        </w:tc>
      </w:tr>
      <w:tr w:rsidR="00256B40" w:rsidRPr="00363921" w:rsidTr="00222D20">
        <w:tc>
          <w:tcPr>
            <w:tcW w:w="2518" w:type="dxa"/>
            <w:shd w:val="clear" w:color="auto" w:fill="auto"/>
          </w:tcPr>
          <w:p w:rsidR="00256B40" w:rsidRPr="00363921" w:rsidRDefault="00256B40" w:rsidP="00222D20">
            <w:pPr>
              <w:snapToGrid w:val="0"/>
              <w:rPr>
                <w:rFonts w:ascii="Times New Roman" w:hAnsi="Times New Roman"/>
                <w:szCs w:val="24"/>
              </w:rPr>
            </w:pPr>
            <w:r w:rsidRPr="00363921">
              <w:rPr>
                <w:rFonts w:ascii="Times New Roman" w:hAnsi="Times New Roman"/>
                <w:szCs w:val="24"/>
              </w:rPr>
              <w:t>Firm size</w:t>
            </w:r>
          </w:p>
        </w:tc>
        <w:tc>
          <w:tcPr>
            <w:tcW w:w="1418" w:type="dxa"/>
          </w:tcPr>
          <w:p w:rsidR="00256B40" w:rsidRPr="00363921" w:rsidRDefault="00256B40" w:rsidP="00222D20">
            <w:pPr>
              <w:snapToGrid w:val="0"/>
              <w:jc w:val="center"/>
              <w:rPr>
                <w:rFonts w:ascii="Times New Roman" w:hAnsi="Times New Roman"/>
                <w:i/>
                <w:szCs w:val="24"/>
              </w:rPr>
            </w:pPr>
            <w:r w:rsidRPr="00363921">
              <w:rPr>
                <w:rFonts w:ascii="Times New Roman" w:hAnsi="Times New Roman"/>
                <w:i/>
                <w:szCs w:val="24"/>
              </w:rPr>
              <w:t>FSIZE</w:t>
            </w:r>
          </w:p>
        </w:tc>
        <w:tc>
          <w:tcPr>
            <w:tcW w:w="709" w:type="dxa"/>
          </w:tcPr>
          <w:p w:rsidR="00256B40" w:rsidRPr="00363921" w:rsidRDefault="00256B40" w:rsidP="00222D20">
            <w:pPr>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snapToGrid w:val="0"/>
              <w:rPr>
                <w:rFonts w:ascii="Times New Roman" w:hAnsi="Times New Roman"/>
                <w:szCs w:val="24"/>
              </w:rPr>
            </w:pPr>
            <w:r w:rsidRPr="00363921">
              <w:rPr>
                <w:rFonts w:ascii="Times New Roman" w:hAnsi="Times New Roman"/>
                <w:szCs w:val="24"/>
              </w:rPr>
              <w:t>Natural logarithm of total assets.</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Leverage</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LEVERAGE</w:t>
            </w:r>
          </w:p>
        </w:tc>
        <w:tc>
          <w:tcPr>
            <w:tcW w:w="709" w:type="dxa"/>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Ratio of total debt to total assets.</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Profitability</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ROE</w:t>
            </w:r>
          </w:p>
        </w:tc>
        <w:tc>
          <w:tcPr>
            <w:tcW w:w="709" w:type="dxa"/>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Ratio of net income to shareholder equity.</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Growth opportunities</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CAPEXP</w:t>
            </w:r>
          </w:p>
        </w:tc>
        <w:tc>
          <w:tcPr>
            <w:tcW w:w="709" w:type="dxa"/>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Ratio of capital expenditure to total assets.</w:t>
            </w:r>
          </w:p>
        </w:tc>
      </w:tr>
      <w:tr w:rsidR="00256B40" w:rsidRPr="00363921" w:rsidTr="00222D20">
        <w:tc>
          <w:tcPr>
            <w:tcW w:w="2518" w:type="dxa"/>
            <w:shd w:val="clear" w:color="auto" w:fill="auto"/>
          </w:tcPr>
          <w:p w:rsidR="00256B40" w:rsidRPr="00363921" w:rsidRDefault="00256B40" w:rsidP="00222D20">
            <w:pPr>
              <w:snapToGrid w:val="0"/>
              <w:rPr>
                <w:rFonts w:ascii="Times New Roman" w:hAnsi="Times New Roman"/>
                <w:szCs w:val="24"/>
              </w:rPr>
            </w:pPr>
            <w:r w:rsidRPr="00363921">
              <w:rPr>
                <w:rFonts w:ascii="Times New Roman" w:hAnsi="Times New Roman"/>
                <w:szCs w:val="24"/>
              </w:rPr>
              <w:br w:type="page"/>
              <w:t>Investment opportunities</w:t>
            </w:r>
          </w:p>
        </w:tc>
        <w:tc>
          <w:tcPr>
            <w:tcW w:w="1418" w:type="dxa"/>
          </w:tcPr>
          <w:p w:rsidR="00256B40" w:rsidRPr="00363921" w:rsidRDefault="00256B40" w:rsidP="00222D20">
            <w:pPr>
              <w:snapToGrid w:val="0"/>
              <w:jc w:val="center"/>
              <w:rPr>
                <w:rFonts w:ascii="Times New Roman" w:hAnsi="Times New Roman"/>
                <w:i/>
                <w:szCs w:val="24"/>
              </w:rPr>
            </w:pPr>
            <w:r w:rsidRPr="00363921">
              <w:rPr>
                <w:rFonts w:ascii="Times New Roman" w:hAnsi="Times New Roman"/>
                <w:i/>
                <w:szCs w:val="24"/>
              </w:rPr>
              <w:t>TOBINQ</w:t>
            </w:r>
          </w:p>
        </w:tc>
        <w:tc>
          <w:tcPr>
            <w:tcW w:w="709" w:type="dxa"/>
          </w:tcPr>
          <w:p w:rsidR="00256B40" w:rsidRPr="00363921" w:rsidRDefault="00256B40" w:rsidP="00222D20">
            <w:pPr>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snapToGrid w:val="0"/>
              <w:rPr>
                <w:rFonts w:ascii="Times New Roman" w:hAnsi="Times New Roman"/>
                <w:szCs w:val="24"/>
              </w:rPr>
            </w:pPr>
            <w:r w:rsidRPr="00363921">
              <w:rPr>
                <w:rFonts w:ascii="Times New Roman" w:hAnsi="Times New Roman"/>
                <w:szCs w:val="24"/>
              </w:rPr>
              <w:t>Ratio of market value of equity plus the book value of debt to the book value of assets.</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Retained earnings</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RETAIN</w:t>
            </w:r>
          </w:p>
        </w:tc>
        <w:tc>
          <w:tcPr>
            <w:tcW w:w="709" w:type="dxa"/>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Ratio of retained earnings to total equity.</w:t>
            </w:r>
          </w:p>
        </w:tc>
      </w:tr>
      <w:tr w:rsidR="00256B40" w:rsidRPr="00363921" w:rsidTr="00222D20">
        <w:tc>
          <w:tcPr>
            <w:tcW w:w="2518" w:type="dxa"/>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Dividend yield</w:t>
            </w:r>
          </w:p>
        </w:tc>
        <w:tc>
          <w:tcPr>
            <w:tcW w:w="1418" w:type="dxa"/>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DIV</w:t>
            </w:r>
          </w:p>
        </w:tc>
        <w:tc>
          <w:tcPr>
            <w:tcW w:w="709" w:type="dxa"/>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 xml:space="preserve">Ratio of cash dividend per share to </w:t>
            </w:r>
            <w:r w:rsidR="003D7DFB">
              <w:rPr>
                <w:rFonts w:ascii="Times New Roman" w:hAnsi="Times New Roman"/>
                <w:szCs w:val="24"/>
              </w:rPr>
              <w:t>price per share</w:t>
            </w:r>
            <w:r w:rsidRPr="00363921">
              <w:rPr>
                <w:rFonts w:ascii="Times New Roman" w:hAnsi="Times New Roman"/>
                <w:szCs w:val="24"/>
              </w:rPr>
              <w:t>.</w:t>
            </w:r>
          </w:p>
        </w:tc>
      </w:tr>
      <w:tr w:rsidR="00256B40" w:rsidRPr="00363921" w:rsidTr="00222D20">
        <w:tc>
          <w:tcPr>
            <w:tcW w:w="2518" w:type="dxa"/>
            <w:shd w:val="clear" w:color="auto" w:fill="auto"/>
          </w:tcPr>
          <w:p w:rsidR="00256B40" w:rsidRPr="00363921" w:rsidRDefault="00256B40" w:rsidP="00222D20">
            <w:pPr>
              <w:snapToGrid w:val="0"/>
              <w:rPr>
                <w:rFonts w:ascii="Times New Roman" w:hAnsi="Times New Roman"/>
              </w:rPr>
            </w:pPr>
            <w:r w:rsidRPr="00363921">
              <w:rPr>
                <w:rFonts w:ascii="Times New Roman" w:hAnsi="Times New Roman"/>
              </w:rPr>
              <w:t>Taxation</w:t>
            </w:r>
          </w:p>
        </w:tc>
        <w:tc>
          <w:tcPr>
            <w:tcW w:w="1418" w:type="dxa"/>
          </w:tcPr>
          <w:p w:rsidR="00256B40" w:rsidRPr="00363921" w:rsidRDefault="00256B40" w:rsidP="00222D20">
            <w:pPr>
              <w:snapToGrid w:val="0"/>
              <w:jc w:val="center"/>
              <w:rPr>
                <w:rFonts w:ascii="Times New Roman" w:hAnsi="Times New Roman"/>
                <w:i/>
              </w:rPr>
            </w:pPr>
            <w:r w:rsidRPr="00363921">
              <w:rPr>
                <w:rFonts w:ascii="Times New Roman" w:hAnsi="Times New Roman"/>
                <w:i/>
              </w:rPr>
              <w:t>TAX</w:t>
            </w:r>
          </w:p>
        </w:tc>
        <w:tc>
          <w:tcPr>
            <w:tcW w:w="709" w:type="dxa"/>
          </w:tcPr>
          <w:p w:rsidR="00256B40" w:rsidRPr="00363921" w:rsidRDefault="00256B40" w:rsidP="00222D20">
            <w:pPr>
              <w:snapToGrid w:val="0"/>
              <w:jc w:val="center"/>
              <w:rPr>
                <w:rFonts w:ascii="Times New Roman" w:hAnsi="Times New Roman"/>
              </w:rPr>
            </w:pPr>
            <w:r w:rsidRPr="00363921">
              <w:rPr>
                <w:rFonts w:ascii="Times New Roman" w:hAnsi="Times New Roman"/>
              </w:rPr>
              <w:t>-</w:t>
            </w:r>
          </w:p>
        </w:tc>
        <w:tc>
          <w:tcPr>
            <w:tcW w:w="3827" w:type="dxa"/>
          </w:tcPr>
          <w:p w:rsidR="00256B40" w:rsidRPr="00363921" w:rsidRDefault="00256B40" w:rsidP="00222D20">
            <w:pPr>
              <w:snapToGrid w:val="0"/>
              <w:rPr>
                <w:rFonts w:ascii="Times New Roman" w:hAnsi="Times New Roman"/>
              </w:rPr>
            </w:pPr>
            <w:r w:rsidRPr="00363921">
              <w:rPr>
                <w:rFonts w:ascii="Times New Roman" w:hAnsi="Times New Roman"/>
              </w:rPr>
              <w:t>Ratio of income tax to net income.</w:t>
            </w:r>
          </w:p>
        </w:tc>
      </w:tr>
      <w:tr w:rsidR="00256B40" w:rsidRPr="00363921" w:rsidTr="00222D20">
        <w:tc>
          <w:tcPr>
            <w:tcW w:w="2518" w:type="dxa"/>
            <w:tcBorders>
              <w:bottom w:val="single" w:sz="4" w:space="0" w:color="auto"/>
            </w:tcBorders>
            <w:shd w:val="clear" w:color="auto" w:fill="auto"/>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Industry dummy</w:t>
            </w:r>
          </w:p>
        </w:tc>
        <w:tc>
          <w:tcPr>
            <w:tcW w:w="1418" w:type="dxa"/>
            <w:tcBorders>
              <w:bottom w:val="single" w:sz="4" w:space="0" w:color="auto"/>
            </w:tcBorders>
          </w:tcPr>
          <w:p w:rsidR="00256B40" w:rsidRPr="00363921" w:rsidRDefault="00256B40" w:rsidP="00222D20">
            <w:pPr>
              <w:adjustRightInd w:val="0"/>
              <w:snapToGrid w:val="0"/>
              <w:jc w:val="center"/>
              <w:rPr>
                <w:rFonts w:ascii="Times New Roman" w:hAnsi="Times New Roman"/>
                <w:i/>
                <w:szCs w:val="24"/>
              </w:rPr>
            </w:pPr>
            <w:r w:rsidRPr="00363921">
              <w:rPr>
                <w:rFonts w:ascii="Times New Roman" w:hAnsi="Times New Roman"/>
                <w:i/>
                <w:szCs w:val="24"/>
              </w:rPr>
              <w:t>INDUSTRY</w:t>
            </w:r>
          </w:p>
        </w:tc>
        <w:tc>
          <w:tcPr>
            <w:tcW w:w="709" w:type="dxa"/>
            <w:tcBorders>
              <w:bottom w:val="single" w:sz="4" w:space="0" w:color="auto"/>
            </w:tcBorders>
          </w:tcPr>
          <w:p w:rsidR="00256B40" w:rsidRPr="00363921" w:rsidRDefault="00256B40" w:rsidP="00222D20">
            <w:pPr>
              <w:adjustRightInd w:val="0"/>
              <w:snapToGrid w:val="0"/>
              <w:jc w:val="center"/>
              <w:rPr>
                <w:rFonts w:ascii="Times New Roman" w:hAnsi="Times New Roman"/>
                <w:szCs w:val="24"/>
              </w:rPr>
            </w:pPr>
            <w:r w:rsidRPr="00363921">
              <w:rPr>
                <w:rFonts w:ascii="Times New Roman" w:hAnsi="Times New Roman"/>
                <w:szCs w:val="24"/>
              </w:rPr>
              <w:t>+/-</w:t>
            </w:r>
          </w:p>
        </w:tc>
        <w:tc>
          <w:tcPr>
            <w:tcW w:w="3827" w:type="dxa"/>
            <w:tcBorders>
              <w:bottom w:val="single" w:sz="4" w:space="0" w:color="auto"/>
            </w:tcBorders>
          </w:tcPr>
          <w:p w:rsidR="00256B40" w:rsidRPr="00363921" w:rsidRDefault="00256B40" w:rsidP="00222D20">
            <w:pPr>
              <w:adjustRightInd w:val="0"/>
              <w:snapToGrid w:val="0"/>
              <w:rPr>
                <w:rFonts w:ascii="Times New Roman" w:hAnsi="Times New Roman"/>
                <w:szCs w:val="24"/>
              </w:rPr>
            </w:pPr>
            <w:r w:rsidRPr="00363921">
              <w:rPr>
                <w:rFonts w:ascii="Times New Roman" w:hAnsi="Times New Roman"/>
                <w:szCs w:val="24"/>
              </w:rPr>
              <w:t>Dummy variable that equals one if the firm belongs to the industrial sectors, including agriculture, forestry, fishing, mining, construction and manufacturing sectors, or 0 otherwise.</w:t>
            </w:r>
          </w:p>
        </w:tc>
      </w:tr>
    </w:tbl>
    <w:p w:rsidR="00256B40" w:rsidRPr="00363921" w:rsidRDefault="00256B40" w:rsidP="00222D20">
      <w:pPr>
        <w:widowControl/>
        <w:jc w:val="both"/>
        <w:rPr>
          <w:rFonts w:ascii="Times New Roman" w:hAnsi="Times New Roman"/>
        </w:rPr>
      </w:pPr>
    </w:p>
    <w:p w:rsidR="00256B40" w:rsidRPr="00363921" w:rsidRDefault="00256B40" w:rsidP="00222D20">
      <w:pPr>
        <w:pStyle w:val="a3"/>
        <w:widowControl/>
        <w:numPr>
          <w:ilvl w:val="0"/>
          <w:numId w:val="2"/>
        </w:numPr>
        <w:ind w:leftChars="0"/>
        <w:jc w:val="both"/>
        <w:rPr>
          <w:rFonts w:ascii="Times New Roman" w:hAnsi="Times New Roman"/>
          <w:b/>
          <w:lang w:val="en-GB"/>
        </w:rPr>
      </w:pPr>
      <w:r w:rsidRPr="00363921">
        <w:rPr>
          <w:rFonts w:ascii="Times New Roman" w:hAnsi="Times New Roman"/>
          <w:b/>
          <w:lang w:val="en-GB"/>
        </w:rPr>
        <w:t>Results</w:t>
      </w:r>
    </w:p>
    <w:p w:rsidR="00256B40" w:rsidRPr="00363921" w:rsidRDefault="00256B40" w:rsidP="00222D20">
      <w:pPr>
        <w:widowControl/>
        <w:jc w:val="both"/>
        <w:rPr>
          <w:rFonts w:ascii="Times New Roman" w:hAnsi="Times New Roman"/>
          <w:lang w:val="en-GB"/>
        </w:rPr>
      </w:pPr>
      <w:r w:rsidRPr="00363921">
        <w:rPr>
          <w:rFonts w:ascii="Times New Roman" w:hAnsi="Times New Roman"/>
        </w:rPr>
        <w:t xml:space="preserve">Table 2 reports the descriptive statistics for the data. The median FCF is 2.07%. The maximum and minimum FCF are 34.04% and -54.72%, respectively. The median corporate governance score is 69. The maximum and minimum score are 97 and 27, respectively. The median LEVERAGE and ROE are 18.18% and 10.39%, respectively. </w:t>
      </w:r>
      <w:r w:rsidRPr="00363921">
        <w:rPr>
          <w:rFonts w:ascii="Times New Roman" w:hAnsi="Times New Roman"/>
          <w:lang w:val="en-GB"/>
        </w:rPr>
        <w:t xml:space="preserve">Table 3 presents the correlation matrix. It shows that FCF is significantly negatively associated with FSIZE, LEVERAGE, and CAPEXP while significantly positively related to ROE, TOBINQ, RETAIN and DIV. The correlation results suggest that larger firms are less dependent on internal funds and therefore hold less free cash flow. The negative relationship between LEVERAGE and FCF suggests that debt can be a governance mechanism for alleviating the agency costs of free cash flow problem. Higher growth opportunities, measured by capital expenditures ratio, are associated </w:t>
      </w:r>
      <w:r w:rsidRPr="00363921">
        <w:rPr>
          <w:rFonts w:ascii="Times New Roman" w:hAnsi="Times New Roman"/>
          <w:lang w:val="en-GB"/>
        </w:rPr>
        <w:lastRenderedPageBreak/>
        <w:t xml:space="preserve">with less free cash flow, as expected. However, better profitability (or ROE) and higher investment opportunities, measured by Tobin’s </w:t>
      </w:r>
      <w:r w:rsidR="00125EBC">
        <w:rPr>
          <w:rFonts w:ascii="Times New Roman" w:hAnsi="Times New Roman" w:hint="eastAsia"/>
          <w:lang w:val="en-GB"/>
        </w:rPr>
        <w:t>Q</w:t>
      </w:r>
      <w:r w:rsidRPr="00363921">
        <w:rPr>
          <w:rFonts w:ascii="Times New Roman" w:hAnsi="Times New Roman"/>
          <w:lang w:val="en-GB"/>
        </w:rPr>
        <w:t>, are associated with more free cash flow. The latter result is inconsistent with the prediction. One p</w:t>
      </w:r>
      <w:r w:rsidR="00125EBC">
        <w:rPr>
          <w:rFonts w:ascii="Times New Roman" w:hAnsi="Times New Roman"/>
          <w:lang w:val="en-GB"/>
        </w:rPr>
        <w:t xml:space="preserve">ossible reason is that Tobin’s </w:t>
      </w:r>
      <w:r w:rsidR="00125EBC">
        <w:rPr>
          <w:rFonts w:ascii="Times New Roman" w:hAnsi="Times New Roman" w:hint="eastAsia"/>
          <w:lang w:val="en-GB"/>
        </w:rPr>
        <w:t>Q</w:t>
      </w:r>
      <w:r w:rsidRPr="00363921">
        <w:rPr>
          <w:rFonts w:ascii="Times New Roman" w:hAnsi="Times New Roman"/>
          <w:lang w:val="en-GB"/>
        </w:rPr>
        <w:t xml:space="preserve"> also proxies for firm value. Firms that perform well will have higher firm value and more free cash flow. Higher FCF is also found to be associated with higher retained earnings and higher dividend yield. The findings are consistent with the predictions.</w:t>
      </w:r>
    </w:p>
    <w:p w:rsidR="00256B40" w:rsidRPr="00363921" w:rsidRDefault="00256B40" w:rsidP="00222D20">
      <w:pPr>
        <w:adjustRightInd w:val="0"/>
        <w:snapToGrid w:val="0"/>
        <w:rPr>
          <w:rFonts w:ascii="Times New Roman" w:hAnsi="Times New Roman"/>
        </w:rPr>
      </w:pPr>
    </w:p>
    <w:p w:rsidR="00256B40" w:rsidRPr="00363921" w:rsidRDefault="00256B40" w:rsidP="00222D20">
      <w:pPr>
        <w:adjustRightInd w:val="0"/>
        <w:snapToGrid w:val="0"/>
        <w:rPr>
          <w:rFonts w:ascii="Times New Roman" w:hAnsi="Times New Roman"/>
        </w:rPr>
      </w:pPr>
      <w:r w:rsidRPr="00363921">
        <w:rPr>
          <w:rFonts w:ascii="Times New Roman" w:hAnsi="Times New Roman"/>
        </w:rPr>
        <w:t>Table 2 Descriptive statistics</w:t>
      </w:r>
    </w:p>
    <w:tbl>
      <w:tblPr>
        <w:tblW w:w="5000" w:type="pct"/>
        <w:tblCellMar>
          <w:left w:w="28" w:type="dxa"/>
          <w:right w:w="28" w:type="dxa"/>
        </w:tblCellMar>
        <w:tblLook w:val="04A0" w:firstRow="1" w:lastRow="0" w:firstColumn="1" w:lastColumn="0" w:noHBand="0" w:noVBand="1"/>
      </w:tblPr>
      <w:tblGrid>
        <w:gridCol w:w="2228"/>
        <w:gridCol w:w="1226"/>
        <w:gridCol w:w="1228"/>
        <w:gridCol w:w="1226"/>
        <w:gridCol w:w="1228"/>
        <w:gridCol w:w="1226"/>
      </w:tblGrid>
      <w:tr w:rsidR="00256B40" w:rsidRPr="00363921" w:rsidTr="00222D20">
        <w:trPr>
          <w:trHeight w:val="324"/>
        </w:trPr>
        <w:tc>
          <w:tcPr>
            <w:tcW w:w="1332" w:type="pct"/>
            <w:tcBorders>
              <w:top w:val="single" w:sz="4" w:space="0" w:color="auto"/>
              <w:left w:val="nil"/>
              <w:bottom w:val="single" w:sz="4" w:space="0" w:color="auto"/>
              <w:right w:val="nil"/>
            </w:tcBorders>
            <w:shd w:val="clear" w:color="auto" w:fill="auto"/>
            <w:noWrap/>
            <w:vAlign w:val="center"/>
            <w:hideMark/>
          </w:tcPr>
          <w:p w:rsidR="00256B40" w:rsidRPr="00363921" w:rsidRDefault="00256B40" w:rsidP="00222D20">
            <w:pPr>
              <w:widowControl/>
              <w:rPr>
                <w:rFonts w:ascii="Times New Roman" w:hAnsi="Times New Roman"/>
                <w:kern w:val="0"/>
              </w:rPr>
            </w:pPr>
            <w:r w:rsidRPr="00363921">
              <w:rPr>
                <w:rFonts w:ascii="Times New Roman" w:hAnsi="Times New Roman"/>
                <w:kern w:val="0"/>
              </w:rPr>
              <w:t xml:space="preserve">　</w:t>
            </w:r>
          </w:p>
        </w:tc>
        <w:tc>
          <w:tcPr>
            <w:tcW w:w="733" w:type="pct"/>
            <w:tcBorders>
              <w:top w:val="single" w:sz="4" w:space="0" w:color="auto"/>
              <w:left w:val="nil"/>
              <w:bottom w:val="single" w:sz="4" w:space="0" w:color="auto"/>
              <w:right w:val="nil"/>
            </w:tcBorders>
            <w:shd w:val="clear" w:color="auto" w:fill="auto"/>
            <w:noWrap/>
            <w:vAlign w:val="center"/>
            <w:hideMark/>
          </w:tcPr>
          <w:p w:rsidR="00256B40" w:rsidRPr="00363921" w:rsidRDefault="00256B40" w:rsidP="00222D20">
            <w:pPr>
              <w:widowControl/>
              <w:jc w:val="center"/>
              <w:rPr>
                <w:rFonts w:ascii="Times New Roman" w:hAnsi="Times New Roman"/>
                <w:kern w:val="0"/>
              </w:rPr>
            </w:pPr>
            <w:r w:rsidRPr="00363921">
              <w:rPr>
                <w:rFonts w:ascii="Times New Roman" w:hAnsi="Times New Roman"/>
                <w:kern w:val="0"/>
              </w:rPr>
              <w:t>Mean</w:t>
            </w:r>
          </w:p>
        </w:tc>
        <w:tc>
          <w:tcPr>
            <w:tcW w:w="734" w:type="pct"/>
            <w:tcBorders>
              <w:top w:val="single" w:sz="4" w:space="0" w:color="auto"/>
              <w:left w:val="nil"/>
              <w:bottom w:val="single" w:sz="4" w:space="0" w:color="auto"/>
              <w:right w:val="nil"/>
            </w:tcBorders>
            <w:shd w:val="clear" w:color="auto" w:fill="auto"/>
            <w:noWrap/>
            <w:vAlign w:val="center"/>
            <w:hideMark/>
          </w:tcPr>
          <w:p w:rsidR="00256B40" w:rsidRPr="00363921" w:rsidRDefault="00256B40" w:rsidP="00222D20">
            <w:pPr>
              <w:widowControl/>
              <w:jc w:val="center"/>
              <w:rPr>
                <w:rFonts w:ascii="Times New Roman" w:hAnsi="Times New Roman"/>
                <w:kern w:val="0"/>
              </w:rPr>
            </w:pPr>
            <w:r w:rsidRPr="00363921">
              <w:rPr>
                <w:rFonts w:ascii="Times New Roman" w:hAnsi="Times New Roman"/>
                <w:kern w:val="0"/>
              </w:rPr>
              <w:t>Median</w:t>
            </w:r>
          </w:p>
        </w:tc>
        <w:tc>
          <w:tcPr>
            <w:tcW w:w="733" w:type="pct"/>
            <w:tcBorders>
              <w:top w:val="single" w:sz="4" w:space="0" w:color="auto"/>
              <w:left w:val="nil"/>
              <w:bottom w:val="single" w:sz="4" w:space="0" w:color="auto"/>
              <w:right w:val="nil"/>
            </w:tcBorders>
            <w:vAlign w:val="center"/>
          </w:tcPr>
          <w:p w:rsidR="00256B40" w:rsidRPr="00363921" w:rsidRDefault="00256B40" w:rsidP="00222D20">
            <w:pPr>
              <w:widowControl/>
              <w:jc w:val="center"/>
              <w:rPr>
                <w:rFonts w:ascii="Times New Roman" w:hAnsi="Times New Roman"/>
                <w:kern w:val="0"/>
              </w:rPr>
            </w:pPr>
            <w:r w:rsidRPr="00363921">
              <w:rPr>
                <w:rFonts w:ascii="Times New Roman" w:hAnsi="Times New Roman"/>
                <w:kern w:val="0"/>
              </w:rPr>
              <w:t>Max</w:t>
            </w:r>
          </w:p>
        </w:tc>
        <w:tc>
          <w:tcPr>
            <w:tcW w:w="734" w:type="pct"/>
            <w:tcBorders>
              <w:top w:val="single" w:sz="4" w:space="0" w:color="auto"/>
              <w:left w:val="nil"/>
              <w:bottom w:val="single" w:sz="4" w:space="0" w:color="auto"/>
              <w:right w:val="nil"/>
            </w:tcBorders>
            <w:shd w:val="clear" w:color="auto" w:fill="auto"/>
            <w:noWrap/>
            <w:vAlign w:val="center"/>
            <w:hideMark/>
          </w:tcPr>
          <w:p w:rsidR="00256B40" w:rsidRPr="00363921" w:rsidRDefault="00256B40" w:rsidP="00222D20">
            <w:pPr>
              <w:widowControl/>
              <w:jc w:val="center"/>
              <w:rPr>
                <w:rFonts w:ascii="Times New Roman" w:hAnsi="Times New Roman"/>
                <w:kern w:val="0"/>
              </w:rPr>
            </w:pPr>
            <w:r w:rsidRPr="00363921">
              <w:rPr>
                <w:rFonts w:ascii="Times New Roman" w:hAnsi="Times New Roman"/>
                <w:kern w:val="0"/>
              </w:rPr>
              <w:t>Min</w:t>
            </w:r>
          </w:p>
        </w:tc>
        <w:tc>
          <w:tcPr>
            <w:tcW w:w="733" w:type="pct"/>
            <w:tcBorders>
              <w:top w:val="single" w:sz="4" w:space="0" w:color="auto"/>
              <w:left w:val="nil"/>
              <w:bottom w:val="single" w:sz="4" w:space="0" w:color="auto"/>
              <w:right w:val="nil"/>
            </w:tcBorders>
            <w:vAlign w:val="center"/>
          </w:tcPr>
          <w:p w:rsidR="00256B40" w:rsidRPr="00363921" w:rsidRDefault="00256B40" w:rsidP="00222D20">
            <w:pPr>
              <w:widowControl/>
              <w:jc w:val="center"/>
              <w:rPr>
                <w:rFonts w:ascii="Times New Roman" w:hAnsi="Times New Roman"/>
                <w:kern w:val="0"/>
              </w:rPr>
            </w:pPr>
            <w:r w:rsidRPr="00363921">
              <w:rPr>
                <w:rFonts w:ascii="Times New Roman" w:hAnsi="Times New Roman"/>
                <w:kern w:val="0"/>
              </w:rPr>
              <w:t>SD</w:t>
            </w:r>
          </w:p>
        </w:tc>
      </w:tr>
      <w:tr w:rsidR="00256B40" w:rsidRPr="00363921" w:rsidTr="00222D20">
        <w:trPr>
          <w:trHeight w:val="324"/>
        </w:trPr>
        <w:tc>
          <w:tcPr>
            <w:tcW w:w="1332" w:type="pct"/>
            <w:tcBorders>
              <w:top w:val="nil"/>
              <w:left w:val="nil"/>
              <w:bottom w:val="nil"/>
              <w:right w:val="nil"/>
            </w:tcBorders>
            <w:shd w:val="clear" w:color="auto" w:fill="auto"/>
            <w:noWrap/>
            <w:vAlign w:val="center"/>
            <w:hideMark/>
          </w:tcPr>
          <w:p w:rsidR="00256B40" w:rsidRPr="00363921" w:rsidRDefault="00256B40" w:rsidP="00222D20">
            <w:pPr>
              <w:widowControl/>
              <w:rPr>
                <w:rFonts w:ascii="Times New Roman" w:hAnsi="Times New Roman"/>
                <w:i/>
                <w:kern w:val="0"/>
              </w:rPr>
            </w:pPr>
            <w:r w:rsidRPr="00363921">
              <w:rPr>
                <w:rFonts w:ascii="Times New Roman" w:hAnsi="Times New Roman"/>
                <w:i/>
                <w:kern w:val="0"/>
              </w:rPr>
              <w:t xml:space="preserve">FCF </w:t>
            </w:r>
            <w:r w:rsidRPr="00363921">
              <w:rPr>
                <w:rFonts w:ascii="Times New Roman" w:hAnsi="Times New Roman"/>
                <w:kern w:val="0"/>
              </w:rPr>
              <w:t>(%)</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1.96</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2.07</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34.04</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-54.72</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9.60</w:t>
            </w:r>
          </w:p>
        </w:tc>
      </w:tr>
      <w:tr w:rsidR="00256B40" w:rsidRPr="00363921" w:rsidTr="00222D20">
        <w:trPr>
          <w:trHeight w:val="324"/>
        </w:trPr>
        <w:tc>
          <w:tcPr>
            <w:tcW w:w="1332" w:type="pct"/>
            <w:tcBorders>
              <w:top w:val="nil"/>
              <w:left w:val="nil"/>
              <w:bottom w:val="nil"/>
              <w:right w:val="nil"/>
            </w:tcBorders>
            <w:shd w:val="clear" w:color="auto" w:fill="auto"/>
            <w:noWrap/>
            <w:vAlign w:val="center"/>
            <w:hideMark/>
          </w:tcPr>
          <w:p w:rsidR="00256B40" w:rsidRPr="00363921" w:rsidRDefault="00256B40" w:rsidP="00222D20">
            <w:pPr>
              <w:widowControl/>
              <w:rPr>
                <w:rFonts w:ascii="Times New Roman" w:hAnsi="Times New Roman"/>
                <w:i/>
                <w:kern w:val="0"/>
              </w:rPr>
            </w:pPr>
            <w:r w:rsidRPr="00363921">
              <w:rPr>
                <w:rFonts w:ascii="Times New Roman" w:hAnsi="Times New Roman"/>
                <w:i/>
                <w:kern w:val="0"/>
              </w:rPr>
              <w:t>CG</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68.13</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69.00</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97.00</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27.00</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16.03</w:t>
            </w:r>
          </w:p>
        </w:tc>
      </w:tr>
      <w:tr w:rsidR="00256B40" w:rsidRPr="00363921" w:rsidTr="00222D20">
        <w:trPr>
          <w:trHeight w:val="324"/>
        </w:trPr>
        <w:tc>
          <w:tcPr>
            <w:tcW w:w="1332" w:type="pct"/>
            <w:tcBorders>
              <w:top w:val="nil"/>
              <w:left w:val="nil"/>
              <w:bottom w:val="nil"/>
              <w:right w:val="nil"/>
            </w:tcBorders>
            <w:shd w:val="clear" w:color="auto" w:fill="auto"/>
            <w:noWrap/>
            <w:hideMark/>
          </w:tcPr>
          <w:p w:rsidR="00256B40" w:rsidRPr="00363921" w:rsidRDefault="00256B40" w:rsidP="00222D20">
            <w:pPr>
              <w:snapToGrid w:val="0"/>
              <w:rPr>
                <w:rFonts w:ascii="Times New Roman" w:hAnsi="Times New Roman"/>
                <w:szCs w:val="24"/>
              </w:rPr>
            </w:pPr>
            <w:r w:rsidRPr="00363921">
              <w:rPr>
                <w:rFonts w:ascii="Times New Roman" w:hAnsi="Times New Roman"/>
                <w:i/>
                <w:szCs w:val="24"/>
              </w:rPr>
              <w:t xml:space="preserve">Total assets </w:t>
            </w:r>
            <w:r w:rsidRPr="00363921">
              <w:rPr>
                <w:rFonts w:ascii="Times New Roman" w:hAnsi="Times New Roman"/>
                <w:szCs w:val="24"/>
              </w:rPr>
              <w:t>($m)</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47,112.14</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6,656.85</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825,100.00</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283.81</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127,810.90</w:t>
            </w:r>
          </w:p>
        </w:tc>
      </w:tr>
      <w:tr w:rsidR="00256B40" w:rsidRPr="00363921" w:rsidTr="00222D20">
        <w:trPr>
          <w:trHeight w:val="324"/>
        </w:trPr>
        <w:tc>
          <w:tcPr>
            <w:tcW w:w="1332" w:type="pct"/>
            <w:tcBorders>
              <w:top w:val="nil"/>
              <w:left w:val="nil"/>
              <w:bottom w:val="nil"/>
              <w:right w:val="nil"/>
            </w:tcBorders>
            <w:shd w:val="clear" w:color="auto" w:fill="auto"/>
            <w:noWrap/>
            <w:hideMark/>
          </w:tcPr>
          <w:p w:rsidR="00256B40" w:rsidRPr="00363921" w:rsidRDefault="00256B40" w:rsidP="00222D20">
            <w:pPr>
              <w:adjustRightInd w:val="0"/>
              <w:snapToGrid w:val="0"/>
              <w:rPr>
                <w:rFonts w:ascii="Times New Roman" w:hAnsi="Times New Roman"/>
                <w:i/>
                <w:szCs w:val="24"/>
              </w:rPr>
            </w:pPr>
            <w:r w:rsidRPr="00363921">
              <w:rPr>
                <w:rFonts w:ascii="Times New Roman" w:hAnsi="Times New Roman"/>
                <w:i/>
                <w:szCs w:val="24"/>
              </w:rPr>
              <w:t xml:space="preserve">LEVERAGE </w:t>
            </w:r>
            <w:r w:rsidRPr="00363921">
              <w:rPr>
                <w:rFonts w:ascii="Times New Roman" w:hAnsi="Times New Roman"/>
                <w:kern w:val="0"/>
              </w:rPr>
              <w:t>(%)</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19.80</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18.18</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60.49</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0.00</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14.45</w:t>
            </w:r>
          </w:p>
        </w:tc>
      </w:tr>
      <w:tr w:rsidR="00256B40" w:rsidRPr="00363921" w:rsidTr="00222D20">
        <w:trPr>
          <w:trHeight w:val="324"/>
        </w:trPr>
        <w:tc>
          <w:tcPr>
            <w:tcW w:w="1332" w:type="pct"/>
            <w:tcBorders>
              <w:top w:val="nil"/>
              <w:left w:val="nil"/>
              <w:bottom w:val="nil"/>
              <w:right w:val="nil"/>
            </w:tcBorders>
            <w:shd w:val="clear" w:color="auto" w:fill="auto"/>
            <w:noWrap/>
            <w:hideMark/>
          </w:tcPr>
          <w:p w:rsidR="00256B40" w:rsidRPr="00363921" w:rsidRDefault="00256B40" w:rsidP="00222D20">
            <w:pPr>
              <w:adjustRightInd w:val="0"/>
              <w:snapToGrid w:val="0"/>
              <w:rPr>
                <w:rFonts w:ascii="Times New Roman" w:hAnsi="Times New Roman"/>
                <w:i/>
                <w:szCs w:val="24"/>
              </w:rPr>
            </w:pPr>
            <w:r w:rsidRPr="00363921">
              <w:rPr>
                <w:rFonts w:ascii="Times New Roman" w:hAnsi="Times New Roman"/>
                <w:i/>
                <w:szCs w:val="24"/>
              </w:rPr>
              <w:t xml:space="preserve">ROE </w:t>
            </w:r>
            <w:r w:rsidRPr="00363921">
              <w:rPr>
                <w:rFonts w:ascii="Times New Roman" w:hAnsi="Times New Roman"/>
                <w:kern w:val="0"/>
              </w:rPr>
              <w:t>(%)</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10.15</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10.39</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278.08</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-250.29</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21.46</w:t>
            </w:r>
          </w:p>
        </w:tc>
      </w:tr>
      <w:tr w:rsidR="00256B40" w:rsidRPr="00363921" w:rsidTr="00222D20">
        <w:trPr>
          <w:trHeight w:val="324"/>
        </w:trPr>
        <w:tc>
          <w:tcPr>
            <w:tcW w:w="1332" w:type="pct"/>
            <w:tcBorders>
              <w:top w:val="nil"/>
              <w:left w:val="nil"/>
              <w:bottom w:val="nil"/>
              <w:right w:val="nil"/>
            </w:tcBorders>
            <w:shd w:val="clear" w:color="auto" w:fill="auto"/>
            <w:noWrap/>
            <w:hideMark/>
          </w:tcPr>
          <w:p w:rsidR="00256B40" w:rsidRPr="00363921" w:rsidRDefault="00256B40" w:rsidP="00222D20">
            <w:pPr>
              <w:adjustRightInd w:val="0"/>
              <w:snapToGrid w:val="0"/>
              <w:rPr>
                <w:rFonts w:ascii="Times New Roman" w:hAnsi="Times New Roman"/>
                <w:i/>
                <w:szCs w:val="24"/>
              </w:rPr>
            </w:pPr>
            <w:r w:rsidRPr="00363921">
              <w:rPr>
                <w:rFonts w:ascii="Times New Roman" w:hAnsi="Times New Roman"/>
                <w:i/>
                <w:szCs w:val="24"/>
              </w:rPr>
              <w:t xml:space="preserve">CAPEXP </w:t>
            </w:r>
            <w:r w:rsidRPr="00363921">
              <w:rPr>
                <w:rFonts w:ascii="Times New Roman" w:hAnsi="Times New Roman"/>
                <w:kern w:val="0"/>
              </w:rPr>
              <w:t>(%)</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6.80</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5.45</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41.74</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0.00</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6.16</w:t>
            </w:r>
          </w:p>
        </w:tc>
      </w:tr>
      <w:tr w:rsidR="00256B40" w:rsidRPr="00363921" w:rsidTr="00222D20">
        <w:trPr>
          <w:trHeight w:val="324"/>
        </w:trPr>
        <w:tc>
          <w:tcPr>
            <w:tcW w:w="1332" w:type="pct"/>
            <w:tcBorders>
              <w:top w:val="nil"/>
              <w:left w:val="nil"/>
              <w:bottom w:val="nil"/>
              <w:right w:val="nil"/>
            </w:tcBorders>
            <w:shd w:val="clear" w:color="auto" w:fill="auto"/>
            <w:noWrap/>
            <w:hideMark/>
          </w:tcPr>
          <w:p w:rsidR="00256B40" w:rsidRPr="00363921" w:rsidRDefault="00256B40" w:rsidP="00222D20">
            <w:pPr>
              <w:snapToGrid w:val="0"/>
              <w:rPr>
                <w:rFonts w:ascii="Times New Roman" w:hAnsi="Times New Roman"/>
                <w:i/>
                <w:szCs w:val="24"/>
              </w:rPr>
            </w:pPr>
            <w:r w:rsidRPr="00363921">
              <w:rPr>
                <w:rFonts w:ascii="Times New Roman" w:hAnsi="Times New Roman"/>
                <w:i/>
                <w:szCs w:val="24"/>
              </w:rPr>
              <w:t xml:space="preserve">TOBINQ </w:t>
            </w:r>
            <w:r w:rsidRPr="00363921">
              <w:rPr>
                <w:rFonts w:ascii="Times New Roman" w:hAnsi="Times New Roman"/>
                <w:kern w:val="0"/>
              </w:rPr>
              <w:t>(%)</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113.81</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101.20</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535.16</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6.29</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76.89</w:t>
            </w:r>
          </w:p>
        </w:tc>
      </w:tr>
      <w:tr w:rsidR="00256B40" w:rsidRPr="00363921" w:rsidTr="00222D20">
        <w:trPr>
          <w:trHeight w:val="324"/>
        </w:trPr>
        <w:tc>
          <w:tcPr>
            <w:tcW w:w="1332" w:type="pct"/>
            <w:tcBorders>
              <w:top w:val="nil"/>
              <w:left w:val="nil"/>
              <w:bottom w:val="nil"/>
              <w:right w:val="nil"/>
            </w:tcBorders>
            <w:shd w:val="clear" w:color="auto" w:fill="auto"/>
            <w:noWrap/>
            <w:hideMark/>
          </w:tcPr>
          <w:p w:rsidR="00256B40" w:rsidRPr="00363921" w:rsidRDefault="00256B40" w:rsidP="00222D20">
            <w:pPr>
              <w:adjustRightInd w:val="0"/>
              <w:snapToGrid w:val="0"/>
              <w:rPr>
                <w:rFonts w:ascii="Times New Roman" w:hAnsi="Times New Roman"/>
                <w:i/>
                <w:szCs w:val="24"/>
              </w:rPr>
            </w:pPr>
            <w:r w:rsidRPr="00363921">
              <w:rPr>
                <w:rFonts w:ascii="Times New Roman" w:hAnsi="Times New Roman"/>
                <w:i/>
                <w:szCs w:val="24"/>
              </w:rPr>
              <w:t xml:space="preserve">RETAIN </w:t>
            </w:r>
            <w:r w:rsidRPr="00363921">
              <w:rPr>
                <w:rFonts w:ascii="Times New Roman" w:hAnsi="Times New Roman"/>
                <w:kern w:val="0"/>
              </w:rPr>
              <w:t>(%)</w:t>
            </w:r>
          </w:p>
        </w:tc>
        <w:tc>
          <w:tcPr>
            <w:tcW w:w="733"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35.82</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53.52</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94.45</w:t>
            </w:r>
          </w:p>
        </w:tc>
        <w:tc>
          <w:tcPr>
            <w:tcW w:w="734"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-438.62</w:t>
            </w:r>
          </w:p>
        </w:tc>
        <w:tc>
          <w:tcPr>
            <w:tcW w:w="733" w:type="pct"/>
            <w:tcBorders>
              <w:top w:val="nil"/>
              <w:left w:val="nil"/>
              <w:bottom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60.31</w:t>
            </w:r>
          </w:p>
        </w:tc>
      </w:tr>
      <w:tr w:rsidR="00256B40" w:rsidRPr="00363921" w:rsidTr="00222D20">
        <w:trPr>
          <w:trHeight w:val="324"/>
        </w:trPr>
        <w:tc>
          <w:tcPr>
            <w:tcW w:w="1332" w:type="pct"/>
            <w:tcBorders>
              <w:top w:val="nil"/>
              <w:left w:val="nil"/>
              <w:right w:val="nil"/>
            </w:tcBorders>
            <w:shd w:val="clear" w:color="auto" w:fill="auto"/>
            <w:noWrap/>
            <w:hideMark/>
          </w:tcPr>
          <w:p w:rsidR="00256B40" w:rsidRPr="00363921" w:rsidRDefault="00256B40" w:rsidP="00222D20">
            <w:pPr>
              <w:adjustRightInd w:val="0"/>
              <w:snapToGrid w:val="0"/>
              <w:rPr>
                <w:rFonts w:ascii="Times New Roman" w:hAnsi="Times New Roman"/>
                <w:i/>
                <w:szCs w:val="24"/>
              </w:rPr>
            </w:pPr>
            <w:r w:rsidRPr="00363921">
              <w:rPr>
                <w:rFonts w:ascii="Times New Roman" w:hAnsi="Times New Roman"/>
                <w:i/>
                <w:szCs w:val="24"/>
              </w:rPr>
              <w:t xml:space="preserve">DIV </w:t>
            </w:r>
            <w:r w:rsidRPr="00363921">
              <w:rPr>
                <w:rFonts w:ascii="Times New Roman" w:hAnsi="Times New Roman"/>
                <w:kern w:val="0"/>
              </w:rPr>
              <w:t>(%)</w:t>
            </w:r>
          </w:p>
        </w:tc>
        <w:tc>
          <w:tcPr>
            <w:tcW w:w="733" w:type="pct"/>
            <w:tcBorders>
              <w:top w:val="nil"/>
              <w:left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2.26</w:t>
            </w:r>
          </w:p>
        </w:tc>
        <w:tc>
          <w:tcPr>
            <w:tcW w:w="734" w:type="pct"/>
            <w:tcBorders>
              <w:top w:val="nil"/>
              <w:left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1.93</w:t>
            </w:r>
          </w:p>
        </w:tc>
        <w:tc>
          <w:tcPr>
            <w:tcW w:w="733" w:type="pct"/>
            <w:tcBorders>
              <w:top w:val="nil"/>
              <w:left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21.46</w:t>
            </w:r>
          </w:p>
        </w:tc>
        <w:tc>
          <w:tcPr>
            <w:tcW w:w="734" w:type="pct"/>
            <w:tcBorders>
              <w:top w:val="nil"/>
              <w:left w:val="nil"/>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0.00</w:t>
            </w:r>
          </w:p>
        </w:tc>
        <w:tc>
          <w:tcPr>
            <w:tcW w:w="733" w:type="pct"/>
            <w:tcBorders>
              <w:top w:val="nil"/>
              <w:left w:val="nil"/>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2.08</w:t>
            </w:r>
          </w:p>
        </w:tc>
      </w:tr>
      <w:tr w:rsidR="00256B40" w:rsidRPr="00363921" w:rsidTr="00222D20">
        <w:trPr>
          <w:trHeight w:val="324"/>
        </w:trPr>
        <w:tc>
          <w:tcPr>
            <w:tcW w:w="1332" w:type="pct"/>
            <w:tcBorders>
              <w:top w:val="nil"/>
              <w:left w:val="nil"/>
              <w:bottom w:val="single" w:sz="4" w:space="0" w:color="auto"/>
              <w:right w:val="nil"/>
            </w:tcBorders>
            <w:shd w:val="clear" w:color="auto" w:fill="auto"/>
            <w:noWrap/>
            <w:hideMark/>
          </w:tcPr>
          <w:p w:rsidR="00256B40" w:rsidRPr="00363921" w:rsidRDefault="00256B40" w:rsidP="00222D20">
            <w:pPr>
              <w:snapToGrid w:val="0"/>
              <w:rPr>
                <w:rFonts w:ascii="Times New Roman" w:hAnsi="Times New Roman"/>
                <w:i/>
              </w:rPr>
            </w:pPr>
            <w:r w:rsidRPr="00363921">
              <w:rPr>
                <w:rFonts w:ascii="Times New Roman" w:hAnsi="Times New Roman"/>
                <w:i/>
              </w:rPr>
              <w:t xml:space="preserve">TAX </w:t>
            </w:r>
            <w:r w:rsidRPr="00363921">
              <w:rPr>
                <w:rFonts w:ascii="Times New Roman" w:hAnsi="Times New Roman"/>
                <w:kern w:val="0"/>
              </w:rPr>
              <w:t>(%)</w:t>
            </w:r>
          </w:p>
        </w:tc>
        <w:tc>
          <w:tcPr>
            <w:tcW w:w="733" w:type="pct"/>
            <w:tcBorders>
              <w:top w:val="nil"/>
              <w:left w:val="nil"/>
              <w:bottom w:val="single" w:sz="4" w:space="0" w:color="auto"/>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0.31</w:t>
            </w:r>
          </w:p>
        </w:tc>
        <w:tc>
          <w:tcPr>
            <w:tcW w:w="734" w:type="pct"/>
            <w:tcBorders>
              <w:top w:val="nil"/>
              <w:left w:val="nil"/>
              <w:bottom w:val="single" w:sz="4" w:space="0" w:color="auto"/>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0.33</w:t>
            </w:r>
          </w:p>
        </w:tc>
        <w:tc>
          <w:tcPr>
            <w:tcW w:w="733" w:type="pct"/>
            <w:tcBorders>
              <w:top w:val="nil"/>
              <w:left w:val="nil"/>
              <w:bottom w:val="single" w:sz="4" w:space="0" w:color="auto"/>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15.46</w:t>
            </w:r>
          </w:p>
        </w:tc>
        <w:tc>
          <w:tcPr>
            <w:tcW w:w="734" w:type="pct"/>
            <w:tcBorders>
              <w:top w:val="nil"/>
              <w:left w:val="nil"/>
              <w:bottom w:val="single" w:sz="4" w:space="0" w:color="auto"/>
              <w:right w:val="nil"/>
            </w:tcBorders>
            <w:shd w:val="clear" w:color="auto" w:fill="auto"/>
            <w:noWrap/>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-7.11</w:t>
            </w:r>
          </w:p>
        </w:tc>
        <w:tc>
          <w:tcPr>
            <w:tcW w:w="733" w:type="pct"/>
            <w:tcBorders>
              <w:top w:val="nil"/>
              <w:left w:val="nil"/>
              <w:bottom w:val="single" w:sz="4" w:space="0" w:color="auto"/>
              <w:right w:val="nil"/>
            </w:tcBorders>
            <w:vAlign w:val="center"/>
          </w:tcPr>
          <w:p w:rsidR="00256B40" w:rsidRPr="00363921" w:rsidRDefault="00256B40" w:rsidP="00222D20">
            <w:pPr>
              <w:jc w:val="center"/>
              <w:rPr>
                <w:rFonts w:ascii="Times New Roman" w:hAnsi="Times New Roman"/>
                <w:szCs w:val="24"/>
              </w:rPr>
            </w:pPr>
            <w:r w:rsidRPr="00363921">
              <w:rPr>
                <w:rFonts w:ascii="Times New Roman" w:hAnsi="Times New Roman"/>
              </w:rPr>
              <w:t>1.25</w:t>
            </w:r>
          </w:p>
        </w:tc>
      </w:tr>
    </w:tbl>
    <w:p w:rsidR="00256B40" w:rsidRPr="00363921" w:rsidRDefault="00256B40" w:rsidP="00222D20">
      <w:pPr>
        <w:snapToGrid w:val="0"/>
        <w:jc w:val="both"/>
        <w:rPr>
          <w:rFonts w:ascii="Times New Roman" w:hAnsi="Times New Roman"/>
          <w:sz w:val="20"/>
        </w:rPr>
      </w:pPr>
      <w:r w:rsidRPr="003D7DFB">
        <w:rPr>
          <w:rFonts w:ascii="Times New Roman" w:hAnsi="Times New Roman"/>
          <w:i/>
          <w:sz w:val="16"/>
          <w:lang w:val="en-GB"/>
        </w:rPr>
        <w:t>FCF</w:t>
      </w:r>
      <w:r w:rsidRPr="003D7DFB">
        <w:rPr>
          <w:rFonts w:ascii="Times New Roman" w:hAnsi="Times New Roman"/>
          <w:sz w:val="16"/>
          <w:lang w:val="en-GB"/>
        </w:rPr>
        <w:t xml:space="preserve"> is </w:t>
      </w:r>
      <w:r w:rsidRPr="003D7DFB">
        <w:rPr>
          <w:rFonts w:ascii="Times New Roman" w:hAnsi="Times New Roman"/>
          <w:sz w:val="16"/>
          <w:szCs w:val="24"/>
        </w:rPr>
        <w:t xml:space="preserve">the ratio of free cash flow to book value of assets. </w:t>
      </w:r>
      <w:r w:rsidRPr="003D7DFB">
        <w:rPr>
          <w:rFonts w:ascii="Times New Roman" w:hAnsi="Times New Roman"/>
          <w:i/>
          <w:sz w:val="16"/>
          <w:szCs w:val="24"/>
        </w:rPr>
        <w:t xml:space="preserve">CG </w:t>
      </w:r>
      <w:r w:rsidRPr="003D7DFB">
        <w:rPr>
          <w:rFonts w:ascii="Times New Roman" w:hAnsi="Times New Roman"/>
          <w:sz w:val="16"/>
          <w:szCs w:val="24"/>
        </w:rPr>
        <w:t xml:space="preserve">is the corporate governance score. </w:t>
      </w:r>
      <w:r w:rsidRPr="003D7DFB">
        <w:rPr>
          <w:rFonts w:ascii="Times New Roman" w:hAnsi="Times New Roman"/>
          <w:i/>
          <w:sz w:val="16"/>
          <w:szCs w:val="24"/>
        </w:rPr>
        <w:t>LEVERAGE</w:t>
      </w:r>
      <w:r w:rsidRPr="003D7DFB">
        <w:rPr>
          <w:rFonts w:ascii="Times New Roman" w:hAnsi="Times New Roman"/>
          <w:sz w:val="16"/>
          <w:szCs w:val="24"/>
        </w:rPr>
        <w:t xml:space="preserve"> is the ratio of total debt to total assets. </w:t>
      </w:r>
      <w:r w:rsidRPr="003D7DFB">
        <w:rPr>
          <w:rFonts w:ascii="Times New Roman" w:hAnsi="Times New Roman"/>
          <w:i/>
          <w:sz w:val="16"/>
          <w:szCs w:val="24"/>
        </w:rPr>
        <w:t>ROE</w:t>
      </w:r>
      <w:r w:rsidRPr="003D7DFB">
        <w:rPr>
          <w:rFonts w:ascii="Times New Roman" w:hAnsi="Times New Roman"/>
          <w:sz w:val="16"/>
          <w:szCs w:val="24"/>
        </w:rPr>
        <w:t xml:space="preserve"> is the ratio of net income to shareholder equity. </w:t>
      </w:r>
      <w:r w:rsidRPr="003D7DFB">
        <w:rPr>
          <w:rFonts w:ascii="Times New Roman" w:hAnsi="Times New Roman"/>
          <w:i/>
          <w:sz w:val="16"/>
          <w:szCs w:val="24"/>
        </w:rPr>
        <w:t xml:space="preserve">CAPEXP </w:t>
      </w:r>
      <w:r w:rsidRPr="003D7DFB">
        <w:rPr>
          <w:rFonts w:ascii="Times New Roman" w:hAnsi="Times New Roman"/>
          <w:sz w:val="16"/>
          <w:szCs w:val="24"/>
        </w:rPr>
        <w:t xml:space="preserve">is the ratio of capital expenditure to total assets. </w:t>
      </w:r>
      <w:r w:rsidRPr="003D7DFB">
        <w:rPr>
          <w:rFonts w:ascii="Times New Roman" w:hAnsi="Times New Roman"/>
          <w:i/>
          <w:sz w:val="16"/>
          <w:szCs w:val="24"/>
        </w:rPr>
        <w:t>TOBINQ</w:t>
      </w:r>
      <w:r w:rsidRPr="003D7DFB">
        <w:rPr>
          <w:rFonts w:ascii="Times New Roman" w:hAnsi="Times New Roman"/>
          <w:sz w:val="16"/>
          <w:szCs w:val="24"/>
        </w:rPr>
        <w:t xml:space="preserve"> is the ratio of market value of equity plus the book value of debt to the book value of assets. </w:t>
      </w:r>
      <w:r w:rsidRPr="003D7DFB">
        <w:rPr>
          <w:rFonts w:ascii="Times New Roman" w:hAnsi="Times New Roman"/>
          <w:i/>
          <w:sz w:val="16"/>
          <w:szCs w:val="24"/>
        </w:rPr>
        <w:t>RETAIN</w:t>
      </w:r>
      <w:r w:rsidRPr="003D7DFB">
        <w:rPr>
          <w:rFonts w:ascii="Times New Roman" w:hAnsi="Times New Roman"/>
          <w:sz w:val="16"/>
          <w:szCs w:val="24"/>
        </w:rPr>
        <w:t xml:space="preserve"> is the ratio of retained earnings to total equity. </w:t>
      </w:r>
      <w:r w:rsidRPr="003D7DFB">
        <w:rPr>
          <w:rFonts w:ascii="Times New Roman" w:hAnsi="Times New Roman"/>
          <w:i/>
          <w:sz w:val="16"/>
          <w:szCs w:val="24"/>
        </w:rPr>
        <w:t>DIV</w:t>
      </w:r>
      <w:r w:rsidRPr="003D7DFB">
        <w:rPr>
          <w:rFonts w:ascii="Times New Roman" w:hAnsi="Times New Roman"/>
          <w:sz w:val="16"/>
          <w:szCs w:val="24"/>
        </w:rPr>
        <w:t xml:space="preserve"> is the ratio of cash dividend per share to </w:t>
      </w:r>
      <w:r w:rsidR="003D7DFB" w:rsidRPr="003D7DFB">
        <w:rPr>
          <w:rFonts w:ascii="Times New Roman" w:hAnsi="Times New Roman"/>
          <w:sz w:val="16"/>
          <w:szCs w:val="24"/>
        </w:rPr>
        <w:t>price per share</w:t>
      </w:r>
      <w:r w:rsidRPr="003D7DFB">
        <w:rPr>
          <w:rFonts w:ascii="Times New Roman" w:hAnsi="Times New Roman"/>
          <w:sz w:val="16"/>
          <w:szCs w:val="24"/>
        </w:rPr>
        <w:t xml:space="preserve">. </w:t>
      </w:r>
      <w:r w:rsidRPr="003D7DFB">
        <w:rPr>
          <w:rFonts w:ascii="Times New Roman" w:hAnsi="Times New Roman"/>
          <w:i/>
          <w:sz w:val="16"/>
          <w:szCs w:val="24"/>
        </w:rPr>
        <w:t>TAX</w:t>
      </w:r>
      <w:r w:rsidRPr="003D7DFB">
        <w:rPr>
          <w:rFonts w:ascii="Times New Roman" w:hAnsi="Times New Roman"/>
          <w:sz w:val="16"/>
          <w:szCs w:val="24"/>
        </w:rPr>
        <w:t xml:space="preserve"> is </w:t>
      </w:r>
      <w:r w:rsidRPr="003D7DFB">
        <w:rPr>
          <w:rFonts w:ascii="Times New Roman" w:hAnsi="Times New Roman"/>
          <w:sz w:val="16"/>
        </w:rPr>
        <w:t>the ratio of income tax to net income.</w:t>
      </w:r>
    </w:p>
    <w:p w:rsidR="00256B40" w:rsidRPr="00363921" w:rsidRDefault="00256B40" w:rsidP="00222D20">
      <w:pPr>
        <w:widowControl/>
        <w:jc w:val="both"/>
        <w:rPr>
          <w:rFonts w:ascii="Times New Roman" w:hAnsi="Times New Roman"/>
          <w:lang w:val="en-GB"/>
        </w:rPr>
      </w:pPr>
    </w:p>
    <w:p w:rsidR="00256B40" w:rsidRPr="00363921" w:rsidRDefault="00256B40" w:rsidP="00222D20">
      <w:pPr>
        <w:spacing w:line="240" w:lineRule="exact"/>
        <w:rPr>
          <w:rFonts w:ascii="Times New Roman" w:hAnsi="Times New Roman"/>
        </w:rPr>
      </w:pPr>
      <w:r w:rsidRPr="00363921">
        <w:rPr>
          <w:rFonts w:ascii="Times New Roman" w:hAnsi="Times New Roman"/>
        </w:rPr>
        <w:t>Table 3 Correlation analysis</w:t>
      </w:r>
    </w:p>
    <w:tbl>
      <w:tblPr>
        <w:tblW w:w="5000" w:type="pct"/>
        <w:tblCellMar>
          <w:left w:w="28" w:type="dxa"/>
          <w:right w:w="28" w:type="dxa"/>
        </w:tblCellMar>
        <w:tblLook w:val="04A0" w:firstRow="1" w:lastRow="0" w:firstColumn="1" w:lastColumn="0" w:noHBand="0" w:noVBand="1"/>
      </w:tblPr>
      <w:tblGrid>
        <w:gridCol w:w="949"/>
        <w:gridCol w:w="432"/>
        <w:gridCol w:w="330"/>
        <w:gridCol w:w="432"/>
        <w:gridCol w:w="327"/>
        <w:gridCol w:w="431"/>
        <w:gridCol w:w="326"/>
        <w:gridCol w:w="509"/>
        <w:gridCol w:w="438"/>
        <w:gridCol w:w="431"/>
        <w:gridCol w:w="326"/>
        <w:gridCol w:w="431"/>
        <w:gridCol w:w="326"/>
        <w:gridCol w:w="431"/>
        <w:gridCol w:w="326"/>
        <w:gridCol w:w="431"/>
        <w:gridCol w:w="326"/>
        <w:gridCol w:w="431"/>
        <w:gridCol w:w="161"/>
        <w:gridCol w:w="371"/>
        <w:gridCol w:w="197"/>
      </w:tblGrid>
      <w:tr w:rsidR="00256B40" w:rsidRPr="00363921" w:rsidTr="00222D20">
        <w:trPr>
          <w:trHeight w:hRule="exact" w:val="323"/>
        </w:trPr>
        <w:tc>
          <w:tcPr>
            <w:tcW w:w="567" w:type="pct"/>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right"/>
              <w:rPr>
                <w:rFonts w:ascii="Times New Roman" w:hAnsi="Times New Roman"/>
                <w:kern w:val="0"/>
                <w:sz w:val="18"/>
                <w:szCs w:val="16"/>
              </w:rPr>
            </w:pPr>
          </w:p>
        </w:tc>
        <w:tc>
          <w:tcPr>
            <w:tcW w:w="455"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kern w:val="0"/>
                <w:sz w:val="18"/>
              </w:rPr>
              <w:t>FCF</w:t>
            </w:r>
          </w:p>
        </w:tc>
        <w:tc>
          <w:tcPr>
            <w:tcW w:w="453" w:type="pct"/>
            <w:gridSpan w:val="2"/>
            <w:tcBorders>
              <w:top w:val="single" w:sz="4" w:space="0" w:color="auto"/>
              <w:left w:val="nil"/>
              <w:bottom w:val="single" w:sz="4" w:space="0" w:color="auto"/>
              <w:right w:val="nil"/>
            </w:tcBorders>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kern w:val="0"/>
                <w:sz w:val="18"/>
              </w:rPr>
              <w:t>CG</w:t>
            </w:r>
          </w:p>
        </w:tc>
        <w:tc>
          <w:tcPr>
            <w:tcW w:w="453"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FSIZE</w:t>
            </w:r>
          </w:p>
        </w:tc>
        <w:tc>
          <w:tcPr>
            <w:tcW w:w="566" w:type="pct"/>
            <w:gridSpan w:val="2"/>
            <w:tcBorders>
              <w:top w:val="single" w:sz="4" w:space="0" w:color="auto"/>
              <w:left w:val="nil"/>
              <w:bottom w:val="single" w:sz="4" w:space="0" w:color="auto"/>
              <w:right w:val="nil"/>
            </w:tcBorders>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LEVERAGE</w:t>
            </w:r>
          </w:p>
        </w:tc>
        <w:tc>
          <w:tcPr>
            <w:tcW w:w="453"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ROE</w:t>
            </w:r>
          </w:p>
        </w:tc>
        <w:tc>
          <w:tcPr>
            <w:tcW w:w="453"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CAPEXP</w:t>
            </w:r>
          </w:p>
        </w:tc>
        <w:tc>
          <w:tcPr>
            <w:tcW w:w="453"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TOBINQ</w:t>
            </w:r>
          </w:p>
        </w:tc>
        <w:tc>
          <w:tcPr>
            <w:tcW w:w="453"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RETAIN</w:t>
            </w:r>
          </w:p>
        </w:tc>
        <w:tc>
          <w:tcPr>
            <w:tcW w:w="354" w:type="pct"/>
            <w:gridSpan w:val="2"/>
            <w:tcBorders>
              <w:top w:val="single" w:sz="4" w:space="0" w:color="auto"/>
              <w:left w:val="nil"/>
              <w:bottom w:val="single" w:sz="4" w:space="0" w:color="auto"/>
              <w:right w:val="nil"/>
            </w:tcBorders>
            <w:shd w:val="clear" w:color="auto" w:fill="auto"/>
            <w:noWrap/>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szCs w:val="24"/>
              </w:rPr>
              <w:t>DIV</w:t>
            </w:r>
          </w:p>
        </w:tc>
        <w:tc>
          <w:tcPr>
            <w:tcW w:w="341" w:type="pct"/>
            <w:gridSpan w:val="2"/>
            <w:tcBorders>
              <w:top w:val="single" w:sz="4" w:space="0" w:color="auto"/>
              <w:left w:val="nil"/>
              <w:bottom w:val="single" w:sz="4" w:space="0" w:color="auto"/>
              <w:right w:val="nil"/>
            </w:tcBorders>
            <w:shd w:val="clear" w:color="auto" w:fill="auto"/>
            <w:vAlign w:val="center"/>
          </w:tcPr>
          <w:p w:rsidR="00256B40" w:rsidRPr="00363921" w:rsidRDefault="00256B40" w:rsidP="00222D20">
            <w:pPr>
              <w:widowControl/>
              <w:jc w:val="center"/>
              <w:rPr>
                <w:rFonts w:ascii="Times New Roman" w:hAnsi="Times New Roman"/>
                <w:kern w:val="0"/>
                <w:sz w:val="18"/>
                <w:szCs w:val="16"/>
              </w:rPr>
            </w:pPr>
            <w:r w:rsidRPr="00363921">
              <w:rPr>
                <w:rFonts w:ascii="Times New Roman" w:hAnsi="Times New Roman"/>
                <w:i/>
                <w:sz w:val="18"/>
              </w:rPr>
              <w:t>TAX</w:t>
            </w: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widowControl/>
              <w:jc w:val="both"/>
              <w:rPr>
                <w:rFonts w:ascii="Times New Roman" w:hAnsi="Times New Roman"/>
                <w:i/>
                <w:kern w:val="0"/>
                <w:sz w:val="18"/>
              </w:rPr>
            </w:pPr>
            <w:r w:rsidRPr="00363921">
              <w:rPr>
                <w:rFonts w:ascii="Times New Roman" w:hAnsi="Times New Roman"/>
                <w:i/>
                <w:kern w:val="0"/>
                <w:sz w:val="18"/>
              </w:rPr>
              <w:t>FCF</w:t>
            </w:r>
          </w:p>
        </w:tc>
        <w:tc>
          <w:tcPr>
            <w:tcW w:w="258" w:type="pct"/>
            <w:tcBorders>
              <w:top w:val="nil"/>
              <w:left w:val="nil"/>
              <w:bottom w:val="nil"/>
              <w:right w:val="nil"/>
            </w:tcBorders>
            <w:shd w:val="clear" w:color="auto" w:fill="auto"/>
            <w:noWrap/>
            <w:vAlign w:val="center"/>
          </w:tcPr>
          <w:p w:rsidR="00256B40" w:rsidRPr="00363921" w:rsidRDefault="00256B40" w:rsidP="00222D20">
            <w:pPr>
              <w:jc w:val="right"/>
              <w:rPr>
                <w:rFonts w:ascii="Times New Roman" w:hAnsi="Times New Roman"/>
                <w:sz w:val="18"/>
                <w:szCs w:val="24"/>
              </w:rPr>
            </w:pPr>
            <w:r w:rsidRPr="00363921">
              <w:rPr>
                <w:rFonts w:ascii="Times New Roman" w:hAnsi="Times New Roman"/>
                <w:sz w:val="18"/>
              </w:rPr>
              <w:t xml:space="preserve">1.00 </w:t>
            </w:r>
          </w:p>
          <w:p w:rsidR="00256B40" w:rsidRPr="00363921" w:rsidRDefault="00256B40" w:rsidP="00222D20">
            <w:pPr>
              <w:jc w:val="right"/>
              <w:rPr>
                <w:rFonts w:ascii="Times New Roman" w:hAnsi="Times New Roman"/>
                <w:sz w:val="18"/>
                <w:szCs w:val="16"/>
              </w:rPr>
            </w:pPr>
          </w:p>
        </w:tc>
        <w:tc>
          <w:tcPr>
            <w:tcW w:w="197"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vAlign w:val="center"/>
          </w:tcPr>
          <w:p w:rsidR="00256B40" w:rsidRPr="00363921" w:rsidRDefault="00256B40" w:rsidP="00222D20">
            <w:pPr>
              <w:jc w:val="right"/>
              <w:rPr>
                <w:rFonts w:ascii="Times New Roman" w:hAnsi="Times New Roman"/>
                <w:sz w:val="18"/>
                <w:szCs w:val="16"/>
              </w:rPr>
            </w:pPr>
          </w:p>
        </w:tc>
        <w:tc>
          <w:tcPr>
            <w:tcW w:w="195" w:type="pct"/>
            <w:tcBorders>
              <w:top w:val="nil"/>
              <w:left w:val="nil"/>
              <w:bottom w:val="nil"/>
              <w:right w:val="nil"/>
            </w:tcBorders>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right"/>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304" w:type="pct"/>
            <w:tcBorders>
              <w:top w:val="nil"/>
              <w:left w:val="nil"/>
              <w:bottom w:val="nil"/>
            </w:tcBorders>
          </w:tcPr>
          <w:p w:rsidR="00256B40" w:rsidRPr="00363921" w:rsidRDefault="00256B40" w:rsidP="00222D20">
            <w:pPr>
              <w:jc w:val="center"/>
              <w:rPr>
                <w:rFonts w:ascii="Times New Roman" w:hAnsi="Times New Roman"/>
                <w:sz w:val="18"/>
                <w:szCs w:val="16"/>
              </w:rPr>
            </w:pPr>
          </w:p>
        </w:tc>
        <w:tc>
          <w:tcPr>
            <w:tcW w:w="262" w:type="pct"/>
            <w:tcBorders>
              <w:top w:val="nil"/>
              <w:left w:val="nil"/>
              <w:bottom w:val="nil"/>
              <w:right w:val="nil"/>
            </w:tcBorders>
          </w:tcPr>
          <w:p w:rsidR="00256B40" w:rsidRPr="00363921" w:rsidRDefault="00256B40" w:rsidP="00222D20">
            <w:pPr>
              <w:jc w:val="cente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widowControl/>
              <w:jc w:val="both"/>
              <w:rPr>
                <w:rFonts w:ascii="Times New Roman" w:hAnsi="Times New Roman"/>
                <w:i/>
                <w:kern w:val="0"/>
                <w:sz w:val="18"/>
              </w:rPr>
            </w:pPr>
            <w:r w:rsidRPr="00363921">
              <w:rPr>
                <w:rFonts w:ascii="Times New Roman" w:hAnsi="Times New Roman"/>
                <w:i/>
                <w:kern w:val="0"/>
                <w:sz w:val="18"/>
              </w:rPr>
              <w:t>CG</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0.02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95" w:type="pct"/>
            <w:tcBorders>
              <w:top w:val="nil"/>
              <w:left w:val="nil"/>
              <w:bottom w:val="nil"/>
              <w:right w:val="nil"/>
            </w:tcBorders>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right"/>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304" w:type="pct"/>
            <w:tcBorders>
              <w:top w:val="nil"/>
              <w:left w:val="nil"/>
              <w:bottom w:val="nil"/>
            </w:tcBorders>
          </w:tcPr>
          <w:p w:rsidR="00256B40" w:rsidRPr="00363921" w:rsidRDefault="00256B40" w:rsidP="00222D20">
            <w:pPr>
              <w:jc w:val="center"/>
              <w:rPr>
                <w:rFonts w:ascii="Times New Roman" w:hAnsi="Times New Roman"/>
                <w:sz w:val="18"/>
                <w:szCs w:val="16"/>
              </w:rPr>
            </w:pPr>
          </w:p>
        </w:tc>
        <w:tc>
          <w:tcPr>
            <w:tcW w:w="262" w:type="pct"/>
            <w:tcBorders>
              <w:top w:val="nil"/>
              <w:left w:val="nil"/>
              <w:bottom w:val="nil"/>
              <w:right w:val="nil"/>
            </w:tcBorders>
          </w:tcPr>
          <w:p w:rsidR="00256B40" w:rsidRPr="00363921" w:rsidRDefault="00256B40" w:rsidP="00222D20">
            <w:pPr>
              <w:jc w:val="cente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snapToGrid w:val="0"/>
              <w:jc w:val="both"/>
              <w:rPr>
                <w:rFonts w:ascii="Times New Roman" w:hAnsi="Times New Roman"/>
                <w:i/>
                <w:sz w:val="18"/>
                <w:szCs w:val="24"/>
              </w:rPr>
            </w:pPr>
            <w:r w:rsidRPr="00363921">
              <w:rPr>
                <w:rFonts w:ascii="Times New Roman" w:hAnsi="Times New Roman"/>
                <w:i/>
                <w:sz w:val="18"/>
                <w:szCs w:val="24"/>
              </w:rPr>
              <w:t>FSIZE</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-0.09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0.44 </w:t>
            </w:r>
          </w:p>
        </w:tc>
        <w:tc>
          <w:tcPr>
            <w:tcW w:w="195" w:type="pct"/>
            <w:tcBorders>
              <w:top w:val="nil"/>
              <w:left w:val="nil"/>
              <w:bottom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304" w:type="pct"/>
            <w:tcBorders>
              <w:top w:val="nil"/>
              <w:left w:val="nil"/>
              <w:bottom w:val="nil"/>
            </w:tcBorders>
          </w:tcPr>
          <w:p w:rsidR="00256B40" w:rsidRPr="00363921" w:rsidRDefault="00256B40" w:rsidP="00222D20">
            <w:pPr>
              <w:jc w:val="center"/>
              <w:rPr>
                <w:rFonts w:ascii="Times New Roman" w:hAnsi="Times New Roman"/>
                <w:sz w:val="18"/>
                <w:szCs w:val="16"/>
              </w:rPr>
            </w:pPr>
          </w:p>
        </w:tc>
        <w:tc>
          <w:tcPr>
            <w:tcW w:w="262" w:type="pct"/>
            <w:tcBorders>
              <w:top w:val="nil"/>
              <w:left w:val="nil"/>
              <w:bottom w:val="nil"/>
              <w:right w:val="nil"/>
            </w:tcBorders>
          </w:tcPr>
          <w:p w:rsidR="00256B40" w:rsidRPr="00363921" w:rsidRDefault="00256B40" w:rsidP="00222D20">
            <w:pPr>
              <w:jc w:val="cente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adjustRightInd w:val="0"/>
              <w:snapToGrid w:val="0"/>
              <w:jc w:val="both"/>
              <w:rPr>
                <w:rFonts w:ascii="Times New Roman" w:hAnsi="Times New Roman"/>
                <w:i/>
                <w:sz w:val="18"/>
                <w:szCs w:val="24"/>
              </w:rPr>
            </w:pPr>
            <w:r w:rsidRPr="00363921">
              <w:rPr>
                <w:rFonts w:ascii="Times New Roman" w:hAnsi="Times New Roman"/>
                <w:i/>
                <w:sz w:val="18"/>
                <w:szCs w:val="24"/>
              </w:rPr>
              <w:t>LEVERAGE</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-0.09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0.15 </w:t>
            </w:r>
          </w:p>
        </w:tc>
        <w:tc>
          <w:tcPr>
            <w:tcW w:w="195" w:type="pct"/>
            <w:tcBorders>
              <w:top w:val="nil"/>
              <w:left w:val="nil"/>
              <w:bottom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0.05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p>
        </w:tc>
        <w:tc>
          <w:tcPr>
            <w:tcW w:w="304" w:type="pct"/>
            <w:tcBorders>
              <w:top w:val="nil"/>
              <w:left w:val="nil"/>
              <w:bottom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262" w:type="pct"/>
            <w:tcBorders>
              <w:top w:val="nil"/>
              <w:left w:val="nil"/>
              <w:bottom w:val="nil"/>
              <w:right w:val="nil"/>
            </w:tcBorders>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adjustRightInd w:val="0"/>
              <w:snapToGrid w:val="0"/>
              <w:jc w:val="both"/>
              <w:rPr>
                <w:rFonts w:ascii="Times New Roman" w:hAnsi="Times New Roman"/>
                <w:i/>
                <w:sz w:val="18"/>
                <w:szCs w:val="24"/>
              </w:rPr>
            </w:pPr>
            <w:r w:rsidRPr="00363921">
              <w:rPr>
                <w:rFonts w:ascii="Times New Roman" w:hAnsi="Times New Roman"/>
                <w:i/>
                <w:sz w:val="18"/>
                <w:szCs w:val="24"/>
              </w:rPr>
              <w:t>ROE</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0.13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0.09 </w:t>
            </w:r>
          </w:p>
        </w:tc>
        <w:tc>
          <w:tcPr>
            <w:tcW w:w="195" w:type="pct"/>
            <w:tcBorders>
              <w:top w:val="nil"/>
              <w:left w:val="nil"/>
              <w:bottom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0.10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304" w:type="pct"/>
            <w:tcBorders>
              <w:top w:val="nil"/>
              <w:left w:val="nil"/>
              <w:bottom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0.00 </w:t>
            </w:r>
          </w:p>
        </w:tc>
        <w:tc>
          <w:tcPr>
            <w:tcW w:w="262" w:type="pct"/>
            <w:tcBorders>
              <w:top w:val="nil"/>
              <w:left w:val="nil"/>
              <w:bottom w:val="nil"/>
              <w:right w:val="nil"/>
            </w:tcBorders>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adjustRightInd w:val="0"/>
              <w:snapToGrid w:val="0"/>
              <w:jc w:val="both"/>
              <w:rPr>
                <w:rFonts w:ascii="Times New Roman" w:hAnsi="Times New Roman"/>
                <w:i/>
                <w:sz w:val="18"/>
                <w:szCs w:val="24"/>
              </w:rPr>
            </w:pPr>
            <w:r w:rsidRPr="00363921">
              <w:rPr>
                <w:rFonts w:ascii="Times New Roman" w:hAnsi="Times New Roman"/>
                <w:i/>
                <w:sz w:val="18"/>
                <w:szCs w:val="24"/>
              </w:rPr>
              <w:t>CAPEXP</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-0.48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-0.16 </w:t>
            </w:r>
          </w:p>
        </w:tc>
        <w:tc>
          <w:tcPr>
            <w:tcW w:w="195" w:type="pct"/>
            <w:tcBorders>
              <w:top w:val="nil"/>
              <w:left w:val="nil"/>
              <w:bottom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-0.30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304" w:type="pct"/>
            <w:tcBorders>
              <w:top w:val="nil"/>
              <w:left w:val="nil"/>
              <w:bottom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0.07 </w:t>
            </w:r>
          </w:p>
        </w:tc>
        <w:tc>
          <w:tcPr>
            <w:tcW w:w="262" w:type="pct"/>
            <w:tcBorders>
              <w:top w:val="nil"/>
              <w:left w:val="nil"/>
              <w:bottom w:val="nil"/>
              <w:right w:val="nil"/>
            </w:tcBorders>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-0.05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snapToGrid w:val="0"/>
              <w:jc w:val="both"/>
              <w:rPr>
                <w:rFonts w:ascii="Times New Roman" w:hAnsi="Times New Roman"/>
                <w:i/>
                <w:sz w:val="18"/>
                <w:szCs w:val="24"/>
              </w:rPr>
            </w:pPr>
            <w:r w:rsidRPr="00363921">
              <w:rPr>
                <w:rFonts w:ascii="Times New Roman" w:hAnsi="Times New Roman"/>
                <w:i/>
                <w:sz w:val="18"/>
                <w:szCs w:val="24"/>
              </w:rPr>
              <w:t>TOBINQ</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0.17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-0.16 </w:t>
            </w:r>
          </w:p>
        </w:tc>
        <w:tc>
          <w:tcPr>
            <w:tcW w:w="195" w:type="pct"/>
            <w:tcBorders>
              <w:top w:val="nil"/>
              <w:left w:val="nil"/>
              <w:bottom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-0.53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304" w:type="pct"/>
            <w:tcBorders>
              <w:top w:val="nil"/>
              <w:left w:val="nil"/>
              <w:bottom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-0.07 </w:t>
            </w:r>
          </w:p>
        </w:tc>
        <w:tc>
          <w:tcPr>
            <w:tcW w:w="262" w:type="pct"/>
            <w:tcBorders>
              <w:top w:val="nil"/>
              <w:left w:val="nil"/>
              <w:bottom w:val="nil"/>
              <w:right w:val="nil"/>
            </w:tcBorders>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0.10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0.36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nil"/>
              <w:right w:val="nil"/>
            </w:tcBorders>
            <w:shd w:val="clear" w:color="auto" w:fill="auto"/>
            <w:noWrap/>
            <w:vAlign w:val="center"/>
          </w:tcPr>
          <w:p w:rsidR="00256B40" w:rsidRPr="00363921" w:rsidRDefault="00256B40" w:rsidP="00222D20">
            <w:pPr>
              <w:adjustRightInd w:val="0"/>
              <w:snapToGrid w:val="0"/>
              <w:jc w:val="both"/>
              <w:rPr>
                <w:rFonts w:ascii="Times New Roman" w:hAnsi="Times New Roman"/>
                <w:i/>
                <w:sz w:val="18"/>
                <w:szCs w:val="24"/>
              </w:rPr>
            </w:pPr>
            <w:r w:rsidRPr="00363921">
              <w:rPr>
                <w:rFonts w:ascii="Times New Roman" w:hAnsi="Times New Roman"/>
                <w:i/>
                <w:sz w:val="18"/>
                <w:szCs w:val="24"/>
              </w:rPr>
              <w:t>RETAIN</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0.10 </w:t>
            </w:r>
          </w:p>
        </w:tc>
        <w:tc>
          <w:tcPr>
            <w:tcW w:w="197"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0.03 </w:t>
            </w:r>
          </w:p>
        </w:tc>
        <w:tc>
          <w:tcPr>
            <w:tcW w:w="195" w:type="pct"/>
            <w:tcBorders>
              <w:top w:val="nil"/>
              <w:left w:val="nil"/>
              <w:bottom w:val="nil"/>
              <w:right w:val="nil"/>
            </w:tcBorders>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0.24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304" w:type="pct"/>
            <w:tcBorders>
              <w:top w:val="nil"/>
              <w:left w:val="nil"/>
              <w:bottom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-0.12 </w:t>
            </w:r>
          </w:p>
        </w:tc>
        <w:tc>
          <w:tcPr>
            <w:tcW w:w="262" w:type="pct"/>
            <w:tcBorders>
              <w:top w:val="nil"/>
              <w:left w:val="nil"/>
              <w:bottom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0.17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-0.08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-0.06 </w:t>
            </w:r>
          </w:p>
        </w:tc>
        <w:tc>
          <w:tcPr>
            <w:tcW w:w="195" w:type="pct"/>
            <w:tcBorders>
              <w:top w:val="nil"/>
              <w:left w:val="nil"/>
              <w:bottom w:val="nil"/>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95"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58" w:type="pct"/>
            <w:tcBorders>
              <w:top w:val="nil"/>
              <w:left w:val="nil"/>
              <w:bottom w:val="nil"/>
              <w:right w:val="nil"/>
            </w:tcBorders>
            <w:shd w:val="clear" w:color="auto" w:fill="auto"/>
            <w:noWrap/>
            <w:vAlign w:val="center"/>
          </w:tcPr>
          <w:p w:rsidR="00256B40" w:rsidRPr="00363921" w:rsidRDefault="00256B40" w:rsidP="00222D20">
            <w:pPr>
              <w:jc w:val="center"/>
              <w:rPr>
                <w:rFonts w:ascii="Times New Roman" w:hAnsi="Times New Roman"/>
                <w:sz w:val="18"/>
                <w:szCs w:val="16"/>
              </w:rPr>
            </w:pPr>
          </w:p>
        </w:tc>
        <w:tc>
          <w:tcPr>
            <w:tcW w:w="96"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bottom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right w:val="nil"/>
            </w:tcBorders>
            <w:shd w:val="clear" w:color="auto" w:fill="auto"/>
            <w:noWrap/>
            <w:vAlign w:val="center"/>
          </w:tcPr>
          <w:p w:rsidR="00256B40" w:rsidRPr="00363921" w:rsidRDefault="00256B40" w:rsidP="00222D20">
            <w:pPr>
              <w:adjustRightInd w:val="0"/>
              <w:snapToGrid w:val="0"/>
              <w:jc w:val="both"/>
              <w:rPr>
                <w:rFonts w:ascii="Times New Roman" w:hAnsi="Times New Roman"/>
                <w:i/>
                <w:sz w:val="18"/>
                <w:szCs w:val="24"/>
              </w:rPr>
            </w:pPr>
            <w:r w:rsidRPr="00363921">
              <w:rPr>
                <w:rFonts w:ascii="Times New Roman" w:hAnsi="Times New Roman"/>
                <w:i/>
                <w:sz w:val="18"/>
                <w:szCs w:val="24"/>
              </w:rPr>
              <w:t>DIV</w:t>
            </w: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0.13 </w:t>
            </w:r>
          </w:p>
        </w:tc>
        <w:tc>
          <w:tcPr>
            <w:tcW w:w="197" w:type="pct"/>
            <w:tcBorders>
              <w:top w:val="nil"/>
              <w:left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0.14 </w:t>
            </w:r>
          </w:p>
        </w:tc>
        <w:tc>
          <w:tcPr>
            <w:tcW w:w="195" w:type="pct"/>
            <w:tcBorders>
              <w:top w:val="nil"/>
              <w:left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0.31 </w:t>
            </w:r>
          </w:p>
        </w:tc>
        <w:tc>
          <w:tcPr>
            <w:tcW w:w="195" w:type="pct"/>
            <w:tcBorders>
              <w:top w:val="nil"/>
              <w:left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304" w:type="pct"/>
            <w:tcBorders>
              <w:top w:val="nil"/>
              <w:lef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0.26 </w:t>
            </w:r>
          </w:p>
        </w:tc>
        <w:tc>
          <w:tcPr>
            <w:tcW w:w="262" w:type="pct"/>
            <w:tcBorders>
              <w:top w:val="nil"/>
              <w:left w:val="nil"/>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-0.04 </w:t>
            </w:r>
          </w:p>
        </w:tc>
        <w:tc>
          <w:tcPr>
            <w:tcW w:w="195" w:type="pct"/>
            <w:tcBorders>
              <w:top w:val="nil"/>
              <w:left w:val="nil"/>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-0.29 </w:t>
            </w:r>
          </w:p>
        </w:tc>
        <w:tc>
          <w:tcPr>
            <w:tcW w:w="195" w:type="pct"/>
            <w:tcBorders>
              <w:top w:val="nil"/>
              <w:left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-0.31 </w:t>
            </w:r>
          </w:p>
        </w:tc>
        <w:tc>
          <w:tcPr>
            <w:tcW w:w="195" w:type="pct"/>
            <w:tcBorders>
              <w:top w:val="nil"/>
              <w:left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-0.16 </w:t>
            </w:r>
          </w:p>
        </w:tc>
        <w:tc>
          <w:tcPr>
            <w:tcW w:w="195" w:type="pct"/>
            <w:tcBorders>
              <w:top w:val="nil"/>
              <w:left w:val="nil"/>
              <w:right w:val="nil"/>
            </w:tcBorders>
            <w:shd w:val="clear" w:color="auto" w:fill="auto"/>
            <w:noWrap/>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96" w:type="pct"/>
            <w:tcBorders>
              <w:top w:val="nil"/>
              <w:left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222" w:type="pct"/>
            <w:tcBorders>
              <w:top w:val="nil"/>
              <w:left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c>
          <w:tcPr>
            <w:tcW w:w="119" w:type="pct"/>
            <w:tcBorders>
              <w:top w:val="nil"/>
              <w:left w:val="nil"/>
              <w:right w:val="nil"/>
            </w:tcBorders>
            <w:shd w:val="clear" w:color="auto" w:fill="auto"/>
            <w:noWrap/>
            <w:vAlign w:val="center"/>
          </w:tcPr>
          <w:p w:rsidR="00256B40" w:rsidRPr="00363921" w:rsidRDefault="00256B40" w:rsidP="00222D20">
            <w:pPr>
              <w:rPr>
                <w:rFonts w:ascii="Times New Roman" w:hAnsi="Times New Roman"/>
                <w:sz w:val="18"/>
                <w:szCs w:val="16"/>
              </w:rPr>
            </w:pPr>
          </w:p>
        </w:tc>
      </w:tr>
      <w:tr w:rsidR="00256B40" w:rsidRPr="00363921" w:rsidTr="00222D20">
        <w:trPr>
          <w:trHeight w:hRule="exact" w:val="323"/>
        </w:trPr>
        <w:tc>
          <w:tcPr>
            <w:tcW w:w="567" w:type="pct"/>
            <w:tcBorders>
              <w:top w:val="nil"/>
              <w:left w:val="nil"/>
              <w:bottom w:val="single" w:sz="4" w:space="0" w:color="auto"/>
              <w:right w:val="nil"/>
            </w:tcBorders>
            <w:shd w:val="clear" w:color="auto" w:fill="auto"/>
            <w:noWrap/>
            <w:vAlign w:val="center"/>
          </w:tcPr>
          <w:p w:rsidR="00256B40" w:rsidRPr="00363921" w:rsidRDefault="00256B40" w:rsidP="00222D20">
            <w:pPr>
              <w:snapToGrid w:val="0"/>
              <w:jc w:val="both"/>
              <w:rPr>
                <w:rFonts w:ascii="Times New Roman" w:hAnsi="Times New Roman"/>
                <w:i/>
                <w:sz w:val="18"/>
              </w:rPr>
            </w:pPr>
            <w:r w:rsidRPr="00363921">
              <w:rPr>
                <w:rFonts w:ascii="Times New Roman" w:hAnsi="Times New Roman"/>
                <w:i/>
                <w:sz w:val="18"/>
              </w:rPr>
              <w:t>TAX</w:t>
            </w: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0.03 </w:t>
            </w:r>
          </w:p>
        </w:tc>
        <w:tc>
          <w:tcPr>
            <w:tcW w:w="197"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single" w:sz="4" w:space="0" w:color="auto"/>
              <w:right w:val="nil"/>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-0.09 </w:t>
            </w:r>
          </w:p>
        </w:tc>
        <w:tc>
          <w:tcPr>
            <w:tcW w:w="195" w:type="pct"/>
            <w:tcBorders>
              <w:top w:val="nil"/>
              <w:left w:val="nil"/>
              <w:bottom w:val="single" w:sz="4" w:space="0" w:color="auto"/>
              <w:right w:val="nil"/>
            </w:tcBorders>
            <w:vAlign w:val="center"/>
          </w:tcPr>
          <w:p w:rsidR="00256B40" w:rsidRPr="00363921" w:rsidRDefault="00256B40">
            <w:pPr>
              <w:rPr>
                <w:rFonts w:ascii="Times New Roman" w:hAnsi="Times New Roman"/>
                <w:sz w:val="18"/>
                <w:szCs w:val="24"/>
              </w:rPr>
            </w:pPr>
            <w:r w:rsidRPr="00363921">
              <w:rPr>
                <w:rFonts w:ascii="Times New Roman" w:hAnsi="Times New Roman"/>
                <w:sz w:val="18"/>
              </w:rPr>
              <w:t>*</w:t>
            </w: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-0.02 </w:t>
            </w:r>
          </w:p>
        </w:tc>
        <w:tc>
          <w:tcPr>
            <w:tcW w:w="195"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304" w:type="pct"/>
            <w:tcBorders>
              <w:top w:val="nil"/>
              <w:left w:val="nil"/>
              <w:bottom w:val="single" w:sz="4" w:space="0" w:color="auto"/>
            </w:tcBorders>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-0.01 </w:t>
            </w:r>
          </w:p>
        </w:tc>
        <w:tc>
          <w:tcPr>
            <w:tcW w:w="262" w:type="pct"/>
            <w:tcBorders>
              <w:top w:val="nil"/>
              <w:left w:val="nil"/>
              <w:bottom w:val="single" w:sz="4" w:space="0" w:color="auto"/>
              <w:right w:val="nil"/>
            </w:tcBorders>
            <w:vAlign w:val="center"/>
          </w:tcPr>
          <w:p w:rsidR="00256B40" w:rsidRPr="00363921" w:rsidRDefault="00256B40">
            <w:pPr>
              <w:rPr>
                <w:rFonts w:ascii="Times New Roman" w:hAnsi="Times New Roman"/>
                <w:sz w:val="18"/>
                <w:szCs w:val="24"/>
              </w:rPr>
            </w:pP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0.05 </w:t>
            </w:r>
          </w:p>
        </w:tc>
        <w:tc>
          <w:tcPr>
            <w:tcW w:w="195"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-0.03 </w:t>
            </w:r>
          </w:p>
        </w:tc>
        <w:tc>
          <w:tcPr>
            <w:tcW w:w="195"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-0.01 </w:t>
            </w:r>
          </w:p>
        </w:tc>
        <w:tc>
          <w:tcPr>
            <w:tcW w:w="195"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0.03 </w:t>
            </w:r>
          </w:p>
        </w:tc>
        <w:tc>
          <w:tcPr>
            <w:tcW w:w="195"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258"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-0.02 </w:t>
            </w:r>
          </w:p>
        </w:tc>
        <w:tc>
          <w:tcPr>
            <w:tcW w:w="96" w:type="pct"/>
            <w:tcBorders>
              <w:top w:val="nil"/>
              <w:left w:val="nil"/>
              <w:bottom w:val="single" w:sz="4" w:space="0" w:color="auto"/>
              <w:right w:val="nil"/>
            </w:tcBorders>
            <w:shd w:val="clear" w:color="auto" w:fill="auto"/>
            <w:noWrap/>
            <w:vAlign w:val="center"/>
          </w:tcPr>
          <w:p w:rsidR="00256B40" w:rsidRPr="00363921" w:rsidRDefault="00256B40">
            <w:pPr>
              <w:rPr>
                <w:rFonts w:ascii="Times New Roman" w:hAnsi="Times New Roman"/>
                <w:sz w:val="18"/>
                <w:szCs w:val="24"/>
              </w:rPr>
            </w:pPr>
          </w:p>
        </w:tc>
        <w:tc>
          <w:tcPr>
            <w:tcW w:w="222" w:type="pct"/>
            <w:tcBorders>
              <w:top w:val="nil"/>
              <w:left w:val="nil"/>
              <w:bottom w:val="single" w:sz="4" w:space="0" w:color="auto"/>
              <w:right w:val="nil"/>
            </w:tcBorders>
            <w:shd w:val="clear" w:color="auto" w:fill="auto"/>
            <w:noWrap/>
            <w:vAlign w:val="center"/>
          </w:tcPr>
          <w:p w:rsidR="00256B40" w:rsidRPr="00363921" w:rsidRDefault="00256B40">
            <w:pPr>
              <w:jc w:val="right"/>
              <w:rPr>
                <w:rFonts w:ascii="Times New Roman" w:hAnsi="Times New Roman"/>
                <w:sz w:val="18"/>
                <w:szCs w:val="24"/>
              </w:rPr>
            </w:pPr>
            <w:r w:rsidRPr="00363921">
              <w:rPr>
                <w:rFonts w:ascii="Times New Roman" w:hAnsi="Times New Roman"/>
                <w:sz w:val="18"/>
              </w:rPr>
              <w:t xml:space="preserve">1.00 </w:t>
            </w:r>
          </w:p>
        </w:tc>
        <w:tc>
          <w:tcPr>
            <w:tcW w:w="119" w:type="pct"/>
            <w:tcBorders>
              <w:top w:val="nil"/>
              <w:left w:val="nil"/>
              <w:bottom w:val="single" w:sz="4" w:space="0" w:color="auto"/>
              <w:right w:val="nil"/>
            </w:tcBorders>
            <w:shd w:val="clear" w:color="auto" w:fill="auto"/>
            <w:noWrap/>
            <w:vAlign w:val="center"/>
          </w:tcPr>
          <w:p w:rsidR="00256B40" w:rsidRPr="00363921" w:rsidRDefault="00256B40" w:rsidP="00222D20">
            <w:pPr>
              <w:rPr>
                <w:rFonts w:ascii="Times New Roman" w:hAnsi="Times New Roman"/>
                <w:sz w:val="18"/>
                <w:szCs w:val="16"/>
              </w:rPr>
            </w:pPr>
          </w:p>
        </w:tc>
      </w:tr>
    </w:tbl>
    <w:p w:rsidR="00256B40" w:rsidRPr="003D7DFB" w:rsidRDefault="00256B40" w:rsidP="00222D20">
      <w:pPr>
        <w:widowControl/>
        <w:adjustRightInd w:val="0"/>
        <w:snapToGrid w:val="0"/>
        <w:jc w:val="both"/>
        <w:rPr>
          <w:rFonts w:ascii="Times New Roman" w:hAnsi="Times New Roman"/>
          <w:sz w:val="16"/>
          <w:szCs w:val="24"/>
        </w:rPr>
      </w:pPr>
      <w:r w:rsidRPr="003D7DFB">
        <w:rPr>
          <w:rFonts w:ascii="Times New Roman" w:hAnsi="Times New Roman"/>
          <w:i/>
          <w:sz w:val="16"/>
          <w:lang w:val="en-GB"/>
        </w:rPr>
        <w:t>FCF</w:t>
      </w:r>
      <w:r w:rsidRPr="003D7DFB">
        <w:rPr>
          <w:rFonts w:ascii="Times New Roman" w:hAnsi="Times New Roman"/>
          <w:sz w:val="16"/>
          <w:lang w:val="en-GB"/>
        </w:rPr>
        <w:t xml:space="preserve"> is </w:t>
      </w:r>
      <w:r w:rsidRPr="003D7DFB">
        <w:rPr>
          <w:rFonts w:ascii="Times New Roman" w:hAnsi="Times New Roman"/>
          <w:sz w:val="16"/>
          <w:szCs w:val="24"/>
        </w:rPr>
        <w:t xml:space="preserve">the ratio of free cash flow to book value of assets. </w:t>
      </w:r>
      <w:r w:rsidRPr="003D7DFB">
        <w:rPr>
          <w:rFonts w:ascii="Times New Roman" w:hAnsi="Times New Roman"/>
          <w:i/>
          <w:sz w:val="16"/>
          <w:szCs w:val="24"/>
        </w:rPr>
        <w:t xml:space="preserve">CG </w:t>
      </w:r>
      <w:r w:rsidRPr="003D7DFB">
        <w:rPr>
          <w:rFonts w:ascii="Times New Roman" w:hAnsi="Times New Roman"/>
          <w:sz w:val="16"/>
          <w:szCs w:val="24"/>
        </w:rPr>
        <w:t xml:space="preserve">is the corporate governance score. </w:t>
      </w:r>
      <w:r w:rsidRPr="003D7DFB">
        <w:rPr>
          <w:rFonts w:ascii="Times New Roman" w:hAnsi="Times New Roman"/>
          <w:i/>
          <w:sz w:val="16"/>
          <w:szCs w:val="24"/>
        </w:rPr>
        <w:t>F</w:t>
      </w:r>
      <w:r w:rsidRPr="003D7DFB">
        <w:rPr>
          <w:rFonts w:ascii="Times New Roman" w:hAnsi="Times New Roman" w:hint="eastAsia"/>
          <w:i/>
          <w:sz w:val="16"/>
          <w:szCs w:val="24"/>
        </w:rPr>
        <w:t>SIZE</w:t>
      </w:r>
      <w:r w:rsidRPr="003D7DFB">
        <w:rPr>
          <w:rFonts w:ascii="Times New Roman" w:hAnsi="Times New Roman"/>
          <w:sz w:val="16"/>
          <w:szCs w:val="24"/>
        </w:rPr>
        <w:t xml:space="preserve"> is </w:t>
      </w:r>
      <w:r w:rsidRPr="003D7DFB">
        <w:rPr>
          <w:rFonts w:ascii="Times New Roman" w:hAnsi="Times New Roman" w:hint="eastAsia"/>
          <w:sz w:val="16"/>
          <w:szCs w:val="24"/>
        </w:rPr>
        <w:t>the n</w:t>
      </w:r>
      <w:r w:rsidRPr="003D7DFB">
        <w:rPr>
          <w:rFonts w:ascii="Times New Roman" w:hAnsi="Times New Roman"/>
          <w:sz w:val="16"/>
          <w:szCs w:val="24"/>
        </w:rPr>
        <w:t>atural logarithm of total assets.</w:t>
      </w:r>
      <w:r w:rsidRPr="003D7DFB">
        <w:rPr>
          <w:rFonts w:ascii="Times New Roman" w:hAnsi="Times New Roman" w:hint="eastAsia"/>
          <w:sz w:val="16"/>
          <w:szCs w:val="24"/>
        </w:rPr>
        <w:t xml:space="preserve"> </w:t>
      </w:r>
      <w:r w:rsidRPr="003D7DFB">
        <w:rPr>
          <w:rFonts w:ascii="Times New Roman" w:hAnsi="Times New Roman"/>
          <w:i/>
          <w:sz w:val="16"/>
          <w:szCs w:val="24"/>
        </w:rPr>
        <w:t>LEVERAGE</w:t>
      </w:r>
      <w:r w:rsidRPr="003D7DFB">
        <w:rPr>
          <w:rFonts w:ascii="Times New Roman" w:hAnsi="Times New Roman"/>
          <w:sz w:val="16"/>
          <w:szCs w:val="24"/>
        </w:rPr>
        <w:t xml:space="preserve"> is the ratio of total debt to total assets. </w:t>
      </w:r>
      <w:r w:rsidRPr="003D7DFB">
        <w:rPr>
          <w:rFonts w:ascii="Times New Roman" w:hAnsi="Times New Roman"/>
          <w:i/>
          <w:sz w:val="16"/>
          <w:szCs w:val="24"/>
        </w:rPr>
        <w:t>ROE</w:t>
      </w:r>
      <w:r w:rsidRPr="003D7DFB">
        <w:rPr>
          <w:rFonts w:ascii="Times New Roman" w:hAnsi="Times New Roman"/>
          <w:sz w:val="16"/>
          <w:szCs w:val="24"/>
        </w:rPr>
        <w:t xml:space="preserve"> is the ratio of net income to shareholder equity. </w:t>
      </w:r>
      <w:r w:rsidRPr="003D7DFB">
        <w:rPr>
          <w:rFonts w:ascii="Times New Roman" w:hAnsi="Times New Roman"/>
          <w:i/>
          <w:sz w:val="16"/>
          <w:szCs w:val="24"/>
        </w:rPr>
        <w:t xml:space="preserve">CAPEXP </w:t>
      </w:r>
      <w:r w:rsidRPr="003D7DFB">
        <w:rPr>
          <w:rFonts w:ascii="Times New Roman" w:hAnsi="Times New Roman"/>
          <w:sz w:val="16"/>
          <w:szCs w:val="24"/>
        </w:rPr>
        <w:t xml:space="preserve">is the ratio of capital expenditure to total assets. </w:t>
      </w:r>
      <w:r w:rsidRPr="003D7DFB">
        <w:rPr>
          <w:rFonts w:ascii="Times New Roman" w:hAnsi="Times New Roman"/>
          <w:i/>
          <w:sz w:val="16"/>
          <w:szCs w:val="24"/>
        </w:rPr>
        <w:t>TOBINQ</w:t>
      </w:r>
      <w:r w:rsidRPr="003D7DFB">
        <w:rPr>
          <w:rFonts w:ascii="Times New Roman" w:hAnsi="Times New Roman"/>
          <w:sz w:val="16"/>
          <w:szCs w:val="24"/>
        </w:rPr>
        <w:t xml:space="preserve"> is the ratio of market value of equity plus the book value of debt to the book value of assets. </w:t>
      </w:r>
      <w:r w:rsidRPr="003D7DFB">
        <w:rPr>
          <w:rFonts w:ascii="Times New Roman" w:hAnsi="Times New Roman"/>
          <w:i/>
          <w:sz w:val="16"/>
          <w:szCs w:val="24"/>
        </w:rPr>
        <w:t>RETAIN</w:t>
      </w:r>
      <w:r w:rsidRPr="003D7DFB">
        <w:rPr>
          <w:rFonts w:ascii="Times New Roman" w:hAnsi="Times New Roman"/>
          <w:sz w:val="16"/>
          <w:szCs w:val="24"/>
        </w:rPr>
        <w:t xml:space="preserve"> is the ratio of retained earnings to total equity. </w:t>
      </w:r>
      <w:r w:rsidRPr="003D7DFB">
        <w:rPr>
          <w:rFonts w:ascii="Times New Roman" w:hAnsi="Times New Roman"/>
          <w:i/>
          <w:sz w:val="16"/>
          <w:szCs w:val="24"/>
        </w:rPr>
        <w:t>DIV</w:t>
      </w:r>
      <w:r w:rsidRPr="003D7DFB">
        <w:rPr>
          <w:rFonts w:ascii="Times New Roman" w:hAnsi="Times New Roman"/>
          <w:sz w:val="16"/>
          <w:szCs w:val="24"/>
        </w:rPr>
        <w:t xml:space="preserve"> is the ratio of cash dividend per share to </w:t>
      </w:r>
      <w:r w:rsidR="003D7DFB" w:rsidRPr="003D7DFB">
        <w:rPr>
          <w:rFonts w:ascii="Times New Roman" w:hAnsi="Times New Roman"/>
          <w:sz w:val="16"/>
          <w:szCs w:val="24"/>
        </w:rPr>
        <w:t>price per share</w:t>
      </w:r>
      <w:r w:rsidRPr="003D7DFB">
        <w:rPr>
          <w:rFonts w:ascii="Times New Roman" w:hAnsi="Times New Roman"/>
          <w:sz w:val="16"/>
          <w:szCs w:val="24"/>
        </w:rPr>
        <w:t xml:space="preserve">. </w:t>
      </w:r>
      <w:r w:rsidRPr="003D7DFB">
        <w:rPr>
          <w:rFonts w:ascii="Times New Roman" w:hAnsi="Times New Roman"/>
          <w:i/>
          <w:sz w:val="16"/>
          <w:szCs w:val="24"/>
        </w:rPr>
        <w:t>TAX</w:t>
      </w:r>
      <w:r w:rsidRPr="003D7DFB">
        <w:rPr>
          <w:rFonts w:ascii="Times New Roman" w:hAnsi="Times New Roman"/>
          <w:sz w:val="16"/>
          <w:szCs w:val="24"/>
        </w:rPr>
        <w:t xml:space="preserve"> is </w:t>
      </w:r>
      <w:r w:rsidRPr="003D7DFB">
        <w:rPr>
          <w:rFonts w:ascii="Times New Roman" w:hAnsi="Times New Roman"/>
          <w:sz w:val="16"/>
        </w:rPr>
        <w:t>the ratio of income tax to net incom</w:t>
      </w:r>
      <w:r w:rsidRPr="003D7DFB">
        <w:rPr>
          <w:rFonts w:ascii="Times New Roman" w:hAnsi="Times New Roman"/>
          <w:sz w:val="16"/>
          <w:szCs w:val="24"/>
        </w:rPr>
        <w:t>e.</w:t>
      </w:r>
      <w:r w:rsidRPr="003D7DFB">
        <w:rPr>
          <w:rFonts w:ascii="Times New Roman" w:hAnsi="Times New Roman" w:hint="eastAsia"/>
          <w:sz w:val="16"/>
          <w:szCs w:val="24"/>
        </w:rPr>
        <w:t xml:space="preserve"> *, **, *** denote significance at the 10%, 5% and 1% levels, respectively.</w:t>
      </w:r>
    </w:p>
    <w:p w:rsidR="00256B40" w:rsidRPr="00363921" w:rsidRDefault="00256B40" w:rsidP="00222D20">
      <w:pPr>
        <w:widowControl/>
        <w:adjustRightInd w:val="0"/>
        <w:snapToGrid w:val="0"/>
        <w:jc w:val="both"/>
        <w:rPr>
          <w:rFonts w:ascii="Times New Roman" w:hAnsi="Times New Roman"/>
          <w:lang w:val="en-GB"/>
        </w:rPr>
      </w:pPr>
    </w:p>
    <w:p w:rsidR="00256B40" w:rsidRPr="00363921" w:rsidRDefault="00256B40" w:rsidP="00222D20">
      <w:pPr>
        <w:widowControl/>
        <w:jc w:val="both"/>
        <w:rPr>
          <w:rFonts w:ascii="Times New Roman" w:hAnsi="Times New Roman"/>
          <w:lang w:val="en-GB"/>
        </w:rPr>
      </w:pPr>
      <w:r w:rsidRPr="00363921">
        <w:rPr>
          <w:rFonts w:ascii="Times New Roman" w:hAnsi="Times New Roman"/>
          <w:lang w:val="en-GB"/>
        </w:rPr>
        <w:lastRenderedPageBreak/>
        <w:t xml:space="preserve">Table 4 presents the random effect panel regression results. The results show that better governed firms have more free cash flow. Consistent with the findings of Gregory </w:t>
      </w:r>
      <w:r w:rsidRPr="00363921">
        <w:rPr>
          <w:rFonts w:ascii="Times New Roman" w:hAnsi="Times New Roman"/>
          <w:noProof/>
          <w:lang w:val="en-GB"/>
        </w:rPr>
        <w:t>(2005)</w:t>
      </w:r>
      <w:r w:rsidRPr="00363921">
        <w:rPr>
          <w:rFonts w:ascii="Times New Roman" w:hAnsi="Times New Roman"/>
          <w:lang w:val="en-GB"/>
        </w:rPr>
        <w:t xml:space="preserve"> and Wang </w:t>
      </w:r>
      <w:r w:rsidRPr="00363921">
        <w:rPr>
          <w:rFonts w:ascii="Times New Roman" w:hAnsi="Times New Roman"/>
          <w:noProof/>
          <w:lang w:val="en-GB"/>
        </w:rPr>
        <w:t>(2010)</w:t>
      </w:r>
      <w:r w:rsidRPr="00363921">
        <w:rPr>
          <w:rFonts w:ascii="Times New Roman" w:hAnsi="Times New Roman"/>
          <w:lang w:val="en-GB"/>
        </w:rPr>
        <w:t>, this study find</w:t>
      </w:r>
      <w:r w:rsidR="003D7DFB">
        <w:rPr>
          <w:rFonts w:ascii="Times New Roman" w:hAnsi="Times New Roman" w:hint="eastAsia"/>
          <w:lang w:val="en-GB"/>
        </w:rPr>
        <w:t>s</w:t>
      </w:r>
      <w:r w:rsidRPr="00363921">
        <w:rPr>
          <w:rFonts w:ascii="Times New Roman" w:hAnsi="Times New Roman"/>
          <w:lang w:val="en-GB"/>
        </w:rPr>
        <w:t xml:space="preserve"> evidence </w:t>
      </w:r>
      <w:r w:rsidR="003D7DFB">
        <w:rPr>
          <w:rFonts w:ascii="Times New Roman" w:hAnsi="Times New Roman" w:hint="eastAsia"/>
          <w:lang w:val="en-GB"/>
        </w:rPr>
        <w:t>inconsistent with</w:t>
      </w:r>
      <w:r w:rsidRPr="00363921">
        <w:rPr>
          <w:rFonts w:ascii="Times New Roman" w:hAnsi="Times New Roman"/>
          <w:lang w:val="en-GB"/>
        </w:rPr>
        <w:t xml:space="preserve"> the free cash flow hypothesis. The positive relationship between corporate governance score and free cash flow can be explained by the fact that increased free cash flow could be a result of better internal operating efficiency. Our study finds that firms with high free cash flow are well performing firms and are associated with higher ROE and Tob</w:t>
      </w:r>
      <w:r w:rsidR="003D7DFB">
        <w:rPr>
          <w:rFonts w:ascii="Times New Roman" w:hAnsi="Times New Roman"/>
          <w:lang w:val="en-GB"/>
        </w:rPr>
        <w:t xml:space="preserve">in’s </w:t>
      </w:r>
      <w:r w:rsidR="003D7DFB">
        <w:rPr>
          <w:rFonts w:ascii="Times New Roman" w:hAnsi="Times New Roman" w:hint="eastAsia"/>
          <w:lang w:val="en-GB"/>
        </w:rPr>
        <w:t>Q</w:t>
      </w:r>
      <w:r w:rsidRPr="00363921">
        <w:rPr>
          <w:rFonts w:ascii="Times New Roman" w:hAnsi="Times New Roman"/>
          <w:lang w:val="en-GB"/>
        </w:rPr>
        <w:t xml:space="preserve"> although the result on ROE is statistically insignificant. Smaller firms are also found to be associated with higher free cash flow. The finding is cons</w:t>
      </w:r>
      <w:r w:rsidR="00125EBC">
        <w:rPr>
          <w:rFonts w:ascii="Times New Roman" w:hAnsi="Times New Roman"/>
          <w:lang w:val="en-GB"/>
        </w:rPr>
        <w:t xml:space="preserve">istent with the prediction and </w:t>
      </w:r>
      <w:r w:rsidR="00125EBC">
        <w:rPr>
          <w:rFonts w:ascii="Times New Roman" w:hAnsi="Times New Roman" w:hint="eastAsia"/>
          <w:lang w:val="en-GB"/>
        </w:rPr>
        <w:t>prior</w:t>
      </w:r>
      <w:r w:rsidRPr="00363921">
        <w:rPr>
          <w:rFonts w:ascii="Times New Roman" w:hAnsi="Times New Roman"/>
          <w:lang w:val="en-GB"/>
        </w:rPr>
        <w:t xml:space="preserve"> correlation results.</w:t>
      </w:r>
    </w:p>
    <w:p w:rsidR="00256B40" w:rsidRPr="00363921" w:rsidRDefault="00256B40" w:rsidP="00222D20">
      <w:pPr>
        <w:widowControl/>
        <w:adjustRightInd w:val="0"/>
        <w:snapToGrid w:val="0"/>
        <w:jc w:val="both"/>
        <w:rPr>
          <w:rFonts w:ascii="Times New Roman" w:hAnsi="Times New Roman"/>
          <w:lang w:val="en-GB"/>
        </w:rPr>
      </w:pPr>
    </w:p>
    <w:p w:rsidR="00256B40" w:rsidRPr="00363921" w:rsidRDefault="00256B40" w:rsidP="00222D20">
      <w:pPr>
        <w:widowControl/>
        <w:jc w:val="both"/>
        <w:rPr>
          <w:rFonts w:ascii="Times New Roman" w:hAnsi="Times New Roman"/>
          <w:lang w:val="en-GB"/>
        </w:rPr>
      </w:pPr>
      <w:r w:rsidRPr="00363921">
        <w:rPr>
          <w:rFonts w:ascii="Times New Roman" w:hAnsi="Times New Roman"/>
          <w:lang w:val="en-GB"/>
        </w:rPr>
        <w:t>Table 4 Analysis of free cash flow and corporate governance</w:t>
      </w:r>
    </w:p>
    <w:tbl>
      <w:tblPr>
        <w:tblW w:w="8392" w:type="dxa"/>
        <w:tblCellMar>
          <w:left w:w="28" w:type="dxa"/>
          <w:right w:w="28" w:type="dxa"/>
        </w:tblCellMar>
        <w:tblLook w:val="04A0" w:firstRow="1" w:lastRow="0" w:firstColumn="1" w:lastColumn="0" w:noHBand="0" w:noVBand="1"/>
      </w:tblPr>
      <w:tblGrid>
        <w:gridCol w:w="3005"/>
        <w:gridCol w:w="1418"/>
        <w:gridCol w:w="3969"/>
      </w:tblGrid>
      <w:tr w:rsidR="00256B40" w:rsidRPr="00363921" w:rsidTr="003D7DFB">
        <w:trPr>
          <w:trHeight w:hRule="exact" w:val="323"/>
        </w:trPr>
        <w:tc>
          <w:tcPr>
            <w:tcW w:w="3005" w:type="dxa"/>
            <w:tcBorders>
              <w:top w:val="single" w:sz="4" w:space="0" w:color="auto"/>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Intercept</w:t>
            </w:r>
          </w:p>
        </w:tc>
        <w:tc>
          <w:tcPr>
            <w:tcW w:w="1418" w:type="dxa"/>
            <w:tcBorders>
              <w:top w:val="single" w:sz="4" w:space="0" w:color="auto"/>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9.867 </w:t>
            </w:r>
          </w:p>
        </w:tc>
        <w:tc>
          <w:tcPr>
            <w:tcW w:w="3969" w:type="dxa"/>
            <w:tcBorders>
              <w:top w:val="single" w:sz="4" w:space="0" w:color="auto"/>
              <w:left w:val="nil"/>
              <w:bottom w:val="nil"/>
              <w:right w:val="nil"/>
            </w:tcBorders>
            <w:shd w:val="clear" w:color="auto" w:fill="auto"/>
            <w:noWrap/>
            <w:vAlign w:val="center"/>
          </w:tcPr>
          <w:p w:rsidR="00256B40" w:rsidRPr="00363921" w:rsidRDefault="00256B40">
            <w:pPr>
              <w:rPr>
                <w:rFonts w:ascii="Times New Roman" w:hAnsi="Times New Roman"/>
                <w:szCs w:val="24"/>
              </w:rPr>
            </w:pPr>
            <w:r w:rsidRPr="00363921">
              <w:rPr>
                <w:rFonts w:ascii="Times New Roman" w:hAnsi="Times New Roman"/>
              </w:rPr>
              <w:t>**</w:t>
            </w: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(2.413)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CG</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0.080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r w:rsidRPr="00363921">
              <w:rPr>
                <w:rFonts w:ascii="Times New Roman" w:hAnsi="Times New Roman"/>
              </w:rPr>
              <w:t>**</w:t>
            </w: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(2.504)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FSIZE</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-1.187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r w:rsidRPr="00363921">
              <w:rPr>
                <w:rFonts w:ascii="Times New Roman" w:hAnsi="Times New Roman"/>
              </w:rPr>
              <w:t>***</w:t>
            </w: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(-2.950)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LEVERAGE</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-0.044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(-1.273)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ROE</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0.014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(0.994)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CAPEXP</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-0.940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r w:rsidRPr="00363921">
              <w:rPr>
                <w:rFonts w:ascii="Times New Roman" w:hAnsi="Times New Roman"/>
              </w:rPr>
              <w:t>***</w:t>
            </w: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(-13.480)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TOBINQ</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0.026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r w:rsidRPr="00363921">
              <w:rPr>
                <w:rFonts w:ascii="Times New Roman" w:hAnsi="Times New Roman"/>
              </w:rPr>
              <w:t>***</w:t>
            </w: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(3.826)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RETAIN</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0.015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r w:rsidRPr="00363921">
              <w:rPr>
                <w:rFonts w:ascii="Times New Roman" w:hAnsi="Times New Roman"/>
              </w:rPr>
              <w:t>**</w:t>
            </w: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(2.070)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DIV</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0.287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(1.207)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TAX</w:t>
            </w: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-0.026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p>
        </w:tc>
        <w:tc>
          <w:tcPr>
            <w:tcW w:w="1418" w:type="dxa"/>
            <w:tcBorders>
              <w:top w:val="nil"/>
              <w:left w:val="nil"/>
              <w:bottom w:val="nil"/>
              <w:right w:val="nil"/>
            </w:tcBorders>
            <w:shd w:val="clear" w:color="auto" w:fill="auto"/>
            <w:noWrap/>
            <w:vAlign w:val="center"/>
          </w:tcPr>
          <w:p w:rsidR="00256B40" w:rsidRPr="00363921" w:rsidRDefault="00256B40">
            <w:pPr>
              <w:jc w:val="right"/>
              <w:rPr>
                <w:rFonts w:ascii="Times New Roman" w:hAnsi="Times New Roman"/>
                <w:szCs w:val="24"/>
              </w:rPr>
            </w:pPr>
            <w:r w:rsidRPr="00363921">
              <w:rPr>
                <w:rFonts w:ascii="Times New Roman" w:hAnsi="Times New Roman"/>
              </w:rPr>
              <w:t xml:space="preserve">(-0.118) </w:t>
            </w:r>
          </w:p>
        </w:tc>
        <w:tc>
          <w:tcPr>
            <w:tcW w:w="3969" w:type="dxa"/>
            <w:tcBorders>
              <w:top w:val="nil"/>
              <w:left w:val="nil"/>
              <w:bottom w:val="nil"/>
              <w:right w:val="nil"/>
            </w:tcBorders>
            <w:shd w:val="clear" w:color="auto" w:fill="auto"/>
            <w:noWrap/>
            <w:vAlign w:val="center"/>
          </w:tcPr>
          <w:p w:rsidR="00256B40" w:rsidRPr="00363921" w:rsidRDefault="00256B40">
            <w:pPr>
              <w:rPr>
                <w:rFonts w:ascii="Times New Roman" w:hAnsi="Times New Roman"/>
                <w:szCs w:val="24"/>
              </w:rPr>
            </w:pPr>
          </w:p>
        </w:tc>
      </w:tr>
      <w:tr w:rsidR="00256B40" w:rsidRPr="00363921" w:rsidTr="003D7DFB">
        <w:trPr>
          <w:trHeight w:hRule="exact" w:val="323"/>
        </w:trPr>
        <w:tc>
          <w:tcPr>
            <w:tcW w:w="3005" w:type="dxa"/>
            <w:tcBorders>
              <w:top w:val="nil"/>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i/>
                <w:kern w:val="0"/>
              </w:rPr>
            </w:pPr>
            <w:r w:rsidRPr="00363921">
              <w:rPr>
                <w:rFonts w:ascii="Times New Roman" w:hAnsi="Times New Roman"/>
                <w:i/>
                <w:kern w:val="0"/>
              </w:rPr>
              <w:t>INDUSTRY</w:t>
            </w:r>
          </w:p>
        </w:tc>
        <w:tc>
          <w:tcPr>
            <w:tcW w:w="1418" w:type="dxa"/>
            <w:tcBorders>
              <w:top w:val="nil"/>
              <w:left w:val="nil"/>
              <w:bottom w:val="nil"/>
              <w:right w:val="nil"/>
            </w:tcBorders>
            <w:shd w:val="clear" w:color="auto" w:fill="auto"/>
            <w:noWrap/>
            <w:vAlign w:val="center"/>
          </w:tcPr>
          <w:p w:rsidR="00256B40" w:rsidRPr="00363921" w:rsidRDefault="00256B40" w:rsidP="00222D20">
            <w:pPr>
              <w:jc w:val="right"/>
              <w:rPr>
                <w:rFonts w:ascii="Times New Roman" w:hAnsi="Times New Roman"/>
              </w:rPr>
            </w:pPr>
            <w:r w:rsidRPr="00363921">
              <w:rPr>
                <w:rFonts w:ascii="Times New Roman" w:hAnsi="Times New Roman"/>
              </w:rPr>
              <w:t>Yes</w:t>
            </w:r>
          </w:p>
        </w:tc>
        <w:tc>
          <w:tcPr>
            <w:tcW w:w="3969" w:type="dxa"/>
            <w:tcBorders>
              <w:top w:val="nil"/>
              <w:left w:val="nil"/>
              <w:bottom w:val="nil"/>
              <w:right w:val="nil"/>
            </w:tcBorders>
            <w:shd w:val="clear" w:color="auto" w:fill="auto"/>
            <w:noWrap/>
            <w:vAlign w:val="center"/>
          </w:tcPr>
          <w:p w:rsidR="00256B40" w:rsidRPr="00363921" w:rsidRDefault="00256B40" w:rsidP="00222D20">
            <w:pPr>
              <w:adjustRightInd w:val="0"/>
              <w:snapToGrid w:val="0"/>
              <w:rPr>
                <w:rFonts w:ascii="Times New Roman" w:hAnsi="Times New Roman"/>
              </w:rPr>
            </w:pPr>
          </w:p>
        </w:tc>
      </w:tr>
      <w:tr w:rsidR="00256B40" w:rsidRPr="00363921" w:rsidTr="003D7DFB">
        <w:trPr>
          <w:trHeight w:val="372"/>
        </w:trPr>
        <w:tc>
          <w:tcPr>
            <w:tcW w:w="3005" w:type="dxa"/>
            <w:tcBorders>
              <w:top w:val="single" w:sz="4" w:space="0" w:color="auto"/>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kern w:val="0"/>
              </w:rPr>
            </w:pPr>
            <w:r w:rsidRPr="00363921">
              <w:rPr>
                <w:rFonts w:ascii="Times New Roman" w:hAnsi="Times New Roman"/>
                <w:kern w:val="0"/>
              </w:rPr>
              <w:t>Adjusted R</w:t>
            </w:r>
            <w:r w:rsidRPr="00363921">
              <w:rPr>
                <w:rFonts w:ascii="Times New Roman" w:hAnsi="Times New Roman"/>
                <w:kern w:val="0"/>
                <w:vertAlign w:val="superscript"/>
              </w:rPr>
              <w:t>2</w:t>
            </w:r>
          </w:p>
        </w:tc>
        <w:tc>
          <w:tcPr>
            <w:tcW w:w="1418" w:type="dxa"/>
            <w:tcBorders>
              <w:top w:val="single" w:sz="4" w:space="0" w:color="auto"/>
              <w:left w:val="nil"/>
              <w:bottom w:val="nil"/>
              <w:right w:val="nil"/>
            </w:tcBorders>
            <w:shd w:val="clear" w:color="auto" w:fill="auto"/>
            <w:noWrap/>
            <w:vAlign w:val="center"/>
          </w:tcPr>
          <w:p w:rsidR="00256B40" w:rsidRPr="00363921" w:rsidRDefault="00256B40" w:rsidP="00222D20">
            <w:pPr>
              <w:jc w:val="right"/>
              <w:rPr>
                <w:rFonts w:ascii="Times New Roman" w:hAnsi="Times New Roman"/>
                <w:szCs w:val="24"/>
              </w:rPr>
            </w:pPr>
            <w:r w:rsidRPr="00363921">
              <w:rPr>
                <w:rFonts w:ascii="Times New Roman" w:hAnsi="Times New Roman"/>
              </w:rPr>
              <w:t>0.314</w:t>
            </w:r>
          </w:p>
        </w:tc>
        <w:tc>
          <w:tcPr>
            <w:tcW w:w="3969" w:type="dxa"/>
            <w:tcBorders>
              <w:top w:val="single" w:sz="4" w:space="0" w:color="auto"/>
              <w:left w:val="nil"/>
              <w:bottom w:val="nil"/>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kern w:val="0"/>
              </w:rPr>
            </w:pPr>
          </w:p>
        </w:tc>
      </w:tr>
      <w:tr w:rsidR="00256B40" w:rsidRPr="00363921" w:rsidTr="003D7DFB">
        <w:trPr>
          <w:trHeight w:val="324"/>
        </w:trPr>
        <w:tc>
          <w:tcPr>
            <w:tcW w:w="3005" w:type="dxa"/>
            <w:tcBorders>
              <w:top w:val="nil"/>
              <w:left w:val="nil"/>
              <w:bottom w:val="single" w:sz="4" w:space="0" w:color="auto"/>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kern w:val="0"/>
              </w:rPr>
            </w:pPr>
            <w:r w:rsidRPr="00363921">
              <w:rPr>
                <w:rFonts w:ascii="Times New Roman" w:hAnsi="Times New Roman"/>
                <w:kern w:val="0"/>
              </w:rPr>
              <w:t>Total obs</w:t>
            </w:r>
          </w:p>
        </w:tc>
        <w:tc>
          <w:tcPr>
            <w:tcW w:w="1418" w:type="dxa"/>
            <w:tcBorders>
              <w:top w:val="nil"/>
              <w:left w:val="nil"/>
              <w:bottom w:val="single" w:sz="4" w:space="0" w:color="auto"/>
              <w:right w:val="nil"/>
            </w:tcBorders>
            <w:shd w:val="clear" w:color="auto" w:fill="auto"/>
            <w:noWrap/>
            <w:vAlign w:val="center"/>
          </w:tcPr>
          <w:p w:rsidR="00256B40" w:rsidRPr="00363921" w:rsidRDefault="00256B40" w:rsidP="00222D20">
            <w:pPr>
              <w:widowControl/>
              <w:adjustRightInd w:val="0"/>
              <w:snapToGrid w:val="0"/>
              <w:jc w:val="right"/>
              <w:rPr>
                <w:rFonts w:ascii="Times New Roman" w:hAnsi="Times New Roman"/>
                <w:kern w:val="0"/>
              </w:rPr>
            </w:pPr>
            <w:r w:rsidRPr="00363921">
              <w:rPr>
                <w:rFonts w:ascii="Times New Roman" w:hAnsi="Times New Roman"/>
                <w:kern w:val="0"/>
              </w:rPr>
              <w:t>452</w:t>
            </w:r>
          </w:p>
        </w:tc>
        <w:tc>
          <w:tcPr>
            <w:tcW w:w="3969" w:type="dxa"/>
            <w:tcBorders>
              <w:top w:val="nil"/>
              <w:left w:val="nil"/>
              <w:bottom w:val="single" w:sz="4" w:space="0" w:color="auto"/>
              <w:right w:val="nil"/>
            </w:tcBorders>
            <w:shd w:val="clear" w:color="auto" w:fill="auto"/>
            <w:noWrap/>
            <w:vAlign w:val="center"/>
          </w:tcPr>
          <w:p w:rsidR="00256B40" w:rsidRPr="00363921" w:rsidRDefault="00256B40" w:rsidP="00222D20">
            <w:pPr>
              <w:widowControl/>
              <w:adjustRightInd w:val="0"/>
              <w:snapToGrid w:val="0"/>
              <w:rPr>
                <w:rFonts w:ascii="Times New Roman" w:hAnsi="Times New Roman"/>
                <w:kern w:val="0"/>
              </w:rPr>
            </w:pPr>
          </w:p>
        </w:tc>
      </w:tr>
    </w:tbl>
    <w:p w:rsidR="00256B40" w:rsidRPr="00363921" w:rsidRDefault="00256B40" w:rsidP="00222D20">
      <w:pPr>
        <w:widowControl/>
        <w:snapToGrid w:val="0"/>
        <w:jc w:val="both"/>
        <w:rPr>
          <w:rFonts w:ascii="Times New Roman" w:hAnsi="Times New Roman"/>
          <w:b/>
          <w:lang w:val="en-GB"/>
        </w:rPr>
      </w:pPr>
      <w:r w:rsidRPr="003D7DFB">
        <w:rPr>
          <w:rFonts w:ascii="Times New Roman" w:hAnsi="Times New Roman"/>
          <w:i/>
          <w:sz w:val="16"/>
          <w:lang w:val="en-GB"/>
        </w:rPr>
        <w:t>FCF</w:t>
      </w:r>
      <w:r w:rsidRPr="003D7DFB">
        <w:rPr>
          <w:rFonts w:ascii="Times New Roman" w:hAnsi="Times New Roman"/>
          <w:sz w:val="16"/>
          <w:lang w:val="en-GB"/>
        </w:rPr>
        <w:t xml:space="preserve"> is </w:t>
      </w:r>
      <w:r w:rsidRPr="003D7DFB">
        <w:rPr>
          <w:rFonts w:ascii="Times New Roman" w:hAnsi="Times New Roman"/>
          <w:sz w:val="16"/>
          <w:szCs w:val="24"/>
        </w:rPr>
        <w:t xml:space="preserve">the ratio of free cash flow to book value of assets. </w:t>
      </w:r>
      <w:r w:rsidRPr="003D7DFB">
        <w:rPr>
          <w:rFonts w:ascii="Times New Roman" w:hAnsi="Times New Roman"/>
          <w:i/>
          <w:sz w:val="16"/>
          <w:szCs w:val="24"/>
        </w:rPr>
        <w:t xml:space="preserve">CG </w:t>
      </w:r>
      <w:r w:rsidRPr="003D7DFB">
        <w:rPr>
          <w:rFonts w:ascii="Times New Roman" w:hAnsi="Times New Roman"/>
          <w:sz w:val="16"/>
          <w:szCs w:val="24"/>
        </w:rPr>
        <w:t xml:space="preserve">is the corporate governance score. </w:t>
      </w:r>
      <w:r w:rsidRPr="003D7DFB">
        <w:rPr>
          <w:rFonts w:ascii="Times New Roman" w:hAnsi="Times New Roman"/>
          <w:i/>
          <w:sz w:val="16"/>
          <w:szCs w:val="24"/>
        </w:rPr>
        <w:t>F</w:t>
      </w:r>
      <w:r w:rsidRPr="003D7DFB">
        <w:rPr>
          <w:rFonts w:ascii="Times New Roman" w:hAnsi="Times New Roman" w:hint="eastAsia"/>
          <w:i/>
          <w:sz w:val="16"/>
          <w:szCs w:val="24"/>
        </w:rPr>
        <w:t>SIZE</w:t>
      </w:r>
      <w:r w:rsidRPr="003D7DFB">
        <w:rPr>
          <w:rFonts w:ascii="Times New Roman" w:hAnsi="Times New Roman"/>
          <w:sz w:val="16"/>
          <w:szCs w:val="24"/>
        </w:rPr>
        <w:t xml:space="preserve"> is </w:t>
      </w:r>
      <w:r w:rsidRPr="003D7DFB">
        <w:rPr>
          <w:rFonts w:ascii="Times New Roman" w:hAnsi="Times New Roman" w:hint="eastAsia"/>
          <w:sz w:val="16"/>
          <w:szCs w:val="24"/>
        </w:rPr>
        <w:t>the n</w:t>
      </w:r>
      <w:r w:rsidRPr="003D7DFB">
        <w:rPr>
          <w:rFonts w:ascii="Times New Roman" w:hAnsi="Times New Roman"/>
          <w:sz w:val="16"/>
          <w:szCs w:val="24"/>
        </w:rPr>
        <w:t>atural logarithm of total assets.</w:t>
      </w:r>
      <w:r w:rsidRPr="003D7DFB">
        <w:rPr>
          <w:rFonts w:ascii="Times New Roman" w:hAnsi="Times New Roman" w:hint="eastAsia"/>
          <w:sz w:val="16"/>
          <w:szCs w:val="24"/>
        </w:rPr>
        <w:t xml:space="preserve"> </w:t>
      </w:r>
      <w:r w:rsidRPr="003D7DFB">
        <w:rPr>
          <w:rFonts w:ascii="Times New Roman" w:hAnsi="Times New Roman"/>
          <w:i/>
          <w:sz w:val="16"/>
          <w:szCs w:val="24"/>
        </w:rPr>
        <w:t>LEVERAGE</w:t>
      </w:r>
      <w:r w:rsidRPr="003D7DFB">
        <w:rPr>
          <w:rFonts w:ascii="Times New Roman" w:hAnsi="Times New Roman"/>
          <w:sz w:val="16"/>
          <w:szCs w:val="24"/>
        </w:rPr>
        <w:t xml:space="preserve"> is the ratio of total debt to total assets. </w:t>
      </w:r>
      <w:r w:rsidRPr="003D7DFB">
        <w:rPr>
          <w:rFonts w:ascii="Times New Roman" w:hAnsi="Times New Roman"/>
          <w:i/>
          <w:sz w:val="16"/>
          <w:szCs w:val="24"/>
        </w:rPr>
        <w:t>ROE</w:t>
      </w:r>
      <w:r w:rsidRPr="003D7DFB">
        <w:rPr>
          <w:rFonts w:ascii="Times New Roman" w:hAnsi="Times New Roman"/>
          <w:sz w:val="16"/>
          <w:szCs w:val="24"/>
        </w:rPr>
        <w:t xml:space="preserve"> is the ratio of net income to shareholder equity. </w:t>
      </w:r>
      <w:r w:rsidRPr="003D7DFB">
        <w:rPr>
          <w:rFonts w:ascii="Times New Roman" w:hAnsi="Times New Roman"/>
          <w:i/>
          <w:sz w:val="16"/>
          <w:szCs w:val="24"/>
        </w:rPr>
        <w:t xml:space="preserve">CAPEXP </w:t>
      </w:r>
      <w:r w:rsidRPr="003D7DFB">
        <w:rPr>
          <w:rFonts w:ascii="Times New Roman" w:hAnsi="Times New Roman"/>
          <w:sz w:val="16"/>
          <w:szCs w:val="24"/>
        </w:rPr>
        <w:t xml:space="preserve">is the ratio of capital expenditure to total assets. </w:t>
      </w:r>
      <w:r w:rsidRPr="003D7DFB">
        <w:rPr>
          <w:rFonts w:ascii="Times New Roman" w:hAnsi="Times New Roman"/>
          <w:i/>
          <w:sz w:val="16"/>
          <w:szCs w:val="24"/>
        </w:rPr>
        <w:t>TOBINQ</w:t>
      </w:r>
      <w:r w:rsidRPr="003D7DFB">
        <w:rPr>
          <w:rFonts w:ascii="Times New Roman" w:hAnsi="Times New Roman"/>
          <w:sz w:val="16"/>
          <w:szCs w:val="24"/>
        </w:rPr>
        <w:t xml:space="preserve"> is the ratio of market value of equity plus the book value of debt to the book value of assets. </w:t>
      </w:r>
      <w:r w:rsidRPr="003D7DFB">
        <w:rPr>
          <w:rFonts w:ascii="Times New Roman" w:hAnsi="Times New Roman"/>
          <w:i/>
          <w:sz w:val="16"/>
          <w:szCs w:val="24"/>
        </w:rPr>
        <w:t>RETAIN</w:t>
      </w:r>
      <w:r w:rsidRPr="003D7DFB">
        <w:rPr>
          <w:rFonts w:ascii="Times New Roman" w:hAnsi="Times New Roman"/>
          <w:sz w:val="16"/>
          <w:szCs w:val="24"/>
        </w:rPr>
        <w:t xml:space="preserve"> is the ratio of retained earnings to total equity. </w:t>
      </w:r>
      <w:r w:rsidRPr="003D7DFB">
        <w:rPr>
          <w:rFonts w:ascii="Times New Roman" w:hAnsi="Times New Roman"/>
          <w:i/>
          <w:sz w:val="16"/>
          <w:szCs w:val="24"/>
        </w:rPr>
        <w:t>DIV</w:t>
      </w:r>
      <w:r w:rsidRPr="003D7DFB">
        <w:rPr>
          <w:rFonts w:ascii="Times New Roman" w:hAnsi="Times New Roman"/>
          <w:sz w:val="16"/>
          <w:szCs w:val="24"/>
        </w:rPr>
        <w:t xml:space="preserve"> is the ratio of cash dividend per share to </w:t>
      </w:r>
      <w:r w:rsidR="003D7DFB" w:rsidRPr="003D7DFB">
        <w:rPr>
          <w:rFonts w:ascii="Times New Roman" w:hAnsi="Times New Roman"/>
          <w:sz w:val="16"/>
          <w:szCs w:val="24"/>
        </w:rPr>
        <w:t>price per share</w:t>
      </w:r>
      <w:r w:rsidRPr="003D7DFB">
        <w:rPr>
          <w:rFonts w:ascii="Times New Roman" w:hAnsi="Times New Roman"/>
          <w:sz w:val="16"/>
          <w:szCs w:val="24"/>
        </w:rPr>
        <w:t xml:space="preserve">. </w:t>
      </w:r>
      <w:r w:rsidRPr="003D7DFB">
        <w:rPr>
          <w:rFonts w:ascii="Times New Roman" w:hAnsi="Times New Roman"/>
          <w:i/>
          <w:sz w:val="16"/>
          <w:szCs w:val="24"/>
        </w:rPr>
        <w:t>TAX</w:t>
      </w:r>
      <w:r w:rsidRPr="003D7DFB">
        <w:rPr>
          <w:rFonts w:ascii="Times New Roman" w:hAnsi="Times New Roman"/>
          <w:sz w:val="16"/>
          <w:szCs w:val="24"/>
        </w:rPr>
        <w:t xml:space="preserve"> is </w:t>
      </w:r>
      <w:r w:rsidRPr="003D7DFB">
        <w:rPr>
          <w:rFonts w:ascii="Times New Roman" w:hAnsi="Times New Roman"/>
          <w:sz w:val="16"/>
        </w:rPr>
        <w:t>the ratio of income tax to net incom</w:t>
      </w:r>
      <w:r w:rsidRPr="003D7DFB">
        <w:rPr>
          <w:rFonts w:ascii="Times New Roman" w:hAnsi="Times New Roman"/>
          <w:sz w:val="16"/>
          <w:szCs w:val="24"/>
        </w:rPr>
        <w:t>e.</w:t>
      </w:r>
      <w:r w:rsidRPr="003D7DFB">
        <w:rPr>
          <w:rFonts w:ascii="Times New Roman" w:hAnsi="Times New Roman" w:hint="eastAsia"/>
          <w:sz w:val="16"/>
          <w:szCs w:val="24"/>
        </w:rPr>
        <w:t xml:space="preserve"> *, **, *** denote significance at the 10%, 5% and 1% levels, respectively.</w:t>
      </w:r>
      <w:r w:rsidRPr="003D7DFB">
        <w:rPr>
          <w:rFonts w:ascii="Times New Roman" w:hAnsi="Times New Roman"/>
          <w:sz w:val="21"/>
          <w:lang w:val="en-GB"/>
        </w:rPr>
        <w:br/>
      </w:r>
    </w:p>
    <w:p w:rsidR="00256B40" w:rsidRPr="00363921" w:rsidRDefault="00256B40" w:rsidP="00222D20">
      <w:pPr>
        <w:widowControl/>
        <w:snapToGrid w:val="0"/>
        <w:jc w:val="both"/>
        <w:rPr>
          <w:rFonts w:ascii="Times New Roman" w:hAnsi="Times New Roman"/>
          <w:b/>
          <w:lang w:val="en-GB"/>
        </w:rPr>
      </w:pPr>
      <w:r w:rsidRPr="00363921">
        <w:rPr>
          <w:rFonts w:ascii="Times New Roman" w:hAnsi="Times New Roman"/>
          <w:b/>
          <w:lang w:val="en-GB"/>
        </w:rPr>
        <w:t>5. Conclusion</w:t>
      </w:r>
    </w:p>
    <w:p w:rsidR="00256B40" w:rsidRPr="00363921" w:rsidRDefault="00256B40" w:rsidP="00222D20">
      <w:pPr>
        <w:widowControl/>
        <w:jc w:val="both"/>
        <w:rPr>
          <w:rFonts w:ascii="Times New Roman" w:hAnsi="Times New Roman"/>
        </w:rPr>
      </w:pPr>
      <w:r w:rsidRPr="00363921">
        <w:rPr>
          <w:rFonts w:ascii="Times New Roman" w:hAnsi="Times New Roman"/>
          <w:lang w:val="en-GB"/>
        </w:rPr>
        <w:t xml:space="preserve">This study tests the efficiency of corporate governance mechanisms in alleviating agency conflicts between shareholders and managers due to the free cash flow </w:t>
      </w:r>
      <w:r w:rsidRPr="00363921">
        <w:rPr>
          <w:rFonts w:ascii="Times New Roman" w:hAnsi="Times New Roman"/>
          <w:lang w:val="en-GB"/>
        </w:rPr>
        <w:lastRenderedPageBreak/>
        <w:t xml:space="preserve">problem. The free cash flow hypothesis proposed by Jensen </w:t>
      </w:r>
      <w:r w:rsidRPr="00363921">
        <w:rPr>
          <w:rFonts w:ascii="Times New Roman" w:hAnsi="Times New Roman"/>
          <w:noProof/>
          <w:lang w:val="en-GB"/>
        </w:rPr>
        <w:t>(1986)</w:t>
      </w:r>
      <w:r w:rsidRPr="00363921">
        <w:rPr>
          <w:rFonts w:ascii="Times New Roman" w:hAnsi="Times New Roman"/>
          <w:lang w:val="en-GB"/>
        </w:rPr>
        <w:t xml:space="preserve"> suggests that when there is excess cash flow after funding all positive net present value projects, managers are likely to waste it on unprofitable projects or on organization inefficiencies. Previous literatures have suggested that governance may</w:t>
      </w:r>
      <w:r w:rsidR="006E55FB">
        <w:rPr>
          <w:rFonts w:ascii="Times New Roman" w:hAnsi="Times New Roman"/>
          <w:lang w:val="en-GB"/>
        </w:rPr>
        <w:t xml:space="preserve"> operate through many differen</w:t>
      </w:r>
      <w:r w:rsidR="006E55FB">
        <w:rPr>
          <w:rFonts w:ascii="Times New Roman" w:hAnsi="Times New Roman" w:hint="eastAsia"/>
          <w:lang w:val="en-GB"/>
        </w:rPr>
        <w:t>t</w:t>
      </w:r>
      <w:r w:rsidRPr="00363921">
        <w:rPr>
          <w:rFonts w:ascii="Times New Roman" w:hAnsi="Times New Roman"/>
          <w:lang w:val="en-GB"/>
        </w:rPr>
        <w:t xml:space="preserve"> mechanisms, such as ownership structure </w:t>
      </w:r>
      <w:r w:rsidRPr="00363921">
        <w:rPr>
          <w:rFonts w:ascii="Times New Roman" w:hAnsi="Times New Roman"/>
          <w:noProof/>
          <w:lang w:val="en-GB"/>
        </w:rPr>
        <w:t>(Tosi and Gomez-Mejia, 1989)</w:t>
      </w:r>
      <w:r w:rsidRPr="00363921">
        <w:rPr>
          <w:rFonts w:ascii="Times New Roman" w:hAnsi="Times New Roman"/>
          <w:lang w:val="en-GB"/>
        </w:rPr>
        <w:t xml:space="preserve">, board structure </w:t>
      </w:r>
      <w:r w:rsidRPr="00363921">
        <w:rPr>
          <w:rFonts w:ascii="Times New Roman" w:hAnsi="Times New Roman"/>
          <w:noProof/>
          <w:lang w:val="en-GB"/>
        </w:rPr>
        <w:t>(Fama and Jensen, 1983)</w:t>
      </w:r>
      <w:r w:rsidRPr="00363921">
        <w:rPr>
          <w:rFonts w:ascii="Times New Roman" w:hAnsi="Times New Roman"/>
          <w:lang w:val="en-GB"/>
        </w:rPr>
        <w:t xml:space="preserve">, director compensation </w:t>
      </w:r>
      <w:r w:rsidRPr="00363921">
        <w:rPr>
          <w:rFonts w:ascii="Times New Roman" w:hAnsi="Times New Roman"/>
          <w:noProof/>
          <w:lang w:val="en-GB"/>
        </w:rPr>
        <w:t>(Bebchuk and Fried, 2003)</w:t>
      </w:r>
      <w:r w:rsidRPr="00363921">
        <w:rPr>
          <w:rFonts w:ascii="Times New Roman" w:hAnsi="Times New Roman"/>
          <w:lang w:val="en-GB"/>
        </w:rPr>
        <w:t xml:space="preserve">. This study adopts the </w:t>
      </w:r>
      <w:r w:rsidRPr="00363921">
        <w:rPr>
          <w:rFonts w:ascii="Times New Roman" w:hAnsi="Times New Roman"/>
        </w:rPr>
        <w:t xml:space="preserve">corporate governance index provided by </w:t>
      </w:r>
      <w:r w:rsidRPr="00363921">
        <w:rPr>
          <w:rFonts w:ascii="Times New Roman" w:hAnsi="Times New Roman"/>
          <w:i/>
        </w:rPr>
        <w:t>The Globe and Mail</w:t>
      </w:r>
      <w:r w:rsidRPr="00363921">
        <w:rPr>
          <w:rFonts w:ascii="Times New Roman" w:hAnsi="Times New Roman"/>
        </w:rPr>
        <w:t xml:space="preserve"> (G&amp;M) and examines the relationship between corporate governance and free cash flow.</w:t>
      </w:r>
    </w:p>
    <w:p w:rsidR="00256B40" w:rsidRPr="00363921" w:rsidRDefault="00256B40" w:rsidP="00222D20">
      <w:pPr>
        <w:widowControl/>
        <w:jc w:val="both"/>
        <w:rPr>
          <w:rFonts w:ascii="Times New Roman" w:hAnsi="Times New Roman"/>
        </w:rPr>
      </w:pPr>
    </w:p>
    <w:p w:rsidR="00256B40" w:rsidRPr="00363921" w:rsidRDefault="00256B40" w:rsidP="00222D20">
      <w:pPr>
        <w:widowControl/>
        <w:jc w:val="both"/>
        <w:rPr>
          <w:rFonts w:ascii="Times New Roman" w:hAnsi="Times New Roman"/>
          <w:lang w:val="en-GB"/>
        </w:rPr>
      </w:pPr>
      <w:r w:rsidRPr="00363921">
        <w:rPr>
          <w:rFonts w:ascii="Times New Roman" w:hAnsi="Times New Roman"/>
        </w:rPr>
        <w:t>The results show that</w:t>
      </w:r>
      <w:r w:rsidRPr="00363921">
        <w:rPr>
          <w:rFonts w:ascii="Times New Roman" w:hAnsi="Times New Roman"/>
          <w:lang w:val="en-GB"/>
        </w:rPr>
        <w:t xml:space="preserve"> governance mechanisms do not limit the risk of free cash flow based a sample of </w:t>
      </w:r>
      <w:r w:rsidRPr="00363921">
        <w:rPr>
          <w:rFonts w:ascii="Times New Roman" w:hAnsi="Times New Roman"/>
        </w:rPr>
        <w:t>452</w:t>
      </w:r>
      <w:r w:rsidRPr="00363921">
        <w:rPr>
          <w:rFonts w:ascii="Times New Roman" w:hAnsi="Times New Roman"/>
          <w:lang w:val="en-GB"/>
        </w:rPr>
        <w:t xml:space="preserve"> Canadian companies for the period 2009-2012. The evidence from this study does not support Jensen’s </w:t>
      </w:r>
      <w:r w:rsidRPr="00363921">
        <w:rPr>
          <w:rFonts w:ascii="Times New Roman" w:hAnsi="Times New Roman"/>
          <w:noProof/>
          <w:lang w:val="en-GB"/>
        </w:rPr>
        <w:t>(1986)</w:t>
      </w:r>
      <w:r w:rsidRPr="00363921">
        <w:rPr>
          <w:rFonts w:ascii="Times New Roman" w:hAnsi="Times New Roman"/>
          <w:lang w:val="en-GB"/>
        </w:rPr>
        <w:t xml:space="preserve"> free cash flow hypothesis, which suggests that firms with higher free cash flow are likely to have more serious agency problems. In contrast, our study finds that firms with high free cash flow are well governed and well performing firms.</w:t>
      </w:r>
    </w:p>
    <w:p w:rsidR="00256B40" w:rsidRPr="00363921" w:rsidRDefault="00256B40" w:rsidP="00222D20">
      <w:pPr>
        <w:widowControl/>
        <w:jc w:val="both"/>
        <w:rPr>
          <w:rFonts w:ascii="Times New Roman" w:hAnsi="Times New Roman"/>
          <w:lang w:val="en-GB"/>
        </w:rPr>
      </w:pPr>
    </w:p>
    <w:p w:rsidR="00256B40" w:rsidRPr="00363921" w:rsidRDefault="00256B40" w:rsidP="00222D20">
      <w:pPr>
        <w:widowControl/>
        <w:jc w:val="both"/>
        <w:rPr>
          <w:rFonts w:ascii="Times New Roman" w:hAnsi="Times New Roman"/>
          <w:lang w:val="en-GB"/>
        </w:rPr>
      </w:pPr>
      <w:r w:rsidRPr="00363921">
        <w:rPr>
          <w:rFonts w:ascii="Times New Roman" w:hAnsi="Times New Roman"/>
          <w:lang w:val="en-GB"/>
        </w:rPr>
        <w:t>An implication from this study is that free cash flow itself may not be a bad thing as it may be a result of better operating efficiency and may be used to generate higher firm value. The more important focus is how this free cash flow is being spent. For future research, to test the free cash flow hypothesis, it is suggested to examine the use of free cash flow directly.</w:t>
      </w:r>
      <w:r w:rsidRPr="00363921">
        <w:rPr>
          <w:rFonts w:ascii="Times New Roman" w:hAnsi="Times New Roman"/>
          <w:lang w:val="en-GB"/>
        </w:rPr>
        <w:br w:type="page"/>
      </w:r>
    </w:p>
    <w:p w:rsidR="00256B40" w:rsidRPr="00363921" w:rsidRDefault="00256B40" w:rsidP="006E55FB">
      <w:pPr>
        <w:ind w:left="720" w:hanging="720"/>
        <w:jc w:val="both"/>
        <w:rPr>
          <w:rFonts w:ascii="Times New Roman" w:hAnsi="Times New Roman"/>
          <w:b/>
          <w:lang w:val="en-GB"/>
        </w:rPr>
      </w:pPr>
      <w:r w:rsidRPr="00363921">
        <w:rPr>
          <w:rFonts w:ascii="Times New Roman" w:hAnsi="Times New Roman"/>
          <w:b/>
          <w:lang w:val="en-GB"/>
        </w:rPr>
        <w:lastRenderedPageBreak/>
        <w:t>References</w:t>
      </w:r>
    </w:p>
    <w:p w:rsidR="00837C40" w:rsidRPr="00837C40" w:rsidRDefault="00837C40" w:rsidP="006E55FB">
      <w:pPr>
        <w:pStyle w:val="a3"/>
        <w:numPr>
          <w:ilvl w:val="0"/>
          <w:numId w:val="3"/>
        </w:numPr>
        <w:ind w:leftChars="0"/>
        <w:jc w:val="both"/>
        <w:rPr>
          <w:rFonts w:ascii="Times New Roman" w:hAnsi="Times New Roman"/>
          <w:noProof/>
        </w:rPr>
      </w:pPr>
      <w:bookmarkStart w:id="0" w:name="_ENREF_1"/>
      <w:r w:rsidRPr="00837C40">
        <w:rPr>
          <w:rFonts w:ascii="Times New Roman" w:hAnsi="Times New Roman"/>
          <w:noProof/>
        </w:rPr>
        <w:t xml:space="preserve">Adjaoud, F., and Ben-Amar, W. (2010). Corporate governance and dividend policy: Shareholders' protection or expropriation? </w:t>
      </w:r>
      <w:r w:rsidRPr="00837C40">
        <w:rPr>
          <w:rFonts w:ascii="Times New Roman" w:hAnsi="Times New Roman"/>
          <w:i/>
          <w:noProof/>
        </w:rPr>
        <w:t>Journal of Business Finance and Accounting, 37</w:t>
      </w:r>
      <w:r>
        <w:rPr>
          <w:rFonts w:ascii="Times New Roman" w:hAnsi="Times New Roman"/>
          <w:noProof/>
        </w:rPr>
        <w:t>(5/6), 648-667.</w:t>
      </w:r>
    </w:p>
    <w:p w:rsidR="00256B40" w:rsidRPr="0022264C" w:rsidRDefault="00256B40" w:rsidP="006E55FB">
      <w:pPr>
        <w:pStyle w:val="a3"/>
        <w:numPr>
          <w:ilvl w:val="0"/>
          <w:numId w:val="3"/>
        </w:numPr>
        <w:ind w:leftChars="0"/>
        <w:jc w:val="both"/>
        <w:rPr>
          <w:rFonts w:ascii="Times New Roman" w:hAnsi="Times New Roman"/>
          <w:noProof/>
          <w:lang w:val="en-GB"/>
        </w:rPr>
      </w:pPr>
      <w:r w:rsidRPr="0022264C">
        <w:rPr>
          <w:rFonts w:ascii="Times New Roman" w:hAnsi="Times New Roman"/>
          <w:noProof/>
          <w:lang w:val="en-GB"/>
        </w:rPr>
        <w:t xml:space="preserve">Adinehzadeh, R., and Jaffar, R. (2013). Corporate </w:t>
      </w:r>
      <w:r w:rsidR="006E55FB">
        <w:rPr>
          <w:rFonts w:ascii="Times New Roman" w:hAnsi="Times New Roman" w:hint="eastAsia"/>
          <w:noProof/>
          <w:lang w:val="en-GB"/>
        </w:rPr>
        <w:t>g</w:t>
      </w:r>
      <w:r w:rsidRPr="0022264C">
        <w:rPr>
          <w:rFonts w:ascii="Times New Roman" w:hAnsi="Times New Roman"/>
          <w:noProof/>
          <w:lang w:val="en-GB"/>
        </w:rPr>
        <w:t xml:space="preserve">overnance and </w:t>
      </w:r>
      <w:r w:rsidR="006E55FB">
        <w:rPr>
          <w:rFonts w:ascii="Times New Roman" w:hAnsi="Times New Roman" w:hint="eastAsia"/>
          <w:noProof/>
          <w:lang w:val="en-GB"/>
        </w:rPr>
        <w:t>f</w:t>
      </w:r>
      <w:r w:rsidRPr="0022264C">
        <w:rPr>
          <w:rFonts w:ascii="Times New Roman" w:hAnsi="Times New Roman"/>
          <w:noProof/>
          <w:lang w:val="en-GB"/>
        </w:rPr>
        <w:t xml:space="preserve">irm </w:t>
      </w:r>
      <w:r w:rsidR="006E55FB">
        <w:rPr>
          <w:rFonts w:ascii="Times New Roman" w:hAnsi="Times New Roman" w:hint="eastAsia"/>
          <w:noProof/>
          <w:lang w:val="en-GB"/>
        </w:rPr>
        <w:t>f</w:t>
      </w:r>
      <w:r w:rsidRPr="0022264C">
        <w:rPr>
          <w:rFonts w:ascii="Times New Roman" w:hAnsi="Times New Roman"/>
          <w:noProof/>
          <w:lang w:val="en-GB"/>
        </w:rPr>
        <w:t xml:space="preserve">ree </w:t>
      </w:r>
      <w:r w:rsidR="006E55FB">
        <w:rPr>
          <w:rFonts w:ascii="Times New Roman" w:hAnsi="Times New Roman" w:hint="eastAsia"/>
          <w:noProof/>
          <w:lang w:val="en-GB"/>
        </w:rPr>
        <w:t>c</w:t>
      </w:r>
      <w:r w:rsidRPr="0022264C">
        <w:rPr>
          <w:rFonts w:ascii="Times New Roman" w:hAnsi="Times New Roman"/>
          <w:noProof/>
          <w:lang w:val="en-GB"/>
        </w:rPr>
        <w:t xml:space="preserve">ash </w:t>
      </w:r>
      <w:r w:rsidR="006E55FB">
        <w:rPr>
          <w:rFonts w:ascii="Times New Roman" w:hAnsi="Times New Roman" w:hint="eastAsia"/>
          <w:noProof/>
          <w:lang w:val="en-GB"/>
        </w:rPr>
        <w:t>f</w:t>
      </w:r>
      <w:r w:rsidRPr="0022264C">
        <w:rPr>
          <w:rFonts w:ascii="Times New Roman" w:hAnsi="Times New Roman"/>
          <w:noProof/>
          <w:lang w:val="en-GB"/>
        </w:rPr>
        <w:t xml:space="preserve">lows: Evidence from Malaysia. </w:t>
      </w:r>
      <w:r w:rsidRPr="0022264C">
        <w:rPr>
          <w:rFonts w:ascii="Times New Roman" w:hAnsi="Times New Roman"/>
          <w:i/>
          <w:noProof/>
          <w:lang w:val="en-GB"/>
        </w:rPr>
        <w:t>Information Management and Business Review, 5</w:t>
      </w:r>
      <w:r w:rsidRPr="0022264C">
        <w:rPr>
          <w:rFonts w:ascii="Times New Roman" w:hAnsi="Times New Roman"/>
          <w:noProof/>
          <w:lang w:val="en-GB"/>
        </w:rPr>
        <w:t xml:space="preserve">(11), 531-537. </w:t>
      </w:r>
      <w:bookmarkEnd w:id="0"/>
    </w:p>
    <w:p w:rsidR="00256B40" w:rsidRPr="0022264C" w:rsidRDefault="00256B40" w:rsidP="006E55FB">
      <w:pPr>
        <w:pStyle w:val="a3"/>
        <w:numPr>
          <w:ilvl w:val="0"/>
          <w:numId w:val="3"/>
        </w:numPr>
        <w:ind w:leftChars="0"/>
        <w:jc w:val="both"/>
        <w:rPr>
          <w:rFonts w:ascii="Times New Roman" w:hAnsi="Times New Roman"/>
          <w:noProof/>
          <w:lang w:val="en-GB"/>
        </w:rPr>
      </w:pPr>
      <w:bookmarkStart w:id="1" w:name="_ENREF_2"/>
      <w:r w:rsidRPr="0022264C">
        <w:rPr>
          <w:rFonts w:ascii="Times New Roman" w:hAnsi="Times New Roman"/>
          <w:noProof/>
          <w:lang w:val="en-GB"/>
        </w:rPr>
        <w:t xml:space="preserve">Bebchuk, L. A., and Fried, J. M. (2003). Executive compensation as an agency problem. </w:t>
      </w:r>
      <w:r w:rsidRPr="0022264C">
        <w:rPr>
          <w:rFonts w:ascii="Times New Roman" w:hAnsi="Times New Roman"/>
          <w:i/>
          <w:noProof/>
          <w:lang w:val="en-GB"/>
        </w:rPr>
        <w:t>Journal of Economic Perspectives, 17</w:t>
      </w:r>
      <w:r w:rsidRPr="0022264C">
        <w:rPr>
          <w:rFonts w:ascii="Times New Roman" w:hAnsi="Times New Roman"/>
          <w:noProof/>
          <w:lang w:val="en-GB"/>
        </w:rPr>
        <w:t xml:space="preserve">, 17-92. </w:t>
      </w:r>
      <w:bookmarkEnd w:id="1"/>
    </w:p>
    <w:p w:rsidR="00256B40" w:rsidRPr="0022264C" w:rsidRDefault="00256B40" w:rsidP="006E55FB">
      <w:pPr>
        <w:pStyle w:val="a3"/>
        <w:numPr>
          <w:ilvl w:val="0"/>
          <w:numId w:val="3"/>
        </w:numPr>
        <w:ind w:leftChars="0"/>
        <w:jc w:val="both"/>
        <w:rPr>
          <w:rFonts w:ascii="Times New Roman" w:hAnsi="Times New Roman"/>
          <w:noProof/>
          <w:lang w:val="en-GB"/>
        </w:rPr>
      </w:pPr>
      <w:bookmarkStart w:id="2" w:name="_ENREF_3"/>
      <w:r w:rsidRPr="0022264C">
        <w:rPr>
          <w:rFonts w:ascii="Times New Roman" w:hAnsi="Times New Roman"/>
          <w:noProof/>
          <w:lang w:val="en-GB"/>
        </w:rPr>
        <w:t xml:space="preserve">Boone, A., Field, L., Karpoff, J., and Raheja, C. (2007). The determinants of corporate board size and composition: An empirical analysis. </w:t>
      </w:r>
      <w:r w:rsidRPr="0022264C">
        <w:rPr>
          <w:rFonts w:ascii="Times New Roman" w:hAnsi="Times New Roman"/>
          <w:i/>
          <w:noProof/>
          <w:lang w:val="en-GB"/>
        </w:rPr>
        <w:t>Journal of Financial Economics, 85</w:t>
      </w:r>
      <w:r w:rsidRPr="0022264C">
        <w:rPr>
          <w:rFonts w:ascii="Times New Roman" w:hAnsi="Times New Roman"/>
          <w:noProof/>
          <w:lang w:val="en-GB"/>
        </w:rPr>
        <w:t xml:space="preserve">, 66-101. </w:t>
      </w:r>
      <w:bookmarkEnd w:id="2"/>
    </w:p>
    <w:p w:rsidR="00256B40" w:rsidRPr="0022264C" w:rsidRDefault="00256B40" w:rsidP="006E55FB">
      <w:pPr>
        <w:pStyle w:val="a3"/>
        <w:numPr>
          <w:ilvl w:val="0"/>
          <w:numId w:val="3"/>
        </w:numPr>
        <w:ind w:leftChars="0"/>
        <w:jc w:val="both"/>
        <w:rPr>
          <w:rFonts w:ascii="Times New Roman" w:hAnsi="Times New Roman"/>
          <w:noProof/>
          <w:lang w:val="en-GB"/>
        </w:rPr>
      </w:pPr>
      <w:bookmarkStart w:id="3" w:name="_ENREF_4"/>
      <w:r w:rsidRPr="0022264C">
        <w:rPr>
          <w:rFonts w:ascii="Times New Roman" w:hAnsi="Times New Roman"/>
          <w:noProof/>
          <w:lang w:val="en-GB"/>
        </w:rPr>
        <w:t xml:space="preserve">Brush, T. H., Bromiley, P., and Hendrickx, M. (2000). The free cash flow hypothesis for sales growth and firm performance. </w:t>
      </w:r>
      <w:r w:rsidRPr="0022264C">
        <w:rPr>
          <w:rFonts w:ascii="Times New Roman" w:hAnsi="Times New Roman"/>
          <w:i/>
          <w:noProof/>
          <w:lang w:val="en-GB"/>
        </w:rPr>
        <w:t>Strategic Management Journal, 21</w:t>
      </w:r>
      <w:r w:rsidRPr="0022264C">
        <w:rPr>
          <w:rFonts w:ascii="Times New Roman" w:hAnsi="Times New Roman"/>
          <w:noProof/>
          <w:lang w:val="en-GB"/>
        </w:rPr>
        <w:t xml:space="preserve">(4), 455-472. </w:t>
      </w:r>
      <w:bookmarkEnd w:id="3"/>
    </w:p>
    <w:p w:rsidR="00256B40" w:rsidRPr="0022264C" w:rsidRDefault="00F91114" w:rsidP="006E55FB">
      <w:pPr>
        <w:pStyle w:val="a3"/>
        <w:numPr>
          <w:ilvl w:val="0"/>
          <w:numId w:val="3"/>
        </w:numPr>
        <w:ind w:leftChars="0"/>
        <w:jc w:val="both"/>
        <w:rPr>
          <w:rFonts w:ascii="Times New Roman" w:hAnsi="Times New Roman"/>
          <w:noProof/>
          <w:lang w:val="en-GB"/>
        </w:rPr>
      </w:pPr>
      <w:bookmarkStart w:id="4" w:name="_ENREF_5"/>
      <w:r>
        <w:rPr>
          <w:rFonts w:ascii="Times New Roman" w:hAnsi="Times New Roman"/>
          <w:noProof/>
          <w:lang w:val="en-GB"/>
        </w:rPr>
        <w:t>Cai, J</w:t>
      </w:r>
      <w:r w:rsidR="00256B40" w:rsidRPr="0022264C">
        <w:rPr>
          <w:rFonts w:ascii="Times New Roman" w:hAnsi="Times New Roman"/>
          <w:noProof/>
          <w:lang w:val="en-GB"/>
        </w:rPr>
        <w:t xml:space="preserve">. (2013). Does </w:t>
      </w:r>
      <w:r w:rsidR="006E55FB">
        <w:rPr>
          <w:rFonts w:ascii="Times New Roman" w:hAnsi="Times New Roman" w:hint="eastAsia"/>
          <w:noProof/>
          <w:lang w:val="en-GB"/>
        </w:rPr>
        <w:t>c</w:t>
      </w:r>
      <w:r w:rsidR="00256B40" w:rsidRPr="0022264C">
        <w:rPr>
          <w:rFonts w:ascii="Times New Roman" w:hAnsi="Times New Roman"/>
          <w:noProof/>
          <w:lang w:val="en-GB"/>
        </w:rPr>
        <w:t xml:space="preserve">orporate </w:t>
      </w:r>
      <w:r w:rsidR="006E55FB">
        <w:rPr>
          <w:rFonts w:ascii="Times New Roman" w:hAnsi="Times New Roman" w:hint="eastAsia"/>
          <w:noProof/>
          <w:lang w:val="en-GB"/>
        </w:rPr>
        <w:t>g</w:t>
      </w:r>
      <w:r w:rsidR="00256B40" w:rsidRPr="0022264C">
        <w:rPr>
          <w:rFonts w:ascii="Times New Roman" w:hAnsi="Times New Roman"/>
          <w:noProof/>
          <w:lang w:val="en-GB"/>
        </w:rPr>
        <w:t xml:space="preserve">overnance </w:t>
      </w:r>
      <w:r w:rsidR="006E55FB">
        <w:rPr>
          <w:rFonts w:ascii="Times New Roman" w:hAnsi="Times New Roman" w:hint="eastAsia"/>
          <w:noProof/>
          <w:lang w:val="en-GB"/>
        </w:rPr>
        <w:t>r</w:t>
      </w:r>
      <w:r w:rsidR="00256B40" w:rsidRPr="0022264C">
        <w:rPr>
          <w:rFonts w:ascii="Times New Roman" w:hAnsi="Times New Roman"/>
          <w:noProof/>
          <w:lang w:val="en-GB"/>
        </w:rPr>
        <w:t xml:space="preserve">educe the </w:t>
      </w:r>
      <w:r w:rsidR="006E55FB">
        <w:rPr>
          <w:rFonts w:ascii="Times New Roman" w:hAnsi="Times New Roman" w:hint="eastAsia"/>
          <w:noProof/>
          <w:lang w:val="en-GB"/>
        </w:rPr>
        <w:t>o</w:t>
      </w:r>
      <w:r w:rsidR="00256B40" w:rsidRPr="0022264C">
        <w:rPr>
          <w:rFonts w:ascii="Times New Roman" w:hAnsi="Times New Roman"/>
          <w:noProof/>
          <w:lang w:val="en-GB"/>
        </w:rPr>
        <w:t xml:space="preserve">verinvestment of </w:t>
      </w:r>
      <w:r w:rsidR="006E55FB">
        <w:rPr>
          <w:rFonts w:ascii="Times New Roman" w:hAnsi="Times New Roman" w:hint="eastAsia"/>
          <w:noProof/>
          <w:lang w:val="en-GB"/>
        </w:rPr>
        <w:t>f</w:t>
      </w:r>
      <w:r w:rsidR="00256B40" w:rsidRPr="0022264C">
        <w:rPr>
          <w:rFonts w:ascii="Times New Roman" w:hAnsi="Times New Roman"/>
          <w:noProof/>
          <w:lang w:val="en-GB"/>
        </w:rPr>
        <w:t xml:space="preserve">ree </w:t>
      </w:r>
      <w:r w:rsidR="006E55FB">
        <w:rPr>
          <w:rFonts w:ascii="Times New Roman" w:hAnsi="Times New Roman" w:hint="eastAsia"/>
          <w:noProof/>
          <w:lang w:val="en-GB"/>
        </w:rPr>
        <w:t>c</w:t>
      </w:r>
      <w:r w:rsidR="00256B40" w:rsidRPr="0022264C">
        <w:rPr>
          <w:rFonts w:ascii="Times New Roman" w:hAnsi="Times New Roman"/>
          <w:noProof/>
          <w:lang w:val="en-GB"/>
        </w:rPr>
        <w:t xml:space="preserve">ash </w:t>
      </w:r>
      <w:r w:rsidR="006E55FB">
        <w:rPr>
          <w:rFonts w:ascii="Times New Roman" w:hAnsi="Times New Roman" w:hint="eastAsia"/>
          <w:noProof/>
          <w:lang w:val="en-GB"/>
        </w:rPr>
        <w:t>f</w:t>
      </w:r>
      <w:r w:rsidR="00256B40" w:rsidRPr="0022264C">
        <w:rPr>
          <w:rFonts w:ascii="Times New Roman" w:hAnsi="Times New Roman"/>
          <w:noProof/>
          <w:lang w:val="en-GB"/>
        </w:rPr>
        <w:t xml:space="preserve">low? Empirical </w:t>
      </w:r>
      <w:r w:rsidR="006E55FB">
        <w:rPr>
          <w:rFonts w:ascii="Times New Roman" w:hAnsi="Times New Roman" w:hint="eastAsia"/>
          <w:noProof/>
          <w:lang w:val="en-GB"/>
        </w:rPr>
        <w:t>e</w:t>
      </w:r>
      <w:r w:rsidR="00256B40" w:rsidRPr="0022264C">
        <w:rPr>
          <w:rFonts w:ascii="Times New Roman" w:hAnsi="Times New Roman"/>
          <w:noProof/>
          <w:lang w:val="en-GB"/>
        </w:rPr>
        <w:t xml:space="preserve">vidence from China. </w:t>
      </w:r>
      <w:r w:rsidR="00256B40" w:rsidRPr="0022264C">
        <w:rPr>
          <w:rFonts w:ascii="Times New Roman" w:hAnsi="Times New Roman"/>
          <w:i/>
          <w:noProof/>
          <w:lang w:val="en-GB"/>
        </w:rPr>
        <w:t>Journal of Finance and Investment Analysis, 2</w:t>
      </w:r>
      <w:r w:rsidR="00256B40" w:rsidRPr="0022264C">
        <w:rPr>
          <w:rFonts w:ascii="Times New Roman" w:hAnsi="Times New Roman"/>
          <w:noProof/>
          <w:lang w:val="en-GB"/>
        </w:rPr>
        <w:t xml:space="preserve">(3), 97-126. </w:t>
      </w:r>
      <w:bookmarkEnd w:id="4"/>
    </w:p>
    <w:p w:rsidR="00256B40" w:rsidRPr="0022264C" w:rsidRDefault="00256B40" w:rsidP="006E55FB">
      <w:pPr>
        <w:pStyle w:val="a3"/>
        <w:numPr>
          <w:ilvl w:val="0"/>
          <w:numId w:val="3"/>
        </w:numPr>
        <w:ind w:leftChars="0"/>
        <w:jc w:val="both"/>
        <w:rPr>
          <w:rFonts w:ascii="Times New Roman" w:hAnsi="Times New Roman"/>
          <w:noProof/>
          <w:lang w:val="en-GB"/>
        </w:rPr>
      </w:pPr>
      <w:bookmarkStart w:id="5" w:name="_ENREF_6"/>
      <w:r w:rsidRPr="0022264C">
        <w:rPr>
          <w:rFonts w:ascii="Times New Roman" w:hAnsi="Times New Roman"/>
          <w:noProof/>
          <w:lang w:val="en-GB"/>
        </w:rPr>
        <w:t xml:space="preserve">Carroll, C., and Griffith, J. M. (2001). Free </w:t>
      </w:r>
      <w:r w:rsidR="006E55FB">
        <w:rPr>
          <w:rFonts w:ascii="Times New Roman" w:hAnsi="Times New Roman" w:hint="eastAsia"/>
          <w:noProof/>
          <w:lang w:val="en-GB"/>
        </w:rPr>
        <w:t>c</w:t>
      </w:r>
      <w:r w:rsidRPr="0022264C">
        <w:rPr>
          <w:rFonts w:ascii="Times New Roman" w:hAnsi="Times New Roman"/>
          <w:noProof/>
          <w:lang w:val="en-GB"/>
        </w:rPr>
        <w:t xml:space="preserve">ash </w:t>
      </w:r>
      <w:r w:rsidR="006E55FB">
        <w:rPr>
          <w:rFonts w:ascii="Times New Roman" w:hAnsi="Times New Roman" w:hint="eastAsia"/>
          <w:noProof/>
          <w:lang w:val="en-GB"/>
        </w:rPr>
        <w:t>f</w:t>
      </w:r>
      <w:r w:rsidRPr="0022264C">
        <w:rPr>
          <w:rFonts w:ascii="Times New Roman" w:hAnsi="Times New Roman"/>
          <w:noProof/>
          <w:lang w:val="en-GB"/>
        </w:rPr>
        <w:t xml:space="preserve">low, </w:t>
      </w:r>
      <w:r w:rsidR="006E55FB">
        <w:rPr>
          <w:rFonts w:ascii="Times New Roman" w:hAnsi="Times New Roman" w:hint="eastAsia"/>
          <w:noProof/>
          <w:lang w:val="en-GB"/>
        </w:rPr>
        <w:t>l</w:t>
      </w:r>
      <w:r w:rsidRPr="0022264C">
        <w:rPr>
          <w:rFonts w:ascii="Times New Roman" w:hAnsi="Times New Roman"/>
          <w:noProof/>
          <w:lang w:val="en-GB"/>
        </w:rPr>
        <w:t xml:space="preserve">everage, and </w:t>
      </w:r>
      <w:r w:rsidR="006E55FB">
        <w:rPr>
          <w:rFonts w:ascii="Times New Roman" w:hAnsi="Times New Roman" w:hint="eastAsia"/>
          <w:noProof/>
          <w:lang w:val="en-GB"/>
        </w:rPr>
        <w:t>i</w:t>
      </w:r>
      <w:r w:rsidRPr="0022264C">
        <w:rPr>
          <w:rFonts w:ascii="Times New Roman" w:hAnsi="Times New Roman"/>
          <w:noProof/>
          <w:lang w:val="en-GB"/>
        </w:rPr>
        <w:t xml:space="preserve">nvestment </w:t>
      </w:r>
      <w:r w:rsidR="006E55FB">
        <w:rPr>
          <w:rFonts w:ascii="Times New Roman" w:hAnsi="Times New Roman" w:hint="eastAsia"/>
          <w:noProof/>
          <w:lang w:val="en-GB"/>
        </w:rPr>
        <w:t>o</w:t>
      </w:r>
      <w:r w:rsidRPr="0022264C">
        <w:rPr>
          <w:rFonts w:ascii="Times New Roman" w:hAnsi="Times New Roman"/>
          <w:noProof/>
          <w:lang w:val="en-GB"/>
        </w:rPr>
        <w:t xml:space="preserve">pportunities. </w:t>
      </w:r>
      <w:r w:rsidRPr="0022264C">
        <w:rPr>
          <w:rFonts w:ascii="Times New Roman" w:hAnsi="Times New Roman"/>
          <w:i/>
          <w:noProof/>
          <w:lang w:val="en-GB"/>
        </w:rPr>
        <w:t>Quarterly Journal of Business and Economics, 40</w:t>
      </w:r>
      <w:r w:rsidRPr="0022264C">
        <w:rPr>
          <w:rFonts w:ascii="Times New Roman" w:hAnsi="Times New Roman"/>
          <w:noProof/>
          <w:lang w:val="en-GB"/>
        </w:rPr>
        <w:t xml:space="preserve">(3-4), 141-153. </w:t>
      </w:r>
      <w:bookmarkEnd w:id="5"/>
    </w:p>
    <w:p w:rsidR="00837C40" w:rsidRPr="00837C40" w:rsidRDefault="00837C40" w:rsidP="006E55FB">
      <w:pPr>
        <w:pStyle w:val="a3"/>
        <w:numPr>
          <w:ilvl w:val="0"/>
          <w:numId w:val="3"/>
        </w:numPr>
        <w:ind w:leftChars="0"/>
        <w:jc w:val="both"/>
        <w:rPr>
          <w:rFonts w:ascii="Times New Roman" w:hAnsi="Times New Roman"/>
          <w:noProof/>
        </w:rPr>
      </w:pPr>
      <w:bookmarkStart w:id="6" w:name="_ENREF_7"/>
      <w:r w:rsidRPr="00837C40">
        <w:rPr>
          <w:rFonts w:ascii="Times New Roman" w:hAnsi="Times New Roman"/>
          <w:noProof/>
        </w:rPr>
        <w:t xml:space="preserve">Chang, B., and Dutta, S. (2012). Dividends and corporate governance: Canadian evidence. </w:t>
      </w:r>
      <w:r w:rsidRPr="00837C40">
        <w:rPr>
          <w:rFonts w:ascii="Times New Roman" w:hAnsi="Times New Roman"/>
          <w:i/>
          <w:noProof/>
        </w:rPr>
        <w:t>IUP Journal of Applied Finance, 18</w:t>
      </w:r>
      <w:r w:rsidRPr="00837C40">
        <w:rPr>
          <w:rFonts w:ascii="Times New Roman" w:hAnsi="Times New Roman"/>
          <w:noProof/>
        </w:rPr>
        <w:t xml:space="preserve">(4), 5-30. </w:t>
      </w:r>
    </w:p>
    <w:p w:rsidR="00256B40" w:rsidRPr="0022264C" w:rsidRDefault="00256B40" w:rsidP="006E55FB">
      <w:pPr>
        <w:pStyle w:val="a3"/>
        <w:numPr>
          <w:ilvl w:val="0"/>
          <w:numId w:val="3"/>
        </w:numPr>
        <w:ind w:leftChars="0"/>
        <w:jc w:val="both"/>
        <w:rPr>
          <w:rFonts w:ascii="Times New Roman" w:hAnsi="Times New Roman"/>
          <w:noProof/>
          <w:lang w:val="en-GB"/>
        </w:rPr>
      </w:pPr>
      <w:r w:rsidRPr="0022264C">
        <w:rPr>
          <w:rFonts w:ascii="Times New Roman" w:hAnsi="Times New Roman"/>
          <w:noProof/>
          <w:lang w:val="en-GB"/>
        </w:rPr>
        <w:t xml:space="preserve">Chang, S. C., Chen, S. S., A., H., and Huang, C. W. (2007). Investment opportunities, free cash flow, and stock valuation effects of secured debt offerings. </w:t>
      </w:r>
      <w:r w:rsidRPr="0022264C">
        <w:rPr>
          <w:rFonts w:ascii="Times New Roman" w:hAnsi="Times New Roman"/>
          <w:i/>
          <w:noProof/>
          <w:lang w:val="en-GB"/>
        </w:rPr>
        <w:t>Review of Quantitative Finance and Accounting, 28</w:t>
      </w:r>
      <w:r w:rsidRPr="0022264C">
        <w:rPr>
          <w:rFonts w:ascii="Times New Roman" w:hAnsi="Times New Roman"/>
          <w:noProof/>
          <w:lang w:val="en-GB"/>
        </w:rPr>
        <w:t xml:space="preserve">(4), 123-145. </w:t>
      </w:r>
      <w:bookmarkEnd w:id="6"/>
    </w:p>
    <w:p w:rsidR="00256B40" w:rsidRPr="0022264C" w:rsidRDefault="00256B40" w:rsidP="006E55FB">
      <w:pPr>
        <w:pStyle w:val="a3"/>
        <w:numPr>
          <w:ilvl w:val="0"/>
          <w:numId w:val="3"/>
        </w:numPr>
        <w:ind w:leftChars="0"/>
        <w:jc w:val="both"/>
        <w:rPr>
          <w:rFonts w:ascii="Times New Roman" w:hAnsi="Times New Roman"/>
          <w:noProof/>
          <w:lang w:val="en-GB"/>
        </w:rPr>
      </w:pPr>
      <w:bookmarkStart w:id="7" w:name="_ENREF_8"/>
      <w:r w:rsidRPr="0022264C">
        <w:rPr>
          <w:rFonts w:ascii="Times New Roman" w:hAnsi="Times New Roman"/>
          <w:noProof/>
          <w:lang w:val="en-GB"/>
        </w:rPr>
        <w:t xml:space="preserve">Chen, Q., Chen, X., Schipper, K., Xu, Y., and Xue, J. (2012). The </w:t>
      </w:r>
      <w:r w:rsidR="00060671">
        <w:rPr>
          <w:rFonts w:ascii="Times New Roman" w:hAnsi="Times New Roman" w:hint="eastAsia"/>
          <w:noProof/>
          <w:lang w:val="en-GB"/>
        </w:rPr>
        <w:t>s</w:t>
      </w:r>
      <w:r w:rsidRPr="0022264C">
        <w:rPr>
          <w:rFonts w:ascii="Times New Roman" w:hAnsi="Times New Roman"/>
          <w:noProof/>
          <w:lang w:val="en-GB"/>
        </w:rPr>
        <w:t xml:space="preserve">ensitivity of </w:t>
      </w:r>
      <w:r w:rsidR="00060671">
        <w:rPr>
          <w:rFonts w:ascii="Times New Roman" w:hAnsi="Times New Roman" w:hint="eastAsia"/>
          <w:noProof/>
          <w:lang w:val="en-GB"/>
        </w:rPr>
        <w:t>c</w:t>
      </w:r>
      <w:r w:rsidRPr="0022264C">
        <w:rPr>
          <w:rFonts w:ascii="Times New Roman" w:hAnsi="Times New Roman"/>
          <w:noProof/>
          <w:lang w:val="en-GB"/>
        </w:rPr>
        <w:t xml:space="preserve">orporate </w:t>
      </w:r>
      <w:r w:rsidR="00060671">
        <w:rPr>
          <w:rFonts w:ascii="Times New Roman" w:hAnsi="Times New Roman" w:hint="eastAsia"/>
          <w:noProof/>
          <w:lang w:val="en-GB"/>
        </w:rPr>
        <w:t>c</w:t>
      </w:r>
      <w:r w:rsidRPr="0022264C">
        <w:rPr>
          <w:rFonts w:ascii="Times New Roman" w:hAnsi="Times New Roman"/>
          <w:noProof/>
          <w:lang w:val="en-GB"/>
        </w:rPr>
        <w:t xml:space="preserve">ash </w:t>
      </w:r>
      <w:r w:rsidR="00060671">
        <w:rPr>
          <w:rFonts w:ascii="Times New Roman" w:hAnsi="Times New Roman" w:hint="eastAsia"/>
          <w:noProof/>
          <w:lang w:val="en-GB"/>
        </w:rPr>
        <w:t>h</w:t>
      </w:r>
      <w:r w:rsidRPr="0022264C">
        <w:rPr>
          <w:rFonts w:ascii="Times New Roman" w:hAnsi="Times New Roman"/>
          <w:noProof/>
          <w:lang w:val="en-GB"/>
        </w:rPr>
        <w:t xml:space="preserve">oldings to </w:t>
      </w:r>
      <w:r w:rsidR="00060671">
        <w:rPr>
          <w:rFonts w:ascii="Times New Roman" w:hAnsi="Times New Roman" w:hint="eastAsia"/>
          <w:noProof/>
          <w:lang w:val="en-GB"/>
        </w:rPr>
        <w:t>c</w:t>
      </w:r>
      <w:r w:rsidRPr="0022264C">
        <w:rPr>
          <w:rFonts w:ascii="Times New Roman" w:hAnsi="Times New Roman"/>
          <w:noProof/>
          <w:lang w:val="en-GB"/>
        </w:rPr>
        <w:t xml:space="preserve">orporate </w:t>
      </w:r>
      <w:r w:rsidR="00060671">
        <w:rPr>
          <w:rFonts w:ascii="Times New Roman" w:hAnsi="Times New Roman" w:hint="eastAsia"/>
          <w:noProof/>
          <w:lang w:val="en-GB"/>
        </w:rPr>
        <w:t>g</w:t>
      </w:r>
      <w:r w:rsidRPr="0022264C">
        <w:rPr>
          <w:rFonts w:ascii="Times New Roman" w:hAnsi="Times New Roman"/>
          <w:noProof/>
          <w:lang w:val="en-GB"/>
        </w:rPr>
        <w:t xml:space="preserve">overnance. </w:t>
      </w:r>
      <w:r w:rsidRPr="0022264C">
        <w:rPr>
          <w:rFonts w:ascii="Times New Roman" w:hAnsi="Times New Roman"/>
          <w:i/>
          <w:noProof/>
          <w:lang w:val="en-GB"/>
        </w:rPr>
        <w:t>Review of Financial Studies, 25</w:t>
      </w:r>
      <w:r w:rsidRPr="0022264C">
        <w:rPr>
          <w:rFonts w:ascii="Times New Roman" w:hAnsi="Times New Roman"/>
          <w:noProof/>
          <w:lang w:val="en-GB"/>
        </w:rPr>
        <w:t xml:space="preserve">(2), 3610-3644. </w:t>
      </w:r>
      <w:bookmarkEnd w:id="7"/>
    </w:p>
    <w:p w:rsidR="00256B40" w:rsidRPr="0022264C" w:rsidRDefault="00256B40" w:rsidP="006E55FB">
      <w:pPr>
        <w:pStyle w:val="a3"/>
        <w:numPr>
          <w:ilvl w:val="0"/>
          <w:numId w:val="3"/>
        </w:numPr>
        <w:ind w:leftChars="0"/>
        <w:jc w:val="both"/>
        <w:rPr>
          <w:rFonts w:ascii="Times New Roman" w:hAnsi="Times New Roman"/>
          <w:noProof/>
          <w:lang w:val="en-GB"/>
        </w:rPr>
      </w:pPr>
      <w:bookmarkStart w:id="8" w:name="_ENREF_9"/>
      <w:r w:rsidRPr="0022264C">
        <w:rPr>
          <w:rFonts w:ascii="Times New Roman" w:hAnsi="Times New Roman"/>
          <w:noProof/>
          <w:lang w:val="en-GB"/>
        </w:rPr>
        <w:t xml:space="preserve">Chen, X., Sun, Y., and Xu, X. (2015). Free </w:t>
      </w:r>
      <w:r w:rsidR="00060671">
        <w:rPr>
          <w:rFonts w:ascii="Times New Roman" w:hAnsi="Times New Roman" w:hint="eastAsia"/>
          <w:noProof/>
          <w:lang w:val="en-GB"/>
        </w:rPr>
        <w:t>c</w:t>
      </w:r>
      <w:r w:rsidRPr="0022264C">
        <w:rPr>
          <w:rFonts w:ascii="Times New Roman" w:hAnsi="Times New Roman"/>
          <w:noProof/>
          <w:lang w:val="en-GB"/>
        </w:rPr>
        <w:t xml:space="preserve">ash </w:t>
      </w:r>
      <w:r w:rsidR="00060671">
        <w:rPr>
          <w:rFonts w:ascii="Times New Roman" w:hAnsi="Times New Roman" w:hint="eastAsia"/>
          <w:noProof/>
          <w:lang w:val="en-GB"/>
        </w:rPr>
        <w:t>f</w:t>
      </w:r>
      <w:r w:rsidRPr="0022264C">
        <w:rPr>
          <w:rFonts w:ascii="Times New Roman" w:hAnsi="Times New Roman"/>
          <w:noProof/>
          <w:lang w:val="en-GB"/>
        </w:rPr>
        <w:t xml:space="preserve">low, </w:t>
      </w:r>
      <w:r w:rsidR="00060671">
        <w:rPr>
          <w:rFonts w:ascii="Times New Roman" w:hAnsi="Times New Roman" w:hint="eastAsia"/>
          <w:noProof/>
          <w:lang w:val="en-GB"/>
        </w:rPr>
        <w:t>o</w:t>
      </w:r>
      <w:r w:rsidRPr="0022264C">
        <w:rPr>
          <w:rFonts w:ascii="Times New Roman" w:hAnsi="Times New Roman"/>
          <w:noProof/>
          <w:lang w:val="en-GB"/>
        </w:rPr>
        <w:t>ver-</w:t>
      </w:r>
      <w:r w:rsidR="00060671">
        <w:rPr>
          <w:rFonts w:ascii="Times New Roman" w:hAnsi="Times New Roman" w:hint="eastAsia"/>
          <w:noProof/>
          <w:lang w:val="en-GB"/>
        </w:rPr>
        <w:t>i</w:t>
      </w:r>
      <w:r w:rsidRPr="0022264C">
        <w:rPr>
          <w:rFonts w:ascii="Times New Roman" w:hAnsi="Times New Roman"/>
          <w:noProof/>
          <w:lang w:val="en-GB"/>
        </w:rPr>
        <w:t xml:space="preserve">nvestment and </w:t>
      </w:r>
      <w:r w:rsidR="00060671">
        <w:rPr>
          <w:rFonts w:ascii="Times New Roman" w:hAnsi="Times New Roman" w:hint="eastAsia"/>
          <w:noProof/>
          <w:lang w:val="en-GB"/>
        </w:rPr>
        <w:t>c</w:t>
      </w:r>
      <w:r w:rsidRPr="0022264C">
        <w:rPr>
          <w:rFonts w:ascii="Times New Roman" w:hAnsi="Times New Roman"/>
          <w:noProof/>
          <w:lang w:val="en-GB"/>
        </w:rPr>
        <w:t xml:space="preserve">orporate </w:t>
      </w:r>
      <w:r w:rsidR="00060671">
        <w:rPr>
          <w:rFonts w:ascii="Times New Roman" w:hAnsi="Times New Roman" w:hint="eastAsia"/>
          <w:noProof/>
          <w:lang w:val="en-GB"/>
        </w:rPr>
        <w:t>g</w:t>
      </w:r>
      <w:r w:rsidRPr="0022264C">
        <w:rPr>
          <w:rFonts w:ascii="Times New Roman" w:hAnsi="Times New Roman"/>
          <w:noProof/>
          <w:lang w:val="en-GB"/>
        </w:rPr>
        <w:t xml:space="preserve">overnance in China. </w:t>
      </w:r>
      <w:r w:rsidRPr="0022264C">
        <w:rPr>
          <w:rFonts w:ascii="Times New Roman" w:hAnsi="Times New Roman"/>
          <w:i/>
          <w:noProof/>
          <w:lang w:val="en-GB"/>
        </w:rPr>
        <w:t>Pacific-Basin Finance Journal, In Press</w:t>
      </w:r>
      <w:r w:rsidRPr="0022264C">
        <w:rPr>
          <w:rFonts w:ascii="Times New Roman" w:hAnsi="Times New Roman"/>
          <w:noProof/>
          <w:lang w:val="en-GB"/>
        </w:rPr>
        <w:t xml:space="preserve">. </w:t>
      </w:r>
      <w:bookmarkEnd w:id="8"/>
    </w:p>
    <w:p w:rsidR="00256B40" w:rsidRPr="0022264C" w:rsidRDefault="00256B40" w:rsidP="006E55FB">
      <w:pPr>
        <w:pStyle w:val="a3"/>
        <w:numPr>
          <w:ilvl w:val="0"/>
          <w:numId w:val="3"/>
        </w:numPr>
        <w:ind w:leftChars="0"/>
        <w:jc w:val="both"/>
        <w:rPr>
          <w:rFonts w:ascii="Times New Roman" w:hAnsi="Times New Roman"/>
          <w:noProof/>
          <w:lang w:val="en-GB"/>
        </w:rPr>
      </w:pPr>
      <w:bookmarkStart w:id="9" w:name="_ENREF_10"/>
      <w:r w:rsidRPr="0022264C">
        <w:rPr>
          <w:rFonts w:ascii="Times New Roman" w:hAnsi="Times New Roman"/>
          <w:noProof/>
          <w:lang w:val="en-GB"/>
        </w:rPr>
        <w:t xml:space="preserve">Chi, J. D., and Lee, D. S. (2010). The conditional nature of the value of corporate governance. </w:t>
      </w:r>
      <w:r w:rsidRPr="0022264C">
        <w:rPr>
          <w:rFonts w:ascii="Times New Roman" w:hAnsi="Times New Roman"/>
          <w:i/>
          <w:noProof/>
          <w:lang w:val="en-GB"/>
        </w:rPr>
        <w:t>Journal of Banking and Finance, 34</w:t>
      </w:r>
      <w:r w:rsidRPr="0022264C">
        <w:rPr>
          <w:rFonts w:ascii="Times New Roman" w:hAnsi="Times New Roman"/>
          <w:noProof/>
          <w:lang w:val="en-GB"/>
        </w:rPr>
        <w:t xml:space="preserve">(2), 350-361. </w:t>
      </w:r>
      <w:bookmarkEnd w:id="9"/>
    </w:p>
    <w:p w:rsidR="00256B40" w:rsidRPr="0022264C" w:rsidRDefault="00256B40" w:rsidP="006E55FB">
      <w:pPr>
        <w:pStyle w:val="a3"/>
        <w:numPr>
          <w:ilvl w:val="0"/>
          <w:numId w:val="3"/>
        </w:numPr>
        <w:ind w:leftChars="0"/>
        <w:jc w:val="both"/>
        <w:rPr>
          <w:rFonts w:ascii="Times New Roman" w:hAnsi="Times New Roman"/>
          <w:noProof/>
          <w:lang w:val="en-GB"/>
        </w:rPr>
      </w:pPr>
      <w:bookmarkStart w:id="10" w:name="_ENREF_11"/>
      <w:r w:rsidRPr="0022264C">
        <w:rPr>
          <w:rFonts w:ascii="Times New Roman" w:hAnsi="Times New Roman"/>
          <w:noProof/>
          <w:lang w:val="en-GB"/>
        </w:rPr>
        <w:t xml:space="preserve">Chung, R., Firth, M., and Kim, J. B. (2005). FCF agency costs, earnings management and investor monitoring. </w:t>
      </w:r>
      <w:r w:rsidRPr="0022264C">
        <w:rPr>
          <w:rFonts w:ascii="Times New Roman" w:hAnsi="Times New Roman"/>
          <w:i/>
          <w:noProof/>
          <w:lang w:val="en-GB"/>
        </w:rPr>
        <w:t>Corporate Ownership and Control, 2</w:t>
      </w:r>
      <w:r w:rsidRPr="0022264C">
        <w:rPr>
          <w:rFonts w:ascii="Times New Roman" w:hAnsi="Times New Roman"/>
          <w:noProof/>
          <w:lang w:val="en-GB"/>
        </w:rPr>
        <w:t xml:space="preserve">(4), 51-61. </w:t>
      </w:r>
      <w:bookmarkEnd w:id="10"/>
    </w:p>
    <w:p w:rsidR="00256B40" w:rsidRPr="0022264C" w:rsidRDefault="00256B40" w:rsidP="006E55FB">
      <w:pPr>
        <w:pStyle w:val="a3"/>
        <w:numPr>
          <w:ilvl w:val="0"/>
          <w:numId w:val="3"/>
        </w:numPr>
        <w:ind w:leftChars="0"/>
        <w:jc w:val="both"/>
        <w:rPr>
          <w:rFonts w:ascii="Times New Roman" w:hAnsi="Times New Roman"/>
          <w:noProof/>
          <w:lang w:val="en-GB"/>
        </w:rPr>
      </w:pPr>
      <w:bookmarkStart w:id="11" w:name="_ENREF_12"/>
      <w:r w:rsidRPr="0022264C">
        <w:rPr>
          <w:rFonts w:ascii="Times New Roman" w:hAnsi="Times New Roman"/>
          <w:noProof/>
          <w:lang w:val="en-GB"/>
        </w:rPr>
        <w:t xml:space="preserve">Coles, J., Daniel, N., and Naveen, L. (2008). Boards: Does one size fit all? </w:t>
      </w:r>
      <w:r w:rsidRPr="0022264C">
        <w:rPr>
          <w:rFonts w:ascii="Times New Roman" w:hAnsi="Times New Roman"/>
          <w:i/>
          <w:noProof/>
          <w:lang w:val="en-GB"/>
        </w:rPr>
        <w:t>Journal of Financial Economics, 87</w:t>
      </w:r>
      <w:r w:rsidRPr="0022264C">
        <w:rPr>
          <w:rFonts w:ascii="Times New Roman" w:hAnsi="Times New Roman"/>
          <w:noProof/>
          <w:lang w:val="en-GB"/>
        </w:rPr>
        <w:t xml:space="preserve">, 329-356. </w:t>
      </w:r>
      <w:bookmarkEnd w:id="11"/>
    </w:p>
    <w:p w:rsidR="00256B40" w:rsidRPr="0022264C" w:rsidRDefault="00256B40" w:rsidP="006E55FB">
      <w:pPr>
        <w:pStyle w:val="a3"/>
        <w:numPr>
          <w:ilvl w:val="0"/>
          <w:numId w:val="3"/>
        </w:numPr>
        <w:ind w:leftChars="0"/>
        <w:jc w:val="both"/>
        <w:rPr>
          <w:rFonts w:ascii="Times New Roman" w:hAnsi="Times New Roman"/>
          <w:noProof/>
          <w:lang w:val="en-GB"/>
        </w:rPr>
      </w:pPr>
      <w:bookmarkStart w:id="12" w:name="_ENREF_13"/>
      <w:r w:rsidRPr="0022264C">
        <w:rPr>
          <w:rFonts w:ascii="Times New Roman" w:hAnsi="Times New Roman"/>
          <w:noProof/>
          <w:lang w:val="en-GB"/>
        </w:rPr>
        <w:t xml:space="preserve">Denis, D., and Osobov, I. (2008). Why do firms pay dividends? International </w:t>
      </w:r>
      <w:r w:rsidRPr="0022264C">
        <w:rPr>
          <w:rFonts w:ascii="Times New Roman" w:hAnsi="Times New Roman"/>
          <w:noProof/>
          <w:lang w:val="en-GB"/>
        </w:rPr>
        <w:lastRenderedPageBreak/>
        <w:t xml:space="preserve">evidence on the determinants of dividend policy. </w:t>
      </w:r>
      <w:r w:rsidRPr="0022264C">
        <w:rPr>
          <w:rFonts w:ascii="Times New Roman" w:hAnsi="Times New Roman"/>
          <w:i/>
          <w:noProof/>
          <w:lang w:val="en-GB"/>
        </w:rPr>
        <w:t>Journal of Financial Economics, 89</w:t>
      </w:r>
      <w:r w:rsidRPr="0022264C">
        <w:rPr>
          <w:rFonts w:ascii="Times New Roman" w:hAnsi="Times New Roman"/>
          <w:noProof/>
          <w:lang w:val="en-GB"/>
        </w:rPr>
        <w:t xml:space="preserve">, 62-82. </w:t>
      </w:r>
      <w:bookmarkEnd w:id="12"/>
    </w:p>
    <w:p w:rsidR="00256B40" w:rsidRPr="0022264C" w:rsidRDefault="00256B40" w:rsidP="006E55FB">
      <w:pPr>
        <w:pStyle w:val="a3"/>
        <w:numPr>
          <w:ilvl w:val="0"/>
          <w:numId w:val="3"/>
        </w:numPr>
        <w:ind w:leftChars="0"/>
        <w:jc w:val="both"/>
        <w:rPr>
          <w:rFonts w:ascii="Times New Roman" w:hAnsi="Times New Roman"/>
          <w:noProof/>
          <w:lang w:val="en-GB"/>
        </w:rPr>
      </w:pPr>
      <w:bookmarkStart w:id="13" w:name="_ENREF_14"/>
      <w:r w:rsidRPr="0022264C">
        <w:rPr>
          <w:rFonts w:ascii="Times New Roman" w:hAnsi="Times New Roman"/>
          <w:noProof/>
          <w:lang w:val="en-GB"/>
        </w:rPr>
        <w:t xml:space="preserve">Fama, E. F., and French, K. R. (2001). Disappearing dividends: Changing firm characteristics or lower propensity to pay. </w:t>
      </w:r>
      <w:r w:rsidRPr="0022264C">
        <w:rPr>
          <w:rFonts w:ascii="Times New Roman" w:hAnsi="Times New Roman"/>
          <w:i/>
          <w:noProof/>
          <w:lang w:val="en-GB"/>
        </w:rPr>
        <w:t>Journal of Financial Economics, 60</w:t>
      </w:r>
      <w:r w:rsidRPr="0022264C">
        <w:rPr>
          <w:rFonts w:ascii="Times New Roman" w:hAnsi="Times New Roman"/>
          <w:noProof/>
          <w:lang w:val="en-GB"/>
        </w:rPr>
        <w:t xml:space="preserve">, 3-43. </w:t>
      </w:r>
      <w:bookmarkEnd w:id="13"/>
    </w:p>
    <w:p w:rsidR="00256B40" w:rsidRPr="0022264C" w:rsidRDefault="00256B40" w:rsidP="006E55FB">
      <w:pPr>
        <w:pStyle w:val="a3"/>
        <w:numPr>
          <w:ilvl w:val="0"/>
          <w:numId w:val="3"/>
        </w:numPr>
        <w:ind w:leftChars="0"/>
        <w:jc w:val="both"/>
        <w:rPr>
          <w:rFonts w:ascii="Times New Roman" w:hAnsi="Times New Roman"/>
          <w:noProof/>
          <w:lang w:val="en-GB"/>
        </w:rPr>
      </w:pPr>
      <w:bookmarkStart w:id="14" w:name="_ENREF_15"/>
      <w:r w:rsidRPr="0022264C">
        <w:rPr>
          <w:rFonts w:ascii="Times New Roman" w:hAnsi="Times New Roman"/>
          <w:noProof/>
          <w:lang w:val="en-GB"/>
        </w:rPr>
        <w:t xml:space="preserve">Fama, E. F., and Jensen, M. C. (1983). Separation of ownership and control. </w:t>
      </w:r>
      <w:r w:rsidRPr="0022264C">
        <w:rPr>
          <w:rFonts w:ascii="Times New Roman" w:hAnsi="Times New Roman"/>
          <w:i/>
          <w:noProof/>
          <w:lang w:val="en-GB"/>
        </w:rPr>
        <w:t>Journal of Law and Economics, 26</w:t>
      </w:r>
      <w:r w:rsidRPr="0022264C">
        <w:rPr>
          <w:rFonts w:ascii="Times New Roman" w:hAnsi="Times New Roman"/>
          <w:noProof/>
          <w:lang w:val="en-GB"/>
        </w:rPr>
        <w:t xml:space="preserve">, 301-325. </w:t>
      </w:r>
      <w:bookmarkEnd w:id="14"/>
    </w:p>
    <w:p w:rsidR="00256B40" w:rsidRPr="0022264C" w:rsidRDefault="00256B40" w:rsidP="006E55FB">
      <w:pPr>
        <w:pStyle w:val="a3"/>
        <w:numPr>
          <w:ilvl w:val="0"/>
          <w:numId w:val="3"/>
        </w:numPr>
        <w:ind w:leftChars="0"/>
        <w:jc w:val="both"/>
        <w:rPr>
          <w:rFonts w:ascii="Times New Roman" w:hAnsi="Times New Roman"/>
          <w:noProof/>
          <w:lang w:val="en-GB"/>
        </w:rPr>
      </w:pPr>
      <w:bookmarkStart w:id="15" w:name="_ENREF_16"/>
      <w:r w:rsidRPr="0022264C">
        <w:rPr>
          <w:rFonts w:ascii="Times New Roman" w:hAnsi="Times New Roman"/>
          <w:noProof/>
          <w:lang w:val="en-GB"/>
        </w:rPr>
        <w:t xml:space="preserve">Fatma, B. M., and Chichti, J. (2011). Interactions between </w:t>
      </w:r>
      <w:r w:rsidR="00060671">
        <w:rPr>
          <w:rFonts w:ascii="Times New Roman" w:hAnsi="Times New Roman" w:hint="eastAsia"/>
          <w:noProof/>
          <w:lang w:val="en-GB"/>
        </w:rPr>
        <w:t>f</w:t>
      </w:r>
      <w:r w:rsidRPr="0022264C">
        <w:rPr>
          <w:rFonts w:ascii="Times New Roman" w:hAnsi="Times New Roman"/>
          <w:noProof/>
          <w:lang w:val="en-GB"/>
        </w:rPr>
        <w:t xml:space="preserve">ree </w:t>
      </w:r>
      <w:r w:rsidR="00060671">
        <w:rPr>
          <w:rFonts w:ascii="Times New Roman" w:hAnsi="Times New Roman" w:hint="eastAsia"/>
          <w:noProof/>
          <w:lang w:val="en-GB"/>
        </w:rPr>
        <w:t>c</w:t>
      </w:r>
      <w:r w:rsidRPr="0022264C">
        <w:rPr>
          <w:rFonts w:ascii="Times New Roman" w:hAnsi="Times New Roman"/>
          <w:noProof/>
          <w:lang w:val="en-GB"/>
        </w:rPr>
        <w:t xml:space="preserve">ash </w:t>
      </w:r>
      <w:r w:rsidR="00060671">
        <w:rPr>
          <w:rFonts w:ascii="Times New Roman" w:hAnsi="Times New Roman" w:hint="eastAsia"/>
          <w:noProof/>
          <w:lang w:val="en-GB"/>
        </w:rPr>
        <w:t>f</w:t>
      </w:r>
      <w:r w:rsidRPr="0022264C">
        <w:rPr>
          <w:rFonts w:ascii="Times New Roman" w:hAnsi="Times New Roman"/>
          <w:noProof/>
          <w:lang w:val="en-GB"/>
        </w:rPr>
        <w:t xml:space="preserve">low, </w:t>
      </w:r>
      <w:r w:rsidR="00060671">
        <w:rPr>
          <w:rFonts w:ascii="Times New Roman" w:hAnsi="Times New Roman" w:hint="eastAsia"/>
          <w:noProof/>
          <w:lang w:val="en-GB"/>
        </w:rPr>
        <w:t>d</w:t>
      </w:r>
      <w:r w:rsidRPr="0022264C">
        <w:rPr>
          <w:rFonts w:ascii="Times New Roman" w:hAnsi="Times New Roman"/>
          <w:noProof/>
          <w:lang w:val="en-GB"/>
        </w:rPr>
        <w:t xml:space="preserve">ebt </w:t>
      </w:r>
      <w:r w:rsidR="00060671">
        <w:rPr>
          <w:rFonts w:ascii="Times New Roman" w:hAnsi="Times New Roman" w:hint="eastAsia"/>
          <w:noProof/>
          <w:lang w:val="en-GB"/>
        </w:rPr>
        <w:t>p</w:t>
      </w:r>
      <w:r w:rsidRPr="0022264C">
        <w:rPr>
          <w:rFonts w:ascii="Times New Roman" w:hAnsi="Times New Roman"/>
          <w:noProof/>
          <w:lang w:val="en-GB"/>
        </w:rPr>
        <w:t xml:space="preserve">olicy and </w:t>
      </w:r>
      <w:r w:rsidR="00060671">
        <w:rPr>
          <w:rFonts w:ascii="Times New Roman" w:hAnsi="Times New Roman" w:hint="eastAsia"/>
          <w:noProof/>
          <w:lang w:val="en-GB"/>
        </w:rPr>
        <w:t>s</w:t>
      </w:r>
      <w:r w:rsidRPr="0022264C">
        <w:rPr>
          <w:rFonts w:ascii="Times New Roman" w:hAnsi="Times New Roman"/>
          <w:noProof/>
          <w:lang w:val="en-GB"/>
        </w:rPr>
        <w:t xml:space="preserve">tructure of </w:t>
      </w:r>
      <w:r w:rsidR="00060671">
        <w:rPr>
          <w:rFonts w:ascii="Times New Roman" w:hAnsi="Times New Roman" w:hint="eastAsia"/>
          <w:noProof/>
          <w:lang w:val="en-GB"/>
        </w:rPr>
        <w:t>g</w:t>
      </w:r>
      <w:r w:rsidRPr="0022264C">
        <w:rPr>
          <w:rFonts w:ascii="Times New Roman" w:hAnsi="Times New Roman"/>
          <w:noProof/>
          <w:lang w:val="en-GB"/>
        </w:rPr>
        <w:t xml:space="preserve">overnance: Three </w:t>
      </w:r>
      <w:r w:rsidR="00060671">
        <w:rPr>
          <w:rFonts w:ascii="Times New Roman" w:hAnsi="Times New Roman" w:hint="eastAsia"/>
          <w:noProof/>
          <w:lang w:val="en-GB"/>
        </w:rPr>
        <w:t>s</w:t>
      </w:r>
      <w:r w:rsidRPr="0022264C">
        <w:rPr>
          <w:rFonts w:ascii="Times New Roman" w:hAnsi="Times New Roman"/>
          <w:noProof/>
          <w:lang w:val="en-GB"/>
        </w:rPr>
        <w:t xml:space="preserve">tage </w:t>
      </w:r>
      <w:r w:rsidR="00060671">
        <w:rPr>
          <w:rFonts w:ascii="Times New Roman" w:hAnsi="Times New Roman" w:hint="eastAsia"/>
          <w:noProof/>
          <w:lang w:val="en-GB"/>
        </w:rPr>
        <w:t>l</w:t>
      </w:r>
      <w:r w:rsidRPr="0022264C">
        <w:rPr>
          <w:rFonts w:ascii="Times New Roman" w:hAnsi="Times New Roman"/>
          <w:noProof/>
          <w:lang w:val="en-GB"/>
        </w:rPr>
        <w:t xml:space="preserve">east </w:t>
      </w:r>
      <w:r w:rsidR="00060671">
        <w:rPr>
          <w:rFonts w:ascii="Times New Roman" w:hAnsi="Times New Roman" w:hint="eastAsia"/>
          <w:noProof/>
          <w:lang w:val="en-GB"/>
        </w:rPr>
        <w:t>s</w:t>
      </w:r>
      <w:r w:rsidRPr="0022264C">
        <w:rPr>
          <w:rFonts w:ascii="Times New Roman" w:hAnsi="Times New Roman"/>
          <w:noProof/>
          <w:lang w:val="en-GB"/>
        </w:rPr>
        <w:t xml:space="preserve">quare </w:t>
      </w:r>
      <w:r w:rsidR="00060671">
        <w:rPr>
          <w:rFonts w:ascii="Times New Roman" w:hAnsi="Times New Roman" w:hint="eastAsia"/>
          <w:noProof/>
          <w:lang w:val="en-GB"/>
        </w:rPr>
        <w:t>s</w:t>
      </w:r>
      <w:r w:rsidRPr="0022264C">
        <w:rPr>
          <w:rFonts w:ascii="Times New Roman" w:hAnsi="Times New Roman"/>
          <w:noProof/>
          <w:lang w:val="en-GB"/>
        </w:rPr>
        <w:t xml:space="preserve">imultaneous </w:t>
      </w:r>
      <w:r w:rsidR="00060671">
        <w:rPr>
          <w:rFonts w:ascii="Times New Roman" w:hAnsi="Times New Roman" w:hint="eastAsia"/>
          <w:noProof/>
          <w:lang w:val="en-GB"/>
        </w:rPr>
        <w:t>m</w:t>
      </w:r>
      <w:r w:rsidRPr="0022264C">
        <w:rPr>
          <w:rFonts w:ascii="Times New Roman" w:hAnsi="Times New Roman"/>
          <w:noProof/>
          <w:lang w:val="en-GB"/>
        </w:rPr>
        <w:t xml:space="preserve">odel </w:t>
      </w:r>
      <w:r w:rsidR="00060671">
        <w:rPr>
          <w:rFonts w:ascii="Times New Roman" w:hAnsi="Times New Roman" w:hint="eastAsia"/>
          <w:noProof/>
          <w:lang w:val="en-GB"/>
        </w:rPr>
        <w:t>a</w:t>
      </w:r>
      <w:r w:rsidRPr="0022264C">
        <w:rPr>
          <w:rFonts w:ascii="Times New Roman" w:hAnsi="Times New Roman"/>
          <w:noProof/>
          <w:lang w:val="en-GB"/>
        </w:rPr>
        <w:t xml:space="preserve">pproach. </w:t>
      </w:r>
      <w:r w:rsidRPr="0022264C">
        <w:rPr>
          <w:rFonts w:ascii="Times New Roman" w:hAnsi="Times New Roman"/>
          <w:i/>
          <w:noProof/>
          <w:lang w:val="en-GB"/>
        </w:rPr>
        <w:t>Journal of Management Research, 3</w:t>
      </w:r>
      <w:r w:rsidRPr="0022264C">
        <w:rPr>
          <w:rFonts w:ascii="Times New Roman" w:hAnsi="Times New Roman"/>
          <w:noProof/>
          <w:lang w:val="en-GB"/>
        </w:rPr>
        <w:t xml:space="preserve">(2), 1-34. </w:t>
      </w:r>
      <w:bookmarkEnd w:id="15"/>
    </w:p>
    <w:p w:rsidR="00256B40" w:rsidRPr="0022264C" w:rsidRDefault="00256B40" w:rsidP="006E55FB">
      <w:pPr>
        <w:pStyle w:val="a3"/>
        <w:numPr>
          <w:ilvl w:val="0"/>
          <w:numId w:val="3"/>
        </w:numPr>
        <w:ind w:leftChars="0"/>
        <w:jc w:val="both"/>
        <w:rPr>
          <w:rFonts w:ascii="Times New Roman" w:hAnsi="Times New Roman"/>
          <w:noProof/>
          <w:lang w:val="en-GB"/>
        </w:rPr>
      </w:pPr>
      <w:bookmarkStart w:id="16" w:name="_ENREF_17"/>
      <w:r w:rsidRPr="0022264C">
        <w:rPr>
          <w:rFonts w:ascii="Times New Roman" w:hAnsi="Times New Roman"/>
          <w:noProof/>
          <w:lang w:val="en-GB"/>
        </w:rPr>
        <w:t xml:space="preserve">Francis, B., Hasan, I., Song, L., and Waisman, M. (2013). Corporate governance and investment-cash flow sensitivity: Evidence from emerging markets. </w:t>
      </w:r>
      <w:r w:rsidRPr="0022264C">
        <w:rPr>
          <w:rFonts w:ascii="Times New Roman" w:hAnsi="Times New Roman"/>
          <w:i/>
          <w:noProof/>
          <w:lang w:val="en-GB"/>
        </w:rPr>
        <w:t>Emerging Markets Review, 15</w:t>
      </w:r>
      <w:r w:rsidRPr="0022264C">
        <w:rPr>
          <w:rFonts w:ascii="Times New Roman" w:hAnsi="Times New Roman"/>
          <w:noProof/>
          <w:lang w:val="en-GB"/>
        </w:rPr>
        <w:t xml:space="preserve">, 57-71. </w:t>
      </w:r>
      <w:bookmarkEnd w:id="16"/>
    </w:p>
    <w:p w:rsidR="00256B40" w:rsidRPr="0022264C" w:rsidRDefault="00256B40" w:rsidP="006E55FB">
      <w:pPr>
        <w:pStyle w:val="a3"/>
        <w:numPr>
          <w:ilvl w:val="0"/>
          <w:numId w:val="3"/>
        </w:numPr>
        <w:ind w:leftChars="0"/>
        <w:jc w:val="both"/>
        <w:rPr>
          <w:rFonts w:ascii="Times New Roman" w:hAnsi="Times New Roman"/>
          <w:noProof/>
          <w:lang w:val="en-GB"/>
        </w:rPr>
      </w:pPr>
      <w:bookmarkStart w:id="17" w:name="_ENREF_18"/>
      <w:r w:rsidRPr="0022264C">
        <w:rPr>
          <w:rFonts w:ascii="Times New Roman" w:hAnsi="Times New Roman"/>
          <w:noProof/>
          <w:lang w:val="en-GB"/>
        </w:rPr>
        <w:t xml:space="preserve">Gregory, A. (2005). The long run abnormal performance of UK acquirers and the free cash flow hypothesis. </w:t>
      </w:r>
      <w:r w:rsidRPr="0022264C">
        <w:rPr>
          <w:rFonts w:ascii="Times New Roman" w:hAnsi="Times New Roman"/>
          <w:i/>
          <w:noProof/>
          <w:lang w:val="en-GB"/>
        </w:rPr>
        <w:t>Journal of Business Finance and Accounting, 32</w:t>
      </w:r>
      <w:r w:rsidRPr="0022264C">
        <w:rPr>
          <w:rFonts w:ascii="Times New Roman" w:hAnsi="Times New Roman"/>
          <w:noProof/>
          <w:lang w:val="en-GB"/>
        </w:rPr>
        <w:t xml:space="preserve">(5), 777-814. </w:t>
      </w:r>
      <w:bookmarkEnd w:id="17"/>
    </w:p>
    <w:p w:rsidR="00256B40" w:rsidRPr="0022264C" w:rsidRDefault="00256B40" w:rsidP="006E55FB">
      <w:pPr>
        <w:pStyle w:val="a3"/>
        <w:numPr>
          <w:ilvl w:val="0"/>
          <w:numId w:val="3"/>
        </w:numPr>
        <w:ind w:leftChars="0"/>
        <w:jc w:val="both"/>
        <w:rPr>
          <w:rFonts w:ascii="Times New Roman" w:hAnsi="Times New Roman"/>
          <w:noProof/>
          <w:lang w:val="en-GB"/>
        </w:rPr>
      </w:pPr>
      <w:bookmarkStart w:id="18" w:name="_ENREF_19"/>
      <w:r w:rsidRPr="0022264C">
        <w:rPr>
          <w:rFonts w:ascii="Times New Roman" w:hAnsi="Times New Roman"/>
          <w:noProof/>
          <w:lang w:val="en-GB"/>
        </w:rPr>
        <w:t xml:space="preserve">Jensen, M. C. (1986). Agency costs of free cash flow, corporate finance, and takeovers. </w:t>
      </w:r>
      <w:r w:rsidRPr="0022264C">
        <w:rPr>
          <w:rFonts w:ascii="Times New Roman" w:hAnsi="Times New Roman"/>
          <w:i/>
          <w:noProof/>
          <w:lang w:val="en-GB"/>
        </w:rPr>
        <w:t>American Economic Review, 76</w:t>
      </w:r>
      <w:r w:rsidRPr="0022264C">
        <w:rPr>
          <w:rFonts w:ascii="Times New Roman" w:hAnsi="Times New Roman"/>
          <w:noProof/>
          <w:lang w:val="en-GB"/>
        </w:rPr>
        <w:t xml:space="preserve">(2), 323-329. </w:t>
      </w:r>
      <w:bookmarkEnd w:id="18"/>
    </w:p>
    <w:p w:rsidR="00256B40" w:rsidRPr="0022264C" w:rsidRDefault="00256B40" w:rsidP="006E55FB">
      <w:pPr>
        <w:pStyle w:val="a3"/>
        <w:numPr>
          <w:ilvl w:val="0"/>
          <w:numId w:val="3"/>
        </w:numPr>
        <w:ind w:leftChars="0"/>
        <w:jc w:val="both"/>
        <w:rPr>
          <w:rFonts w:ascii="Times New Roman" w:hAnsi="Times New Roman"/>
          <w:noProof/>
          <w:lang w:val="en-GB"/>
        </w:rPr>
      </w:pPr>
      <w:bookmarkStart w:id="19" w:name="_ENREF_20"/>
      <w:r w:rsidRPr="0022264C">
        <w:rPr>
          <w:rFonts w:ascii="Times New Roman" w:hAnsi="Times New Roman"/>
          <w:noProof/>
          <w:lang w:val="en-GB"/>
        </w:rPr>
        <w:t xml:space="preserve">Jensen, M. C. (1993). The modern industrial revolution, exit, and the failure of internal control systems. </w:t>
      </w:r>
      <w:r w:rsidRPr="0022264C">
        <w:rPr>
          <w:rFonts w:ascii="Times New Roman" w:hAnsi="Times New Roman"/>
          <w:i/>
          <w:noProof/>
          <w:lang w:val="en-GB"/>
        </w:rPr>
        <w:t>Journal of Finance, 48</w:t>
      </w:r>
      <w:r w:rsidRPr="0022264C">
        <w:rPr>
          <w:rFonts w:ascii="Times New Roman" w:hAnsi="Times New Roman"/>
          <w:noProof/>
          <w:lang w:val="en-GB"/>
        </w:rPr>
        <w:t xml:space="preserve">(3), 831-880. </w:t>
      </w:r>
      <w:bookmarkEnd w:id="19"/>
    </w:p>
    <w:p w:rsidR="00256B40" w:rsidRPr="0022264C" w:rsidRDefault="00256B40" w:rsidP="006E55FB">
      <w:pPr>
        <w:pStyle w:val="a3"/>
        <w:numPr>
          <w:ilvl w:val="0"/>
          <w:numId w:val="3"/>
        </w:numPr>
        <w:ind w:leftChars="0"/>
        <w:jc w:val="both"/>
        <w:rPr>
          <w:rFonts w:ascii="Times New Roman" w:hAnsi="Times New Roman"/>
          <w:noProof/>
          <w:lang w:val="en-GB"/>
        </w:rPr>
      </w:pPr>
      <w:bookmarkStart w:id="20" w:name="_ENREF_21"/>
      <w:r w:rsidRPr="0022264C">
        <w:rPr>
          <w:rFonts w:ascii="Times New Roman" w:hAnsi="Times New Roman"/>
          <w:noProof/>
          <w:lang w:val="en-GB"/>
        </w:rPr>
        <w:t xml:space="preserve">Jensen, M. C., and Meckling, W. H. (1976). Theory of the firm: Managerial behavior, agency costs and ownership structure. </w:t>
      </w:r>
      <w:r w:rsidRPr="0022264C">
        <w:rPr>
          <w:rFonts w:ascii="Times New Roman" w:hAnsi="Times New Roman"/>
          <w:i/>
          <w:noProof/>
          <w:lang w:val="en-GB"/>
        </w:rPr>
        <w:t>Journal of Financial Economics, 3</w:t>
      </w:r>
      <w:r w:rsidRPr="0022264C">
        <w:rPr>
          <w:rFonts w:ascii="Times New Roman" w:hAnsi="Times New Roman"/>
          <w:noProof/>
          <w:lang w:val="en-GB"/>
        </w:rPr>
        <w:t xml:space="preserve">(4), 305-360. </w:t>
      </w:r>
      <w:bookmarkEnd w:id="20"/>
    </w:p>
    <w:p w:rsidR="00256B40" w:rsidRPr="0022264C" w:rsidRDefault="00256B40" w:rsidP="006E55FB">
      <w:pPr>
        <w:pStyle w:val="a3"/>
        <w:numPr>
          <w:ilvl w:val="0"/>
          <w:numId w:val="3"/>
        </w:numPr>
        <w:ind w:leftChars="0"/>
        <w:jc w:val="both"/>
        <w:rPr>
          <w:rFonts w:ascii="Times New Roman" w:hAnsi="Times New Roman"/>
          <w:noProof/>
          <w:lang w:val="en-GB"/>
        </w:rPr>
      </w:pPr>
      <w:bookmarkStart w:id="21" w:name="_ENREF_22"/>
      <w:r w:rsidRPr="0022264C">
        <w:rPr>
          <w:rFonts w:ascii="Times New Roman" w:hAnsi="Times New Roman"/>
          <w:noProof/>
          <w:lang w:val="en-GB"/>
        </w:rPr>
        <w:t xml:space="preserve">Lang, L. H. P., Stulz, R. M., and Walkling, R. A. (1991). A test of the free cash flow hypothesis: The case of bidder returns. </w:t>
      </w:r>
      <w:r w:rsidRPr="0022264C">
        <w:rPr>
          <w:rFonts w:ascii="Times New Roman" w:hAnsi="Times New Roman"/>
          <w:i/>
          <w:noProof/>
          <w:lang w:val="en-GB"/>
        </w:rPr>
        <w:t>Journal of Financial Economics, 29</w:t>
      </w:r>
      <w:r w:rsidRPr="0022264C">
        <w:rPr>
          <w:rFonts w:ascii="Times New Roman" w:hAnsi="Times New Roman"/>
          <w:noProof/>
          <w:lang w:val="en-GB"/>
        </w:rPr>
        <w:t xml:space="preserve">, 315-335. </w:t>
      </w:r>
      <w:bookmarkEnd w:id="21"/>
    </w:p>
    <w:p w:rsidR="00256B40" w:rsidRPr="0022264C" w:rsidRDefault="00256B40" w:rsidP="006E55FB">
      <w:pPr>
        <w:pStyle w:val="a3"/>
        <w:numPr>
          <w:ilvl w:val="0"/>
          <w:numId w:val="3"/>
        </w:numPr>
        <w:ind w:leftChars="0"/>
        <w:jc w:val="both"/>
        <w:rPr>
          <w:rFonts w:ascii="Times New Roman" w:hAnsi="Times New Roman"/>
          <w:noProof/>
          <w:lang w:val="en-GB"/>
        </w:rPr>
      </w:pPr>
      <w:bookmarkStart w:id="22" w:name="_ENREF_23"/>
      <w:r w:rsidRPr="0022264C">
        <w:rPr>
          <w:rFonts w:ascii="Times New Roman" w:hAnsi="Times New Roman"/>
          <w:noProof/>
          <w:lang w:val="en-GB"/>
        </w:rPr>
        <w:t xml:space="preserve">McKnight, P. J., and Weir, C. (2009). Agency costs, corporate governance mechanisms and ownership structure in large UK publicly quoted companies: A panel data analysis. </w:t>
      </w:r>
      <w:r w:rsidRPr="0022264C">
        <w:rPr>
          <w:rFonts w:ascii="Times New Roman" w:hAnsi="Times New Roman"/>
          <w:i/>
          <w:noProof/>
          <w:lang w:val="en-GB"/>
        </w:rPr>
        <w:t>The Quarterly Review of Economics and Finance, 49</w:t>
      </w:r>
      <w:r w:rsidRPr="0022264C">
        <w:rPr>
          <w:rFonts w:ascii="Times New Roman" w:hAnsi="Times New Roman"/>
          <w:noProof/>
          <w:lang w:val="en-GB"/>
        </w:rPr>
        <w:t xml:space="preserve">(2), 139-158. </w:t>
      </w:r>
      <w:bookmarkEnd w:id="22"/>
    </w:p>
    <w:p w:rsidR="00256B40" w:rsidRPr="0022264C" w:rsidRDefault="00256B40" w:rsidP="006E55FB">
      <w:pPr>
        <w:pStyle w:val="a3"/>
        <w:numPr>
          <w:ilvl w:val="0"/>
          <w:numId w:val="3"/>
        </w:numPr>
        <w:ind w:leftChars="0"/>
        <w:jc w:val="both"/>
        <w:rPr>
          <w:rFonts w:ascii="Times New Roman" w:hAnsi="Times New Roman"/>
          <w:noProof/>
          <w:lang w:val="en-GB"/>
        </w:rPr>
      </w:pPr>
      <w:bookmarkStart w:id="23" w:name="_ENREF_24"/>
      <w:r w:rsidRPr="0022264C">
        <w:rPr>
          <w:rFonts w:ascii="Times New Roman" w:hAnsi="Times New Roman"/>
          <w:noProof/>
          <w:lang w:val="en-GB"/>
        </w:rPr>
        <w:t xml:space="preserve">Opler, T., and Titman, S. (1993). The determinants of leveraged buyout activity: Free cash flow vs financial distress costs. </w:t>
      </w:r>
      <w:r w:rsidRPr="0022264C">
        <w:rPr>
          <w:rFonts w:ascii="Times New Roman" w:hAnsi="Times New Roman"/>
          <w:i/>
          <w:noProof/>
          <w:lang w:val="en-GB"/>
        </w:rPr>
        <w:t>Journal of Finance, XLVIII</w:t>
      </w:r>
      <w:r w:rsidRPr="0022264C">
        <w:rPr>
          <w:rFonts w:ascii="Times New Roman" w:hAnsi="Times New Roman"/>
          <w:noProof/>
          <w:lang w:val="en-GB"/>
        </w:rPr>
        <w:t xml:space="preserve">, 1985-1999. </w:t>
      </w:r>
      <w:bookmarkEnd w:id="23"/>
    </w:p>
    <w:p w:rsidR="00256B40" w:rsidRPr="0022264C" w:rsidRDefault="00256B40" w:rsidP="006E55FB">
      <w:pPr>
        <w:pStyle w:val="a3"/>
        <w:numPr>
          <w:ilvl w:val="0"/>
          <w:numId w:val="3"/>
        </w:numPr>
        <w:ind w:leftChars="0"/>
        <w:jc w:val="both"/>
        <w:rPr>
          <w:rFonts w:ascii="Times New Roman" w:hAnsi="Times New Roman"/>
          <w:noProof/>
          <w:lang w:val="en-GB"/>
        </w:rPr>
      </w:pPr>
      <w:bookmarkStart w:id="24" w:name="_ENREF_25"/>
      <w:r w:rsidRPr="0022264C">
        <w:rPr>
          <w:rFonts w:ascii="Times New Roman" w:hAnsi="Times New Roman"/>
          <w:noProof/>
          <w:lang w:val="en-GB"/>
        </w:rPr>
        <w:t xml:space="preserve">Renneboog, L., and Trojanowski, G. (2007). Control structures and payout policy. </w:t>
      </w:r>
      <w:r w:rsidRPr="0022264C">
        <w:rPr>
          <w:rFonts w:ascii="Times New Roman" w:hAnsi="Times New Roman"/>
          <w:i/>
          <w:noProof/>
          <w:lang w:val="en-GB"/>
        </w:rPr>
        <w:t>Managerial Finance, 33</w:t>
      </w:r>
      <w:r w:rsidRPr="0022264C">
        <w:rPr>
          <w:rFonts w:ascii="Times New Roman" w:hAnsi="Times New Roman"/>
          <w:noProof/>
          <w:lang w:val="en-GB"/>
        </w:rPr>
        <w:t xml:space="preserve">(1), 43-64. </w:t>
      </w:r>
      <w:bookmarkEnd w:id="24"/>
    </w:p>
    <w:p w:rsidR="00256B40" w:rsidRPr="0022264C" w:rsidRDefault="00256B40" w:rsidP="006E55FB">
      <w:pPr>
        <w:pStyle w:val="a3"/>
        <w:numPr>
          <w:ilvl w:val="0"/>
          <w:numId w:val="3"/>
        </w:numPr>
        <w:ind w:leftChars="0"/>
        <w:jc w:val="both"/>
        <w:rPr>
          <w:rFonts w:ascii="Times New Roman" w:hAnsi="Times New Roman"/>
          <w:noProof/>
          <w:lang w:val="en-GB"/>
        </w:rPr>
      </w:pPr>
      <w:bookmarkStart w:id="25" w:name="_ENREF_26"/>
      <w:r w:rsidRPr="0022264C">
        <w:rPr>
          <w:rFonts w:ascii="Times New Roman" w:hAnsi="Times New Roman"/>
          <w:noProof/>
          <w:lang w:val="en-GB"/>
        </w:rPr>
        <w:t>Richardson, S. (2006). Over-</w:t>
      </w:r>
      <w:r w:rsidR="00060671">
        <w:rPr>
          <w:rFonts w:ascii="Times New Roman" w:hAnsi="Times New Roman" w:hint="eastAsia"/>
          <w:noProof/>
          <w:lang w:val="en-GB"/>
        </w:rPr>
        <w:t>i</w:t>
      </w:r>
      <w:r w:rsidRPr="0022264C">
        <w:rPr>
          <w:rFonts w:ascii="Times New Roman" w:hAnsi="Times New Roman"/>
          <w:noProof/>
          <w:lang w:val="en-GB"/>
        </w:rPr>
        <w:t xml:space="preserve">nvestment of </w:t>
      </w:r>
      <w:r w:rsidR="00060671">
        <w:rPr>
          <w:rFonts w:ascii="Times New Roman" w:hAnsi="Times New Roman" w:hint="eastAsia"/>
          <w:noProof/>
          <w:lang w:val="en-GB"/>
        </w:rPr>
        <w:t>f</w:t>
      </w:r>
      <w:r w:rsidRPr="0022264C">
        <w:rPr>
          <w:rFonts w:ascii="Times New Roman" w:hAnsi="Times New Roman"/>
          <w:noProof/>
          <w:lang w:val="en-GB"/>
        </w:rPr>
        <w:t xml:space="preserve">ree </w:t>
      </w:r>
      <w:r w:rsidR="00060671">
        <w:rPr>
          <w:rFonts w:ascii="Times New Roman" w:hAnsi="Times New Roman" w:hint="eastAsia"/>
          <w:noProof/>
          <w:lang w:val="en-GB"/>
        </w:rPr>
        <w:t>c</w:t>
      </w:r>
      <w:r w:rsidRPr="0022264C">
        <w:rPr>
          <w:rFonts w:ascii="Times New Roman" w:hAnsi="Times New Roman"/>
          <w:noProof/>
          <w:lang w:val="en-GB"/>
        </w:rPr>
        <w:t xml:space="preserve">ash </w:t>
      </w:r>
      <w:r w:rsidR="00060671">
        <w:rPr>
          <w:rFonts w:ascii="Times New Roman" w:hAnsi="Times New Roman" w:hint="eastAsia"/>
          <w:noProof/>
          <w:lang w:val="en-GB"/>
        </w:rPr>
        <w:t>f</w:t>
      </w:r>
      <w:r w:rsidRPr="0022264C">
        <w:rPr>
          <w:rFonts w:ascii="Times New Roman" w:hAnsi="Times New Roman"/>
          <w:noProof/>
          <w:lang w:val="en-GB"/>
        </w:rPr>
        <w:t xml:space="preserve">low. </w:t>
      </w:r>
      <w:r w:rsidRPr="0022264C">
        <w:rPr>
          <w:rFonts w:ascii="Times New Roman" w:hAnsi="Times New Roman"/>
          <w:i/>
          <w:noProof/>
          <w:lang w:val="en-GB"/>
        </w:rPr>
        <w:t>Review of Accounting Studies, 11</w:t>
      </w:r>
      <w:r w:rsidRPr="0022264C">
        <w:rPr>
          <w:rFonts w:ascii="Times New Roman" w:hAnsi="Times New Roman"/>
          <w:noProof/>
          <w:lang w:val="en-GB"/>
        </w:rPr>
        <w:t xml:space="preserve">(2-3), 159-189. </w:t>
      </w:r>
      <w:bookmarkEnd w:id="25"/>
    </w:p>
    <w:p w:rsidR="00256B40" w:rsidRPr="0022264C" w:rsidRDefault="00256B40" w:rsidP="006E55FB">
      <w:pPr>
        <w:pStyle w:val="a3"/>
        <w:numPr>
          <w:ilvl w:val="0"/>
          <w:numId w:val="3"/>
        </w:numPr>
        <w:ind w:leftChars="0"/>
        <w:jc w:val="both"/>
        <w:rPr>
          <w:rFonts w:ascii="Times New Roman" w:hAnsi="Times New Roman"/>
          <w:noProof/>
          <w:lang w:val="en-GB"/>
        </w:rPr>
      </w:pPr>
      <w:bookmarkStart w:id="26" w:name="_ENREF_27"/>
      <w:r w:rsidRPr="0022264C">
        <w:rPr>
          <w:rFonts w:ascii="Times New Roman" w:hAnsi="Times New Roman"/>
          <w:noProof/>
          <w:lang w:val="en-GB"/>
        </w:rPr>
        <w:t xml:space="preserve">Setia-Atmaja, L., Tanewski, G. A., and Skully, M. (2009). The role of dividends, </w:t>
      </w:r>
      <w:r w:rsidRPr="0022264C">
        <w:rPr>
          <w:rFonts w:ascii="Times New Roman" w:hAnsi="Times New Roman"/>
          <w:noProof/>
          <w:lang w:val="en-GB"/>
        </w:rPr>
        <w:lastRenderedPageBreak/>
        <w:t xml:space="preserve">debt and board structure in the governance of family controlled firms. </w:t>
      </w:r>
      <w:r w:rsidRPr="0022264C">
        <w:rPr>
          <w:rFonts w:ascii="Times New Roman" w:hAnsi="Times New Roman"/>
          <w:i/>
          <w:noProof/>
          <w:lang w:val="en-GB"/>
        </w:rPr>
        <w:t>Journal of Business Finance and Accounting, 36</w:t>
      </w:r>
      <w:r w:rsidRPr="0022264C">
        <w:rPr>
          <w:rFonts w:ascii="Times New Roman" w:hAnsi="Times New Roman"/>
          <w:noProof/>
          <w:lang w:val="en-GB"/>
        </w:rPr>
        <w:t xml:space="preserve">(7/8), 863-898. </w:t>
      </w:r>
      <w:bookmarkEnd w:id="26"/>
    </w:p>
    <w:p w:rsidR="00256B40" w:rsidRPr="0022264C" w:rsidRDefault="00256B40" w:rsidP="006E55FB">
      <w:pPr>
        <w:pStyle w:val="a3"/>
        <w:numPr>
          <w:ilvl w:val="0"/>
          <w:numId w:val="3"/>
        </w:numPr>
        <w:ind w:leftChars="0"/>
        <w:jc w:val="both"/>
        <w:rPr>
          <w:rFonts w:ascii="Times New Roman" w:hAnsi="Times New Roman"/>
          <w:noProof/>
          <w:lang w:val="en-GB"/>
        </w:rPr>
      </w:pPr>
      <w:bookmarkStart w:id="27" w:name="_ENREF_28"/>
      <w:r w:rsidRPr="0022264C">
        <w:rPr>
          <w:rFonts w:ascii="Times New Roman" w:hAnsi="Times New Roman"/>
          <w:noProof/>
          <w:lang w:val="en-GB"/>
        </w:rPr>
        <w:t xml:space="preserve">Stulz, R. M. (1990). Managerial </w:t>
      </w:r>
      <w:bookmarkStart w:id="28" w:name="_GoBack"/>
      <w:r w:rsidRPr="0022264C">
        <w:rPr>
          <w:rFonts w:ascii="Times New Roman" w:hAnsi="Times New Roman"/>
          <w:noProof/>
          <w:lang w:val="en-GB"/>
        </w:rPr>
        <w:t>discretion</w:t>
      </w:r>
      <w:bookmarkEnd w:id="28"/>
      <w:r w:rsidRPr="0022264C">
        <w:rPr>
          <w:rFonts w:ascii="Times New Roman" w:hAnsi="Times New Roman"/>
          <w:noProof/>
          <w:lang w:val="en-GB"/>
        </w:rPr>
        <w:t xml:space="preserve"> and optimal financing policies. </w:t>
      </w:r>
      <w:r w:rsidRPr="0022264C">
        <w:rPr>
          <w:rFonts w:ascii="Times New Roman" w:hAnsi="Times New Roman"/>
          <w:i/>
          <w:noProof/>
          <w:lang w:val="en-GB"/>
        </w:rPr>
        <w:t>Journal of Financial Economics, 26</w:t>
      </w:r>
      <w:r w:rsidRPr="0022264C">
        <w:rPr>
          <w:rFonts w:ascii="Times New Roman" w:hAnsi="Times New Roman"/>
          <w:noProof/>
          <w:lang w:val="en-GB"/>
        </w:rPr>
        <w:t xml:space="preserve">, 3-27. </w:t>
      </w:r>
      <w:bookmarkEnd w:id="27"/>
    </w:p>
    <w:p w:rsidR="00256B40" w:rsidRPr="0022264C" w:rsidRDefault="00256B40" w:rsidP="006E55FB">
      <w:pPr>
        <w:pStyle w:val="a3"/>
        <w:numPr>
          <w:ilvl w:val="0"/>
          <w:numId w:val="3"/>
        </w:numPr>
        <w:ind w:leftChars="0"/>
        <w:jc w:val="both"/>
        <w:rPr>
          <w:rFonts w:ascii="Times New Roman" w:hAnsi="Times New Roman"/>
          <w:noProof/>
          <w:lang w:val="en-GB"/>
        </w:rPr>
      </w:pPr>
      <w:bookmarkStart w:id="29" w:name="_ENREF_29"/>
      <w:r w:rsidRPr="0022264C">
        <w:rPr>
          <w:rFonts w:ascii="Times New Roman" w:hAnsi="Times New Roman"/>
          <w:noProof/>
          <w:lang w:val="en-GB"/>
        </w:rPr>
        <w:t xml:space="preserve">Tosi, H. L., and Gomez-Mejia, L. R. (1989). The decoupling of CEO pay and performance: An agency theory perspective. </w:t>
      </w:r>
      <w:r w:rsidRPr="0022264C">
        <w:rPr>
          <w:rFonts w:ascii="Times New Roman" w:hAnsi="Times New Roman"/>
          <w:i/>
          <w:noProof/>
          <w:lang w:val="en-GB"/>
        </w:rPr>
        <w:t>Administrative Science Quarterly, 34</w:t>
      </w:r>
      <w:r w:rsidRPr="0022264C">
        <w:rPr>
          <w:rFonts w:ascii="Times New Roman" w:hAnsi="Times New Roman"/>
          <w:noProof/>
          <w:lang w:val="en-GB"/>
        </w:rPr>
        <w:t xml:space="preserve">, 169-190. </w:t>
      </w:r>
      <w:bookmarkEnd w:id="29"/>
    </w:p>
    <w:p w:rsidR="00256B40" w:rsidRPr="0022264C" w:rsidRDefault="00256B40" w:rsidP="006E55FB">
      <w:pPr>
        <w:pStyle w:val="a3"/>
        <w:numPr>
          <w:ilvl w:val="0"/>
          <w:numId w:val="3"/>
        </w:numPr>
        <w:ind w:leftChars="0"/>
        <w:jc w:val="both"/>
        <w:rPr>
          <w:rFonts w:ascii="Times New Roman" w:hAnsi="Times New Roman"/>
          <w:noProof/>
          <w:lang w:val="en-GB"/>
        </w:rPr>
      </w:pPr>
      <w:bookmarkStart w:id="30" w:name="_ENREF_30"/>
      <w:r w:rsidRPr="0022264C">
        <w:rPr>
          <w:rFonts w:ascii="Times New Roman" w:hAnsi="Times New Roman"/>
          <w:noProof/>
          <w:lang w:val="en-GB"/>
        </w:rPr>
        <w:t xml:space="preserve">Wang, G. Y. (2010). The </w:t>
      </w:r>
      <w:r w:rsidR="00060671">
        <w:rPr>
          <w:rFonts w:ascii="Times New Roman" w:hAnsi="Times New Roman" w:hint="eastAsia"/>
          <w:noProof/>
          <w:lang w:val="en-GB"/>
        </w:rPr>
        <w:t>i</w:t>
      </w:r>
      <w:r w:rsidRPr="0022264C">
        <w:rPr>
          <w:rFonts w:ascii="Times New Roman" w:hAnsi="Times New Roman"/>
          <w:noProof/>
          <w:lang w:val="en-GB"/>
        </w:rPr>
        <w:t xml:space="preserve">mpacts of </w:t>
      </w:r>
      <w:r w:rsidR="00060671">
        <w:rPr>
          <w:rFonts w:ascii="Times New Roman" w:hAnsi="Times New Roman" w:hint="eastAsia"/>
          <w:noProof/>
          <w:lang w:val="en-GB"/>
        </w:rPr>
        <w:t>f</w:t>
      </w:r>
      <w:r w:rsidRPr="0022264C">
        <w:rPr>
          <w:rFonts w:ascii="Times New Roman" w:hAnsi="Times New Roman"/>
          <w:noProof/>
          <w:lang w:val="en-GB"/>
        </w:rPr>
        <w:t xml:space="preserve">ree </w:t>
      </w:r>
      <w:r w:rsidR="00060671">
        <w:rPr>
          <w:rFonts w:ascii="Times New Roman" w:hAnsi="Times New Roman" w:hint="eastAsia"/>
          <w:noProof/>
          <w:lang w:val="en-GB"/>
        </w:rPr>
        <w:t>c</w:t>
      </w:r>
      <w:r w:rsidRPr="0022264C">
        <w:rPr>
          <w:rFonts w:ascii="Times New Roman" w:hAnsi="Times New Roman"/>
          <w:noProof/>
          <w:lang w:val="en-GB"/>
        </w:rPr>
        <w:t xml:space="preserve">ash </w:t>
      </w:r>
      <w:r w:rsidR="00060671">
        <w:rPr>
          <w:rFonts w:ascii="Times New Roman" w:hAnsi="Times New Roman" w:hint="eastAsia"/>
          <w:noProof/>
          <w:lang w:val="en-GB"/>
        </w:rPr>
        <w:t>f</w:t>
      </w:r>
      <w:r w:rsidRPr="0022264C">
        <w:rPr>
          <w:rFonts w:ascii="Times New Roman" w:hAnsi="Times New Roman"/>
          <w:noProof/>
          <w:lang w:val="en-GB"/>
        </w:rPr>
        <w:t xml:space="preserve">lows and </w:t>
      </w:r>
      <w:r w:rsidR="00060671">
        <w:rPr>
          <w:rFonts w:ascii="Times New Roman" w:hAnsi="Times New Roman" w:hint="eastAsia"/>
          <w:noProof/>
          <w:lang w:val="en-GB"/>
        </w:rPr>
        <w:t>a</w:t>
      </w:r>
      <w:r w:rsidRPr="0022264C">
        <w:rPr>
          <w:rFonts w:ascii="Times New Roman" w:hAnsi="Times New Roman"/>
          <w:noProof/>
          <w:lang w:val="en-GB"/>
        </w:rPr>
        <w:t xml:space="preserve">gency </w:t>
      </w:r>
      <w:r w:rsidR="00060671">
        <w:rPr>
          <w:rFonts w:ascii="Times New Roman" w:hAnsi="Times New Roman" w:hint="eastAsia"/>
          <w:noProof/>
          <w:lang w:val="en-GB"/>
        </w:rPr>
        <w:t>c</w:t>
      </w:r>
      <w:r w:rsidRPr="0022264C">
        <w:rPr>
          <w:rFonts w:ascii="Times New Roman" w:hAnsi="Times New Roman"/>
          <w:noProof/>
          <w:lang w:val="en-GB"/>
        </w:rPr>
        <w:t xml:space="preserve">osts on </w:t>
      </w:r>
      <w:r w:rsidR="00060671">
        <w:rPr>
          <w:rFonts w:ascii="Times New Roman" w:hAnsi="Times New Roman" w:hint="eastAsia"/>
          <w:noProof/>
          <w:lang w:val="en-GB"/>
        </w:rPr>
        <w:t>f</w:t>
      </w:r>
      <w:r w:rsidRPr="0022264C">
        <w:rPr>
          <w:rFonts w:ascii="Times New Roman" w:hAnsi="Times New Roman"/>
          <w:noProof/>
          <w:lang w:val="en-GB"/>
        </w:rPr>
        <w:t xml:space="preserve">irm </w:t>
      </w:r>
      <w:r w:rsidR="00060671">
        <w:rPr>
          <w:rFonts w:ascii="Times New Roman" w:hAnsi="Times New Roman" w:hint="eastAsia"/>
          <w:noProof/>
          <w:lang w:val="en-GB"/>
        </w:rPr>
        <w:t>p</w:t>
      </w:r>
      <w:r w:rsidRPr="0022264C">
        <w:rPr>
          <w:rFonts w:ascii="Times New Roman" w:hAnsi="Times New Roman"/>
          <w:noProof/>
          <w:lang w:val="en-GB"/>
        </w:rPr>
        <w:t xml:space="preserve">erformance. </w:t>
      </w:r>
      <w:r w:rsidRPr="0022264C">
        <w:rPr>
          <w:rFonts w:ascii="Times New Roman" w:hAnsi="Times New Roman"/>
          <w:i/>
          <w:noProof/>
          <w:lang w:val="en-GB"/>
        </w:rPr>
        <w:t>Journal of Service Science and Management, 3</w:t>
      </w:r>
      <w:r w:rsidRPr="0022264C">
        <w:rPr>
          <w:rFonts w:ascii="Times New Roman" w:hAnsi="Times New Roman"/>
          <w:noProof/>
          <w:lang w:val="en-GB"/>
        </w:rPr>
        <w:t xml:space="preserve">(Dec), 408-418. </w:t>
      </w:r>
      <w:bookmarkEnd w:id="30"/>
    </w:p>
    <w:p w:rsidR="00222D20" w:rsidRDefault="00222D20"/>
    <w:sectPr w:rsidR="00222D20" w:rsidSect="00222D2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20" w:rsidRDefault="00222D20">
      <w:r>
        <w:separator/>
      </w:r>
    </w:p>
  </w:endnote>
  <w:endnote w:type="continuationSeparator" w:id="0">
    <w:p w:rsidR="00222D20" w:rsidRDefault="0022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20" w:rsidRPr="00040F32" w:rsidRDefault="00222D20">
    <w:pPr>
      <w:pStyle w:val="a7"/>
      <w:jc w:val="center"/>
      <w:rPr>
        <w:rFonts w:ascii="Times New Roman" w:hAnsi="Times New Roman"/>
      </w:rPr>
    </w:pPr>
    <w:r w:rsidRPr="00040F32">
      <w:rPr>
        <w:rFonts w:ascii="Times New Roman" w:hAnsi="Times New Roman"/>
      </w:rPr>
      <w:fldChar w:fldCharType="begin"/>
    </w:r>
    <w:r w:rsidRPr="00040F32">
      <w:rPr>
        <w:rFonts w:ascii="Times New Roman" w:hAnsi="Times New Roman"/>
      </w:rPr>
      <w:instrText>PAGE   \* MERGEFORMAT</w:instrText>
    </w:r>
    <w:r w:rsidRPr="00040F32">
      <w:rPr>
        <w:rFonts w:ascii="Times New Roman" w:hAnsi="Times New Roman"/>
      </w:rPr>
      <w:fldChar w:fldCharType="separate"/>
    </w:r>
    <w:r w:rsidR="0095518B" w:rsidRPr="0095518B">
      <w:rPr>
        <w:rFonts w:ascii="Times New Roman" w:hAnsi="Times New Roman"/>
        <w:noProof/>
        <w:lang w:val="zh-TW"/>
      </w:rPr>
      <w:t>14</w:t>
    </w:r>
    <w:r w:rsidRPr="00040F32">
      <w:rPr>
        <w:rFonts w:ascii="Times New Roman" w:hAnsi="Times New Roman"/>
      </w:rPr>
      <w:fldChar w:fldCharType="end"/>
    </w:r>
  </w:p>
  <w:p w:rsidR="00222D20" w:rsidRDefault="00222D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20" w:rsidRDefault="00222D20">
      <w:r>
        <w:separator/>
      </w:r>
    </w:p>
  </w:footnote>
  <w:footnote w:type="continuationSeparator" w:id="0">
    <w:p w:rsidR="00222D20" w:rsidRDefault="00222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9A"/>
    <w:multiLevelType w:val="multilevel"/>
    <w:tmpl w:val="87C29D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E09562F"/>
    <w:multiLevelType w:val="hybridMultilevel"/>
    <w:tmpl w:val="0B448E60"/>
    <w:lvl w:ilvl="0" w:tplc="CC743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6B188D"/>
    <w:multiLevelType w:val="hybridMultilevel"/>
    <w:tmpl w:val="BD341E52"/>
    <w:lvl w:ilvl="0" w:tplc="75E2C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6B40"/>
    <w:rsid w:val="00060671"/>
    <w:rsid w:val="0011062E"/>
    <w:rsid w:val="00125EBC"/>
    <w:rsid w:val="0022264C"/>
    <w:rsid w:val="00222D20"/>
    <w:rsid w:val="00256B40"/>
    <w:rsid w:val="00260138"/>
    <w:rsid w:val="002F0234"/>
    <w:rsid w:val="00301EF2"/>
    <w:rsid w:val="00357604"/>
    <w:rsid w:val="003B4C19"/>
    <w:rsid w:val="003D7DFB"/>
    <w:rsid w:val="004D57A8"/>
    <w:rsid w:val="005F72E2"/>
    <w:rsid w:val="006E55FB"/>
    <w:rsid w:val="007C5B30"/>
    <w:rsid w:val="00811360"/>
    <w:rsid w:val="00837C40"/>
    <w:rsid w:val="0095518B"/>
    <w:rsid w:val="00A54411"/>
    <w:rsid w:val="00C710E6"/>
    <w:rsid w:val="00D95775"/>
    <w:rsid w:val="00DF3E5D"/>
    <w:rsid w:val="00ED55F3"/>
    <w:rsid w:val="00F91114"/>
    <w:rsid w:val="00FE7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4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AuthorName">
    <w:name w:val="IEEE Author Name"/>
    <w:basedOn w:val="a"/>
    <w:next w:val="a"/>
    <w:uiPriority w:val="99"/>
    <w:rsid w:val="00256B40"/>
    <w:pPr>
      <w:widowControl/>
      <w:adjustRightInd w:val="0"/>
      <w:snapToGrid w:val="0"/>
      <w:spacing w:before="120" w:after="120"/>
      <w:jc w:val="center"/>
    </w:pPr>
    <w:rPr>
      <w:rFonts w:ascii="Times New Roman" w:hAnsi="Times New Roman"/>
      <w:kern w:val="0"/>
      <w:sz w:val="22"/>
      <w:szCs w:val="24"/>
      <w:lang w:val="en-GB" w:eastAsia="en-GB"/>
    </w:rPr>
  </w:style>
  <w:style w:type="paragraph" w:customStyle="1" w:styleId="IEEEAuthorAffiliation">
    <w:name w:val="IEEE Author Affiliation"/>
    <w:basedOn w:val="a"/>
    <w:next w:val="a"/>
    <w:uiPriority w:val="99"/>
    <w:rsid w:val="00256B40"/>
    <w:pPr>
      <w:widowControl/>
      <w:spacing w:after="60"/>
      <w:jc w:val="center"/>
    </w:pPr>
    <w:rPr>
      <w:rFonts w:ascii="Times New Roman" w:hAnsi="Times New Roman"/>
      <w:i/>
      <w:kern w:val="0"/>
      <w:sz w:val="20"/>
      <w:szCs w:val="24"/>
      <w:lang w:val="en-GB" w:eastAsia="en-GB"/>
    </w:rPr>
  </w:style>
  <w:style w:type="paragraph" w:styleId="a3">
    <w:name w:val="List Paragraph"/>
    <w:basedOn w:val="a"/>
    <w:uiPriority w:val="34"/>
    <w:qFormat/>
    <w:rsid w:val="00256B40"/>
    <w:pPr>
      <w:ind w:leftChars="200" w:left="480"/>
    </w:pPr>
  </w:style>
  <w:style w:type="character" w:styleId="a4">
    <w:name w:val="Hyperlink"/>
    <w:uiPriority w:val="99"/>
    <w:unhideWhenUsed/>
    <w:rsid w:val="00256B40"/>
    <w:rPr>
      <w:color w:val="0000FF"/>
      <w:u w:val="single"/>
    </w:rPr>
  </w:style>
  <w:style w:type="paragraph" w:styleId="a5">
    <w:name w:val="header"/>
    <w:basedOn w:val="a"/>
    <w:link w:val="a6"/>
    <w:uiPriority w:val="99"/>
    <w:unhideWhenUsed/>
    <w:rsid w:val="00256B40"/>
    <w:pPr>
      <w:tabs>
        <w:tab w:val="center" w:pos="4153"/>
        <w:tab w:val="right" w:pos="8306"/>
      </w:tabs>
      <w:snapToGrid w:val="0"/>
    </w:pPr>
    <w:rPr>
      <w:sz w:val="20"/>
      <w:szCs w:val="20"/>
    </w:rPr>
  </w:style>
  <w:style w:type="character" w:customStyle="1" w:styleId="a6">
    <w:name w:val="頁首 字元"/>
    <w:link w:val="a5"/>
    <w:uiPriority w:val="99"/>
    <w:rsid w:val="00256B40"/>
    <w:rPr>
      <w:rFonts w:ascii="Calibri" w:eastAsia="新細明體" w:hAnsi="Calibri" w:cs="Times New Roman"/>
      <w:sz w:val="20"/>
      <w:szCs w:val="20"/>
    </w:rPr>
  </w:style>
  <w:style w:type="paragraph" w:styleId="a7">
    <w:name w:val="footer"/>
    <w:basedOn w:val="a"/>
    <w:link w:val="a8"/>
    <w:uiPriority w:val="99"/>
    <w:unhideWhenUsed/>
    <w:rsid w:val="00256B40"/>
    <w:pPr>
      <w:tabs>
        <w:tab w:val="center" w:pos="4153"/>
        <w:tab w:val="right" w:pos="8306"/>
      </w:tabs>
      <w:snapToGrid w:val="0"/>
    </w:pPr>
    <w:rPr>
      <w:sz w:val="20"/>
      <w:szCs w:val="20"/>
    </w:rPr>
  </w:style>
  <w:style w:type="character" w:customStyle="1" w:styleId="a8">
    <w:name w:val="頁尾 字元"/>
    <w:link w:val="a7"/>
    <w:uiPriority w:val="99"/>
    <w:rsid w:val="00256B40"/>
    <w:rPr>
      <w:rFonts w:ascii="Calibri" w:eastAsia="新細明體" w:hAnsi="Calibri" w:cs="Times New Roman"/>
      <w:sz w:val="20"/>
      <w:szCs w:val="20"/>
    </w:rPr>
  </w:style>
  <w:style w:type="paragraph" w:customStyle="1" w:styleId="Paragraph">
    <w:name w:val="Paragraph"/>
    <w:basedOn w:val="a"/>
    <w:next w:val="a"/>
    <w:qFormat/>
    <w:rsid w:val="00256B40"/>
    <w:pPr>
      <w:spacing w:before="240" w:line="480" w:lineRule="auto"/>
    </w:pPr>
    <w:rPr>
      <w:rFonts w:ascii="Times New Roman" w:hAnsi="Times New Roman"/>
      <w:kern w:val="0"/>
      <w:szCs w:val="24"/>
      <w:lang w:val="en-GB" w:eastAsia="en-GB"/>
    </w:rPr>
  </w:style>
  <w:style w:type="paragraph" w:customStyle="1" w:styleId="Displayedequation">
    <w:name w:val="Displayed equation"/>
    <w:basedOn w:val="a"/>
    <w:next w:val="Paragraph"/>
    <w:qFormat/>
    <w:rsid w:val="00256B40"/>
    <w:pPr>
      <w:widowControl/>
      <w:tabs>
        <w:tab w:val="center" w:pos="4253"/>
        <w:tab w:val="right" w:pos="8222"/>
      </w:tabs>
      <w:spacing w:before="240" w:after="240" w:line="480" w:lineRule="auto"/>
      <w:jc w:val="center"/>
    </w:pPr>
    <w:rPr>
      <w:rFonts w:ascii="Times New Roman" w:hAnsi="Times New Roman"/>
      <w:kern w:val="0"/>
      <w:szCs w:val="24"/>
      <w:lang w:val="en-GB" w:eastAsia="en-GB"/>
    </w:rPr>
  </w:style>
  <w:style w:type="paragraph" w:customStyle="1" w:styleId="Newparagraph">
    <w:name w:val="New paragraph"/>
    <w:basedOn w:val="a"/>
    <w:qFormat/>
    <w:rsid w:val="00256B40"/>
    <w:pPr>
      <w:widowControl/>
      <w:spacing w:line="480" w:lineRule="auto"/>
      <w:ind w:firstLine="720"/>
    </w:pPr>
    <w:rPr>
      <w:rFonts w:ascii="Times New Roman" w:hAnsi="Times New Roman"/>
      <w:kern w:val="0"/>
      <w:szCs w:val="24"/>
      <w:lang w:val="en-GB" w:eastAsia="en-GB"/>
    </w:rPr>
  </w:style>
  <w:style w:type="paragraph" w:styleId="a9">
    <w:name w:val="Balloon Text"/>
    <w:basedOn w:val="a"/>
    <w:link w:val="aa"/>
    <w:uiPriority w:val="99"/>
    <w:semiHidden/>
    <w:unhideWhenUsed/>
    <w:rsid w:val="00222D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22D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4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AuthorName">
    <w:name w:val="IEEE Author Name"/>
    <w:basedOn w:val="a"/>
    <w:next w:val="a"/>
    <w:uiPriority w:val="99"/>
    <w:rsid w:val="00256B40"/>
    <w:pPr>
      <w:widowControl/>
      <w:adjustRightInd w:val="0"/>
      <w:snapToGrid w:val="0"/>
      <w:spacing w:before="120" w:after="120"/>
      <w:jc w:val="center"/>
    </w:pPr>
    <w:rPr>
      <w:rFonts w:ascii="Times New Roman" w:hAnsi="Times New Roman"/>
      <w:kern w:val="0"/>
      <w:sz w:val="22"/>
      <w:szCs w:val="24"/>
      <w:lang w:val="en-GB" w:eastAsia="en-GB"/>
    </w:rPr>
  </w:style>
  <w:style w:type="paragraph" w:customStyle="1" w:styleId="IEEEAuthorAffiliation">
    <w:name w:val="IEEE Author Affiliation"/>
    <w:basedOn w:val="a"/>
    <w:next w:val="a"/>
    <w:uiPriority w:val="99"/>
    <w:rsid w:val="00256B40"/>
    <w:pPr>
      <w:widowControl/>
      <w:spacing w:after="60"/>
      <w:jc w:val="center"/>
    </w:pPr>
    <w:rPr>
      <w:rFonts w:ascii="Times New Roman" w:hAnsi="Times New Roman"/>
      <w:i/>
      <w:kern w:val="0"/>
      <w:sz w:val="20"/>
      <w:szCs w:val="24"/>
      <w:lang w:val="en-GB" w:eastAsia="en-GB"/>
    </w:rPr>
  </w:style>
  <w:style w:type="paragraph" w:styleId="a3">
    <w:name w:val="List Paragraph"/>
    <w:basedOn w:val="a"/>
    <w:uiPriority w:val="34"/>
    <w:qFormat/>
    <w:rsid w:val="00256B40"/>
    <w:pPr>
      <w:ind w:leftChars="200" w:left="480"/>
    </w:pPr>
  </w:style>
  <w:style w:type="character" w:styleId="a4">
    <w:name w:val="Hyperlink"/>
    <w:uiPriority w:val="99"/>
    <w:unhideWhenUsed/>
    <w:rsid w:val="00256B40"/>
    <w:rPr>
      <w:color w:val="0000FF"/>
      <w:u w:val="single"/>
    </w:rPr>
  </w:style>
  <w:style w:type="paragraph" w:styleId="a5">
    <w:name w:val="header"/>
    <w:basedOn w:val="a"/>
    <w:link w:val="a6"/>
    <w:uiPriority w:val="99"/>
    <w:unhideWhenUsed/>
    <w:rsid w:val="00256B40"/>
    <w:pPr>
      <w:tabs>
        <w:tab w:val="center" w:pos="4153"/>
        <w:tab w:val="right" w:pos="8306"/>
      </w:tabs>
      <w:snapToGrid w:val="0"/>
    </w:pPr>
    <w:rPr>
      <w:sz w:val="20"/>
      <w:szCs w:val="20"/>
    </w:rPr>
  </w:style>
  <w:style w:type="character" w:customStyle="1" w:styleId="a6">
    <w:name w:val="頁首 字元"/>
    <w:link w:val="a5"/>
    <w:uiPriority w:val="99"/>
    <w:rsid w:val="00256B40"/>
    <w:rPr>
      <w:rFonts w:ascii="Calibri" w:eastAsia="新細明體" w:hAnsi="Calibri" w:cs="Times New Roman"/>
      <w:sz w:val="20"/>
      <w:szCs w:val="20"/>
    </w:rPr>
  </w:style>
  <w:style w:type="paragraph" w:styleId="a7">
    <w:name w:val="footer"/>
    <w:basedOn w:val="a"/>
    <w:link w:val="a8"/>
    <w:uiPriority w:val="99"/>
    <w:unhideWhenUsed/>
    <w:rsid w:val="00256B40"/>
    <w:pPr>
      <w:tabs>
        <w:tab w:val="center" w:pos="4153"/>
        <w:tab w:val="right" w:pos="8306"/>
      </w:tabs>
      <w:snapToGrid w:val="0"/>
    </w:pPr>
    <w:rPr>
      <w:sz w:val="20"/>
      <w:szCs w:val="20"/>
    </w:rPr>
  </w:style>
  <w:style w:type="character" w:customStyle="1" w:styleId="a8">
    <w:name w:val="頁尾 字元"/>
    <w:link w:val="a7"/>
    <w:uiPriority w:val="99"/>
    <w:rsid w:val="00256B40"/>
    <w:rPr>
      <w:rFonts w:ascii="Calibri" w:eastAsia="新細明體" w:hAnsi="Calibri" w:cs="Times New Roman"/>
      <w:sz w:val="20"/>
      <w:szCs w:val="20"/>
    </w:rPr>
  </w:style>
  <w:style w:type="paragraph" w:customStyle="1" w:styleId="Paragraph">
    <w:name w:val="Paragraph"/>
    <w:basedOn w:val="a"/>
    <w:next w:val="a"/>
    <w:qFormat/>
    <w:rsid w:val="00256B40"/>
    <w:pPr>
      <w:spacing w:before="240" w:line="480" w:lineRule="auto"/>
    </w:pPr>
    <w:rPr>
      <w:rFonts w:ascii="Times New Roman" w:hAnsi="Times New Roman"/>
      <w:kern w:val="0"/>
      <w:szCs w:val="24"/>
      <w:lang w:val="en-GB" w:eastAsia="en-GB"/>
    </w:rPr>
  </w:style>
  <w:style w:type="paragraph" w:customStyle="1" w:styleId="Displayedequation">
    <w:name w:val="Displayed equation"/>
    <w:basedOn w:val="a"/>
    <w:next w:val="Paragraph"/>
    <w:qFormat/>
    <w:rsid w:val="00256B40"/>
    <w:pPr>
      <w:widowControl/>
      <w:tabs>
        <w:tab w:val="center" w:pos="4253"/>
        <w:tab w:val="right" w:pos="8222"/>
      </w:tabs>
      <w:spacing w:before="240" w:after="240" w:line="480" w:lineRule="auto"/>
      <w:jc w:val="center"/>
    </w:pPr>
    <w:rPr>
      <w:rFonts w:ascii="Times New Roman" w:hAnsi="Times New Roman"/>
      <w:kern w:val="0"/>
      <w:szCs w:val="24"/>
      <w:lang w:val="en-GB" w:eastAsia="en-GB"/>
    </w:rPr>
  </w:style>
  <w:style w:type="paragraph" w:customStyle="1" w:styleId="Newparagraph">
    <w:name w:val="New paragraph"/>
    <w:basedOn w:val="a"/>
    <w:qFormat/>
    <w:rsid w:val="00256B40"/>
    <w:pPr>
      <w:widowControl/>
      <w:spacing w:line="480" w:lineRule="auto"/>
      <w:ind w:firstLine="720"/>
    </w:pPr>
    <w:rPr>
      <w:rFonts w:ascii="Times New Roman" w:hAnsi="Times New Roman"/>
      <w:kern w:val="0"/>
      <w:szCs w:val="24"/>
      <w:lang w:val="en-GB" w:eastAsia="en-GB"/>
    </w:rPr>
  </w:style>
  <w:style w:type="paragraph" w:styleId="a9">
    <w:name w:val="Balloon Text"/>
    <w:basedOn w:val="a"/>
    <w:link w:val="aa"/>
    <w:uiPriority w:val="99"/>
    <w:semiHidden/>
    <w:unhideWhenUsed/>
    <w:rsid w:val="00222D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22D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4494</Words>
  <Characters>25618</Characters>
  <Application>Microsoft Office Word</Application>
  <DocSecurity>0</DocSecurity>
  <Lines>213</Lines>
  <Paragraphs>60</Paragraphs>
  <ScaleCrop>false</ScaleCrop>
  <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林丹</dc:creator>
  <cp:lastModifiedBy>林丹</cp:lastModifiedBy>
  <cp:revision>18</cp:revision>
  <cp:lastPrinted>2016-03-08T09:16:00Z</cp:lastPrinted>
  <dcterms:created xsi:type="dcterms:W3CDTF">2016-03-08T08:58:00Z</dcterms:created>
  <dcterms:modified xsi:type="dcterms:W3CDTF">2016-03-08T11:46:00Z</dcterms:modified>
</cp:coreProperties>
</file>