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310" w:rsidRPr="003B1341" w:rsidRDefault="00386310" w:rsidP="00386310">
      <w:pPr>
        <w:spacing w:after="0"/>
        <w:ind w:left="720" w:right="590"/>
        <w:jc w:val="center"/>
        <w:rPr>
          <w:rFonts w:ascii="Arial" w:hAnsi="Arial" w:cs="Arial"/>
          <w:b/>
          <w:bCs/>
          <w:sz w:val="32"/>
          <w:szCs w:val="32"/>
        </w:rPr>
      </w:pPr>
      <w:r w:rsidRPr="003B1341">
        <w:rPr>
          <w:rFonts w:ascii="Arial" w:hAnsi="Arial" w:cs="Arial"/>
          <w:b/>
          <w:bCs/>
          <w:sz w:val="32"/>
          <w:szCs w:val="32"/>
        </w:rPr>
        <w:t>STOCK PRICE AND EXCHANGE RATE:</w:t>
      </w:r>
    </w:p>
    <w:p w:rsidR="003B1341" w:rsidRDefault="00386310" w:rsidP="001C538D">
      <w:pPr>
        <w:spacing w:after="0"/>
        <w:ind w:left="720" w:right="590"/>
        <w:jc w:val="center"/>
        <w:rPr>
          <w:rFonts w:ascii="Arial" w:hAnsi="Arial" w:cs="Arial"/>
          <w:b/>
          <w:bCs/>
          <w:sz w:val="32"/>
          <w:szCs w:val="32"/>
        </w:rPr>
      </w:pPr>
      <w:r w:rsidRPr="003B1341">
        <w:rPr>
          <w:rFonts w:ascii="Arial" w:hAnsi="Arial" w:cs="Arial"/>
          <w:b/>
          <w:bCs/>
          <w:sz w:val="32"/>
          <w:szCs w:val="32"/>
        </w:rPr>
        <w:t>THE CASE OF BIST 100</w:t>
      </w:r>
    </w:p>
    <w:p w:rsidR="003B1341" w:rsidRPr="003B1341" w:rsidRDefault="003B1341" w:rsidP="003B1341">
      <w:pPr>
        <w:spacing w:after="0"/>
        <w:ind w:left="720" w:right="590"/>
        <w:jc w:val="center"/>
        <w:rPr>
          <w:rFonts w:ascii="Arial" w:hAnsi="Arial" w:cs="Arial"/>
          <w:b/>
          <w:bCs/>
          <w:sz w:val="32"/>
          <w:szCs w:val="32"/>
        </w:rPr>
      </w:pPr>
    </w:p>
    <w:p w:rsidR="00386310" w:rsidRDefault="00386310" w:rsidP="001C538D">
      <w:pPr>
        <w:spacing w:after="0"/>
        <w:ind w:left="720" w:right="590"/>
        <w:jc w:val="center"/>
        <w:rPr>
          <w:rFonts w:ascii="Arial" w:hAnsi="Arial" w:cs="Arial"/>
          <w:b/>
          <w:bCs/>
          <w:sz w:val="24"/>
          <w:szCs w:val="24"/>
        </w:rPr>
      </w:pPr>
      <w:proofErr w:type="spellStart"/>
      <w:r w:rsidRPr="003B1341">
        <w:rPr>
          <w:rFonts w:ascii="Arial" w:hAnsi="Arial" w:cs="Arial"/>
          <w:b/>
          <w:bCs/>
          <w:sz w:val="24"/>
          <w:szCs w:val="24"/>
        </w:rPr>
        <w:t>Hakan</w:t>
      </w:r>
      <w:proofErr w:type="spellEnd"/>
      <w:r w:rsidRPr="003B1341">
        <w:rPr>
          <w:rFonts w:ascii="Arial" w:hAnsi="Arial" w:cs="Arial"/>
          <w:b/>
          <w:bCs/>
          <w:sz w:val="24"/>
          <w:szCs w:val="24"/>
        </w:rPr>
        <w:t xml:space="preserve"> ALTIN</w:t>
      </w:r>
      <w:r w:rsidR="001C538D">
        <w:rPr>
          <w:rStyle w:val="DipnotBavurusu"/>
          <w:rFonts w:ascii="Arial" w:hAnsi="Arial" w:cs="Arial"/>
          <w:b/>
          <w:bCs/>
          <w:sz w:val="24"/>
          <w:szCs w:val="24"/>
        </w:rPr>
        <w:footnoteReference w:id="1"/>
      </w:r>
    </w:p>
    <w:p w:rsidR="001C538D" w:rsidRPr="003B1341" w:rsidRDefault="001C538D" w:rsidP="001C538D">
      <w:pPr>
        <w:spacing w:after="0"/>
        <w:ind w:left="720" w:right="590"/>
        <w:jc w:val="center"/>
        <w:rPr>
          <w:rFonts w:ascii="Arial" w:hAnsi="Arial" w:cs="Arial"/>
          <w:b/>
          <w:bCs/>
          <w:sz w:val="24"/>
          <w:szCs w:val="24"/>
        </w:rPr>
      </w:pPr>
    </w:p>
    <w:p w:rsidR="001C538D" w:rsidRDefault="001C538D" w:rsidP="00386310">
      <w:pPr>
        <w:spacing w:after="0"/>
        <w:ind w:left="720" w:right="590"/>
        <w:jc w:val="center"/>
        <w:rPr>
          <w:rFonts w:ascii="Arial" w:hAnsi="Arial" w:cs="Arial"/>
          <w:b/>
          <w:bCs/>
          <w:sz w:val="24"/>
          <w:szCs w:val="24"/>
        </w:rPr>
      </w:pPr>
    </w:p>
    <w:p w:rsidR="00386310" w:rsidRPr="003B1341" w:rsidRDefault="00386310" w:rsidP="00386310">
      <w:pPr>
        <w:spacing w:after="0"/>
        <w:ind w:left="720" w:right="590"/>
        <w:jc w:val="center"/>
        <w:rPr>
          <w:rFonts w:ascii="Arial" w:hAnsi="Arial" w:cs="Arial"/>
          <w:b/>
          <w:bCs/>
          <w:sz w:val="24"/>
          <w:szCs w:val="24"/>
        </w:rPr>
      </w:pPr>
      <w:r w:rsidRPr="003B1341">
        <w:rPr>
          <w:rFonts w:ascii="Arial" w:hAnsi="Arial" w:cs="Arial"/>
          <w:b/>
          <w:bCs/>
          <w:sz w:val="24"/>
          <w:szCs w:val="24"/>
        </w:rPr>
        <w:t>Abstract</w:t>
      </w:r>
    </w:p>
    <w:p w:rsidR="00386310" w:rsidRPr="003B1341" w:rsidRDefault="00386310" w:rsidP="00386310">
      <w:pPr>
        <w:spacing w:after="0"/>
        <w:ind w:left="720" w:right="590"/>
        <w:jc w:val="center"/>
        <w:rPr>
          <w:rFonts w:ascii="Arial" w:hAnsi="Arial" w:cs="Arial"/>
          <w:bCs/>
          <w:sz w:val="24"/>
          <w:szCs w:val="24"/>
        </w:rPr>
      </w:pPr>
    </w:p>
    <w:p w:rsidR="00386310" w:rsidRPr="00762E25" w:rsidRDefault="00386310" w:rsidP="003B1341">
      <w:pPr>
        <w:spacing w:after="0"/>
        <w:ind w:left="720" w:right="590"/>
        <w:jc w:val="both"/>
        <w:rPr>
          <w:rFonts w:ascii="Arial" w:hAnsi="Arial" w:cs="Arial"/>
          <w:bCs/>
          <w:i/>
          <w:sz w:val="20"/>
          <w:szCs w:val="20"/>
        </w:rPr>
      </w:pPr>
      <w:r w:rsidRPr="003B1341">
        <w:rPr>
          <w:rFonts w:ascii="Arial" w:hAnsi="Arial" w:cs="Arial"/>
          <w:bCs/>
          <w:sz w:val="24"/>
          <w:szCs w:val="24"/>
        </w:rPr>
        <w:tab/>
      </w:r>
      <w:r w:rsidRPr="00762E25">
        <w:rPr>
          <w:rFonts w:ascii="Arial" w:hAnsi="Arial" w:cs="Arial"/>
          <w:bCs/>
          <w:i/>
          <w:sz w:val="20"/>
          <w:szCs w:val="20"/>
        </w:rPr>
        <w:t>Variations in the exchange rate</w:t>
      </w:r>
      <w:r w:rsidR="006B18F5" w:rsidRPr="00762E25">
        <w:rPr>
          <w:rFonts w:ascii="Arial" w:hAnsi="Arial" w:cs="Arial"/>
          <w:bCs/>
          <w:i/>
          <w:sz w:val="20"/>
          <w:szCs w:val="20"/>
        </w:rPr>
        <w:t>s</w:t>
      </w:r>
      <w:r w:rsidRPr="00762E25">
        <w:rPr>
          <w:rFonts w:ascii="Arial" w:hAnsi="Arial" w:cs="Arial"/>
          <w:bCs/>
          <w:i/>
          <w:sz w:val="20"/>
          <w:szCs w:val="20"/>
        </w:rPr>
        <w:t xml:space="preserve"> concern all parts of the economy.</w:t>
      </w:r>
      <w:r w:rsidR="007F5614" w:rsidRPr="00762E25">
        <w:rPr>
          <w:rFonts w:ascii="Arial" w:hAnsi="Arial" w:cs="Arial"/>
          <w:bCs/>
          <w:i/>
          <w:sz w:val="20"/>
          <w:szCs w:val="20"/>
        </w:rPr>
        <w:t xml:space="preserve">  </w:t>
      </w:r>
      <w:r w:rsidR="003C452B" w:rsidRPr="00762E25">
        <w:rPr>
          <w:rFonts w:ascii="Arial" w:hAnsi="Arial" w:cs="Arial"/>
          <w:bCs/>
          <w:i/>
          <w:sz w:val="20"/>
          <w:szCs w:val="20"/>
        </w:rPr>
        <w:t>One of t</w:t>
      </w:r>
      <w:r w:rsidR="007F5614" w:rsidRPr="00762E25">
        <w:rPr>
          <w:rFonts w:ascii="Arial" w:hAnsi="Arial" w:cs="Arial"/>
          <w:bCs/>
          <w:i/>
          <w:sz w:val="20"/>
          <w:szCs w:val="20"/>
        </w:rPr>
        <w:t>hose concerned topics is stock</w:t>
      </w:r>
      <w:r w:rsidR="0039402E" w:rsidRPr="00762E25">
        <w:rPr>
          <w:rFonts w:ascii="Arial" w:hAnsi="Arial" w:cs="Arial"/>
          <w:bCs/>
          <w:i/>
          <w:sz w:val="20"/>
          <w:szCs w:val="20"/>
        </w:rPr>
        <w:t xml:space="preserve"> (share)</w:t>
      </w:r>
      <w:r w:rsidR="007F5614" w:rsidRPr="00762E25">
        <w:rPr>
          <w:rFonts w:ascii="Arial" w:hAnsi="Arial" w:cs="Arial"/>
          <w:bCs/>
          <w:i/>
          <w:sz w:val="20"/>
          <w:szCs w:val="20"/>
        </w:rPr>
        <w:t xml:space="preserve"> prices and stock market indexes.</w:t>
      </w:r>
      <w:r w:rsidR="003C452B" w:rsidRPr="00762E25">
        <w:rPr>
          <w:rFonts w:ascii="Arial" w:hAnsi="Arial" w:cs="Arial"/>
          <w:bCs/>
          <w:i/>
          <w:sz w:val="20"/>
          <w:szCs w:val="20"/>
        </w:rPr>
        <w:t xml:space="preserve"> In the study, the long term relationship between exchange rates and İstanbul Stock Exchange is analyzed. According to application results, there is a significant relationship between exchange rates and BIST 100. This result is </w:t>
      </w:r>
      <w:r w:rsidR="0039402E" w:rsidRPr="00762E25">
        <w:rPr>
          <w:rFonts w:ascii="Arial" w:hAnsi="Arial" w:cs="Arial"/>
          <w:bCs/>
          <w:i/>
          <w:sz w:val="20"/>
          <w:szCs w:val="20"/>
        </w:rPr>
        <w:t>consistent with Turkey’s foreign currency composition. However, the direction of the effect of foreign currencies on BIST 100 gives mixed results. In other words, the effect of each foreign currency on the stock index may be different. As a result, the existence of both short term and long term significant relationships between foreign currency markets and securities exchanges can be stated.</w:t>
      </w:r>
    </w:p>
    <w:p w:rsidR="0039402E" w:rsidRPr="003B1341" w:rsidRDefault="0039402E" w:rsidP="00386310">
      <w:pPr>
        <w:spacing w:after="0"/>
        <w:ind w:left="720" w:right="590"/>
        <w:rPr>
          <w:rFonts w:ascii="Arial" w:hAnsi="Arial" w:cs="Arial"/>
          <w:bCs/>
          <w:sz w:val="24"/>
          <w:szCs w:val="24"/>
        </w:rPr>
      </w:pPr>
    </w:p>
    <w:p w:rsidR="0039402E" w:rsidRPr="003B1341" w:rsidRDefault="0039402E" w:rsidP="0039402E">
      <w:pPr>
        <w:spacing w:after="0"/>
        <w:ind w:left="720" w:right="590"/>
        <w:rPr>
          <w:rFonts w:ascii="Arial" w:hAnsi="Arial" w:cs="Arial"/>
          <w:bCs/>
          <w:sz w:val="24"/>
          <w:szCs w:val="24"/>
        </w:rPr>
      </w:pPr>
      <w:r w:rsidRPr="003B1341">
        <w:rPr>
          <w:rFonts w:ascii="Arial" w:hAnsi="Arial" w:cs="Arial"/>
          <w:b/>
          <w:bCs/>
          <w:sz w:val="24"/>
          <w:szCs w:val="24"/>
        </w:rPr>
        <w:t xml:space="preserve">Keywords: </w:t>
      </w:r>
      <w:r w:rsidRPr="003B1341">
        <w:rPr>
          <w:rFonts w:ascii="Arial" w:hAnsi="Arial" w:cs="Arial"/>
          <w:bCs/>
          <w:sz w:val="24"/>
          <w:szCs w:val="24"/>
        </w:rPr>
        <w:t xml:space="preserve">Stock Price, Exchange Rate, Istanbul Stock Exchange (ISE), BIST 100, Johansen </w:t>
      </w:r>
      <w:proofErr w:type="spellStart"/>
      <w:r w:rsidRPr="003B1341">
        <w:rPr>
          <w:rFonts w:ascii="Arial" w:hAnsi="Arial" w:cs="Arial"/>
          <w:bCs/>
          <w:sz w:val="24"/>
          <w:szCs w:val="24"/>
        </w:rPr>
        <w:t>Cointegraion</w:t>
      </w:r>
      <w:proofErr w:type="spellEnd"/>
      <w:r w:rsidRPr="003B1341">
        <w:rPr>
          <w:rFonts w:ascii="Arial" w:hAnsi="Arial" w:cs="Arial"/>
          <w:bCs/>
          <w:sz w:val="24"/>
          <w:szCs w:val="24"/>
        </w:rPr>
        <w:t xml:space="preserve"> Test</w:t>
      </w:r>
    </w:p>
    <w:p w:rsidR="006432BE" w:rsidRPr="003B1341" w:rsidRDefault="006432BE" w:rsidP="006432BE">
      <w:pPr>
        <w:spacing w:after="0"/>
        <w:ind w:left="720" w:right="590"/>
        <w:rPr>
          <w:rFonts w:ascii="Arial" w:hAnsi="Arial" w:cs="Arial"/>
          <w:b/>
          <w:bCs/>
          <w:sz w:val="24"/>
          <w:szCs w:val="24"/>
        </w:rPr>
      </w:pPr>
    </w:p>
    <w:p w:rsidR="006432BE" w:rsidRPr="003B1341" w:rsidRDefault="006432BE" w:rsidP="006432BE">
      <w:pPr>
        <w:spacing w:after="0"/>
        <w:ind w:left="720" w:right="590"/>
        <w:rPr>
          <w:rFonts w:ascii="Arial" w:hAnsi="Arial" w:cs="Arial"/>
          <w:bCs/>
          <w:sz w:val="24"/>
          <w:szCs w:val="24"/>
        </w:rPr>
      </w:pPr>
      <w:r w:rsidRPr="003B1341">
        <w:rPr>
          <w:rFonts w:ascii="Arial" w:hAnsi="Arial" w:cs="Arial"/>
          <w:b/>
          <w:bCs/>
          <w:sz w:val="24"/>
          <w:szCs w:val="24"/>
        </w:rPr>
        <w:t xml:space="preserve">JEL Classification Code: </w:t>
      </w:r>
      <w:r w:rsidRPr="003B1341">
        <w:rPr>
          <w:rFonts w:ascii="Arial" w:hAnsi="Arial" w:cs="Arial"/>
          <w:bCs/>
          <w:sz w:val="24"/>
          <w:szCs w:val="24"/>
        </w:rPr>
        <w:t>G1, G12, G15</w:t>
      </w:r>
    </w:p>
    <w:p w:rsidR="006432BE" w:rsidRPr="003B1341" w:rsidRDefault="006432BE" w:rsidP="006432BE">
      <w:pPr>
        <w:spacing w:after="0"/>
        <w:ind w:left="720" w:right="590"/>
        <w:rPr>
          <w:rFonts w:ascii="Arial" w:hAnsi="Arial" w:cs="Arial"/>
          <w:b/>
          <w:bCs/>
          <w:sz w:val="24"/>
          <w:szCs w:val="24"/>
        </w:rPr>
      </w:pPr>
    </w:p>
    <w:p w:rsidR="006432BE" w:rsidRPr="009F6606" w:rsidRDefault="006432BE" w:rsidP="009F6606">
      <w:pPr>
        <w:pStyle w:val="ListeParagraf"/>
        <w:numPr>
          <w:ilvl w:val="0"/>
          <w:numId w:val="3"/>
        </w:numPr>
        <w:spacing w:after="0"/>
        <w:ind w:right="590"/>
        <w:rPr>
          <w:rFonts w:ascii="Arial" w:hAnsi="Arial" w:cs="Arial"/>
          <w:b/>
          <w:bCs/>
          <w:sz w:val="24"/>
          <w:szCs w:val="24"/>
        </w:rPr>
      </w:pPr>
      <w:r w:rsidRPr="009F6606">
        <w:rPr>
          <w:rFonts w:ascii="Arial" w:hAnsi="Arial" w:cs="Arial"/>
          <w:b/>
          <w:bCs/>
          <w:sz w:val="24"/>
          <w:szCs w:val="24"/>
        </w:rPr>
        <w:t>Introduction</w:t>
      </w:r>
    </w:p>
    <w:p w:rsidR="006432BE" w:rsidRPr="003B1341" w:rsidRDefault="006432BE" w:rsidP="006432BE">
      <w:pPr>
        <w:spacing w:after="0"/>
        <w:ind w:left="720" w:right="590"/>
        <w:rPr>
          <w:rFonts w:ascii="Arial" w:hAnsi="Arial" w:cs="Arial"/>
          <w:b/>
          <w:bCs/>
          <w:sz w:val="24"/>
          <w:szCs w:val="24"/>
        </w:rPr>
      </w:pPr>
    </w:p>
    <w:p w:rsidR="0068266F" w:rsidRPr="001C538D" w:rsidRDefault="006432BE" w:rsidP="001C538D">
      <w:pPr>
        <w:spacing w:after="0"/>
        <w:ind w:right="590"/>
        <w:jc w:val="both"/>
        <w:rPr>
          <w:rFonts w:ascii="Arial" w:hAnsi="Arial" w:cs="Arial"/>
          <w:bCs/>
          <w:sz w:val="24"/>
          <w:szCs w:val="24"/>
        </w:rPr>
      </w:pPr>
      <w:r w:rsidRPr="003B1341">
        <w:rPr>
          <w:rFonts w:ascii="Arial" w:hAnsi="Arial" w:cs="Arial"/>
          <w:bCs/>
          <w:sz w:val="24"/>
          <w:szCs w:val="24"/>
        </w:rPr>
        <w:t xml:space="preserve">The existence of promising high </w:t>
      </w:r>
      <w:r w:rsidR="00CB29A3" w:rsidRPr="003B1341">
        <w:rPr>
          <w:rFonts w:ascii="Arial" w:hAnsi="Arial" w:cs="Arial"/>
          <w:bCs/>
          <w:sz w:val="24"/>
          <w:szCs w:val="24"/>
        </w:rPr>
        <w:t>profit</w:t>
      </w:r>
      <w:r w:rsidRPr="003B1341">
        <w:rPr>
          <w:rFonts w:ascii="Arial" w:hAnsi="Arial" w:cs="Arial"/>
          <w:bCs/>
          <w:sz w:val="24"/>
          <w:szCs w:val="24"/>
        </w:rPr>
        <w:t xml:space="preserve"> capital markets, the controls over foreign</w:t>
      </w:r>
      <w:r w:rsidR="003F4E16" w:rsidRPr="003B1341">
        <w:rPr>
          <w:rFonts w:ascii="Arial" w:hAnsi="Arial" w:cs="Arial"/>
          <w:bCs/>
          <w:sz w:val="24"/>
          <w:szCs w:val="24"/>
        </w:rPr>
        <w:t xml:space="preserve"> capitals becoming more flexible globally and the choice of flexible rate regime on foreign currency markets have all brought the determination of the relationship between stock (share) prices and foreign currency rates into attention. These kinds of steps towards the increase of global free trade are increasing direct international foreign investors and international portfolio investments. An investment to a foreign country is also an investment to that country’s national currency. Therefore, when securities investments become international, it affects both local and foreign investors.</w:t>
      </w:r>
    </w:p>
    <w:p w:rsidR="0068266F" w:rsidRPr="00E93EDC" w:rsidRDefault="0068266F" w:rsidP="003F4E16">
      <w:pPr>
        <w:spacing w:after="0"/>
        <w:ind w:left="720" w:right="590"/>
        <w:rPr>
          <w:rFonts w:ascii="Times New Roman" w:hAnsi="Times New Roman"/>
          <w:bCs/>
          <w:sz w:val="24"/>
          <w:szCs w:val="24"/>
        </w:rPr>
      </w:pPr>
    </w:p>
    <w:p w:rsidR="0068266F" w:rsidRPr="003B1341" w:rsidRDefault="003F4E16" w:rsidP="001C538D">
      <w:pPr>
        <w:spacing w:after="0"/>
        <w:ind w:right="590" w:firstLine="708"/>
        <w:jc w:val="both"/>
        <w:rPr>
          <w:rFonts w:ascii="Arial" w:hAnsi="Arial" w:cs="Arial"/>
          <w:bCs/>
          <w:sz w:val="24"/>
          <w:szCs w:val="24"/>
        </w:rPr>
      </w:pPr>
      <w:r w:rsidRPr="003B1341">
        <w:rPr>
          <w:rFonts w:ascii="Arial" w:hAnsi="Arial" w:cs="Arial"/>
          <w:bCs/>
          <w:sz w:val="24"/>
          <w:szCs w:val="24"/>
        </w:rPr>
        <w:t xml:space="preserve">Classical economy theory explains the relationship between exchange rates and stock prices with flow oriented and portfolio balance models. The pioneering study in literature belongs to </w:t>
      </w:r>
      <w:proofErr w:type="spellStart"/>
      <w:r w:rsidRPr="003B1341">
        <w:rPr>
          <w:rFonts w:ascii="Arial" w:hAnsi="Arial" w:cs="Arial"/>
          <w:bCs/>
          <w:sz w:val="24"/>
          <w:szCs w:val="24"/>
        </w:rPr>
        <w:t>Dornbusch</w:t>
      </w:r>
      <w:proofErr w:type="spellEnd"/>
      <w:r w:rsidRPr="003B1341">
        <w:rPr>
          <w:rFonts w:ascii="Arial" w:hAnsi="Arial" w:cs="Arial"/>
          <w:bCs/>
          <w:sz w:val="24"/>
          <w:szCs w:val="24"/>
        </w:rPr>
        <w:t xml:space="preserve"> and Fisher (1980). </w:t>
      </w:r>
      <w:r w:rsidR="0068266F" w:rsidRPr="003B1341">
        <w:rPr>
          <w:rFonts w:ascii="Arial" w:hAnsi="Arial" w:cs="Arial"/>
          <w:bCs/>
          <w:sz w:val="24"/>
          <w:szCs w:val="24"/>
        </w:rPr>
        <w:t xml:space="preserve">According to the authors, the variations in exchange rates affect stock prices. Authors state that, while the discount rate is being determined during the </w:t>
      </w:r>
      <w:r w:rsidR="0068266F" w:rsidRPr="003B1341">
        <w:rPr>
          <w:rFonts w:ascii="Arial" w:hAnsi="Arial" w:cs="Arial"/>
          <w:bCs/>
          <w:sz w:val="24"/>
          <w:szCs w:val="24"/>
        </w:rPr>
        <w:lastRenderedPageBreak/>
        <w:t xml:space="preserve">calculation of current values of corporations, exchange rates, which may affect the cash flow of the corporation in the future, should be included in this discount rate. The study trying to explain the relationship between stock prices and exchange rates using portfolio balance belongs to Branson </w:t>
      </w:r>
      <w:proofErr w:type="gramStart"/>
      <w:r w:rsidR="0068266F" w:rsidRPr="003B1341">
        <w:rPr>
          <w:rFonts w:ascii="Arial" w:hAnsi="Arial" w:cs="Arial"/>
          <w:bCs/>
          <w:sz w:val="24"/>
          <w:szCs w:val="24"/>
        </w:rPr>
        <w:t>et</w:t>
      </w:r>
      <w:proofErr w:type="gramEnd"/>
      <w:r w:rsidR="0068266F" w:rsidRPr="003B1341">
        <w:rPr>
          <w:rFonts w:ascii="Arial" w:hAnsi="Arial" w:cs="Arial"/>
          <w:bCs/>
          <w:sz w:val="24"/>
          <w:szCs w:val="24"/>
        </w:rPr>
        <w:t xml:space="preserve">. </w:t>
      </w:r>
      <w:proofErr w:type="gramStart"/>
      <w:r w:rsidR="0068266F" w:rsidRPr="003B1341">
        <w:rPr>
          <w:rFonts w:ascii="Arial" w:hAnsi="Arial" w:cs="Arial"/>
          <w:bCs/>
          <w:sz w:val="24"/>
          <w:szCs w:val="24"/>
        </w:rPr>
        <w:t>al. (1977).</w:t>
      </w:r>
      <w:proofErr w:type="gramEnd"/>
      <w:r w:rsidR="0068266F" w:rsidRPr="003B1341">
        <w:rPr>
          <w:rFonts w:ascii="Arial" w:hAnsi="Arial" w:cs="Arial"/>
          <w:bCs/>
          <w:sz w:val="24"/>
          <w:szCs w:val="24"/>
        </w:rPr>
        <w:t xml:space="preserve"> According to authors, the variations in foreign currency rates affect capital flow. In such situation, debt structure of corporations, profitability, corporate value, stock prices and possible cash flow will be affected.</w:t>
      </w:r>
    </w:p>
    <w:p w:rsidR="0068266F" w:rsidRPr="003B1341" w:rsidRDefault="0068266F" w:rsidP="003B1341">
      <w:pPr>
        <w:spacing w:after="0"/>
        <w:ind w:left="720" w:right="590"/>
        <w:jc w:val="both"/>
        <w:rPr>
          <w:rFonts w:ascii="Arial" w:hAnsi="Arial" w:cs="Arial"/>
          <w:bCs/>
          <w:sz w:val="24"/>
          <w:szCs w:val="24"/>
        </w:rPr>
      </w:pPr>
    </w:p>
    <w:p w:rsidR="00CB29A3" w:rsidRPr="003B1341" w:rsidRDefault="0068266F" w:rsidP="001C538D">
      <w:pPr>
        <w:spacing w:after="0"/>
        <w:ind w:right="590" w:firstLine="708"/>
        <w:jc w:val="both"/>
        <w:rPr>
          <w:rFonts w:ascii="Arial" w:hAnsi="Arial" w:cs="Arial"/>
          <w:bCs/>
          <w:sz w:val="24"/>
          <w:szCs w:val="24"/>
        </w:rPr>
      </w:pPr>
      <w:r w:rsidRPr="003B1341">
        <w:rPr>
          <w:rFonts w:ascii="Arial" w:hAnsi="Arial" w:cs="Arial"/>
          <w:bCs/>
          <w:sz w:val="24"/>
          <w:szCs w:val="24"/>
        </w:rPr>
        <w:t xml:space="preserve">According to a corporation based study by </w:t>
      </w:r>
      <w:proofErr w:type="spellStart"/>
      <w:r w:rsidRPr="003B1341">
        <w:rPr>
          <w:rFonts w:ascii="Arial" w:hAnsi="Arial" w:cs="Arial"/>
          <w:bCs/>
          <w:sz w:val="24"/>
          <w:szCs w:val="24"/>
        </w:rPr>
        <w:t>Phylaktis</w:t>
      </w:r>
      <w:proofErr w:type="spellEnd"/>
      <w:r w:rsidRPr="003B1341">
        <w:rPr>
          <w:rFonts w:ascii="Arial" w:hAnsi="Arial" w:cs="Arial"/>
          <w:bCs/>
          <w:sz w:val="24"/>
          <w:szCs w:val="24"/>
        </w:rPr>
        <w:t xml:space="preserve"> and </w:t>
      </w:r>
      <w:proofErr w:type="spellStart"/>
      <w:r w:rsidRPr="003B1341">
        <w:rPr>
          <w:rFonts w:ascii="Arial" w:hAnsi="Arial" w:cs="Arial"/>
          <w:bCs/>
          <w:sz w:val="24"/>
          <w:szCs w:val="24"/>
        </w:rPr>
        <w:t>Ravazzolo</w:t>
      </w:r>
      <w:proofErr w:type="spellEnd"/>
      <w:r w:rsidRPr="003B1341">
        <w:rPr>
          <w:rFonts w:ascii="Arial" w:hAnsi="Arial" w:cs="Arial"/>
          <w:bCs/>
          <w:sz w:val="24"/>
          <w:szCs w:val="24"/>
        </w:rPr>
        <w:t xml:space="preserve"> (2000), foreign exchange rate fluctuations affect the discount rate or in other words cost of capital of the corporation. </w:t>
      </w:r>
      <w:r w:rsidR="00CB29A3" w:rsidRPr="003B1341">
        <w:rPr>
          <w:rFonts w:ascii="Arial" w:hAnsi="Arial" w:cs="Arial"/>
          <w:bCs/>
          <w:sz w:val="24"/>
          <w:szCs w:val="24"/>
        </w:rPr>
        <w:t xml:space="preserve">According to authors, executives of multinational corporations are at the risk of the exchange rates with the contracts they sign. Therefore, profit or loss in the exchange rates affects the investments companies stand to make. In their study, </w:t>
      </w:r>
      <w:proofErr w:type="spellStart"/>
      <w:r w:rsidR="00CB29A3" w:rsidRPr="003B1341">
        <w:rPr>
          <w:rFonts w:ascii="Arial" w:hAnsi="Arial" w:cs="Arial"/>
          <w:bCs/>
          <w:sz w:val="24"/>
          <w:szCs w:val="24"/>
        </w:rPr>
        <w:t>Dornbusch</w:t>
      </w:r>
      <w:proofErr w:type="spellEnd"/>
      <w:r w:rsidR="00CB29A3" w:rsidRPr="003B1341">
        <w:rPr>
          <w:rFonts w:ascii="Arial" w:hAnsi="Arial" w:cs="Arial"/>
          <w:bCs/>
          <w:sz w:val="24"/>
          <w:szCs w:val="24"/>
        </w:rPr>
        <w:t xml:space="preserve"> (1975) set forth two important theses. Firstly, the decrease in stock prices will diminish local economy’s prosperity thus reducing the demand for money. Accordingly, interest rates will decrease. Secondly, the flow of capital abroad will be less than expected, thus pressurizing the market for the depreciation of exchange rates.</w:t>
      </w:r>
    </w:p>
    <w:p w:rsidR="00CB29A3" w:rsidRPr="003B1341" w:rsidRDefault="00CB29A3" w:rsidP="003B1341">
      <w:pPr>
        <w:spacing w:after="0"/>
        <w:ind w:left="720" w:right="590"/>
        <w:jc w:val="both"/>
        <w:rPr>
          <w:rFonts w:ascii="Arial" w:hAnsi="Arial" w:cs="Arial"/>
          <w:bCs/>
          <w:sz w:val="24"/>
          <w:szCs w:val="24"/>
        </w:rPr>
      </w:pPr>
    </w:p>
    <w:p w:rsidR="00396315" w:rsidRPr="003B1341" w:rsidRDefault="00396315" w:rsidP="001C538D">
      <w:pPr>
        <w:spacing w:after="0"/>
        <w:ind w:right="590" w:firstLine="708"/>
        <w:jc w:val="both"/>
        <w:rPr>
          <w:rFonts w:ascii="Arial" w:hAnsi="Arial" w:cs="Arial"/>
          <w:bCs/>
          <w:sz w:val="24"/>
          <w:szCs w:val="24"/>
        </w:rPr>
      </w:pPr>
      <w:r w:rsidRPr="003B1341">
        <w:rPr>
          <w:rFonts w:ascii="Arial" w:hAnsi="Arial" w:cs="Arial"/>
          <w:bCs/>
          <w:sz w:val="24"/>
          <w:szCs w:val="24"/>
        </w:rPr>
        <w:t>In today’s economies where export based growth policy is pursued, the change in exchange rates will cause the export incomes to change. Under the assumption of Ceteris Paribus, while the income is expected to rise, the decrease of the exchange rate</w:t>
      </w:r>
      <w:r w:rsidR="006B18F5" w:rsidRPr="003B1341">
        <w:rPr>
          <w:rFonts w:ascii="Arial" w:hAnsi="Arial" w:cs="Arial"/>
          <w:bCs/>
          <w:sz w:val="24"/>
          <w:szCs w:val="24"/>
        </w:rPr>
        <w:t>s</w:t>
      </w:r>
      <w:r w:rsidRPr="003B1341">
        <w:rPr>
          <w:rFonts w:ascii="Arial" w:hAnsi="Arial" w:cs="Arial"/>
          <w:bCs/>
          <w:sz w:val="24"/>
          <w:szCs w:val="24"/>
        </w:rPr>
        <w:t xml:space="preserve"> in case of the opposite is expected to increase the country’s national currency thus reducing export income.</w:t>
      </w:r>
    </w:p>
    <w:p w:rsidR="00396315" w:rsidRPr="003B1341" w:rsidRDefault="00396315" w:rsidP="003B1341">
      <w:pPr>
        <w:spacing w:after="0"/>
        <w:ind w:left="720" w:right="590"/>
        <w:jc w:val="both"/>
        <w:rPr>
          <w:rFonts w:ascii="Arial" w:hAnsi="Arial" w:cs="Arial"/>
          <w:bCs/>
          <w:sz w:val="24"/>
          <w:szCs w:val="24"/>
        </w:rPr>
      </w:pPr>
    </w:p>
    <w:p w:rsidR="003B1341" w:rsidRDefault="00396315" w:rsidP="001C538D">
      <w:pPr>
        <w:spacing w:after="0"/>
        <w:ind w:right="590" w:firstLine="708"/>
        <w:jc w:val="both"/>
        <w:rPr>
          <w:rFonts w:ascii="Arial" w:hAnsi="Arial" w:cs="Arial"/>
          <w:bCs/>
          <w:sz w:val="24"/>
          <w:szCs w:val="24"/>
        </w:rPr>
      </w:pPr>
      <w:r w:rsidRPr="003B1341">
        <w:rPr>
          <w:rFonts w:ascii="Arial" w:hAnsi="Arial" w:cs="Arial"/>
          <w:bCs/>
          <w:sz w:val="24"/>
          <w:szCs w:val="24"/>
        </w:rPr>
        <w:t>On the other hand, there are lot of macro-economic variables informing the length and intensity of the fluctuations to the market, stakeholders or the investors.</w:t>
      </w:r>
      <w:r w:rsidR="006B18F5" w:rsidRPr="003B1341">
        <w:rPr>
          <w:rFonts w:ascii="Arial" w:hAnsi="Arial" w:cs="Arial"/>
          <w:bCs/>
          <w:sz w:val="24"/>
          <w:szCs w:val="24"/>
        </w:rPr>
        <w:t xml:space="preserve"> Exchange rates and interest rates are just the two of those variables. In literature, it is stated that the exchange rates and market interest rates affect each other. This effect is seen in stock markets reciprocally. For example, Mexico, for years, has fixed their national currency Peso to United States Dollars. It promised the American market a higher profit. This situation started a serious Dollar flow to Mexican financial markets. Investors, who procured credits from U.S. markets with low interest rates, exchanged them into Pesos in </w:t>
      </w:r>
    </w:p>
    <w:p w:rsidR="004546F4" w:rsidRPr="003B1341" w:rsidRDefault="006B18F5" w:rsidP="00FD29D7">
      <w:pPr>
        <w:spacing w:after="0"/>
        <w:ind w:right="590"/>
        <w:jc w:val="both"/>
        <w:rPr>
          <w:rFonts w:ascii="Arial" w:hAnsi="Arial" w:cs="Arial"/>
          <w:bCs/>
          <w:sz w:val="24"/>
          <w:szCs w:val="24"/>
        </w:rPr>
      </w:pPr>
      <w:r w:rsidRPr="003B1341">
        <w:rPr>
          <w:rFonts w:ascii="Arial" w:hAnsi="Arial" w:cs="Arial"/>
          <w:bCs/>
          <w:sz w:val="24"/>
          <w:szCs w:val="24"/>
        </w:rPr>
        <w:t xml:space="preserve">Mexican markets, gained high and risk-free interest profits. When the expiry date arrived, the investors exchanged those high risk-free profits gained from Pesos </w:t>
      </w:r>
      <w:r w:rsidR="00EC0364" w:rsidRPr="003B1341">
        <w:rPr>
          <w:rFonts w:ascii="Arial" w:hAnsi="Arial" w:cs="Arial"/>
          <w:bCs/>
          <w:sz w:val="24"/>
          <w:szCs w:val="24"/>
        </w:rPr>
        <w:t>into U.S. Dollars using the same fixed exchange rate having more Dollars in the end.</w:t>
      </w:r>
    </w:p>
    <w:p w:rsidR="004546F4" w:rsidRPr="003B1341" w:rsidRDefault="004546F4" w:rsidP="003B1341">
      <w:pPr>
        <w:spacing w:after="0"/>
        <w:ind w:left="720" w:right="590"/>
        <w:jc w:val="both"/>
        <w:rPr>
          <w:rFonts w:ascii="Arial" w:hAnsi="Arial" w:cs="Arial"/>
          <w:bCs/>
          <w:sz w:val="24"/>
          <w:szCs w:val="24"/>
        </w:rPr>
      </w:pPr>
    </w:p>
    <w:p w:rsidR="00BD490C" w:rsidRPr="003B1341" w:rsidRDefault="004546F4" w:rsidP="001C538D">
      <w:pPr>
        <w:spacing w:after="0"/>
        <w:ind w:right="590" w:firstLine="708"/>
        <w:jc w:val="both"/>
        <w:rPr>
          <w:rFonts w:ascii="Arial" w:hAnsi="Arial" w:cs="Arial"/>
          <w:bCs/>
          <w:sz w:val="24"/>
          <w:szCs w:val="24"/>
        </w:rPr>
      </w:pPr>
      <w:r w:rsidRPr="003B1341">
        <w:rPr>
          <w:rFonts w:ascii="Arial" w:hAnsi="Arial" w:cs="Arial"/>
          <w:bCs/>
          <w:sz w:val="24"/>
          <w:szCs w:val="24"/>
        </w:rPr>
        <w:t>This theoretical result cannot continue to occur due to the fact that peso will be subjected to devaluation. This result is supported by Krueger (1983) research. According to the author,</w:t>
      </w:r>
      <w:r w:rsidR="00BD490C" w:rsidRPr="003B1341">
        <w:rPr>
          <w:rFonts w:ascii="Arial" w:hAnsi="Arial" w:cs="Arial"/>
          <w:bCs/>
          <w:sz w:val="24"/>
          <w:szCs w:val="24"/>
        </w:rPr>
        <w:t xml:space="preserve"> high interest rates will cause capital inflows </w:t>
      </w:r>
      <w:r w:rsidR="00BD490C" w:rsidRPr="003B1341">
        <w:rPr>
          <w:rFonts w:ascii="Arial" w:hAnsi="Arial" w:cs="Arial"/>
          <w:bCs/>
          <w:sz w:val="24"/>
          <w:szCs w:val="24"/>
        </w:rPr>
        <w:lastRenderedPageBreak/>
        <w:t>to the country. However, this situation will result in the country’s national currency depreciating.</w:t>
      </w:r>
    </w:p>
    <w:p w:rsidR="00BD490C" w:rsidRPr="003B1341" w:rsidRDefault="00BD490C" w:rsidP="003B1341">
      <w:pPr>
        <w:spacing w:after="0"/>
        <w:ind w:left="720" w:right="590"/>
        <w:jc w:val="both"/>
        <w:rPr>
          <w:rFonts w:ascii="Arial" w:hAnsi="Arial" w:cs="Arial"/>
          <w:bCs/>
          <w:sz w:val="24"/>
          <w:szCs w:val="24"/>
        </w:rPr>
      </w:pPr>
    </w:p>
    <w:p w:rsidR="003F4E16" w:rsidRPr="003B1341" w:rsidRDefault="004873AB" w:rsidP="001C538D">
      <w:pPr>
        <w:spacing w:after="0"/>
        <w:ind w:right="590" w:firstLine="708"/>
        <w:jc w:val="both"/>
        <w:rPr>
          <w:rFonts w:ascii="Arial" w:hAnsi="Arial" w:cs="Arial"/>
          <w:bCs/>
          <w:sz w:val="24"/>
          <w:szCs w:val="24"/>
        </w:rPr>
      </w:pPr>
      <w:r w:rsidRPr="003B1341">
        <w:rPr>
          <w:rFonts w:ascii="Arial" w:hAnsi="Arial" w:cs="Arial"/>
          <w:bCs/>
          <w:sz w:val="24"/>
          <w:szCs w:val="24"/>
        </w:rPr>
        <w:t xml:space="preserve">A topic to be considered is high levels of capital activity. According to this approach, either the trade happened or the trade that is going to happen is not determined by the daily supply and demand of foreign currencies, because the contracts are arranged </w:t>
      </w:r>
      <w:r w:rsidR="002A5C6F" w:rsidRPr="003B1341">
        <w:rPr>
          <w:rFonts w:ascii="Arial" w:hAnsi="Arial" w:cs="Arial"/>
          <w:bCs/>
          <w:sz w:val="24"/>
          <w:szCs w:val="24"/>
        </w:rPr>
        <w:t>in</w:t>
      </w:r>
      <w:r w:rsidRPr="003B1341">
        <w:rPr>
          <w:rFonts w:ascii="Arial" w:hAnsi="Arial" w:cs="Arial"/>
          <w:bCs/>
          <w:sz w:val="24"/>
          <w:szCs w:val="24"/>
        </w:rPr>
        <w:t xml:space="preserve"> advance.</w:t>
      </w:r>
      <w:r w:rsidR="00D4637C" w:rsidRPr="003B1341">
        <w:rPr>
          <w:rFonts w:ascii="Arial" w:hAnsi="Arial" w:cs="Arial"/>
          <w:bCs/>
          <w:sz w:val="24"/>
          <w:szCs w:val="24"/>
        </w:rPr>
        <w:t xml:space="preserve"> Additionally, if there is a decrease in stock prices, foreign investor will part with the stocks they owned in the relevant currency. Concurrently, if foreign investor is leaving the market altogether, they will exchange the local currency they obtained by selling the shares into an internationally valid currency. Financial transactions are expected to decrease in markets with high uncertainty and foreign exchange rates will depreciate significantly. This situation will increase the dependency of financial markets on each other</w:t>
      </w:r>
      <w:r w:rsidR="002A5C6F" w:rsidRPr="003B1341">
        <w:rPr>
          <w:rFonts w:ascii="Arial" w:hAnsi="Arial" w:cs="Arial"/>
          <w:bCs/>
          <w:sz w:val="24"/>
          <w:szCs w:val="24"/>
        </w:rPr>
        <w:t>.</w:t>
      </w:r>
    </w:p>
    <w:p w:rsidR="00D4637C" w:rsidRPr="003B1341" w:rsidRDefault="00D4637C" w:rsidP="003B1341">
      <w:pPr>
        <w:spacing w:after="0"/>
        <w:ind w:left="720" w:right="590"/>
        <w:jc w:val="both"/>
        <w:rPr>
          <w:rFonts w:ascii="Arial" w:hAnsi="Arial" w:cs="Arial"/>
          <w:bCs/>
          <w:sz w:val="24"/>
          <w:szCs w:val="24"/>
        </w:rPr>
      </w:pPr>
    </w:p>
    <w:p w:rsidR="00D4637C" w:rsidRPr="003B1341" w:rsidRDefault="00D4637C" w:rsidP="001C538D">
      <w:pPr>
        <w:spacing w:after="0"/>
        <w:ind w:right="590" w:firstLine="708"/>
        <w:jc w:val="both"/>
        <w:rPr>
          <w:rFonts w:ascii="Arial" w:hAnsi="Arial" w:cs="Arial"/>
          <w:bCs/>
          <w:sz w:val="24"/>
          <w:szCs w:val="24"/>
        </w:rPr>
      </w:pPr>
      <w:r w:rsidRPr="003B1341">
        <w:rPr>
          <w:rFonts w:ascii="Arial" w:hAnsi="Arial" w:cs="Arial"/>
          <w:bCs/>
          <w:sz w:val="24"/>
          <w:szCs w:val="24"/>
        </w:rPr>
        <w:t>This interaction will be more profound during periods of financial crises. Therefore determining the relationship between the stock market and foreign currency market will have a positive effect on the recovery of the economy.</w:t>
      </w:r>
    </w:p>
    <w:p w:rsidR="001C538D" w:rsidRDefault="001C538D" w:rsidP="001C538D">
      <w:pPr>
        <w:spacing w:after="0"/>
        <w:ind w:right="590"/>
        <w:jc w:val="both"/>
        <w:rPr>
          <w:rFonts w:ascii="Arial" w:hAnsi="Arial" w:cs="Arial"/>
          <w:bCs/>
          <w:sz w:val="24"/>
          <w:szCs w:val="24"/>
        </w:rPr>
      </w:pPr>
    </w:p>
    <w:p w:rsidR="00540173" w:rsidRPr="003B1341" w:rsidRDefault="00D4637C" w:rsidP="001C538D">
      <w:pPr>
        <w:spacing w:after="0"/>
        <w:ind w:right="590" w:firstLine="708"/>
        <w:jc w:val="both"/>
        <w:rPr>
          <w:rFonts w:ascii="Arial" w:hAnsi="Arial" w:cs="Arial"/>
          <w:bCs/>
          <w:sz w:val="24"/>
          <w:szCs w:val="24"/>
        </w:rPr>
      </w:pPr>
      <w:r w:rsidRPr="003B1341">
        <w:rPr>
          <w:rFonts w:ascii="Arial" w:hAnsi="Arial" w:cs="Arial"/>
          <w:bCs/>
          <w:sz w:val="24"/>
          <w:szCs w:val="24"/>
        </w:rPr>
        <w:t>Another point to be considered is the markets being stable.</w:t>
      </w:r>
      <w:r w:rsidR="00540173" w:rsidRPr="003B1341">
        <w:rPr>
          <w:rFonts w:ascii="Arial" w:hAnsi="Arial" w:cs="Arial"/>
          <w:bCs/>
          <w:sz w:val="24"/>
          <w:szCs w:val="24"/>
        </w:rPr>
        <w:t xml:space="preserve"> By stable, it is not meant that the markets stay without changing. The point is that what happened in markets in the past might happen in the future. However, markets don’t usually repeat the past. In other words, positive situation regarding the general expectations of the economy will make markets more stable. Therefore, when stakeholders predict the future, they will minimize the risk of foreign exchange rate.</w:t>
      </w:r>
    </w:p>
    <w:p w:rsidR="00540173" w:rsidRPr="003B1341" w:rsidRDefault="00540173" w:rsidP="003B1341">
      <w:pPr>
        <w:spacing w:after="0"/>
        <w:ind w:left="720" w:right="590"/>
        <w:jc w:val="both"/>
        <w:rPr>
          <w:rFonts w:ascii="Arial" w:hAnsi="Arial" w:cs="Arial"/>
          <w:bCs/>
          <w:sz w:val="24"/>
          <w:szCs w:val="24"/>
        </w:rPr>
      </w:pPr>
    </w:p>
    <w:p w:rsidR="00540173" w:rsidRPr="009F6606" w:rsidRDefault="00540173" w:rsidP="009F6606">
      <w:pPr>
        <w:pStyle w:val="ListeParagraf"/>
        <w:numPr>
          <w:ilvl w:val="0"/>
          <w:numId w:val="3"/>
        </w:numPr>
        <w:spacing w:after="0"/>
        <w:ind w:right="590"/>
        <w:jc w:val="both"/>
        <w:rPr>
          <w:rFonts w:ascii="Arial" w:hAnsi="Arial" w:cs="Arial"/>
          <w:b/>
          <w:bCs/>
          <w:sz w:val="24"/>
          <w:szCs w:val="24"/>
        </w:rPr>
      </w:pPr>
      <w:r w:rsidRPr="009F6606">
        <w:rPr>
          <w:rFonts w:ascii="Arial" w:hAnsi="Arial" w:cs="Arial"/>
          <w:b/>
          <w:bCs/>
          <w:sz w:val="24"/>
          <w:szCs w:val="24"/>
        </w:rPr>
        <w:t>Literature Review</w:t>
      </w:r>
    </w:p>
    <w:p w:rsidR="00540173" w:rsidRPr="003B1341" w:rsidRDefault="00540173" w:rsidP="003B1341">
      <w:pPr>
        <w:spacing w:after="0"/>
        <w:ind w:left="720" w:right="590"/>
        <w:jc w:val="both"/>
        <w:rPr>
          <w:rFonts w:ascii="Arial" w:hAnsi="Arial" w:cs="Arial"/>
          <w:b/>
          <w:bCs/>
          <w:sz w:val="24"/>
          <w:szCs w:val="24"/>
        </w:rPr>
      </w:pPr>
    </w:p>
    <w:p w:rsidR="00D4637C" w:rsidRPr="003B1341" w:rsidRDefault="00540173" w:rsidP="001C538D">
      <w:pPr>
        <w:spacing w:after="0"/>
        <w:ind w:right="590"/>
        <w:jc w:val="both"/>
        <w:rPr>
          <w:rFonts w:ascii="Arial" w:hAnsi="Arial" w:cs="Arial"/>
          <w:bCs/>
          <w:sz w:val="24"/>
          <w:szCs w:val="24"/>
        </w:rPr>
      </w:pPr>
      <w:r w:rsidRPr="003B1341">
        <w:rPr>
          <w:rFonts w:ascii="Arial" w:hAnsi="Arial" w:cs="Arial"/>
          <w:bCs/>
          <w:sz w:val="24"/>
          <w:szCs w:val="24"/>
        </w:rPr>
        <w:t xml:space="preserve">In literature, there are lots of studies explaining the relationship between </w:t>
      </w:r>
      <w:r w:rsidR="00F138AE" w:rsidRPr="003B1341">
        <w:rPr>
          <w:rFonts w:ascii="Arial" w:hAnsi="Arial" w:cs="Arial"/>
          <w:bCs/>
          <w:sz w:val="24"/>
          <w:szCs w:val="24"/>
        </w:rPr>
        <w:t>stock</w:t>
      </w:r>
      <w:r w:rsidRPr="003B1341">
        <w:rPr>
          <w:rFonts w:ascii="Arial" w:hAnsi="Arial" w:cs="Arial"/>
          <w:bCs/>
          <w:sz w:val="24"/>
          <w:szCs w:val="24"/>
        </w:rPr>
        <w:t xml:space="preserve"> prices and foreign exchange rates</w:t>
      </w:r>
      <w:r w:rsidR="00E87BAE" w:rsidRPr="003B1341">
        <w:rPr>
          <w:rFonts w:ascii="Arial" w:hAnsi="Arial" w:cs="Arial"/>
          <w:bCs/>
          <w:sz w:val="24"/>
          <w:szCs w:val="24"/>
        </w:rPr>
        <w:t>. In a general evaluation, it is established that results obtained differ. In this section, results from studies of the topic are presented as summaries.</w:t>
      </w:r>
    </w:p>
    <w:p w:rsidR="00E87BAE" w:rsidRPr="003B1341" w:rsidRDefault="00E87BAE" w:rsidP="003B1341">
      <w:pPr>
        <w:spacing w:after="0"/>
        <w:ind w:left="720" w:right="590"/>
        <w:jc w:val="both"/>
        <w:rPr>
          <w:rFonts w:ascii="Arial" w:hAnsi="Arial" w:cs="Arial"/>
          <w:bCs/>
          <w:sz w:val="24"/>
          <w:szCs w:val="24"/>
        </w:rPr>
      </w:pPr>
    </w:p>
    <w:p w:rsidR="00215F95" w:rsidRPr="003B1341" w:rsidRDefault="00E87BAE" w:rsidP="001C538D">
      <w:pPr>
        <w:spacing w:after="0"/>
        <w:ind w:right="590" w:firstLine="708"/>
        <w:jc w:val="both"/>
        <w:rPr>
          <w:rFonts w:ascii="Arial" w:hAnsi="Arial" w:cs="Arial"/>
          <w:sz w:val="24"/>
          <w:szCs w:val="24"/>
        </w:rPr>
      </w:pPr>
      <w:r w:rsidRPr="003B1341">
        <w:rPr>
          <w:rFonts w:ascii="Arial" w:hAnsi="Arial" w:cs="Arial"/>
          <w:bCs/>
          <w:sz w:val="24"/>
          <w:szCs w:val="24"/>
        </w:rPr>
        <w:t xml:space="preserve">In their study, Aggarwal (1981) found out that revaluation of U.S. Dollar and securities incomes have a positive relationship between them. According to author, variations in exchange rates affect payment balances of multinational corporations. Roll (1992) suggests that there is positive relationship between </w:t>
      </w:r>
      <w:r w:rsidR="00F138AE" w:rsidRPr="003B1341">
        <w:rPr>
          <w:rFonts w:ascii="Arial" w:hAnsi="Arial" w:cs="Arial"/>
          <w:bCs/>
          <w:sz w:val="24"/>
          <w:szCs w:val="24"/>
        </w:rPr>
        <w:t>stock</w:t>
      </w:r>
      <w:r w:rsidRPr="003B1341">
        <w:rPr>
          <w:rFonts w:ascii="Arial" w:hAnsi="Arial" w:cs="Arial"/>
          <w:bCs/>
          <w:sz w:val="24"/>
          <w:szCs w:val="24"/>
        </w:rPr>
        <w:t xml:space="preserve"> prices and foreign exchange markets. This suggestion is supported by the study of </w:t>
      </w:r>
      <w:proofErr w:type="spellStart"/>
      <w:r w:rsidRPr="003B1341">
        <w:rPr>
          <w:rFonts w:ascii="Arial" w:hAnsi="Arial" w:cs="Arial"/>
          <w:bCs/>
          <w:sz w:val="24"/>
          <w:szCs w:val="24"/>
        </w:rPr>
        <w:t>Phylaktis</w:t>
      </w:r>
      <w:proofErr w:type="spellEnd"/>
      <w:r w:rsidRPr="003B1341">
        <w:rPr>
          <w:rFonts w:ascii="Arial" w:hAnsi="Arial" w:cs="Arial"/>
          <w:bCs/>
          <w:sz w:val="24"/>
          <w:szCs w:val="24"/>
        </w:rPr>
        <w:t xml:space="preserve"> and </w:t>
      </w:r>
      <w:proofErr w:type="spellStart"/>
      <w:r w:rsidRPr="003B1341">
        <w:rPr>
          <w:rFonts w:ascii="Arial" w:hAnsi="Arial" w:cs="Arial"/>
          <w:bCs/>
          <w:sz w:val="24"/>
          <w:szCs w:val="24"/>
        </w:rPr>
        <w:t>Ravazzolo</w:t>
      </w:r>
      <w:proofErr w:type="spellEnd"/>
      <w:r w:rsidRPr="003B1341">
        <w:rPr>
          <w:rFonts w:ascii="Arial" w:hAnsi="Arial" w:cs="Arial"/>
          <w:bCs/>
          <w:sz w:val="24"/>
          <w:szCs w:val="24"/>
        </w:rPr>
        <w:t xml:space="preserve"> (2000). According to authors, there is a positive relationship between </w:t>
      </w:r>
      <w:r w:rsidR="00F138AE" w:rsidRPr="003B1341">
        <w:rPr>
          <w:rFonts w:ascii="Arial" w:hAnsi="Arial" w:cs="Arial"/>
          <w:bCs/>
          <w:sz w:val="24"/>
          <w:szCs w:val="24"/>
        </w:rPr>
        <w:t>stock</w:t>
      </w:r>
      <w:r w:rsidRPr="003B1341">
        <w:rPr>
          <w:rFonts w:ascii="Arial" w:hAnsi="Arial" w:cs="Arial"/>
          <w:bCs/>
          <w:sz w:val="24"/>
          <w:szCs w:val="24"/>
        </w:rPr>
        <w:t xml:space="preserve"> prices and foreign exchange market in both long and short term.</w:t>
      </w:r>
      <w:r w:rsidR="008A52F1" w:rsidRPr="003B1341">
        <w:rPr>
          <w:rFonts w:ascii="Arial" w:hAnsi="Arial" w:cs="Arial"/>
          <w:bCs/>
          <w:sz w:val="24"/>
          <w:szCs w:val="24"/>
        </w:rPr>
        <w:t xml:space="preserve"> Richards </w:t>
      </w:r>
      <w:proofErr w:type="gramStart"/>
      <w:r w:rsidR="008A52F1" w:rsidRPr="003B1341">
        <w:rPr>
          <w:rFonts w:ascii="Arial" w:hAnsi="Arial" w:cs="Arial"/>
          <w:bCs/>
          <w:sz w:val="24"/>
          <w:szCs w:val="24"/>
        </w:rPr>
        <w:t>et</w:t>
      </w:r>
      <w:proofErr w:type="gramEnd"/>
      <w:r w:rsidR="008A52F1" w:rsidRPr="003B1341">
        <w:rPr>
          <w:rFonts w:ascii="Arial" w:hAnsi="Arial" w:cs="Arial"/>
          <w:bCs/>
          <w:sz w:val="24"/>
          <w:szCs w:val="24"/>
        </w:rPr>
        <w:t xml:space="preserve">. al. (2009) found out that stock prices and exchange rates move in the same direction. According to the authors, for Australia, who is pursuing an export based economy policy, changes in the </w:t>
      </w:r>
      <w:r w:rsidR="008A52F1" w:rsidRPr="003B1341">
        <w:rPr>
          <w:rFonts w:ascii="Arial" w:hAnsi="Arial" w:cs="Arial"/>
          <w:bCs/>
          <w:sz w:val="24"/>
          <w:szCs w:val="24"/>
        </w:rPr>
        <w:lastRenderedPageBreak/>
        <w:t xml:space="preserve">exchange rates are important. </w:t>
      </w:r>
      <w:proofErr w:type="spellStart"/>
      <w:r w:rsidR="008A52F1" w:rsidRPr="003B1341">
        <w:rPr>
          <w:rFonts w:ascii="Arial" w:hAnsi="Arial" w:cs="Arial"/>
          <w:bCs/>
          <w:sz w:val="24"/>
          <w:szCs w:val="24"/>
        </w:rPr>
        <w:t>Ramasamy</w:t>
      </w:r>
      <w:proofErr w:type="spellEnd"/>
      <w:r w:rsidR="008A52F1" w:rsidRPr="003B1341">
        <w:rPr>
          <w:rFonts w:ascii="Arial" w:hAnsi="Arial" w:cs="Arial"/>
          <w:bCs/>
          <w:sz w:val="24"/>
          <w:szCs w:val="24"/>
        </w:rPr>
        <w:t xml:space="preserve"> and Yeung (2005) identified a highly sensitive mutual relationship between stock prices and exchange rate markets. According to authors, exchange rate activities are important macro-economic variables affecting business life.</w:t>
      </w:r>
      <w:r w:rsidR="00250A3F" w:rsidRPr="003B1341">
        <w:rPr>
          <w:rFonts w:ascii="Arial" w:hAnsi="Arial" w:cs="Arial"/>
          <w:bCs/>
          <w:sz w:val="24"/>
          <w:szCs w:val="24"/>
        </w:rPr>
        <w:t xml:space="preserve"> Chow </w:t>
      </w:r>
      <w:proofErr w:type="gramStart"/>
      <w:r w:rsidR="00250A3F" w:rsidRPr="003B1341">
        <w:rPr>
          <w:rFonts w:ascii="Arial" w:hAnsi="Arial" w:cs="Arial"/>
          <w:bCs/>
          <w:sz w:val="24"/>
          <w:szCs w:val="24"/>
        </w:rPr>
        <w:t>et</w:t>
      </w:r>
      <w:proofErr w:type="gramEnd"/>
      <w:r w:rsidR="00250A3F" w:rsidRPr="003B1341">
        <w:rPr>
          <w:rFonts w:ascii="Arial" w:hAnsi="Arial" w:cs="Arial"/>
          <w:bCs/>
          <w:sz w:val="24"/>
          <w:szCs w:val="24"/>
        </w:rPr>
        <w:t>. al. (1997) used month</w:t>
      </w:r>
      <w:r w:rsidR="002A5C6F" w:rsidRPr="003B1341">
        <w:rPr>
          <w:rFonts w:ascii="Arial" w:hAnsi="Arial" w:cs="Arial"/>
          <w:bCs/>
          <w:sz w:val="24"/>
          <w:szCs w:val="24"/>
        </w:rPr>
        <w:t>ly</w:t>
      </w:r>
      <w:r w:rsidR="00250A3F" w:rsidRPr="003B1341">
        <w:rPr>
          <w:rFonts w:ascii="Arial" w:hAnsi="Arial" w:cs="Arial"/>
          <w:bCs/>
          <w:sz w:val="24"/>
          <w:szCs w:val="24"/>
        </w:rPr>
        <w:t xml:space="preserve"> data periods in the first part of their study. Authors failed to determine a relationship between </w:t>
      </w:r>
      <w:r w:rsidR="002A5C6F" w:rsidRPr="003B1341">
        <w:rPr>
          <w:rFonts w:ascii="Arial" w:hAnsi="Arial" w:cs="Arial"/>
          <w:bCs/>
          <w:sz w:val="24"/>
          <w:szCs w:val="24"/>
        </w:rPr>
        <w:t>abnormal</w:t>
      </w:r>
      <w:r w:rsidR="00250A3F" w:rsidRPr="003B1341">
        <w:rPr>
          <w:rFonts w:ascii="Arial" w:hAnsi="Arial" w:cs="Arial"/>
          <w:bCs/>
          <w:sz w:val="24"/>
          <w:szCs w:val="24"/>
        </w:rPr>
        <w:t xml:space="preserve"> stock profits and real exchange rates. For the six month long data periods, they discovered positive relationships between variables. </w:t>
      </w:r>
      <w:proofErr w:type="spellStart"/>
      <w:r w:rsidR="00250A3F" w:rsidRPr="003B1341">
        <w:rPr>
          <w:rFonts w:ascii="Arial" w:hAnsi="Arial" w:cs="Arial"/>
          <w:bCs/>
          <w:sz w:val="24"/>
          <w:szCs w:val="24"/>
        </w:rPr>
        <w:t>Ajayi</w:t>
      </w:r>
      <w:proofErr w:type="spellEnd"/>
      <w:r w:rsidR="00250A3F" w:rsidRPr="003B1341">
        <w:rPr>
          <w:rFonts w:ascii="Arial" w:hAnsi="Arial" w:cs="Arial"/>
          <w:bCs/>
          <w:sz w:val="24"/>
          <w:szCs w:val="24"/>
        </w:rPr>
        <w:t xml:space="preserve"> and </w:t>
      </w:r>
      <w:proofErr w:type="spellStart"/>
      <w:r w:rsidR="00250A3F" w:rsidRPr="003B1341">
        <w:rPr>
          <w:rFonts w:ascii="Arial" w:hAnsi="Arial" w:cs="Arial"/>
          <w:bCs/>
          <w:sz w:val="24"/>
          <w:szCs w:val="24"/>
        </w:rPr>
        <w:t>Mougoué</w:t>
      </w:r>
      <w:proofErr w:type="spellEnd"/>
      <w:r w:rsidR="00250A3F" w:rsidRPr="003B1341">
        <w:rPr>
          <w:rFonts w:ascii="Arial" w:hAnsi="Arial" w:cs="Arial"/>
          <w:bCs/>
          <w:sz w:val="24"/>
          <w:szCs w:val="24"/>
        </w:rPr>
        <w:t xml:space="preserve"> (1996) analyzed the relationship between stock prices and exchange rates for eight developed markets. Authors found out that there is a significant relationship between variables in short and long term. Ong and </w:t>
      </w:r>
      <w:proofErr w:type="spellStart"/>
      <w:r w:rsidR="00250A3F" w:rsidRPr="003B1341">
        <w:rPr>
          <w:rFonts w:ascii="Arial" w:hAnsi="Arial" w:cs="Arial"/>
          <w:bCs/>
          <w:sz w:val="24"/>
          <w:szCs w:val="24"/>
        </w:rPr>
        <w:t>Izan</w:t>
      </w:r>
      <w:proofErr w:type="spellEnd"/>
      <w:r w:rsidR="00250A3F" w:rsidRPr="003B1341">
        <w:rPr>
          <w:rFonts w:ascii="Arial" w:hAnsi="Arial" w:cs="Arial"/>
          <w:bCs/>
          <w:sz w:val="24"/>
          <w:szCs w:val="24"/>
        </w:rPr>
        <w:t xml:space="preserve"> (1999) analyzed the existence of the relationship between stock prices and exchange rates in Australia and G7 countries. According to the authors, there is a significant relationship between </w:t>
      </w:r>
      <w:r w:rsidR="00F138AE" w:rsidRPr="003B1341">
        <w:rPr>
          <w:rFonts w:ascii="Arial" w:hAnsi="Arial" w:cs="Arial"/>
          <w:bCs/>
          <w:sz w:val="24"/>
          <w:szCs w:val="24"/>
        </w:rPr>
        <w:t xml:space="preserve">stock prices and exchange rates. </w:t>
      </w:r>
      <w:proofErr w:type="spellStart"/>
      <w:r w:rsidR="00F138AE" w:rsidRPr="003B1341">
        <w:rPr>
          <w:rFonts w:ascii="Arial" w:hAnsi="Arial" w:cs="Arial"/>
          <w:bCs/>
          <w:sz w:val="24"/>
          <w:szCs w:val="24"/>
        </w:rPr>
        <w:t>Nieh</w:t>
      </w:r>
      <w:proofErr w:type="spellEnd"/>
      <w:r w:rsidR="00F138AE" w:rsidRPr="003B1341">
        <w:rPr>
          <w:rFonts w:ascii="Arial" w:hAnsi="Arial" w:cs="Arial"/>
          <w:bCs/>
          <w:sz w:val="24"/>
          <w:szCs w:val="24"/>
        </w:rPr>
        <w:t xml:space="preserve"> and Lee (2001) researched the relationship between stock prices and exchange rates for G7 countries. Authors identified the relationship between the two in the short term but failed to identify a relationship in long term. However, </w:t>
      </w:r>
      <w:proofErr w:type="spellStart"/>
      <w:r w:rsidR="00F138AE" w:rsidRPr="003B1341">
        <w:rPr>
          <w:rFonts w:ascii="Arial" w:hAnsi="Arial" w:cs="Arial"/>
          <w:bCs/>
          <w:sz w:val="24"/>
          <w:szCs w:val="24"/>
        </w:rPr>
        <w:t>Soenen</w:t>
      </w:r>
      <w:proofErr w:type="spellEnd"/>
      <w:r w:rsidR="00F138AE" w:rsidRPr="003B1341">
        <w:rPr>
          <w:rFonts w:ascii="Arial" w:hAnsi="Arial" w:cs="Arial"/>
          <w:bCs/>
          <w:sz w:val="24"/>
          <w:szCs w:val="24"/>
        </w:rPr>
        <w:t xml:space="preserve"> and </w:t>
      </w:r>
      <w:proofErr w:type="spellStart"/>
      <w:r w:rsidR="00F138AE" w:rsidRPr="003B1341">
        <w:rPr>
          <w:rFonts w:ascii="Arial" w:hAnsi="Arial" w:cs="Arial"/>
          <w:bCs/>
          <w:sz w:val="24"/>
          <w:szCs w:val="24"/>
        </w:rPr>
        <w:t>Hennigar</w:t>
      </w:r>
      <w:proofErr w:type="spellEnd"/>
      <w:r w:rsidR="00F138AE" w:rsidRPr="003B1341">
        <w:rPr>
          <w:rFonts w:ascii="Arial" w:hAnsi="Arial" w:cs="Arial"/>
          <w:bCs/>
          <w:sz w:val="24"/>
          <w:szCs w:val="24"/>
        </w:rPr>
        <w:t xml:space="preserve"> (1988) identified a significant negative relationship between two markets. </w:t>
      </w:r>
      <w:proofErr w:type="spellStart"/>
      <w:r w:rsidR="00F138AE" w:rsidRPr="003B1341">
        <w:rPr>
          <w:rFonts w:ascii="Arial" w:hAnsi="Arial" w:cs="Arial"/>
          <w:bCs/>
          <w:sz w:val="24"/>
          <w:szCs w:val="24"/>
        </w:rPr>
        <w:t>Solnik</w:t>
      </w:r>
      <w:proofErr w:type="spellEnd"/>
      <w:r w:rsidR="00F138AE" w:rsidRPr="003B1341">
        <w:rPr>
          <w:rFonts w:ascii="Arial" w:hAnsi="Arial" w:cs="Arial"/>
          <w:bCs/>
          <w:sz w:val="24"/>
          <w:szCs w:val="24"/>
        </w:rPr>
        <w:t xml:space="preserve"> (1987) found out that the changes in exchange rates are not factors affecting stock prices. </w:t>
      </w:r>
      <w:proofErr w:type="spellStart"/>
      <w:r w:rsidR="00F138AE" w:rsidRPr="003B1341">
        <w:rPr>
          <w:rFonts w:ascii="Arial" w:hAnsi="Arial" w:cs="Arial"/>
          <w:bCs/>
          <w:sz w:val="24"/>
          <w:szCs w:val="24"/>
        </w:rPr>
        <w:t>Ratnik</w:t>
      </w:r>
      <w:proofErr w:type="spellEnd"/>
      <w:r w:rsidR="00F138AE" w:rsidRPr="003B1341">
        <w:rPr>
          <w:rFonts w:ascii="Arial" w:hAnsi="Arial" w:cs="Arial"/>
          <w:bCs/>
          <w:sz w:val="24"/>
          <w:szCs w:val="24"/>
        </w:rPr>
        <w:t xml:space="preserve"> (1993) has obtained a similar result. According to the author, </w:t>
      </w:r>
      <w:r w:rsidR="000A2DE6" w:rsidRPr="003B1341">
        <w:rPr>
          <w:rFonts w:ascii="Arial" w:hAnsi="Arial" w:cs="Arial"/>
          <w:bCs/>
          <w:sz w:val="24"/>
          <w:szCs w:val="24"/>
        </w:rPr>
        <w:t>stock indexes</w:t>
      </w:r>
      <w:r w:rsidR="00F138AE" w:rsidRPr="003B1341">
        <w:rPr>
          <w:rFonts w:ascii="Arial" w:hAnsi="Arial" w:cs="Arial"/>
          <w:bCs/>
          <w:sz w:val="24"/>
          <w:szCs w:val="24"/>
        </w:rPr>
        <w:t xml:space="preserve"> and U.S. Dollar price </w:t>
      </w:r>
      <w:r w:rsidR="001008B1" w:rsidRPr="003B1341">
        <w:rPr>
          <w:rFonts w:ascii="Arial" w:hAnsi="Arial" w:cs="Arial"/>
          <w:bCs/>
          <w:sz w:val="24"/>
          <w:szCs w:val="24"/>
        </w:rPr>
        <w:t>activity</w:t>
      </w:r>
      <w:r w:rsidR="00F138AE" w:rsidRPr="003B1341">
        <w:rPr>
          <w:rFonts w:ascii="Arial" w:hAnsi="Arial" w:cs="Arial"/>
          <w:bCs/>
          <w:sz w:val="24"/>
          <w:szCs w:val="24"/>
        </w:rPr>
        <w:t xml:space="preserve"> have no significant relationship. </w:t>
      </w:r>
      <w:proofErr w:type="spellStart"/>
      <w:r w:rsidR="00215F95" w:rsidRPr="003B1341">
        <w:rPr>
          <w:rFonts w:ascii="Arial" w:hAnsi="Arial" w:cs="Arial"/>
          <w:sz w:val="24"/>
          <w:szCs w:val="24"/>
        </w:rPr>
        <w:t>Stavárek</w:t>
      </w:r>
      <w:proofErr w:type="spellEnd"/>
      <w:r w:rsidR="00215F95" w:rsidRPr="003B1341">
        <w:rPr>
          <w:rFonts w:ascii="Arial" w:hAnsi="Arial" w:cs="Arial"/>
          <w:sz w:val="24"/>
          <w:szCs w:val="24"/>
        </w:rPr>
        <w:t xml:space="preserve"> (2005) reached mixed results in their research about the relationship between stock prices and exchange rates. Because of both the researched period and the researched countries, the relationship between variables yields different results. According to the author, it is impossible to determine the long term and short term relationship between stock prices and exchange rates originating from the specifications of the countries. </w:t>
      </w:r>
      <w:proofErr w:type="spellStart"/>
      <w:r w:rsidR="00215F95" w:rsidRPr="003B1341">
        <w:rPr>
          <w:rFonts w:ascii="Arial" w:hAnsi="Arial" w:cs="Arial"/>
          <w:sz w:val="24"/>
          <w:szCs w:val="24"/>
        </w:rPr>
        <w:t>Harald</w:t>
      </w:r>
      <w:proofErr w:type="spellEnd"/>
      <w:r w:rsidR="00215F95" w:rsidRPr="003B1341">
        <w:rPr>
          <w:rFonts w:ascii="Arial" w:hAnsi="Arial" w:cs="Arial"/>
          <w:sz w:val="24"/>
          <w:szCs w:val="24"/>
        </w:rPr>
        <w:t xml:space="preserve"> and Hélène (2002) have reached three important results in their study. First is; when there is not enough elasticity of supply of foreign currency, exchange rate fluctuations will be high. Second is; foreign stock prices (in that local currency) and exchange rate profits have a negative relationship between them. Third is; exchange rate profits and total capital flow have a positive relationship between them. </w:t>
      </w:r>
      <w:proofErr w:type="spellStart"/>
      <w:r w:rsidR="00215F95" w:rsidRPr="003B1341">
        <w:rPr>
          <w:rFonts w:ascii="Arial" w:hAnsi="Arial" w:cs="Arial"/>
          <w:sz w:val="24"/>
          <w:szCs w:val="24"/>
        </w:rPr>
        <w:t>Dimitrova</w:t>
      </w:r>
      <w:proofErr w:type="spellEnd"/>
      <w:r w:rsidR="00215F95" w:rsidRPr="003B1341">
        <w:rPr>
          <w:rFonts w:ascii="Arial" w:hAnsi="Arial" w:cs="Arial"/>
          <w:sz w:val="24"/>
          <w:szCs w:val="24"/>
        </w:rPr>
        <w:t xml:space="preserve"> (2005) stated that the decrease in the exchange rate pressurizes the stock prices to </w:t>
      </w:r>
      <w:r w:rsidR="000669E7" w:rsidRPr="003B1341">
        <w:rPr>
          <w:rFonts w:ascii="Arial" w:hAnsi="Arial" w:cs="Arial"/>
          <w:sz w:val="24"/>
          <w:szCs w:val="24"/>
        </w:rPr>
        <w:t>drop;</w:t>
      </w:r>
      <w:r w:rsidR="00215F95" w:rsidRPr="003B1341">
        <w:rPr>
          <w:rFonts w:ascii="Arial" w:hAnsi="Arial" w:cs="Arial"/>
          <w:sz w:val="24"/>
          <w:szCs w:val="24"/>
        </w:rPr>
        <w:t xml:space="preserve"> however, </w:t>
      </w:r>
      <w:r w:rsidR="0059033F" w:rsidRPr="003B1341">
        <w:rPr>
          <w:rFonts w:ascii="Arial" w:hAnsi="Arial" w:cs="Arial"/>
          <w:sz w:val="24"/>
          <w:szCs w:val="24"/>
        </w:rPr>
        <w:t xml:space="preserve">an increase in the exchange rate may cause an increase in the stock market. Moreover, during the periods where there </w:t>
      </w:r>
      <w:r w:rsidR="00F04A9C" w:rsidRPr="003B1341">
        <w:rPr>
          <w:rFonts w:ascii="Arial" w:hAnsi="Arial" w:cs="Arial"/>
          <w:sz w:val="24"/>
          <w:szCs w:val="24"/>
        </w:rPr>
        <w:t>are sudden drops</w:t>
      </w:r>
      <w:r w:rsidR="0059033F" w:rsidRPr="003B1341">
        <w:rPr>
          <w:rFonts w:ascii="Arial" w:hAnsi="Arial" w:cs="Arial"/>
          <w:sz w:val="24"/>
          <w:szCs w:val="24"/>
        </w:rPr>
        <w:t xml:space="preserve"> in stock prices, in other words, where bubble effect is seen, they found that the exchange rate will depreciate. </w:t>
      </w:r>
      <w:proofErr w:type="spellStart"/>
      <w:proofErr w:type="gramStart"/>
      <w:r w:rsidR="0059033F" w:rsidRPr="003B1341">
        <w:rPr>
          <w:rFonts w:ascii="Arial" w:hAnsi="Arial" w:cs="Arial"/>
          <w:sz w:val="24"/>
          <w:szCs w:val="24"/>
        </w:rPr>
        <w:t>Ajayi</w:t>
      </w:r>
      <w:proofErr w:type="spellEnd"/>
      <w:r w:rsidR="0059033F" w:rsidRPr="003B1341">
        <w:rPr>
          <w:rFonts w:ascii="Arial" w:hAnsi="Arial" w:cs="Arial"/>
          <w:sz w:val="24"/>
          <w:szCs w:val="24"/>
        </w:rPr>
        <w:t xml:space="preserve"> and </w:t>
      </w:r>
      <w:proofErr w:type="spellStart"/>
      <w:r w:rsidR="0059033F" w:rsidRPr="003B1341">
        <w:rPr>
          <w:rFonts w:ascii="Arial" w:hAnsi="Arial" w:cs="Arial"/>
          <w:sz w:val="24"/>
          <w:szCs w:val="24"/>
        </w:rPr>
        <w:t>Mougoue</w:t>
      </w:r>
      <w:proofErr w:type="spellEnd"/>
      <w:r w:rsidR="0059033F" w:rsidRPr="003B1341">
        <w:rPr>
          <w:rFonts w:ascii="Arial" w:hAnsi="Arial" w:cs="Arial"/>
          <w:sz w:val="24"/>
          <w:szCs w:val="24"/>
        </w:rPr>
        <w:t xml:space="preserve"> (1996) states that</w:t>
      </w:r>
      <w:r w:rsidR="00F04A9C" w:rsidRPr="003B1341">
        <w:rPr>
          <w:rFonts w:ascii="Arial" w:hAnsi="Arial" w:cs="Arial"/>
          <w:sz w:val="24"/>
          <w:szCs w:val="24"/>
        </w:rPr>
        <w:t>,</w:t>
      </w:r>
      <w:r w:rsidR="0059033F" w:rsidRPr="003B1341">
        <w:rPr>
          <w:rFonts w:ascii="Arial" w:hAnsi="Arial" w:cs="Arial"/>
          <w:sz w:val="24"/>
          <w:szCs w:val="24"/>
        </w:rPr>
        <w:t xml:space="preserve"> a rising stock market is the </w:t>
      </w:r>
      <w:r w:rsidR="000669E7" w:rsidRPr="003B1341">
        <w:rPr>
          <w:rFonts w:ascii="Arial" w:hAnsi="Arial" w:cs="Arial"/>
          <w:sz w:val="24"/>
          <w:szCs w:val="24"/>
        </w:rPr>
        <w:t>indicator</w:t>
      </w:r>
      <w:r w:rsidR="0059033F" w:rsidRPr="003B1341">
        <w:rPr>
          <w:rFonts w:ascii="Arial" w:hAnsi="Arial" w:cs="Arial"/>
          <w:sz w:val="24"/>
          <w:szCs w:val="24"/>
        </w:rPr>
        <w:t xml:space="preserve"> of an expanding economy.</w:t>
      </w:r>
      <w:proofErr w:type="gramEnd"/>
      <w:r w:rsidR="0059033F" w:rsidRPr="003B1341">
        <w:rPr>
          <w:rFonts w:ascii="Arial" w:hAnsi="Arial" w:cs="Arial"/>
          <w:sz w:val="24"/>
          <w:szCs w:val="24"/>
        </w:rPr>
        <w:t xml:space="preserve"> In an expanding economy there is an expectation of inflation. According to the authors, a decrease in the exchange </w:t>
      </w:r>
      <w:r w:rsidR="001F5497" w:rsidRPr="003B1341">
        <w:rPr>
          <w:rFonts w:ascii="Arial" w:hAnsi="Arial" w:cs="Arial"/>
          <w:sz w:val="24"/>
          <w:szCs w:val="24"/>
        </w:rPr>
        <w:t>rates</w:t>
      </w:r>
      <w:r w:rsidR="0059033F" w:rsidRPr="003B1341">
        <w:rPr>
          <w:rFonts w:ascii="Arial" w:hAnsi="Arial" w:cs="Arial"/>
          <w:sz w:val="24"/>
          <w:szCs w:val="24"/>
        </w:rPr>
        <w:t xml:space="preserve"> will cause stock prices to decrease because it will increase inflationist expectations.</w:t>
      </w:r>
      <w:r w:rsidR="000A2DE6" w:rsidRPr="003B1341">
        <w:rPr>
          <w:rFonts w:ascii="Arial" w:hAnsi="Arial" w:cs="Arial"/>
          <w:sz w:val="24"/>
          <w:szCs w:val="24"/>
        </w:rPr>
        <w:t xml:space="preserve"> </w:t>
      </w:r>
      <w:r w:rsidR="0059033F" w:rsidRPr="003B1341">
        <w:rPr>
          <w:rFonts w:ascii="Arial" w:hAnsi="Arial" w:cs="Arial"/>
          <w:sz w:val="24"/>
          <w:szCs w:val="24"/>
        </w:rPr>
        <w:t xml:space="preserve">In another </w:t>
      </w:r>
      <w:r w:rsidR="000A2DE6" w:rsidRPr="003B1341">
        <w:rPr>
          <w:rFonts w:ascii="Arial" w:hAnsi="Arial" w:cs="Arial"/>
          <w:sz w:val="24"/>
          <w:szCs w:val="24"/>
        </w:rPr>
        <w:t>research</w:t>
      </w:r>
      <w:r w:rsidR="0059033F" w:rsidRPr="003B1341">
        <w:rPr>
          <w:rFonts w:ascii="Arial" w:hAnsi="Arial" w:cs="Arial"/>
          <w:sz w:val="24"/>
          <w:szCs w:val="24"/>
        </w:rPr>
        <w:t xml:space="preserve">, Granger </w:t>
      </w:r>
      <w:proofErr w:type="gramStart"/>
      <w:r w:rsidR="0059033F" w:rsidRPr="003B1341">
        <w:rPr>
          <w:rFonts w:ascii="Arial" w:hAnsi="Arial" w:cs="Arial"/>
          <w:sz w:val="24"/>
          <w:szCs w:val="24"/>
        </w:rPr>
        <w:t>et</w:t>
      </w:r>
      <w:proofErr w:type="gramEnd"/>
      <w:r w:rsidR="0059033F" w:rsidRPr="003B1341">
        <w:rPr>
          <w:rFonts w:ascii="Arial" w:hAnsi="Arial" w:cs="Arial"/>
          <w:sz w:val="24"/>
          <w:szCs w:val="24"/>
        </w:rPr>
        <w:t>. al. (2000) identified that the decrease in exchange rates during the 1997 Asia crisis caused the stock prices to fall.</w:t>
      </w:r>
    </w:p>
    <w:p w:rsidR="00397766" w:rsidRPr="003B1341" w:rsidRDefault="00397766" w:rsidP="003B1341">
      <w:pPr>
        <w:spacing w:after="0"/>
        <w:ind w:left="720" w:right="590"/>
        <w:jc w:val="both"/>
        <w:rPr>
          <w:rFonts w:ascii="Arial" w:hAnsi="Arial" w:cs="Arial"/>
          <w:sz w:val="24"/>
          <w:szCs w:val="24"/>
        </w:rPr>
      </w:pPr>
    </w:p>
    <w:p w:rsidR="0037249B" w:rsidRPr="003B1341" w:rsidRDefault="00397766" w:rsidP="001C538D">
      <w:pPr>
        <w:spacing w:after="0"/>
        <w:ind w:right="590" w:firstLine="708"/>
        <w:jc w:val="both"/>
        <w:rPr>
          <w:rFonts w:ascii="Arial" w:hAnsi="Arial" w:cs="Arial"/>
          <w:bCs/>
          <w:sz w:val="24"/>
          <w:szCs w:val="24"/>
        </w:rPr>
      </w:pPr>
      <w:r w:rsidRPr="003B1341">
        <w:rPr>
          <w:rFonts w:ascii="Arial" w:hAnsi="Arial" w:cs="Arial"/>
          <w:sz w:val="24"/>
          <w:szCs w:val="24"/>
        </w:rPr>
        <w:lastRenderedPageBreak/>
        <w:t>Benjamin (2006) could not identify a long term relationship between</w:t>
      </w:r>
      <w:r w:rsidR="009F4205">
        <w:rPr>
          <w:rFonts w:ascii="Arial" w:hAnsi="Arial" w:cs="Arial"/>
          <w:sz w:val="24"/>
          <w:szCs w:val="24"/>
        </w:rPr>
        <w:t xml:space="preserve"> </w:t>
      </w:r>
      <w:r w:rsidRPr="003B1341">
        <w:rPr>
          <w:rFonts w:ascii="Arial" w:hAnsi="Arial" w:cs="Arial"/>
          <w:sz w:val="24"/>
          <w:szCs w:val="24"/>
        </w:rPr>
        <w:t xml:space="preserve">stock prices and exchange rates. However, author identified </w:t>
      </w:r>
      <w:proofErr w:type="gramStart"/>
      <w:r w:rsidRPr="003B1341">
        <w:rPr>
          <w:rFonts w:ascii="Arial" w:hAnsi="Arial" w:cs="Arial"/>
          <w:sz w:val="24"/>
          <w:szCs w:val="24"/>
        </w:rPr>
        <w:t>a causality</w:t>
      </w:r>
      <w:proofErr w:type="gramEnd"/>
      <w:r w:rsidRPr="003B1341">
        <w:rPr>
          <w:rFonts w:ascii="Arial" w:hAnsi="Arial" w:cs="Arial"/>
          <w:sz w:val="24"/>
          <w:szCs w:val="24"/>
        </w:rPr>
        <w:t xml:space="preserve"> from exchange rates to stock prices. In their study, </w:t>
      </w:r>
      <w:proofErr w:type="spellStart"/>
      <w:r w:rsidRPr="003B1341">
        <w:rPr>
          <w:rFonts w:ascii="Arial" w:hAnsi="Arial" w:cs="Arial"/>
          <w:sz w:val="24"/>
          <w:szCs w:val="24"/>
        </w:rPr>
        <w:t>Caporale</w:t>
      </w:r>
      <w:proofErr w:type="spellEnd"/>
      <w:r w:rsidRPr="003B1341">
        <w:rPr>
          <w:rFonts w:ascii="Arial" w:hAnsi="Arial" w:cs="Arial"/>
          <w:sz w:val="24"/>
          <w:szCs w:val="24"/>
        </w:rPr>
        <w:t xml:space="preserve"> </w:t>
      </w:r>
      <w:proofErr w:type="gramStart"/>
      <w:r w:rsidRPr="003B1341">
        <w:rPr>
          <w:rFonts w:ascii="Arial" w:hAnsi="Arial" w:cs="Arial"/>
          <w:sz w:val="24"/>
          <w:szCs w:val="24"/>
        </w:rPr>
        <w:t>et</w:t>
      </w:r>
      <w:proofErr w:type="gramEnd"/>
      <w:r w:rsidRPr="003B1341">
        <w:rPr>
          <w:rFonts w:ascii="Arial" w:hAnsi="Arial" w:cs="Arial"/>
          <w:sz w:val="24"/>
          <w:szCs w:val="24"/>
        </w:rPr>
        <w:t xml:space="preserve">. al. (2012) </w:t>
      </w:r>
      <w:r w:rsidR="00F04A9C" w:rsidRPr="003B1341">
        <w:rPr>
          <w:rFonts w:ascii="Arial" w:hAnsi="Arial" w:cs="Arial"/>
          <w:sz w:val="24"/>
          <w:szCs w:val="24"/>
        </w:rPr>
        <w:t>researched the</w:t>
      </w:r>
      <w:r w:rsidRPr="003B1341">
        <w:rPr>
          <w:rFonts w:ascii="Arial" w:hAnsi="Arial" w:cs="Arial"/>
          <w:sz w:val="24"/>
          <w:szCs w:val="24"/>
        </w:rPr>
        <w:t xml:space="preserve"> causality relationship between stock profits and exchange rate changes. They reached mixed results between the variables, namely u</w:t>
      </w:r>
      <w:r w:rsidR="000A2DE6" w:rsidRPr="003B1341">
        <w:rPr>
          <w:rFonts w:ascii="Arial" w:hAnsi="Arial" w:cs="Arial"/>
          <w:sz w:val="24"/>
          <w:szCs w:val="24"/>
        </w:rPr>
        <w:t xml:space="preserve">nidirectional and </w:t>
      </w:r>
      <w:proofErr w:type="gramStart"/>
      <w:r w:rsidR="000A2DE6" w:rsidRPr="003B1341">
        <w:rPr>
          <w:rFonts w:ascii="Arial" w:hAnsi="Arial" w:cs="Arial"/>
          <w:sz w:val="24"/>
          <w:szCs w:val="24"/>
        </w:rPr>
        <w:t>bidirectional</w:t>
      </w:r>
      <w:r w:rsidRPr="003B1341">
        <w:rPr>
          <w:rFonts w:ascii="Arial" w:hAnsi="Arial" w:cs="Arial"/>
          <w:sz w:val="24"/>
          <w:szCs w:val="24"/>
        </w:rPr>
        <w:t xml:space="preserve">  for</w:t>
      </w:r>
      <w:proofErr w:type="gramEnd"/>
      <w:r w:rsidRPr="003B1341">
        <w:rPr>
          <w:rFonts w:ascii="Arial" w:hAnsi="Arial" w:cs="Arial"/>
          <w:sz w:val="24"/>
          <w:szCs w:val="24"/>
        </w:rPr>
        <w:t xml:space="preserve"> the country markets the research took </w:t>
      </w:r>
      <w:r w:rsidR="000A2DE6" w:rsidRPr="003B1341">
        <w:rPr>
          <w:rFonts w:ascii="Arial" w:hAnsi="Arial" w:cs="Arial"/>
          <w:sz w:val="24"/>
          <w:szCs w:val="24"/>
        </w:rPr>
        <w:t xml:space="preserve"> </w:t>
      </w:r>
      <w:r w:rsidRPr="003B1341">
        <w:rPr>
          <w:rFonts w:ascii="Arial" w:hAnsi="Arial" w:cs="Arial"/>
          <w:sz w:val="24"/>
          <w:szCs w:val="24"/>
        </w:rPr>
        <w:t xml:space="preserve">place in. </w:t>
      </w:r>
      <w:proofErr w:type="spellStart"/>
      <w:r w:rsidRPr="003B1341">
        <w:rPr>
          <w:rFonts w:ascii="Arial" w:hAnsi="Arial" w:cs="Arial"/>
          <w:sz w:val="24"/>
          <w:szCs w:val="24"/>
        </w:rPr>
        <w:t>Bahmani</w:t>
      </w:r>
      <w:proofErr w:type="spellEnd"/>
      <w:r w:rsidRPr="003B1341">
        <w:rPr>
          <w:rFonts w:ascii="Arial" w:hAnsi="Arial" w:cs="Arial"/>
          <w:sz w:val="24"/>
          <w:szCs w:val="24"/>
        </w:rPr>
        <w:t xml:space="preserve"> – </w:t>
      </w:r>
      <w:proofErr w:type="spellStart"/>
      <w:r w:rsidRPr="003B1341">
        <w:rPr>
          <w:rFonts w:ascii="Arial" w:hAnsi="Arial" w:cs="Arial"/>
          <w:sz w:val="24"/>
          <w:szCs w:val="24"/>
        </w:rPr>
        <w:t>Oskoose</w:t>
      </w:r>
      <w:proofErr w:type="spellEnd"/>
      <w:r w:rsidRPr="003B1341">
        <w:rPr>
          <w:rFonts w:ascii="Arial" w:hAnsi="Arial" w:cs="Arial"/>
          <w:sz w:val="24"/>
          <w:szCs w:val="24"/>
        </w:rPr>
        <w:t xml:space="preserve"> and </w:t>
      </w:r>
      <w:proofErr w:type="spellStart"/>
      <w:r w:rsidRPr="003B1341">
        <w:rPr>
          <w:rFonts w:ascii="Arial" w:hAnsi="Arial" w:cs="Arial"/>
          <w:sz w:val="24"/>
          <w:szCs w:val="24"/>
        </w:rPr>
        <w:t>Sohrabian</w:t>
      </w:r>
      <w:proofErr w:type="spellEnd"/>
      <w:r w:rsidRPr="003B1341">
        <w:rPr>
          <w:rFonts w:ascii="Arial" w:hAnsi="Arial" w:cs="Arial"/>
          <w:sz w:val="24"/>
          <w:szCs w:val="24"/>
        </w:rPr>
        <w:t xml:space="preserve"> (1992)</w:t>
      </w:r>
      <w:r w:rsidR="004E0AAC" w:rsidRPr="003B1341">
        <w:rPr>
          <w:rFonts w:ascii="Arial" w:hAnsi="Arial" w:cs="Arial"/>
          <w:sz w:val="24"/>
          <w:szCs w:val="24"/>
        </w:rPr>
        <w:t xml:space="preserve"> did not find any relationship between stock prices and exchange rates in long term in their research of American market. However, authors identified </w:t>
      </w:r>
      <w:r w:rsidR="00F04A9C" w:rsidRPr="003B1341">
        <w:rPr>
          <w:rFonts w:ascii="Arial" w:hAnsi="Arial" w:cs="Arial"/>
          <w:sz w:val="24"/>
          <w:szCs w:val="24"/>
        </w:rPr>
        <w:t>bidirectional</w:t>
      </w:r>
      <w:r w:rsidR="004E0AAC" w:rsidRPr="003B1341">
        <w:rPr>
          <w:rFonts w:ascii="Arial" w:hAnsi="Arial" w:cs="Arial"/>
          <w:sz w:val="24"/>
          <w:szCs w:val="24"/>
        </w:rPr>
        <w:t xml:space="preserve"> causality between variables. Rahman and Uddin (2009) could not find any relationship between stock prices and exchange rates in the long term in their research of </w:t>
      </w:r>
      <w:proofErr w:type="spellStart"/>
      <w:r w:rsidR="004E0AAC" w:rsidRPr="003B1341">
        <w:rPr>
          <w:rFonts w:ascii="Arial" w:hAnsi="Arial" w:cs="Arial"/>
          <w:sz w:val="24"/>
          <w:szCs w:val="24"/>
        </w:rPr>
        <w:t>Banglades</w:t>
      </w:r>
      <w:proofErr w:type="spellEnd"/>
      <w:r w:rsidR="004E0AAC" w:rsidRPr="003B1341">
        <w:rPr>
          <w:rFonts w:ascii="Arial" w:hAnsi="Arial" w:cs="Arial"/>
          <w:sz w:val="24"/>
          <w:szCs w:val="24"/>
        </w:rPr>
        <w:t>, Indıa and Pakistan.</w:t>
      </w:r>
      <w:r w:rsidR="00F95492" w:rsidRPr="003B1341">
        <w:rPr>
          <w:rFonts w:ascii="Arial" w:hAnsi="Arial" w:cs="Arial"/>
          <w:sz w:val="24"/>
          <w:szCs w:val="24"/>
        </w:rPr>
        <w:t xml:space="preserve"> Authors also could not identify any causality relationship between variables. Another study that researched the causality relationship between two markets is </w:t>
      </w:r>
      <w:proofErr w:type="spellStart"/>
      <w:r w:rsidR="00F95492" w:rsidRPr="003B1341">
        <w:rPr>
          <w:rFonts w:ascii="Arial" w:hAnsi="Arial" w:cs="Arial"/>
          <w:sz w:val="24"/>
          <w:szCs w:val="24"/>
        </w:rPr>
        <w:t>Hatemi</w:t>
      </w:r>
      <w:proofErr w:type="spellEnd"/>
      <w:r w:rsidR="00F95492" w:rsidRPr="003B1341">
        <w:rPr>
          <w:rFonts w:ascii="Arial" w:hAnsi="Arial" w:cs="Arial"/>
          <w:sz w:val="24"/>
          <w:szCs w:val="24"/>
        </w:rPr>
        <w:t xml:space="preserve"> and </w:t>
      </w:r>
      <w:proofErr w:type="spellStart"/>
      <w:r w:rsidR="00F95492" w:rsidRPr="003B1341">
        <w:rPr>
          <w:rFonts w:ascii="Arial" w:hAnsi="Arial" w:cs="Arial"/>
          <w:sz w:val="24"/>
          <w:szCs w:val="24"/>
        </w:rPr>
        <w:t>Irandoust</w:t>
      </w:r>
      <w:proofErr w:type="spellEnd"/>
      <w:r w:rsidR="00F95492" w:rsidRPr="003B1341">
        <w:rPr>
          <w:rFonts w:ascii="Arial" w:hAnsi="Arial" w:cs="Arial"/>
          <w:sz w:val="24"/>
          <w:szCs w:val="24"/>
        </w:rPr>
        <w:t xml:space="preserve"> (2002) study. In their study of Swedish market, authors identified the existence of a unidirectional causality from stock prices to exchange rates. In another study, </w:t>
      </w:r>
      <w:proofErr w:type="spellStart"/>
      <w:r w:rsidR="00F95492" w:rsidRPr="003B1341">
        <w:rPr>
          <w:rFonts w:ascii="Arial" w:hAnsi="Arial" w:cs="Arial"/>
          <w:bCs/>
          <w:sz w:val="24"/>
          <w:szCs w:val="24"/>
        </w:rPr>
        <w:t>Groenewold</w:t>
      </w:r>
      <w:proofErr w:type="spellEnd"/>
      <w:r w:rsidR="00F95492" w:rsidRPr="003B1341">
        <w:rPr>
          <w:rFonts w:ascii="Arial" w:hAnsi="Arial" w:cs="Arial"/>
          <w:bCs/>
          <w:sz w:val="24"/>
          <w:szCs w:val="24"/>
        </w:rPr>
        <w:t xml:space="preserve"> and Paterson (2011) researched the relationship between stock prices and exchange rates including commodity prices.</w:t>
      </w:r>
      <w:r w:rsidR="00F04A9C" w:rsidRPr="003B1341">
        <w:rPr>
          <w:rFonts w:ascii="Arial" w:hAnsi="Arial" w:cs="Arial"/>
          <w:bCs/>
          <w:sz w:val="24"/>
          <w:szCs w:val="24"/>
        </w:rPr>
        <w:t xml:space="preserve"> </w:t>
      </w:r>
      <w:r w:rsidR="00F95492" w:rsidRPr="003B1341">
        <w:rPr>
          <w:rFonts w:ascii="Arial" w:hAnsi="Arial" w:cs="Arial"/>
          <w:bCs/>
          <w:sz w:val="24"/>
          <w:szCs w:val="24"/>
        </w:rPr>
        <w:t xml:space="preserve">According to </w:t>
      </w:r>
      <w:r w:rsidR="00156F4C" w:rsidRPr="003B1341">
        <w:rPr>
          <w:rFonts w:ascii="Arial" w:hAnsi="Arial" w:cs="Arial"/>
          <w:bCs/>
          <w:sz w:val="24"/>
          <w:szCs w:val="24"/>
        </w:rPr>
        <w:t>the</w:t>
      </w:r>
      <w:r w:rsidR="00F95492" w:rsidRPr="003B1341">
        <w:rPr>
          <w:rFonts w:ascii="Arial" w:hAnsi="Arial" w:cs="Arial"/>
          <w:bCs/>
          <w:sz w:val="24"/>
          <w:szCs w:val="24"/>
        </w:rPr>
        <w:t xml:space="preserve"> authors there is a weak relationship between stock prices and exchange rates. However, </w:t>
      </w:r>
      <w:r w:rsidR="0037249B" w:rsidRPr="003B1341">
        <w:rPr>
          <w:rFonts w:ascii="Arial" w:hAnsi="Arial" w:cs="Arial"/>
          <w:bCs/>
          <w:sz w:val="24"/>
          <w:szCs w:val="24"/>
        </w:rPr>
        <w:t>there is a significant relationship between exchange rates and commodity prices.</w:t>
      </w:r>
      <w:r w:rsidR="00F95492" w:rsidRPr="003B1341">
        <w:rPr>
          <w:rFonts w:ascii="Arial" w:hAnsi="Arial" w:cs="Arial"/>
          <w:bCs/>
          <w:sz w:val="24"/>
          <w:szCs w:val="24"/>
        </w:rPr>
        <w:t xml:space="preserve"> According to the authors, a possible influence between stock prices and exchange rates will take place, under the assumption that commodity pr</w:t>
      </w:r>
      <w:r w:rsidR="0037249B" w:rsidRPr="003B1341">
        <w:rPr>
          <w:rFonts w:ascii="Arial" w:hAnsi="Arial" w:cs="Arial"/>
          <w:bCs/>
          <w:sz w:val="24"/>
          <w:szCs w:val="24"/>
        </w:rPr>
        <w:t xml:space="preserve">ices are affecting stock prices. In their research of India, Bhattacharya and Mukherjee (2001) researched the causality relationship over macro-economic variables using BSE Sensitive Index. According to the authors, one of the macro-economic variables affecting BSE Sensitive Index is the exchange rate. </w:t>
      </w:r>
      <w:proofErr w:type="spellStart"/>
      <w:r w:rsidR="0037249B" w:rsidRPr="003B1341">
        <w:rPr>
          <w:rFonts w:ascii="Arial" w:hAnsi="Arial" w:cs="Arial"/>
          <w:bCs/>
          <w:sz w:val="24"/>
          <w:szCs w:val="24"/>
        </w:rPr>
        <w:t>Issam</w:t>
      </w:r>
      <w:proofErr w:type="spellEnd"/>
      <w:r w:rsidR="0037249B" w:rsidRPr="003B1341">
        <w:rPr>
          <w:rFonts w:ascii="Arial" w:hAnsi="Arial" w:cs="Arial"/>
          <w:bCs/>
          <w:sz w:val="24"/>
          <w:szCs w:val="24"/>
        </w:rPr>
        <w:t xml:space="preserve"> and </w:t>
      </w:r>
      <w:proofErr w:type="spellStart"/>
      <w:r w:rsidR="0037249B" w:rsidRPr="003B1341">
        <w:rPr>
          <w:rFonts w:ascii="Arial" w:hAnsi="Arial" w:cs="Arial"/>
          <w:bCs/>
          <w:sz w:val="24"/>
          <w:szCs w:val="24"/>
        </w:rPr>
        <w:t>Murinde</w:t>
      </w:r>
      <w:proofErr w:type="spellEnd"/>
      <w:r w:rsidR="0037249B" w:rsidRPr="003B1341">
        <w:rPr>
          <w:rFonts w:ascii="Arial" w:hAnsi="Arial" w:cs="Arial"/>
          <w:bCs/>
          <w:sz w:val="24"/>
          <w:szCs w:val="24"/>
        </w:rPr>
        <w:t xml:space="preserve"> (1997) identified a unidirectional causality from exchange rate to stock prices in their research. According to the authors, governments have to be careful while implementing policies regarding exchange rates. </w:t>
      </w:r>
      <w:proofErr w:type="gramStart"/>
      <w:r w:rsidR="0037249B" w:rsidRPr="003B1341">
        <w:rPr>
          <w:rFonts w:ascii="Arial" w:hAnsi="Arial" w:cs="Arial"/>
          <w:bCs/>
          <w:sz w:val="24"/>
          <w:szCs w:val="24"/>
        </w:rPr>
        <w:t>Because, exchange rate policies may affect the stock markets.</w:t>
      </w:r>
      <w:proofErr w:type="gramEnd"/>
      <w:r w:rsidR="0037249B" w:rsidRPr="003B1341">
        <w:rPr>
          <w:rFonts w:ascii="Arial" w:hAnsi="Arial" w:cs="Arial"/>
          <w:bCs/>
          <w:sz w:val="24"/>
          <w:szCs w:val="24"/>
        </w:rPr>
        <w:t xml:space="preserve"> </w:t>
      </w:r>
    </w:p>
    <w:p w:rsidR="00457D2D" w:rsidRDefault="00457D2D" w:rsidP="00457D2D">
      <w:pPr>
        <w:spacing w:after="0"/>
        <w:ind w:left="720" w:right="590" w:firstLine="696"/>
        <w:jc w:val="both"/>
        <w:rPr>
          <w:rFonts w:ascii="Arial" w:hAnsi="Arial" w:cs="Arial"/>
          <w:bCs/>
          <w:sz w:val="24"/>
          <w:szCs w:val="24"/>
        </w:rPr>
      </w:pPr>
    </w:p>
    <w:p w:rsidR="0037249B" w:rsidRPr="003B1341" w:rsidRDefault="0037249B" w:rsidP="001C538D">
      <w:pPr>
        <w:spacing w:after="0"/>
        <w:ind w:right="590" w:firstLine="708"/>
        <w:jc w:val="both"/>
        <w:rPr>
          <w:rFonts w:ascii="Arial" w:hAnsi="Arial" w:cs="Arial"/>
          <w:bCs/>
          <w:sz w:val="24"/>
          <w:szCs w:val="24"/>
        </w:rPr>
      </w:pPr>
      <w:r w:rsidRPr="003B1341">
        <w:rPr>
          <w:rFonts w:ascii="Arial" w:hAnsi="Arial" w:cs="Arial"/>
          <w:bCs/>
          <w:sz w:val="24"/>
          <w:szCs w:val="24"/>
        </w:rPr>
        <w:t>When empirical results are examined, it is seen that the relationship between stock prices and exchange rates yields mixed results.</w:t>
      </w:r>
    </w:p>
    <w:p w:rsidR="0037249B" w:rsidRPr="003B1341" w:rsidRDefault="0037249B" w:rsidP="003B1341">
      <w:pPr>
        <w:spacing w:after="0"/>
        <w:ind w:left="720" w:right="590"/>
        <w:jc w:val="both"/>
        <w:rPr>
          <w:rFonts w:ascii="Arial" w:hAnsi="Arial" w:cs="Arial"/>
          <w:bCs/>
          <w:sz w:val="24"/>
          <w:szCs w:val="24"/>
        </w:rPr>
      </w:pPr>
    </w:p>
    <w:p w:rsidR="0037249B" w:rsidRPr="009F6606" w:rsidRDefault="0037249B" w:rsidP="009F6606">
      <w:pPr>
        <w:pStyle w:val="ListeParagraf"/>
        <w:numPr>
          <w:ilvl w:val="0"/>
          <w:numId w:val="3"/>
        </w:numPr>
        <w:spacing w:after="0"/>
        <w:ind w:right="590"/>
        <w:jc w:val="both"/>
        <w:rPr>
          <w:rFonts w:ascii="Arial" w:hAnsi="Arial" w:cs="Arial"/>
          <w:b/>
          <w:sz w:val="24"/>
          <w:szCs w:val="24"/>
        </w:rPr>
      </w:pPr>
      <w:r w:rsidRPr="009F6606">
        <w:rPr>
          <w:rFonts w:ascii="Arial" w:hAnsi="Arial" w:cs="Arial"/>
          <w:b/>
          <w:sz w:val="24"/>
          <w:szCs w:val="24"/>
        </w:rPr>
        <w:t>The Purpose of the Study and its Scope</w:t>
      </w:r>
    </w:p>
    <w:p w:rsidR="0037249B" w:rsidRPr="003B1341" w:rsidRDefault="0037249B" w:rsidP="003B1341">
      <w:pPr>
        <w:spacing w:after="0"/>
        <w:ind w:left="720" w:right="590"/>
        <w:jc w:val="both"/>
        <w:rPr>
          <w:rFonts w:ascii="Arial" w:hAnsi="Arial" w:cs="Arial"/>
          <w:b/>
          <w:sz w:val="24"/>
          <w:szCs w:val="24"/>
        </w:rPr>
      </w:pPr>
    </w:p>
    <w:p w:rsidR="0037249B" w:rsidRPr="003B1341" w:rsidRDefault="0037249B" w:rsidP="001C538D">
      <w:pPr>
        <w:spacing w:after="0"/>
        <w:ind w:right="590"/>
        <w:jc w:val="both"/>
        <w:rPr>
          <w:rFonts w:ascii="Arial" w:hAnsi="Arial" w:cs="Arial"/>
          <w:bCs/>
          <w:sz w:val="24"/>
          <w:szCs w:val="24"/>
        </w:rPr>
      </w:pPr>
      <w:r w:rsidRPr="003B1341">
        <w:rPr>
          <w:rFonts w:ascii="Arial" w:hAnsi="Arial" w:cs="Arial"/>
          <w:sz w:val="24"/>
          <w:szCs w:val="24"/>
        </w:rPr>
        <w:t xml:space="preserve">The purpose of the study is to determine the effects of the variations in foreign currency </w:t>
      </w:r>
      <w:r w:rsidR="001F5497" w:rsidRPr="003B1341">
        <w:rPr>
          <w:rFonts w:ascii="Arial" w:hAnsi="Arial" w:cs="Arial"/>
          <w:sz w:val="24"/>
          <w:szCs w:val="24"/>
        </w:rPr>
        <w:t>market</w:t>
      </w:r>
      <w:r w:rsidRPr="003B1341">
        <w:rPr>
          <w:rFonts w:ascii="Arial" w:hAnsi="Arial" w:cs="Arial"/>
          <w:sz w:val="24"/>
          <w:szCs w:val="24"/>
        </w:rPr>
        <w:t xml:space="preserve"> on Turkish securities market. In the study, </w:t>
      </w:r>
      <w:proofErr w:type="spellStart"/>
      <w:r w:rsidR="00C43136" w:rsidRPr="003B1341">
        <w:rPr>
          <w:rFonts w:ascii="Arial" w:hAnsi="Arial" w:cs="Arial"/>
          <w:sz w:val="24"/>
          <w:szCs w:val="24"/>
        </w:rPr>
        <w:t>Borsa</w:t>
      </w:r>
      <w:proofErr w:type="spellEnd"/>
      <w:r w:rsidR="00C43136" w:rsidRPr="003B1341">
        <w:rPr>
          <w:rFonts w:ascii="Arial" w:hAnsi="Arial" w:cs="Arial"/>
          <w:sz w:val="24"/>
          <w:szCs w:val="24"/>
        </w:rPr>
        <w:t xml:space="preserve"> Istanbul (BIST 100) index is used as it is used in international comparisons. The currencies researched to have the possible effects on this index are: EURO (EUR), United States Dollar (USD), Pound Sterling (GBP), Japanese Yen (JPY), Australian Dollar (AUD)</w:t>
      </w:r>
      <w:r w:rsidR="006431D9" w:rsidRPr="003B1341">
        <w:rPr>
          <w:rFonts w:ascii="Arial" w:hAnsi="Arial" w:cs="Arial"/>
          <w:sz w:val="24"/>
          <w:szCs w:val="24"/>
        </w:rPr>
        <w:t>, Canadian Dollar, (CAD) and Swedis</w:t>
      </w:r>
      <w:r w:rsidR="00F04A9C" w:rsidRPr="003B1341">
        <w:rPr>
          <w:rFonts w:ascii="Arial" w:hAnsi="Arial" w:cs="Arial"/>
          <w:sz w:val="24"/>
          <w:szCs w:val="24"/>
        </w:rPr>
        <w:t>h</w:t>
      </w:r>
      <w:r w:rsidR="006431D9" w:rsidRPr="003B1341">
        <w:rPr>
          <w:rFonts w:ascii="Arial" w:hAnsi="Arial" w:cs="Arial"/>
          <w:sz w:val="24"/>
          <w:szCs w:val="24"/>
        </w:rPr>
        <w:t xml:space="preserve"> Krona (SEK). Period of the research, where daily values are used, is 2001/01/01 – 2013 /12/31</w:t>
      </w:r>
      <w:r w:rsidR="00354531" w:rsidRPr="003B1341">
        <w:rPr>
          <w:rFonts w:ascii="Arial" w:hAnsi="Arial" w:cs="Arial"/>
          <w:sz w:val="24"/>
          <w:szCs w:val="24"/>
        </w:rPr>
        <w:t>.</w:t>
      </w:r>
    </w:p>
    <w:p w:rsidR="006432BE" w:rsidRPr="003B1341" w:rsidRDefault="006432BE" w:rsidP="003B1341">
      <w:pPr>
        <w:spacing w:after="0"/>
        <w:ind w:left="720" w:right="590"/>
        <w:jc w:val="both"/>
        <w:rPr>
          <w:rFonts w:ascii="Arial" w:hAnsi="Arial" w:cs="Arial"/>
          <w:bCs/>
          <w:sz w:val="24"/>
          <w:szCs w:val="24"/>
        </w:rPr>
      </w:pPr>
    </w:p>
    <w:p w:rsidR="00F04A9C" w:rsidRPr="009F6606" w:rsidRDefault="00F04A9C" w:rsidP="009F6606">
      <w:pPr>
        <w:pStyle w:val="ListeParagraf"/>
        <w:numPr>
          <w:ilvl w:val="0"/>
          <w:numId w:val="3"/>
        </w:numPr>
        <w:spacing w:after="0"/>
        <w:ind w:right="590"/>
        <w:jc w:val="both"/>
        <w:rPr>
          <w:rFonts w:ascii="Arial" w:hAnsi="Arial" w:cs="Arial"/>
          <w:b/>
          <w:bCs/>
          <w:sz w:val="24"/>
          <w:szCs w:val="24"/>
        </w:rPr>
      </w:pPr>
      <w:r w:rsidRPr="009F6606">
        <w:rPr>
          <w:rFonts w:ascii="Arial" w:hAnsi="Arial" w:cs="Arial"/>
          <w:b/>
          <w:bCs/>
          <w:sz w:val="24"/>
          <w:szCs w:val="24"/>
        </w:rPr>
        <w:t>Econometric Approach Used in the Study</w:t>
      </w:r>
    </w:p>
    <w:p w:rsidR="00F04A9C" w:rsidRPr="003B1341" w:rsidRDefault="00F04A9C" w:rsidP="003B1341">
      <w:pPr>
        <w:spacing w:after="0"/>
        <w:ind w:left="720" w:right="590"/>
        <w:jc w:val="both"/>
        <w:rPr>
          <w:rFonts w:ascii="Arial" w:hAnsi="Arial" w:cs="Arial"/>
          <w:b/>
          <w:bCs/>
          <w:sz w:val="24"/>
          <w:szCs w:val="24"/>
        </w:rPr>
      </w:pPr>
    </w:p>
    <w:p w:rsidR="00F04A9C" w:rsidRPr="003B1341" w:rsidRDefault="00F04A9C" w:rsidP="001C538D">
      <w:pPr>
        <w:spacing w:after="0"/>
        <w:ind w:right="590"/>
        <w:jc w:val="both"/>
        <w:rPr>
          <w:rFonts w:ascii="Arial" w:hAnsi="Arial" w:cs="Arial"/>
          <w:bCs/>
          <w:sz w:val="24"/>
          <w:szCs w:val="24"/>
        </w:rPr>
      </w:pPr>
      <w:r w:rsidRPr="003B1341">
        <w:rPr>
          <w:rFonts w:ascii="Arial" w:hAnsi="Arial" w:cs="Arial"/>
          <w:bCs/>
          <w:sz w:val="24"/>
          <w:szCs w:val="24"/>
        </w:rPr>
        <w:t xml:space="preserve">There are two methods suggested in the literature for determining the long term relationship. These are The Engle–Granger Two-Step Method (1987) and Johansen's </w:t>
      </w:r>
      <w:proofErr w:type="spellStart"/>
      <w:r w:rsidRPr="003B1341">
        <w:rPr>
          <w:rFonts w:ascii="Arial" w:hAnsi="Arial" w:cs="Arial"/>
          <w:bCs/>
          <w:sz w:val="24"/>
          <w:szCs w:val="24"/>
        </w:rPr>
        <w:t>Cointegration</w:t>
      </w:r>
      <w:proofErr w:type="spellEnd"/>
      <w:r w:rsidRPr="003B1341">
        <w:rPr>
          <w:rFonts w:ascii="Arial" w:hAnsi="Arial" w:cs="Arial"/>
          <w:bCs/>
          <w:sz w:val="24"/>
          <w:szCs w:val="24"/>
        </w:rPr>
        <w:t xml:space="preserve"> Analysis (1988) methods. When two methods are compared, these are their differences (</w:t>
      </w:r>
      <w:proofErr w:type="spellStart"/>
      <w:r w:rsidRPr="003B1341">
        <w:rPr>
          <w:rFonts w:ascii="Arial" w:hAnsi="Arial" w:cs="Arial"/>
          <w:bCs/>
          <w:sz w:val="24"/>
          <w:szCs w:val="24"/>
        </w:rPr>
        <w:t>Atan</w:t>
      </w:r>
      <w:proofErr w:type="spellEnd"/>
      <w:r w:rsidRPr="003B1341">
        <w:rPr>
          <w:rFonts w:ascii="Arial" w:hAnsi="Arial" w:cs="Arial"/>
          <w:bCs/>
          <w:sz w:val="24"/>
          <w:szCs w:val="24"/>
        </w:rPr>
        <w:t xml:space="preserve">, 2002): (1) Engle-Granger is a static model, does not include dynamic events. Johansen made their model dynamic. (2) The long term and short term relationships cannot be seen together in Engle-Granger model. Whereas Johansen model includes, both long term and short term relationships. (3) Parameters obtained from Johansen model are less </w:t>
      </w:r>
      <w:r w:rsidR="00D4533B" w:rsidRPr="003B1341">
        <w:rPr>
          <w:rFonts w:ascii="Arial" w:hAnsi="Arial" w:cs="Arial"/>
          <w:bCs/>
          <w:sz w:val="24"/>
          <w:szCs w:val="24"/>
        </w:rPr>
        <w:t>unbiased than</w:t>
      </w:r>
      <w:r w:rsidRPr="003B1341">
        <w:rPr>
          <w:rFonts w:ascii="Arial" w:hAnsi="Arial" w:cs="Arial"/>
          <w:bCs/>
          <w:sz w:val="24"/>
          <w:szCs w:val="24"/>
        </w:rPr>
        <w:t xml:space="preserve"> Engle-Granger model. (4) Engle-Granger model consists of only one long term. Multiple long term relationships can be found in Johansen model.</w:t>
      </w:r>
    </w:p>
    <w:p w:rsidR="00F04A9C" w:rsidRPr="003B1341" w:rsidRDefault="00F04A9C" w:rsidP="003B1341">
      <w:pPr>
        <w:spacing w:after="0"/>
        <w:ind w:left="720" w:right="590"/>
        <w:jc w:val="both"/>
        <w:rPr>
          <w:rFonts w:ascii="Arial" w:hAnsi="Arial" w:cs="Arial"/>
          <w:bCs/>
          <w:sz w:val="24"/>
          <w:szCs w:val="24"/>
        </w:rPr>
      </w:pPr>
    </w:p>
    <w:p w:rsidR="001C538D" w:rsidRPr="003B1341" w:rsidRDefault="001C25E2" w:rsidP="001C538D">
      <w:pPr>
        <w:spacing w:after="0"/>
        <w:ind w:right="590" w:firstLine="708"/>
        <w:jc w:val="both"/>
        <w:rPr>
          <w:rFonts w:ascii="Arial" w:hAnsi="Arial" w:cs="Arial"/>
          <w:bCs/>
          <w:sz w:val="24"/>
          <w:szCs w:val="24"/>
        </w:rPr>
      </w:pPr>
      <w:r w:rsidRPr="003B1341">
        <w:rPr>
          <w:rFonts w:ascii="Arial" w:hAnsi="Arial" w:cs="Arial"/>
          <w:bCs/>
          <w:sz w:val="24"/>
          <w:szCs w:val="24"/>
        </w:rPr>
        <w:t xml:space="preserve">For the Johansen model used in the study, </w:t>
      </w:r>
      <w:r w:rsidR="00D4533B" w:rsidRPr="003B1341">
        <w:rPr>
          <w:rFonts w:ascii="Arial" w:hAnsi="Arial" w:cs="Arial"/>
          <w:bCs/>
          <w:sz w:val="24"/>
          <w:szCs w:val="24"/>
        </w:rPr>
        <w:t>Vector Autoregressive Model (</w:t>
      </w:r>
      <w:r w:rsidRPr="003B1341">
        <w:rPr>
          <w:rFonts w:ascii="Arial" w:hAnsi="Arial" w:cs="Arial"/>
          <w:bCs/>
          <w:sz w:val="24"/>
          <w:szCs w:val="24"/>
        </w:rPr>
        <w:t>VAR</w:t>
      </w:r>
      <w:r w:rsidR="00D4533B" w:rsidRPr="003B1341">
        <w:rPr>
          <w:rFonts w:ascii="Arial" w:hAnsi="Arial" w:cs="Arial"/>
          <w:bCs/>
          <w:sz w:val="24"/>
          <w:szCs w:val="24"/>
        </w:rPr>
        <w:t>)</w:t>
      </w:r>
      <w:r w:rsidRPr="003B1341">
        <w:rPr>
          <w:rFonts w:ascii="Arial" w:hAnsi="Arial" w:cs="Arial"/>
          <w:bCs/>
          <w:sz w:val="24"/>
          <w:szCs w:val="24"/>
        </w:rPr>
        <w:t xml:space="preserve"> model is established. For the determination of the </w:t>
      </w:r>
      <w:r w:rsidR="00D4533B" w:rsidRPr="003B1341">
        <w:rPr>
          <w:rFonts w:ascii="Arial" w:hAnsi="Arial" w:cs="Arial"/>
          <w:bCs/>
          <w:sz w:val="24"/>
          <w:szCs w:val="24"/>
        </w:rPr>
        <w:t>lag</w:t>
      </w:r>
      <w:r w:rsidRPr="003B1341">
        <w:rPr>
          <w:rFonts w:ascii="Arial" w:hAnsi="Arial" w:cs="Arial"/>
          <w:bCs/>
          <w:sz w:val="24"/>
          <w:szCs w:val="24"/>
        </w:rPr>
        <w:t xml:space="preserve"> of the system, </w:t>
      </w:r>
      <w:proofErr w:type="spellStart"/>
      <w:r w:rsidRPr="003B1341">
        <w:rPr>
          <w:rFonts w:ascii="Arial" w:hAnsi="Arial" w:cs="Arial"/>
          <w:bCs/>
          <w:sz w:val="24"/>
          <w:szCs w:val="24"/>
        </w:rPr>
        <w:t>Akaike</w:t>
      </w:r>
      <w:proofErr w:type="spellEnd"/>
      <w:r w:rsidRPr="003B1341">
        <w:rPr>
          <w:rFonts w:ascii="Arial" w:hAnsi="Arial" w:cs="Arial"/>
          <w:bCs/>
          <w:sz w:val="24"/>
          <w:szCs w:val="24"/>
        </w:rPr>
        <w:t xml:space="preserve"> and Schwarz </w:t>
      </w:r>
      <w:r w:rsidR="00803F72" w:rsidRPr="003B1341">
        <w:rPr>
          <w:rFonts w:ascii="Arial" w:hAnsi="Arial" w:cs="Arial"/>
          <w:bCs/>
          <w:sz w:val="24"/>
          <w:szCs w:val="24"/>
        </w:rPr>
        <w:t>information</w:t>
      </w:r>
      <w:r w:rsidRPr="003B1341">
        <w:rPr>
          <w:rFonts w:ascii="Arial" w:hAnsi="Arial" w:cs="Arial"/>
          <w:bCs/>
          <w:sz w:val="24"/>
          <w:szCs w:val="24"/>
        </w:rPr>
        <w:t xml:space="preserve"> criteria are used. According to these </w:t>
      </w:r>
      <w:r w:rsidR="00803F72" w:rsidRPr="003B1341">
        <w:rPr>
          <w:rFonts w:ascii="Arial" w:hAnsi="Arial" w:cs="Arial"/>
          <w:bCs/>
          <w:sz w:val="24"/>
          <w:szCs w:val="24"/>
        </w:rPr>
        <w:t>information</w:t>
      </w:r>
      <w:r w:rsidRPr="003B1341">
        <w:rPr>
          <w:rFonts w:ascii="Arial" w:hAnsi="Arial" w:cs="Arial"/>
          <w:bCs/>
          <w:sz w:val="24"/>
          <w:szCs w:val="24"/>
        </w:rPr>
        <w:t xml:space="preserve"> criteria, system </w:t>
      </w:r>
      <w:r w:rsidR="00D4533B" w:rsidRPr="003B1341">
        <w:rPr>
          <w:rFonts w:ascii="Arial" w:hAnsi="Arial" w:cs="Arial"/>
          <w:bCs/>
          <w:sz w:val="24"/>
          <w:szCs w:val="24"/>
        </w:rPr>
        <w:t>lag</w:t>
      </w:r>
      <w:r w:rsidRPr="003B1341">
        <w:rPr>
          <w:rFonts w:ascii="Arial" w:hAnsi="Arial" w:cs="Arial"/>
          <w:bCs/>
          <w:sz w:val="24"/>
          <w:szCs w:val="24"/>
        </w:rPr>
        <w:t xml:space="preserve"> is determined as 1. The mathematical formula and hypothesis tests of the VAR method used in the study are as follows Schmidt, (2005) and </w:t>
      </w:r>
      <w:proofErr w:type="spellStart"/>
      <w:r w:rsidRPr="003B1341">
        <w:rPr>
          <w:rFonts w:ascii="Arial" w:hAnsi="Arial" w:cs="Arial"/>
          <w:bCs/>
          <w:sz w:val="24"/>
          <w:szCs w:val="24"/>
        </w:rPr>
        <w:t>Atan</w:t>
      </w:r>
      <w:proofErr w:type="spellEnd"/>
      <w:r w:rsidRPr="003B1341">
        <w:rPr>
          <w:rFonts w:ascii="Arial" w:hAnsi="Arial" w:cs="Arial"/>
          <w:bCs/>
          <w:sz w:val="24"/>
          <w:szCs w:val="24"/>
        </w:rPr>
        <w:t>, (2002):</w:t>
      </w:r>
    </w:p>
    <w:p w:rsidR="001C25E2" w:rsidRPr="00E93EDC" w:rsidRDefault="001C25E2" w:rsidP="0039402E">
      <w:pPr>
        <w:spacing w:after="0"/>
        <w:ind w:left="720" w:right="590"/>
        <w:rPr>
          <w:rFonts w:ascii="Times New Roman" w:hAnsi="Times New Roman"/>
          <w:bCs/>
          <w:sz w:val="24"/>
          <w:szCs w:val="24"/>
        </w:rPr>
      </w:pPr>
    </w:p>
    <w:tbl>
      <w:tblPr>
        <w:tblStyle w:val="TabloKlavuzu"/>
        <w:tblW w:w="0" w:type="auto"/>
        <w:tblInd w:w="817" w:type="dxa"/>
        <w:tblLook w:val="04A0" w:firstRow="1" w:lastRow="0" w:firstColumn="1" w:lastColumn="0" w:noHBand="0" w:noVBand="1"/>
      </w:tblPr>
      <w:tblGrid>
        <w:gridCol w:w="7796"/>
      </w:tblGrid>
      <w:tr w:rsidR="001C25E2" w:rsidRPr="00E93EDC" w:rsidTr="001C25E2">
        <w:tc>
          <w:tcPr>
            <w:tcW w:w="7796" w:type="dxa"/>
          </w:tcPr>
          <w:p w:rsidR="001C25E2" w:rsidRPr="00E93EDC" w:rsidRDefault="001C25E2" w:rsidP="000A2DE6">
            <w:pPr>
              <w:jc w:val="both"/>
              <w:rPr>
                <w:rFonts w:ascii="Times New Roman" w:hAnsi="Times New Roman" w:cs="Times New Roman"/>
                <w:b/>
                <w:sz w:val="24"/>
                <w:szCs w:val="24"/>
              </w:rPr>
            </w:pPr>
          </w:p>
          <w:p w:rsidR="001C25E2" w:rsidRPr="00457D2D" w:rsidRDefault="001C25E2" w:rsidP="000A2DE6">
            <w:pPr>
              <w:jc w:val="both"/>
              <w:rPr>
                <w:rFonts w:ascii="Arial" w:hAnsi="Arial" w:cs="Arial"/>
                <w:sz w:val="24"/>
                <w:szCs w:val="24"/>
              </w:rPr>
            </w:pPr>
            <w:r w:rsidRPr="00457D2D">
              <w:rPr>
                <w:rFonts w:ascii="Arial" w:hAnsi="Arial" w:cs="Arial"/>
                <w:sz w:val="24"/>
                <w:szCs w:val="24"/>
              </w:rPr>
              <w:t>Y</w:t>
            </w:r>
            <w:r w:rsidRPr="00457D2D">
              <w:rPr>
                <w:rFonts w:ascii="Arial" w:hAnsi="Arial" w:cs="Arial"/>
                <w:sz w:val="24"/>
                <w:szCs w:val="24"/>
                <w:vertAlign w:val="subscript"/>
              </w:rPr>
              <w:t>1t</w:t>
            </w:r>
            <w:r w:rsidRPr="00457D2D">
              <w:rPr>
                <w:rFonts w:ascii="Arial" w:hAnsi="Arial" w:cs="Arial"/>
                <w:sz w:val="24"/>
                <w:szCs w:val="24"/>
              </w:rPr>
              <w:t xml:space="preserve"> = β</w:t>
            </w:r>
            <w:r w:rsidRPr="00457D2D">
              <w:rPr>
                <w:rFonts w:ascii="Arial" w:hAnsi="Arial" w:cs="Arial"/>
                <w:sz w:val="24"/>
                <w:szCs w:val="24"/>
                <w:vertAlign w:val="subscript"/>
              </w:rPr>
              <w:t>0</w:t>
            </w:r>
            <w:r w:rsidRPr="00457D2D">
              <w:rPr>
                <w:rFonts w:ascii="Arial" w:hAnsi="Arial" w:cs="Arial"/>
                <w:sz w:val="24"/>
                <w:szCs w:val="24"/>
              </w:rPr>
              <w:t xml:space="preserve"> + β</w:t>
            </w:r>
            <w:r w:rsidRPr="00457D2D">
              <w:rPr>
                <w:rFonts w:ascii="Arial" w:hAnsi="Arial" w:cs="Arial"/>
                <w:sz w:val="24"/>
                <w:szCs w:val="24"/>
                <w:vertAlign w:val="subscript"/>
              </w:rPr>
              <w:t>11</w:t>
            </w:r>
            <w:r w:rsidRPr="00457D2D">
              <w:rPr>
                <w:rFonts w:ascii="Arial" w:hAnsi="Arial" w:cs="Arial"/>
                <w:sz w:val="24"/>
                <w:szCs w:val="24"/>
              </w:rPr>
              <w:t xml:space="preserve"> Y</w:t>
            </w:r>
            <w:r w:rsidRPr="00457D2D">
              <w:rPr>
                <w:rFonts w:ascii="Arial" w:hAnsi="Arial" w:cs="Arial"/>
                <w:sz w:val="24"/>
                <w:szCs w:val="24"/>
                <w:vertAlign w:val="subscript"/>
              </w:rPr>
              <w:t>1(t – 1)</w:t>
            </w:r>
            <w:r w:rsidRPr="00457D2D">
              <w:rPr>
                <w:rFonts w:ascii="Arial" w:hAnsi="Arial" w:cs="Arial"/>
                <w:sz w:val="24"/>
                <w:szCs w:val="24"/>
              </w:rPr>
              <w:t xml:space="preserve"> + …+ β</w:t>
            </w:r>
            <w:r w:rsidRPr="00457D2D">
              <w:rPr>
                <w:rFonts w:ascii="Arial" w:hAnsi="Arial" w:cs="Arial"/>
                <w:sz w:val="24"/>
                <w:szCs w:val="24"/>
                <w:vertAlign w:val="subscript"/>
              </w:rPr>
              <w:t>1M</w:t>
            </w:r>
            <w:r w:rsidRPr="00457D2D">
              <w:rPr>
                <w:rFonts w:ascii="Arial" w:hAnsi="Arial" w:cs="Arial"/>
                <w:sz w:val="24"/>
                <w:szCs w:val="24"/>
              </w:rPr>
              <w:t xml:space="preserve"> Y</w:t>
            </w:r>
            <w:r w:rsidRPr="00457D2D">
              <w:rPr>
                <w:rFonts w:ascii="Arial" w:hAnsi="Arial" w:cs="Arial"/>
                <w:sz w:val="24"/>
                <w:szCs w:val="24"/>
                <w:vertAlign w:val="subscript"/>
              </w:rPr>
              <w:t>1(t – M)</w:t>
            </w:r>
            <w:r w:rsidRPr="00457D2D">
              <w:rPr>
                <w:rFonts w:ascii="Arial" w:hAnsi="Arial" w:cs="Arial"/>
                <w:sz w:val="24"/>
                <w:szCs w:val="24"/>
              </w:rPr>
              <w:t xml:space="preserve"> + β</w:t>
            </w:r>
            <w:r w:rsidRPr="00457D2D">
              <w:rPr>
                <w:rFonts w:ascii="Arial" w:hAnsi="Arial" w:cs="Arial"/>
                <w:sz w:val="24"/>
                <w:szCs w:val="24"/>
                <w:vertAlign w:val="subscript"/>
              </w:rPr>
              <w:t>21</w:t>
            </w:r>
            <w:r w:rsidRPr="00457D2D">
              <w:rPr>
                <w:rFonts w:ascii="Arial" w:hAnsi="Arial" w:cs="Arial"/>
                <w:sz w:val="24"/>
                <w:szCs w:val="24"/>
              </w:rPr>
              <w:t xml:space="preserve"> Y</w:t>
            </w:r>
            <w:r w:rsidRPr="00457D2D">
              <w:rPr>
                <w:rFonts w:ascii="Arial" w:hAnsi="Arial" w:cs="Arial"/>
                <w:sz w:val="24"/>
                <w:szCs w:val="24"/>
                <w:vertAlign w:val="subscript"/>
              </w:rPr>
              <w:t>2(t-1)</w:t>
            </w:r>
            <w:r w:rsidRPr="00457D2D">
              <w:rPr>
                <w:rFonts w:ascii="Arial" w:hAnsi="Arial" w:cs="Arial"/>
                <w:sz w:val="24"/>
                <w:szCs w:val="24"/>
              </w:rPr>
              <w:t xml:space="preserve"> + …</w:t>
            </w:r>
          </w:p>
          <w:p w:rsidR="001C25E2" w:rsidRPr="00457D2D" w:rsidRDefault="001C25E2" w:rsidP="000A2DE6">
            <w:pPr>
              <w:jc w:val="both"/>
              <w:rPr>
                <w:rFonts w:ascii="Arial" w:hAnsi="Arial" w:cs="Arial"/>
                <w:sz w:val="24"/>
                <w:szCs w:val="24"/>
              </w:rPr>
            </w:pPr>
          </w:p>
          <w:p w:rsidR="001C25E2" w:rsidRPr="00457D2D" w:rsidRDefault="001C25E2" w:rsidP="000A2DE6">
            <w:pPr>
              <w:jc w:val="both"/>
              <w:rPr>
                <w:rFonts w:ascii="Arial" w:hAnsi="Arial" w:cs="Arial"/>
                <w:sz w:val="24"/>
                <w:szCs w:val="24"/>
              </w:rPr>
            </w:pPr>
            <w:r w:rsidRPr="00457D2D">
              <w:rPr>
                <w:rFonts w:ascii="Arial" w:hAnsi="Arial" w:cs="Arial"/>
                <w:sz w:val="24"/>
                <w:szCs w:val="24"/>
              </w:rPr>
              <w:t xml:space="preserve">         Β</w:t>
            </w:r>
            <w:r w:rsidRPr="00457D2D">
              <w:rPr>
                <w:rFonts w:ascii="Arial" w:hAnsi="Arial" w:cs="Arial"/>
                <w:sz w:val="24"/>
                <w:szCs w:val="24"/>
                <w:vertAlign w:val="subscript"/>
              </w:rPr>
              <w:t>2M</w:t>
            </w:r>
            <w:r w:rsidRPr="00457D2D">
              <w:rPr>
                <w:rFonts w:ascii="Arial" w:hAnsi="Arial" w:cs="Arial"/>
                <w:sz w:val="24"/>
                <w:szCs w:val="24"/>
              </w:rPr>
              <w:t xml:space="preserve"> Y</w:t>
            </w:r>
            <w:r w:rsidRPr="00457D2D">
              <w:rPr>
                <w:rFonts w:ascii="Arial" w:hAnsi="Arial" w:cs="Arial"/>
                <w:sz w:val="24"/>
                <w:szCs w:val="24"/>
                <w:vertAlign w:val="subscript"/>
              </w:rPr>
              <w:t>2(t – M)</w:t>
            </w:r>
            <w:r w:rsidRPr="00457D2D">
              <w:rPr>
                <w:rFonts w:ascii="Arial" w:hAnsi="Arial" w:cs="Arial"/>
                <w:sz w:val="24"/>
                <w:szCs w:val="24"/>
              </w:rPr>
              <w:t xml:space="preserve"> + …+ β</w:t>
            </w:r>
            <w:r w:rsidRPr="00457D2D">
              <w:rPr>
                <w:rFonts w:ascii="Arial" w:hAnsi="Arial" w:cs="Arial"/>
                <w:sz w:val="24"/>
                <w:szCs w:val="24"/>
                <w:vertAlign w:val="subscript"/>
              </w:rPr>
              <w:t xml:space="preserve">K1 </w:t>
            </w:r>
            <w:r w:rsidRPr="00457D2D">
              <w:rPr>
                <w:rFonts w:ascii="Arial" w:hAnsi="Arial" w:cs="Arial"/>
                <w:sz w:val="24"/>
                <w:szCs w:val="24"/>
              </w:rPr>
              <w:t>Y</w:t>
            </w:r>
            <w:r w:rsidRPr="00457D2D">
              <w:rPr>
                <w:rFonts w:ascii="Arial" w:hAnsi="Arial" w:cs="Arial"/>
                <w:sz w:val="24"/>
                <w:szCs w:val="24"/>
                <w:vertAlign w:val="subscript"/>
              </w:rPr>
              <w:t xml:space="preserve">K(t -1) + </w:t>
            </w:r>
            <w:r w:rsidRPr="00457D2D">
              <w:rPr>
                <w:rFonts w:ascii="Arial" w:hAnsi="Arial" w:cs="Arial"/>
                <w:sz w:val="24"/>
                <w:szCs w:val="24"/>
              </w:rPr>
              <w:t>β</w:t>
            </w:r>
            <w:r w:rsidRPr="00457D2D">
              <w:rPr>
                <w:rFonts w:ascii="Arial" w:hAnsi="Arial" w:cs="Arial"/>
                <w:sz w:val="24"/>
                <w:szCs w:val="24"/>
                <w:vertAlign w:val="subscript"/>
              </w:rPr>
              <w:t xml:space="preserve">KM </w:t>
            </w:r>
            <w:r w:rsidRPr="00457D2D">
              <w:rPr>
                <w:rFonts w:ascii="Arial" w:hAnsi="Arial" w:cs="Arial"/>
                <w:sz w:val="24"/>
                <w:szCs w:val="24"/>
              </w:rPr>
              <w:t>Y</w:t>
            </w:r>
            <w:r w:rsidRPr="00457D2D">
              <w:rPr>
                <w:rFonts w:ascii="Arial" w:hAnsi="Arial" w:cs="Arial"/>
                <w:sz w:val="24"/>
                <w:szCs w:val="24"/>
                <w:vertAlign w:val="subscript"/>
              </w:rPr>
              <w:t>K(t –M)</w:t>
            </w:r>
            <w:r w:rsidRPr="00457D2D">
              <w:rPr>
                <w:rFonts w:ascii="Arial" w:hAnsi="Arial" w:cs="Arial"/>
                <w:sz w:val="24"/>
                <w:szCs w:val="24"/>
              </w:rPr>
              <w:t xml:space="preserve"> + </w:t>
            </w:r>
            <w:proofErr w:type="spellStart"/>
            <w:r w:rsidRPr="00457D2D">
              <w:rPr>
                <w:rFonts w:ascii="Arial" w:hAnsi="Arial" w:cs="Arial"/>
                <w:sz w:val="24"/>
                <w:szCs w:val="24"/>
              </w:rPr>
              <w:t>ε</w:t>
            </w:r>
            <w:r w:rsidRPr="00457D2D">
              <w:rPr>
                <w:rFonts w:ascii="Arial" w:hAnsi="Arial" w:cs="Arial"/>
                <w:sz w:val="24"/>
                <w:szCs w:val="24"/>
                <w:vertAlign w:val="subscript"/>
              </w:rPr>
              <w:t>t</w:t>
            </w:r>
            <w:proofErr w:type="spellEnd"/>
          </w:p>
          <w:p w:rsidR="001C25E2" w:rsidRPr="00457D2D" w:rsidRDefault="001C25E2" w:rsidP="000A2DE6">
            <w:pPr>
              <w:jc w:val="both"/>
              <w:rPr>
                <w:rFonts w:ascii="Arial" w:hAnsi="Arial" w:cs="Arial"/>
                <w:b/>
                <w:sz w:val="24"/>
                <w:szCs w:val="24"/>
              </w:rPr>
            </w:pPr>
          </w:p>
          <w:p w:rsidR="00457D2D" w:rsidRDefault="001C25E2" w:rsidP="000A2DE6">
            <w:pPr>
              <w:jc w:val="both"/>
              <w:rPr>
                <w:rFonts w:ascii="Arial" w:hAnsi="Arial" w:cs="Arial"/>
                <w:sz w:val="24"/>
                <w:szCs w:val="24"/>
              </w:rPr>
            </w:pPr>
            <w:r w:rsidRPr="00457D2D">
              <w:rPr>
                <w:rFonts w:ascii="Arial" w:hAnsi="Arial" w:cs="Arial"/>
                <w:sz w:val="24"/>
                <w:szCs w:val="24"/>
              </w:rPr>
              <w:t xml:space="preserve">In the model, K shows the number of variables, </w:t>
            </w:r>
          </w:p>
          <w:p w:rsidR="001C25E2" w:rsidRPr="00457D2D" w:rsidRDefault="001C25E2" w:rsidP="000A2DE6">
            <w:pPr>
              <w:jc w:val="both"/>
              <w:rPr>
                <w:rFonts w:ascii="Arial" w:hAnsi="Arial" w:cs="Arial"/>
                <w:sz w:val="24"/>
                <w:szCs w:val="24"/>
              </w:rPr>
            </w:pPr>
            <w:r w:rsidRPr="00457D2D">
              <w:rPr>
                <w:rFonts w:ascii="Arial" w:hAnsi="Arial" w:cs="Arial"/>
                <w:sz w:val="24"/>
                <w:szCs w:val="24"/>
              </w:rPr>
              <w:t xml:space="preserve">M shows the number of </w:t>
            </w:r>
            <w:r w:rsidR="00D4533B" w:rsidRPr="00457D2D">
              <w:rPr>
                <w:rFonts w:ascii="Arial" w:hAnsi="Arial" w:cs="Arial"/>
                <w:sz w:val="24"/>
                <w:szCs w:val="24"/>
              </w:rPr>
              <w:t>lag</w:t>
            </w:r>
            <w:r w:rsidRPr="00457D2D">
              <w:rPr>
                <w:rFonts w:ascii="Arial" w:hAnsi="Arial" w:cs="Arial"/>
                <w:sz w:val="24"/>
                <w:szCs w:val="24"/>
              </w:rPr>
              <w:t>.</w:t>
            </w:r>
          </w:p>
          <w:p w:rsidR="001C25E2" w:rsidRPr="00E93EDC" w:rsidRDefault="001C25E2" w:rsidP="000A2DE6">
            <w:pPr>
              <w:jc w:val="both"/>
              <w:rPr>
                <w:rFonts w:ascii="Times New Roman" w:hAnsi="Times New Roman" w:cs="Times New Roman"/>
                <w:b/>
                <w:sz w:val="24"/>
                <w:szCs w:val="24"/>
              </w:rPr>
            </w:pPr>
          </w:p>
        </w:tc>
      </w:tr>
    </w:tbl>
    <w:p w:rsidR="001C25E2" w:rsidRPr="00E93EDC" w:rsidRDefault="001C25E2" w:rsidP="0039402E">
      <w:pPr>
        <w:spacing w:after="0"/>
        <w:ind w:left="720" w:right="590"/>
        <w:rPr>
          <w:rFonts w:ascii="Times New Roman" w:hAnsi="Times New Roman"/>
          <w:bCs/>
          <w:sz w:val="24"/>
          <w:szCs w:val="24"/>
        </w:rPr>
      </w:pPr>
    </w:p>
    <w:p w:rsidR="001C25E2" w:rsidRPr="00E93EDC" w:rsidRDefault="001C25E2" w:rsidP="0039402E">
      <w:pPr>
        <w:spacing w:after="0"/>
        <w:ind w:left="720" w:right="590"/>
        <w:rPr>
          <w:rFonts w:ascii="Times New Roman" w:hAnsi="Times New Roman"/>
          <w:bCs/>
          <w:sz w:val="24"/>
          <w:szCs w:val="24"/>
        </w:rPr>
      </w:pPr>
    </w:p>
    <w:tbl>
      <w:tblPr>
        <w:tblStyle w:val="TabloKlavuzu"/>
        <w:tblW w:w="0" w:type="auto"/>
        <w:tblInd w:w="817" w:type="dxa"/>
        <w:tblLook w:val="04A0" w:firstRow="1" w:lastRow="0" w:firstColumn="1" w:lastColumn="0" w:noHBand="0" w:noVBand="1"/>
      </w:tblPr>
      <w:tblGrid>
        <w:gridCol w:w="7796"/>
      </w:tblGrid>
      <w:tr w:rsidR="001C25E2" w:rsidRPr="00E93EDC" w:rsidTr="001C25E2">
        <w:tc>
          <w:tcPr>
            <w:tcW w:w="7796" w:type="dxa"/>
          </w:tcPr>
          <w:p w:rsidR="001C25E2" w:rsidRPr="00E93EDC" w:rsidRDefault="001C25E2" w:rsidP="000A2DE6">
            <w:pPr>
              <w:autoSpaceDE w:val="0"/>
              <w:autoSpaceDN w:val="0"/>
              <w:adjustRightInd w:val="0"/>
              <w:rPr>
                <w:rFonts w:ascii="Times New Roman" w:hAnsi="Times New Roman" w:cs="Times New Roman"/>
                <w:sz w:val="24"/>
                <w:szCs w:val="24"/>
              </w:rPr>
            </w:pPr>
          </w:p>
          <w:p w:rsidR="001C25E2" w:rsidRPr="00457D2D" w:rsidRDefault="001C25E2" w:rsidP="000A2DE6">
            <w:pPr>
              <w:autoSpaceDE w:val="0"/>
              <w:autoSpaceDN w:val="0"/>
              <w:adjustRightInd w:val="0"/>
              <w:rPr>
                <w:rFonts w:ascii="Arial" w:hAnsi="Arial" w:cs="Arial"/>
                <w:sz w:val="24"/>
                <w:szCs w:val="24"/>
              </w:rPr>
            </w:pPr>
            <w:r w:rsidRPr="00457D2D">
              <w:rPr>
                <w:rFonts w:ascii="Arial" w:hAnsi="Arial" w:cs="Arial"/>
                <w:sz w:val="24"/>
                <w:szCs w:val="24"/>
              </w:rPr>
              <w:t>H</w:t>
            </w:r>
            <w:r w:rsidRPr="00457D2D">
              <w:rPr>
                <w:rFonts w:ascii="Arial" w:hAnsi="Arial" w:cs="Arial"/>
                <w:sz w:val="24"/>
                <w:szCs w:val="24"/>
                <w:vertAlign w:val="subscript"/>
              </w:rPr>
              <w:t>0</w:t>
            </w:r>
            <w:r w:rsidRPr="00457D2D">
              <w:rPr>
                <w:rFonts w:ascii="Arial" w:hAnsi="Arial" w:cs="Arial"/>
                <w:sz w:val="24"/>
                <w:szCs w:val="24"/>
              </w:rPr>
              <w:t>: There is no mutual integration.</w:t>
            </w:r>
          </w:p>
          <w:p w:rsidR="001C25E2" w:rsidRPr="00457D2D" w:rsidRDefault="001C25E2" w:rsidP="001C25E2">
            <w:pPr>
              <w:autoSpaceDE w:val="0"/>
              <w:autoSpaceDN w:val="0"/>
              <w:adjustRightInd w:val="0"/>
              <w:rPr>
                <w:rFonts w:ascii="Arial" w:hAnsi="Arial" w:cs="Arial"/>
                <w:sz w:val="24"/>
                <w:szCs w:val="24"/>
              </w:rPr>
            </w:pPr>
            <w:r w:rsidRPr="00457D2D">
              <w:rPr>
                <w:rFonts w:ascii="Arial" w:hAnsi="Arial" w:cs="Arial"/>
                <w:sz w:val="24"/>
                <w:szCs w:val="24"/>
              </w:rPr>
              <w:t>H</w:t>
            </w:r>
            <w:r w:rsidRPr="00457D2D">
              <w:rPr>
                <w:rFonts w:ascii="Arial" w:hAnsi="Arial" w:cs="Arial"/>
                <w:sz w:val="24"/>
                <w:szCs w:val="24"/>
                <w:vertAlign w:val="subscript"/>
              </w:rPr>
              <w:t>A</w:t>
            </w:r>
            <w:r w:rsidRPr="00457D2D">
              <w:rPr>
                <w:rFonts w:ascii="Arial" w:hAnsi="Arial" w:cs="Arial"/>
                <w:sz w:val="24"/>
                <w:szCs w:val="24"/>
              </w:rPr>
              <w:t>: There is mutual integration.</w:t>
            </w:r>
          </w:p>
          <w:p w:rsidR="001C25E2" w:rsidRPr="00E93EDC" w:rsidRDefault="001C25E2" w:rsidP="001C25E2">
            <w:pPr>
              <w:autoSpaceDE w:val="0"/>
              <w:autoSpaceDN w:val="0"/>
              <w:adjustRightInd w:val="0"/>
              <w:rPr>
                <w:rFonts w:ascii="Times New Roman" w:hAnsi="Times New Roman" w:cs="Times New Roman"/>
                <w:sz w:val="24"/>
                <w:szCs w:val="24"/>
              </w:rPr>
            </w:pPr>
          </w:p>
        </w:tc>
      </w:tr>
    </w:tbl>
    <w:p w:rsidR="001C25E2" w:rsidRPr="00457D2D" w:rsidRDefault="001C25E2" w:rsidP="0039402E">
      <w:pPr>
        <w:spacing w:after="0"/>
        <w:ind w:left="720" w:right="590"/>
        <w:rPr>
          <w:rFonts w:ascii="Arial" w:hAnsi="Arial" w:cs="Arial"/>
          <w:bCs/>
          <w:sz w:val="24"/>
          <w:szCs w:val="24"/>
        </w:rPr>
      </w:pPr>
    </w:p>
    <w:p w:rsidR="001C25E2" w:rsidRPr="009F6606" w:rsidRDefault="001C25E2" w:rsidP="009F6606">
      <w:pPr>
        <w:pStyle w:val="ListeParagraf"/>
        <w:numPr>
          <w:ilvl w:val="0"/>
          <w:numId w:val="3"/>
        </w:numPr>
        <w:spacing w:after="0"/>
        <w:ind w:right="590"/>
        <w:rPr>
          <w:rFonts w:ascii="Arial" w:hAnsi="Arial" w:cs="Arial"/>
          <w:b/>
          <w:bCs/>
          <w:sz w:val="24"/>
          <w:szCs w:val="24"/>
        </w:rPr>
      </w:pPr>
      <w:r w:rsidRPr="009F6606">
        <w:rPr>
          <w:rFonts w:ascii="Arial" w:hAnsi="Arial" w:cs="Arial"/>
          <w:b/>
          <w:bCs/>
          <w:sz w:val="24"/>
          <w:szCs w:val="24"/>
        </w:rPr>
        <w:t>Analysis of the Model</w:t>
      </w:r>
    </w:p>
    <w:p w:rsidR="001C25E2" w:rsidRPr="009F6606" w:rsidRDefault="001C25E2" w:rsidP="009F6606">
      <w:pPr>
        <w:pStyle w:val="ListeParagraf"/>
        <w:numPr>
          <w:ilvl w:val="1"/>
          <w:numId w:val="3"/>
        </w:numPr>
        <w:spacing w:after="0"/>
        <w:ind w:right="590"/>
        <w:rPr>
          <w:rFonts w:ascii="Arial" w:hAnsi="Arial" w:cs="Arial"/>
          <w:b/>
          <w:bCs/>
          <w:sz w:val="24"/>
          <w:szCs w:val="24"/>
        </w:rPr>
      </w:pPr>
      <w:r w:rsidRPr="009F6606">
        <w:rPr>
          <w:rFonts w:ascii="Arial" w:hAnsi="Arial" w:cs="Arial"/>
          <w:b/>
          <w:bCs/>
          <w:sz w:val="24"/>
          <w:szCs w:val="24"/>
        </w:rPr>
        <w:t>The Results of the Descriptive Statistics</w:t>
      </w:r>
    </w:p>
    <w:p w:rsidR="001C25E2" w:rsidRPr="00457D2D" w:rsidRDefault="001C25E2" w:rsidP="0039402E">
      <w:pPr>
        <w:spacing w:after="0"/>
        <w:ind w:left="720" w:right="590"/>
        <w:rPr>
          <w:rFonts w:ascii="Arial" w:hAnsi="Arial" w:cs="Arial"/>
          <w:bCs/>
          <w:sz w:val="24"/>
          <w:szCs w:val="24"/>
        </w:rPr>
      </w:pPr>
    </w:p>
    <w:p w:rsidR="001C25E2" w:rsidRPr="00457D2D" w:rsidRDefault="001C25E2" w:rsidP="001C538D">
      <w:pPr>
        <w:spacing w:after="0"/>
        <w:ind w:right="590" w:firstLine="708"/>
        <w:jc w:val="both"/>
        <w:rPr>
          <w:rFonts w:ascii="Arial" w:hAnsi="Arial" w:cs="Arial"/>
          <w:bCs/>
          <w:sz w:val="24"/>
          <w:szCs w:val="24"/>
        </w:rPr>
      </w:pPr>
      <w:r w:rsidRPr="00457D2D">
        <w:rPr>
          <w:rFonts w:ascii="Arial" w:hAnsi="Arial" w:cs="Arial"/>
          <w:bCs/>
          <w:sz w:val="24"/>
          <w:szCs w:val="24"/>
        </w:rPr>
        <w:t xml:space="preserve">Definitive statistics are showing the general characteristic specifications of the data. Every definitive statistic of every foreign currency used in the study </w:t>
      </w:r>
      <w:proofErr w:type="gramStart"/>
      <w:r w:rsidRPr="00457D2D">
        <w:rPr>
          <w:rFonts w:ascii="Arial" w:hAnsi="Arial" w:cs="Arial"/>
          <w:bCs/>
          <w:sz w:val="24"/>
          <w:szCs w:val="24"/>
        </w:rPr>
        <w:t>are</w:t>
      </w:r>
      <w:proofErr w:type="gramEnd"/>
      <w:r w:rsidRPr="00457D2D">
        <w:rPr>
          <w:rFonts w:ascii="Arial" w:hAnsi="Arial" w:cs="Arial"/>
          <w:bCs/>
          <w:sz w:val="24"/>
          <w:szCs w:val="24"/>
        </w:rPr>
        <w:t xml:space="preserve"> given in Table 1 and Table 2.</w:t>
      </w:r>
    </w:p>
    <w:p w:rsidR="001C25E2" w:rsidRPr="00E93EDC" w:rsidRDefault="001C25E2" w:rsidP="0039402E">
      <w:pPr>
        <w:spacing w:after="0"/>
        <w:ind w:left="720" w:right="590"/>
        <w:rPr>
          <w:rFonts w:ascii="Times New Roman" w:hAnsi="Times New Roman"/>
          <w:bCs/>
          <w:sz w:val="24"/>
          <w:szCs w:val="24"/>
        </w:rPr>
      </w:pPr>
    </w:p>
    <w:p w:rsidR="001C538D" w:rsidRDefault="001C538D" w:rsidP="001C25E2">
      <w:pPr>
        <w:spacing w:after="0" w:line="240" w:lineRule="auto"/>
        <w:jc w:val="both"/>
        <w:rPr>
          <w:rFonts w:ascii="Arial" w:eastAsia="Calibri" w:hAnsi="Arial" w:cs="Arial"/>
          <w:b/>
          <w:sz w:val="24"/>
          <w:szCs w:val="24"/>
        </w:rPr>
      </w:pPr>
    </w:p>
    <w:p w:rsidR="001C25E2" w:rsidRPr="00457D2D" w:rsidRDefault="001C25E2" w:rsidP="001C25E2">
      <w:pPr>
        <w:spacing w:after="0" w:line="240" w:lineRule="auto"/>
        <w:jc w:val="both"/>
        <w:rPr>
          <w:rFonts w:ascii="Arial" w:eastAsia="Calibri" w:hAnsi="Arial" w:cs="Arial"/>
          <w:sz w:val="24"/>
          <w:szCs w:val="24"/>
        </w:rPr>
      </w:pPr>
      <w:r w:rsidRPr="00457D2D">
        <w:rPr>
          <w:rFonts w:ascii="Arial" w:eastAsia="Calibri" w:hAnsi="Arial" w:cs="Arial"/>
          <w:b/>
          <w:sz w:val="24"/>
          <w:szCs w:val="24"/>
        </w:rPr>
        <w:lastRenderedPageBreak/>
        <w:t xml:space="preserve">Table 1- </w:t>
      </w:r>
      <w:r w:rsidRPr="00457D2D">
        <w:rPr>
          <w:rFonts w:ascii="Arial" w:eastAsia="Calibri" w:hAnsi="Arial" w:cs="Arial"/>
          <w:sz w:val="24"/>
          <w:szCs w:val="24"/>
        </w:rPr>
        <w:t xml:space="preserve">Descriptive Statistics: Raw </w:t>
      </w:r>
      <w:r w:rsidR="00457D2D" w:rsidRPr="00457D2D">
        <w:rPr>
          <w:rFonts w:ascii="Arial" w:eastAsia="Calibri" w:hAnsi="Arial" w:cs="Arial"/>
          <w:sz w:val="24"/>
          <w:szCs w:val="24"/>
        </w:rPr>
        <w:t xml:space="preserve">Data’s </w:t>
      </w:r>
    </w:p>
    <w:p w:rsidR="001C25E2" w:rsidRPr="001C25E2" w:rsidRDefault="001C25E2" w:rsidP="001C25E2">
      <w:pPr>
        <w:autoSpaceDE w:val="0"/>
        <w:autoSpaceDN w:val="0"/>
        <w:adjustRightInd w:val="0"/>
        <w:spacing w:after="0" w:line="240" w:lineRule="auto"/>
        <w:rPr>
          <w:rFonts w:ascii="Arial" w:eastAsia="Calibri" w:hAnsi="Arial" w:cs="Arial"/>
          <w:sz w:val="18"/>
          <w:szCs w:val="18"/>
        </w:rPr>
      </w:pPr>
    </w:p>
    <w:tbl>
      <w:tblPr>
        <w:tblW w:w="840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06"/>
        <w:gridCol w:w="900"/>
        <w:gridCol w:w="900"/>
        <w:gridCol w:w="900"/>
        <w:gridCol w:w="900"/>
        <w:gridCol w:w="900"/>
        <w:gridCol w:w="900"/>
        <w:gridCol w:w="900"/>
        <w:gridCol w:w="900"/>
      </w:tblGrid>
      <w:tr w:rsidR="001C25E2" w:rsidRPr="00457D2D" w:rsidTr="000A2DE6">
        <w:trPr>
          <w:trHeight w:val="225"/>
        </w:trPr>
        <w:tc>
          <w:tcPr>
            <w:tcW w:w="1206"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EUR</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USD</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GBP</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JPY</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AUD</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CAD</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CHF</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SEK</w:t>
            </w:r>
          </w:p>
        </w:tc>
      </w:tr>
      <w:tr w:rsidR="001C25E2" w:rsidRPr="00457D2D" w:rsidTr="000A2DE6">
        <w:trPr>
          <w:trHeight w:val="225"/>
        </w:trPr>
        <w:tc>
          <w:tcPr>
            <w:tcW w:w="1206" w:type="dxa"/>
            <w:vAlign w:val="bottom"/>
          </w:tcPr>
          <w:p w:rsidR="001C25E2" w:rsidRPr="00457D2D" w:rsidRDefault="001C25E2" w:rsidP="001C25E2">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Mean</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1.870537</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1.491006</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2.478305</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1.476013</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1.199910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1.282837</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1.302917</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0.200829</w:t>
            </w:r>
          </w:p>
        </w:tc>
      </w:tr>
      <w:tr w:rsidR="001C25E2" w:rsidRPr="00457D2D" w:rsidTr="000A2DE6">
        <w:trPr>
          <w:trHeight w:val="225"/>
        </w:trPr>
        <w:tc>
          <w:tcPr>
            <w:tcW w:w="1206" w:type="dxa"/>
            <w:vAlign w:val="bottom"/>
          </w:tcPr>
          <w:p w:rsidR="001C25E2" w:rsidRPr="00457D2D" w:rsidRDefault="001C25E2" w:rsidP="001C25E2">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Median</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1.853000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1.482000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2.482000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1.340000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1.093000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1.215000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1.182000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0.198000</w:t>
            </w:r>
          </w:p>
        </w:tc>
      </w:tr>
      <w:tr w:rsidR="001C25E2" w:rsidRPr="00457D2D" w:rsidTr="000A2DE6">
        <w:trPr>
          <w:trHeight w:val="225"/>
        </w:trPr>
        <w:tc>
          <w:tcPr>
            <w:tcW w:w="1206" w:type="dxa"/>
            <w:vAlign w:val="bottom"/>
          </w:tcPr>
          <w:p w:rsidR="001C25E2" w:rsidRPr="00457D2D" w:rsidRDefault="001C25E2" w:rsidP="001C25E2">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Maximum</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2.744000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2.070000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3.132000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2.466000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1.954000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1.890000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2.453000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0.304000</w:t>
            </w:r>
          </w:p>
        </w:tc>
      </w:tr>
      <w:tr w:rsidR="001C25E2" w:rsidRPr="00457D2D" w:rsidTr="000A2DE6">
        <w:trPr>
          <w:trHeight w:val="225"/>
        </w:trPr>
        <w:tc>
          <w:tcPr>
            <w:tcW w:w="1206" w:type="dxa"/>
            <w:vAlign w:val="bottom"/>
          </w:tcPr>
          <w:p w:rsidR="001C25E2" w:rsidRPr="00457D2D" w:rsidRDefault="001C25E2" w:rsidP="001C25E2">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Minimum</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0.623000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0.665000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0.983000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0.563000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0.357000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0.441000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0.406000</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0.069000</w:t>
            </w:r>
          </w:p>
        </w:tc>
      </w:tr>
      <w:tr w:rsidR="001C25E2" w:rsidRPr="00457D2D" w:rsidTr="000A2DE6">
        <w:trPr>
          <w:trHeight w:val="225"/>
        </w:trPr>
        <w:tc>
          <w:tcPr>
            <w:tcW w:w="1206" w:type="dxa"/>
            <w:vAlign w:val="bottom"/>
          </w:tcPr>
          <w:p w:rsidR="001C25E2" w:rsidRPr="00457D2D" w:rsidRDefault="001C25E2" w:rsidP="001C25E2">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Std. Dev.</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0.381211</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0.215757</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0.326563</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0.406576</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0.365119</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0.306329</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0.378594</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0.043178</w:t>
            </w:r>
          </w:p>
        </w:tc>
      </w:tr>
      <w:tr w:rsidR="001C25E2" w:rsidRPr="00457D2D" w:rsidTr="000A2DE6">
        <w:trPr>
          <w:trHeight w:val="225"/>
        </w:trPr>
        <w:tc>
          <w:tcPr>
            <w:tcW w:w="1206" w:type="dxa"/>
            <w:vAlign w:val="bottom"/>
          </w:tcPr>
          <w:p w:rsidR="001C25E2" w:rsidRPr="00457D2D" w:rsidRDefault="001C25E2" w:rsidP="001C25E2">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Observations</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00" w:type="dxa"/>
            <w:vAlign w:val="bottom"/>
          </w:tcPr>
          <w:p w:rsidR="001C25E2" w:rsidRPr="00457D2D" w:rsidRDefault="001C25E2" w:rsidP="001C25E2">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r>
    </w:tbl>
    <w:p w:rsidR="001C25E2" w:rsidRPr="00E93EDC" w:rsidRDefault="001C25E2" w:rsidP="0039402E">
      <w:pPr>
        <w:spacing w:after="0"/>
        <w:ind w:left="720" w:right="590"/>
        <w:rPr>
          <w:rFonts w:ascii="Times New Roman" w:hAnsi="Times New Roman"/>
          <w:bCs/>
          <w:sz w:val="24"/>
          <w:szCs w:val="24"/>
        </w:rPr>
      </w:pPr>
    </w:p>
    <w:p w:rsidR="00457D2D" w:rsidRPr="00457D2D" w:rsidRDefault="007B689D" w:rsidP="006E328E">
      <w:pPr>
        <w:spacing w:after="0"/>
        <w:ind w:right="590" w:firstLine="708"/>
        <w:jc w:val="both"/>
        <w:rPr>
          <w:rFonts w:ascii="Arial" w:hAnsi="Arial" w:cs="Arial"/>
          <w:bCs/>
          <w:sz w:val="24"/>
          <w:szCs w:val="24"/>
        </w:rPr>
      </w:pPr>
      <w:r w:rsidRPr="00457D2D">
        <w:rPr>
          <w:rFonts w:ascii="Arial" w:hAnsi="Arial" w:cs="Arial"/>
          <w:bCs/>
          <w:sz w:val="24"/>
          <w:szCs w:val="24"/>
        </w:rPr>
        <w:t>According Table 1, it is identified that Turkish Lira depreciated against all foreign currencies except Swedish Krona</w:t>
      </w:r>
      <w:r w:rsidR="002C48C8" w:rsidRPr="00457D2D">
        <w:rPr>
          <w:rFonts w:ascii="Arial" w:hAnsi="Arial" w:cs="Arial"/>
          <w:bCs/>
          <w:sz w:val="24"/>
          <w:szCs w:val="24"/>
        </w:rPr>
        <w:t xml:space="preserve"> in the researched period (12 years)</w:t>
      </w:r>
      <w:r w:rsidRPr="00457D2D">
        <w:rPr>
          <w:rFonts w:ascii="Arial" w:hAnsi="Arial" w:cs="Arial"/>
          <w:bCs/>
          <w:sz w:val="24"/>
          <w:szCs w:val="24"/>
        </w:rPr>
        <w:t xml:space="preserve">. Foreign currencies that gained the most value against Turkish lira are, respectively, GBP, EUR, USD, and JPY. On the other hand, when </w:t>
      </w:r>
      <w:r w:rsidR="002C48C8" w:rsidRPr="00457D2D">
        <w:rPr>
          <w:rFonts w:ascii="Arial" w:hAnsi="Arial" w:cs="Arial"/>
          <w:bCs/>
          <w:sz w:val="24"/>
          <w:szCs w:val="24"/>
        </w:rPr>
        <w:t>standard deviation values, which are</w:t>
      </w:r>
      <w:r w:rsidRPr="00457D2D">
        <w:rPr>
          <w:rFonts w:ascii="Arial" w:hAnsi="Arial" w:cs="Arial"/>
          <w:bCs/>
          <w:sz w:val="24"/>
          <w:szCs w:val="24"/>
        </w:rPr>
        <w:t xml:space="preserve"> an indicator of </w:t>
      </w:r>
      <w:r w:rsidR="002C48C8" w:rsidRPr="00457D2D">
        <w:rPr>
          <w:rFonts w:ascii="Arial" w:hAnsi="Arial" w:cs="Arial"/>
          <w:bCs/>
          <w:sz w:val="24"/>
          <w:szCs w:val="24"/>
        </w:rPr>
        <w:t>value</w:t>
      </w:r>
      <w:r w:rsidRPr="00457D2D">
        <w:rPr>
          <w:rFonts w:ascii="Arial" w:hAnsi="Arial" w:cs="Arial"/>
          <w:bCs/>
          <w:sz w:val="24"/>
          <w:szCs w:val="24"/>
        </w:rPr>
        <w:t xml:space="preserve"> fluctuations, are examined,</w:t>
      </w:r>
      <w:r w:rsidR="002C48C8" w:rsidRPr="00457D2D">
        <w:rPr>
          <w:rFonts w:ascii="Arial" w:hAnsi="Arial" w:cs="Arial"/>
          <w:bCs/>
          <w:sz w:val="24"/>
          <w:szCs w:val="24"/>
        </w:rPr>
        <w:t xml:space="preserve"> it is determined that foreign currency value fluctuations are high. Additionally since 2014/01/20, EUR and USD exchange rates have exceeded the maximum value in the researched period. It is known that prices are willing to move in the increase direction, however not that willing to move in the decrease direction. This situation applies to all asset prices in the market.</w:t>
      </w:r>
    </w:p>
    <w:p w:rsidR="00D22801" w:rsidRDefault="00D22801" w:rsidP="002C48C8">
      <w:pPr>
        <w:spacing w:after="0" w:line="240" w:lineRule="auto"/>
        <w:jc w:val="both"/>
        <w:rPr>
          <w:rFonts w:ascii="Arial" w:eastAsia="Calibri" w:hAnsi="Arial" w:cs="Arial"/>
          <w:b/>
          <w:sz w:val="24"/>
          <w:szCs w:val="24"/>
        </w:rPr>
      </w:pPr>
    </w:p>
    <w:p w:rsidR="00D22801" w:rsidRDefault="00D22801" w:rsidP="002C48C8">
      <w:pPr>
        <w:spacing w:after="0" w:line="240" w:lineRule="auto"/>
        <w:jc w:val="both"/>
        <w:rPr>
          <w:rFonts w:ascii="Arial" w:eastAsia="Calibri" w:hAnsi="Arial" w:cs="Arial"/>
          <w:b/>
          <w:sz w:val="24"/>
          <w:szCs w:val="24"/>
        </w:rPr>
      </w:pPr>
    </w:p>
    <w:p w:rsidR="002C48C8" w:rsidRPr="00457D2D" w:rsidRDefault="002C48C8" w:rsidP="002C48C8">
      <w:pPr>
        <w:spacing w:after="0" w:line="240" w:lineRule="auto"/>
        <w:jc w:val="both"/>
        <w:rPr>
          <w:rFonts w:ascii="Arial" w:eastAsia="Calibri" w:hAnsi="Arial" w:cs="Arial"/>
          <w:sz w:val="18"/>
          <w:szCs w:val="18"/>
        </w:rPr>
      </w:pPr>
      <w:r w:rsidRPr="00457D2D">
        <w:rPr>
          <w:rFonts w:ascii="Arial" w:eastAsia="Calibri" w:hAnsi="Arial" w:cs="Arial"/>
          <w:b/>
          <w:sz w:val="24"/>
          <w:szCs w:val="24"/>
        </w:rPr>
        <w:t>Table 2-</w:t>
      </w:r>
      <w:r w:rsidRPr="00457D2D">
        <w:rPr>
          <w:rFonts w:ascii="Arial" w:eastAsia="Calibri" w:hAnsi="Arial" w:cs="Arial"/>
          <w:sz w:val="18"/>
          <w:szCs w:val="18"/>
        </w:rPr>
        <w:t xml:space="preserve"> </w:t>
      </w:r>
      <w:r w:rsidRPr="00457D2D">
        <w:rPr>
          <w:rFonts w:ascii="Arial" w:eastAsia="Calibri" w:hAnsi="Arial" w:cs="Arial"/>
          <w:sz w:val="24"/>
          <w:szCs w:val="24"/>
        </w:rPr>
        <w:t>Descriptive Statistics: Returns</w:t>
      </w:r>
    </w:p>
    <w:p w:rsidR="002C48C8" w:rsidRPr="002C48C8" w:rsidRDefault="002C48C8" w:rsidP="002C48C8">
      <w:pPr>
        <w:tabs>
          <w:tab w:val="left" w:pos="527"/>
        </w:tabs>
        <w:autoSpaceDE w:val="0"/>
        <w:autoSpaceDN w:val="0"/>
        <w:adjustRightInd w:val="0"/>
        <w:spacing w:after="0" w:line="240" w:lineRule="auto"/>
        <w:rPr>
          <w:rFonts w:ascii="Arial" w:eastAsia="Calibri" w:hAnsi="Arial" w:cs="Arial"/>
          <w:sz w:val="18"/>
          <w:szCs w:val="18"/>
        </w:rPr>
      </w:pPr>
      <w:r w:rsidRPr="002C48C8">
        <w:rPr>
          <w:rFonts w:ascii="Arial" w:eastAsia="Calibri" w:hAnsi="Arial" w:cs="Arial"/>
          <w:sz w:val="18"/>
          <w:szCs w:val="18"/>
        </w:rPr>
        <w:tab/>
      </w:r>
    </w:p>
    <w:tbl>
      <w:tblPr>
        <w:tblW w:w="8494" w:type="dxa"/>
        <w:tblInd w:w="3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06"/>
        <w:gridCol w:w="911"/>
        <w:gridCol w:w="911"/>
        <w:gridCol w:w="911"/>
        <w:gridCol w:w="911"/>
        <w:gridCol w:w="911"/>
        <w:gridCol w:w="911"/>
        <w:gridCol w:w="911"/>
        <w:gridCol w:w="911"/>
      </w:tblGrid>
      <w:tr w:rsidR="002C48C8" w:rsidRPr="00457D2D" w:rsidTr="000A2DE6">
        <w:trPr>
          <w:trHeight w:val="225"/>
        </w:trPr>
        <w:tc>
          <w:tcPr>
            <w:tcW w:w="1206"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EUR</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USD</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GBP</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JPY</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AUD</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CAD</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CHF</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SEK</w:t>
            </w:r>
          </w:p>
        </w:tc>
      </w:tr>
      <w:tr w:rsidR="002C48C8" w:rsidRPr="00457D2D" w:rsidTr="000A2DE6">
        <w:trPr>
          <w:trHeight w:val="225"/>
        </w:trPr>
        <w:tc>
          <w:tcPr>
            <w:tcW w:w="1206" w:type="dxa"/>
            <w:vAlign w:val="bottom"/>
          </w:tcPr>
          <w:p w:rsidR="002C48C8" w:rsidRPr="00457D2D" w:rsidRDefault="002C48C8" w:rsidP="002C48C8">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Mean</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0.000501</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0.000389</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0.000408</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0.000472</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0.000544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0.000496</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0.000573</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0.000514</w:t>
            </w:r>
          </w:p>
        </w:tc>
      </w:tr>
      <w:tr w:rsidR="002C48C8" w:rsidRPr="00457D2D" w:rsidTr="000A2DE6">
        <w:trPr>
          <w:trHeight w:val="225"/>
        </w:trPr>
        <w:tc>
          <w:tcPr>
            <w:tcW w:w="1206" w:type="dxa"/>
            <w:vAlign w:val="bottom"/>
          </w:tcPr>
          <w:p w:rsidR="002C48C8" w:rsidRPr="00457D2D" w:rsidRDefault="002C48C8" w:rsidP="002C48C8">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Median</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0.000000</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0.000000</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0.000000</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0.000000</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0.000000</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0.000000</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0.000000</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0.000000</w:t>
            </w:r>
          </w:p>
        </w:tc>
      </w:tr>
      <w:tr w:rsidR="002C48C8" w:rsidRPr="00457D2D" w:rsidTr="000A2DE6">
        <w:trPr>
          <w:trHeight w:val="225"/>
        </w:trPr>
        <w:tc>
          <w:tcPr>
            <w:tcW w:w="1206" w:type="dxa"/>
            <w:vAlign w:val="bottom"/>
          </w:tcPr>
          <w:p w:rsidR="002C48C8" w:rsidRPr="00457D2D" w:rsidRDefault="002C48C8" w:rsidP="002C48C8">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Maximum</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0.199045</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0.200873</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0.235592</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0.172945</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0.176471</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0.159910</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0.125616</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0.260870</w:t>
            </w:r>
          </w:p>
        </w:tc>
      </w:tr>
      <w:tr w:rsidR="002C48C8" w:rsidRPr="00457D2D" w:rsidTr="000A2DE6">
        <w:trPr>
          <w:trHeight w:val="225"/>
        </w:trPr>
        <w:tc>
          <w:tcPr>
            <w:tcW w:w="1206" w:type="dxa"/>
            <w:vAlign w:val="bottom"/>
          </w:tcPr>
          <w:p w:rsidR="002C48C8" w:rsidRPr="00457D2D" w:rsidRDefault="002C48C8" w:rsidP="002C48C8">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Minimum</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-0.062214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-0.059885</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-0.091653</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-0.099429</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-0.082262</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-0.060000</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-0.088681</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-0.080000</w:t>
            </w:r>
          </w:p>
        </w:tc>
      </w:tr>
      <w:tr w:rsidR="002C48C8" w:rsidRPr="00457D2D" w:rsidTr="000A2DE6">
        <w:trPr>
          <w:trHeight w:val="225"/>
        </w:trPr>
        <w:tc>
          <w:tcPr>
            <w:tcW w:w="1206" w:type="dxa"/>
            <w:vAlign w:val="bottom"/>
          </w:tcPr>
          <w:p w:rsidR="002C48C8" w:rsidRPr="00457D2D" w:rsidRDefault="002C48C8" w:rsidP="002C48C8">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Std. Dev.</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0.010195</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0.010195</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0.011249</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0.012876</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0.011061</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0.010162</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0.011494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0.011762</w:t>
            </w:r>
          </w:p>
        </w:tc>
      </w:tr>
      <w:tr w:rsidR="002C48C8" w:rsidRPr="00457D2D" w:rsidTr="000A2DE6">
        <w:trPr>
          <w:trHeight w:val="225"/>
        </w:trPr>
        <w:tc>
          <w:tcPr>
            <w:tcW w:w="1206" w:type="dxa"/>
            <w:vAlign w:val="bottom"/>
          </w:tcPr>
          <w:p w:rsidR="002C48C8" w:rsidRPr="00457D2D" w:rsidRDefault="002C48C8" w:rsidP="002C48C8">
            <w:pPr>
              <w:autoSpaceDE w:val="0"/>
              <w:autoSpaceDN w:val="0"/>
              <w:adjustRightInd w:val="0"/>
              <w:spacing w:after="0" w:line="240" w:lineRule="auto"/>
              <w:rPr>
                <w:rFonts w:ascii="Arial" w:eastAsia="Calibri" w:hAnsi="Arial" w:cs="Arial"/>
                <w:color w:val="000000"/>
                <w:sz w:val="20"/>
                <w:szCs w:val="20"/>
              </w:rPr>
            </w:pPr>
            <w:r w:rsidRPr="00457D2D">
              <w:rPr>
                <w:rFonts w:ascii="Arial" w:eastAsia="Calibri" w:hAnsi="Arial" w:cs="Arial"/>
                <w:color w:val="000000"/>
                <w:sz w:val="20"/>
                <w:szCs w:val="20"/>
              </w:rPr>
              <w:t>Observations</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c>
          <w:tcPr>
            <w:tcW w:w="911" w:type="dxa"/>
            <w:vAlign w:val="bottom"/>
          </w:tcPr>
          <w:p w:rsidR="002C48C8" w:rsidRPr="00457D2D" w:rsidRDefault="002C48C8" w:rsidP="002C48C8">
            <w:pPr>
              <w:autoSpaceDE w:val="0"/>
              <w:autoSpaceDN w:val="0"/>
              <w:adjustRightInd w:val="0"/>
              <w:spacing w:after="0" w:line="240" w:lineRule="auto"/>
              <w:jc w:val="center"/>
              <w:rPr>
                <w:rFonts w:ascii="Arial" w:eastAsia="Calibri" w:hAnsi="Arial" w:cs="Arial"/>
                <w:color w:val="000000"/>
                <w:sz w:val="20"/>
                <w:szCs w:val="20"/>
              </w:rPr>
            </w:pPr>
            <w:r w:rsidRPr="00457D2D">
              <w:rPr>
                <w:rFonts w:ascii="Arial" w:eastAsia="Calibri" w:hAnsi="Arial" w:cs="Arial"/>
                <w:color w:val="000000"/>
                <w:sz w:val="20"/>
                <w:szCs w:val="20"/>
              </w:rPr>
              <w:t> 3254</w:t>
            </w:r>
          </w:p>
        </w:tc>
      </w:tr>
    </w:tbl>
    <w:p w:rsidR="002C48C8" w:rsidRPr="00E93EDC" w:rsidRDefault="002C48C8" w:rsidP="0039402E">
      <w:pPr>
        <w:spacing w:after="0"/>
        <w:ind w:left="720" w:right="590"/>
        <w:rPr>
          <w:rFonts w:ascii="Times New Roman" w:eastAsia="Calibri" w:hAnsi="Times New Roman" w:cs="Times New Roman"/>
          <w:b/>
          <w:sz w:val="24"/>
          <w:szCs w:val="24"/>
        </w:rPr>
      </w:pPr>
    </w:p>
    <w:p w:rsidR="002C48C8" w:rsidRPr="00E93EDC" w:rsidRDefault="002C48C8" w:rsidP="00EE079E">
      <w:pPr>
        <w:spacing w:after="0"/>
        <w:ind w:right="590" w:firstLine="708"/>
        <w:jc w:val="both"/>
        <w:rPr>
          <w:rFonts w:ascii="Times New Roman" w:hAnsi="Times New Roman"/>
          <w:bCs/>
          <w:sz w:val="24"/>
          <w:szCs w:val="24"/>
        </w:rPr>
      </w:pPr>
      <w:r w:rsidRPr="00457D2D">
        <w:rPr>
          <w:rFonts w:ascii="Arial" w:hAnsi="Arial" w:cs="Arial"/>
          <w:bCs/>
          <w:sz w:val="24"/>
          <w:szCs w:val="24"/>
        </w:rPr>
        <w:t>Table 2 shows the return of every foreign currency in the researched period when they are considered as assets (an investment tool in portfolio). As seen in Table 2, foreign currencies which are subjects of the study have average returns close to both the zero and to each other. In fact, this result is consistent with the Dow Theory. Dow Theory states that every event affecting supply and demand will be reflected on the market average</w:t>
      </w:r>
      <w:r w:rsidRPr="00E93EDC">
        <w:rPr>
          <w:rFonts w:ascii="Times New Roman" w:hAnsi="Times New Roman"/>
          <w:bCs/>
          <w:sz w:val="24"/>
          <w:szCs w:val="24"/>
        </w:rPr>
        <w:t>.</w:t>
      </w:r>
    </w:p>
    <w:p w:rsidR="00170050" w:rsidRPr="00E93EDC" w:rsidRDefault="00170050" w:rsidP="0039402E">
      <w:pPr>
        <w:spacing w:after="0"/>
        <w:ind w:left="720" w:right="590"/>
        <w:rPr>
          <w:rFonts w:ascii="Times New Roman" w:hAnsi="Times New Roman"/>
          <w:bCs/>
          <w:sz w:val="24"/>
          <w:szCs w:val="24"/>
        </w:rPr>
        <w:sectPr w:rsidR="00170050" w:rsidRPr="00E93EDC">
          <w:footerReference w:type="default" r:id="rId9"/>
          <w:pgSz w:w="11906" w:h="16838"/>
          <w:pgMar w:top="1417" w:right="1417" w:bottom="1417" w:left="1417" w:header="708" w:footer="708" w:gutter="0"/>
          <w:cols w:space="708"/>
          <w:docGrid w:linePitch="360"/>
        </w:sectPr>
      </w:pPr>
    </w:p>
    <w:p w:rsidR="00170050" w:rsidRPr="00457D2D" w:rsidRDefault="00170050" w:rsidP="00170050">
      <w:pPr>
        <w:spacing w:after="0" w:line="240" w:lineRule="auto"/>
        <w:jc w:val="both"/>
        <w:rPr>
          <w:rFonts w:ascii="Arial" w:hAnsi="Arial" w:cs="Arial"/>
          <w:b/>
          <w:sz w:val="24"/>
          <w:szCs w:val="24"/>
        </w:rPr>
      </w:pPr>
      <w:r w:rsidRPr="00E93EDC">
        <w:rPr>
          <w:rFonts w:ascii="Times New Roman" w:hAnsi="Times New Roman" w:cs="Times New Roman"/>
          <w:b/>
          <w:sz w:val="24"/>
          <w:szCs w:val="24"/>
        </w:rPr>
        <w:lastRenderedPageBreak/>
        <w:t xml:space="preserve">     </w:t>
      </w:r>
      <w:r w:rsidRPr="00457D2D">
        <w:rPr>
          <w:rFonts w:ascii="Arial" w:hAnsi="Arial" w:cs="Arial"/>
          <w:b/>
          <w:sz w:val="24"/>
          <w:szCs w:val="24"/>
        </w:rPr>
        <w:t>Table 3</w:t>
      </w:r>
      <w:r w:rsidR="000669E7" w:rsidRPr="00457D2D">
        <w:rPr>
          <w:rFonts w:ascii="Arial" w:hAnsi="Arial" w:cs="Arial"/>
          <w:b/>
          <w:sz w:val="24"/>
          <w:szCs w:val="24"/>
        </w:rPr>
        <w:t>- Gross</w:t>
      </w:r>
      <w:r w:rsidRPr="00457D2D">
        <w:rPr>
          <w:rFonts w:ascii="Arial" w:hAnsi="Arial" w:cs="Arial"/>
          <w:sz w:val="24"/>
          <w:szCs w:val="24"/>
        </w:rPr>
        <w:t xml:space="preserve"> External Debt of Turkey - Currency Composition: (Million USD)</w:t>
      </w:r>
    </w:p>
    <w:p w:rsidR="00170050" w:rsidRPr="00E93EDC" w:rsidRDefault="00170050" w:rsidP="00170050">
      <w:pPr>
        <w:spacing w:after="0" w:line="240" w:lineRule="auto"/>
        <w:jc w:val="both"/>
        <w:rPr>
          <w:rFonts w:ascii="Times New Roman" w:hAnsi="Times New Roman" w:cs="Times New Roman"/>
          <w:b/>
          <w:sz w:val="24"/>
          <w:szCs w:val="24"/>
        </w:rPr>
      </w:pPr>
    </w:p>
    <w:tbl>
      <w:tblPr>
        <w:tblStyle w:val="TabloKlavuzu"/>
        <w:tblW w:w="13170" w:type="dxa"/>
        <w:tblInd w:w="423" w:type="dxa"/>
        <w:tblBorders>
          <w:insideH w:val="none" w:sz="0" w:space="0" w:color="auto"/>
          <w:insideV w:val="none" w:sz="0" w:space="0" w:color="auto"/>
        </w:tblBorders>
        <w:tblLook w:val="04A0" w:firstRow="1" w:lastRow="0" w:firstColumn="1" w:lastColumn="0" w:noHBand="0" w:noVBand="1"/>
      </w:tblPr>
      <w:tblGrid>
        <w:gridCol w:w="1578"/>
        <w:gridCol w:w="966"/>
        <w:gridCol w:w="966"/>
        <w:gridCol w:w="966"/>
        <w:gridCol w:w="966"/>
        <w:gridCol w:w="966"/>
        <w:gridCol w:w="966"/>
        <w:gridCol w:w="966"/>
        <w:gridCol w:w="966"/>
        <w:gridCol w:w="966"/>
        <w:gridCol w:w="966"/>
        <w:gridCol w:w="966"/>
        <w:gridCol w:w="966"/>
      </w:tblGrid>
      <w:tr w:rsidR="00170050" w:rsidRPr="00457D2D" w:rsidTr="000A2DE6">
        <w:trPr>
          <w:trHeight w:val="402"/>
        </w:trPr>
        <w:tc>
          <w:tcPr>
            <w:tcW w:w="1578" w:type="dxa"/>
          </w:tcPr>
          <w:p w:rsidR="00170050" w:rsidRPr="00457D2D" w:rsidRDefault="00170050" w:rsidP="000A2DE6">
            <w:pPr>
              <w:jc w:val="both"/>
              <w:rPr>
                <w:rFonts w:ascii="Arial" w:hAnsi="Arial" w:cs="Arial"/>
                <w:sz w:val="20"/>
                <w:szCs w:val="20"/>
              </w:rPr>
            </w:pPr>
            <w:r w:rsidRPr="00457D2D">
              <w:rPr>
                <w:rFonts w:ascii="Arial" w:hAnsi="Arial" w:cs="Arial"/>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2001</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2002</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2003</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2004</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2005</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2006</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2007</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2008</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2009</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2010</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2011</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2012</w:t>
            </w:r>
          </w:p>
        </w:tc>
      </w:tr>
      <w:tr w:rsidR="00170050" w:rsidRPr="00457D2D" w:rsidTr="000A2DE6">
        <w:trPr>
          <w:trHeight w:val="402"/>
        </w:trPr>
        <w:tc>
          <w:tcPr>
            <w:tcW w:w="1578" w:type="dxa"/>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SHORT TERM</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16.403</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16.424</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23.013</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32.203</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38.916</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42.855</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43.148</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52.522</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48.993</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77.312</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81.913</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100.961</w:t>
            </w:r>
          </w:p>
        </w:tc>
      </w:tr>
      <w:tr w:rsidR="00170050" w:rsidRPr="00457D2D" w:rsidTr="000A2DE6">
        <w:trPr>
          <w:trHeight w:val="402"/>
        </w:trPr>
        <w:tc>
          <w:tcPr>
            <w:tcW w:w="1578" w:type="dxa"/>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LONG TERM</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97.188</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113.173</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121.079</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128.807</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131.584</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165.506</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207.248</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228.576</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220.098</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214.608</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222.515</w:t>
            </w:r>
          </w:p>
        </w:tc>
        <w:tc>
          <w:tcPr>
            <w:tcW w:w="966" w:type="dxa"/>
            <w:noWrap/>
            <w:hideMark/>
          </w:tcPr>
          <w:p w:rsidR="00170050" w:rsidRPr="00457D2D" w:rsidRDefault="00170050" w:rsidP="000A2DE6">
            <w:pPr>
              <w:jc w:val="both"/>
              <w:rPr>
                <w:rFonts w:ascii="Arial" w:hAnsi="Arial" w:cs="Arial"/>
                <w:bCs/>
                <w:sz w:val="20"/>
                <w:szCs w:val="20"/>
              </w:rPr>
            </w:pPr>
            <w:r w:rsidRPr="00457D2D">
              <w:rPr>
                <w:rFonts w:ascii="Arial" w:hAnsi="Arial" w:cs="Arial"/>
                <w:bCs/>
                <w:sz w:val="20"/>
                <w:szCs w:val="20"/>
              </w:rPr>
              <w:t>238.057</w:t>
            </w:r>
          </w:p>
        </w:tc>
      </w:tr>
      <w:tr w:rsidR="00170050" w:rsidRPr="00457D2D" w:rsidTr="000A2DE6">
        <w:trPr>
          <w:trHeight w:val="402"/>
        </w:trPr>
        <w:tc>
          <w:tcPr>
            <w:tcW w:w="1578" w:type="dxa"/>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TOTAL</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113.591</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129.597</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144.092</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161.010</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170.500</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208.361</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250.396</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281.098</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269.091</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291.920</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304.428</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339.018</w:t>
            </w:r>
          </w:p>
        </w:tc>
      </w:tr>
      <w:tr w:rsidR="00170050" w:rsidRPr="00457D2D" w:rsidTr="000A2DE6">
        <w:trPr>
          <w:trHeight w:val="402"/>
        </w:trPr>
        <w:tc>
          <w:tcPr>
            <w:tcW w:w="1578" w:type="dxa"/>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c>
          <w:tcPr>
            <w:tcW w:w="966" w:type="dxa"/>
            <w:noWrap/>
            <w:hideMark/>
          </w:tcPr>
          <w:p w:rsidR="00170050" w:rsidRPr="00457D2D" w:rsidRDefault="00170050" w:rsidP="000A2DE6">
            <w:pPr>
              <w:jc w:val="both"/>
              <w:rPr>
                <w:rFonts w:ascii="Arial" w:hAnsi="Arial" w:cs="Arial"/>
                <w:b/>
                <w:bCs/>
                <w:sz w:val="20"/>
                <w:szCs w:val="20"/>
              </w:rPr>
            </w:pPr>
            <w:r w:rsidRPr="00457D2D">
              <w:rPr>
                <w:rFonts w:ascii="Arial" w:hAnsi="Arial" w:cs="Arial"/>
                <w:b/>
                <w:bCs/>
                <w:sz w:val="20"/>
                <w:szCs w:val="20"/>
              </w:rPr>
              <w:t> </w:t>
            </w:r>
          </w:p>
        </w:tc>
      </w:tr>
      <w:tr w:rsidR="00170050" w:rsidRPr="00457D2D" w:rsidTr="000A2DE6">
        <w:trPr>
          <w:trHeight w:val="402"/>
        </w:trPr>
        <w:tc>
          <w:tcPr>
            <w:tcW w:w="1578" w:type="dxa"/>
          </w:tcPr>
          <w:p w:rsidR="00170050" w:rsidRPr="00457D2D" w:rsidRDefault="00170050" w:rsidP="000A2DE6">
            <w:pPr>
              <w:jc w:val="both"/>
              <w:rPr>
                <w:rFonts w:ascii="Arial" w:hAnsi="Arial" w:cs="Arial"/>
                <w:sz w:val="20"/>
                <w:szCs w:val="20"/>
              </w:rPr>
            </w:pPr>
            <w:r w:rsidRPr="00457D2D">
              <w:rPr>
                <w:rFonts w:ascii="Arial" w:hAnsi="Arial" w:cs="Arial"/>
                <w:sz w:val="20"/>
                <w:szCs w:val="20"/>
              </w:rPr>
              <w:t>USD</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56.448</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59.910</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65.051</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77.554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91.824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113.422</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137.292</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152.277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140.968</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148.627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164.410</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184.788</w:t>
            </w:r>
          </w:p>
        </w:tc>
      </w:tr>
      <w:tr w:rsidR="00170050" w:rsidRPr="00457D2D" w:rsidTr="000A2DE6">
        <w:trPr>
          <w:trHeight w:val="402"/>
        </w:trPr>
        <w:tc>
          <w:tcPr>
            <w:tcW w:w="1578" w:type="dxa"/>
          </w:tcPr>
          <w:p w:rsidR="00170050" w:rsidRPr="00457D2D" w:rsidRDefault="00170050" w:rsidP="000A2DE6">
            <w:pPr>
              <w:jc w:val="both"/>
              <w:rPr>
                <w:rFonts w:ascii="Arial" w:hAnsi="Arial" w:cs="Arial"/>
                <w:sz w:val="20"/>
                <w:szCs w:val="20"/>
              </w:rPr>
            </w:pPr>
            <w:r w:rsidRPr="00457D2D">
              <w:rPr>
                <w:rFonts w:ascii="Arial" w:hAnsi="Arial" w:cs="Arial"/>
                <w:sz w:val="20"/>
                <w:szCs w:val="20"/>
              </w:rPr>
              <w:t>ECU/EUR</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34.206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39.484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47.800</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54.207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53.847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66.667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86.833</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97.538</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96.482</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100.377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108.264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117.046</w:t>
            </w:r>
          </w:p>
        </w:tc>
      </w:tr>
      <w:tr w:rsidR="00170050" w:rsidRPr="00457D2D" w:rsidTr="000A2DE6">
        <w:trPr>
          <w:trHeight w:val="402"/>
        </w:trPr>
        <w:tc>
          <w:tcPr>
            <w:tcW w:w="1578" w:type="dxa"/>
          </w:tcPr>
          <w:p w:rsidR="00170050" w:rsidRPr="00457D2D" w:rsidRDefault="00170050" w:rsidP="000A2DE6">
            <w:pPr>
              <w:jc w:val="both"/>
              <w:rPr>
                <w:rFonts w:ascii="Arial" w:hAnsi="Arial" w:cs="Arial"/>
                <w:sz w:val="20"/>
                <w:szCs w:val="20"/>
              </w:rPr>
            </w:pPr>
            <w:r w:rsidRPr="00457D2D">
              <w:rPr>
                <w:rFonts w:ascii="Arial" w:hAnsi="Arial" w:cs="Arial"/>
                <w:sz w:val="20"/>
                <w:szCs w:val="20"/>
              </w:rPr>
              <w:t>JPY</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5.176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5.310</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4.509</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3.426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2.804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2.744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2.927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3.933</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3.793</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4.906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7.456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8.230</w:t>
            </w:r>
          </w:p>
        </w:tc>
      </w:tr>
      <w:tr w:rsidR="00170050" w:rsidRPr="00457D2D" w:rsidTr="000A2DE6">
        <w:trPr>
          <w:trHeight w:val="402"/>
        </w:trPr>
        <w:tc>
          <w:tcPr>
            <w:tcW w:w="1578" w:type="dxa"/>
          </w:tcPr>
          <w:p w:rsidR="00170050" w:rsidRPr="00457D2D" w:rsidRDefault="00170050" w:rsidP="000A2DE6">
            <w:pPr>
              <w:jc w:val="both"/>
              <w:rPr>
                <w:rFonts w:ascii="Arial" w:hAnsi="Arial" w:cs="Arial"/>
                <w:sz w:val="20"/>
                <w:szCs w:val="20"/>
              </w:rPr>
            </w:pPr>
            <w:r w:rsidRPr="00457D2D">
              <w:rPr>
                <w:rFonts w:ascii="Arial" w:hAnsi="Arial" w:cs="Arial"/>
                <w:sz w:val="20"/>
                <w:szCs w:val="20"/>
              </w:rPr>
              <w:t>SDR</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14.106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22.018</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24.012</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21.447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14.653</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10.764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7.150</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8.573</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9.447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7.123</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4.380</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2.361</w:t>
            </w:r>
          </w:p>
        </w:tc>
      </w:tr>
      <w:tr w:rsidR="00170050" w:rsidRPr="00457D2D" w:rsidTr="000A2DE6">
        <w:trPr>
          <w:trHeight w:val="402"/>
        </w:trPr>
        <w:tc>
          <w:tcPr>
            <w:tcW w:w="1578" w:type="dxa"/>
          </w:tcPr>
          <w:p w:rsidR="00170050" w:rsidRPr="00457D2D" w:rsidRDefault="00170050" w:rsidP="000A2DE6">
            <w:pPr>
              <w:jc w:val="both"/>
              <w:rPr>
                <w:rFonts w:ascii="Arial" w:hAnsi="Arial" w:cs="Arial"/>
                <w:sz w:val="20"/>
                <w:szCs w:val="20"/>
              </w:rPr>
            </w:pPr>
            <w:r w:rsidRPr="00457D2D">
              <w:rPr>
                <w:rFonts w:ascii="Arial" w:hAnsi="Arial" w:cs="Arial"/>
                <w:sz w:val="20"/>
                <w:szCs w:val="20"/>
              </w:rPr>
              <w:t>TL</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170</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148</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144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1.789</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5.033</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12.374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13.752</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16.493</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16.286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28.302</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17.274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23.578</w:t>
            </w:r>
          </w:p>
        </w:tc>
      </w:tr>
      <w:tr w:rsidR="00170050" w:rsidRPr="00457D2D" w:rsidTr="000A2DE6">
        <w:trPr>
          <w:trHeight w:val="402"/>
        </w:trPr>
        <w:tc>
          <w:tcPr>
            <w:tcW w:w="1578" w:type="dxa"/>
          </w:tcPr>
          <w:p w:rsidR="00170050" w:rsidRPr="00457D2D" w:rsidRDefault="00170050" w:rsidP="000A2DE6">
            <w:pPr>
              <w:jc w:val="both"/>
              <w:rPr>
                <w:rFonts w:ascii="Arial" w:hAnsi="Arial" w:cs="Arial"/>
                <w:sz w:val="20"/>
                <w:szCs w:val="20"/>
              </w:rPr>
            </w:pPr>
            <w:r w:rsidRPr="00457D2D">
              <w:rPr>
                <w:rFonts w:ascii="Arial" w:hAnsi="Arial" w:cs="Arial"/>
                <w:sz w:val="20"/>
                <w:szCs w:val="20"/>
              </w:rPr>
              <w:t>OTHER</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3.484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2.727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2.577</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2.586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2.340</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2.391</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2.443</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2.285</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2.116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2.586</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2.644</w:t>
            </w:r>
          </w:p>
        </w:tc>
        <w:tc>
          <w:tcPr>
            <w:tcW w:w="966" w:type="dxa"/>
            <w:noWrap/>
            <w:hideMark/>
          </w:tcPr>
          <w:p w:rsidR="00170050" w:rsidRPr="00457D2D" w:rsidRDefault="00170050" w:rsidP="000A2DE6">
            <w:pPr>
              <w:jc w:val="both"/>
              <w:rPr>
                <w:rFonts w:ascii="Arial" w:hAnsi="Arial" w:cs="Arial"/>
                <w:sz w:val="20"/>
                <w:szCs w:val="20"/>
              </w:rPr>
            </w:pPr>
            <w:r w:rsidRPr="00457D2D">
              <w:rPr>
                <w:rFonts w:ascii="Arial" w:hAnsi="Arial" w:cs="Arial"/>
                <w:sz w:val="20"/>
                <w:szCs w:val="20"/>
              </w:rPr>
              <w:t>3.014</w:t>
            </w:r>
          </w:p>
        </w:tc>
      </w:tr>
    </w:tbl>
    <w:p w:rsidR="00170050" w:rsidRPr="00E93EDC" w:rsidRDefault="00170050" w:rsidP="00170050">
      <w:pPr>
        <w:spacing w:after="0" w:line="240" w:lineRule="auto"/>
        <w:jc w:val="both"/>
        <w:rPr>
          <w:rFonts w:ascii="Times New Roman" w:hAnsi="Times New Roman" w:cs="Times New Roman"/>
          <w:sz w:val="24"/>
          <w:szCs w:val="24"/>
        </w:rPr>
      </w:pPr>
    </w:p>
    <w:p w:rsidR="00170050" w:rsidRPr="00D22801" w:rsidRDefault="00170050" w:rsidP="00170050">
      <w:pPr>
        <w:spacing w:after="0" w:line="240" w:lineRule="auto"/>
        <w:jc w:val="both"/>
        <w:rPr>
          <w:rFonts w:ascii="Arial" w:hAnsi="Arial" w:cs="Arial"/>
          <w:sz w:val="24"/>
          <w:szCs w:val="24"/>
        </w:rPr>
      </w:pPr>
      <w:r w:rsidRPr="00E93EDC">
        <w:rPr>
          <w:rFonts w:ascii="Times New Roman" w:hAnsi="Times New Roman" w:cs="Times New Roman"/>
          <w:sz w:val="24"/>
          <w:szCs w:val="24"/>
        </w:rPr>
        <w:t xml:space="preserve">     </w:t>
      </w:r>
      <w:r w:rsidRPr="00D22801">
        <w:rPr>
          <w:rFonts w:ascii="Arial" w:hAnsi="Arial" w:cs="Arial"/>
          <w:sz w:val="24"/>
          <w:szCs w:val="24"/>
        </w:rPr>
        <w:t xml:space="preserve">Source: </w:t>
      </w:r>
      <w:proofErr w:type="spellStart"/>
      <w:r w:rsidRPr="00D22801">
        <w:rPr>
          <w:rFonts w:ascii="Arial" w:hAnsi="Arial" w:cs="Arial"/>
          <w:sz w:val="24"/>
          <w:szCs w:val="24"/>
        </w:rPr>
        <w:t>Undersecretariat</w:t>
      </w:r>
      <w:proofErr w:type="spellEnd"/>
      <w:r w:rsidRPr="00D22801">
        <w:rPr>
          <w:rFonts w:ascii="Arial" w:hAnsi="Arial" w:cs="Arial"/>
          <w:sz w:val="24"/>
          <w:szCs w:val="24"/>
        </w:rPr>
        <w:t xml:space="preserve"> of </w:t>
      </w:r>
      <w:proofErr w:type="spellStart"/>
      <w:r w:rsidRPr="00D22801">
        <w:rPr>
          <w:rFonts w:ascii="Arial" w:hAnsi="Arial" w:cs="Arial"/>
          <w:sz w:val="24"/>
          <w:szCs w:val="24"/>
        </w:rPr>
        <w:t>Theasury</w:t>
      </w:r>
      <w:proofErr w:type="spellEnd"/>
    </w:p>
    <w:p w:rsidR="00170050" w:rsidRPr="00E93EDC" w:rsidRDefault="00170050" w:rsidP="00170050">
      <w:pPr>
        <w:spacing w:after="0" w:line="240" w:lineRule="auto"/>
        <w:jc w:val="both"/>
        <w:rPr>
          <w:rFonts w:ascii="Times New Roman" w:hAnsi="Times New Roman" w:cs="Times New Roman"/>
          <w:sz w:val="24"/>
          <w:szCs w:val="24"/>
        </w:rPr>
      </w:pPr>
    </w:p>
    <w:p w:rsidR="00170050" w:rsidRPr="00E93EDC" w:rsidRDefault="00170050" w:rsidP="0039402E">
      <w:pPr>
        <w:spacing w:after="0"/>
        <w:ind w:left="720" w:right="590"/>
        <w:rPr>
          <w:rFonts w:ascii="Times New Roman" w:hAnsi="Times New Roman"/>
          <w:bCs/>
          <w:sz w:val="24"/>
          <w:szCs w:val="24"/>
        </w:rPr>
        <w:sectPr w:rsidR="00170050" w:rsidRPr="00E93EDC" w:rsidSect="00170050">
          <w:pgSz w:w="16838" w:h="11906" w:orient="landscape"/>
          <w:pgMar w:top="1417" w:right="1417" w:bottom="1417" w:left="1417" w:header="708" w:footer="708" w:gutter="0"/>
          <w:cols w:space="708"/>
          <w:docGrid w:linePitch="360"/>
        </w:sectPr>
      </w:pPr>
    </w:p>
    <w:p w:rsidR="002C48C8" w:rsidRPr="00457D2D" w:rsidRDefault="00170050" w:rsidP="001C538D">
      <w:pPr>
        <w:spacing w:after="0"/>
        <w:ind w:right="590" w:firstLine="708"/>
        <w:jc w:val="both"/>
        <w:rPr>
          <w:rFonts w:ascii="Arial" w:hAnsi="Arial" w:cs="Arial"/>
          <w:bCs/>
          <w:sz w:val="24"/>
          <w:szCs w:val="24"/>
        </w:rPr>
      </w:pPr>
      <w:r w:rsidRPr="00457D2D">
        <w:rPr>
          <w:rFonts w:ascii="Arial" w:hAnsi="Arial" w:cs="Arial"/>
          <w:bCs/>
          <w:sz w:val="24"/>
          <w:szCs w:val="24"/>
        </w:rPr>
        <w:lastRenderedPageBreak/>
        <w:t xml:space="preserve">Table 3 shows Currency Composition and Gross External Debt of Turkey. When it is examined on a year basis, gross external debt of Turkey is showing a general increase with decrease in the year 2009. </w:t>
      </w:r>
      <w:r w:rsidR="0096168E" w:rsidRPr="00457D2D">
        <w:rPr>
          <w:rFonts w:ascii="Arial" w:hAnsi="Arial" w:cs="Arial"/>
          <w:bCs/>
          <w:sz w:val="24"/>
          <w:szCs w:val="24"/>
        </w:rPr>
        <w:t xml:space="preserve">The importance of following </w:t>
      </w:r>
      <w:r w:rsidR="00354531" w:rsidRPr="00457D2D">
        <w:rPr>
          <w:rFonts w:ascii="Arial" w:hAnsi="Arial" w:cs="Arial"/>
          <w:bCs/>
          <w:sz w:val="24"/>
          <w:szCs w:val="24"/>
        </w:rPr>
        <w:t>foreign</w:t>
      </w:r>
      <w:r w:rsidR="0096168E" w:rsidRPr="00457D2D">
        <w:rPr>
          <w:rFonts w:ascii="Arial" w:hAnsi="Arial" w:cs="Arial"/>
          <w:bCs/>
          <w:sz w:val="24"/>
          <w:szCs w:val="24"/>
        </w:rPr>
        <w:t xml:space="preserve"> currency </w:t>
      </w:r>
      <w:r w:rsidR="001008B1" w:rsidRPr="00457D2D">
        <w:rPr>
          <w:rFonts w:ascii="Arial" w:hAnsi="Arial" w:cs="Arial"/>
          <w:bCs/>
          <w:sz w:val="24"/>
          <w:szCs w:val="24"/>
        </w:rPr>
        <w:t>activity</w:t>
      </w:r>
      <w:r w:rsidR="0096168E" w:rsidRPr="00457D2D">
        <w:rPr>
          <w:rFonts w:ascii="Arial" w:hAnsi="Arial" w:cs="Arial"/>
          <w:bCs/>
          <w:sz w:val="24"/>
          <w:szCs w:val="24"/>
        </w:rPr>
        <w:t xml:space="preserve"> is increased due to the gross external debt of Turkey, currency composition showing high shares of USD, EUR and JPY.</w:t>
      </w:r>
    </w:p>
    <w:p w:rsidR="001C538D" w:rsidRDefault="001C538D" w:rsidP="001C538D">
      <w:pPr>
        <w:spacing w:after="0"/>
        <w:ind w:right="590"/>
        <w:jc w:val="both"/>
        <w:rPr>
          <w:rFonts w:ascii="Arial" w:hAnsi="Arial" w:cs="Arial"/>
          <w:bCs/>
          <w:sz w:val="24"/>
          <w:szCs w:val="24"/>
        </w:rPr>
      </w:pPr>
    </w:p>
    <w:p w:rsidR="007720DC" w:rsidRPr="00457D2D" w:rsidRDefault="007720DC" w:rsidP="001C538D">
      <w:pPr>
        <w:spacing w:after="0"/>
        <w:ind w:right="590" w:firstLine="708"/>
        <w:jc w:val="both"/>
        <w:rPr>
          <w:rFonts w:ascii="Arial" w:hAnsi="Arial" w:cs="Arial"/>
          <w:bCs/>
          <w:sz w:val="24"/>
          <w:szCs w:val="24"/>
        </w:rPr>
      </w:pPr>
      <w:r w:rsidRPr="00457D2D">
        <w:rPr>
          <w:rFonts w:ascii="Arial" w:hAnsi="Arial" w:cs="Arial"/>
          <w:bCs/>
          <w:sz w:val="24"/>
          <w:szCs w:val="24"/>
        </w:rPr>
        <w:t>It also shows that, Turkish Economy has a sensitive composition regarding exchange rates. Because the external debt of Turkey in reality, has increased, and Turkey has to buy the foreign currency it needed in a higher price because of the increased exchange rates. As a result, a change in values of the foreign currencies concerns all economy. One of those concerns is the effects on securities markets.</w:t>
      </w:r>
    </w:p>
    <w:p w:rsidR="00772A00" w:rsidRPr="00E93EDC" w:rsidRDefault="00772A00" w:rsidP="00457D2D">
      <w:pPr>
        <w:spacing w:after="0"/>
        <w:ind w:right="590"/>
        <w:rPr>
          <w:rFonts w:ascii="Times New Roman" w:hAnsi="Times New Roman"/>
          <w:b/>
          <w:bCs/>
          <w:sz w:val="24"/>
          <w:szCs w:val="24"/>
        </w:rPr>
      </w:pPr>
    </w:p>
    <w:p w:rsidR="007720DC" w:rsidRPr="009F6606" w:rsidRDefault="007720DC" w:rsidP="009F6606">
      <w:pPr>
        <w:pStyle w:val="ListeParagraf"/>
        <w:numPr>
          <w:ilvl w:val="1"/>
          <w:numId w:val="3"/>
        </w:numPr>
        <w:spacing w:after="0"/>
        <w:ind w:right="590"/>
        <w:jc w:val="both"/>
        <w:rPr>
          <w:rFonts w:ascii="Arial" w:hAnsi="Arial" w:cs="Arial"/>
          <w:b/>
          <w:bCs/>
          <w:sz w:val="24"/>
          <w:szCs w:val="24"/>
        </w:rPr>
      </w:pPr>
      <w:r w:rsidRPr="009F6606">
        <w:rPr>
          <w:rFonts w:ascii="Arial" w:hAnsi="Arial" w:cs="Arial"/>
          <w:b/>
          <w:bCs/>
          <w:sz w:val="24"/>
          <w:szCs w:val="24"/>
        </w:rPr>
        <w:t>The Results of the Regression</w:t>
      </w:r>
    </w:p>
    <w:p w:rsidR="00457D2D" w:rsidRPr="00457D2D" w:rsidRDefault="00457D2D" w:rsidP="00457D2D">
      <w:pPr>
        <w:pStyle w:val="ListeParagraf"/>
        <w:spacing w:after="0"/>
        <w:ind w:left="1080" w:right="590"/>
        <w:jc w:val="both"/>
        <w:rPr>
          <w:rFonts w:ascii="Arial" w:hAnsi="Arial" w:cs="Arial"/>
          <w:b/>
          <w:bCs/>
          <w:sz w:val="24"/>
          <w:szCs w:val="24"/>
        </w:rPr>
      </w:pPr>
    </w:p>
    <w:p w:rsidR="00772A00" w:rsidRPr="00E93EDC" w:rsidRDefault="007720DC" w:rsidP="009F6606">
      <w:pPr>
        <w:spacing w:after="0"/>
        <w:ind w:right="590"/>
        <w:jc w:val="both"/>
        <w:rPr>
          <w:rFonts w:ascii="Times New Roman" w:hAnsi="Times New Roman"/>
          <w:bCs/>
          <w:sz w:val="24"/>
          <w:szCs w:val="24"/>
        </w:rPr>
        <w:sectPr w:rsidR="00772A00" w:rsidRPr="00E93EDC" w:rsidSect="00170050">
          <w:pgSz w:w="11906" w:h="16838"/>
          <w:pgMar w:top="1417" w:right="1417" w:bottom="1417" w:left="1417" w:header="708" w:footer="708" w:gutter="0"/>
          <w:cols w:space="708"/>
          <w:docGrid w:linePitch="360"/>
        </w:sectPr>
      </w:pPr>
      <w:r w:rsidRPr="00457D2D">
        <w:rPr>
          <w:rFonts w:ascii="Arial" w:hAnsi="Arial" w:cs="Arial"/>
          <w:bCs/>
          <w:sz w:val="24"/>
          <w:szCs w:val="24"/>
        </w:rPr>
        <w:t xml:space="preserve">The solution of the model, which is defined as a semi-logarithmic function, has four stages. In the first stage, unit roots of stock market indexes used in study are analyzed. </w:t>
      </w:r>
      <w:r w:rsidR="000471F0" w:rsidRPr="00457D2D">
        <w:rPr>
          <w:rFonts w:ascii="Arial" w:hAnsi="Arial" w:cs="Arial"/>
          <w:bCs/>
          <w:sz w:val="24"/>
          <w:szCs w:val="24"/>
        </w:rPr>
        <w:t>Serials</w:t>
      </w:r>
      <w:r w:rsidRPr="00457D2D">
        <w:rPr>
          <w:rFonts w:ascii="Arial" w:hAnsi="Arial" w:cs="Arial"/>
          <w:bCs/>
          <w:sz w:val="24"/>
          <w:szCs w:val="24"/>
        </w:rPr>
        <w:t xml:space="preserve"> are first difference stationary. In the second stage, </w:t>
      </w:r>
      <w:proofErr w:type="spellStart"/>
      <w:r w:rsidRPr="00457D2D">
        <w:rPr>
          <w:rFonts w:ascii="Arial" w:hAnsi="Arial" w:cs="Arial"/>
          <w:bCs/>
          <w:sz w:val="24"/>
          <w:szCs w:val="24"/>
        </w:rPr>
        <w:t>Cointegration</w:t>
      </w:r>
      <w:proofErr w:type="spellEnd"/>
      <w:r w:rsidRPr="00457D2D">
        <w:rPr>
          <w:rFonts w:ascii="Arial" w:hAnsi="Arial" w:cs="Arial"/>
          <w:bCs/>
          <w:sz w:val="24"/>
          <w:szCs w:val="24"/>
        </w:rPr>
        <w:t xml:space="preserve"> Test is applied to determine the long term relationship between variables. According to this approach, every variable used in the model are </w:t>
      </w:r>
      <w:r w:rsidR="000471F0" w:rsidRPr="00457D2D">
        <w:rPr>
          <w:rFonts w:ascii="Arial" w:hAnsi="Arial" w:cs="Arial"/>
          <w:bCs/>
          <w:sz w:val="24"/>
          <w:szCs w:val="24"/>
        </w:rPr>
        <w:t>endogenously</w:t>
      </w:r>
      <w:r w:rsidRPr="00457D2D">
        <w:rPr>
          <w:rFonts w:ascii="Arial" w:hAnsi="Arial" w:cs="Arial"/>
          <w:bCs/>
          <w:sz w:val="24"/>
          <w:szCs w:val="24"/>
        </w:rPr>
        <w:t xml:space="preserve"> variables, in other words, dependent variables.</w:t>
      </w:r>
      <w:r w:rsidR="00772A00" w:rsidRPr="00457D2D">
        <w:rPr>
          <w:rFonts w:ascii="Arial" w:hAnsi="Arial" w:cs="Arial"/>
          <w:bCs/>
          <w:sz w:val="24"/>
          <w:szCs w:val="24"/>
        </w:rPr>
        <w:t xml:space="preserve"> Independent variables are the </w:t>
      </w:r>
      <w:r w:rsidR="000471F0" w:rsidRPr="00457D2D">
        <w:rPr>
          <w:rFonts w:ascii="Arial" w:hAnsi="Arial" w:cs="Arial"/>
          <w:bCs/>
          <w:sz w:val="24"/>
          <w:szCs w:val="24"/>
        </w:rPr>
        <w:t>lagged</w:t>
      </w:r>
      <w:r w:rsidR="00772A00" w:rsidRPr="00457D2D">
        <w:rPr>
          <w:rFonts w:ascii="Arial" w:hAnsi="Arial" w:cs="Arial"/>
          <w:bCs/>
          <w:sz w:val="24"/>
          <w:szCs w:val="24"/>
        </w:rPr>
        <w:t xml:space="preserve"> values of variables. Model is defined with the same </w:t>
      </w:r>
      <w:r w:rsidR="000471F0" w:rsidRPr="00457D2D">
        <w:rPr>
          <w:rFonts w:ascii="Arial" w:hAnsi="Arial" w:cs="Arial"/>
          <w:bCs/>
          <w:sz w:val="24"/>
          <w:szCs w:val="24"/>
        </w:rPr>
        <w:t>lagged</w:t>
      </w:r>
      <w:r w:rsidR="00772A00" w:rsidRPr="00457D2D">
        <w:rPr>
          <w:rFonts w:ascii="Arial" w:hAnsi="Arial" w:cs="Arial"/>
          <w:bCs/>
          <w:sz w:val="24"/>
          <w:szCs w:val="24"/>
        </w:rPr>
        <w:t xml:space="preserve"> length. Model shows what the variables are telling rather than what the theory tells. In the third stage, the </w:t>
      </w:r>
      <w:proofErr w:type="spellStart"/>
      <w:r w:rsidR="00772A00" w:rsidRPr="00457D2D">
        <w:rPr>
          <w:rFonts w:ascii="Arial" w:hAnsi="Arial" w:cs="Arial"/>
          <w:bCs/>
          <w:sz w:val="24"/>
          <w:szCs w:val="24"/>
        </w:rPr>
        <w:t>Cointegrating</w:t>
      </w:r>
      <w:proofErr w:type="spellEnd"/>
      <w:r w:rsidR="00772A00" w:rsidRPr="00457D2D">
        <w:rPr>
          <w:rFonts w:ascii="Arial" w:hAnsi="Arial" w:cs="Arial"/>
          <w:bCs/>
          <w:sz w:val="24"/>
          <w:szCs w:val="24"/>
        </w:rPr>
        <w:t xml:space="preserve"> Equation of the model is reached. In the final stage, how the system will behave when subjected to a shock is researched using </w:t>
      </w:r>
      <w:r w:rsidR="00C302EA" w:rsidRPr="00457D2D">
        <w:rPr>
          <w:rFonts w:ascii="Arial" w:hAnsi="Arial" w:cs="Arial"/>
          <w:bCs/>
          <w:sz w:val="24"/>
          <w:szCs w:val="24"/>
        </w:rPr>
        <w:t xml:space="preserve">Variance Decomposition </w:t>
      </w:r>
      <w:r w:rsidR="00312C09" w:rsidRPr="00457D2D">
        <w:rPr>
          <w:rFonts w:ascii="Arial" w:hAnsi="Arial" w:cs="Arial"/>
          <w:bCs/>
          <w:sz w:val="24"/>
          <w:szCs w:val="24"/>
        </w:rPr>
        <w:t>approach</w:t>
      </w:r>
      <w:r w:rsidR="000471F0">
        <w:rPr>
          <w:rFonts w:ascii="Times New Roman" w:hAnsi="Times New Roman"/>
          <w:bCs/>
          <w:sz w:val="24"/>
          <w:szCs w:val="24"/>
        </w:rPr>
        <w:t>.</w:t>
      </w:r>
    </w:p>
    <w:p w:rsidR="00772A00" w:rsidRPr="00457D2D" w:rsidRDefault="00BA11FD" w:rsidP="00772A00">
      <w:pPr>
        <w:spacing w:after="0" w:line="240" w:lineRule="auto"/>
        <w:jc w:val="both"/>
        <w:rPr>
          <w:rFonts w:ascii="Arial" w:hAnsi="Arial" w:cs="Arial"/>
          <w:sz w:val="24"/>
          <w:szCs w:val="24"/>
        </w:rPr>
      </w:pPr>
      <w:r>
        <w:rPr>
          <w:rFonts w:ascii="Arial" w:hAnsi="Arial" w:cs="Arial"/>
          <w:b/>
          <w:sz w:val="24"/>
          <w:szCs w:val="24"/>
        </w:rPr>
        <w:lastRenderedPageBreak/>
        <w:t xml:space="preserve">            </w:t>
      </w:r>
      <w:r w:rsidR="00457D2D" w:rsidRPr="00457D2D">
        <w:rPr>
          <w:rFonts w:ascii="Arial" w:hAnsi="Arial" w:cs="Arial"/>
          <w:b/>
          <w:sz w:val="24"/>
          <w:szCs w:val="24"/>
        </w:rPr>
        <w:t>Table</w:t>
      </w:r>
      <w:r w:rsidR="00772A00" w:rsidRPr="00457D2D">
        <w:rPr>
          <w:rFonts w:ascii="Arial" w:hAnsi="Arial" w:cs="Arial"/>
          <w:b/>
          <w:sz w:val="24"/>
          <w:szCs w:val="24"/>
        </w:rPr>
        <w:t xml:space="preserve"> 4- </w:t>
      </w:r>
      <w:r w:rsidR="00457D2D">
        <w:rPr>
          <w:rFonts w:ascii="Arial" w:hAnsi="Arial" w:cs="Arial"/>
          <w:sz w:val="24"/>
          <w:szCs w:val="24"/>
        </w:rPr>
        <w:t xml:space="preserve">Johansen </w:t>
      </w:r>
      <w:proofErr w:type="spellStart"/>
      <w:r w:rsidR="00457D2D">
        <w:rPr>
          <w:rFonts w:ascii="Arial" w:hAnsi="Arial" w:cs="Arial"/>
          <w:sz w:val="24"/>
          <w:szCs w:val="24"/>
        </w:rPr>
        <w:t>Cointegraion</w:t>
      </w:r>
      <w:proofErr w:type="spellEnd"/>
      <w:r w:rsidR="00457D2D">
        <w:rPr>
          <w:rFonts w:ascii="Arial" w:hAnsi="Arial" w:cs="Arial"/>
          <w:sz w:val="24"/>
          <w:szCs w:val="24"/>
        </w:rPr>
        <w:t xml:space="preserve"> Test</w:t>
      </w:r>
    </w:p>
    <w:p w:rsidR="00772A00" w:rsidRPr="00E93EDC" w:rsidRDefault="00772A00" w:rsidP="00772A00">
      <w:pPr>
        <w:spacing w:after="0" w:line="240" w:lineRule="auto"/>
        <w:jc w:val="both"/>
        <w:rPr>
          <w:rFonts w:ascii="Times New Roman" w:hAnsi="Times New Roman" w:cs="Times New Roman"/>
          <w:b/>
          <w:sz w:val="24"/>
          <w:szCs w:val="24"/>
        </w:rPr>
      </w:pPr>
    </w:p>
    <w:p w:rsidR="00772A00" w:rsidRPr="00E93EDC" w:rsidRDefault="00772A00" w:rsidP="00772A00">
      <w:pPr>
        <w:autoSpaceDE w:val="0"/>
        <w:autoSpaceDN w:val="0"/>
        <w:adjustRightInd w:val="0"/>
        <w:spacing w:after="0" w:line="240" w:lineRule="auto"/>
        <w:rPr>
          <w:rFonts w:ascii="Arial" w:hAnsi="Arial" w:cs="Arial"/>
          <w:sz w:val="18"/>
          <w:szCs w:val="18"/>
        </w:rPr>
      </w:pPr>
    </w:p>
    <w:tbl>
      <w:tblPr>
        <w:tblW w:w="0" w:type="auto"/>
        <w:tblInd w:w="89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87"/>
        <w:gridCol w:w="1418"/>
        <w:gridCol w:w="1417"/>
        <w:gridCol w:w="1691"/>
        <w:gridCol w:w="1417"/>
      </w:tblGrid>
      <w:tr w:rsidR="00772A00" w:rsidRPr="00457D2D" w:rsidTr="00BA11FD">
        <w:trPr>
          <w:trHeight w:val="225"/>
        </w:trPr>
        <w:tc>
          <w:tcPr>
            <w:tcW w:w="4222" w:type="dxa"/>
            <w:gridSpan w:val="3"/>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Sample (adjusted): 3 3254</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r>
      <w:tr w:rsidR="00772A00" w:rsidRPr="00457D2D" w:rsidTr="00BA11FD">
        <w:trPr>
          <w:trHeight w:val="225"/>
        </w:trPr>
        <w:tc>
          <w:tcPr>
            <w:tcW w:w="5913" w:type="dxa"/>
            <w:gridSpan w:val="4"/>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Included observations: 3252 after adjustments</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r>
      <w:tr w:rsidR="00772A00" w:rsidRPr="00457D2D" w:rsidTr="00BA11FD">
        <w:trPr>
          <w:trHeight w:val="225"/>
        </w:trPr>
        <w:tc>
          <w:tcPr>
            <w:tcW w:w="5913" w:type="dxa"/>
            <w:gridSpan w:val="4"/>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Trend assumption: Linear deterministic trend</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r>
      <w:tr w:rsidR="00772A00" w:rsidRPr="00457D2D" w:rsidTr="00BA11FD">
        <w:trPr>
          <w:trHeight w:val="225"/>
        </w:trPr>
        <w:tc>
          <w:tcPr>
            <w:tcW w:w="5913" w:type="dxa"/>
            <w:gridSpan w:val="4"/>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Series: LOG(BIST1</w:t>
            </w:r>
            <w:r w:rsidR="00457D2D">
              <w:rPr>
                <w:rFonts w:ascii="Arial" w:hAnsi="Arial" w:cs="Arial"/>
                <w:color w:val="000000"/>
                <w:sz w:val="20"/>
                <w:szCs w:val="20"/>
              </w:rPr>
              <w:t xml:space="preserve">00) EUR USD GBP JPY AUD CAD CHF </w:t>
            </w:r>
            <w:r w:rsidRPr="00457D2D">
              <w:rPr>
                <w:rFonts w:ascii="Arial" w:hAnsi="Arial" w:cs="Arial"/>
                <w:color w:val="000000"/>
                <w:sz w:val="20"/>
                <w:szCs w:val="20"/>
              </w:rPr>
              <w:t>SEK </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r>
      <w:tr w:rsidR="00772A00" w:rsidRPr="00457D2D" w:rsidTr="00BA11FD">
        <w:trPr>
          <w:trHeight w:val="225"/>
        </w:trPr>
        <w:tc>
          <w:tcPr>
            <w:tcW w:w="5913" w:type="dxa"/>
            <w:gridSpan w:val="4"/>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Lags interval (in first differences): 1 to 1</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r>
      <w:tr w:rsidR="00772A00" w:rsidRPr="00457D2D" w:rsidTr="00BA11FD">
        <w:trPr>
          <w:trHeight w:val="225"/>
        </w:trPr>
        <w:tc>
          <w:tcPr>
            <w:tcW w:w="5913" w:type="dxa"/>
            <w:gridSpan w:val="4"/>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 xml:space="preserve">Unrestricted </w:t>
            </w:r>
            <w:proofErr w:type="spellStart"/>
            <w:r w:rsidRPr="00457D2D">
              <w:rPr>
                <w:rFonts w:ascii="Arial" w:hAnsi="Arial" w:cs="Arial"/>
                <w:color w:val="000000"/>
                <w:sz w:val="20"/>
                <w:szCs w:val="20"/>
              </w:rPr>
              <w:t>Cointegration</w:t>
            </w:r>
            <w:proofErr w:type="spellEnd"/>
            <w:r w:rsidRPr="00457D2D">
              <w:rPr>
                <w:rFonts w:ascii="Arial" w:hAnsi="Arial" w:cs="Arial"/>
                <w:color w:val="000000"/>
                <w:sz w:val="20"/>
                <w:szCs w:val="20"/>
              </w:rPr>
              <w:t xml:space="preserve"> Rank Test (Trace)</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r>
      <w:tr w:rsidR="00772A00" w:rsidRPr="00457D2D" w:rsidTr="00BA11FD">
        <w:trPr>
          <w:trHeight w:hRule="exact" w:val="90"/>
        </w:trPr>
        <w:tc>
          <w:tcPr>
            <w:tcW w:w="138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8"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691"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r>
      <w:tr w:rsidR="00772A00" w:rsidRPr="00457D2D" w:rsidTr="00BA11FD">
        <w:trPr>
          <w:trHeight w:hRule="exact" w:val="135"/>
        </w:trPr>
        <w:tc>
          <w:tcPr>
            <w:tcW w:w="138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8"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691"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Hypothesized</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Trace</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0.05</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No. of CE(s)</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Eigenvalue</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Statistic</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Critical Value</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Prob.**</w:t>
            </w:r>
          </w:p>
        </w:tc>
      </w:tr>
      <w:tr w:rsidR="00772A00" w:rsidRPr="00457D2D" w:rsidTr="00BA11FD">
        <w:trPr>
          <w:trHeight w:hRule="exact" w:val="90"/>
        </w:trPr>
        <w:tc>
          <w:tcPr>
            <w:tcW w:w="138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8"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691"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r>
      <w:tr w:rsidR="00772A00" w:rsidRPr="00457D2D" w:rsidTr="00BA11FD">
        <w:trPr>
          <w:trHeight w:hRule="exact" w:val="135"/>
        </w:trPr>
        <w:tc>
          <w:tcPr>
            <w:tcW w:w="138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8"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691"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None *</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0.034691</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408.3676</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197.3709</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0.0000</w:t>
            </w: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At most 1 *</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0.027108</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293.5503</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159.5297</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0.0000</w:t>
            </w: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At most 2 *</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0.022957</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204.1771</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125.6154</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0.0000</w:t>
            </w: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At most 3 *</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0.016686</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128.6498</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95.75366</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0.0001</w:t>
            </w: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At most 4 *</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0.011894</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73.92938</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69.81889</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0.0226</w:t>
            </w: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At most 5</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0.006133</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35.01985</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47.85613</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0.4470</w:t>
            </w: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At most 6</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0.002632</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15.01315</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29.79707</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0.7792</w:t>
            </w: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At most 7</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0.001852</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6.442995</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15.49471</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0.6431</w:t>
            </w:r>
          </w:p>
        </w:tc>
      </w:tr>
      <w:tr w:rsidR="00772A00" w:rsidRPr="00457D2D" w:rsidTr="00BA11FD">
        <w:trPr>
          <w:trHeight w:val="225"/>
        </w:trPr>
        <w:tc>
          <w:tcPr>
            <w:tcW w:w="138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At most 8</w:t>
            </w:r>
          </w:p>
        </w:tc>
        <w:tc>
          <w:tcPr>
            <w:tcW w:w="1418"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0.000128</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0.415210</w:t>
            </w:r>
          </w:p>
        </w:tc>
        <w:tc>
          <w:tcPr>
            <w:tcW w:w="1691"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3.841466</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0.5193</w:t>
            </w:r>
          </w:p>
        </w:tc>
      </w:tr>
      <w:tr w:rsidR="00772A00" w:rsidRPr="00457D2D" w:rsidTr="00BA11FD">
        <w:trPr>
          <w:trHeight w:hRule="exact" w:val="90"/>
        </w:trPr>
        <w:tc>
          <w:tcPr>
            <w:tcW w:w="138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8"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691"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r>
      <w:tr w:rsidR="00772A00" w:rsidRPr="00457D2D" w:rsidTr="00BA11FD">
        <w:trPr>
          <w:trHeight w:hRule="exact" w:val="135"/>
        </w:trPr>
        <w:tc>
          <w:tcPr>
            <w:tcW w:w="138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8"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691"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c>
          <w:tcPr>
            <w:tcW w:w="1417" w:type="dxa"/>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p>
        </w:tc>
      </w:tr>
      <w:tr w:rsidR="00772A00" w:rsidRPr="00457D2D" w:rsidTr="00BA11FD">
        <w:trPr>
          <w:trHeight w:val="225"/>
        </w:trPr>
        <w:tc>
          <w:tcPr>
            <w:tcW w:w="7330" w:type="dxa"/>
            <w:gridSpan w:val="5"/>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 xml:space="preserve"> Trace test indicates 5 </w:t>
            </w:r>
            <w:proofErr w:type="spellStart"/>
            <w:r w:rsidRPr="00457D2D">
              <w:rPr>
                <w:rFonts w:ascii="Arial" w:hAnsi="Arial" w:cs="Arial"/>
                <w:color w:val="000000"/>
                <w:sz w:val="20"/>
                <w:szCs w:val="20"/>
              </w:rPr>
              <w:t>cointegrating</w:t>
            </w:r>
            <w:proofErr w:type="spellEnd"/>
            <w:r w:rsidRPr="00457D2D">
              <w:rPr>
                <w:rFonts w:ascii="Arial" w:hAnsi="Arial" w:cs="Arial"/>
                <w:color w:val="000000"/>
                <w:sz w:val="20"/>
                <w:szCs w:val="20"/>
              </w:rPr>
              <w:t xml:space="preserve"> </w:t>
            </w:r>
            <w:proofErr w:type="spellStart"/>
            <w:r w:rsidRPr="00457D2D">
              <w:rPr>
                <w:rFonts w:ascii="Arial" w:hAnsi="Arial" w:cs="Arial"/>
                <w:color w:val="000000"/>
                <w:sz w:val="20"/>
                <w:szCs w:val="20"/>
              </w:rPr>
              <w:t>eqn</w:t>
            </w:r>
            <w:proofErr w:type="spellEnd"/>
            <w:r w:rsidRPr="00457D2D">
              <w:rPr>
                <w:rFonts w:ascii="Arial" w:hAnsi="Arial" w:cs="Arial"/>
                <w:color w:val="000000"/>
                <w:sz w:val="20"/>
                <w:szCs w:val="20"/>
              </w:rPr>
              <w:t>(s) at the 0.05 level</w:t>
            </w:r>
          </w:p>
        </w:tc>
      </w:tr>
      <w:tr w:rsidR="00772A00" w:rsidRPr="00457D2D" w:rsidTr="00BA11FD">
        <w:trPr>
          <w:trHeight w:val="225"/>
        </w:trPr>
        <w:tc>
          <w:tcPr>
            <w:tcW w:w="7330" w:type="dxa"/>
            <w:gridSpan w:val="5"/>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 * denotes rejection of the hypothesis at the 0.05 level</w:t>
            </w:r>
          </w:p>
        </w:tc>
      </w:tr>
      <w:tr w:rsidR="00772A00" w:rsidRPr="00457D2D" w:rsidTr="00BA11FD">
        <w:trPr>
          <w:trHeight w:val="225"/>
        </w:trPr>
        <w:tc>
          <w:tcPr>
            <w:tcW w:w="5913" w:type="dxa"/>
            <w:gridSpan w:val="4"/>
            <w:vAlign w:val="bottom"/>
          </w:tcPr>
          <w:p w:rsidR="00772A00" w:rsidRPr="00457D2D" w:rsidRDefault="00772A00"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 **MacKinnon-</w:t>
            </w:r>
            <w:proofErr w:type="spellStart"/>
            <w:r w:rsidRPr="00457D2D">
              <w:rPr>
                <w:rFonts w:ascii="Arial" w:hAnsi="Arial" w:cs="Arial"/>
                <w:color w:val="000000"/>
                <w:sz w:val="20"/>
                <w:szCs w:val="20"/>
              </w:rPr>
              <w:t>Haug</w:t>
            </w:r>
            <w:proofErr w:type="spellEnd"/>
            <w:r w:rsidRPr="00457D2D">
              <w:rPr>
                <w:rFonts w:ascii="Arial" w:hAnsi="Arial" w:cs="Arial"/>
                <w:color w:val="000000"/>
                <w:sz w:val="20"/>
                <w:szCs w:val="20"/>
              </w:rPr>
              <w:t>-</w:t>
            </w:r>
            <w:proofErr w:type="spellStart"/>
            <w:r w:rsidRPr="00457D2D">
              <w:rPr>
                <w:rFonts w:ascii="Arial" w:hAnsi="Arial" w:cs="Arial"/>
                <w:color w:val="000000"/>
                <w:sz w:val="20"/>
                <w:szCs w:val="20"/>
              </w:rPr>
              <w:t>Michelis</w:t>
            </w:r>
            <w:proofErr w:type="spellEnd"/>
            <w:r w:rsidRPr="00457D2D">
              <w:rPr>
                <w:rFonts w:ascii="Arial" w:hAnsi="Arial" w:cs="Arial"/>
                <w:color w:val="000000"/>
                <w:sz w:val="20"/>
                <w:szCs w:val="20"/>
              </w:rPr>
              <w:t xml:space="preserve"> (1999) p-values</w:t>
            </w:r>
          </w:p>
        </w:tc>
        <w:tc>
          <w:tcPr>
            <w:tcW w:w="1417" w:type="dxa"/>
            <w:vAlign w:val="bottom"/>
          </w:tcPr>
          <w:p w:rsidR="00772A00" w:rsidRPr="00457D2D" w:rsidRDefault="00772A00" w:rsidP="000A2DE6">
            <w:pPr>
              <w:autoSpaceDE w:val="0"/>
              <w:autoSpaceDN w:val="0"/>
              <w:adjustRightInd w:val="0"/>
              <w:spacing w:after="0" w:line="240" w:lineRule="auto"/>
              <w:jc w:val="center"/>
              <w:rPr>
                <w:rFonts w:ascii="Arial" w:hAnsi="Arial" w:cs="Arial"/>
                <w:color w:val="000000"/>
                <w:sz w:val="20"/>
                <w:szCs w:val="20"/>
              </w:rPr>
            </w:pPr>
          </w:p>
        </w:tc>
      </w:tr>
    </w:tbl>
    <w:p w:rsidR="00772A00" w:rsidRPr="00E93EDC" w:rsidRDefault="00772A00" w:rsidP="00772A00">
      <w:pPr>
        <w:spacing w:after="0"/>
        <w:ind w:left="720" w:right="590"/>
        <w:rPr>
          <w:rFonts w:ascii="Times New Roman" w:hAnsi="Times New Roman"/>
          <w:bCs/>
          <w:sz w:val="24"/>
          <w:szCs w:val="24"/>
        </w:rPr>
      </w:pPr>
      <w:r w:rsidRPr="00E93EDC">
        <w:rPr>
          <w:rFonts w:ascii="Arial" w:hAnsi="Arial" w:cs="Arial"/>
          <w:sz w:val="18"/>
          <w:szCs w:val="18"/>
        </w:rPr>
        <w:br/>
      </w:r>
    </w:p>
    <w:p w:rsidR="00772A00" w:rsidRPr="00457D2D" w:rsidRDefault="00772A00" w:rsidP="001C538D">
      <w:pPr>
        <w:spacing w:after="0"/>
        <w:ind w:right="590" w:firstLine="708"/>
        <w:jc w:val="both"/>
        <w:rPr>
          <w:rFonts w:ascii="Arial" w:hAnsi="Arial" w:cs="Arial"/>
          <w:bCs/>
          <w:sz w:val="24"/>
          <w:szCs w:val="24"/>
        </w:rPr>
      </w:pPr>
      <w:r w:rsidRPr="00457D2D">
        <w:rPr>
          <w:rFonts w:ascii="Arial" w:hAnsi="Arial" w:cs="Arial"/>
          <w:bCs/>
          <w:sz w:val="24"/>
          <w:szCs w:val="24"/>
        </w:rPr>
        <w:t xml:space="preserve">Table 4 shows the results of Johansen </w:t>
      </w:r>
      <w:proofErr w:type="spellStart"/>
      <w:r w:rsidRPr="00457D2D">
        <w:rPr>
          <w:rFonts w:ascii="Arial" w:hAnsi="Arial" w:cs="Arial"/>
          <w:bCs/>
          <w:sz w:val="24"/>
          <w:szCs w:val="24"/>
        </w:rPr>
        <w:t>Cointegration</w:t>
      </w:r>
      <w:proofErr w:type="spellEnd"/>
      <w:r w:rsidRPr="00457D2D">
        <w:rPr>
          <w:rFonts w:ascii="Arial" w:hAnsi="Arial" w:cs="Arial"/>
          <w:bCs/>
          <w:sz w:val="24"/>
          <w:szCs w:val="24"/>
        </w:rPr>
        <w:t xml:space="preserve"> Test. It shows the </w:t>
      </w:r>
      <w:r w:rsidR="000471F0" w:rsidRPr="00457D2D">
        <w:rPr>
          <w:rFonts w:ascii="Arial" w:hAnsi="Arial" w:cs="Arial"/>
          <w:bCs/>
          <w:sz w:val="24"/>
          <w:szCs w:val="24"/>
        </w:rPr>
        <w:t>long term relationship between Trace S</w:t>
      </w:r>
      <w:r w:rsidRPr="00457D2D">
        <w:rPr>
          <w:rFonts w:ascii="Arial" w:hAnsi="Arial" w:cs="Arial"/>
          <w:bCs/>
          <w:sz w:val="24"/>
          <w:szCs w:val="24"/>
        </w:rPr>
        <w:t>tatistics and Eigenvalue series.</w:t>
      </w:r>
      <w:r w:rsidR="00C302EA" w:rsidRPr="00457D2D">
        <w:rPr>
          <w:rFonts w:ascii="Arial" w:hAnsi="Arial" w:cs="Arial"/>
          <w:bCs/>
          <w:sz w:val="24"/>
          <w:szCs w:val="24"/>
        </w:rPr>
        <w:t xml:space="preserve"> According to these results, there is a 5 per cent significant relationship between BIST 100 stock market index and EUR, USD, GBP and JPY. This finding is consistent with the distribution relationship of the foreign currencies in Table 3. However, no significant long term relationships between other currencies and BIST 100 are found.</w:t>
      </w:r>
    </w:p>
    <w:p w:rsidR="00C302EA" w:rsidRPr="00E93EDC" w:rsidRDefault="00C302EA" w:rsidP="00772A00">
      <w:pPr>
        <w:spacing w:after="0"/>
        <w:ind w:left="720" w:right="590"/>
        <w:rPr>
          <w:rFonts w:ascii="Times New Roman" w:hAnsi="Times New Roman"/>
          <w:bCs/>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1C538D" w:rsidRDefault="001C538D" w:rsidP="00C302EA">
      <w:pPr>
        <w:spacing w:after="0" w:line="240" w:lineRule="auto"/>
        <w:jc w:val="both"/>
        <w:rPr>
          <w:rFonts w:ascii="Arial" w:hAnsi="Arial" w:cs="Arial"/>
          <w:b/>
          <w:sz w:val="24"/>
          <w:szCs w:val="24"/>
        </w:rPr>
      </w:pPr>
    </w:p>
    <w:p w:rsidR="006E328E" w:rsidRDefault="006E328E" w:rsidP="00C302EA">
      <w:pPr>
        <w:spacing w:after="0" w:line="240" w:lineRule="auto"/>
        <w:jc w:val="both"/>
        <w:rPr>
          <w:rFonts w:ascii="Arial" w:hAnsi="Arial" w:cs="Arial"/>
          <w:b/>
          <w:sz w:val="24"/>
          <w:szCs w:val="24"/>
        </w:rPr>
      </w:pPr>
    </w:p>
    <w:p w:rsidR="00D22801" w:rsidRDefault="00D22801" w:rsidP="00C302EA">
      <w:pPr>
        <w:spacing w:after="0" w:line="240" w:lineRule="auto"/>
        <w:jc w:val="both"/>
        <w:rPr>
          <w:rFonts w:ascii="Arial" w:hAnsi="Arial" w:cs="Arial"/>
          <w:b/>
          <w:sz w:val="24"/>
          <w:szCs w:val="24"/>
        </w:rPr>
      </w:pPr>
    </w:p>
    <w:p w:rsidR="00C302EA" w:rsidRPr="00457D2D" w:rsidRDefault="00457D2D" w:rsidP="00C302EA">
      <w:pPr>
        <w:spacing w:after="0" w:line="240" w:lineRule="auto"/>
        <w:jc w:val="both"/>
        <w:rPr>
          <w:rFonts w:ascii="Arial" w:hAnsi="Arial" w:cs="Arial"/>
          <w:sz w:val="24"/>
          <w:szCs w:val="24"/>
        </w:rPr>
      </w:pPr>
      <w:r w:rsidRPr="00457D2D">
        <w:rPr>
          <w:rFonts w:ascii="Arial" w:hAnsi="Arial" w:cs="Arial"/>
          <w:b/>
          <w:sz w:val="24"/>
          <w:szCs w:val="24"/>
        </w:rPr>
        <w:lastRenderedPageBreak/>
        <w:t>Table</w:t>
      </w:r>
      <w:r w:rsidR="00C302EA" w:rsidRPr="00457D2D">
        <w:rPr>
          <w:rFonts w:ascii="Arial" w:hAnsi="Arial" w:cs="Arial"/>
          <w:b/>
          <w:sz w:val="24"/>
          <w:szCs w:val="24"/>
        </w:rPr>
        <w:t xml:space="preserve"> 5</w:t>
      </w:r>
      <w:proofErr w:type="gramStart"/>
      <w:r w:rsidR="00C302EA" w:rsidRPr="00457D2D">
        <w:rPr>
          <w:rFonts w:ascii="Arial" w:hAnsi="Arial" w:cs="Arial"/>
          <w:b/>
          <w:sz w:val="24"/>
          <w:szCs w:val="24"/>
        </w:rPr>
        <w:t xml:space="preserve">-  </w:t>
      </w:r>
      <w:proofErr w:type="spellStart"/>
      <w:r w:rsidR="00C302EA" w:rsidRPr="00457D2D">
        <w:rPr>
          <w:rFonts w:ascii="Arial" w:hAnsi="Arial" w:cs="Arial"/>
          <w:sz w:val="24"/>
          <w:szCs w:val="24"/>
        </w:rPr>
        <w:t>Cointegrating</w:t>
      </w:r>
      <w:proofErr w:type="spellEnd"/>
      <w:proofErr w:type="gramEnd"/>
      <w:r w:rsidR="00C302EA" w:rsidRPr="00457D2D">
        <w:rPr>
          <w:rFonts w:ascii="Arial" w:hAnsi="Arial" w:cs="Arial"/>
          <w:sz w:val="24"/>
          <w:szCs w:val="24"/>
        </w:rPr>
        <w:t xml:space="preserve"> Equation(s)</w:t>
      </w:r>
    </w:p>
    <w:p w:rsidR="00C302EA" w:rsidRPr="00E93EDC" w:rsidRDefault="00C302EA" w:rsidP="00C302EA">
      <w:pPr>
        <w:spacing w:after="0" w:line="240" w:lineRule="auto"/>
        <w:jc w:val="both"/>
        <w:rPr>
          <w:rFonts w:ascii="Times New Roman" w:hAnsi="Times New Roman" w:cs="Times New Roman"/>
          <w:b/>
          <w:sz w:val="24"/>
          <w:szCs w:val="24"/>
        </w:rPr>
      </w:pPr>
    </w:p>
    <w:tbl>
      <w:tblPr>
        <w:tblW w:w="9396" w:type="dxa"/>
        <w:tblInd w:w="3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34"/>
        <w:gridCol w:w="1205"/>
        <w:gridCol w:w="1284"/>
        <w:gridCol w:w="934"/>
        <w:gridCol w:w="1003"/>
        <w:gridCol w:w="934"/>
        <w:gridCol w:w="934"/>
        <w:gridCol w:w="934"/>
        <w:gridCol w:w="934"/>
      </w:tblGrid>
      <w:tr w:rsidR="00C302EA" w:rsidRPr="00457D2D" w:rsidTr="001C538D">
        <w:trPr>
          <w:trHeight w:val="225"/>
        </w:trPr>
        <w:tc>
          <w:tcPr>
            <w:tcW w:w="2439" w:type="dxa"/>
            <w:gridSpan w:val="2"/>
            <w:vAlign w:val="bottom"/>
          </w:tcPr>
          <w:p w:rsidR="00C302EA" w:rsidRPr="00457D2D" w:rsidRDefault="00C302EA"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 xml:space="preserve">1 </w:t>
            </w:r>
            <w:proofErr w:type="spellStart"/>
            <w:r w:rsidRPr="00457D2D">
              <w:rPr>
                <w:rFonts w:ascii="Arial" w:hAnsi="Arial" w:cs="Arial"/>
                <w:color w:val="000000"/>
                <w:sz w:val="20"/>
                <w:szCs w:val="20"/>
              </w:rPr>
              <w:t>Cointegrating</w:t>
            </w:r>
            <w:proofErr w:type="spellEnd"/>
            <w:r w:rsidRPr="00457D2D">
              <w:rPr>
                <w:rFonts w:ascii="Arial" w:hAnsi="Arial" w:cs="Arial"/>
                <w:color w:val="000000"/>
                <w:sz w:val="20"/>
                <w:szCs w:val="20"/>
              </w:rPr>
              <w:t xml:space="preserve"> Equation(s): </w:t>
            </w:r>
          </w:p>
        </w:tc>
        <w:tc>
          <w:tcPr>
            <w:tcW w:w="128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Log likelihood</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91023.34</w:t>
            </w:r>
          </w:p>
        </w:tc>
        <w:tc>
          <w:tcPr>
            <w:tcW w:w="1003"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r>
      <w:tr w:rsidR="00C302EA" w:rsidRPr="00457D2D" w:rsidTr="001C538D">
        <w:trPr>
          <w:trHeight w:val="225"/>
        </w:trPr>
        <w:tc>
          <w:tcPr>
            <w:tcW w:w="5660" w:type="dxa"/>
            <w:gridSpan w:val="5"/>
            <w:vAlign w:val="bottom"/>
          </w:tcPr>
          <w:p w:rsidR="00C302EA" w:rsidRPr="00457D2D" w:rsidRDefault="00C302EA" w:rsidP="000A2DE6">
            <w:pPr>
              <w:autoSpaceDE w:val="0"/>
              <w:autoSpaceDN w:val="0"/>
              <w:adjustRightInd w:val="0"/>
              <w:spacing w:after="0" w:line="240" w:lineRule="auto"/>
              <w:rPr>
                <w:rFonts w:ascii="Arial" w:hAnsi="Arial" w:cs="Arial"/>
                <w:color w:val="000000"/>
                <w:sz w:val="20"/>
                <w:szCs w:val="20"/>
              </w:rPr>
            </w:pPr>
            <w:r w:rsidRPr="00457D2D">
              <w:rPr>
                <w:rFonts w:ascii="Arial" w:hAnsi="Arial" w:cs="Arial"/>
                <w:color w:val="000000"/>
                <w:sz w:val="20"/>
                <w:szCs w:val="20"/>
              </w:rPr>
              <w:t xml:space="preserve">Normalized </w:t>
            </w:r>
            <w:proofErr w:type="spellStart"/>
            <w:r w:rsidRPr="00457D2D">
              <w:rPr>
                <w:rFonts w:ascii="Arial" w:hAnsi="Arial" w:cs="Arial"/>
                <w:color w:val="000000"/>
                <w:sz w:val="20"/>
                <w:szCs w:val="20"/>
              </w:rPr>
              <w:t>cointegrating</w:t>
            </w:r>
            <w:proofErr w:type="spellEnd"/>
            <w:r w:rsidRPr="00457D2D">
              <w:rPr>
                <w:rFonts w:ascii="Arial" w:hAnsi="Arial" w:cs="Arial"/>
                <w:color w:val="000000"/>
                <w:sz w:val="20"/>
                <w:szCs w:val="20"/>
              </w:rPr>
              <w:t xml:space="preserve"> coefficients (standard error in parentheses)</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r>
      <w:tr w:rsidR="00C302EA" w:rsidRPr="00457D2D" w:rsidTr="001C538D">
        <w:trPr>
          <w:trHeight w:val="225"/>
        </w:trPr>
        <w:tc>
          <w:tcPr>
            <w:tcW w:w="12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LOG(XU100)</w:t>
            </w:r>
          </w:p>
        </w:tc>
        <w:tc>
          <w:tcPr>
            <w:tcW w:w="1205"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EUR</w:t>
            </w:r>
          </w:p>
        </w:tc>
        <w:tc>
          <w:tcPr>
            <w:tcW w:w="128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USD</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GBP</w:t>
            </w:r>
          </w:p>
        </w:tc>
        <w:tc>
          <w:tcPr>
            <w:tcW w:w="1003"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JPY</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AUD</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CAD</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CHF</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SEK</w:t>
            </w:r>
          </w:p>
        </w:tc>
      </w:tr>
      <w:tr w:rsidR="00C302EA" w:rsidRPr="00457D2D" w:rsidTr="001C538D">
        <w:trPr>
          <w:trHeight w:val="225"/>
        </w:trPr>
        <w:tc>
          <w:tcPr>
            <w:tcW w:w="12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1.000000</w:t>
            </w:r>
          </w:p>
        </w:tc>
        <w:tc>
          <w:tcPr>
            <w:tcW w:w="1205"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-3.558140</w:t>
            </w:r>
          </w:p>
        </w:tc>
        <w:tc>
          <w:tcPr>
            <w:tcW w:w="128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-0.685214</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0.911469</w:t>
            </w:r>
          </w:p>
        </w:tc>
        <w:tc>
          <w:tcPr>
            <w:tcW w:w="1003"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0.192389</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-5.386997</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-1.893069</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6.678752</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14.05913</w:t>
            </w:r>
          </w:p>
        </w:tc>
      </w:tr>
      <w:tr w:rsidR="00C302EA" w:rsidRPr="00457D2D" w:rsidTr="001C538D">
        <w:trPr>
          <w:trHeight w:val="225"/>
        </w:trPr>
        <w:tc>
          <w:tcPr>
            <w:tcW w:w="12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p>
        </w:tc>
        <w:tc>
          <w:tcPr>
            <w:tcW w:w="1205"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(0.38995)</w:t>
            </w:r>
          </w:p>
        </w:tc>
        <w:tc>
          <w:tcPr>
            <w:tcW w:w="128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(0.40813)</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(0.27694)</w:t>
            </w:r>
          </w:p>
        </w:tc>
        <w:tc>
          <w:tcPr>
            <w:tcW w:w="1003"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(0.35085)</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(0.77743)</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(0.67113)</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(0.76443)</w:t>
            </w:r>
          </w:p>
        </w:tc>
        <w:tc>
          <w:tcPr>
            <w:tcW w:w="934" w:type="dxa"/>
            <w:vAlign w:val="bottom"/>
          </w:tcPr>
          <w:p w:rsidR="00C302EA" w:rsidRPr="00457D2D" w:rsidRDefault="00C302EA" w:rsidP="000A2DE6">
            <w:pPr>
              <w:autoSpaceDE w:val="0"/>
              <w:autoSpaceDN w:val="0"/>
              <w:adjustRightInd w:val="0"/>
              <w:spacing w:after="0" w:line="240" w:lineRule="auto"/>
              <w:jc w:val="center"/>
              <w:rPr>
                <w:rFonts w:ascii="Arial" w:hAnsi="Arial" w:cs="Arial"/>
                <w:color w:val="000000"/>
                <w:sz w:val="20"/>
                <w:szCs w:val="20"/>
              </w:rPr>
            </w:pPr>
            <w:r w:rsidRPr="00457D2D">
              <w:rPr>
                <w:rFonts w:ascii="Arial" w:hAnsi="Arial" w:cs="Arial"/>
                <w:color w:val="000000"/>
                <w:sz w:val="20"/>
                <w:szCs w:val="20"/>
              </w:rPr>
              <w:t> (6.55575)</w:t>
            </w:r>
          </w:p>
        </w:tc>
      </w:tr>
    </w:tbl>
    <w:p w:rsidR="00C302EA" w:rsidRPr="00E93EDC" w:rsidRDefault="00C302EA" w:rsidP="00C302EA">
      <w:pPr>
        <w:spacing w:after="0" w:line="240" w:lineRule="auto"/>
        <w:jc w:val="both"/>
        <w:rPr>
          <w:rFonts w:ascii="Times New Roman" w:hAnsi="Times New Roman" w:cs="Times New Roman"/>
          <w:sz w:val="24"/>
          <w:szCs w:val="24"/>
        </w:rPr>
      </w:pPr>
    </w:p>
    <w:p w:rsidR="00C302EA" w:rsidRPr="00E93EDC" w:rsidRDefault="00C302EA" w:rsidP="00C302EA">
      <w:pPr>
        <w:spacing w:after="0" w:line="240" w:lineRule="auto"/>
        <w:jc w:val="both"/>
        <w:rPr>
          <w:rFonts w:ascii="Times New Roman" w:hAnsi="Times New Roman" w:cs="Times New Roman"/>
          <w:sz w:val="24"/>
          <w:szCs w:val="24"/>
        </w:rPr>
      </w:pPr>
    </w:p>
    <w:p w:rsidR="00C302EA" w:rsidRPr="00E93EDC" w:rsidRDefault="00C302EA" w:rsidP="00C302EA">
      <w:pPr>
        <w:spacing w:after="0" w:line="240" w:lineRule="auto"/>
        <w:jc w:val="both"/>
        <w:rPr>
          <w:rFonts w:ascii="Times New Roman" w:hAnsi="Times New Roman" w:cs="Times New Roman"/>
          <w:sz w:val="24"/>
          <w:szCs w:val="24"/>
        </w:rPr>
      </w:pPr>
    </w:p>
    <w:tbl>
      <w:tblPr>
        <w:tblStyle w:val="TabloKlavuzu"/>
        <w:tblW w:w="9180" w:type="dxa"/>
        <w:tblInd w:w="108" w:type="dxa"/>
        <w:tblLook w:val="04A0" w:firstRow="1" w:lastRow="0" w:firstColumn="1" w:lastColumn="0" w:noHBand="0" w:noVBand="1"/>
      </w:tblPr>
      <w:tblGrid>
        <w:gridCol w:w="9180"/>
      </w:tblGrid>
      <w:tr w:rsidR="00C302EA" w:rsidRPr="00457D2D" w:rsidTr="00BA11FD">
        <w:trPr>
          <w:trHeight w:val="1271"/>
        </w:trPr>
        <w:tc>
          <w:tcPr>
            <w:tcW w:w="9180" w:type="dxa"/>
          </w:tcPr>
          <w:p w:rsidR="00C302EA" w:rsidRPr="00457D2D" w:rsidRDefault="00C302EA" w:rsidP="000A2DE6">
            <w:pPr>
              <w:jc w:val="both"/>
              <w:rPr>
                <w:rFonts w:ascii="Arial" w:hAnsi="Arial" w:cs="Arial"/>
                <w:sz w:val="20"/>
                <w:szCs w:val="20"/>
              </w:rPr>
            </w:pPr>
          </w:p>
          <w:p w:rsidR="00C302EA" w:rsidRPr="00457D2D" w:rsidRDefault="00C302EA" w:rsidP="000A2DE6">
            <w:pPr>
              <w:jc w:val="both"/>
              <w:rPr>
                <w:rFonts w:ascii="Arial" w:hAnsi="Arial" w:cs="Arial"/>
                <w:i/>
                <w:sz w:val="20"/>
                <w:szCs w:val="20"/>
              </w:rPr>
            </w:pPr>
            <w:r w:rsidRPr="00457D2D">
              <w:rPr>
                <w:rFonts w:ascii="Arial" w:hAnsi="Arial" w:cs="Arial"/>
                <w:i/>
                <w:sz w:val="20"/>
                <w:szCs w:val="20"/>
              </w:rPr>
              <w:t>Log (XU100) = 3,558140EUR + 0,685214USD – 0,911469GBP -  0,192389JPY + …</w:t>
            </w:r>
          </w:p>
          <w:p w:rsidR="00C302EA" w:rsidRPr="00457D2D" w:rsidRDefault="00C302EA" w:rsidP="000A2DE6">
            <w:pPr>
              <w:jc w:val="both"/>
              <w:rPr>
                <w:rFonts w:ascii="Arial" w:hAnsi="Arial" w:cs="Arial"/>
                <w:i/>
                <w:sz w:val="20"/>
                <w:szCs w:val="20"/>
              </w:rPr>
            </w:pPr>
            <w:r w:rsidRPr="00457D2D">
              <w:rPr>
                <w:rFonts w:ascii="Arial" w:hAnsi="Arial" w:cs="Arial"/>
                <w:i/>
                <w:sz w:val="20"/>
                <w:szCs w:val="20"/>
              </w:rPr>
              <w:t xml:space="preserve">       </w:t>
            </w:r>
          </w:p>
          <w:p w:rsidR="00C302EA" w:rsidRPr="00457D2D" w:rsidRDefault="00C302EA" w:rsidP="000A2DE6">
            <w:pPr>
              <w:jc w:val="both"/>
              <w:rPr>
                <w:rFonts w:ascii="Arial" w:hAnsi="Arial" w:cs="Arial"/>
                <w:i/>
                <w:sz w:val="20"/>
                <w:szCs w:val="20"/>
                <w:vertAlign w:val="subscript"/>
              </w:rPr>
            </w:pPr>
            <w:r w:rsidRPr="00457D2D">
              <w:rPr>
                <w:rFonts w:ascii="Arial" w:hAnsi="Arial" w:cs="Arial"/>
                <w:i/>
                <w:sz w:val="20"/>
                <w:szCs w:val="20"/>
              </w:rPr>
              <w:t xml:space="preserve">                        … + 5.386997AUD + 1.893069CAD – 6.678752CHF – 14,05913SEK  + </w:t>
            </w:r>
            <w:proofErr w:type="spellStart"/>
            <w:r w:rsidRPr="00457D2D">
              <w:rPr>
                <w:rFonts w:ascii="Arial" w:hAnsi="Arial" w:cs="Arial"/>
                <w:i/>
                <w:sz w:val="20"/>
                <w:szCs w:val="20"/>
              </w:rPr>
              <w:t>ε</w:t>
            </w:r>
            <w:r w:rsidRPr="00457D2D">
              <w:rPr>
                <w:rFonts w:ascii="Arial" w:hAnsi="Arial" w:cs="Arial"/>
                <w:i/>
                <w:sz w:val="20"/>
                <w:szCs w:val="20"/>
                <w:vertAlign w:val="subscript"/>
              </w:rPr>
              <w:t>t</w:t>
            </w:r>
            <w:proofErr w:type="spellEnd"/>
          </w:p>
          <w:p w:rsidR="00C302EA" w:rsidRPr="00457D2D" w:rsidRDefault="00C302EA" w:rsidP="000A2DE6">
            <w:pPr>
              <w:jc w:val="both"/>
              <w:rPr>
                <w:rFonts w:ascii="Arial" w:hAnsi="Arial" w:cs="Arial"/>
                <w:sz w:val="20"/>
                <w:szCs w:val="20"/>
              </w:rPr>
            </w:pPr>
          </w:p>
        </w:tc>
      </w:tr>
    </w:tbl>
    <w:p w:rsidR="00C302EA" w:rsidRPr="00E93EDC" w:rsidRDefault="00C302EA" w:rsidP="00457D2D">
      <w:pPr>
        <w:spacing w:after="0"/>
        <w:ind w:right="590"/>
        <w:rPr>
          <w:rFonts w:ascii="Times New Roman" w:hAnsi="Times New Roman"/>
          <w:bCs/>
          <w:sz w:val="24"/>
          <w:szCs w:val="24"/>
        </w:rPr>
      </w:pPr>
    </w:p>
    <w:p w:rsidR="00C302EA" w:rsidRPr="00457D2D" w:rsidRDefault="00C302EA" w:rsidP="001C538D">
      <w:pPr>
        <w:spacing w:after="0"/>
        <w:ind w:right="590" w:firstLine="708"/>
        <w:jc w:val="both"/>
        <w:rPr>
          <w:rFonts w:ascii="Arial" w:hAnsi="Arial" w:cs="Arial"/>
          <w:bCs/>
          <w:sz w:val="24"/>
          <w:szCs w:val="24"/>
        </w:rPr>
      </w:pPr>
      <w:r w:rsidRPr="00457D2D">
        <w:rPr>
          <w:rFonts w:ascii="Arial" w:hAnsi="Arial" w:cs="Arial"/>
          <w:bCs/>
          <w:sz w:val="24"/>
          <w:szCs w:val="24"/>
        </w:rPr>
        <w:t xml:space="preserve">Table 5 shows the </w:t>
      </w:r>
      <w:proofErr w:type="spellStart"/>
      <w:r w:rsidRPr="00457D2D">
        <w:rPr>
          <w:rFonts w:ascii="Arial" w:hAnsi="Arial" w:cs="Arial"/>
          <w:bCs/>
          <w:sz w:val="24"/>
          <w:szCs w:val="24"/>
        </w:rPr>
        <w:t>Cointegrating</w:t>
      </w:r>
      <w:proofErr w:type="spellEnd"/>
      <w:r w:rsidRPr="00457D2D">
        <w:rPr>
          <w:rFonts w:ascii="Arial" w:hAnsi="Arial" w:cs="Arial"/>
          <w:bCs/>
          <w:sz w:val="24"/>
          <w:szCs w:val="24"/>
        </w:rPr>
        <w:t xml:space="preserve"> Equation defined as a semi-logarithmic function. According to this result, a 1 unit change in EUR and USD increases the BIST 100 index by % 3.55 and %0</w:t>
      </w:r>
      <w:r w:rsidR="001008B1" w:rsidRPr="00457D2D">
        <w:rPr>
          <w:rFonts w:ascii="Arial" w:hAnsi="Arial" w:cs="Arial"/>
          <w:bCs/>
          <w:sz w:val="24"/>
          <w:szCs w:val="24"/>
        </w:rPr>
        <w:t>.68. 1 unit change in GBP and JPY decreases the BIST 100 index by %0.91 and %0.19</w:t>
      </w:r>
    </w:p>
    <w:p w:rsidR="00EE079E" w:rsidRDefault="00EE079E" w:rsidP="001008B1">
      <w:pPr>
        <w:spacing w:after="0" w:line="240" w:lineRule="auto"/>
        <w:jc w:val="both"/>
        <w:rPr>
          <w:rFonts w:ascii="Times New Roman" w:hAnsi="Times New Roman"/>
          <w:bCs/>
          <w:sz w:val="24"/>
          <w:szCs w:val="24"/>
        </w:rPr>
      </w:pPr>
    </w:p>
    <w:p w:rsidR="001008B1" w:rsidRPr="00457D2D" w:rsidRDefault="00762E25" w:rsidP="001008B1">
      <w:pPr>
        <w:spacing w:after="0" w:line="240" w:lineRule="auto"/>
        <w:jc w:val="both"/>
        <w:rPr>
          <w:rFonts w:ascii="Arial" w:hAnsi="Arial" w:cs="Arial"/>
          <w:sz w:val="24"/>
          <w:szCs w:val="24"/>
        </w:rPr>
      </w:pPr>
      <w:r>
        <w:rPr>
          <w:rFonts w:ascii="Arial" w:hAnsi="Arial" w:cs="Arial"/>
          <w:b/>
          <w:sz w:val="24"/>
          <w:szCs w:val="24"/>
        </w:rPr>
        <w:t xml:space="preserve"> </w:t>
      </w:r>
      <w:r w:rsidR="00EE079E" w:rsidRPr="00457D2D">
        <w:rPr>
          <w:rFonts w:ascii="Arial" w:hAnsi="Arial" w:cs="Arial"/>
          <w:b/>
          <w:sz w:val="24"/>
          <w:szCs w:val="24"/>
        </w:rPr>
        <w:t>Table</w:t>
      </w:r>
      <w:r w:rsidR="001008B1" w:rsidRPr="00457D2D">
        <w:rPr>
          <w:rFonts w:ascii="Arial" w:hAnsi="Arial" w:cs="Arial"/>
          <w:b/>
          <w:sz w:val="24"/>
          <w:szCs w:val="24"/>
        </w:rPr>
        <w:t xml:space="preserve"> 6</w:t>
      </w:r>
      <w:r w:rsidRPr="00457D2D">
        <w:rPr>
          <w:rFonts w:ascii="Arial" w:hAnsi="Arial" w:cs="Arial"/>
          <w:b/>
          <w:sz w:val="24"/>
          <w:szCs w:val="24"/>
        </w:rPr>
        <w:t xml:space="preserve">- </w:t>
      </w:r>
      <w:r w:rsidRPr="00762E25">
        <w:rPr>
          <w:rFonts w:ascii="Arial" w:hAnsi="Arial" w:cs="Arial"/>
          <w:sz w:val="24"/>
          <w:szCs w:val="24"/>
        </w:rPr>
        <w:t>Variance</w:t>
      </w:r>
      <w:r w:rsidR="00EE079E">
        <w:rPr>
          <w:rFonts w:ascii="Arial" w:hAnsi="Arial" w:cs="Arial"/>
          <w:sz w:val="24"/>
          <w:szCs w:val="24"/>
        </w:rPr>
        <w:t xml:space="preserve"> Decomposition of LOG (XU100)</w:t>
      </w:r>
    </w:p>
    <w:p w:rsidR="001008B1" w:rsidRPr="00E93EDC" w:rsidRDefault="001008B1" w:rsidP="001008B1">
      <w:pPr>
        <w:spacing w:after="0" w:line="240" w:lineRule="auto"/>
        <w:jc w:val="both"/>
        <w:rPr>
          <w:rFonts w:ascii="Times New Roman" w:hAnsi="Times New Roman" w:cs="Times New Roman"/>
          <w:sz w:val="24"/>
          <w:szCs w:val="24"/>
        </w:rPr>
      </w:pPr>
    </w:p>
    <w:tbl>
      <w:tblPr>
        <w:tblW w:w="71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5"/>
        <w:gridCol w:w="668"/>
        <w:gridCol w:w="1246"/>
        <w:gridCol w:w="557"/>
        <w:gridCol w:w="557"/>
        <w:gridCol w:w="557"/>
        <w:gridCol w:w="557"/>
        <w:gridCol w:w="557"/>
        <w:gridCol w:w="557"/>
        <w:gridCol w:w="557"/>
        <w:gridCol w:w="557"/>
      </w:tblGrid>
      <w:tr w:rsidR="001008B1" w:rsidRPr="00EE079E" w:rsidTr="00762E25">
        <w:trPr>
          <w:trHeight w:val="225"/>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rPr>
                <w:rFonts w:ascii="Arial" w:hAnsi="Arial" w:cs="Arial"/>
                <w:color w:val="000000"/>
                <w:sz w:val="20"/>
                <w:szCs w:val="20"/>
              </w:rPr>
            </w:pPr>
            <w:r w:rsidRPr="00EE079E">
              <w:rPr>
                <w:rFonts w:ascii="Arial" w:hAnsi="Arial" w:cs="Arial"/>
                <w:color w:val="000000"/>
                <w:sz w:val="20"/>
                <w:szCs w:val="20"/>
              </w:rPr>
              <w:t> Period</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S.E.</w:t>
            </w:r>
          </w:p>
        </w:tc>
        <w:tc>
          <w:tcPr>
            <w:tcW w:w="1246" w:type="dxa"/>
            <w:vAlign w:val="bottom"/>
          </w:tcPr>
          <w:p w:rsidR="001008B1" w:rsidRPr="00EE079E" w:rsidRDefault="001008B1" w:rsidP="00EE079E">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Log (XU100)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EUR</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USD</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GBP</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JPY</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AUD</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CAD</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CHF</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SEK</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1</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0.021</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100.00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2</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0.030</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99.96</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0.01</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3</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0.037</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99.88</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0.02</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0.01</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0.01</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0.05</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4</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0.043</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99.77</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0.04</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0.02</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0.03</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0.10</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5</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0.048</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99.63</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0.06</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0.04</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0.01</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0.01</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0.05</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0.15</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6</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0.052</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99.47</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0.09</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0.01</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0.06</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0.02</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0.02</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0.09</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0.22</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7</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0.056</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99.28</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0.13</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0.01</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0.08</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0.02</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0.03</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0.12</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0.29</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8</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0.060</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99.09</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0.16</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0.01</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0.10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0.03</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0.04</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0.16</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0.36</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0.064</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98.88</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0.20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0.02</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0.13</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0.04</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0.05</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0.21</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0.43</w:t>
            </w:r>
          </w:p>
        </w:tc>
      </w:tr>
      <w:tr w:rsidR="001008B1" w:rsidRPr="00EE079E" w:rsidTr="00762E25">
        <w:trPr>
          <w:trHeight w:val="57"/>
        </w:trPr>
        <w:tc>
          <w:tcPr>
            <w:tcW w:w="745"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10</w:t>
            </w:r>
          </w:p>
        </w:tc>
        <w:tc>
          <w:tcPr>
            <w:tcW w:w="668"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0.067</w:t>
            </w:r>
          </w:p>
        </w:tc>
        <w:tc>
          <w:tcPr>
            <w:tcW w:w="1246"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98.66</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0.25</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0.02</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0.16</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0.00</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0.05</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0.07</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0.26</w:t>
            </w:r>
          </w:p>
        </w:tc>
        <w:tc>
          <w:tcPr>
            <w:tcW w:w="557" w:type="dxa"/>
            <w:vAlign w:val="bottom"/>
          </w:tcPr>
          <w:p w:rsidR="001008B1" w:rsidRPr="00EE079E" w:rsidRDefault="001008B1" w:rsidP="000A2DE6">
            <w:pPr>
              <w:autoSpaceDE w:val="0"/>
              <w:autoSpaceDN w:val="0"/>
              <w:adjustRightInd w:val="0"/>
              <w:spacing w:before="100" w:beforeAutospacing="1" w:after="100" w:afterAutospacing="1" w:line="240" w:lineRule="auto"/>
              <w:jc w:val="center"/>
              <w:rPr>
                <w:rFonts w:ascii="Arial" w:hAnsi="Arial" w:cs="Arial"/>
                <w:color w:val="000000"/>
                <w:sz w:val="20"/>
                <w:szCs w:val="20"/>
              </w:rPr>
            </w:pPr>
            <w:r w:rsidRPr="00EE079E">
              <w:rPr>
                <w:rFonts w:ascii="Arial" w:hAnsi="Arial" w:cs="Arial"/>
                <w:color w:val="000000"/>
                <w:sz w:val="20"/>
                <w:szCs w:val="20"/>
              </w:rPr>
              <w:t> 0.50</w:t>
            </w:r>
          </w:p>
        </w:tc>
      </w:tr>
    </w:tbl>
    <w:p w:rsidR="001008B1" w:rsidRPr="00E93EDC" w:rsidRDefault="001008B1" w:rsidP="00772A00">
      <w:pPr>
        <w:spacing w:after="0"/>
        <w:ind w:left="720" w:right="590"/>
        <w:rPr>
          <w:rFonts w:ascii="Times New Roman" w:hAnsi="Times New Roman"/>
          <w:bCs/>
          <w:sz w:val="24"/>
          <w:szCs w:val="24"/>
        </w:rPr>
      </w:pPr>
    </w:p>
    <w:p w:rsidR="001008B1" w:rsidRPr="00EE079E" w:rsidRDefault="001008B1" w:rsidP="001C538D">
      <w:pPr>
        <w:spacing w:after="0"/>
        <w:ind w:right="590" w:firstLine="708"/>
        <w:jc w:val="both"/>
        <w:rPr>
          <w:rFonts w:ascii="Arial" w:hAnsi="Arial" w:cs="Arial"/>
          <w:bCs/>
          <w:sz w:val="24"/>
          <w:szCs w:val="24"/>
        </w:rPr>
      </w:pPr>
      <w:r w:rsidRPr="00EE079E">
        <w:rPr>
          <w:rFonts w:ascii="Arial" w:hAnsi="Arial" w:cs="Arial"/>
          <w:bCs/>
          <w:sz w:val="24"/>
          <w:szCs w:val="24"/>
        </w:rPr>
        <w:t>Table 6 shows the Variance Decomposition results. Variance Decomposition method shows what shape the system will take and which variable will be effected how much, when system is subjected to a shock. According to this, a variation change in BIST 100, on first days, will be self-caused, however, variation changes in the following days will be caused by the changes in the exchange rate. This applies to all variables which are subject of the application.</w:t>
      </w:r>
    </w:p>
    <w:p w:rsidR="001008B1" w:rsidRDefault="001008B1" w:rsidP="00EE079E">
      <w:pPr>
        <w:spacing w:after="0"/>
        <w:ind w:left="720" w:right="590"/>
        <w:jc w:val="both"/>
        <w:rPr>
          <w:rFonts w:ascii="Arial" w:hAnsi="Arial" w:cs="Arial"/>
          <w:bCs/>
          <w:sz w:val="24"/>
          <w:szCs w:val="24"/>
        </w:rPr>
      </w:pPr>
    </w:p>
    <w:p w:rsidR="00D22801" w:rsidRDefault="00D22801" w:rsidP="00EE079E">
      <w:pPr>
        <w:spacing w:after="0"/>
        <w:ind w:left="720" w:right="590"/>
        <w:jc w:val="both"/>
        <w:rPr>
          <w:rFonts w:ascii="Arial" w:hAnsi="Arial" w:cs="Arial"/>
          <w:bCs/>
          <w:sz w:val="24"/>
          <w:szCs w:val="24"/>
        </w:rPr>
      </w:pPr>
    </w:p>
    <w:p w:rsidR="00D22801" w:rsidRDefault="00D22801" w:rsidP="00EE079E">
      <w:pPr>
        <w:spacing w:after="0"/>
        <w:ind w:left="720" w:right="590"/>
        <w:jc w:val="both"/>
        <w:rPr>
          <w:rFonts w:ascii="Arial" w:hAnsi="Arial" w:cs="Arial"/>
          <w:bCs/>
          <w:sz w:val="24"/>
          <w:szCs w:val="24"/>
        </w:rPr>
      </w:pPr>
    </w:p>
    <w:p w:rsidR="00D22801" w:rsidRDefault="00D22801" w:rsidP="00EE079E">
      <w:pPr>
        <w:spacing w:after="0"/>
        <w:ind w:left="720" w:right="590"/>
        <w:jc w:val="both"/>
        <w:rPr>
          <w:rFonts w:ascii="Arial" w:hAnsi="Arial" w:cs="Arial"/>
          <w:bCs/>
          <w:sz w:val="24"/>
          <w:szCs w:val="24"/>
        </w:rPr>
      </w:pPr>
    </w:p>
    <w:p w:rsidR="00D22801" w:rsidRPr="00EE079E" w:rsidRDefault="00D22801" w:rsidP="00EE079E">
      <w:pPr>
        <w:spacing w:after="0"/>
        <w:ind w:left="720" w:right="590"/>
        <w:jc w:val="both"/>
        <w:rPr>
          <w:rFonts w:ascii="Arial" w:hAnsi="Arial" w:cs="Arial"/>
          <w:bCs/>
          <w:sz w:val="24"/>
          <w:szCs w:val="24"/>
        </w:rPr>
      </w:pPr>
    </w:p>
    <w:p w:rsidR="00BA11FD" w:rsidRDefault="00BA11FD" w:rsidP="00EE079E">
      <w:pPr>
        <w:spacing w:after="0"/>
        <w:ind w:left="720" w:right="590"/>
        <w:jc w:val="both"/>
        <w:rPr>
          <w:rFonts w:ascii="Arial" w:hAnsi="Arial" w:cs="Arial"/>
          <w:b/>
          <w:bCs/>
          <w:sz w:val="24"/>
          <w:szCs w:val="24"/>
        </w:rPr>
      </w:pPr>
    </w:p>
    <w:p w:rsidR="001008B1" w:rsidRPr="009F6606" w:rsidRDefault="001008B1" w:rsidP="009F6606">
      <w:pPr>
        <w:pStyle w:val="ListeParagraf"/>
        <w:numPr>
          <w:ilvl w:val="0"/>
          <w:numId w:val="3"/>
        </w:numPr>
        <w:spacing w:after="0"/>
        <w:ind w:right="590"/>
        <w:jc w:val="both"/>
        <w:rPr>
          <w:rFonts w:ascii="Arial" w:hAnsi="Arial" w:cs="Arial"/>
          <w:b/>
          <w:bCs/>
          <w:sz w:val="24"/>
          <w:szCs w:val="24"/>
        </w:rPr>
      </w:pPr>
      <w:r w:rsidRPr="009F6606">
        <w:rPr>
          <w:rFonts w:ascii="Arial" w:hAnsi="Arial" w:cs="Arial"/>
          <w:b/>
          <w:bCs/>
          <w:sz w:val="24"/>
          <w:szCs w:val="24"/>
        </w:rPr>
        <w:lastRenderedPageBreak/>
        <w:t>Conclusion</w:t>
      </w:r>
    </w:p>
    <w:p w:rsidR="001008B1" w:rsidRPr="00EE079E" w:rsidRDefault="001008B1" w:rsidP="00EE079E">
      <w:pPr>
        <w:spacing w:after="0"/>
        <w:ind w:left="720" w:right="590"/>
        <w:jc w:val="both"/>
        <w:rPr>
          <w:rFonts w:ascii="Arial" w:hAnsi="Arial" w:cs="Arial"/>
          <w:b/>
          <w:bCs/>
          <w:sz w:val="24"/>
          <w:szCs w:val="24"/>
        </w:rPr>
      </w:pPr>
    </w:p>
    <w:p w:rsidR="003708C1" w:rsidRPr="00EE079E" w:rsidRDefault="001008B1" w:rsidP="00510892">
      <w:pPr>
        <w:spacing w:after="0"/>
        <w:ind w:right="590"/>
        <w:jc w:val="both"/>
        <w:rPr>
          <w:rFonts w:ascii="Arial" w:hAnsi="Arial" w:cs="Arial"/>
          <w:bCs/>
          <w:sz w:val="24"/>
          <w:szCs w:val="24"/>
        </w:rPr>
      </w:pPr>
      <w:r w:rsidRPr="00EE079E">
        <w:rPr>
          <w:rFonts w:ascii="Arial" w:hAnsi="Arial" w:cs="Arial"/>
          <w:bCs/>
          <w:sz w:val="24"/>
          <w:szCs w:val="24"/>
        </w:rPr>
        <w:t xml:space="preserve">International financial theory makes two important announcements regarding exchange rate fluctuations. First; when investors invest in securities in a foreign country, their profit is affected by the change of value of the security and the change of value of the currency the security is in. If a country’s national currency is expected to gain value, investors may volunteer to invest in that country’s securities in order to benefit from currency activities. </w:t>
      </w:r>
      <w:r w:rsidR="00776B50" w:rsidRPr="00EE079E">
        <w:rPr>
          <w:rFonts w:ascii="Arial" w:hAnsi="Arial" w:cs="Arial"/>
          <w:bCs/>
          <w:sz w:val="24"/>
          <w:szCs w:val="24"/>
        </w:rPr>
        <w:t>On the other hand, if the country’s national currency is expected to lose value, foreign investors may choose to buy securities from other countries, Madura, (2012). This theoretical explanation applies for Turkish securities markets. Nowadays, while the Turkish Lira is losing value rapidly, both domestic and foreign investors are abandoning securities investments and moving in the direction of getting out of the market. This situation is causing serious losses in Turkish stock market. Second, the loss of value of national currency makes the export products more competitive. Therefore the export income is expected to increase. This approach is also applies for Turkish Economy.</w:t>
      </w:r>
      <w:r w:rsidR="003708C1" w:rsidRPr="00EE079E">
        <w:rPr>
          <w:rFonts w:ascii="Arial" w:hAnsi="Arial" w:cs="Arial"/>
          <w:bCs/>
          <w:sz w:val="24"/>
          <w:szCs w:val="24"/>
        </w:rPr>
        <w:t xml:space="preserve"> </w:t>
      </w:r>
      <w:proofErr w:type="gramStart"/>
      <w:r w:rsidR="003708C1" w:rsidRPr="00EE079E">
        <w:rPr>
          <w:rFonts w:ascii="Arial" w:hAnsi="Arial" w:cs="Arial"/>
          <w:bCs/>
          <w:sz w:val="24"/>
          <w:szCs w:val="24"/>
        </w:rPr>
        <w:t>Because in the researched period</w:t>
      </w:r>
      <w:r w:rsidR="000669E7" w:rsidRPr="00EE079E">
        <w:rPr>
          <w:rFonts w:ascii="Arial" w:hAnsi="Arial" w:cs="Arial"/>
          <w:bCs/>
          <w:sz w:val="24"/>
          <w:szCs w:val="24"/>
        </w:rPr>
        <w:t>, export income of Turkey has</w:t>
      </w:r>
      <w:r w:rsidR="003708C1" w:rsidRPr="00EE079E">
        <w:rPr>
          <w:rFonts w:ascii="Arial" w:hAnsi="Arial" w:cs="Arial"/>
          <w:bCs/>
          <w:sz w:val="24"/>
          <w:szCs w:val="24"/>
        </w:rPr>
        <w:t xml:space="preserve"> increased significantly.</w:t>
      </w:r>
      <w:proofErr w:type="gramEnd"/>
      <w:r w:rsidR="003708C1" w:rsidRPr="00EE079E">
        <w:rPr>
          <w:rFonts w:ascii="Arial" w:hAnsi="Arial" w:cs="Arial"/>
          <w:bCs/>
          <w:sz w:val="24"/>
          <w:szCs w:val="24"/>
        </w:rPr>
        <w:t xml:space="preserve"> However, as Turkey’s import expenditures are more than its export income, it brings a risk of current deficit for the Turkish Economy. This situation is a structural problem for the Turkish Economy. It is not a problem that can be solved in a day.</w:t>
      </w:r>
    </w:p>
    <w:p w:rsidR="003708C1" w:rsidRPr="00EE079E" w:rsidRDefault="003708C1" w:rsidP="00EE079E">
      <w:pPr>
        <w:spacing w:after="0"/>
        <w:ind w:left="720" w:right="590"/>
        <w:jc w:val="both"/>
        <w:rPr>
          <w:rFonts w:ascii="Arial" w:hAnsi="Arial" w:cs="Arial"/>
          <w:bCs/>
          <w:sz w:val="24"/>
          <w:szCs w:val="24"/>
        </w:rPr>
      </w:pPr>
    </w:p>
    <w:p w:rsidR="003708C1" w:rsidRPr="00EE079E" w:rsidRDefault="003708C1" w:rsidP="00510892">
      <w:pPr>
        <w:spacing w:after="0"/>
        <w:ind w:right="590" w:firstLine="708"/>
        <w:jc w:val="both"/>
        <w:rPr>
          <w:rFonts w:ascii="Arial" w:hAnsi="Arial" w:cs="Arial"/>
          <w:bCs/>
          <w:sz w:val="24"/>
          <w:szCs w:val="24"/>
        </w:rPr>
      </w:pPr>
      <w:r w:rsidRPr="00EE079E">
        <w:rPr>
          <w:rFonts w:ascii="Arial" w:hAnsi="Arial" w:cs="Arial"/>
          <w:bCs/>
          <w:sz w:val="24"/>
          <w:szCs w:val="24"/>
        </w:rPr>
        <w:t>Changes in exchange rates also concerns corporations. Especially it affects the payment balance of corporations which trades internationally. Therefore, whether the company is exporting or importing, increases or decreases in the exchange rates will affect both the cash flow and market value of the corporation. This is obvious.</w:t>
      </w:r>
    </w:p>
    <w:p w:rsidR="003708C1" w:rsidRPr="00EE079E" w:rsidRDefault="003708C1" w:rsidP="00EE079E">
      <w:pPr>
        <w:spacing w:after="0"/>
        <w:ind w:left="720" w:right="590"/>
        <w:jc w:val="both"/>
        <w:rPr>
          <w:rFonts w:ascii="Arial" w:hAnsi="Arial" w:cs="Arial"/>
          <w:bCs/>
          <w:sz w:val="24"/>
          <w:szCs w:val="24"/>
        </w:rPr>
      </w:pPr>
    </w:p>
    <w:p w:rsidR="003708C1" w:rsidRPr="00EE079E" w:rsidRDefault="003708C1" w:rsidP="00510892">
      <w:pPr>
        <w:spacing w:after="0"/>
        <w:ind w:right="590" w:firstLine="708"/>
        <w:jc w:val="both"/>
        <w:rPr>
          <w:rFonts w:ascii="Arial" w:hAnsi="Arial" w:cs="Arial"/>
          <w:bCs/>
          <w:sz w:val="24"/>
          <w:szCs w:val="24"/>
        </w:rPr>
      </w:pPr>
      <w:r w:rsidRPr="00EE079E">
        <w:rPr>
          <w:rFonts w:ascii="Arial" w:hAnsi="Arial" w:cs="Arial"/>
          <w:bCs/>
          <w:sz w:val="24"/>
          <w:szCs w:val="24"/>
        </w:rPr>
        <w:t>When looked at, the results of the study show a significant long term relationship between BIST 100 and exchange rate changes</w:t>
      </w:r>
      <w:r w:rsidR="00A54590" w:rsidRPr="00EE079E">
        <w:rPr>
          <w:rFonts w:ascii="Arial" w:hAnsi="Arial" w:cs="Arial"/>
          <w:bCs/>
          <w:sz w:val="24"/>
          <w:szCs w:val="24"/>
        </w:rPr>
        <w:t>. The effect can be seen even more clearly especially when evaluated from the angle of foreign currencies which have a high ratio in foreign currency composition. On the other hand, every foreign currency may have a different effect on the stock market index. Again, it can be said that there are currencies with no significant effects to stock market index. In conclusion the foreign exchange markets are a subject to be followed closely.</w:t>
      </w:r>
    </w:p>
    <w:p w:rsidR="00510892" w:rsidRDefault="00510892" w:rsidP="00D34364">
      <w:pPr>
        <w:spacing w:after="0" w:line="240" w:lineRule="auto"/>
        <w:jc w:val="both"/>
        <w:rPr>
          <w:rFonts w:ascii="Times New Roman" w:hAnsi="Times New Roman"/>
          <w:bCs/>
          <w:sz w:val="24"/>
          <w:szCs w:val="24"/>
        </w:rPr>
      </w:pPr>
    </w:p>
    <w:p w:rsidR="00BB7F25" w:rsidRDefault="00BB7F25" w:rsidP="00D34364">
      <w:pPr>
        <w:spacing w:after="0" w:line="240" w:lineRule="auto"/>
        <w:jc w:val="both"/>
        <w:rPr>
          <w:rFonts w:ascii="Arial" w:hAnsi="Arial" w:cs="Arial"/>
          <w:b/>
          <w:sz w:val="24"/>
          <w:szCs w:val="24"/>
        </w:rPr>
      </w:pPr>
    </w:p>
    <w:p w:rsidR="00BB7F25" w:rsidRPr="00BB7F25" w:rsidRDefault="00BB7F25" w:rsidP="00BB7F25">
      <w:pPr>
        <w:spacing w:after="0" w:line="240" w:lineRule="auto"/>
        <w:jc w:val="both"/>
        <w:rPr>
          <w:rFonts w:ascii="Arial" w:hAnsi="Arial" w:cs="Arial"/>
          <w:b/>
          <w:sz w:val="24"/>
          <w:szCs w:val="24"/>
        </w:rPr>
      </w:pPr>
      <w:r w:rsidRPr="00BB7F25">
        <w:rPr>
          <w:rFonts w:ascii="Arial" w:hAnsi="Arial" w:cs="Arial"/>
          <w:b/>
          <w:sz w:val="24"/>
          <w:szCs w:val="24"/>
        </w:rPr>
        <w:t>Acknowledgement</w:t>
      </w:r>
    </w:p>
    <w:p w:rsidR="00BB7F25" w:rsidRPr="00BB7F25" w:rsidRDefault="00BB7F25" w:rsidP="00BB7F25">
      <w:pPr>
        <w:spacing w:after="0" w:line="240" w:lineRule="auto"/>
        <w:jc w:val="both"/>
        <w:rPr>
          <w:rFonts w:ascii="Arial" w:hAnsi="Arial" w:cs="Arial"/>
          <w:sz w:val="24"/>
          <w:szCs w:val="24"/>
        </w:rPr>
      </w:pPr>
      <w:r>
        <w:rPr>
          <w:rFonts w:ascii="Arial" w:hAnsi="Arial" w:cs="Arial"/>
          <w:sz w:val="24"/>
          <w:szCs w:val="24"/>
        </w:rPr>
        <w:t>This survey was presented</w:t>
      </w:r>
      <w:r w:rsidRPr="00BB7F25">
        <w:t xml:space="preserve"> </w:t>
      </w:r>
      <w:r w:rsidRPr="00BB7F25">
        <w:rPr>
          <w:rFonts w:ascii="Arial" w:hAnsi="Arial" w:cs="Arial"/>
          <w:sz w:val="24"/>
          <w:szCs w:val="24"/>
        </w:rPr>
        <w:t>World Business and Soc</w:t>
      </w:r>
      <w:r>
        <w:rPr>
          <w:rFonts w:ascii="Arial" w:hAnsi="Arial" w:cs="Arial"/>
          <w:sz w:val="24"/>
          <w:szCs w:val="24"/>
        </w:rPr>
        <w:t xml:space="preserve">ial Science Research Conference DATES: 14 – 16 </w:t>
      </w:r>
      <w:proofErr w:type="gramStart"/>
      <w:r>
        <w:rPr>
          <w:rFonts w:ascii="Arial" w:hAnsi="Arial" w:cs="Arial"/>
          <w:sz w:val="24"/>
          <w:szCs w:val="24"/>
        </w:rPr>
        <w:t>April  2014</w:t>
      </w:r>
      <w:proofErr w:type="gramEnd"/>
      <w:r>
        <w:rPr>
          <w:rFonts w:ascii="Arial" w:hAnsi="Arial" w:cs="Arial"/>
          <w:sz w:val="24"/>
          <w:szCs w:val="24"/>
        </w:rPr>
        <w:t xml:space="preserve">   </w:t>
      </w:r>
      <w:r w:rsidRPr="00BB7F25">
        <w:rPr>
          <w:rFonts w:ascii="Arial" w:hAnsi="Arial" w:cs="Arial"/>
          <w:sz w:val="24"/>
          <w:szCs w:val="24"/>
        </w:rPr>
        <w:t>Paris, France</w:t>
      </w:r>
      <w:r>
        <w:rPr>
          <w:rFonts w:ascii="Arial" w:hAnsi="Arial" w:cs="Arial"/>
          <w:sz w:val="24"/>
          <w:szCs w:val="24"/>
        </w:rPr>
        <w:t>.</w:t>
      </w:r>
      <w:bookmarkStart w:id="0" w:name="_GoBack"/>
      <w:bookmarkEnd w:id="0"/>
    </w:p>
    <w:p w:rsidR="00BB7F25" w:rsidRDefault="00BB7F25" w:rsidP="00D34364">
      <w:pPr>
        <w:spacing w:after="0" w:line="240" w:lineRule="auto"/>
        <w:jc w:val="both"/>
        <w:rPr>
          <w:rFonts w:ascii="Arial" w:hAnsi="Arial" w:cs="Arial"/>
          <w:b/>
          <w:sz w:val="24"/>
          <w:szCs w:val="24"/>
        </w:rPr>
      </w:pPr>
    </w:p>
    <w:p w:rsidR="00BB7F25" w:rsidRDefault="00BB7F25" w:rsidP="00D34364">
      <w:pPr>
        <w:spacing w:after="0" w:line="240" w:lineRule="auto"/>
        <w:jc w:val="both"/>
        <w:rPr>
          <w:rFonts w:ascii="Arial" w:hAnsi="Arial" w:cs="Arial"/>
          <w:b/>
          <w:sz w:val="24"/>
          <w:szCs w:val="24"/>
        </w:rPr>
      </w:pPr>
    </w:p>
    <w:p w:rsidR="00BB7F25" w:rsidRDefault="00BB7F25" w:rsidP="00D34364">
      <w:pPr>
        <w:spacing w:after="0" w:line="240" w:lineRule="auto"/>
        <w:jc w:val="both"/>
        <w:rPr>
          <w:rFonts w:ascii="Arial" w:hAnsi="Arial" w:cs="Arial"/>
          <w:b/>
          <w:sz w:val="24"/>
          <w:szCs w:val="24"/>
        </w:rPr>
      </w:pPr>
    </w:p>
    <w:p w:rsidR="00D34364" w:rsidRPr="00EE079E" w:rsidRDefault="00D34364" w:rsidP="00D34364">
      <w:pPr>
        <w:spacing w:after="0" w:line="240" w:lineRule="auto"/>
        <w:jc w:val="both"/>
        <w:rPr>
          <w:rFonts w:ascii="Arial" w:hAnsi="Arial" w:cs="Arial"/>
          <w:b/>
          <w:sz w:val="24"/>
          <w:szCs w:val="24"/>
        </w:rPr>
      </w:pPr>
      <w:r w:rsidRPr="00EE079E">
        <w:rPr>
          <w:rFonts w:ascii="Arial" w:hAnsi="Arial" w:cs="Arial"/>
          <w:b/>
          <w:sz w:val="24"/>
          <w:szCs w:val="24"/>
        </w:rPr>
        <w:lastRenderedPageBreak/>
        <w:t>References</w:t>
      </w:r>
    </w:p>
    <w:p w:rsidR="00D34364" w:rsidRPr="00EE079E" w:rsidRDefault="00D34364" w:rsidP="00D34364">
      <w:pPr>
        <w:spacing w:after="0" w:line="240" w:lineRule="auto"/>
        <w:ind w:firstLine="708"/>
        <w:jc w:val="both"/>
        <w:rPr>
          <w:rFonts w:ascii="Arial" w:hAnsi="Arial" w:cs="Arial"/>
          <w:sz w:val="24"/>
          <w:szCs w:val="24"/>
        </w:rPr>
      </w:pPr>
    </w:p>
    <w:p w:rsidR="00D34364" w:rsidRPr="006E328E" w:rsidRDefault="00D34364" w:rsidP="00D34364">
      <w:pPr>
        <w:spacing w:after="0" w:line="240" w:lineRule="auto"/>
        <w:jc w:val="both"/>
        <w:rPr>
          <w:rFonts w:ascii="Arial" w:hAnsi="Arial" w:cs="Arial"/>
          <w:b/>
          <w:sz w:val="24"/>
          <w:szCs w:val="24"/>
        </w:rPr>
      </w:pPr>
      <w:r w:rsidRPr="00EE079E">
        <w:rPr>
          <w:rFonts w:ascii="Arial" w:hAnsi="Arial" w:cs="Arial"/>
          <w:sz w:val="24"/>
          <w:szCs w:val="24"/>
        </w:rPr>
        <w:t>Aggarwal, R. (1981)</w:t>
      </w:r>
      <w:r w:rsidR="006D3BB9">
        <w:rPr>
          <w:rFonts w:ascii="Arial" w:hAnsi="Arial" w:cs="Arial"/>
          <w:sz w:val="24"/>
          <w:szCs w:val="24"/>
        </w:rPr>
        <w:t>.</w:t>
      </w:r>
      <w:r w:rsidR="006E328E" w:rsidRPr="00EE079E">
        <w:rPr>
          <w:rFonts w:ascii="Arial" w:hAnsi="Arial" w:cs="Arial"/>
          <w:sz w:val="24"/>
          <w:szCs w:val="24"/>
        </w:rPr>
        <w:t xml:space="preserve"> “</w:t>
      </w:r>
      <w:r w:rsidRPr="00EE079E">
        <w:rPr>
          <w:rFonts w:ascii="Arial" w:hAnsi="Arial" w:cs="Arial"/>
          <w:sz w:val="24"/>
          <w:szCs w:val="24"/>
        </w:rPr>
        <w:t>Exchange Rates and Stock Prices: A Study of the US Capital Markets under Floating Exchange Rates</w:t>
      </w:r>
      <w:r w:rsidR="006D3BB9">
        <w:rPr>
          <w:rFonts w:ascii="Arial" w:hAnsi="Arial" w:cs="Arial"/>
          <w:sz w:val="24"/>
          <w:szCs w:val="24"/>
        </w:rPr>
        <w:t xml:space="preserve">”, </w:t>
      </w:r>
      <w:r w:rsidRPr="00EE079E">
        <w:rPr>
          <w:rFonts w:ascii="Arial" w:hAnsi="Arial" w:cs="Arial"/>
          <w:i/>
          <w:sz w:val="24"/>
          <w:szCs w:val="24"/>
        </w:rPr>
        <w:t>Akron Business and Economic Review</w:t>
      </w:r>
      <w:r w:rsidRPr="00EE079E">
        <w:rPr>
          <w:rFonts w:ascii="Arial" w:hAnsi="Arial" w:cs="Arial"/>
          <w:sz w:val="24"/>
          <w:szCs w:val="24"/>
        </w:rPr>
        <w:t>, 7-12.</w:t>
      </w:r>
    </w:p>
    <w:p w:rsidR="00D34364" w:rsidRPr="00EE079E" w:rsidRDefault="00D34364" w:rsidP="00D34364">
      <w:pPr>
        <w:spacing w:after="0" w:line="240" w:lineRule="auto"/>
        <w:jc w:val="both"/>
        <w:rPr>
          <w:rFonts w:ascii="Arial" w:hAnsi="Arial" w:cs="Arial"/>
          <w:sz w:val="24"/>
          <w:szCs w:val="24"/>
        </w:rPr>
      </w:pPr>
      <w:proofErr w:type="spellStart"/>
      <w:proofErr w:type="gramStart"/>
      <w:r w:rsidRPr="00EE079E">
        <w:rPr>
          <w:rFonts w:ascii="Arial" w:hAnsi="Arial" w:cs="Arial"/>
          <w:sz w:val="24"/>
          <w:szCs w:val="24"/>
        </w:rPr>
        <w:t>Ajayi</w:t>
      </w:r>
      <w:proofErr w:type="spellEnd"/>
      <w:r w:rsidR="006D3BB9">
        <w:rPr>
          <w:rFonts w:ascii="Arial" w:hAnsi="Arial" w:cs="Arial"/>
          <w:sz w:val="24"/>
          <w:szCs w:val="24"/>
        </w:rPr>
        <w:t xml:space="preserve">, R. A., </w:t>
      </w:r>
      <w:proofErr w:type="spellStart"/>
      <w:r w:rsidR="006D3BB9">
        <w:rPr>
          <w:rFonts w:ascii="Arial" w:hAnsi="Arial" w:cs="Arial"/>
          <w:sz w:val="24"/>
          <w:szCs w:val="24"/>
        </w:rPr>
        <w:t>Mougoue</w:t>
      </w:r>
      <w:proofErr w:type="spellEnd"/>
      <w:r w:rsidR="006D3BB9">
        <w:rPr>
          <w:rFonts w:ascii="Arial" w:hAnsi="Arial" w:cs="Arial"/>
          <w:sz w:val="24"/>
          <w:szCs w:val="24"/>
        </w:rPr>
        <w:t>, M. (1996).</w:t>
      </w:r>
      <w:proofErr w:type="gramEnd"/>
      <w:r w:rsidRPr="00EE079E">
        <w:rPr>
          <w:rFonts w:ascii="Arial" w:hAnsi="Arial" w:cs="Arial"/>
          <w:sz w:val="24"/>
          <w:szCs w:val="24"/>
        </w:rPr>
        <w:t xml:space="preserve"> </w:t>
      </w:r>
      <w:r w:rsidR="006D3BB9">
        <w:rPr>
          <w:rFonts w:ascii="Arial" w:hAnsi="Arial" w:cs="Arial"/>
          <w:sz w:val="24"/>
          <w:szCs w:val="24"/>
        </w:rPr>
        <w:t>“</w:t>
      </w:r>
      <w:r w:rsidRPr="00EE079E">
        <w:rPr>
          <w:rFonts w:ascii="Arial" w:hAnsi="Arial" w:cs="Arial"/>
          <w:sz w:val="24"/>
          <w:szCs w:val="24"/>
        </w:rPr>
        <w:t>On the Dynamic Relation between Stock Prices and Exchange Rates</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The Journal of Financial Research</w:t>
      </w:r>
      <w:r w:rsidRPr="00EE079E">
        <w:rPr>
          <w:rFonts w:ascii="Arial" w:hAnsi="Arial" w:cs="Arial"/>
          <w:sz w:val="24"/>
          <w:szCs w:val="24"/>
        </w:rPr>
        <w:t>, 19, 193-207.</w:t>
      </w:r>
    </w:p>
    <w:p w:rsidR="00D22801" w:rsidRDefault="00D22801"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proofErr w:type="gramStart"/>
      <w:r w:rsidRPr="00EE079E">
        <w:rPr>
          <w:rFonts w:ascii="Arial" w:hAnsi="Arial" w:cs="Arial"/>
          <w:sz w:val="24"/>
          <w:szCs w:val="24"/>
        </w:rPr>
        <w:t>Atan</w:t>
      </w:r>
      <w:proofErr w:type="spellEnd"/>
      <w:r w:rsidRPr="00EE079E">
        <w:rPr>
          <w:rFonts w:ascii="Arial" w:hAnsi="Arial" w:cs="Arial"/>
          <w:sz w:val="24"/>
          <w:szCs w:val="24"/>
        </w:rPr>
        <w:t>, M. (2002).</w:t>
      </w:r>
      <w:proofErr w:type="gramEnd"/>
      <w:r w:rsidRPr="00EE079E">
        <w:rPr>
          <w:rFonts w:ascii="Arial" w:hAnsi="Arial" w:cs="Arial"/>
          <w:sz w:val="24"/>
          <w:szCs w:val="24"/>
        </w:rPr>
        <w:t xml:space="preserve"> </w:t>
      </w:r>
      <w:proofErr w:type="gramStart"/>
      <w:r w:rsidR="006D3BB9">
        <w:rPr>
          <w:rFonts w:ascii="Arial" w:hAnsi="Arial" w:cs="Arial"/>
          <w:sz w:val="24"/>
          <w:szCs w:val="24"/>
        </w:rPr>
        <w:t>“</w:t>
      </w:r>
      <w:r w:rsidRPr="00EE079E">
        <w:rPr>
          <w:rFonts w:ascii="Arial" w:hAnsi="Arial" w:cs="Arial"/>
          <w:sz w:val="24"/>
          <w:szCs w:val="24"/>
        </w:rPr>
        <w:t>Econometrics Lecture Notes.</w:t>
      </w:r>
      <w:proofErr w:type="gramEnd"/>
      <w:r w:rsidRPr="00EE079E">
        <w:rPr>
          <w:rFonts w:ascii="Arial" w:hAnsi="Arial" w:cs="Arial"/>
          <w:sz w:val="24"/>
          <w:szCs w:val="24"/>
        </w:rPr>
        <w:t xml:space="preserve"> </w:t>
      </w:r>
      <w:proofErr w:type="gramStart"/>
      <w:r w:rsidR="006E328E" w:rsidRPr="00EE079E">
        <w:rPr>
          <w:rFonts w:ascii="Arial" w:hAnsi="Arial" w:cs="Arial"/>
          <w:i/>
          <w:sz w:val="24"/>
          <w:szCs w:val="24"/>
        </w:rPr>
        <w:t>Department</w:t>
      </w:r>
      <w:r w:rsidRPr="00EE079E">
        <w:rPr>
          <w:rFonts w:ascii="Arial" w:hAnsi="Arial" w:cs="Arial"/>
          <w:i/>
          <w:sz w:val="24"/>
          <w:szCs w:val="24"/>
        </w:rPr>
        <w:t xml:space="preserve"> of Econometrics</w:t>
      </w:r>
      <w:r w:rsidR="006D3BB9">
        <w:rPr>
          <w:rFonts w:ascii="Arial" w:hAnsi="Arial" w:cs="Arial"/>
          <w:sz w:val="24"/>
          <w:szCs w:val="24"/>
        </w:rPr>
        <w:t>”,</w:t>
      </w:r>
      <w:r w:rsidRPr="00EE079E">
        <w:rPr>
          <w:rFonts w:ascii="Arial" w:hAnsi="Arial" w:cs="Arial"/>
          <w:sz w:val="24"/>
          <w:szCs w:val="24"/>
        </w:rPr>
        <w:t xml:space="preserve"> </w:t>
      </w:r>
      <w:proofErr w:type="spellStart"/>
      <w:r w:rsidRPr="00EE079E">
        <w:rPr>
          <w:rFonts w:ascii="Arial" w:hAnsi="Arial" w:cs="Arial"/>
          <w:i/>
          <w:sz w:val="24"/>
          <w:szCs w:val="24"/>
        </w:rPr>
        <w:t>Gazi</w:t>
      </w:r>
      <w:proofErr w:type="spellEnd"/>
      <w:r w:rsidRPr="00EE079E">
        <w:rPr>
          <w:rFonts w:ascii="Arial" w:hAnsi="Arial" w:cs="Arial"/>
          <w:i/>
          <w:sz w:val="24"/>
          <w:szCs w:val="24"/>
        </w:rPr>
        <w:t xml:space="preserve"> University</w:t>
      </w:r>
      <w:r w:rsidRPr="00EE079E">
        <w:rPr>
          <w:rFonts w:ascii="Arial" w:hAnsi="Arial" w:cs="Arial"/>
          <w:sz w:val="24"/>
          <w:szCs w:val="24"/>
        </w:rPr>
        <w:t>, Ankara – Turkey.</w:t>
      </w:r>
      <w:proofErr w:type="gramEnd"/>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Bahmani</w:t>
      </w:r>
      <w:proofErr w:type="spellEnd"/>
      <w:r w:rsidRPr="00EE079E">
        <w:rPr>
          <w:rFonts w:ascii="Arial" w:hAnsi="Arial" w:cs="Arial"/>
          <w:sz w:val="24"/>
          <w:szCs w:val="24"/>
        </w:rPr>
        <w:t xml:space="preserve"> – </w:t>
      </w:r>
      <w:proofErr w:type="spellStart"/>
      <w:proofErr w:type="gramStart"/>
      <w:r w:rsidRPr="00EE079E">
        <w:rPr>
          <w:rFonts w:ascii="Arial" w:hAnsi="Arial" w:cs="Arial"/>
          <w:sz w:val="24"/>
          <w:szCs w:val="24"/>
        </w:rPr>
        <w:t>Oskooee</w:t>
      </w:r>
      <w:proofErr w:type="spellEnd"/>
      <w:r w:rsidRPr="00EE079E">
        <w:rPr>
          <w:rFonts w:ascii="Arial" w:hAnsi="Arial" w:cs="Arial"/>
          <w:sz w:val="24"/>
          <w:szCs w:val="24"/>
        </w:rPr>
        <w:t>.,</w:t>
      </w:r>
      <w:proofErr w:type="gramEnd"/>
      <w:r w:rsidRPr="00EE079E">
        <w:rPr>
          <w:rFonts w:ascii="Arial" w:hAnsi="Arial" w:cs="Arial"/>
          <w:sz w:val="24"/>
          <w:szCs w:val="24"/>
        </w:rPr>
        <w:t xml:space="preserve"> </w:t>
      </w:r>
      <w:proofErr w:type="spellStart"/>
      <w:r w:rsidRPr="00EE079E">
        <w:rPr>
          <w:rFonts w:ascii="Arial" w:hAnsi="Arial" w:cs="Arial"/>
          <w:sz w:val="24"/>
          <w:szCs w:val="24"/>
        </w:rPr>
        <w:t>Sohrabian</w:t>
      </w:r>
      <w:proofErr w:type="spellEnd"/>
      <w:r w:rsidRPr="00EE079E">
        <w:rPr>
          <w:rFonts w:ascii="Arial" w:hAnsi="Arial" w:cs="Arial"/>
          <w:sz w:val="24"/>
          <w:szCs w:val="24"/>
        </w:rPr>
        <w:t xml:space="preserve">, M.  </w:t>
      </w:r>
      <w:proofErr w:type="gramStart"/>
      <w:r w:rsidRPr="00EE079E">
        <w:rPr>
          <w:rFonts w:ascii="Arial" w:hAnsi="Arial" w:cs="Arial"/>
          <w:sz w:val="24"/>
          <w:szCs w:val="24"/>
        </w:rPr>
        <w:t>A. (1992).</w:t>
      </w:r>
      <w:proofErr w:type="gramEnd"/>
      <w:r w:rsidRPr="00EE079E">
        <w:rPr>
          <w:rFonts w:ascii="Arial" w:hAnsi="Arial" w:cs="Arial"/>
          <w:sz w:val="24"/>
          <w:szCs w:val="24"/>
        </w:rPr>
        <w:t xml:space="preserve"> </w:t>
      </w:r>
      <w:r w:rsidR="006D3BB9">
        <w:rPr>
          <w:rFonts w:ascii="Arial" w:hAnsi="Arial" w:cs="Arial"/>
          <w:sz w:val="24"/>
          <w:szCs w:val="24"/>
        </w:rPr>
        <w:t>“</w:t>
      </w:r>
      <w:r w:rsidRPr="00EE079E">
        <w:rPr>
          <w:rFonts w:ascii="Arial" w:hAnsi="Arial" w:cs="Arial"/>
          <w:sz w:val="24"/>
          <w:szCs w:val="24"/>
        </w:rPr>
        <w:t>Stock Prices and the Effective Exchange Rate of the Dollar</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Applied Economics</w:t>
      </w:r>
      <w:r w:rsidRPr="00EE079E">
        <w:rPr>
          <w:rFonts w:ascii="Arial" w:hAnsi="Arial" w:cs="Arial"/>
          <w:sz w:val="24"/>
          <w:szCs w:val="24"/>
        </w:rPr>
        <w:t>, 24, 459-464.</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r w:rsidRPr="00EE079E">
        <w:rPr>
          <w:rFonts w:ascii="Arial" w:hAnsi="Arial" w:cs="Arial"/>
          <w:sz w:val="24"/>
          <w:szCs w:val="24"/>
        </w:rPr>
        <w:t xml:space="preserve">Benjamin M. T. (2006). </w:t>
      </w:r>
      <w:r w:rsidR="006D3BB9">
        <w:rPr>
          <w:rFonts w:ascii="Arial" w:hAnsi="Arial" w:cs="Arial"/>
          <w:sz w:val="24"/>
          <w:szCs w:val="24"/>
        </w:rPr>
        <w:t>“</w:t>
      </w:r>
      <w:r w:rsidRPr="00EE079E">
        <w:rPr>
          <w:rFonts w:ascii="Arial" w:hAnsi="Arial" w:cs="Arial"/>
          <w:sz w:val="24"/>
          <w:szCs w:val="24"/>
        </w:rPr>
        <w:t xml:space="preserve">The Dynamic Relationship </w:t>
      </w:r>
      <w:proofErr w:type="spellStart"/>
      <w:r w:rsidRPr="00EE079E">
        <w:rPr>
          <w:rFonts w:ascii="Arial" w:hAnsi="Arial" w:cs="Arial"/>
          <w:sz w:val="24"/>
          <w:szCs w:val="24"/>
        </w:rPr>
        <w:t>betweem</w:t>
      </w:r>
      <w:proofErr w:type="spellEnd"/>
      <w:r w:rsidRPr="00EE079E">
        <w:rPr>
          <w:rFonts w:ascii="Arial" w:hAnsi="Arial" w:cs="Arial"/>
          <w:sz w:val="24"/>
          <w:szCs w:val="24"/>
        </w:rPr>
        <w:t xml:space="preserve"> Stock Prices and Exchange Rates: Evidence for </w:t>
      </w:r>
      <w:proofErr w:type="spellStart"/>
      <w:r w:rsidRPr="00EE079E">
        <w:rPr>
          <w:rFonts w:ascii="Arial" w:hAnsi="Arial" w:cs="Arial"/>
          <w:sz w:val="24"/>
          <w:szCs w:val="24"/>
        </w:rPr>
        <w:t>Brasil</w:t>
      </w:r>
      <w:proofErr w:type="spellEnd"/>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Working Paper Series</w:t>
      </w:r>
      <w:r w:rsidRPr="00EE079E">
        <w:rPr>
          <w:rFonts w:ascii="Arial" w:hAnsi="Arial" w:cs="Arial"/>
          <w:sz w:val="24"/>
          <w:szCs w:val="24"/>
        </w:rPr>
        <w:t>, 124</w:t>
      </w:r>
      <w:proofErr w:type="gramStart"/>
      <w:r w:rsidRPr="00EE079E">
        <w:rPr>
          <w:rFonts w:ascii="Arial" w:hAnsi="Arial" w:cs="Arial"/>
          <w:sz w:val="24"/>
          <w:szCs w:val="24"/>
        </w:rPr>
        <w:t>,1</w:t>
      </w:r>
      <w:proofErr w:type="gramEnd"/>
      <w:r w:rsidRPr="00EE079E">
        <w:rPr>
          <w:rFonts w:ascii="Arial" w:hAnsi="Arial" w:cs="Arial"/>
          <w:sz w:val="24"/>
          <w:szCs w:val="24"/>
        </w:rPr>
        <w:t>-38.</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gramStart"/>
      <w:r w:rsidRPr="00EE079E">
        <w:rPr>
          <w:rFonts w:ascii="Arial" w:hAnsi="Arial" w:cs="Arial"/>
          <w:sz w:val="24"/>
          <w:szCs w:val="24"/>
        </w:rPr>
        <w:t xml:space="preserve">Bhattacharya, B., </w:t>
      </w:r>
      <w:proofErr w:type="spellStart"/>
      <w:r w:rsidRPr="00EE079E">
        <w:rPr>
          <w:rFonts w:ascii="Arial" w:hAnsi="Arial" w:cs="Arial"/>
          <w:sz w:val="24"/>
          <w:szCs w:val="24"/>
        </w:rPr>
        <w:t>Jaydeep</w:t>
      </w:r>
      <w:proofErr w:type="spellEnd"/>
      <w:r w:rsidRPr="00EE079E">
        <w:rPr>
          <w:rFonts w:ascii="Arial" w:hAnsi="Arial" w:cs="Arial"/>
          <w:sz w:val="24"/>
          <w:szCs w:val="24"/>
        </w:rPr>
        <w:t>, M. (2001).</w:t>
      </w:r>
      <w:proofErr w:type="gramEnd"/>
      <w:r w:rsidRPr="00EE079E">
        <w:rPr>
          <w:rFonts w:ascii="Arial" w:hAnsi="Arial" w:cs="Arial"/>
          <w:sz w:val="24"/>
          <w:szCs w:val="24"/>
        </w:rPr>
        <w:t xml:space="preserve"> </w:t>
      </w:r>
      <w:r w:rsidR="006D3BB9">
        <w:rPr>
          <w:rFonts w:ascii="Arial" w:hAnsi="Arial" w:cs="Arial"/>
          <w:sz w:val="24"/>
          <w:szCs w:val="24"/>
        </w:rPr>
        <w:t>“</w:t>
      </w:r>
      <w:r w:rsidRPr="00EE079E">
        <w:rPr>
          <w:rFonts w:ascii="Arial" w:hAnsi="Arial" w:cs="Arial"/>
          <w:sz w:val="24"/>
          <w:szCs w:val="24"/>
        </w:rPr>
        <w:t>Causal Relationship Between Stock Market and Exchange Rate, Foreign Exchange Reserves and Value of Trade Balance: A Case Study for India</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 xml:space="preserve">Akron </w:t>
      </w:r>
      <w:proofErr w:type="spellStart"/>
      <w:r w:rsidRPr="00EE079E">
        <w:rPr>
          <w:rFonts w:ascii="Arial" w:hAnsi="Arial" w:cs="Arial"/>
          <w:i/>
          <w:sz w:val="24"/>
          <w:szCs w:val="24"/>
        </w:rPr>
        <w:t>Bisiness</w:t>
      </w:r>
      <w:proofErr w:type="spellEnd"/>
      <w:r w:rsidRPr="00EE079E">
        <w:rPr>
          <w:rFonts w:ascii="Arial" w:hAnsi="Arial" w:cs="Arial"/>
          <w:i/>
          <w:sz w:val="24"/>
          <w:szCs w:val="24"/>
        </w:rPr>
        <w:t xml:space="preserve"> and Economic Review</w:t>
      </w:r>
      <w:r w:rsidRPr="00EE079E">
        <w:rPr>
          <w:rFonts w:ascii="Arial" w:hAnsi="Arial" w:cs="Arial"/>
          <w:sz w:val="24"/>
          <w:szCs w:val="24"/>
        </w:rPr>
        <w:t xml:space="preserve">, 12, 7-12. </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gramStart"/>
      <w:r w:rsidRPr="00EE079E">
        <w:rPr>
          <w:rFonts w:ascii="Arial" w:hAnsi="Arial" w:cs="Arial"/>
          <w:sz w:val="24"/>
          <w:szCs w:val="24"/>
        </w:rPr>
        <w:t xml:space="preserve">Branson, W., </w:t>
      </w:r>
      <w:proofErr w:type="spellStart"/>
      <w:r w:rsidRPr="00EE079E">
        <w:rPr>
          <w:rFonts w:ascii="Arial" w:hAnsi="Arial" w:cs="Arial"/>
          <w:sz w:val="24"/>
          <w:szCs w:val="24"/>
        </w:rPr>
        <w:t>Halttunen</w:t>
      </w:r>
      <w:proofErr w:type="spellEnd"/>
      <w:r w:rsidRPr="00EE079E">
        <w:rPr>
          <w:rFonts w:ascii="Arial" w:hAnsi="Arial" w:cs="Arial"/>
          <w:sz w:val="24"/>
          <w:szCs w:val="24"/>
        </w:rPr>
        <w:t>, H., Masson, P. (1977).</w:t>
      </w:r>
      <w:proofErr w:type="gramEnd"/>
      <w:r w:rsidRPr="00EE079E">
        <w:rPr>
          <w:rFonts w:ascii="Arial" w:hAnsi="Arial" w:cs="Arial"/>
          <w:sz w:val="24"/>
          <w:szCs w:val="24"/>
        </w:rPr>
        <w:t xml:space="preserve"> </w:t>
      </w:r>
      <w:r w:rsidR="006D3BB9">
        <w:rPr>
          <w:rFonts w:ascii="Arial" w:hAnsi="Arial" w:cs="Arial"/>
          <w:sz w:val="24"/>
          <w:szCs w:val="24"/>
        </w:rPr>
        <w:t>“</w:t>
      </w:r>
      <w:r w:rsidRPr="00EE079E">
        <w:rPr>
          <w:rFonts w:ascii="Arial" w:hAnsi="Arial" w:cs="Arial"/>
          <w:sz w:val="24"/>
          <w:szCs w:val="24"/>
        </w:rPr>
        <w:t>Exchange Rate in the Short Run: The Dollar Deutsche Mark Rate</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European Economic Review</w:t>
      </w:r>
      <w:r w:rsidRPr="00EE079E">
        <w:rPr>
          <w:rFonts w:ascii="Arial" w:hAnsi="Arial" w:cs="Arial"/>
          <w:sz w:val="24"/>
          <w:szCs w:val="24"/>
        </w:rPr>
        <w:t>, 10, 303–324.</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r w:rsidRPr="00EE079E">
        <w:rPr>
          <w:rFonts w:ascii="Arial" w:hAnsi="Arial" w:cs="Arial"/>
          <w:sz w:val="24"/>
          <w:szCs w:val="24"/>
        </w:rPr>
        <w:t xml:space="preserve">Chow, E.H., Lee W.Y., </w:t>
      </w:r>
      <w:proofErr w:type="spellStart"/>
      <w:r w:rsidRPr="00EE079E">
        <w:rPr>
          <w:rFonts w:ascii="Arial" w:hAnsi="Arial" w:cs="Arial"/>
          <w:sz w:val="24"/>
          <w:szCs w:val="24"/>
        </w:rPr>
        <w:t>Solt</w:t>
      </w:r>
      <w:proofErr w:type="spellEnd"/>
      <w:r w:rsidRPr="00EE079E">
        <w:rPr>
          <w:rFonts w:ascii="Arial" w:hAnsi="Arial" w:cs="Arial"/>
          <w:sz w:val="24"/>
          <w:szCs w:val="24"/>
        </w:rPr>
        <w:t xml:space="preserve">, M.S. (1997). </w:t>
      </w:r>
      <w:r w:rsidR="006D3BB9">
        <w:rPr>
          <w:rFonts w:ascii="Arial" w:hAnsi="Arial" w:cs="Arial"/>
          <w:sz w:val="24"/>
          <w:szCs w:val="24"/>
        </w:rPr>
        <w:t>“</w:t>
      </w:r>
      <w:r w:rsidRPr="00EE079E">
        <w:rPr>
          <w:rFonts w:ascii="Arial" w:hAnsi="Arial" w:cs="Arial"/>
          <w:sz w:val="24"/>
          <w:szCs w:val="24"/>
        </w:rPr>
        <w:t>The Exchange Rate Risk Exposure of</w:t>
      </w:r>
      <w:r w:rsidRPr="00EE079E">
        <w:rPr>
          <w:rFonts w:ascii="Arial" w:hAnsi="Arial" w:cs="Arial"/>
        </w:rPr>
        <w:t xml:space="preserve"> </w:t>
      </w:r>
      <w:r w:rsidRPr="00EE079E">
        <w:rPr>
          <w:rFonts w:ascii="Arial" w:hAnsi="Arial" w:cs="Arial"/>
          <w:sz w:val="24"/>
          <w:szCs w:val="24"/>
        </w:rPr>
        <w:t>Asset Returns</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Journal of Business</w:t>
      </w:r>
      <w:r w:rsidRPr="00EE079E">
        <w:rPr>
          <w:rFonts w:ascii="Arial" w:hAnsi="Arial" w:cs="Arial"/>
          <w:sz w:val="24"/>
          <w:szCs w:val="24"/>
        </w:rPr>
        <w:t>, 70, 105-123.</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Desislava</w:t>
      </w:r>
      <w:proofErr w:type="spellEnd"/>
      <w:r w:rsidRPr="00EE079E">
        <w:rPr>
          <w:rFonts w:ascii="Arial" w:hAnsi="Arial" w:cs="Arial"/>
          <w:sz w:val="24"/>
          <w:szCs w:val="24"/>
        </w:rPr>
        <w:t xml:space="preserve">, D. (2005). </w:t>
      </w:r>
      <w:r w:rsidR="006D3BB9">
        <w:rPr>
          <w:rFonts w:ascii="Arial" w:hAnsi="Arial" w:cs="Arial"/>
          <w:sz w:val="24"/>
          <w:szCs w:val="24"/>
        </w:rPr>
        <w:t>“</w:t>
      </w:r>
      <w:r w:rsidRPr="00EE079E">
        <w:rPr>
          <w:rFonts w:ascii="Arial" w:hAnsi="Arial" w:cs="Arial"/>
          <w:sz w:val="24"/>
          <w:szCs w:val="24"/>
        </w:rPr>
        <w:t>The Relationship between Exchange Rates and Stock Prices: Studied in a Multivariate Model</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Issues in Political Economy</w:t>
      </w:r>
      <w:r w:rsidRPr="00EE079E">
        <w:rPr>
          <w:rFonts w:ascii="Arial" w:hAnsi="Arial" w:cs="Arial"/>
          <w:sz w:val="24"/>
          <w:szCs w:val="24"/>
        </w:rPr>
        <w:t>, 14, 1-25.</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Stavárek</w:t>
      </w:r>
      <w:proofErr w:type="spellEnd"/>
      <w:r w:rsidRPr="00EE079E">
        <w:rPr>
          <w:rFonts w:ascii="Arial" w:hAnsi="Arial" w:cs="Arial"/>
          <w:sz w:val="24"/>
          <w:szCs w:val="24"/>
        </w:rPr>
        <w:t xml:space="preserve">, D. (2005). </w:t>
      </w:r>
      <w:r w:rsidR="006D3BB9">
        <w:rPr>
          <w:rFonts w:ascii="Arial" w:hAnsi="Arial" w:cs="Arial"/>
          <w:sz w:val="24"/>
          <w:szCs w:val="24"/>
        </w:rPr>
        <w:t>“</w:t>
      </w:r>
      <w:r w:rsidRPr="00EE079E">
        <w:rPr>
          <w:rFonts w:ascii="Arial" w:hAnsi="Arial" w:cs="Arial"/>
          <w:sz w:val="24"/>
          <w:szCs w:val="24"/>
        </w:rPr>
        <w:t>Stock Prices and Exchange Rates in the EU and the USA: Evidence of their Mutual Interactions</w:t>
      </w:r>
      <w:r w:rsidR="006D3BB9">
        <w:rPr>
          <w:rFonts w:ascii="Arial" w:hAnsi="Arial" w:cs="Arial"/>
          <w:sz w:val="24"/>
          <w:szCs w:val="24"/>
        </w:rPr>
        <w:t>”,</w:t>
      </w:r>
      <w:r w:rsidRPr="00EE079E">
        <w:rPr>
          <w:rFonts w:ascii="Arial" w:hAnsi="Arial" w:cs="Arial"/>
          <w:sz w:val="24"/>
          <w:szCs w:val="24"/>
        </w:rPr>
        <w:t xml:space="preserve"> Czech Journal of Economics and Finance, 55, 141 – 161.</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Dornbusch</w:t>
      </w:r>
      <w:proofErr w:type="spellEnd"/>
      <w:r w:rsidRPr="00EE079E">
        <w:rPr>
          <w:rFonts w:ascii="Arial" w:hAnsi="Arial" w:cs="Arial"/>
          <w:sz w:val="24"/>
          <w:szCs w:val="24"/>
        </w:rPr>
        <w:t xml:space="preserve">, R., Fischer, S. (1980). </w:t>
      </w:r>
      <w:r w:rsidR="006D3BB9">
        <w:rPr>
          <w:rFonts w:ascii="Arial" w:hAnsi="Arial" w:cs="Arial"/>
          <w:sz w:val="24"/>
          <w:szCs w:val="24"/>
        </w:rPr>
        <w:t>“</w:t>
      </w:r>
      <w:r w:rsidRPr="00EE079E">
        <w:rPr>
          <w:rFonts w:ascii="Arial" w:hAnsi="Arial" w:cs="Arial"/>
          <w:sz w:val="24"/>
          <w:szCs w:val="24"/>
        </w:rPr>
        <w:t>Exchange Rates and the Current Account</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American Economic Review</w:t>
      </w:r>
      <w:r w:rsidRPr="00EE079E">
        <w:rPr>
          <w:rFonts w:ascii="Arial" w:hAnsi="Arial" w:cs="Arial"/>
          <w:sz w:val="24"/>
          <w:szCs w:val="24"/>
        </w:rPr>
        <w:t>, (70) 5, 960-971.</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Dornbush</w:t>
      </w:r>
      <w:proofErr w:type="spellEnd"/>
      <w:r w:rsidRPr="00EE079E">
        <w:rPr>
          <w:rFonts w:ascii="Arial" w:hAnsi="Arial" w:cs="Arial"/>
          <w:sz w:val="24"/>
          <w:szCs w:val="24"/>
        </w:rPr>
        <w:t xml:space="preserve">, R. (1975). </w:t>
      </w:r>
      <w:proofErr w:type="gramStart"/>
      <w:r w:rsidR="006D3BB9">
        <w:rPr>
          <w:rFonts w:ascii="Arial" w:hAnsi="Arial" w:cs="Arial"/>
          <w:sz w:val="24"/>
          <w:szCs w:val="24"/>
        </w:rPr>
        <w:t>“</w:t>
      </w:r>
      <w:r w:rsidRPr="00EE079E">
        <w:rPr>
          <w:rFonts w:ascii="Arial" w:hAnsi="Arial" w:cs="Arial"/>
          <w:sz w:val="24"/>
          <w:szCs w:val="24"/>
        </w:rPr>
        <w:t>A Portfolio Balance Model of Open Economy.</w:t>
      </w:r>
      <w:proofErr w:type="gramEnd"/>
      <w:r w:rsidRPr="00EE079E">
        <w:rPr>
          <w:rFonts w:ascii="Arial" w:hAnsi="Arial" w:cs="Arial"/>
          <w:sz w:val="24"/>
          <w:szCs w:val="24"/>
        </w:rPr>
        <w:t xml:space="preserve"> </w:t>
      </w:r>
      <w:r w:rsidRPr="00EE079E">
        <w:rPr>
          <w:rFonts w:ascii="Arial" w:hAnsi="Arial" w:cs="Arial"/>
          <w:i/>
          <w:sz w:val="24"/>
          <w:szCs w:val="24"/>
        </w:rPr>
        <w:t xml:space="preserve">Journal of </w:t>
      </w:r>
      <w:proofErr w:type="spellStart"/>
      <w:r w:rsidRPr="00EE079E">
        <w:rPr>
          <w:rFonts w:ascii="Arial" w:hAnsi="Arial" w:cs="Arial"/>
          <w:i/>
          <w:sz w:val="24"/>
          <w:szCs w:val="24"/>
        </w:rPr>
        <w:t>Monotery</w:t>
      </w:r>
      <w:proofErr w:type="spellEnd"/>
      <w:r w:rsidRPr="00EE079E">
        <w:rPr>
          <w:rFonts w:ascii="Arial" w:hAnsi="Arial" w:cs="Arial"/>
          <w:i/>
          <w:sz w:val="24"/>
          <w:szCs w:val="24"/>
        </w:rPr>
        <w:t xml:space="preserve"> Economics</w:t>
      </w:r>
      <w:r w:rsidR="006D3BB9">
        <w:rPr>
          <w:rFonts w:ascii="Arial" w:hAnsi="Arial" w:cs="Arial"/>
          <w:i/>
          <w:sz w:val="24"/>
          <w:szCs w:val="24"/>
        </w:rPr>
        <w:t>”</w:t>
      </w:r>
      <w:r w:rsidRPr="00EE079E">
        <w:rPr>
          <w:rFonts w:ascii="Arial" w:hAnsi="Arial" w:cs="Arial"/>
          <w:sz w:val="24"/>
          <w:szCs w:val="24"/>
        </w:rPr>
        <w:t>, 1, 3-20.</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gramStart"/>
      <w:r w:rsidRPr="00EE079E">
        <w:rPr>
          <w:rFonts w:ascii="Arial" w:hAnsi="Arial" w:cs="Arial"/>
          <w:sz w:val="24"/>
          <w:szCs w:val="24"/>
        </w:rPr>
        <w:t>Granger, C.W.J, Huang, B., Yang, C.W. (2000).</w:t>
      </w:r>
      <w:proofErr w:type="gramEnd"/>
      <w:r w:rsidRPr="00EE079E">
        <w:rPr>
          <w:rFonts w:ascii="Arial" w:hAnsi="Arial" w:cs="Arial"/>
          <w:sz w:val="24"/>
          <w:szCs w:val="24"/>
        </w:rPr>
        <w:t xml:space="preserve"> </w:t>
      </w:r>
      <w:r w:rsidR="006D3BB9">
        <w:rPr>
          <w:rFonts w:ascii="Arial" w:hAnsi="Arial" w:cs="Arial"/>
          <w:sz w:val="24"/>
          <w:szCs w:val="24"/>
        </w:rPr>
        <w:t>“</w:t>
      </w:r>
      <w:r w:rsidRPr="00EE079E">
        <w:rPr>
          <w:rFonts w:ascii="Arial" w:hAnsi="Arial" w:cs="Arial"/>
          <w:sz w:val="24"/>
          <w:szCs w:val="24"/>
        </w:rPr>
        <w:t>A Bivariate Causality between Stock Prices and Exchange Rates: Evidence form Recent Asian Flu</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The Quarterly Review of Economics and Finance</w:t>
      </w:r>
      <w:r w:rsidRPr="00EE079E">
        <w:rPr>
          <w:rFonts w:ascii="Arial" w:hAnsi="Arial" w:cs="Arial"/>
          <w:sz w:val="24"/>
          <w:szCs w:val="24"/>
        </w:rPr>
        <w:t>, 40, 337-354.</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Groenewold</w:t>
      </w:r>
      <w:proofErr w:type="spellEnd"/>
      <w:r w:rsidRPr="00EE079E">
        <w:rPr>
          <w:rFonts w:ascii="Arial" w:hAnsi="Arial" w:cs="Arial"/>
          <w:sz w:val="24"/>
          <w:szCs w:val="24"/>
        </w:rPr>
        <w:t xml:space="preserve">, N., Paterson, J.E.H.  (2011). </w:t>
      </w:r>
      <w:r w:rsidR="006D3BB9">
        <w:rPr>
          <w:rFonts w:ascii="Arial" w:hAnsi="Arial" w:cs="Arial"/>
          <w:sz w:val="24"/>
          <w:szCs w:val="24"/>
        </w:rPr>
        <w:t>“</w:t>
      </w:r>
      <w:r w:rsidRPr="00EE079E">
        <w:rPr>
          <w:rFonts w:ascii="Arial" w:hAnsi="Arial" w:cs="Arial"/>
          <w:sz w:val="24"/>
          <w:szCs w:val="24"/>
        </w:rPr>
        <w:t>Stock Prices and Exchange Rates in Australıa: Are Commodity Prices the Missing Link?</w:t>
      </w:r>
      <w:proofErr w:type="gramStart"/>
      <w:r w:rsidR="006D3BB9">
        <w:rPr>
          <w:rFonts w:ascii="Arial" w:hAnsi="Arial" w:cs="Arial"/>
          <w:sz w:val="24"/>
          <w:szCs w:val="24"/>
        </w:rPr>
        <w:t>”</w:t>
      </w:r>
      <w:r w:rsidRPr="00EE079E">
        <w:rPr>
          <w:rFonts w:ascii="Arial" w:hAnsi="Arial" w:cs="Arial"/>
          <w:sz w:val="24"/>
          <w:szCs w:val="24"/>
        </w:rPr>
        <w:t xml:space="preserve"> </w:t>
      </w:r>
      <w:r w:rsidR="006D3BB9">
        <w:rPr>
          <w:rFonts w:ascii="Arial" w:hAnsi="Arial" w:cs="Arial"/>
          <w:sz w:val="24"/>
          <w:szCs w:val="24"/>
        </w:rPr>
        <w:t>,</w:t>
      </w:r>
      <w:r w:rsidRPr="00EE079E">
        <w:rPr>
          <w:rFonts w:ascii="Arial" w:hAnsi="Arial" w:cs="Arial"/>
          <w:i/>
          <w:sz w:val="24"/>
          <w:szCs w:val="24"/>
        </w:rPr>
        <w:t>Discussion</w:t>
      </w:r>
      <w:proofErr w:type="gramEnd"/>
      <w:r w:rsidRPr="00EE079E">
        <w:rPr>
          <w:rFonts w:ascii="Arial" w:hAnsi="Arial" w:cs="Arial"/>
          <w:i/>
          <w:sz w:val="24"/>
          <w:szCs w:val="24"/>
        </w:rPr>
        <w:t xml:space="preserve"> paper</w:t>
      </w:r>
      <w:r w:rsidRPr="00EE079E">
        <w:rPr>
          <w:rFonts w:ascii="Arial" w:hAnsi="Arial" w:cs="Arial"/>
          <w:sz w:val="24"/>
          <w:szCs w:val="24"/>
        </w:rPr>
        <w:t>, 1- 24.</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Guglielmo</w:t>
      </w:r>
      <w:proofErr w:type="spellEnd"/>
      <w:r w:rsidRPr="00EE079E">
        <w:rPr>
          <w:rFonts w:ascii="Arial" w:hAnsi="Arial" w:cs="Arial"/>
          <w:sz w:val="24"/>
          <w:szCs w:val="24"/>
        </w:rPr>
        <w:t xml:space="preserve"> M. C.</w:t>
      </w:r>
      <w:proofErr w:type="gramStart"/>
      <w:r w:rsidRPr="00EE079E">
        <w:rPr>
          <w:rFonts w:ascii="Arial" w:hAnsi="Arial" w:cs="Arial"/>
          <w:sz w:val="24"/>
          <w:szCs w:val="24"/>
        </w:rPr>
        <w:t>,  Hunter</w:t>
      </w:r>
      <w:proofErr w:type="gramEnd"/>
      <w:r w:rsidRPr="00EE079E">
        <w:rPr>
          <w:rFonts w:ascii="Arial" w:hAnsi="Arial" w:cs="Arial"/>
          <w:sz w:val="24"/>
          <w:szCs w:val="24"/>
        </w:rPr>
        <w:t xml:space="preserve"> J., </w:t>
      </w:r>
      <w:proofErr w:type="spellStart"/>
      <w:r w:rsidRPr="00EE079E">
        <w:rPr>
          <w:rFonts w:ascii="Arial" w:hAnsi="Arial" w:cs="Arial"/>
          <w:sz w:val="24"/>
          <w:szCs w:val="24"/>
        </w:rPr>
        <w:t>Faek</w:t>
      </w:r>
      <w:proofErr w:type="spellEnd"/>
      <w:r w:rsidRPr="00EE079E">
        <w:rPr>
          <w:rFonts w:ascii="Arial" w:hAnsi="Arial" w:cs="Arial"/>
          <w:sz w:val="24"/>
          <w:szCs w:val="24"/>
        </w:rPr>
        <w:t xml:space="preserve"> M. A. (2012). </w:t>
      </w:r>
      <w:r w:rsidR="006D3BB9">
        <w:rPr>
          <w:rFonts w:ascii="Arial" w:hAnsi="Arial" w:cs="Arial"/>
          <w:sz w:val="24"/>
          <w:szCs w:val="24"/>
        </w:rPr>
        <w:t>“</w:t>
      </w:r>
      <w:r w:rsidRPr="00EE079E">
        <w:rPr>
          <w:rFonts w:ascii="Arial" w:hAnsi="Arial" w:cs="Arial"/>
          <w:sz w:val="24"/>
          <w:szCs w:val="24"/>
        </w:rPr>
        <w:t>On the Linkages between Stock Prices and Exchange Rates: Evidence from the Banking Crisis of 2007–2010</w:t>
      </w:r>
      <w:r w:rsidR="006D3BB9">
        <w:rPr>
          <w:rFonts w:ascii="Arial" w:hAnsi="Arial" w:cs="Arial"/>
          <w:sz w:val="24"/>
          <w:szCs w:val="24"/>
        </w:rPr>
        <w:t>”</w:t>
      </w:r>
      <w:proofErr w:type="gramStart"/>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BMRC</w:t>
      </w:r>
      <w:proofErr w:type="gramEnd"/>
      <w:r w:rsidRPr="00EE079E">
        <w:rPr>
          <w:rFonts w:ascii="Arial" w:hAnsi="Arial" w:cs="Arial"/>
          <w:i/>
          <w:sz w:val="24"/>
          <w:szCs w:val="24"/>
        </w:rPr>
        <w:t>-QASS Conference on Macro and Financial Economics</w:t>
      </w:r>
      <w:r w:rsidRPr="00EE079E">
        <w:rPr>
          <w:rFonts w:ascii="Arial" w:hAnsi="Arial" w:cs="Arial"/>
          <w:sz w:val="24"/>
          <w:szCs w:val="24"/>
        </w:rPr>
        <w:t>, 1-51.</w:t>
      </w:r>
    </w:p>
    <w:p w:rsidR="006D3BB9" w:rsidRDefault="006D3BB9"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proofErr w:type="gramStart"/>
      <w:r w:rsidRPr="00EE079E">
        <w:rPr>
          <w:rFonts w:ascii="Arial" w:hAnsi="Arial" w:cs="Arial"/>
          <w:sz w:val="24"/>
          <w:szCs w:val="24"/>
        </w:rPr>
        <w:t>Harald</w:t>
      </w:r>
      <w:proofErr w:type="spellEnd"/>
      <w:r w:rsidRPr="00EE079E">
        <w:rPr>
          <w:rFonts w:ascii="Arial" w:hAnsi="Arial" w:cs="Arial"/>
          <w:sz w:val="24"/>
          <w:szCs w:val="24"/>
        </w:rPr>
        <w:t xml:space="preserve"> H., and Hélène, R. (2002).</w:t>
      </w:r>
      <w:proofErr w:type="gramEnd"/>
      <w:r w:rsidRPr="00EE079E">
        <w:rPr>
          <w:rFonts w:ascii="Arial" w:hAnsi="Arial" w:cs="Arial"/>
          <w:sz w:val="24"/>
          <w:szCs w:val="24"/>
        </w:rPr>
        <w:t xml:space="preserve"> </w:t>
      </w:r>
      <w:proofErr w:type="gramStart"/>
      <w:r w:rsidR="006D3BB9">
        <w:rPr>
          <w:rFonts w:ascii="Arial" w:hAnsi="Arial" w:cs="Arial"/>
          <w:sz w:val="24"/>
          <w:szCs w:val="24"/>
        </w:rPr>
        <w:t>“</w:t>
      </w:r>
      <w:r w:rsidRPr="00EE079E">
        <w:rPr>
          <w:rFonts w:ascii="Arial" w:hAnsi="Arial" w:cs="Arial"/>
          <w:sz w:val="24"/>
          <w:szCs w:val="24"/>
        </w:rPr>
        <w:t>Exchange Rate, Equity Prices and Capital Flows</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NBER Working Paper</w:t>
      </w:r>
      <w:r w:rsidRPr="00EE079E">
        <w:rPr>
          <w:rFonts w:ascii="Arial" w:hAnsi="Arial" w:cs="Arial"/>
          <w:sz w:val="24"/>
          <w:szCs w:val="24"/>
        </w:rPr>
        <w:t>, No. 9398.</w:t>
      </w:r>
      <w:proofErr w:type="gramEnd"/>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proofErr w:type="gramStart"/>
      <w:r w:rsidRPr="00EE079E">
        <w:rPr>
          <w:rFonts w:ascii="Arial" w:hAnsi="Arial" w:cs="Arial"/>
          <w:sz w:val="24"/>
          <w:szCs w:val="24"/>
        </w:rPr>
        <w:t>Hatemi</w:t>
      </w:r>
      <w:proofErr w:type="spellEnd"/>
      <w:r w:rsidRPr="00EE079E">
        <w:rPr>
          <w:rFonts w:ascii="Arial" w:hAnsi="Arial" w:cs="Arial"/>
          <w:sz w:val="24"/>
          <w:szCs w:val="24"/>
        </w:rPr>
        <w:t xml:space="preserve"> J. A., </w:t>
      </w:r>
      <w:proofErr w:type="spellStart"/>
      <w:r w:rsidRPr="00EE079E">
        <w:rPr>
          <w:rFonts w:ascii="Arial" w:hAnsi="Arial" w:cs="Arial"/>
          <w:sz w:val="24"/>
          <w:szCs w:val="24"/>
        </w:rPr>
        <w:t>Irandoust</w:t>
      </w:r>
      <w:proofErr w:type="spellEnd"/>
      <w:r w:rsidRPr="00EE079E">
        <w:rPr>
          <w:rFonts w:ascii="Arial" w:hAnsi="Arial" w:cs="Arial"/>
          <w:sz w:val="24"/>
          <w:szCs w:val="24"/>
        </w:rPr>
        <w:t>, M. (2002).</w:t>
      </w:r>
      <w:proofErr w:type="gramEnd"/>
      <w:r w:rsidRPr="00EE079E">
        <w:rPr>
          <w:rFonts w:ascii="Arial" w:hAnsi="Arial" w:cs="Arial"/>
          <w:sz w:val="24"/>
          <w:szCs w:val="24"/>
        </w:rPr>
        <w:t xml:space="preserve"> </w:t>
      </w:r>
      <w:r w:rsidR="006D3BB9">
        <w:rPr>
          <w:rFonts w:ascii="Arial" w:hAnsi="Arial" w:cs="Arial"/>
          <w:sz w:val="24"/>
          <w:szCs w:val="24"/>
        </w:rPr>
        <w:t>“</w:t>
      </w:r>
      <w:r w:rsidRPr="00EE079E">
        <w:rPr>
          <w:rFonts w:ascii="Arial" w:hAnsi="Arial" w:cs="Arial"/>
          <w:sz w:val="24"/>
          <w:szCs w:val="24"/>
        </w:rPr>
        <w:t>On the Causality Between Exchange Rates and Stock Prices: A Note</w:t>
      </w:r>
      <w:r w:rsidR="006D3BB9">
        <w:rPr>
          <w:rFonts w:ascii="Arial" w:hAnsi="Arial" w:cs="Arial"/>
          <w:sz w:val="24"/>
          <w:szCs w:val="24"/>
        </w:rPr>
        <w:t>”</w:t>
      </w:r>
      <w:proofErr w:type="gramStart"/>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Bulletin</w:t>
      </w:r>
      <w:proofErr w:type="gramEnd"/>
      <w:r w:rsidRPr="00EE079E">
        <w:rPr>
          <w:rFonts w:ascii="Arial" w:hAnsi="Arial" w:cs="Arial"/>
          <w:i/>
          <w:sz w:val="24"/>
          <w:szCs w:val="24"/>
        </w:rPr>
        <w:t xml:space="preserve"> of Economic Research</w:t>
      </w:r>
      <w:r w:rsidRPr="00EE079E">
        <w:rPr>
          <w:rFonts w:ascii="Arial" w:hAnsi="Arial" w:cs="Arial"/>
          <w:sz w:val="24"/>
          <w:szCs w:val="24"/>
        </w:rPr>
        <w:t>, (52) 2, 197-203.</w:t>
      </w:r>
    </w:p>
    <w:p w:rsidR="00D34364" w:rsidRPr="00EE079E" w:rsidRDefault="00D34364" w:rsidP="00D34364">
      <w:pPr>
        <w:spacing w:after="0" w:line="240" w:lineRule="auto"/>
        <w:jc w:val="both"/>
        <w:rPr>
          <w:rFonts w:ascii="Arial" w:hAnsi="Arial" w:cs="Arial"/>
          <w:sz w:val="24"/>
          <w:szCs w:val="24"/>
        </w:rPr>
      </w:pPr>
    </w:p>
    <w:p w:rsidR="00D34364" w:rsidRPr="00EE079E" w:rsidRDefault="006D3BB9" w:rsidP="00D34364">
      <w:pPr>
        <w:spacing w:after="0" w:line="240" w:lineRule="auto"/>
        <w:jc w:val="both"/>
        <w:rPr>
          <w:rFonts w:ascii="Arial" w:hAnsi="Arial" w:cs="Arial"/>
          <w:sz w:val="24"/>
          <w:szCs w:val="24"/>
        </w:rPr>
      </w:pPr>
      <w:proofErr w:type="spellStart"/>
      <w:proofErr w:type="gramStart"/>
      <w:r>
        <w:rPr>
          <w:rFonts w:ascii="Arial" w:hAnsi="Arial" w:cs="Arial"/>
          <w:sz w:val="24"/>
          <w:szCs w:val="24"/>
        </w:rPr>
        <w:t>Issam</w:t>
      </w:r>
      <w:proofErr w:type="spellEnd"/>
      <w:r>
        <w:rPr>
          <w:rFonts w:ascii="Arial" w:hAnsi="Arial" w:cs="Arial"/>
          <w:sz w:val="24"/>
          <w:szCs w:val="24"/>
        </w:rPr>
        <w:t xml:space="preserve"> S.A. A.</w:t>
      </w:r>
      <w:r w:rsidR="00D34364" w:rsidRPr="00EE079E">
        <w:rPr>
          <w:rFonts w:ascii="Arial" w:hAnsi="Arial" w:cs="Arial"/>
          <w:sz w:val="24"/>
          <w:szCs w:val="24"/>
        </w:rPr>
        <w:t xml:space="preserve"> </w:t>
      </w:r>
      <w:proofErr w:type="spellStart"/>
      <w:r w:rsidR="00D34364" w:rsidRPr="00EE079E">
        <w:rPr>
          <w:rFonts w:ascii="Arial" w:hAnsi="Arial" w:cs="Arial"/>
          <w:sz w:val="24"/>
          <w:szCs w:val="24"/>
        </w:rPr>
        <w:t>Murinde</w:t>
      </w:r>
      <w:proofErr w:type="spellEnd"/>
      <w:r w:rsidR="00D34364" w:rsidRPr="00EE079E">
        <w:rPr>
          <w:rFonts w:ascii="Arial" w:hAnsi="Arial" w:cs="Arial"/>
          <w:sz w:val="24"/>
          <w:szCs w:val="24"/>
        </w:rPr>
        <w:t>, V. (1997).</w:t>
      </w:r>
      <w:proofErr w:type="gramEnd"/>
      <w:r w:rsidR="00D34364" w:rsidRPr="00EE079E">
        <w:rPr>
          <w:rFonts w:ascii="Arial" w:hAnsi="Arial" w:cs="Arial"/>
          <w:sz w:val="24"/>
          <w:szCs w:val="24"/>
        </w:rPr>
        <w:t xml:space="preserve"> </w:t>
      </w:r>
      <w:r>
        <w:rPr>
          <w:rFonts w:ascii="Arial" w:hAnsi="Arial" w:cs="Arial"/>
          <w:sz w:val="24"/>
          <w:szCs w:val="24"/>
        </w:rPr>
        <w:t>“</w:t>
      </w:r>
      <w:r w:rsidR="00D34364" w:rsidRPr="00EE079E">
        <w:rPr>
          <w:rFonts w:ascii="Arial" w:hAnsi="Arial" w:cs="Arial"/>
          <w:sz w:val="24"/>
          <w:szCs w:val="24"/>
        </w:rPr>
        <w:t>Exchange Rate and Stock Price Interactions in Emerging Financial Markets: Evidence on India, Korea, Pakistan and the Philippines</w:t>
      </w:r>
      <w:r>
        <w:rPr>
          <w:rFonts w:ascii="Arial" w:hAnsi="Arial" w:cs="Arial"/>
          <w:sz w:val="24"/>
          <w:szCs w:val="24"/>
        </w:rPr>
        <w:t>”,</w:t>
      </w:r>
      <w:r w:rsidR="00D34364" w:rsidRPr="00EE079E">
        <w:rPr>
          <w:rFonts w:ascii="Arial" w:hAnsi="Arial" w:cs="Arial"/>
          <w:sz w:val="24"/>
          <w:szCs w:val="24"/>
        </w:rPr>
        <w:t xml:space="preserve"> </w:t>
      </w:r>
      <w:r w:rsidR="00D34364" w:rsidRPr="00EE079E">
        <w:rPr>
          <w:rFonts w:ascii="Arial" w:hAnsi="Arial" w:cs="Arial"/>
          <w:i/>
          <w:sz w:val="24"/>
          <w:szCs w:val="24"/>
        </w:rPr>
        <w:t>Applied Financial Economics</w:t>
      </w:r>
      <w:proofErr w:type="gramStart"/>
      <w:r w:rsidR="00D34364" w:rsidRPr="00EE079E">
        <w:rPr>
          <w:rFonts w:ascii="Arial" w:hAnsi="Arial" w:cs="Arial"/>
          <w:sz w:val="24"/>
          <w:szCs w:val="24"/>
        </w:rPr>
        <w:t>,  7</w:t>
      </w:r>
      <w:proofErr w:type="gramEnd"/>
      <w:r w:rsidR="00D34364" w:rsidRPr="00EE079E">
        <w:rPr>
          <w:rFonts w:ascii="Arial" w:hAnsi="Arial" w:cs="Arial"/>
          <w:sz w:val="24"/>
          <w:szCs w:val="24"/>
        </w:rPr>
        <w:t>, 25 – 35.</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r w:rsidRPr="00EE079E">
        <w:rPr>
          <w:rFonts w:ascii="Arial" w:hAnsi="Arial" w:cs="Arial"/>
          <w:sz w:val="24"/>
          <w:szCs w:val="24"/>
        </w:rPr>
        <w:t xml:space="preserve">Krueger, A.O. (1983). </w:t>
      </w:r>
      <w:r w:rsidR="006D3BB9">
        <w:rPr>
          <w:rFonts w:ascii="Arial" w:hAnsi="Arial" w:cs="Arial"/>
          <w:sz w:val="24"/>
          <w:szCs w:val="24"/>
        </w:rPr>
        <w:t>“</w:t>
      </w:r>
      <w:r w:rsidRPr="00EE079E">
        <w:rPr>
          <w:rFonts w:ascii="Arial" w:hAnsi="Arial" w:cs="Arial"/>
          <w:sz w:val="24"/>
          <w:szCs w:val="24"/>
        </w:rPr>
        <w:t xml:space="preserve">Exchange Rate </w:t>
      </w:r>
      <w:r w:rsidR="006D3BB9" w:rsidRPr="00EE079E">
        <w:rPr>
          <w:rFonts w:ascii="Arial" w:hAnsi="Arial" w:cs="Arial"/>
          <w:sz w:val="24"/>
          <w:szCs w:val="24"/>
        </w:rPr>
        <w:t>Determination</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Cambridge University Press</w:t>
      </w:r>
      <w:r w:rsidRPr="00EE079E">
        <w:rPr>
          <w:rFonts w:ascii="Arial" w:hAnsi="Arial" w:cs="Arial"/>
          <w:sz w:val="24"/>
          <w:szCs w:val="24"/>
        </w:rPr>
        <w:t>, Cambridge.</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r w:rsidRPr="00EE079E">
        <w:rPr>
          <w:rFonts w:ascii="Arial" w:hAnsi="Arial" w:cs="Arial"/>
          <w:sz w:val="24"/>
          <w:szCs w:val="24"/>
        </w:rPr>
        <w:t xml:space="preserve">Madura, J., (2012). </w:t>
      </w:r>
      <w:proofErr w:type="gramStart"/>
      <w:r w:rsidRPr="00EE079E">
        <w:rPr>
          <w:rFonts w:ascii="Arial" w:hAnsi="Arial" w:cs="Arial"/>
          <w:sz w:val="24"/>
          <w:szCs w:val="24"/>
        </w:rPr>
        <w:t>International Financial Management.</w:t>
      </w:r>
      <w:proofErr w:type="gramEnd"/>
      <w:r w:rsidRPr="00EE079E">
        <w:rPr>
          <w:rFonts w:ascii="Arial" w:hAnsi="Arial" w:cs="Arial"/>
          <w:sz w:val="24"/>
          <w:szCs w:val="24"/>
        </w:rPr>
        <w:t xml:space="preserve"> </w:t>
      </w:r>
      <w:proofErr w:type="spellStart"/>
      <w:r w:rsidRPr="00EE079E">
        <w:rPr>
          <w:rFonts w:ascii="Arial" w:hAnsi="Arial" w:cs="Arial"/>
          <w:sz w:val="24"/>
          <w:szCs w:val="24"/>
        </w:rPr>
        <w:t>Hatice</w:t>
      </w:r>
      <w:proofErr w:type="spellEnd"/>
      <w:r w:rsidRPr="00EE079E">
        <w:rPr>
          <w:rFonts w:ascii="Arial" w:hAnsi="Arial" w:cs="Arial"/>
          <w:sz w:val="24"/>
          <w:szCs w:val="24"/>
        </w:rPr>
        <w:t xml:space="preserve"> </w:t>
      </w:r>
      <w:proofErr w:type="spellStart"/>
      <w:r w:rsidRPr="00EE079E">
        <w:rPr>
          <w:rFonts w:ascii="Arial" w:hAnsi="Arial" w:cs="Arial"/>
          <w:sz w:val="24"/>
          <w:szCs w:val="24"/>
        </w:rPr>
        <w:t>Doğukanlı</w:t>
      </w:r>
      <w:proofErr w:type="spellEnd"/>
      <w:r w:rsidRPr="00EE079E">
        <w:rPr>
          <w:rFonts w:ascii="Arial" w:hAnsi="Arial" w:cs="Arial"/>
          <w:sz w:val="24"/>
          <w:szCs w:val="24"/>
        </w:rPr>
        <w:t xml:space="preserve"> (Ed.), Ankara: Nobel </w:t>
      </w:r>
      <w:proofErr w:type="spellStart"/>
      <w:r w:rsidRPr="00EE079E">
        <w:rPr>
          <w:rFonts w:ascii="Arial" w:hAnsi="Arial" w:cs="Arial"/>
          <w:sz w:val="24"/>
          <w:szCs w:val="24"/>
        </w:rPr>
        <w:t>Akademik</w:t>
      </w:r>
      <w:proofErr w:type="spellEnd"/>
      <w:r w:rsidRPr="00EE079E">
        <w:rPr>
          <w:rFonts w:ascii="Arial" w:hAnsi="Arial" w:cs="Arial"/>
          <w:sz w:val="24"/>
          <w:szCs w:val="24"/>
        </w:rPr>
        <w:t xml:space="preserve"> </w:t>
      </w:r>
      <w:proofErr w:type="spellStart"/>
      <w:r w:rsidRPr="00EE079E">
        <w:rPr>
          <w:rFonts w:ascii="Arial" w:hAnsi="Arial" w:cs="Arial"/>
          <w:sz w:val="24"/>
          <w:szCs w:val="24"/>
        </w:rPr>
        <w:t>Yayıncılık</w:t>
      </w:r>
      <w:proofErr w:type="spellEnd"/>
      <w:r w:rsidRPr="00EE079E">
        <w:rPr>
          <w:rFonts w:ascii="Arial" w:hAnsi="Arial" w:cs="Arial"/>
          <w:sz w:val="24"/>
          <w:szCs w:val="24"/>
        </w:rPr>
        <w:t xml:space="preserve"> </w:t>
      </w:r>
      <w:proofErr w:type="spellStart"/>
      <w:r w:rsidRPr="00EE079E">
        <w:rPr>
          <w:rFonts w:ascii="Arial" w:hAnsi="Arial" w:cs="Arial"/>
          <w:sz w:val="24"/>
          <w:szCs w:val="24"/>
        </w:rPr>
        <w:t>Eğitim</w:t>
      </w:r>
      <w:proofErr w:type="spellEnd"/>
      <w:r w:rsidRPr="00EE079E">
        <w:rPr>
          <w:rFonts w:ascii="Arial" w:hAnsi="Arial" w:cs="Arial"/>
          <w:sz w:val="24"/>
          <w:szCs w:val="24"/>
        </w:rPr>
        <w:t xml:space="preserve"> </w:t>
      </w:r>
      <w:proofErr w:type="spellStart"/>
      <w:r w:rsidRPr="00EE079E">
        <w:rPr>
          <w:rFonts w:ascii="Arial" w:hAnsi="Arial" w:cs="Arial"/>
          <w:sz w:val="24"/>
          <w:szCs w:val="24"/>
        </w:rPr>
        <w:t>Danışmanlık</w:t>
      </w:r>
      <w:proofErr w:type="spellEnd"/>
      <w:r w:rsidRPr="00EE079E">
        <w:rPr>
          <w:rFonts w:ascii="Arial" w:hAnsi="Arial" w:cs="Arial"/>
          <w:sz w:val="24"/>
          <w:szCs w:val="24"/>
        </w:rPr>
        <w:t xml:space="preserve"> Tic. </w:t>
      </w:r>
      <w:proofErr w:type="gramStart"/>
      <w:r w:rsidRPr="00EE079E">
        <w:rPr>
          <w:rFonts w:ascii="Arial" w:hAnsi="Arial" w:cs="Arial"/>
          <w:sz w:val="24"/>
          <w:szCs w:val="24"/>
        </w:rPr>
        <w:t>LTD. ŞTI.</w:t>
      </w:r>
      <w:proofErr w:type="gramEnd"/>
      <w:r w:rsidRPr="00EE079E">
        <w:rPr>
          <w:rFonts w:ascii="Arial" w:hAnsi="Arial" w:cs="Arial"/>
          <w:sz w:val="24"/>
          <w:szCs w:val="24"/>
        </w:rPr>
        <w:t xml:space="preserve"> </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Nieh</w:t>
      </w:r>
      <w:proofErr w:type="spellEnd"/>
      <w:r w:rsidRPr="00EE079E">
        <w:rPr>
          <w:rFonts w:ascii="Arial" w:hAnsi="Arial" w:cs="Arial"/>
          <w:sz w:val="24"/>
          <w:szCs w:val="24"/>
        </w:rPr>
        <w:t xml:space="preserve">, C., Lee, C. (2001). </w:t>
      </w:r>
      <w:r w:rsidR="006D3BB9">
        <w:rPr>
          <w:rFonts w:ascii="Arial" w:hAnsi="Arial" w:cs="Arial"/>
          <w:sz w:val="24"/>
          <w:szCs w:val="24"/>
        </w:rPr>
        <w:t>“</w:t>
      </w:r>
      <w:r w:rsidRPr="00EE079E">
        <w:rPr>
          <w:rFonts w:ascii="Arial" w:hAnsi="Arial" w:cs="Arial"/>
          <w:sz w:val="24"/>
          <w:szCs w:val="24"/>
        </w:rPr>
        <w:t>Dynamic Relationship between Stock Prices and Exchange Rates for G7 Countries</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Quarterly Review of Economics and Finance,</w:t>
      </w:r>
      <w:r w:rsidRPr="00EE079E">
        <w:rPr>
          <w:rFonts w:ascii="Arial" w:hAnsi="Arial" w:cs="Arial"/>
          <w:sz w:val="24"/>
          <w:szCs w:val="24"/>
        </w:rPr>
        <w:t xml:space="preserve"> 41, 477 – 490.</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r w:rsidRPr="00EE079E">
        <w:rPr>
          <w:rFonts w:ascii="Arial" w:hAnsi="Arial" w:cs="Arial"/>
          <w:sz w:val="24"/>
          <w:szCs w:val="24"/>
        </w:rPr>
        <w:t xml:space="preserve">Ong, L.L., </w:t>
      </w:r>
      <w:proofErr w:type="spellStart"/>
      <w:r w:rsidRPr="00EE079E">
        <w:rPr>
          <w:rFonts w:ascii="Arial" w:hAnsi="Arial" w:cs="Arial"/>
          <w:sz w:val="24"/>
          <w:szCs w:val="24"/>
        </w:rPr>
        <w:t>Izan</w:t>
      </w:r>
      <w:proofErr w:type="spellEnd"/>
      <w:r w:rsidRPr="00EE079E">
        <w:rPr>
          <w:rFonts w:ascii="Arial" w:hAnsi="Arial" w:cs="Arial"/>
          <w:sz w:val="24"/>
          <w:szCs w:val="24"/>
        </w:rPr>
        <w:t xml:space="preserve">, H.Y. (1999). </w:t>
      </w:r>
      <w:r w:rsidR="006D3BB9">
        <w:rPr>
          <w:rFonts w:ascii="Arial" w:hAnsi="Arial" w:cs="Arial"/>
          <w:sz w:val="24"/>
          <w:szCs w:val="24"/>
        </w:rPr>
        <w:t>“</w:t>
      </w:r>
      <w:r w:rsidRPr="00EE079E">
        <w:rPr>
          <w:rFonts w:ascii="Arial" w:hAnsi="Arial" w:cs="Arial"/>
          <w:sz w:val="24"/>
          <w:szCs w:val="24"/>
        </w:rPr>
        <w:t>Stock and Currencies: are they related?</w:t>
      </w:r>
      <w:proofErr w:type="gramStart"/>
      <w:r w:rsidR="006D3BB9">
        <w:rPr>
          <w:rFonts w:ascii="Arial" w:hAnsi="Arial" w:cs="Arial"/>
          <w:sz w:val="24"/>
          <w:szCs w:val="24"/>
        </w:rPr>
        <w:t>”,</w:t>
      </w:r>
      <w:proofErr w:type="gramEnd"/>
      <w:r w:rsidRPr="00EE079E">
        <w:rPr>
          <w:rFonts w:ascii="Arial" w:hAnsi="Arial" w:cs="Arial"/>
          <w:sz w:val="24"/>
          <w:szCs w:val="24"/>
        </w:rPr>
        <w:t xml:space="preserve"> </w:t>
      </w:r>
      <w:r w:rsidRPr="00EE079E">
        <w:rPr>
          <w:rFonts w:ascii="Arial" w:hAnsi="Arial" w:cs="Arial"/>
          <w:i/>
          <w:sz w:val="24"/>
          <w:szCs w:val="24"/>
        </w:rPr>
        <w:t>Applied Financial Economics,</w:t>
      </w:r>
      <w:r w:rsidRPr="00EE079E">
        <w:rPr>
          <w:rFonts w:ascii="Arial" w:hAnsi="Arial" w:cs="Arial"/>
          <w:sz w:val="24"/>
          <w:szCs w:val="24"/>
        </w:rPr>
        <w:t xml:space="preserve"> 9, 523-532.</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proofErr w:type="gramStart"/>
      <w:r w:rsidRPr="00EE079E">
        <w:rPr>
          <w:rFonts w:ascii="Arial" w:hAnsi="Arial" w:cs="Arial"/>
          <w:sz w:val="24"/>
          <w:szCs w:val="24"/>
        </w:rPr>
        <w:t>Phylaktis</w:t>
      </w:r>
      <w:proofErr w:type="spellEnd"/>
      <w:r w:rsidRPr="00EE079E">
        <w:rPr>
          <w:rFonts w:ascii="Arial" w:hAnsi="Arial" w:cs="Arial"/>
          <w:sz w:val="24"/>
          <w:szCs w:val="24"/>
        </w:rPr>
        <w:t xml:space="preserve">, K., </w:t>
      </w:r>
      <w:proofErr w:type="spellStart"/>
      <w:r w:rsidRPr="00EE079E">
        <w:rPr>
          <w:rFonts w:ascii="Arial" w:hAnsi="Arial" w:cs="Arial"/>
          <w:sz w:val="24"/>
          <w:szCs w:val="24"/>
        </w:rPr>
        <w:t>Ravazzolo</w:t>
      </w:r>
      <w:proofErr w:type="spellEnd"/>
      <w:r w:rsidRPr="00EE079E">
        <w:rPr>
          <w:rFonts w:ascii="Arial" w:hAnsi="Arial" w:cs="Arial"/>
          <w:sz w:val="24"/>
          <w:szCs w:val="24"/>
        </w:rPr>
        <w:t>, F. (2000).</w:t>
      </w:r>
      <w:proofErr w:type="gramEnd"/>
      <w:r w:rsidRPr="00EE079E">
        <w:rPr>
          <w:rFonts w:ascii="Arial" w:hAnsi="Arial" w:cs="Arial"/>
          <w:sz w:val="24"/>
          <w:szCs w:val="24"/>
        </w:rPr>
        <w:t xml:space="preserve"> </w:t>
      </w:r>
      <w:r w:rsidR="006D3BB9">
        <w:rPr>
          <w:rFonts w:ascii="Arial" w:hAnsi="Arial" w:cs="Arial"/>
          <w:sz w:val="24"/>
          <w:szCs w:val="24"/>
        </w:rPr>
        <w:t>“</w:t>
      </w:r>
      <w:r w:rsidRPr="00EE079E">
        <w:rPr>
          <w:rFonts w:ascii="Arial" w:hAnsi="Arial" w:cs="Arial"/>
          <w:sz w:val="24"/>
          <w:szCs w:val="24"/>
        </w:rPr>
        <w:t>Stock Prices and Exchange Rate Dynamics</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Australian Banking Association in Sydney, at the European Meeting of the Financial Management Association in Edinburgh, at the Macro, Money and Finance Conference in Oxford, at the European Financial Management Association in Athens and at the City University Business School in London Workshop.</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r w:rsidRPr="00EE079E">
        <w:rPr>
          <w:rFonts w:ascii="Arial" w:hAnsi="Arial" w:cs="Arial"/>
          <w:sz w:val="24"/>
          <w:szCs w:val="24"/>
        </w:rPr>
        <w:t xml:space="preserve">Rahman L., Uddin, J. (2009). </w:t>
      </w:r>
      <w:r w:rsidR="006D3BB9">
        <w:rPr>
          <w:rFonts w:ascii="Arial" w:hAnsi="Arial" w:cs="Arial"/>
          <w:sz w:val="24"/>
          <w:szCs w:val="24"/>
        </w:rPr>
        <w:t>“</w:t>
      </w:r>
      <w:r w:rsidRPr="00EE079E">
        <w:rPr>
          <w:rFonts w:ascii="Arial" w:hAnsi="Arial" w:cs="Arial"/>
          <w:sz w:val="24"/>
          <w:szCs w:val="24"/>
        </w:rPr>
        <w:t>Dynamic Relationship between Stock Prices and Exchange Rates: Evidence from Three South Asian Countries</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International Business Research</w:t>
      </w:r>
      <w:r w:rsidRPr="00EE079E">
        <w:rPr>
          <w:rFonts w:ascii="Arial" w:hAnsi="Arial" w:cs="Arial"/>
          <w:sz w:val="24"/>
          <w:szCs w:val="24"/>
        </w:rPr>
        <w:t>, (2) 2, 167 – 174.</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Ramasamy</w:t>
      </w:r>
      <w:proofErr w:type="spellEnd"/>
      <w:r w:rsidRPr="00EE079E">
        <w:rPr>
          <w:rFonts w:ascii="Arial" w:hAnsi="Arial" w:cs="Arial"/>
          <w:sz w:val="24"/>
          <w:szCs w:val="24"/>
        </w:rPr>
        <w:t xml:space="preserve">, B., Yeung, M.C.H. (2005). </w:t>
      </w:r>
      <w:r w:rsidR="006D3BB9">
        <w:rPr>
          <w:rFonts w:ascii="Arial" w:hAnsi="Arial" w:cs="Arial"/>
          <w:sz w:val="24"/>
          <w:szCs w:val="24"/>
        </w:rPr>
        <w:t>“</w:t>
      </w:r>
      <w:r w:rsidRPr="00EE079E">
        <w:rPr>
          <w:rFonts w:ascii="Arial" w:hAnsi="Arial" w:cs="Arial"/>
          <w:sz w:val="24"/>
          <w:szCs w:val="24"/>
        </w:rPr>
        <w:t>The Causality between Stock Returns and Exchange Rates: Revisited</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Australian Economic Papers</w:t>
      </w:r>
      <w:r w:rsidRPr="00EE079E">
        <w:rPr>
          <w:rFonts w:ascii="Arial" w:hAnsi="Arial" w:cs="Arial"/>
          <w:sz w:val="24"/>
          <w:szCs w:val="24"/>
        </w:rPr>
        <w:t>, (44) 2, 162-169.</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gramStart"/>
      <w:r w:rsidRPr="00EE079E">
        <w:rPr>
          <w:rFonts w:ascii="Arial" w:hAnsi="Arial" w:cs="Arial"/>
          <w:sz w:val="24"/>
          <w:szCs w:val="24"/>
        </w:rPr>
        <w:t>Ratner, M. (1993).</w:t>
      </w:r>
      <w:proofErr w:type="gramEnd"/>
      <w:r w:rsidRPr="00EE079E">
        <w:rPr>
          <w:rFonts w:ascii="Arial" w:hAnsi="Arial" w:cs="Arial"/>
          <w:sz w:val="24"/>
          <w:szCs w:val="24"/>
        </w:rPr>
        <w:t xml:space="preserve"> </w:t>
      </w:r>
      <w:proofErr w:type="gramStart"/>
      <w:r w:rsidRPr="00EE079E">
        <w:rPr>
          <w:rFonts w:ascii="Arial" w:hAnsi="Arial" w:cs="Arial"/>
          <w:sz w:val="24"/>
          <w:szCs w:val="24"/>
        </w:rPr>
        <w:t xml:space="preserve">A </w:t>
      </w:r>
      <w:proofErr w:type="spellStart"/>
      <w:r w:rsidRPr="00EE079E">
        <w:rPr>
          <w:rFonts w:ascii="Arial" w:hAnsi="Arial" w:cs="Arial"/>
          <w:sz w:val="24"/>
          <w:szCs w:val="24"/>
        </w:rPr>
        <w:t>Cointegration</w:t>
      </w:r>
      <w:proofErr w:type="spellEnd"/>
      <w:r w:rsidRPr="00EE079E">
        <w:rPr>
          <w:rFonts w:ascii="Arial" w:hAnsi="Arial" w:cs="Arial"/>
          <w:sz w:val="24"/>
          <w:szCs w:val="24"/>
        </w:rPr>
        <w:t xml:space="preserve"> Test of Impact of </w:t>
      </w:r>
      <w:proofErr w:type="spellStart"/>
      <w:r w:rsidRPr="00EE079E">
        <w:rPr>
          <w:rFonts w:ascii="Arial" w:hAnsi="Arial" w:cs="Arial"/>
          <w:sz w:val="24"/>
          <w:szCs w:val="24"/>
        </w:rPr>
        <w:t>Foreing</w:t>
      </w:r>
      <w:proofErr w:type="spellEnd"/>
      <w:r w:rsidRPr="00EE079E">
        <w:rPr>
          <w:rFonts w:ascii="Arial" w:hAnsi="Arial" w:cs="Arial"/>
          <w:sz w:val="24"/>
          <w:szCs w:val="24"/>
        </w:rPr>
        <w:t xml:space="preserve"> Exchange Rates on U.S. Stock Market Prices.</w:t>
      </w:r>
      <w:proofErr w:type="gramEnd"/>
      <w:r w:rsidRPr="00EE079E">
        <w:rPr>
          <w:rFonts w:ascii="Arial" w:hAnsi="Arial" w:cs="Arial"/>
          <w:sz w:val="24"/>
          <w:szCs w:val="24"/>
        </w:rPr>
        <w:t xml:space="preserve">  </w:t>
      </w:r>
      <w:r w:rsidRPr="00EE079E">
        <w:rPr>
          <w:rFonts w:ascii="Arial" w:hAnsi="Arial" w:cs="Arial"/>
          <w:i/>
          <w:sz w:val="24"/>
          <w:szCs w:val="24"/>
        </w:rPr>
        <w:t>Global Finance Journal</w:t>
      </w:r>
      <w:r w:rsidRPr="00EE079E">
        <w:rPr>
          <w:rFonts w:ascii="Arial" w:hAnsi="Arial" w:cs="Arial"/>
          <w:sz w:val="24"/>
          <w:szCs w:val="24"/>
        </w:rPr>
        <w:t>, 4, 93-101.</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r w:rsidRPr="00EE079E">
        <w:rPr>
          <w:rFonts w:ascii="Arial" w:hAnsi="Arial" w:cs="Arial"/>
          <w:sz w:val="24"/>
          <w:szCs w:val="24"/>
        </w:rPr>
        <w:t xml:space="preserve">Richards, N. D., Simpson, J., Evans. </w:t>
      </w:r>
      <w:proofErr w:type="gramStart"/>
      <w:r w:rsidRPr="00EE079E">
        <w:rPr>
          <w:rFonts w:ascii="Arial" w:hAnsi="Arial" w:cs="Arial"/>
          <w:sz w:val="24"/>
          <w:szCs w:val="24"/>
        </w:rPr>
        <w:t>J. (2009).</w:t>
      </w:r>
      <w:proofErr w:type="gramEnd"/>
      <w:r w:rsidRPr="00EE079E">
        <w:rPr>
          <w:rFonts w:ascii="Arial" w:hAnsi="Arial" w:cs="Arial"/>
          <w:sz w:val="24"/>
          <w:szCs w:val="24"/>
        </w:rPr>
        <w:t xml:space="preserve"> </w:t>
      </w:r>
      <w:r w:rsidR="006D3BB9">
        <w:rPr>
          <w:rFonts w:ascii="Arial" w:hAnsi="Arial" w:cs="Arial"/>
          <w:sz w:val="24"/>
          <w:szCs w:val="24"/>
        </w:rPr>
        <w:t>“</w:t>
      </w:r>
      <w:r w:rsidRPr="00EE079E">
        <w:rPr>
          <w:rFonts w:ascii="Arial" w:hAnsi="Arial" w:cs="Arial"/>
          <w:sz w:val="24"/>
          <w:szCs w:val="24"/>
        </w:rPr>
        <w:t>The Interaction between Exchange Rates and Stock Prices: An Australian Context</w:t>
      </w:r>
      <w:r w:rsidR="006D3BB9">
        <w:rPr>
          <w:rFonts w:ascii="Arial" w:hAnsi="Arial" w:cs="Arial"/>
          <w:sz w:val="24"/>
          <w:szCs w:val="24"/>
        </w:rPr>
        <w:t>”,</w:t>
      </w:r>
      <w:r w:rsidRPr="00EE079E">
        <w:rPr>
          <w:rFonts w:ascii="Arial" w:hAnsi="Arial" w:cs="Arial"/>
          <w:sz w:val="24"/>
          <w:szCs w:val="24"/>
        </w:rPr>
        <w:t xml:space="preserve"> International Journal of Economics and Finance, (1) 1, 1-23.</w:t>
      </w:r>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r w:rsidRPr="00EE079E">
        <w:rPr>
          <w:rFonts w:ascii="Arial" w:hAnsi="Arial" w:cs="Arial"/>
          <w:sz w:val="24"/>
          <w:szCs w:val="24"/>
        </w:rPr>
        <w:t xml:space="preserve">Schmidt, S.J. (2005). </w:t>
      </w:r>
      <w:proofErr w:type="gramStart"/>
      <w:r w:rsidRPr="00EE079E">
        <w:rPr>
          <w:rFonts w:ascii="Arial" w:hAnsi="Arial" w:cs="Arial"/>
          <w:sz w:val="24"/>
          <w:szCs w:val="24"/>
        </w:rPr>
        <w:t>Econometrics.</w:t>
      </w:r>
      <w:proofErr w:type="gramEnd"/>
      <w:r w:rsidRPr="00EE079E">
        <w:rPr>
          <w:rFonts w:ascii="Arial" w:hAnsi="Arial" w:cs="Arial"/>
          <w:sz w:val="24"/>
          <w:szCs w:val="24"/>
        </w:rPr>
        <w:t xml:space="preserve"> </w:t>
      </w:r>
      <w:proofErr w:type="gramStart"/>
      <w:r w:rsidRPr="00EE079E">
        <w:rPr>
          <w:rFonts w:ascii="Arial" w:hAnsi="Arial" w:cs="Arial"/>
          <w:sz w:val="24"/>
          <w:szCs w:val="24"/>
        </w:rPr>
        <w:t>New York, McGraw-Hill.</w:t>
      </w:r>
      <w:proofErr w:type="gramEnd"/>
    </w:p>
    <w:p w:rsidR="00D34364" w:rsidRPr="00EE079E" w:rsidRDefault="00D34364" w:rsidP="00D34364">
      <w:pPr>
        <w:spacing w:after="0" w:line="240" w:lineRule="auto"/>
        <w:jc w:val="both"/>
        <w:rPr>
          <w:rFonts w:ascii="Arial" w:hAnsi="Arial" w:cs="Arial"/>
          <w:sz w:val="24"/>
          <w:szCs w:val="24"/>
        </w:rPr>
      </w:pPr>
    </w:p>
    <w:p w:rsidR="00D34364" w:rsidRPr="00EE079E" w:rsidRDefault="00D34364" w:rsidP="00D34364">
      <w:pPr>
        <w:spacing w:after="0" w:line="240" w:lineRule="auto"/>
        <w:jc w:val="both"/>
        <w:rPr>
          <w:rFonts w:ascii="Arial" w:hAnsi="Arial" w:cs="Arial"/>
          <w:sz w:val="24"/>
          <w:szCs w:val="24"/>
        </w:rPr>
      </w:pPr>
      <w:proofErr w:type="spellStart"/>
      <w:r w:rsidRPr="00EE079E">
        <w:rPr>
          <w:rFonts w:ascii="Arial" w:hAnsi="Arial" w:cs="Arial"/>
          <w:sz w:val="24"/>
          <w:szCs w:val="24"/>
        </w:rPr>
        <w:t>Soenen</w:t>
      </w:r>
      <w:proofErr w:type="spellEnd"/>
      <w:r w:rsidRPr="00EE079E">
        <w:rPr>
          <w:rFonts w:ascii="Arial" w:hAnsi="Arial" w:cs="Arial"/>
          <w:sz w:val="24"/>
          <w:szCs w:val="24"/>
        </w:rPr>
        <w:t xml:space="preserve">, L.A., </w:t>
      </w:r>
      <w:proofErr w:type="spellStart"/>
      <w:r w:rsidRPr="00EE079E">
        <w:rPr>
          <w:rFonts w:ascii="Arial" w:hAnsi="Arial" w:cs="Arial"/>
          <w:sz w:val="24"/>
          <w:szCs w:val="24"/>
        </w:rPr>
        <w:t>Hennigar</w:t>
      </w:r>
      <w:proofErr w:type="gramStart"/>
      <w:r w:rsidRPr="00EE079E">
        <w:rPr>
          <w:rFonts w:ascii="Arial" w:hAnsi="Arial" w:cs="Arial"/>
          <w:sz w:val="24"/>
          <w:szCs w:val="24"/>
        </w:rPr>
        <w:t>,E.S</w:t>
      </w:r>
      <w:proofErr w:type="spellEnd"/>
      <w:proofErr w:type="gramEnd"/>
      <w:r w:rsidRPr="00EE079E">
        <w:rPr>
          <w:rFonts w:ascii="Arial" w:hAnsi="Arial" w:cs="Arial"/>
          <w:sz w:val="24"/>
          <w:szCs w:val="24"/>
        </w:rPr>
        <w:t xml:space="preserve">. (1988). </w:t>
      </w:r>
      <w:r w:rsidR="006D3BB9">
        <w:rPr>
          <w:rFonts w:ascii="Arial" w:hAnsi="Arial" w:cs="Arial"/>
          <w:sz w:val="24"/>
          <w:szCs w:val="24"/>
        </w:rPr>
        <w:t>“</w:t>
      </w:r>
      <w:r w:rsidRPr="00EE079E">
        <w:rPr>
          <w:rFonts w:ascii="Arial" w:hAnsi="Arial" w:cs="Arial"/>
          <w:sz w:val="24"/>
          <w:szCs w:val="24"/>
        </w:rPr>
        <w:t>An Analysis of Exchange Rates and Stock Prices - The US Experience between 1980 and 1986</w:t>
      </w:r>
      <w:r w:rsidR="006D3BB9">
        <w:rPr>
          <w:rFonts w:ascii="Arial" w:hAnsi="Arial" w:cs="Arial"/>
          <w:sz w:val="24"/>
          <w:szCs w:val="24"/>
        </w:rPr>
        <w:t>”</w:t>
      </w:r>
      <w:r w:rsidRPr="00EE079E">
        <w:rPr>
          <w:rFonts w:ascii="Arial" w:hAnsi="Arial" w:cs="Arial"/>
          <w:sz w:val="24"/>
          <w:szCs w:val="24"/>
        </w:rPr>
        <w:t xml:space="preserve">, </w:t>
      </w:r>
      <w:r w:rsidRPr="00EE079E">
        <w:rPr>
          <w:rFonts w:ascii="Arial" w:hAnsi="Arial" w:cs="Arial"/>
          <w:i/>
          <w:sz w:val="24"/>
          <w:szCs w:val="24"/>
        </w:rPr>
        <w:t>Akron Business and Economic Review</w:t>
      </w:r>
      <w:r w:rsidR="00D22801">
        <w:rPr>
          <w:rFonts w:ascii="Arial" w:hAnsi="Arial" w:cs="Arial"/>
          <w:sz w:val="24"/>
          <w:szCs w:val="24"/>
        </w:rPr>
        <w:t>, 7-16.</w:t>
      </w:r>
    </w:p>
    <w:p w:rsidR="00BA11FD" w:rsidRDefault="00BA11FD" w:rsidP="00D22801">
      <w:pPr>
        <w:spacing w:after="0" w:line="240" w:lineRule="auto"/>
        <w:rPr>
          <w:rFonts w:ascii="Arial" w:hAnsi="Arial" w:cs="Arial"/>
          <w:sz w:val="24"/>
          <w:szCs w:val="24"/>
        </w:rPr>
      </w:pPr>
    </w:p>
    <w:p w:rsidR="00D34364" w:rsidRPr="00EE079E" w:rsidRDefault="00D34364" w:rsidP="00D22801">
      <w:pPr>
        <w:spacing w:after="0" w:line="240" w:lineRule="auto"/>
        <w:rPr>
          <w:rFonts w:ascii="Arial" w:hAnsi="Arial" w:cs="Arial"/>
          <w:sz w:val="24"/>
          <w:szCs w:val="24"/>
        </w:rPr>
        <w:sectPr w:rsidR="00D34364" w:rsidRPr="00EE079E" w:rsidSect="00170050">
          <w:pgSz w:w="11906" w:h="16838"/>
          <w:pgMar w:top="1417" w:right="1417" w:bottom="1417" w:left="1417" w:header="708" w:footer="708" w:gutter="0"/>
          <w:cols w:space="708"/>
          <w:docGrid w:linePitch="360"/>
        </w:sectPr>
      </w:pPr>
      <w:proofErr w:type="spellStart"/>
      <w:r w:rsidRPr="00EE079E">
        <w:rPr>
          <w:rFonts w:ascii="Arial" w:hAnsi="Arial" w:cs="Arial"/>
          <w:sz w:val="24"/>
          <w:szCs w:val="24"/>
        </w:rPr>
        <w:lastRenderedPageBreak/>
        <w:t>Solnik</w:t>
      </w:r>
      <w:proofErr w:type="spellEnd"/>
      <w:r w:rsidRPr="00EE079E">
        <w:rPr>
          <w:rFonts w:ascii="Arial" w:hAnsi="Arial" w:cs="Arial"/>
          <w:sz w:val="24"/>
          <w:szCs w:val="24"/>
        </w:rPr>
        <w:t xml:space="preserve">, B. (1987). </w:t>
      </w:r>
      <w:proofErr w:type="gramStart"/>
      <w:r w:rsidR="006D3BB9">
        <w:rPr>
          <w:rFonts w:ascii="Arial" w:hAnsi="Arial" w:cs="Arial"/>
          <w:sz w:val="24"/>
          <w:szCs w:val="24"/>
        </w:rPr>
        <w:t>“</w:t>
      </w:r>
      <w:r w:rsidRPr="00EE079E">
        <w:rPr>
          <w:rFonts w:ascii="Arial" w:hAnsi="Arial" w:cs="Arial"/>
          <w:sz w:val="24"/>
          <w:szCs w:val="24"/>
        </w:rPr>
        <w:t>Using Financial Prices to Test Exchange Rate Models: A Note.</w:t>
      </w:r>
      <w:proofErr w:type="gramEnd"/>
      <w:r w:rsidRPr="00EE079E">
        <w:rPr>
          <w:rFonts w:ascii="Arial" w:hAnsi="Arial" w:cs="Arial"/>
          <w:sz w:val="24"/>
          <w:szCs w:val="24"/>
        </w:rPr>
        <w:t xml:space="preserve"> </w:t>
      </w:r>
      <w:r w:rsidRPr="00EE079E">
        <w:rPr>
          <w:rFonts w:ascii="Arial" w:hAnsi="Arial" w:cs="Arial"/>
          <w:i/>
          <w:sz w:val="24"/>
          <w:szCs w:val="24"/>
        </w:rPr>
        <w:t>Journal of Finance</w:t>
      </w:r>
      <w:r w:rsidR="006D3BB9">
        <w:rPr>
          <w:rFonts w:ascii="Arial" w:hAnsi="Arial" w:cs="Arial"/>
          <w:i/>
          <w:sz w:val="24"/>
          <w:szCs w:val="24"/>
        </w:rPr>
        <w:t>”</w:t>
      </w:r>
      <w:r w:rsidRPr="00EE079E">
        <w:rPr>
          <w:rFonts w:ascii="Arial" w:hAnsi="Arial" w:cs="Arial"/>
          <w:sz w:val="24"/>
          <w:szCs w:val="24"/>
        </w:rPr>
        <w:t>, 42, 141–149.</w:t>
      </w:r>
    </w:p>
    <w:tbl>
      <w:tblPr>
        <w:tblpPr w:leftFromText="141" w:rightFromText="141" w:vertAnchor="text" w:horzAnchor="margin" w:tblpXSpec="center" w:tblpY="519"/>
        <w:tblW w:w="12476" w:type="dxa"/>
        <w:tblCellMar>
          <w:left w:w="70" w:type="dxa"/>
          <w:right w:w="70" w:type="dxa"/>
        </w:tblCellMar>
        <w:tblLook w:val="04A0" w:firstRow="1" w:lastRow="0" w:firstColumn="1" w:lastColumn="0" w:noHBand="0" w:noVBand="1"/>
      </w:tblPr>
      <w:tblGrid>
        <w:gridCol w:w="3116"/>
        <w:gridCol w:w="760"/>
        <w:gridCol w:w="760"/>
        <w:gridCol w:w="760"/>
        <w:gridCol w:w="760"/>
        <w:gridCol w:w="863"/>
        <w:gridCol w:w="863"/>
        <w:gridCol w:w="863"/>
        <w:gridCol w:w="863"/>
        <w:gridCol w:w="863"/>
        <w:gridCol w:w="863"/>
        <w:gridCol w:w="863"/>
        <w:gridCol w:w="863"/>
      </w:tblGrid>
      <w:tr w:rsidR="00D34364" w:rsidRPr="00EE079E" w:rsidTr="000A2DE6">
        <w:trPr>
          <w:trHeight w:val="270"/>
        </w:trPr>
        <w:tc>
          <w:tcPr>
            <w:tcW w:w="3116" w:type="dxa"/>
            <w:tcBorders>
              <w:top w:val="single" w:sz="4" w:space="0" w:color="auto"/>
              <w:left w:val="single" w:sz="4" w:space="0" w:color="auto"/>
              <w:bottom w:val="nil"/>
              <w:right w:val="single" w:sz="4" w:space="0" w:color="auto"/>
            </w:tcBorders>
            <w:shd w:val="clear" w:color="auto" w:fill="auto"/>
            <w:noWrap/>
            <w:vAlign w:val="bottom"/>
            <w:hideMark/>
          </w:tcPr>
          <w:p w:rsidR="00D34364" w:rsidRPr="00EE079E" w:rsidRDefault="00D34364" w:rsidP="00EE079E">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lastRenderedPageBreak/>
              <w:t>ANALYTIC PRESENTATION  (Million US Dollars)</w:t>
            </w:r>
          </w:p>
        </w:tc>
        <w:tc>
          <w:tcPr>
            <w:tcW w:w="76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6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6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6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r>
      <w:tr w:rsidR="00D34364" w:rsidRPr="00EE079E" w:rsidTr="000A2DE6">
        <w:trPr>
          <w:trHeight w:val="270"/>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p>
        </w:tc>
        <w:tc>
          <w:tcPr>
            <w:tcW w:w="76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2001 </w:t>
            </w:r>
          </w:p>
        </w:tc>
        <w:tc>
          <w:tcPr>
            <w:tcW w:w="76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2002 </w:t>
            </w:r>
          </w:p>
        </w:tc>
        <w:tc>
          <w:tcPr>
            <w:tcW w:w="76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2003 </w:t>
            </w:r>
          </w:p>
        </w:tc>
        <w:tc>
          <w:tcPr>
            <w:tcW w:w="76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2004 </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2005 </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2006 </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2007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2008 </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2009 </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2010 </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2011 </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xml:space="preserve">2012 </w:t>
            </w:r>
          </w:p>
        </w:tc>
      </w:tr>
      <w:tr w:rsidR="00D34364" w:rsidRPr="00EE079E" w:rsidTr="00D055DE">
        <w:trPr>
          <w:trHeight w:val="270"/>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CURRENT ACCOUNT</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3.760</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-626</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-7.554</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-14.198</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-21.449</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-31.836</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-37.781</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-40.438</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-12.168</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-45.447</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-75.092</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-48.504</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 xml:space="preserve">       Exports f.o.b.</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34.729</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40.719</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52.394</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68.535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78.365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93.613</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115.361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140.800</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109.647</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120.902</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143.396</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163.221</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 xml:space="preserve">       Imports f.o.b.</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-38.092</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-47.109</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-65.883</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-91.271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-111.445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-134.671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-162.213</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-193.821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-134.497</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-177.315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-232.535</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-228.553</w:t>
            </w:r>
          </w:p>
        </w:tc>
      </w:tr>
      <w:tr w:rsidR="00D34364" w:rsidRPr="00EE079E" w:rsidTr="000A2DE6">
        <w:trPr>
          <w:trHeight w:val="270"/>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jc w:val="right"/>
              <w:rPr>
                <w:rFonts w:ascii="Arial" w:eastAsia="Times New Roman" w:hAnsi="Arial" w:cs="Arial"/>
                <w:bCs/>
                <w:sz w:val="20"/>
                <w:szCs w:val="20"/>
                <w:lang w:eastAsia="tr-TR"/>
              </w:rPr>
            </w:pPr>
            <w:r w:rsidRPr="00EE079E">
              <w:rPr>
                <w:rFonts w:ascii="Arial" w:eastAsia="Times New Roman" w:hAnsi="Arial" w:cs="Arial"/>
                <w:bCs/>
                <w:sz w:val="20"/>
                <w:szCs w:val="20"/>
                <w:lang w:eastAsia="tr-TR"/>
              </w:rPr>
              <w:t>Balance on Goods</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-3.363</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-6.390</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-13.489</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-22.736</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-33.080</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-41.058</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-46.852</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-53.021</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-24.850</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-56.413</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-89.139</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-65.332</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 xml:space="preserve">       Services: Credit</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15.203</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14.031</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18.047</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23.364</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27.958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26.195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29.928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36.978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35.653</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36.279</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40.668</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43.150</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 xml:space="preserve">       Services: Debit</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-6.067</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-6.146</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-7.575</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-10.334</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-11.942</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-12.210</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-15.974</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-18.161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-17.072</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-19.621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-20.538</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-20.548</w:t>
            </w:r>
          </w:p>
        </w:tc>
      </w:tr>
      <w:tr w:rsidR="00D34364" w:rsidRPr="00EE079E" w:rsidTr="000A2DE6">
        <w:trPr>
          <w:trHeight w:val="270"/>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jc w:val="right"/>
              <w:rPr>
                <w:rFonts w:ascii="Arial" w:eastAsia="Times New Roman" w:hAnsi="Arial" w:cs="Arial"/>
                <w:bCs/>
                <w:sz w:val="20"/>
                <w:szCs w:val="20"/>
                <w:lang w:eastAsia="tr-TR"/>
              </w:rPr>
            </w:pPr>
            <w:r w:rsidRPr="00EE079E">
              <w:rPr>
                <w:rFonts w:ascii="Arial" w:eastAsia="Times New Roman" w:hAnsi="Arial" w:cs="Arial"/>
                <w:bCs/>
                <w:sz w:val="20"/>
                <w:szCs w:val="20"/>
                <w:lang w:eastAsia="tr-TR"/>
              </w:rPr>
              <w:t>Balance on Goods and Services</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5.773</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1.495</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-3.017</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-9.706</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-17.064</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-27.073</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-32.898</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-34.204</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-6.269</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-39.755</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-69.009</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-42.730</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 xml:space="preserve">       Income: Credit</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2.753</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2.486</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2.246</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2.651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3.644</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4.418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6.423</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6.889</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5.164</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4.477</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3.952</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5.034</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 xml:space="preserve">       Income: Debit</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-7.753</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-7.040</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-7.803</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-8.260</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-9.483</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-11.074</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-13.531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-15.255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-13.472</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-11.692</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-11.793</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-12.191</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jc w:val="right"/>
              <w:rPr>
                <w:rFonts w:ascii="Arial" w:eastAsia="Times New Roman" w:hAnsi="Arial" w:cs="Arial"/>
                <w:bCs/>
                <w:sz w:val="20"/>
                <w:szCs w:val="20"/>
                <w:lang w:eastAsia="tr-TR"/>
              </w:rPr>
            </w:pPr>
            <w:r w:rsidRPr="00EE079E">
              <w:rPr>
                <w:rFonts w:ascii="Arial" w:eastAsia="Times New Roman" w:hAnsi="Arial" w:cs="Arial"/>
                <w:bCs/>
                <w:sz w:val="20"/>
                <w:szCs w:val="20"/>
                <w:lang w:eastAsia="tr-TR"/>
              </w:rPr>
              <w:t>Balance on Goods, Services and Income</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773</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-3.059</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-8.574</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-15.315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-22.903</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-33.729</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-40.006</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-42.570</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-14.577</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-46.970</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-76.850</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-49.887</w:t>
            </w:r>
          </w:p>
        </w:tc>
      </w:tr>
      <w:tr w:rsidR="00D34364" w:rsidRPr="00EE079E" w:rsidTr="000A2DE6">
        <w:trPr>
          <w:trHeight w:val="270"/>
        </w:trPr>
        <w:tc>
          <w:tcPr>
            <w:tcW w:w="3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 xml:space="preserve">       Current Transfers</w:t>
            </w:r>
          </w:p>
        </w:tc>
        <w:tc>
          <w:tcPr>
            <w:tcW w:w="76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2.987</w:t>
            </w:r>
          </w:p>
        </w:tc>
        <w:tc>
          <w:tcPr>
            <w:tcW w:w="76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2.433</w:t>
            </w:r>
          </w:p>
        </w:tc>
        <w:tc>
          <w:tcPr>
            <w:tcW w:w="76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1.020</w:t>
            </w:r>
          </w:p>
        </w:tc>
        <w:tc>
          <w:tcPr>
            <w:tcW w:w="76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1.117</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1.454</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1.893</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2.225</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2.132</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2.409</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1.523</w:t>
            </w:r>
          </w:p>
        </w:tc>
        <w:tc>
          <w:tcPr>
            <w:tcW w:w="790" w:type="dxa"/>
            <w:tcBorders>
              <w:top w:val="single" w:sz="4" w:space="0" w:color="auto"/>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1.758</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1.383</w:t>
            </w:r>
          </w:p>
        </w:tc>
      </w:tr>
      <w:tr w:rsidR="00D34364" w:rsidRPr="00EE079E" w:rsidTr="00D055DE">
        <w:trPr>
          <w:trHeight w:val="270"/>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CAPITAL ACCOUNT</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-8</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-61</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-43</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-51</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-25</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-44</w:t>
            </w:r>
          </w:p>
        </w:tc>
      </w:tr>
      <w:tr w:rsidR="00D34364" w:rsidRPr="00EE079E" w:rsidTr="00D055DE">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FINANCIAL ACCOUNT</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-14.557</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1.172</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7.162</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17.702</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42.685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42.689</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49.287</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34.730</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10.123</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59.061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66.698</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70.172</w:t>
            </w:r>
          </w:p>
        </w:tc>
      </w:tr>
      <w:tr w:rsidR="00D34364" w:rsidRPr="00EE079E" w:rsidTr="000A2DE6">
        <w:trPr>
          <w:trHeight w:val="270"/>
        </w:trPr>
        <w:tc>
          <w:tcPr>
            <w:tcW w:w="3116" w:type="dxa"/>
            <w:tcBorders>
              <w:top w:val="single" w:sz="4" w:space="0" w:color="auto"/>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jc w:val="right"/>
              <w:rPr>
                <w:rFonts w:ascii="Arial" w:eastAsia="Times New Roman" w:hAnsi="Arial" w:cs="Arial"/>
                <w:bCs/>
                <w:sz w:val="20"/>
                <w:szCs w:val="20"/>
                <w:lang w:eastAsia="tr-TR"/>
              </w:rPr>
            </w:pPr>
            <w:r w:rsidRPr="00EE079E">
              <w:rPr>
                <w:rFonts w:ascii="Arial" w:eastAsia="Times New Roman" w:hAnsi="Arial" w:cs="Arial"/>
                <w:bCs/>
                <w:sz w:val="20"/>
                <w:szCs w:val="20"/>
                <w:lang w:eastAsia="tr-TR"/>
              </w:rPr>
              <w:t>Current, Capital and Financial Account</w:t>
            </w:r>
          </w:p>
        </w:tc>
        <w:tc>
          <w:tcPr>
            <w:tcW w:w="76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-10.797</w:t>
            </w:r>
          </w:p>
        </w:tc>
        <w:tc>
          <w:tcPr>
            <w:tcW w:w="76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546</w:t>
            </w:r>
          </w:p>
        </w:tc>
        <w:tc>
          <w:tcPr>
            <w:tcW w:w="76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-392</w:t>
            </w:r>
          </w:p>
        </w:tc>
        <w:tc>
          <w:tcPr>
            <w:tcW w:w="76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3.504</w:t>
            </w:r>
          </w:p>
        </w:tc>
        <w:tc>
          <w:tcPr>
            <w:tcW w:w="79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21.236</w:t>
            </w:r>
          </w:p>
        </w:tc>
        <w:tc>
          <w:tcPr>
            <w:tcW w:w="79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10.853</w:t>
            </w:r>
          </w:p>
        </w:tc>
        <w:tc>
          <w:tcPr>
            <w:tcW w:w="79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11.498</w:t>
            </w:r>
          </w:p>
        </w:tc>
        <w:tc>
          <w:tcPr>
            <w:tcW w:w="79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-5.769</w:t>
            </w:r>
          </w:p>
        </w:tc>
        <w:tc>
          <w:tcPr>
            <w:tcW w:w="79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-2.088</w:t>
            </w:r>
          </w:p>
        </w:tc>
        <w:tc>
          <w:tcPr>
            <w:tcW w:w="79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13.563</w:t>
            </w:r>
          </w:p>
        </w:tc>
        <w:tc>
          <w:tcPr>
            <w:tcW w:w="790" w:type="dxa"/>
            <w:tcBorders>
              <w:top w:val="single" w:sz="4" w:space="0" w:color="auto"/>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-8.419</w:t>
            </w:r>
          </w:p>
        </w:tc>
        <w:tc>
          <w:tcPr>
            <w:tcW w:w="790" w:type="dxa"/>
            <w:tcBorders>
              <w:top w:val="single" w:sz="4" w:space="0" w:color="auto"/>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21.624</w:t>
            </w:r>
          </w:p>
        </w:tc>
      </w:tr>
      <w:tr w:rsidR="00D34364" w:rsidRPr="00EE079E" w:rsidTr="00D055DE">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NET ERRORS AND OMMISSIONS</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-2.127</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-758</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4.489</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838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1.964</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-228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517</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3.011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2.879</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1.405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9.433</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1.197</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jc w:val="right"/>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GLOBAL BALANCE</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-12.924</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-212</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4.097</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4.342</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23.200</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10.625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12.015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-2.758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791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14.968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1.014</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22.821</w:t>
            </w:r>
          </w:p>
        </w:tc>
      </w:tr>
      <w:tr w:rsidR="00D34364" w:rsidRPr="00EE079E" w:rsidTr="00D055DE">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RESERVE ASSETS</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12.924</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212</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-4.097</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-4.342</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-23.200</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-10.625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-12.015</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2.758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-791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-14.968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-1.014</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
                <w:bCs/>
                <w:sz w:val="20"/>
                <w:szCs w:val="20"/>
                <w:lang w:eastAsia="tr-TR"/>
              </w:rPr>
            </w:pPr>
            <w:r w:rsidRPr="00EE079E">
              <w:rPr>
                <w:rFonts w:ascii="Arial" w:eastAsia="Times New Roman" w:hAnsi="Arial" w:cs="Arial"/>
                <w:b/>
                <w:bCs/>
                <w:sz w:val="20"/>
                <w:szCs w:val="20"/>
                <w:lang w:eastAsia="tr-TR"/>
              </w:rPr>
              <w:t>-22.821</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 xml:space="preserve">       Official Reserves</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2.694</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-6.153</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-4.047</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-824</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-17.847</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-6.114</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-8.032</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1.057</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-111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-12.809</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1.813</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-20.814</w:t>
            </w:r>
          </w:p>
        </w:tc>
      </w:tr>
      <w:tr w:rsidR="00D34364" w:rsidRPr="00EE079E" w:rsidTr="000A2DE6">
        <w:trPr>
          <w:trHeight w:val="270"/>
        </w:trPr>
        <w:tc>
          <w:tcPr>
            <w:tcW w:w="3116" w:type="dxa"/>
            <w:tcBorders>
              <w:top w:val="nil"/>
              <w:left w:val="single" w:sz="4" w:space="0" w:color="auto"/>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 xml:space="preserve">       Use of Fund Credits and Loans</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10.230</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6.365</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-50</w:t>
            </w:r>
          </w:p>
        </w:tc>
        <w:tc>
          <w:tcPr>
            <w:tcW w:w="76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-3.518</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-5.353</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-4.511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-3.983</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1.701</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-680</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-2.159</w:t>
            </w:r>
          </w:p>
        </w:tc>
        <w:tc>
          <w:tcPr>
            <w:tcW w:w="790" w:type="dxa"/>
            <w:tcBorders>
              <w:top w:val="nil"/>
              <w:left w:val="nil"/>
              <w:bottom w:val="nil"/>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-2.827</w:t>
            </w:r>
          </w:p>
        </w:tc>
        <w:tc>
          <w:tcPr>
            <w:tcW w:w="790" w:type="dxa"/>
            <w:tcBorders>
              <w:top w:val="nil"/>
              <w:left w:val="nil"/>
              <w:bottom w:val="nil"/>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-2.007</w:t>
            </w:r>
          </w:p>
        </w:tc>
      </w:tr>
      <w:tr w:rsidR="00D34364" w:rsidRPr="00EE079E" w:rsidTr="000A2DE6">
        <w:trPr>
          <w:trHeight w:val="270"/>
        </w:trPr>
        <w:tc>
          <w:tcPr>
            <w:tcW w:w="3116" w:type="dxa"/>
            <w:tcBorders>
              <w:top w:val="nil"/>
              <w:left w:val="single" w:sz="4" w:space="0" w:color="auto"/>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bCs/>
                <w:sz w:val="20"/>
                <w:szCs w:val="20"/>
                <w:lang w:eastAsia="tr-TR"/>
              </w:rPr>
            </w:pPr>
            <w:r w:rsidRPr="00EE079E">
              <w:rPr>
                <w:rFonts w:ascii="Arial" w:eastAsia="Times New Roman" w:hAnsi="Arial" w:cs="Arial"/>
                <w:bCs/>
                <w:sz w:val="20"/>
                <w:szCs w:val="20"/>
                <w:lang w:eastAsia="tr-TR"/>
              </w:rPr>
              <w:t>Exceptional Financing</w:t>
            </w:r>
          </w:p>
        </w:tc>
        <w:tc>
          <w:tcPr>
            <w:tcW w:w="760" w:type="dxa"/>
            <w:tcBorders>
              <w:top w:val="nil"/>
              <w:left w:val="nil"/>
              <w:bottom w:val="single" w:sz="4" w:space="0" w:color="auto"/>
              <w:right w:val="nil"/>
            </w:tcBorders>
            <w:shd w:val="clear" w:color="auto" w:fill="auto"/>
            <w:noWrap/>
            <w:vAlign w:val="bottom"/>
            <w:hideMark/>
          </w:tcPr>
          <w:p w:rsidR="00D22801"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6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90" w:type="dxa"/>
            <w:tcBorders>
              <w:top w:val="nil"/>
              <w:left w:val="nil"/>
              <w:bottom w:val="single" w:sz="4" w:space="0" w:color="auto"/>
              <w:right w:val="nil"/>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c>
          <w:tcPr>
            <w:tcW w:w="790" w:type="dxa"/>
            <w:tcBorders>
              <w:top w:val="nil"/>
              <w:left w:val="nil"/>
              <w:bottom w:val="single" w:sz="4" w:space="0" w:color="auto"/>
              <w:right w:val="single" w:sz="4" w:space="0" w:color="auto"/>
            </w:tcBorders>
            <w:shd w:val="clear" w:color="auto" w:fill="auto"/>
            <w:noWrap/>
            <w:vAlign w:val="bottom"/>
            <w:hideMark/>
          </w:tcPr>
          <w:p w:rsidR="00D34364" w:rsidRPr="00EE079E" w:rsidRDefault="00D34364" w:rsidP="000A2DE6">
            <w:pPr>
              <w:spacing w:after="0" w:line="240" w:lineRule="auto"/>
              <w:rPr>
                <w:rFonts w:ascii="Arial" w:eastAsia="Times New Roman" w:hAnsi="Arial" w:cs="Arial"/>
                <w:sz w:val="20"/>
                <w:szCs w:val="20"/>
                <w:lang w:eastAsia="tr-TR"/>
              </w:rPr>
            </w:pPr>
            <w:r w:rsidRPr="00EE079E">
              <w:rPr>
                <w:rFonts w:ascii="Arial" w:eastAsia="Times New Roman" w:hAnsi="Arial" w:cs="Arial"/>
                <w:sz w:val="20"/>
                <w:szCs w:val="20"/>
                <w:lang w:eastAsia="tr-TR"/>
              </w:rPr>
              <w:t> </w:t>
            </w:r>
          </w:p>
        </w:tc>
      </w:tr>
    </w:tbl>
    <w:p w:rsidR="00D34364" w:rsidRPr="00EE079E" w:rsidRDefault="00BA11FD" w:rsidP="00D34364">
      <w:pPr>
        <w:spacing w:after="0" w:line="240" w:lineRule="auto"/>
        <w:rPr>
          <w:rFonts w:ascii="Arial" w:hAnsi="Arial" w:cs="Arial"/>
          <w:sz w:val="24"/>
          <w:szCs w:val="24"/>
        </w:rPr>
      </w:pPr>
      <w:r>
        <w:rPr>
          <w:rFonts w:ascii="Times New Roman" w:hAnsi="Times New Roman" w:cs="Times New Roman"/>
          <w:sz w:val="24"/>
          <w:szCs w:val="24"/>
        </w:rPr>
        <w:t xml:space="preserve">      </w:t>
      </w:r>
      <w:r w:rsidR="00EE079E">
        <w:rPr>
          <w:rFonts w:ascii="Times New Roman" w:hAnsi="Times New Roman" w:cs="Times New Roman"/>
          <w:sz w:val="24"/>
          <w:szCs w:val="24"/>
        </w:rPr>
        <w:t xml:space="preserve"> </w:t>
      </w:r>
      <w:r w:rsidR="00D34364" w:rsidRPr="00EE079E">
        <w:rPr>
          <w:rFonts w:ascii="Arial" w:hAnsi="Arial" w:cs="Arial"/>
          <w:b/>
          <w:sz w:val="24"/>
          <w:szCs w:val="24"/>
        </w:rPr>
        <w:t>Appendix -</w:t>
      </w:r>
      <w:r w:rsidR="00D34364" w:rsidRPr="00EE079E">
        <w:rPr>
          <w:rFonts w:ascii="Arial" w:hAnsi="Arial" w:cs="Arial"/>
          <w:sz w:val="24"/>
          <w:szCs w:val="24"/>
        </w:rPr>
        <w:t xml:space="preserve"> Balance Of Payments</w:t>
      </w:r>
    </w:p>
    <w:p w:rsidR="00D34364" w:rsidRPr="00BB7F25" w:rsidRDefault="00EE079E" w:rsidP="00D34364">
      <w:pPr>
        <w:spacing w:after="0" w:line="240" w:lineRule="auto"/>
        <w:rPr>
          <w:rFonts w:ascii="Arial" w:hAnsi="Arial" w:cs="Arial"/>
          <w:sz w:val="24"/>
          <w:szCs w:val="24"/>
        </w:rPr>
      </w:pPr>
      <w:r>
        <w:rPr>
          <w:rFonts w:ascii="Arial" w:hAnsi="Arial" w:cs="Arial"/>
          <w:sz w:val="24"/>
          <w:szCs w:val="24"/>
        </w:rPr>
        <w:t xml:space="preserve">      </w:t>
      </w:r>
      <w:r w:rsidR="00BA11FD">
        <w:rPr>
          <w:rFonts w:ascii="Arial" w:hAnsi="Arial" w:cs="Arial"/>
          <w:sz w:val="24"/>
          <w:szCs w:val="24"/>
        </w:rPr>
        <w:t xml:space="preserve"> </w:t>
      </w:r>
      <w:r w:rsidR="00D22801" w:rsidRPr="00EE079E">
        <w:rPr>
          <w:rFonts w:ascii="Arial" w:hAnsi="Arial" w:cs="Arial"/>
          <w:sz w:val="24"/>
          <w:szCs w:val="24"/>
        </w:rPr>
        <w:t>Source: Central Bank of the Republic of Turkey, Statistics Department, Balance of Payments Division</w:t>
      </w: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93EDC" w:rsidRDefault="00D34364" w:rsidP="00D34364">
      <w:pPr>
        <w:spacing w:after="0" w:line="240" w:lineRule="auto"/>
        <w:rPr>
          <w:rFonts w:ascii="Times New Roman" w:hAnsi="Times New Roman" w:cs="Times New Roman"/>
          <w:sz w:val="24"/>
          <w:szCs w:val="24"/>
        </w:rPr>
      </w:pPr>
    </w:p>
    <w:p w:rsidR="00D34364" w:rsidRPr="00EE079E" w:rsidRDefault="00EE079E" w:rsidP="00EE079E">
      <w:pPr>
        <w:spacing w:after="0" w:line="240" w:lineRule="auto"/>
        <w:rPr>
          <w:rFonts w:ascii="Arial" w:hAnsi="Arial" w:cs="Arial"/>
          <w:sz w:val="24"/>
          <w:szCs w:val="24"/>
        </w:rPr>
      </w:pPr>
      <w:r>
        <w:rPr>
          <w:rFonts w:ascii="Arial" w:hAnsi="Arial" w:cs="Arial"/>
          <w:sz w:val="24"/>
          <w:szCs w:val="24"/>
        </w:rPr>
        <w:t xml:space="preserve">         </w:t>
      </w:r>
    </w:p>
    <w:p w:rsidR="00D34364" w:rsidRPr="00EE079E" w:rsidRDefault="00D34364" w:rsidP="00D34364">
      <w:pPr>
        <w:spacing w:after="0" w:line="240" w:lineRule="auto"/>
        <w:jc w:val="both"/>
        <w:rPr>
          <w:rFonts w:ascii="Arial" w:hAnsi="Arial" w:cs="Arial"/>
          <w:sz w:val="24"/>
          <w:szCs w:val="24"/>
        </w:rPr>
      </w:pPr>
    </w:p>
    <w:sectPr w:rsidR="00D34364" w:rsidRPr="00EE079E" w:rsidSect="00D3436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96" w:rsidRDefault="00D37F96" w:rsidP="004E0AAC">
      <w:pPr>
        <w:spacing w:after="0" w:line="240" w:lineRule="auto"/>
      </w:pPr>
      <w:r>
        <w:separator/>
      </w:r>
    </w:p>
  </w:endnote>
  <w:endnote w:type="continuationSeparator" w:id="0">
    <w:p w:rsidR="00D37F96" w:rsidRDefault="00D37F96" w:rsidP="004E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894671"/>
      <w:docPartObj>
        <w:docPartGallery w:val="Page Numbers (Bottom of Page)"/>
        <w:docPartUnique/>
      </w:docPartObj>
    </w:sdtPr>
    <w:sdtEndPr/>
    <w:sdtContent>
      <w:p w:rsidR="009F4205" w:rsidRDefault="009F4205">
        <w:pPr>
          <w:pStyle w:val="Altbilgi"/>
          <w:jc w:val="right"/>
        </w:pPr>
        <w:r>
          <w:fldChar w:fldCharType="begin"/>
        </w:r>
        <w:r>
          <w:instrText>PAGE   \* MERGEFORMAT</w:instrText>
        </w:r>
        <w:r>
          <w:fldChar w:fldCharType="separate"/>
        </w:r>
        <w:r w:rsidR="00BB7F25" w:rsidRPr="00BB7F25">
          <w:rPr>
            <w:noProof/>
            <w:lang w:val="tr-TR"/>
          </w:rPr>
          <w:t>1</w:t>
        </w:r>
        <w:r>
          <w:fldChar w:fldCharType="end"/>
        </w:r>
      </w:p>
    </w:sdtContent>
  </w:sdt>
  <w:p w:rsidR="009F4205" w:rsidRDefault="009F42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96" w:rsidRDefault="00D37F96" w:rsidP="004E0AAC">
      <w:pPr>
        <w:spacing w:after="0" w:line="240" w:lineRule="auto"/>
      </w:pPr>
      <w:r>
        <w:separator/>
      </w:r>
    </w:p>
  </w:footnote>
  <w:footnote w:type="continuationSeparator" w:id="0">
    <w:p w:rsidR="00D37F96" w:rsidRDefault="00D37F96" w:rsidP="004E0AAC">
      <w:pPr>
        <w:spacing w:after="0" w:line="240" w:lineRule="auto"/>
      </w:pPr>
      <w:r>
        <w:continuationSeparator/>
      </w:r>
    </w:p>
  </w:footnote>
  <w:footnote w:id="1">
    <w:p w:rsidR="009F4205" w:rsidRPr="001C538D" w:rsidRDefault="009F4205" w:rsidP="001C538D">
      <w:pPr>
        <w:spacing w:after="0"/>
        <w:ind w:right="590"/>
        <w:rPr>
          <w:rFonts w:ascii="Arial" w:hAnsi="Arial" w:cs="Arial"/>
          <w:bCs/>
          <w:sz w:val="20"/>
          <w:szCs w:val="20"/>
        </w:rPr>
      </w:pPr>
      <w:r>
        <w:rPr>
          <w:rStyle w:val="DipnotBavurusu"/>
        </w:rPr>
        <w:footnoteRef/>
      </w:r>
      <w:r>
        <w:t xml:space="preserve"> </w:t>
      </w:r>
      <w:r w:rsidRPr="001C538D">
        <w:rPr>
          <w:rFonts w:ascii="Arial" w:hAnsi="Arial" w:cs="Arial"/>
          <w:bCs/>
          <w:sz w:val="20"/>
          <w:szCs w:val="20"/>
        </w:rPr>
        <w:t xml:space="preserve">Assistant Professor Department of Business, University of </w:t>
      </w:r>
      <w:proofErr w:type="spellStart"/>
      <w:r w:rsidRPr="001C538D">
        <w:rPr>
          <w:rFonts w:ascii="Arial" w:hAnsi="Arial" w:cs="Arial"/>
          <w:bCs/>
          <w:sz w:val="20"/>
          <w:szCs w:val="20"/>
        </w:rPr>
        <w:t>Aksaray</w:t>
      </w:r>
      <w:proofErr w:type="spellEnd"/>
      <w:r w:rsidRPr="001C538D">
        <w:rPr>
          <w:rFonts w:ascii="Arial" w:hAnsi="Arial" w:cs="Arial"/>
          <w:bCs/>
          <w:sz w:val="20"/>
          <w:szCs w:val="20"/>
        </w:rPr>
        <w:t xml:space="preserve">, Turkey </w:t>
      </w:r>
    </w:p>
    <w:p w:rsidR="009F4205" w:rsidRPr="001C538D" w:rsidRDefault="009F4205" w:rsidP="001C538D">
      <w:pPr>
        <w:spacing w:after="0"/>
        <w:ind w:right="590"/>
        <w:rPr>
          <w:rFonts w:ascii="Arial" w:hAnsi="Arial" w:cs="Arial"/>
          <w:bCs/>
          <w:sz w:val="20"/>
          <w:szCs w:val="20"/>
        </w:rPr>
      </w:pPr>
      <w:r w:rsidRPr="001C538D">
        <w:rPr>
          <w:rFonts w:ascii="Arial" w:hAnsi="Arial" w:cs="Arial"/>
          <w:bCs/>
          <w:sz w:val="20"/>
          <w:szCs w:val="20"/>
        </w:rPr>
        <w:t xml:space="preserve">E-mail: </w:t>
      </w:r>
      <w:hyperlink r:id="rId1" w:history="1">
        <w:r w:rsidRPr="00D572FD">
          <w:rPr>
            <w:rStyle w:val="Kpr"/>
            <w:rFonts w:ascii="Arial" w:hAnsi="Arial" w:cs="Arial"/>
            <w:bCs/>
            <w:sz w:val="20"/>
            <w:szCs w:val="20"/>
          </w:rPr>
          <w:t>hakanaltinasu@hotmail.com</w:t>
        </w:r>
      </w:hyperlink>
      <w:r>
        <w:rPr>
          <w:rFonts w:ascii="Arial" w:hAnsi="Arial" w:cs="Arial"/>
          <w:bCs/>
          <w:sz w:val="20"/>
          <w:szCs w:val="20"/>
        </w:rPr>
        <w:t xml:space="preserve"> </w:t>
      </w:r>
      <w:r w:rsidRPr="001C538D">
        <w:rPr>
          <w:rFonts w:ascii="Arial" w:hAnsi="Arial" w:cs="Arial"/>
          <w:bCs/>
          <w:sz w:val="20"/>
          <w:szCs w:val="20"/>
        </w:rPr>
        <w:t>Tel: +90 382 288 24 48</w:t>
      </w:r>
    </w:p>
    <w:p w:rsidR="009F4205" w:rsidRPr="001C538D" w:rsidRDefault="009F4205">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5CB"/>
    <w:multiLevelType w:val="hybridMultilevel"/>
    <w:tmpl w:val="A4A622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E13C61"/>
    <w:multiLevelType w:val="multilevel"/>
    <w:tmpl w:val="9F502B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5DF0A49"/>
    <w:multiLevelType w:val="multilevel"/>
    <w:tmpl w:val="FE34B7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10"/>
    <w:rsid w:val="000471F0"/>
    <w:rsid w:val="000575DD"/>
    <w:rsid w:val="000669E7"/>
    <w:rsid w:val="00074DC8"/>
    <w:rsid w:val="000A2DE6"/>
    <w:rsid w:val="001008B1"/>
    <w:rsid w:val="00156F4C"/>
    <w:rsid w:val="00170050"/>
    <w:rsid w:val="001C25E2"/>
    <w:rsid w:val="001C538D"/>
    <w:rsid w:val="001F5497"/>
    <w:rsid w:val="00203C5C"/>
    <w:rsid w:val="00215F95"/>
    <w:rsid w:val="00250A3F"/>
    <w:rsid w:val="002A5C6F"/>
    <w:rsid w:val="002C48C8"/>
    <w:rsid w:val="00312C09"/>
    <w:rsid w:val="0035155A"/>
    <w:rsid w:val="00354531"/>
    <w:rsid w:val="003708C1"/>
    <w:rsid w:val="0037249B"/>
    <w:rsid w:val="00386310"/>
    <w:rsid w:val="0039402E"/>
    <w:rsid w:val="00396315"/>
    <w:rsid w:val="00397766"/>
    <w:rsid w:val="003A72C7"/>
    <w:rsid w:val="003B1341"/>
    <w:rsid w:val="003C452B"/>
    <w:rsid w:val="003F4E16"/>
    <w:rsid w:val="003F52AC"/>
    <w:rsid w:val="00403D27"/>
    <w:rsid w:val="004546F4"/>
    <w:rsid w:val="00457D2D"/>
    <w:rsid w:val="00465A96"/>
    <w:rsid w:val="00476193"/>
    <w:rsid w:val="004873AB"/>
    <w:rsid w:val="004E0AAC"/>
    <w:rsid w:val="00510892"/>
    <w:rsid w:val="00540173"/>
    <w:rsid w:val="005751DF"/>
    <w:rsid w:val="0059033F"/>
    <w:rsid w:val="00597CE6"/>
    <w:rsid w:val="005A1F78"/>
    <w:rsid w:val="006431D9"/>
    <w:rsid w:val="006432BE"/>
    <w:rsid w:val="00651F5B"/>
    <w:rsid w:val="00675CF3"/>
    <w:rsid w:val="0068266F"/>
    <w:rsid w:val="006B18F5"/>
    <w:rsid w:val="006D3BB9"/>
    <w:rsid w:val="006E328E"/>
    <w:rsid w:val="00715547"/>
    <w:rsid w:val="00731435"/>
    <w:rsid w:val="00742758"/>
    <w:rsid w:val="00744C44"/>
    <w:rsid w:val="00745990"/>
    <w:rsid w:val="00762E25"/>
    <w:rsid w:val="007720DC"/>
    <w:rsid w:val="00772A00"/>
    <w:rsid w:val="00776B50"/>
    <w:rsid w:val="007B689D"/>
    <w:rsid w:val="007F5614"/>
    <w:rsid w:val="00803F72"/>
    <w:rsid w:val="008A52F1"/>
    <w:rsid w:val="0096168E"/>
    <w:rsid w:val="009F4205"/>
    <w:rsid w:val="009F6606"/>
    <w:rsid w:val="00A533D5"/>
    <w:rsid w:val="00A54590"/>
    <w:rsid w:val="00A81985"/>
    <w:rsid w:val="00B937BD"/>
    <w:rsid w:val="00BA11FD"/>
    <w:rsid w:val="00BB7F25"/>
    <w:rsid w:val="00BD490C"/>
    <w:rsid w:val="00C302EA"/>
    <w:rsid w:val="00C43136"/>
    <w:rsid w:val="00CB0743"/>
    <w:rsid w:val="00CB29A3"/>
    <w:rsid w:val="00D055DE"/>
    <w:rsid w:val="00D22801"/>
    <w:rsid w:val="00D34364"/>
    <w:rsid w:val="00D37F96"/>
    <w:rsid w:val="00D4533B"/>
    <w:rsid w:val="00D4637C"/>
    <w:rsid w:val="00D91698"/>
    <w:rsid w:val="00E56B6B"/>
    <w:rsid w:val="00E87BAE"/>
    <w:rsid w:val="00E93EDC"/>
    <w:rsid w:val="00EC0364"/>
    <w:rsid w:val="00ED5227"/>
    <w:rsid w:val="00EE079E"/>
    <w:rsid w:val="00F0416E"/>
    <w:rsid w:val="00F04A9C"/>
    <w:rsid w:val="00F138AE"/>
    <w:rsid w:val="00F95492"/>
    <w:rsid w:val="00FD29D7"/>
    <w:rsid w:val="00FE45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1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0A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0AAC"/>
    <w:rPr>
      <w:lang w:val="en-US"/>
    </w:rPr>
  </w:style>
  <w:style w:type="paragraph" w:styleId="Altbilgi">
    <w:name w:val="footer"/>
    <w:basedOn w:val="Normal"/>
    <w:link w:val="AltbilgiChar"/>
    <w:uiPriority w:val="99"/>
    <w:unhideWhenUsed/>
    <w:rsid w:val="004E0A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0AAC"/>
    <w:rPr>
      <w:lang w:val="en-US"/>
    </w:rPr>
  </w:style>
  <w:style w:type="table" w:styleId="TabloKlavuzu">
    <w:name w:val="Table Grid"/>
    <w:basedOn w:val="NormalTablo"/>
    <w:uiPriority w:val="59"/>
    <w:rsid w:val="001C2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1341"/>
    <w:pPr>
      <w:ind w:left="720"/>
      <w:contextualSpacing/>
    </w:pPr>
  </w:style>
  <w:style w:type="paragraph" w:styleId="BalonMetni">
    <w:name w:val="Balloon Text"/>
    <w:basedOn w:val="Normal"/>
    <w:link w:val="BalonMetniChar"/>
    <w:uiPriority w:val="99"/>
    <w:semiHidden/>
    <w:unhideWhenUsed/>
    <w:rsid w:val="006E32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28E"/>
    <w:rPr>
      <w:rFonts w:ascii="Tahoma" w:hAnsi="Tahoma" w:cs="Tahoma"/>
      <w:sz w:val="16"/>
      <w:szCs w:val="16"/>
      <w:lang w:val="en-US"/>
    </w:rPr>
  </w:style>
  <w:style w:type="character" w:styleId="Kpr">
    <w:name w:val="Hyperlink"/>
    <w:basedOn w:val="VarsaylanParagrafYazTipi"/>
    <w:uiPriority w:val="99"/>
    <w:unhideWhenUsed/>
    <w:rsid w:val="00D22801"/>
    <w:rPr>
      <w:color w:val="0000FF" w:themeColor="hyperlink"/>
      <w:u w:val="single"/>
    </w:rPr>
  </w:style>
  <w:style w:type="paragraph" w:styleId="DipnotMetni">
    <w:name w:val="footnote text"/>
    <w:basedOn w:val="Normal"/>
    <w:link w:val="DipnotMetniChar"/>
    <w:uiPriority w:val="99"/>
    <w:semiHidden/>
    <w:unhideWhenUsed/>
    <w:rsid w:val="001C53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538D"/>
    <w:rPr>
      <w:sz w:val="20"/>
      <w:szCs w:val="20"/>
      <w:lang w:val="en-US"/>
    </w:rPr>
  </w:style>
  <w:style w:type="character" w:styleId="DipnotBavurusu">
    <w:name w:val="footnote reference"/>
    <w:basedOn w:val="VarsaylanParagrafYazTipi"/>
    <w:uiPriority w:val="99"/>
    <w:semiHidden/>
    <w:unhideWhenUsed/>
    <w:rsid w:val="001C538D"/>
    <w:rPr>
      <w:vertAlign w:val="superscript"/>
    </w:rPr>
  </w:style>
  <w:style w:type="character" w:styleId="AklamaBavurusu">
    <w:name w:val="annotation reference"/>
    <w:basedOn w:val="VarsaylanParagrafYazTipi"/>
    <w:uiPriority w:val="99"/>
    <w:semiHidden/>
    <w:unhideWhenUsed/>
    <w:rsid w:val="00A81985"/>
    <w:rPr>
      <w:sz w:val="16"/>
      <w:szCs w:val="16"/>
    </w:rPr>
  </w:style>
  <w:style w:type="paragraph" w:styleId="AklamaMetni">
    <w:name w:val="annotation text"/>
    <w:basedOn w:val="Normal"/>
    <w:link w:val="AklamaMetniChar"/>
    <w:uiPriority w:val="99"/>
    <w:semiHidden/>
    <w:unhideWhenUsed/>
    <w:rsid w:val="00A819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1985"/>
    <w:rPr>
      <w:sz w:val="20"/>
      <w:szCs w:val="20"/>
      <w:lang w:val="en-US"/>
    </w:rPr>
  </w:style>
  <w:style w:type="paragraph" w:styleId="AklamaKonusu">
    <w:name w:val="annotation subject"/>
    <w:basedOn w:val="AklamaMetni"/>
    <w:next w:val="AklamaMetni"/>
    <w:link w:val="AklamaKonusuChar"/>
    <w:uiPriority w:val="99"/>
    <w:semiHidden/>
    <w:unhideWhenUsed/>
    <w:rsid w:val="00A81985"/>
    <w:rPr>
      <w:b/>
      <w:bCs/>
    </w:rPr>
  </w:style>
  <w:style w:type="character" w:customStyle="1" w:styleId="AklamaKonusuChar">
    <w:name w:val="Açıklama Konusu Char"/>
    <w:basedOn w:val="AklamaMetniChar"/>
    <w:link w:val="AklamaKonusu"/>
    <w:uiPriority w:val="99"/>
    <w:semiHidden/>
    <w:rsid w:val="00A81985"/>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1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0A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0AAC"/>
    <w:rPr>
      <w:lang w:val="en-US"/>
    </w:rPr>
  </w:style>
  <w:style w:type="paragraph" w:styleId="Altbilgi">
    <w:name w:val="footer"/>
    <w:basedOn w:val="Normal"/>
    <w:link w:val="AltbilgiChar"/>
    <w:uiPriority w:val="99"/>
    <w:unhideWhenUsed/>
    <w:rsid w:val="004E0A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0AAC"/>
    <w:rPr>
      <w:lang w:val="en-US"/>
    </w:rPr>
  </w:style>
  <w:style w:type="table" w:styleId="TabloKlavuzu">
    <w:name w:val="Table Grid"/>
    <w:basedOn w:val="NormalTablo"/>
    <w:uiPriority w:val="59"/>
    <w:rsid w:val="001C2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1341"/>
    <w:pPr>
      <w:ind w:left="720"/>
      <w:contextualSpacing/>
    </w:pPr>
  </w:style>
  <w:style w:type="paragraph" w:styleId="BalonMetni">
    <w:name w:val="Balloon Text"/>
    <w:basedOn w:val="Normal"/>
    <w:link w:val="BalonMetniChar"/>
    <w:uiPriority w:val="99"/>
    <w:semiHidden/>
    <w:unhideWhenUsed/>
    <w:rsid w:val="006E32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28E"/>
    <w:rPr>
      <w:rFonts w:ascii="Tahoma" w:hAnsi="Tahoma" w:cs="Tahoma"/>
      <w:sz w:val="16"/>
      <w:szCs w:val="16"/>
      <w:lang w:val="en-US"/>
    </w:rPr>
  </w:style>
  <w:style w:type="character" w:styleId="Kpr">
    <w:name w:val="Hyperlink"/>
    <w:basedOn w:val="VarsaylanParagrafYazTipi"/>
    <w:uiPriority w:val="99"/>
    <w:unhideWhenUsed/>
    <w:rsid w:val="00D22801"/>
    <w:rPr>
      <w:color w:val="0000FF" w:themeColor="hyperlink"/>
      <w:u w:val="single"/>
    </w:rPr>
  </w:style>
  <w:style w:type="paragraph" w:styleId="DipnotMetni">
    <w:name w:val="footnote text"/>
    <w:basedOn w:val="Normal"/>
    <w:link w:val="DipnotMetniChar"/>
    <w:uiPriority w:val="99"/>
    <w:semiHidden/>
    <w:unhideWhenUsed/>
    <w:rsid w:val="001C53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538D"/>
    <w:rPr>
      <w:sz w:val="20"/>
      <w:szCs w:val="20"/>
      <w:lang w:val="en-US"/>
    </w:rPr>
  </w:style>
  <w:style w:type="character" w:styleId="DipnotBavurusu">
    <w:name w:val="footnote reference"/>
    <w:basedOn w:val="VarsaylanParagrafYazTipi"/>
    <w:uiPriority w:val="99"/>
    <w:semiHidden/>
    <w:unhideWhenUsed/>
    <w:rsid w:val="001C538D"/>
    <w:rPr>
      <w:vertAlign w:val="superscript"/>
    </w:rPr>
  </w:style>
  <w:style w:type="character" w:styleId="AklamaBavurusu">
    <w:name w:val="annotation reference"/>
    <w:basedOn w:val="VarsaylanParagrafYazTipi"/>
    <w:uiPriority w:val="99"/>
    <w:semiHidden/>
    <w:unhideWhenUsed/>
    <w:rsid w:val="00A81985"/>
    <w:rPr>
      <w:sz w:val="16"/>
      <w:szCs w:val="16"/>
    </w:rPr>
  </w:style>
  <w:style w:type="paragraph" w:styleId="AklamaMetni">
    <w:name w:val="annotation text"/>
    <w:basedOn w:val="Normal"/>
    <w:link w:val="AklamaMetniChar"/>
    <w:uiPriority w:val="99"/>
    <w:semiHidden/>
    <w:unhideWhenUsed/>
    <w:rsid w:val="00A819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81985"/>
    <w:rPr>
      <w:sz w:val="20"/>
      <w:szCs w:val="20"/>
      <w:lang w:val="en-US"/>
    </w:rPr>
  </w:style>
  <w:style w:type="paragraph" w:styleId="AklamaKonusu">
    <w:name w:val="annotation subject"/>
    <w:basedOn w:val="AklamaMetni"/>
    <w:next w:val="AklamaMetni"/>
    <w:link w:val="AklamaKonusuChar"/>
    <w:uiPriority w:val="99"/>
    <w:semiHidden/>
    <w:unhideWhenUsed/>
    <w:rsid w:val="00A81985"/>
    <w:rPr>
      <w:b/>
      <w:bCs/>
    </w:rPr>
  </w:style>
  <w:style w:type="character" w:customStyle="1" w:styleId="AklamaKonusuChar">
    <w:name w:val="Açıklama Konusu Char"/>
    <w:basedOn w:val="AklamaMetniChar"/>
    <w:link w:val="AklamaKonusu"/>
    <w:uiPriority w:val="99"/>
    <w:semiHidden/>
    <w:rsid w:val="00A8198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hakanaltinasu@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A18A-CD5C-4866-A039-72390A65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17</Pages>
  <Words>5055</Words>
  <Characters>28820</Characters>
  <Application>Microsoft Office Word</Application>
  <DocSecurity>0</DocSecurity>
  <Lines>240</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Hakan Altın</cp:lastModifiedBy>
  <cp:revision>33</cp:revision>
  <cp:lastPrinted>2014-04-03T09:42:00Z</cp:lastPrinted>
  <dcterms:created xsi:type="dcterms:W3CDTF">2014-01-28T09:22:00Z</dcterms:created>
  <dcterms:modified xsi:type="dcterms:W3CDTF">2014-04-29T10:45:00Z</dcterms:modified>
</cp:coreProperties>
</file>