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9B" w:rsidRPr="00491F38" w:rsidRDefault="0001339B" w:rsidP="00491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91F38">
        <w:rPr>
          <w:rFonts w:ascii="Times New Roman" w:hAnsi="Times New Roman" w:cs="Times New Roman"/>
          <w:b/>
          <w:sz w:val="36"/>
          <w:szCs w:val="36"/>
        </w:rPr>
        <w:t>Effect</w:t>
      </w:r>
      <w:r w:rsidR="00BC4DC1">
        <w:rPr>
          <w:rFonts w:ascii="Times New Roman" w:hAnsi="Times New Roman" w:cs="Times New Roman"/>
          <w:b/>
          <w:sz w:val="36"/>
          <w:szCs w:val="36"/>
        </w:rPr>
        <w:t>s</w:t>
      </w:r>
      <w:r w:rsidRPr="00491F38">
        <w:rPr>
          <w:rFonts w:ascii="Times New Roman" w:hAnsi="Times New Roman" w:cs="Times New Roman"/>
          <w:b/>
          <w:sz w:val="36"/>
          <w:szCs w:val="36"/>
        </w:rPr>
        <w:t xml:space="preserve"> of Body Mass Index and</w:t>
      </w:r>
      <w:r w:rsidR="00F64DE5" w:rsidRPr="00491F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91F38">
        <w:rPr>
          <w:rFonts w:ascii="Times New Roman" w:hAnsi="Times New Roman" w:cs="Times New Roman"/>
          <w:b/>
          <w:sz w:val="36"/>
          <w:szCs w:val="36"/>
        </w:rPr>
        <w:t>Drunkenness on</w:t>
      </w:r>
      <w:r w:rsidR="00070ABF" w:rsidRPr="00491F3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44701" w:rsidRPr="00491F38" w:rsidRDefault="00F44701" w:rsidP="00491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91F38">
        <w:rPr>
          <w:rFonts w:ascii="Times New Roman" w:hAnsi="Times New Roman" w:cs="Times New Roman"/>
          <w:b/>
          <w:sz w:val="36"/>
          <w:szCs w:val="36"/>
        </w:rPr>
        <w:t xml:space="preserve">Physical Activity Levels </w:t>
      </w:r>
      <w:r w:rsidR="0001339B" w:rsidRPr="00491F38">
        <w:rPr>
          <w:rFonts w:ascii="Times New Roman" w:hAnsi="Times New Roman" w:cs="Times New Roman"/>
          <w:b/>
          <w:sz w:val="36"/>
          <w:szCs w:val="36"/>
        </w:rPr>
        <w:t>of</w:t>
      </w:r>
      <w:r w:rsidR="00070ABF" w:rsidRPr="00491F38">
        <w:rPr>
          <w:rFonts w:ascii="Times New Roman" w:hAnsi="Times New Roman" w:cs="Times New Roman"/>
          <w:b/>
          <w:sz w:val="36"/>
          <w:szCs w:val="36"/>
        </w:rPr>
        <w:t xml:space="preserve"> Adol</w:t>
      </w:r>
      <w:r w:rsidR="00F64DE5" w:rsidRPr="00491F38">
        <w:rPr>
          <w:rFonts w:ascii="Times New Roman" w:hAnsi="Times New Roman" w:cs="Times New Roman"/>
          <w:b/>
          <w:sz w:val="36"/>
          <w:szCs w:val="36"/>
        </w:rPr>
        <w:t>e</w:t>
      </w:r>
      <w:r w:rsidR="00070ABF" w:rsidRPr="00491F38">
        <w:rPr>
          <w:rFonts w:ascii="Times New Roman" w:hAnsi="Times New Roman" w:cs="Times New Roman"/>
          <w:b/>
          <w:sz w:val="36"/>
          <w:szCs w:val="36"/>
        </w:rPr>
        <w:t>scents</w:t>
      </w:r>
      <w:r w:rsidRPr="00491F38">
        <w:rPr>
          <w:rFonts w:ascii="Times New Roman" w:hAnsi="Times New Roman" w:cs="Times New Roman"/>
          <w:b/>
          <w:sz w:val="36"/>
          <w:szCs w:val="36"/>
        </w:rPr>
        <w:t xml:space="preserve"> in Ghana</w:t>
      </w:r>
    </w:p>
    <w:p w:rsidR="00F44701" w:rsidRPr="006769B8" w:rsidRDefault="00F44701" w:rsidP="00E1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622" w:rsidRDefault="00E16622" w:rsidP="00E1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E5" w:rsidRDefault="002808E5" w:rsidP="00E1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E5" w:rsidRPr="006769B8" w:rsidRDefault="002808E5" w:rsidP="00E1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01" w:rsidRPr="00491F38" w:rsidRDefault="00F44701" w:rsidP="00E1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91F38">
        <w:rPr>
          <w:rFonts w:ascii="Times New Roman" w:hAnsi="Times New Roman" w:cs="Times New Roman"/>
          <w:b/>
          <w:sz w:val="24"/>
          <w:szCs w:val="24"/>
        </w:rPr>
        <w:t>Seidu Sofo</w:t>
      </w:r>
      <w:r w:rsidR="002808E5" w:rsidRPr="00491F3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91F38">
        <w:rPr>
          <w:rFonts w:ascii="Times New Roman" w:hAnsi="Times New Roman" w:cs="Times New Roman"/>
          <w:b/>
          <w:sz w:val="24"/>
          <w:szCs w:val="24"/>
        </w:rPr>
        <w:t xml:space="preserve"> and Emmanuel Thompson</w:t>
      </w:r>
      <w:r w:rsidR="002808E5" w:rsidRPr="00491F3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F44701" w:rsidRPr="00491F38" w:rsidRDefault="00F44701" w:rsidP="00E1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8E5" w:rsidRPr="00491F38" w:rsidRDefault="002808E5" w:rsidP="00E1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8E5" w:rsidRPr="00491F38" w:rsidRDefault="00E80274" w:rsidP="0028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808E5" w:rsidRPr="00491F38">
        <w:rPr>
          <w:rFonts w:ascii="Times New Roman" w:hAnsi="Times New Roman" w:cs="Times New Roman"/>
          <w:sz w:val="24"/>
          <w:szCs w:val="24"/>
        </w:rPr>
        <w:t>Professor, Southeast Missouri State University, USA</w:t>
      </w:r>
      <w:r w:rsidR="002808E5" w:rsidRPr="00491F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808E5" w:rsidRPr="00491F38">
        <w:rPr>
          <w:rFonts w:ascii="Times New Roman" w:hAnsi="Times New Roman" w:cs="Times New Roman"/>
          <w:sz w:val="24"/>
          <w:szCs w:val="24"/>
        </w:rPr>
        <w:t>Assistant Professor, Southeast Missouri State University, USA</w:t>
      </w:r>
      <w:r w:rsidR="002808E5" w:rsidRPr="00491F38">
        <w:rPr>
          <w:rFonts w:ascii="Times New Roman" w:hAnsi="Times New Roman" w:cs="Times New Roman"/>
          <w:sz w:val="24"/>
          <w:szCs w:val="24"/>
        </w:rPr>
        <w:br/>
      </w:r>
    </w:p>
    <w:p w:rsidR="00F44701" w:rsidRPr="006769B8" w:rsidRDefault="00F44701" w:rsidP="00201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E5" w:rsidRDefault="002808E5" w:rsidP="006C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F8C" w:rsidRPr="003A2108" w:rsidRDefault="00694F8C" w:rsidP="006C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108">
        <w:rPr>
          <w:rFonts w:ascii="Times New Roman" w:hAnsi="Times New Roman" w:cs="Times New Roman"/>
          <w:b/>
          <w:bCs/>
          <w:sz w:val="26"/>
          <w:szCs w:val="26"/>
        </w:rPr>
        <w:t>Abstract</w:t>
      </w:r>
      <w:r w:rsidRPr="003A2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FA4" w:rsidRPr="00B900B9" w:rsidRDefault="007F4194" w:rsidP="00D9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028B0" w:rsidRPr="00B900B9">
        <w:rPr>
          <w:rFonts w:ascii="Times New Roman" w:hAnsi="Times New Roman" w:cs="Times New Roman"/>
          <w:sz w:val="24"/>
          <w:szCs w:val="24"/>
        </w:rPr>
        <w:t xml:space="preserve">he purpose of this study was to assess the </w:t>
      </w:r>
      <w:r w:rsidR="00BA5F83">
        <w:rPr>
          <w:rFonts w:ascii="Times New Roman" w:hAnsi="Times New Roman" w:cs="Times New Roman"/>
          <w:sz w:val="24"/>
          <w:szCs w:val="24"/>
        </w:rPr>
        <w:t xml:space="preserve">effects of Body Mass Index (BMI) </w:t>
      </w:r>
      <w:r w:rsidR="00EE0B5E">
        <w:rPr>
          <w:rFonts w:ascii="Times New Roman" w:hAnsi="Times New Roman" w:cs="Times New Roman"/>
          <w:sz w:val="24"/>
          <w:szCs w:val="24"/>
        </w:rPr>
        <w:t xml:space="preserve">and drunkenness </w:t>
      </w:r>
      <w:r w:rsidR="00BA5F83">
        <w:rPr>
          <w:rFonts w:ascii="Times New Roman" w:hAnsi="Times New Roman" w:cs="Times New Roman"/>
          <w:sz w:val="24"/>
          <w:szCs w:val="24"/>
        </w:rPr>
        <w:t xml:space="preserve">on the </w:t>
      </w:r>
      <w:r w:rsidR="002028B0" w:rsidRPr="00B900B9">
        <w:rPr>
          <w:rFonts w:ascii="Times New Roman" w:hAnsi="Times New Roman" w:cs="Times New Roman"/>
          <w:sz w:val="24"/>
          <w:szCs w:val="24"/>
        </w:rPr>
        <w:t xml:space="preserve">physical activity levels of junior high </w:t>
      </w:r>
      <w:r w:rsidR="00105168">
        <w:rPr>
          <w:rFonts w:ascii="Times New Roman" w:hAnsi="Times New Roman" w:cs="Times New Roman"/>
          <w:sz w:val="24"/>
          <w:szCs w:val="24"/>
        </w:rPr>
        <w:t xml:space="preserve">(JHS) </w:t>
      </w:r>
      <w:r w:rsidR="002028B0" w:rsidRPr="00B900B9">
        <w:rPr>
          <w:rFonts w:ascii="Times New Roman" w:hAnsi="Times New Roman" w:cs="Times New Roman"/>
          <w:sz w:val="24"/>
          <w:szCs w:val="24"/>
        </w:rPr>
        <w:t xml:space="preserve">and senior high </w:t>
      </w:r>
      <w:r w:rsidR="00105168">
        <w:rPr>
          <w:rFonts w:ascii="Times New Roman" w:hAnsi="Times New Roman" w:cs="Times New Roman"/>
          <w:sz w:val="24"/>
          <w:szCs w:val="24"/>
        </w:rPr>
        <w:t xml:space="preserve">(SHS) </w:t>
      </w:r>
      <w:r w:rsidR="002028B0" w:rsidRPr="00B900B9">
        <w:rPr>
          <w:rFonts w:ascii="Times New Roman" w:hAnsi="Times New Roman" w:cs="Times New Roman"/>
          <w:sz w:val="24"/>
          <w:szCs w:val="24"/>
        </w:rPr>
        <w:t>sc</w:t>
      </w:r>
      <w:r w:rsidR="00491F38" w:rsidRPr="00B900B9">
        <w:rPr>
          <w:rFonts w:ascii="Times New Roman" w:hAnsi="Times New Roman" w:cs="Times New Roman"/>
          <w:sz w:val="24"/>
          <w:szCs w:val="24"/>
        </w:rPr>
        <w:t>hool students in Ghana.</w:t>
      </w:r>
      <w:r w:rsidR="00EE0B5E">
        <w:rPr>
          <w:rFonts w:ascii="Times New Roman" w:hAnsi="Times New Roman" w:cs="Times New Roman"/>
          <w:sz w:val="24"/>
          <w:szCs w:val="24"/>
        </w:rPr>
        <w:t xml:space="preserve"> </w:t>
      </w:r>
      <w:r w:rsidR="002028B0" w:rsidRPr="00B900B9">
        <w:rPr>
          <w:rFonts w:ascii="Times New Roman" w:hAnsi="Times New Roman" w:cs="Times New Roman"/>
          <w:sz w:val="24"/>
          <w:szCs w:val="24"/>
        </w:rPr>
        <w:t>The 2012 Ghana Global School-Based Student Health Survey served as the main data source. Participants included 2790 Ghanaian junior high and senior high school students age</w:t>
      </w:r>
      <w:r w:rsidR="00D95C08">
        <w:rPr>
          <w:rFonts w:ascii="Times New Roman" w:hAnsi="Times New Roman" w:cs="Times New Roman"/>
          <w:sz w:val="24"/>
          <w:szCs w:val="24"/>
        </w:rPr>
        <w:t>d</w:t>
      </w:r>
      <w:r w:rsidR="002028B0" w:rsidRPr="00B900B9">
        <w:rPr>
          <w:rFonts w:ascii="Times New Roman" w:hAnsi="Times New Roman" w:cs="Times New Roman"/>
          <w:sz w:val="24"/>
          <w:szCs w:val="24"/>
        </w:rPr>
        <w:t xml:space="preserve"> 1</w:t>
      </w:r>
      <w:r w:rsidR="00582D76" w:rsidRPr="00B900B9">
        <w:rPr>
          <w:rFonts w:ascii="Times New Roman" w:hAnsi="Times New Roman" w:cs="Times New Roman"/>
          <w:sz w:val="24"/>
          <w:szCs w:val="24"/>
        </w:rPr>
        <w:t>1</w:t>
      </w:r>
      <w:r w:rsidR="002028B0" w:rsidRPr="00B900B9">
        <w:rPr>
          <w:rFonts w:ascii="Times New Roman" w:hAnsi="Times New Roman" w:cs="Times New Roman"/>
          <w:sz w:val="24"/>
          <w:szCs w:val="24"/>
        </w:rPr>
        <w:t>-1</w:t>
      </w:r>
      <w:r w:rsidR="00582D76" w:rsidRPr="00B900B9">
        <w:rPr>
          <w:rFonts w:ascii="Times New Roman" w:hAnsi="Times New Roman" w:cs="Times New Roman"/>
          <w:sz w:val="24"/>
          <w:szCs w:val="24"/>
        </w:rPr>
        <w:t>8</w:t>
      </w:r>
      <w:r w:rsidR="002028B0" w:rsidRPr="00B900B9">
        <w:rPr>
          <w:rFonts w:ascii="Times New Roman" w:hAnsi="Times New Roman" w:cs="Times New Roman"/>
          <w:sz w:val="24"/>
          <w:szCs w:val="24"/>
        </w:rPr>
        <w:t>.</w:t>
      </w:r>
      <w:r w:rsidR="00D152C4" w:rsidRPr="00B900B9">
        <w:rPr>
          <w:rFonts w:ascii="Times New Roman" w:hAnsi="Times New Roman" w:cs="Times New Roman"/>
          <w:sz w:val="24"/>
          <w:szCs w:val="24"/>
        </w:rPr>
        <w:t xml:space="preserve"> They were 1508 boys and 1282 girls.</w:t>
      </w:r>
      <w:r w:rsidR="0006485A" w:rsidRPr="00B900B9">
        <w:rPr>
          <w:rFonts w:ascii="Times New Roman" w:hAnsi="Times New Roman" w:cs="Times New Roman"/>
          <w:sz w:val="24"/>
          <w:szCs w:val="24"/>
        </w:rPr>
        <w:t xml:space="preserve"> The study </w:t>
      </w:r>
      <w:r w:rsidR="002943F7" w:rsidRPr="00B900B9">
        <w:rPr>
          <w:rFonts w:ascii="Times New Roman" w:hAnsi="Times New Roman" w:cs="Times New Roman"/>
          <w:sz w:val="24"/>
          <w:szCs w:val="24"/>
        </w:rPr>
        <w:t>investigated</w:t>
      </w:r>
      <w:r w:rsidR="0006485A" w:rsidRPr="00B900B9">
        <w:rPr>
          <w:rFonts w:ascii="Times New Roman" w:hAnsi="Times New Roman" w:cs="Times New Roman"/>
          <w:sz w:val="24"/>
          <w:szCs w:val="24"/>
        </w:rPr>
        <w:t xml:space="preserve"> </w:t>
      </w:r>
      <w:r w:rsidR="00111223" w:rsidRPr="00B900B9">
        <w:rPr>
          <w:rFonts w:ascii="Times New Roman" w:hAnsi="Times New Roman" w:cs="Times New Roman"/>
          <w:sz w:val="24"/>
          <w:szCs w:val="24"/>
        </w:rPr>
        <w:t xml:space="preserve">the extent to which </w:t>
      </w:r>
      <w:r w:rsidR="0006485A" w:rsidRPr="00B900B9">
        <w:rPr>
          <w:rFonts w:ascii="Times New Roman" w:hAnsi="Times New Roman" w:cs="Times New Roman"/>
          <w:sz w:val="24"/>
          <w:szCs w:val="24"/>
        </w:rPr>
        <w:t>partici</w:t>
      </w:r>
      <w:r w:rsidR="00231310" w:rsidRPr="00B900B9">
        <w:rPr>
          <w:rFonts w:ascii="Times New Roman" w:hAnsi="Times New Roman" w:cs="Times New Roman"/>
          <w:sz w:val="24"/>
          <w:szCs w:val="24"/>
        </w:rPr>
        <w:t>pants were physically active (PA)</w:t>
      </w:r>
      <w:r w:rsidR="0006485A" w:rsidRPr="00B900B9">
        <w:rPr>
          <w:rFonts w:ascii="Times New Roman" w:hAnsi="Times New Roman" w:cs="Times New Roman"/>
          <w:sz w:val="24"/>
          <w:szCs w:val="24"/>
        </w:rPr>
        <w:t xml:space="preserve"> seven days per week and also attended physical education</w:t>
      </w:r>
      <w:r w:rsidR="00D75634" w:rsidRPr="00B900B9">
        <w:rPr>
          <w:rFonts w:ascii="Times New Roman" w:hAnsi="Times New Roman" w:cs="Times New Roman"/>
          <w:sz w:val="24"/>
          <w:szCs w:val="24"/>
        </w:rPr>
        <w:t xml:space="preserve"> (PE)</w:t>
      </w:r>
      <w:r w:rsidR="0006485A" w:rsidRPr="00B900B9">
        <w:rPr>
          <w:rFonts w:ascii="Times New Roman" w:hAnsi="Times New Roman" w:cs="Times New Roman"/>
          <w:sz w:val="24"/>
          <w:szCs w:val="24"/>
        </w:rPr>
        <w:t xml:space="preserve"> classes five days or more per week</w:t>
      </w:r>
      <w:r w:rsidR="00112125" w:rsidRPr="00B900B9">
        <w:rPr>
          <w:rFonts w:ascii="Times New Roman" w:hAnsi="Times New Roman" w:cs="Times New Roman"/>
          <w:sz w:val="24"/>
          <w:szCs w:val="24"/>
        </w:rPr>
        <w:t xml:space="preserve"> (</w:t>
      </w:r>
      <w:r w:rsidR="00231310" w:rsidRPr="00B900B9">
        <w:rPr>
          <w:rFonts w:ascii="Times New Roman" w:hAnsi="Times New Roman" w:cs="Times New Roman"/>
          <w:sz w:val="24"/>
          <w:szCs w:val="24"/>
        </w:rPr>
        <w:t>PAPE</w:t>
      </w:r>
      <w:r w:rsidR="00112125" w:rsidRPr="00B900B9">
        <w:rPr>
          <w:rFonts w:ascii="Times New Roman" w:hAnsi="Times New Roman" w:cs="Times New Roman"/>
          <w:sz w:val="24"/>
          <w:szCs w:val="24"/>
        </w:rPr>
        <w:t>)</w:t>
      </w:r>
      <w:r w:rsidR="0006485A" w:rsidRPr="00B900B9">
        <w:rPr>
          <w:rFonts w:ascii="Times New Roman" w:hAnsi="Times New Roman" w:cs="Times New Roman"/>
          <w:sz w:val="24"/>
          <w:szCs w:val="24"/>
        </w:rPr>
        <w:t>.</w:t>
      </w:r>
      <w:r w:rsidR="002017D0" w:rsidRPr="00B900B9">
        <w:rPr>
          <w:rFonts w:ascii="Times New Roman" w:hAnsi="Times New Roman" w:cs="Times New Roman"/>
          <w:sz w:val="24"/>
          <w:szCs w:val="24"/>
        </w:rPr>
        <w:t xml:space="preserve"> The predictor variable</w:t>
      </w:r>
      <w:r w:rsidR="00DF25A3" w:rsidRPr="00B900B9">
        <w:rPr>
          <w:rFonts w:ascii="Times New Roman" w:hAnsi="Times New Roman" w:cs="Times New Roman"/>
          <w:sz w:val="24"/>
          <w:szCs w:val="24"/>
        </w:rPr>
        <w:t xml:space="preserve">s were age, </w:t>
      </w:r>
      <w:r w:rsidR="00BA5F83">
        <w:rPr>
          <w:rFonts w:ascii="Times New Roman" w:hAnsi="Times New Roman" w:cs="Times New Roman"/>
          <w:sz w:val="24"/>
          <w:szCs w:val="24"/>
        </w:rPr>
        <w:t xml:space="preserve">gender, </w:t>
      </w:r>
      <w:r w:rsidRPr="00B900B9">
        <w:rPr>
          <w:rFonts w:ascii="Times New Roman" w:hAnsi="Times New Roman" w:cs="Times New Roman"/>
          <w:sz w:val="24"/>
          <w:szCs w:val="24"/>
        </w:rPr>
        <w:t xml:space="preserve">level of education, </w:t>
      </w:r>
      <w:r w:rsidR="00BA5F83">
        <w:rPr>
          <w:rFonts w:ascii="Times New Roman" w:hAnsi="Times New Roman" w:cs="Times New Roman"/>
          <w:sz w:val="24"/>
          <w:szCs w:val="24"/>
        </w:rPr>
        <w:t>BMI</w:t>
      </w:r>
      <w:r w:rsidR="001F0DBC" w:rsidRPr="00B900B9">
        <w:rPr>
          <w:rFonts w:ascii="Times New Roman" w:hAnsi="Times New Roman" w:cs="Times New Roman"/>
          <w:sz w:val="24"/>
          <w:szCs w:val="24"/>
        </w:rPr>
        <w:t xml:space="preserve">, </w:t>
      </w:r>
      <w:r w:rsidR="00BC47B3" w:rsidRPr="00B900B9">
        <w:rPr>
          <w:rFonts w:ascii="Times New Roman" w:hAnsi="Times New Roman" w:cs="Times New Roman"/>
          <w:sz w:val="24"/>
          <w:szCs w:val="24"/>
        </w:rPr>
        <w:t>number of times being drunk</w:t>
      </w:r>
      <w:r w:rsidR="001F0DBC" w:rsidRPr="00B900B9">
        <w:rPr>
          <w:rFonts w:ascii="Times New Roman" w:hAnsi="Times New Roman" w:cs="Times New Roman"/>
          <w:sz w:val="24"/>
          <w:szCs w:val="24"/>
        </w:rPr>
        <w:t xml:space="preserve"> (</w:t>
      </w:r>
      <w:r w:rsidR="00582D76" w:rsidRPr="00B900B9">
        <w:rPr>
          <w:rFonts w:ascii="Times New Roman" w:hAnsi="Times New Roman" w:cs="Times New Roman"/>
          <w:sz w:val="24"/>
          <w:szCs w:val="24"/>
        </w:rPr>
        <w:t>NBD</w:t>
      </w:r>
      <w:r w:rsidR="001F0DBC" w:rsidRPr="00B900B9">
        <w:rPr>
          <w:rFonts w:ascii="Times New Roman" w:hAnsi="Times New Roman" w:cs="Times New Roman"/>
          <w:sz w:val="24"/>
          <w:szCs w:val="24"/>
        </w:rPr>
        <w:t xml:space="preserve">), and number of </w:t>
      </w:r>
      <w:r w:rsidR="00D95C08">
        <w:rPr>
          <w:rFonts w:ascii="Times New Roman" w:hAnsi="Times New Roman" w:cs="Times New Roman"/>
          <w:sz w:val="24"/>
          <w:szCs w:val="24"/>
        </w:rPr>
        <w:t>times in trouble due to</w:t>
      </w:r>
      <w:r w:rsidR="00BC47B3" w:rsidRPr="00B900B9">
        <w:rPr>
          <w:rFonts w:ascii="Times New Roman" w:hAnsi="Times New Roman" w:cs="Times New Roman"/>
          <w:sz w:val="24"/>
          <w:szCs w:val="24"/>
        </w:rPr>
        <w:t xml:space="preserve"> drunk</w:t>
      </w:r>
      <w:r w:rsidR="00D95C08">
        <w:rPr>
          <w:rFonts w:ascii="Times New Roman" w:hAnsi="Times New Roman" w:cs="Times New Roman"/>
          <w:sz w:val="24"/>
          <w:szCs w:val="24"/>
        </w:rPr>
        <w:t>enness</w:t>
      </w:r>
      <w:r w:rsidR="001F0DBC" w:rsidRPr="00B900B9">
        <w:rPr>
          <w:rFonts w:ascii="Times New Roman" w:hAnsi="Times New Roman" w:cs="Times New Roman"/>
          <w:sz w:val="24"/>
          <w:szCs w:val="24"/>
        </w:rPr>
        <w:t xml:space="preserve"> (TTD)</w:t>
      </w:r>
      <w:r w:rsidR="00491F38" w:rsidRPr="00B900B9">
        <w:rPr>
          <w:rFonts w:ascii="Times New Roman" w:hAnsi="Times New Roman" w:cs="Times New Roman"/>
          <w:sz w:val="24"/>
          <w:szCs w:val="24"/>
        </w:rPr>
        <w:t xml:space="preserve">. </w:t>
      </w:r>
      <w:r w:rsidR="006D738C" w:rsidRPr="00B900B9">
        <w:rPr>
          <w:rFonts w:ascii="Times New Roman" w:hAnsi="Times New Roman" w:cs="Times New Roman"/>
          <w:sz w:val="24"/>
          <w:szCs w:val="24"/>
        </w:rPr>
        <w:t xml:space="preserve">Results showed that </w:t>
      </w:r>
      <w:r w:rsidR="002017D0" w:rsidRPr="00B900B9">
        <w:rPr>
          <w:rFonts w:ascii="Times New Roman" w:hAnsi="Times New Roman" w:cs="Times New Roman"/>
          <w:sz w:val="24"/>
          <w:szCs w:val="24"/>
        </w:rPr>
        <w:t xml:space="preserve">72.69% participants </w:t>
      </w:r>
      <w:r w:rsidR="00231310" w:rsidRPr="00B900B9">
        <w:rPr>
          <w:rFonts w:ascii="Times New Roman" w:hAnsi="Times New Roman" w:cs="Times New Roman"/>
          <w:sz w:val="24"/>
          <w:szCs w:val="24"/>
        </w:rPr>
        <w:t>engaged in PA</w:t>
      </w:r>
      <w:r w:rsidR="006D738C" w:rsidRPr="00B900B9">
        <w:rPr>
          <w:rFonts w:ascii="Times New Roman" w:hAnsi="Times New Roman" w:cs="Times New Roman"/>
          <w:sz w:val="24"/>
          <w:szCs w:val="24"/>
        </w:rPr>
        <w:t xml:space="preserve"> seven days per </w:t>
      </w:r>
      <w:r w:rsidR="002017D0" w:rsidRPr="00B900B9">
        <w:rPr>
          <w:rFonts w:ascii="Times New Roman" w:hAnsi="Times New Roman" w:cs="Times New Roman"/>
          <w:sz w:val="24"/>
          <w:szCs w:val="24"/>
        </w:rPr>
        <w:t xml:space="preserve">week and attended PE </w:t>
      </w:r>
      <w:r w:rsidR="001B4122" w:rsidRPr="00B900B9">
        <w:rPr>
          <w:rFonts w:ascii="Times New Roman" w:hAnsi="Times New Roman" w:cs="Times New Roman"/>
          <w:sz w:val="24"/>
          <w:szCs w:val="24"/>
        </w:rPr>
        <w:t xml:space="preserve">classes </w:t>
      </w:r>
      <w:r w:rsidR="006D738C" w:rsidRPr="00B900B9">
        <w:rPr>
          <w:rFonts w:ascii="Times New Roman" w:hAnsi="Times New Roman" w:cs="Times New Roman"/>
          <w:sz w:val="24"/>
          <w:szCs w:val="24"/>
        </w:rPr>
        <w:t xml:space="preserve">five days or more per </w:t>
      </w:r>
      <w:r w:rsidR="002017D0" w:rsidRPr="00B900B9">
        <w:rPr>
          <w:rFonts w:ascii="Times New Roman" w:hAnsi="Times New Roman" w:cs="Times New Roman"/>
          <w:sz w:val="24"/>
          <w:szCs w:val="24"/>
        </w:rPr>
        <w:t>week.</w:t>
      </w:r>
      <w:r w:rsidR="00CD2D20" w:rsidRPr="00B900B9">
        <w:rPr>
          <w:rFonts w:ascii="Times New Roman" w:hAnsi="Times New Roman" w:cs="Times New Roman"/>
          <w:sz w:val="24"/>
          <w:szCs w:val="24"/>
        </w:rPr>
        <w:t xml:space="preserve"> Logistic regression analyses indicated that age, gender, BMI</w:t>
      </w:r>
      <w:r w:rsidR="00D95C08">
        <w:rPr>
          <w:rFonts w:ascii="Times New Roman" w:hAnsi="Times New Roman" w:cs="Times New Roman"/>
          <w:sz w:val="24"/>
          <w:szCs w:val="24"/>
        </w:rPr>
        <w:t xml:space="preserve">, </w:t>
      </w:r>
      <w:r w:rsidR="00D95C08" w:rsidRPr="00B900B9">
        <w:rPr>
          <w:rFonts w:ascii="Times New Roman" w:hAnsi="Times New Roman" w:cs="Times New Roman"/>
          <w:sz w:val="24"/>
          <w:szCs w:val="24"/>
        </w:rPr>
        <w:t>NBD</w:t>
      </w:r>
      <w:r w:rsidR="00D95C08">
        <w:rPr>
          <w:rFonts w:ascii="Times New Roman" w:hAnsi="Times New Roman" w:cs="Times New Roman"/>
          <w:sz w:val="24"/>
          <w:szCs w:val="24"/>
        </w:rPr>
        <w:t xml:space="preserve">, and </w:t>
      </w:r>
      <w:r w:rsidR="00D95C08" w:rsidRPr="00B900B9">
        <w:rPr>
          <w:rFonts w:ascii="Times New Roman" w:hAnsi="Times New Roman" w:cs="Times New Roman"/>
          <w:sz w:val="24"/>
          <w:szCs w:val="24"/>
        </w:rPr>
        <w:t>TTD</w:t>
      </w:r>
      <w:r w:rsidR="00D95C08">
        <w:rPr>
          <w:rFonts w:ascii="Times New Roman" w:hAnsi="Times New Roman" w:cs="Times New Roman"/>
          <w:sz w:val="24"/>
          <w:szCs w:val="24"/>
        </w:rPr>
        <w:t xml:space="preserve"> </w:t>
      </w:r>
      <w:r w:rsidR="00CD2D20" w:rsidRPr="00B900B9">
        <w:rPr>
          <w:rFonts w:ascii="Times New Roman" w:hAnsi="Times New Roman" w:cs="Times New Roman"/>
          <w:sz w:val="24"/>
          <w:szCs w:val="24"/>
        </w:rPr>
        <w:t xml:space="preserve">were significant predictors of </w:t>
      </w:r>
      <w:r w:rsidR="00231310" w:rsidRPr="00B900B9">
        <w:rPr>
          <w:rFonts w:ascii="Times New Roman" w:hAnsi="Times New Roman" w:cs="Times New Roman"/>
          <w:sz w:val="24"/>
          <w:szCs w:val="24"/>
        </w:rPr>
        <w:t>PAPE</w:t>
      </w:r>
      <w:r w:rsidR="005913CD" w:rsidRPr="00B900B9">
        <w:rPr>
          <w:rFonts w:ascii="Times New Roman" w:hAnsi="Times New Roman" w:cs="Times New Roman"/>
          <w:sz w:val="24"/>
          <w:szCs w:val="24"/>
        </w:rPr>
        <w:t xml:space="preserve">, while the </w:t>
      </w:r>
      <w:r w:rsidR="00CD2D20" w:rsidRPr="00B900B9">
        <w:rPr>
          <w:rFonts w:ascii="Times New Roman" w:hAnsi="Times New Roman" w:cs="Times New Roman"/>
          <w:sz w:val="24"/>
          <w:szCs w:val="24"/>
        </w:rPr>
        <w:t>level</w:t>
      </w:r>
      <w:r w:rsidR="005913CD" w:rsidRPr="00B900B9">
        <w:rPr>
          <w:rFonts w:ascii="Times New Roman" w:hAnsi="Times New Roman" w:cs="Times New Roman"/>
          <w:sz w:val="24"/>
          <w:szCs w:val="24"/>
        </w:rPr>
        <w:t xml:space="preserve"> of education</w:t>
      </w:r>
      <w:r w:rsidR="00CD2D20" w:rsidRPr="00B900B9">
        <w:rPr>
          <w:rFonts w:ascii="Times New Roman" w:hAnsi="Times New Roman" w:cs="Times New Roman"/>
          <w:sz w:val="24"/>
          <w:szCs w:val="24"/>
        </w:rPr>
        <w:t xml:space="preserve"> was not.  Older participants were more likely to attain </w:t>
      </w:r>
      <w:r w:rsidR="00070ABF" w:rsidRPr="00B900B9">
        <w:rPr>
          <w:rFonts w:ascii="Times New Roman" w:hAnsi="Times New Roman" w:cs="Times New Roman"/>
          <w:sz w:val="24"/>
          <w:szCs w:val="24"/>
        </w:rPr>
        <w:t>PAPE</w:t>
      </w:r>
      <w:r w:rsidR="00CD2D20" w:rsidRPr="00B900B9">
        <w:rPr>
          <w:rFonts w:ascii="Times New Roman" w:hAnsi="Times New Roman" w:cs="Times New Roman"/>
          <w:sz w:val="24"/>
          <w:szCs w:val="24"/>
        </w:rPr>
        <w:t xml:space="preserve"> than their younger counterparts; and </w:t>
      </w:r>
      <w:r>
        <w:rPr>
          <w:rFonts w:ascii="Times New Roman" w:hAnsi="Times New Roman" w:cs="Times New Roman"/>
          <w:sz w:val="24"/>
          <w:szCs w:val="24"/>
        </w:rPr>
        <w:t>girls were more likely than boys to achieve PAPE. T</w:t>
      </w:r>
      <w:r w:rsidR="00CD2D20" w:rsidRPr="00B900B9">
        <w:rPr>
          <w:rFonts w:ascii="Times New Roman" w:hAnsi="Times New Roman" w:cs="Times New Roman"/>
          <w:sz w:val="24"/>
          <w:szCs w:val="24"/>
        </w:rPr>
        <w:t xml:space="preserve">hose with higher BMI were less likely to achieve </w:t>
      </w:r>
      <w:r w:rsidR="00231310" w:rsidRPr="00B900B9">
        <w:rPr>
          <w:rFonts w:ascii="Times New Roman" w:hAnsi="Times New Roman" w:cs="Times New Roman"/>
          <w:sz w:val="24"/>
          <w:szCs w:val="24"/>
        </w:rPr>
        <w:t>PAPE</w:t>
      </w:r>
      <w:r w:rsidR="00CD2D20" w:rsidRPr="00B900B9">
        <w:rPr>
          <w:rFonts w:ascii="Times New Roman" w:hAnsi="Times New Roman" w:cs="Times New Roman"/>
          <w:sz w:val="24"/>
          <w:szCs w:val="24"/>
        </w:rPr>
        <w:t xml:space="preserve">. </w:t>
      </w:r>
      <w:r w:rsidR="001F0DBC" w:rsidRPr="00B900B9">
        <w:rPr>
          <w:rFonts w:ascii="Times New Roman" w:hAnsi="Times New Roman" w:cs="Times New Roman"/>
          <w:sz w:val="24"/>
          <w:szCs w:val="24"/>
        </w:rPr>
        <w:t xml:space="preserve">The likelihood of achieving </w:t>
      </w:r>
      <w:r w:rsidR="00070ABF" w:rsidRPr="00B900B9">
        <w:rPr>
          <w:rFonts w:ascii="Times New Roman" w:hAnsi="Times New Roman" w:cs="Times New Roman"/>
          <w:sz w:val="24"/>
          <w:szCs w:val="24"/>
        </w:rPr>
        <w:t>PAPE</w:t>
      </w:r>
      <w:r w:rsidR="001F0DBC" w:rsidRPr="00B900B9">
        <w:rPr>
          <w:rFonts w:ascii="Times New Roman" w:hAnsi="Times New Roman" w:cs="Times New Roman"/>
          <w:sz w:val="24"/>
          <w:szCs w:val="24"/>
        </w:rPr>
        <w:t xml:space="preserve"> decreased with increase in </w:t>
      </w:r>
      <w:r w:rsidR="00582D76" w:rsidRPr="00B900B9">
        <w:rPr>
          <w:rFonts w:ascii="Times New Roman" w:hAnsi="Times New Roman" w:cs="Times New Roman"/>
          <w:sz w:val="24"/>
          <w:szCs w:val="24"/>
        </w:rPr>
        <w:t>NBD</w:t>
      </w:r>
      <w:r w:rsidR="00D95C08">
        <w:rPr>
          <w:rFonts w:ascii="Times New Roman" w:hAnsi="Times New Roman" w:cs="Times New Roman"/>
          <w:sz w:val="24"/>
          <w:szCs w:val="24"/>
        </w:rPr>
        <w:t xml:space="preserve">. In addition, </w:t>
      </w:r>
      <w:r w:rsidR="001F0DBC" w:rsidRPr="00B900B9">
        <w:rPr>
          <w:rFonts w:ascii="Times New Roman" w:hAnsi="Times New Roman" w:cs="Times New Roman"/>
          <w:sz w:val="24"/>
          <w:szCs w:val="24"/>
        </w:rPr>
        <w:t xml:space="preserve">the likelihood of achieving </w:t>
      </w:r>
      <w:r w:rsidR="00070ABF" w:rsidRPr="00B900B9">
        <w:rPr>
          <w:rFonts w:ascii="Times New Roman" w:hAnsi="Times New Roman" w:cs="Times New Roman"/>
          <w:sz w:val="24"/>
          <w:szCs w:val="24"/>
        </w:rPr>
        <w:t>PAPE</w:t>
      </w:r>
      <w:r w:rsidR="001F0DBC" w:rsidRPr="00B900B9">
        <w:rPr>
          <w:rFonts w:ascii="Times New Roman" w:hAnsi="Times New Roman" w:cs="Times New Roman"/>
          <w:sz w:val="24"/>
          <w:szCs w:val="24"/>
        </w:rPr>
        <w:t xml:space="preserve"> decreased </w:t>
      </w:r>
      <w:r w:rsidR="00420CB3" w:rsidRPr="00B900B9">
        <w:rPr>
          <w:rFonts w:ascii="Times New Roman" w:hAnsi="Times New Roman" w:cs="Times New Roman"/>
          <w:sz w:val="24"/>
          <w:szCs w:val="24"/>
        </w:rPr>
        <w:t>with an increase in</w:t>
      </w:r>
      <w:r w:rsidR="001F0DBC" w:rsidRPr="00B900B9">
        <w:rPr>
          <w:rFonts w:ascii="Times New Roman" w:hAnsi="Times New Roman" w:cs="Times New Roman"/>
          <w:sz w:val="24"/>
          <w:szCs w:val="24"/>
        </w:rPr>
        <w:t xml:space="preserve"> </w:t>
      </w:r>
      <w:r w:rsidR="00420CB3" w:rsidRPr="00B900B9">
        <w:rPr>
          <w:rFonts w:ascii="Times New Roman" w:hAnsi="Times New Roman" w:cs="Times New Roman"/>
          <w:sz w:val="24"/>
          <w:szCs w:val="24"/>
        </w:rPr>
        <w:t>TTD</w:t>
      </w:r>
      <w:r w:rsidR="001F0DBC" w:rsidRPr="00B900B9">
        <w:rPr>
          <w:rFonts w:ascii="Times New Roman" w:hAnsi="Times New Roman" w:cs="Times New Roman"/>
          <w:sz w:val="24"/>
          <w:szCs w:val="24"/>
        </w:rPr>
        <w:t>.</w:t>
      </w:r>
      <w:r w:rsidR="00420CB3" w:rsidRPr="00B900B9">
        <w:rPr>
          <w:rFonts w:ascii="Times New Roman" w:hAnsi="Times New Roman" w:cs="Times New Roman"/>
          <w:sz w:val="24"/>
          <w:szCs w:val="24"/>
        </w:rPr>
        <w:t xml:space="preserve"> JHS and SHS students were equally likely to achieve </w:t>
      </w:r>
      <w:r w:rsidR="00231310" w:rsidRPr="00B900B9">
        <w:rPr>
          <w:rFonts w:ascii="Times New Roman" w:hAnsi="Times New Roman" w:cs="Times New Roman"/>
          <w:sz w:val="24"/>
          <w:szCs w:val="24"/>
        </w:rPr>
        <w:t>PAPE</w:t>
      </w:r>
      <w:r w:rsidR="00420CB3" w:rsidRPr="00B900B9">
        <w:rPr>
          <w:rFonts w:ascii="Times New Roman" w:hAnsi="Times New Roman" w:cs="Times New Roman"/>
          <w:sz w:val="24"/>
          <w:szCs w:val="24"/>
        </w:rPr>
        <w:t>.</w:t>
      </w:r>
      <w:r w:rsidR="005F7A36" w:rsidRPr="00B900B9">
        <w:rPr>
          <w:rFonts w:ascii="Times New Roman" w:hAnsi="Times New Roman" w:cs="Times New Roman"/>
          <w:sz w:val="24"/>
          <w:szCs w:val="24"/>
        </w:rPr>
        <w:t xml:space="preserve"> PA intervention </w:t>
      </w:r>
      <w:r w:rsidR="00B23D50">
        <w:rPr>
          <w:rFonts w:ascii="Times New Roman" w:hAnsi="Times New Roman" w:cs="Times New Roman"/>
          <w:sz w:val="24"/>
          <w:szCs w:val="24"/>
        </w:rPr>
        <w:t>programs should be multi-faceted</w:t>
      </w:r>
      <w:r w:rsidR="005F7A36" w:rsidRPr="00B900B9">
        <w:rPr>
          <w:rFonts w:ascii="Times New Roman" w:hAnsi="Times New Roman" w:cs="Times New Roman"/>
          <w:sz w:val="24"/>
          <w:szCs w:val="24"/>
        </w:rPr>
        <w:t xml:space="preserve"> and should target children in their pre-teens.</w:t>
      </w:r>
    </w:p>
    <w:p w:rsidR="00BA62C7" w:rsidRPr="00B900B9" w:rsidRDefault="00B77880" w:rsidP="00B90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F83">
        <w:rPr>
          <w:rFonts w:ascii="Times New Roman" w:hAnsi="Times New Roman" w:cs="Times New Roman"/>
          <w:b/>
          <w:sz w:val="24"/>
          <w:szCs w:val="24"/>
        </w:rPr>
        <w:t>Keywords:</w:t>
      </w:r>
      <w:r w:rsidRPr="00B900B9">
        <w:rPr>
          <w:rFonts w:ascii="Times New Roman" w:hAnsi="Times New Roman" w:cs="Times New Roman"/>
          <w:sz w:val="24"/>
          <w:szCs w:val="24"/>
        </w:rPr>
        <w:t xml:space="preserve"> Body Mass Index, drunkenness, Ghana, odd</w:t>
      </w:r>
      <w:r w:rsidR="0067330D" w:rsidRPr="00B900B9">
        <w:rPr>
          <w:rFonts w:ascii="Times New Roman" w:hAnsi="Times New Roman" w:cs="Times New Roman"/>
          <w:sz w:val="24"/>
          <w:szCs w:val="24"/>
        </w:rPr>
        <w:t>s</w:t>
      </w:r>
      <w:r w:rsidRPr="00B900B9">
        <w:rPr>
          <w:rFonts w:ascii="Times New Roman" w:hAnsi="Times New Roman" w:cs="Times New Roman"/>
          <w:sz w:val="24"/>
          <w:szCs w:val="24"/>
        </w:rPr>
        <w:t xml:space="preserve"> ratio, physical activity</w:t>
      </w:r>
    </w:p>
    <w:p w:rsidR="00BA62C7" w:rsidRPr="006769B8" w:rsidRDefault="00BA62C7" w:rsidP="00F93464">
      <w:pPr>
        <w:rPr>
          <w:rFonts w:ascii="Times New Roman" w:hAnsi="Times New Roman" w:cs="Times New Roman"/>
          <w:sz w:val="24"/>
          <w:szCs w:val="24"/>
        </w:rPr>
      </w:pPr>
    </w:p>
    <w:p w:rsidR="00F93464" w:rsidRPr="0046507A" w:rsidRDefault="00AA05E1" w:rsidP="00F93464">
      <w:pPr>
        <w:rPr>
          <w:rFonts w:ascii="Times New Roman" w:hAnsi="Times New Roman" w:cs="Times New Roman"/>
          <w:b/>
          <w:sz w:val="30"/>
          <w:szCs w:val="30"/>
        </w:rPr>
      </w:pPr>
      <w:r w:rsidRPr="0046507A">
        <w:rPr>
          <w:rFonts w:ascii="Times New Roman" w:hAnsi="Times New Roman" w:cs="Times New Roman"/>
          <w:b/>
          <w:sz w:val="30"/>
          <w:szCs w:val="30"/>
        </w:rPr>
        <w:t>1</w:t>
      </w:r>
      <w:r w:rsidRPr="0046507A">
        <w:rPr>
          <w:rFonts w:ascii="Times New Roman" w:hAnsi="Times New Roman" w:cs="Times New Roman"/>
          <w:b/>
          <w:sz w:val="30"/>
          <w:szCs w:val="30"/>
        </w:rPr>
        <w:tab/>
        <w:t>Introduction</w:t>
      </w:r>
    </w:p>
    <w:p w:rsidR="00BE569B" w:rsidRPr="0046507A" w:rsidRDefault="002065ED" w:rsidP="0046507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Low levels of health and education are two </w:t>
      </w:r>
      <w:r w:rsidR="00811E0E" w:rsidRPr="0046507A">
        <w:rPr>
          <w:rFonts w:ascii="Times New Roman" w:hAnsi="Times New Roman" w:cs="Times New Roman"/>
          <w:sz w:val="24"/>
          <w:szCs w:val="24"/>
        </w:rPr>
        <w:t>key</w:t>
      </w:r>
      <w:r w:rsidRPr="0046507A">
        <w:rPr>
          <w:rFonts w:ascii="Times New Roman" w:hAnsi="Times New Roman" w:cs="Times New Roman"/>
          <w:sz w:val="24"/>
          <w:szCs w:val="24"/>
        </w:rPr>
        <w:t xml:space="preserve"> factors </w:t>
      </w:r>
      <w:r w:rsidR="00364D5A" w:rsidRPr="0046507A">
        <w:rPr>
          <w:rFonts w:ascii="Times New Roman" w:hAnsi="Times New Roman" w:cs="Times New Roman"/>
          <w:sz w:val="24"/>
          <w:szCs w:val="24"/>
        </w:rPr>
        <w:t>resulting in</w:t>
      </w:r>
      <w:r w:rsidRPr="0046507A">
        <w:rPr>
          <w:rFonts w:ascii="Times New Roman" w:hAnsi="Times New Roman" w:cs="Times New Roman"/>
          <w:sz w:val="24"/>
          <w:szCs w:val="24"/>
        </w:rPr>
        <w:t xml:space="preserve"> low productivity and contributing to </w:t>
      </w:r>
      <w:r w:rsidR="00811E0E" w:rsidRPr="0046507A">
        <w:rPr>
          <w:rFonts w:ascii="Times New Roman" w:hAnsi="Times New Roman" w:cs="Times New Roman"/>
          <w:sz w:val="24"/>
          <w:szCs w:val="24"/>
        </w:rPr>
        <w:t>low economic</w:t>
      </w:r>
      <w:r w:rsidRPr="0046507A">
        <w:rPr>
          <w:rFonts w:ascii="Times New Roman" w:hAnsi="Times New Roman" w:cs="Times New Roman"/>
          <w:sz w:val="24"/>
          <w:szCs w:val="24"/>
        </w:rPr>
        <w:t xml:space="preserve"> growth</w:t>
      </w:r>
      <w:r w:rsidR="00811E0E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1F1FDC" w:rsidRPr="0046507A">
        <w:rPr>
          <w:rFonts w:ascii="Times New Roman" w:hAnsi="Times New Roman" w:cs="Times New Roman"/>
          <w:sz w:val="24"/>
          <w:szCs w:val="24"/>
        </w:rPr>
        <w:t>[1].</w:t>
      </w:r>
      <w:r w:rsidR="001F1325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BE569B" w:rsidRPr="0046507A">
        <w:rPr>
          <w:rFonts w:ascii="Times New Roman" w:hAnsi="Times New Roman" w:cs="Times New Roman"/>
          <w:sz w:val="24"/>
          <w:szCs w:val="24"/>
        </w:rPr>
        <w:t>Like several other public health challenges, overweight and obesity are public health concerns, and must be tackled early through proper diet an</w:t>
      </w:r>
      <w:r w:rsidR="003816D2" w:rsidRPr="0046507A">
        <w:rPr>
          <w:rFonts w:ascii="Times New Roman" w:hAnsi="Times New Roman" w:cs="Times New Roman"/>
          <w:sz w:val="24"/>
          <w:szCs w:val="24"/>
        </w:rPr>
        <w:t>d physical activity [</w:t>
      </w:r>
      <w:r w:rsidR="001F3D18" w:rsidRPr="0046507A">
        <w:rPr>
          <w:rFonts w:ascii="Times New Roman" w:hAnsi="Times New Roman" w:cs="Times New Roman"/>
          <w:sz w:val="24"/>
          <w:szCs w:val="24"/>
        </w:rPr>
        <w:t>2</w:t>
      </w:r>
      <w:r w:rsidR="00BE569B" w:rsidRPr="0046507A">
        <w:rPr>
          <w:rFonts w:ascii="Times New Roman" w:hAnsi="Times New Roman" w:cs="Times New Roman"/>
          <w:sz w:val="24"/>
          <w:szCs w:val="24"/>
        </w:rPr>
        <w:t>].</w:t>
      </w:r>
      <w:r w:rsidR="00A3326E" w:rsidRPr="0046507A"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A3326E" w:rsidRPr="0046507A">
        <w:rPr>
          <w:rFonts w:ascii="Times New Roman" w:eastAsia="MinionPro-Regular" w:hAnsi="Times New Roman" w:cs="Times New Roman"/>
          <w:sz w:val="24"/>
          <w:szCs w:val="24"/>
        </w:rPr>
        <w:t>more than 42 million child</w:t>
      </w:r>
      <w:r w:rsidR="0010632A">
        <w:rPr>
          <w:rFonts w:ascii="Times New Roman" w:eastAsia="MinionPro-Regular" w:hAnsi="Times New Roman" w:cs="Times New Roman"/>
          <w:sz w:val="24"/>
          <w:szCs w:val="24"/>
        </w:rPr>
        <w:t>ren worldwide under the age of five</w:t>
      </w:r>
      <w:r w:rsidR="00A3326E" w:rsidRPr="0046507A">
        <w:rPr>
          <w:rFonts w:ascii="Times New Roman" w:eastAsia="MinionPro-Regular" w:hAnsi="Times New Roman" w:cs="Times New Roman"/>
          <w:sz w:val="24"/>
          <w:szCs w:val="24"/>
        </w:rPr>
        <w:t xml:space="preserve"> years were overweight i</w:t>
      </w:r>
      <w:r w:rsidR="00854EEF" w:rsidRPr="0046507A">
        <w:rPr>
          <w:rFonts w:ascii="Times New Roman" w:eastAsia="MinionPro-Regular" w:hAnsi="Times New Roman" w:cs="Times New Roman"/>
          <w:sz w:val="24"/>
          <w:szCs w:val="24"/>
        </w:rPr>
        <w:t xml:space="preserve">n 2013 </w:t>
      </w:r>
      <w:r w:rsidR="003816D2" w:rsidRPr="0046507A">
        <w:rPr>
          <w:rFonts w:ascii="Times New Roman" w:eastAsia="MinionPro-Regular" w:hAnsi="Times New Roman" w:cs="Times New Roman"/>
          <w:sz w:val="24"/>
          <w:szCs w:val="24"/>
        </w:rPr>
        <w:t>[</w:t>
      </w:r>
      <w:r w:rsidR="001F3D18" w:rsidRPr="0046507A">
        <w:rPr>
          <w:rFonts w:ascii="Times New Roman" w:eastAsia="MinionPro-Regular" w:hAnsi="Times New Roman" w:cs="Times New Roman"/>
          <w:sz w:val="24"/>
          <w:szCs w:val="24"/>
        </w:rPr>
        <w:t>3</w:t>
      </w:r>
      <w:r w:rsidR="003816D2" w:rsidRPr="0046507A">
        <w:rPr>
          <w:rFonts w:ascii="Times New Roman" w:eastAsia="MinionPro-Regular" w:hAnsi="Times New Roman" w:cs="Times New Roman"/>
          <w:sz w:val="24"/>
          <w:szCs w:val="24"/>
        </w:rPr>
        <w:t>]</w:t>
      </w:r>
      <w:r w:rsidR="009B3606" w:rsidRPr="0046507A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5E0E06" w:rsidRPr="0046507A">
        <w:rPr>
          <w:rFonts w:ascii="Times New Roman" w:hAnsi="Times New Roman" w:cs="Times New Roman"/>
          <w:sz w:val="20"/>
          <w:szCs w:val="20"/>
        </w:rPr>
        <w:t xml:space="preserve"> </w:t>
      </w:r>
      <w:r w:rsidR="00BE569B" w:rsidRPr="0046507A">
        <w:rPr>
          <w:rFonts w:ascii="Times New Roman" w:eastAsia="MinionPro-Regular" w:hAnsi="Times New Roman" w:cs="Times New Roman"/>
          <w:sz w:val="24"/>
          <w:szCs w:val="24"/>
        </w:rPr>
        <w:t>Obesity increases the likelihood of diabetes, hypertension,</w:t>
      </w:r>
      <w:r w:rsidR="00FA51B9" w:rsidRPr="0046507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BE569B" w:rsidRPr="0046507A">
        <w:rPr>
          <w:rFonts w:ascii="Times New Roman" w:eastAsia="MinionPro-Regular" w:hAnsi="Times New Roman" w:cs="Times New Roman"/>
          <w:sz w:val="24"/>
          <w:szCs w:val="24"/>
        </w:rPr>
        <w:t xml:space="preserve">coronary </w:t>
      </w:r>
      <w:r w:rsidR="00BE569B" w:rsidRPr="0046507A">
        <w:rPr>
          <w:rFonts w:ascii="Times New Roman" w:eastAsia="MinionPro-Regular" w:hAnsi="Times New Roman" w:cs="Times New Roman"/>
          <w:sz w:val="24"/>
          <w:szCs w:val="24"/>
        </w:rPr>
        <w:lastRenderedPageBreak/>
        <w:t>heart disease, stroke and certain</w:t>
      </w:r>
      <w:r w:rsidR="00FA51B9" w:rsidRPr="0046507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BE569B" w:rsidRPr="0046507A">
        <w:rPr>
          <w:rFonts w:ascii="Times New Roman" w:eastAsia="MinionPro-Regular" w:hAnsi="Times New Roman" w:cs="Times New Roman"/>
          <w:sz w:val="24"/>
          <w:szCs w:val="24"/>
        </w:rPr>
        <w:t>types of cancer</w:t>
      </w:r>
      <w:r w:rsidR="00F349E8" w:rsidRPr="0046507A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BE569B" w:rsidRPr="0046507A">
        <w:rPr>
          <w:rFonts w:ascii="Times New Roman" w:eastAsia="MinionPro-Regular" w:hAnsi="Times New Roman" w:cs="Times New Roman"/>
          <w:sz w:val="24"/>
          <w:szCs w:val="24"/>
        </w:rPr>
        <w:t xml:space="preserve"> Diabetes risk can be reduced by moderate weight</w:t>
      </w:r>
      <w:r w:rsidR="00FA51B9" w:rsidRPr="0046507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BE569B" w:rsidRPr="0046507A">
        <w:rPr>
          <w:rFonts w:ascii="Times New Roman" w:eastAsia="MinionPro-Regular" w:hAnsi="Times New Roman" w:cs="Times New Roman"/>
          <w:sz w:val="24"/>
          <w:szCs w:val="24"/>
        </w:rPr>
        <w:t>loss and moderate daily physical activity in persons</w:t>
      </w:r>
      <w:r w:rsidR="005E0E06" w:rsidRPr="0046507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BE569B" w:rsidRPr="0046507A">
        <w:rPr>
          <w:rFonts w:ascii="Times New Roman" w:eastAsia="MinionPro-Regular" w:hAnsi="Times New Roman" w:cs="Times New Roman"/>
          <w:sz w:val="24"/>
          <w:szCs w:val="24"/>
        </w:rPr>
        <w:t>at high risk</w:t>
      </w:r>
      <w:r w:rsidR="00FA51B9" w:rsidRPr="0046507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816D2" w:rsidRPr="0046507A">
        <w:rPr>
          <w:rFonts w:ascii="Times New Roman" w:eastAsia="MinionPro-Regular" w:hAnsi="Times New Roman" w:cs="Times New Roman"/>
          <w:sz w:val="24"/>
          <w:szCs w:val="24"/>
        </w:rPr>
        <w:t>[</w:t>
      </w:r>
      <w:r w:rsidR="001F3D18" w:rsidRPr="0046507A">
        <w:rPr>
          <w:rFonts w:ascii="Times New Roman" w:eastAsia="MinionPro-Regular" w:hAnsi="Times New Roman" w:cs="Times New Roman"/>
          <w:sz w:val="24"/>
          <w:szCs w:val="24"/>
        </w:rPr>
        <w:t>3</w:t>
      </w:r>
      <w:r w:rsidR="003816D2" w:rsidRPr="0046507A">
        <w:rPr>
          <w:rFonts w:ascii="Times New Roman" w:eastAsia="MinionPro-Regular" w:hAnsi="Times New Roman" w:cs="Times New Roman"/>
          <w:sz w:val="24"/>
          <w:szCs w:val="24"/>
        </w:rPr>
        <w:t>]</w:t>
      </w:r>
      <w:r w:rsidR="005B280D" w:rsidRPr="0046507A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BE569B" w:rsidRPr="0046507A" w:rsidRDefault="005B280D" w:rsidP="00465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051FF9" w:rsidRPr="0046507A">
        <w:rPr>
          <w:rFonts w:ascii="Times New Roman" w:hAnsi="Times New Roman" w:cs="Times New Roman"/>
          <w:sz w:val="24"/>
          <w:szCs w:val="24"/>
        </w:rPr>
        <w:tab/>
      </w:r>
      <w:r w:rsidRPr="0046507A">
        <w:rPr>
          <w:rFonts w:ascii="Times New Roman" w:hAnsi="Times New Roman" w:cs="Times New Roman"/>
          <w:sz w:val="24"/>
          <w:szCs w:val="24"/>
        </w:rPr>
        <w:t xml:space="preserve">Despite the evidence indicating how PA improves the quality of life, physical inactivity is on the increase resulting in physical, emotional, and economic consequences </w:t>
      </w:r>
      <w:r w:rsidR="00006D75" w:rsidRPr="0046507A">
        <w:rPr>
          <w:rFonts w:ascii="Times New Roman" w:hAnsi="Times New Roman" w:cs="Times New Roman"/>
          <w:sz w:val="24"/>
          <w:szCs w:val="24"/>
        </w:rPr>
        <w:t>[</w:t>
      </w:r>
      <w:r w:rsidR="001F3D18" w:rsidRPr="0046507A">
        <w:rPr>
          <w:rFonts w:ascii="Times New Roman" w:hAnsi="Times New Roman" w:cs="Times New Roman"/>
          <w:sz w:val="24"/>
          <w:szCs w:val="24"/>
        </w:rPr>
        <w:t>4</w:t>
      </w:r>
      <w:r w:rsidR="00006D75" w:rsidRPr="0046507A">
        <w:rPr>
          <w:rFonts w:ascii="Times New Roman" w:hAnsi="Times New Roman" w:cs="Times New Roman"/>
          <w:sz w:val="24"/>
          <w:szCs w:val="24"/>
        </w:rPr>
        <w:t>]</w:t>
      </w:r>
      <w:r w:rsidRPr="0046507A">
        <w:rPr>
          <w:rFonts w:ascii="Times New Roman" w:hAnsi="Times New Roman" w:cs="Times New Roman"/>
          <w:sz w:val="24"/>
          <w:szCs w:val="24"/>
        </w:rPr>
        <w:t>.</w:t>
      </w:r>
      <w:r w:rsidR="00F34562" w:rsidRPr="0046507A">
        <w:rPr>
          <w:rFonts w:ascii="Times New Roman" w:hAnsi="Times New Roman" w:cs="Times New Roman"/>
          <w:sz w:val="24"/>
          <w:szCs w:val="24"/>
        </w:rPr>
        <w:t xml:space="preserve"> Once considered as problems for high income countries, overweight and obesity are now also prevalent in low and middle income countries </w:t>
      </w:r>
      <w:r w:rsidR="00006D75" w:rsidRPr="0046507A">
        <w:rPr>
          <w:rFonts w:ascii="Times New Roman" w:hAnsi="Times New Roman" w:cs="Times New Roman"/>
          <w:sz w:val="24"/>
          <w:szCs w:val="24"/>
        </w:rPr>
        <w:t>[</w:t>
      </w:r>
      <w:r w:rsidR="001F3D18" w:rsidRPr="0046507A">
        <w:rPr>
          <w:rFonts w:ascii="Times New Roman" w:hAnsi="Times New Roman" w:cs="Times New Roman"/>
          <w:sz w:val="24"/>
          <w:szCs w:val="24"/>
        </w:rPr>
        <w:t>5</w:t>
      </w:r>
      <w:r w:rsidR="00F34562" w:rsidRPr="0046507A">
        <w:rPr>
          <w:rFonts w:ascii="Times New Roman" w:hAnsi="Times New Roman" w:cs="Times New Roman"/>
          <w:sz w:val="24"/>
          <w:szCs w:val="24"/>
        </w:rPr>
        <w:t>].</w:t>
      </w:r>
      <w:r w:rsidR="00C618F1" w:rsidRPr="0046507A">
        <w:rPr>
          <w:rFonts w:ascii="Times New Roman" w:hAnsi="Times New Roman" w:cs="Times New Roman"/>
          <w:sz w:val="24"/>
          <w:szCs w:val="24"/>
        </w:rPr>
        <w:t xml:space="preserve"> Consequently, Ghana (like other developing countries) has seen an increase in cardiovascular disease (</w:t>
      </w:r>
      <w:r w:rsidR="00C618F1" w:rsidRPr="0046507A">
        <w:rPr>
          <w:rFonts w:ascii="Times New Roman" w:hAnsi="Times New Roman" w:cs="Times New Roman"/>
          <w:bCs/>
          <w:sz w:val="24"/>
          <w:szCs w:val="24"/>
        </w:rPr>
        <w:t>CVD</w:t>
      </w:r>
      <w:r w:rsidR="00C618F1" w:rsidRPr="0046507A">
        <w:rPr>
          <w:rFonts w:ascii="Times New Roman" w:hAnsi="Times New Roman" w:cs="Times New Roman"/>
          <w:sz w:val="24"/>
          <w:szCs w:val="24"/>
        </w:rPr>
        <w:t xml:space="preserve">) risk factors such as poor dietary practices, physical inactivity, alcohol consumption and obesity </w:t>
      </w:r>
      <w:r w:rsidR="00006D75" w:rsidRPr="0046507A">
        <w:rPr>
          <w:rFonts w:ascii="Times New Roman" w:hAnsi="Times New Roman" w:cs="Times New Roman"/>
          <w:sz w:val="24"/>
          <w:szCs w:val="24"/>
        </w:rPr>
        <w:t>[</w:t>
      </w:r>
      <w:r w:rsidR="001F3D18" w:rsidRPr="0046507A">
        <w:rPr>
          <w:rFonts w:ascii="Times New Roman" w:hAnsi="Times New Roman" w:cs="Times New Roman"/>
          <w:sz w:val="24"/>
          <w:szCs w:val="24"/>
        </w:rPr>
        <w:t>6</w:t>
      </w:r>
      <w:r w:rsidR="00006D75" w:rsidRPr="0046507A">
        <w:rPr>
          <w:rFonts w:ascii="Times New Roman" w:hAnsi="Times New Roman" w:cs="Times New Roman"/>
          <w:sz w:val="24"/>
          <w:szCs w:val="24"/>
        </w:rPr>
        <w:t>]</w:t>
      </w:r>
      <w:r w:rsidR="00C618F1" w:rsidRPr="0046507A">
        <w:rPr>
          <w:rFonts w:ascii="Times New Roman" w:hAnsi="Times New Roman" w:cs="Times New Roman"/>
          <w:sz w:val="24"/>
          <w:szCs w:val="24"/>
        </w:rPr>
        <w:t>.</w:t>
      </w:r>
      <w:r w:rsidR="00D73253">
        <w:rPr>
          <w:rFonts w:ascii="Times New Roman" w:hAnsi="Times New Roman" w:cs="Times New Roman"/>
          <w:sz w:val="24"/>
          <w:szCs w:val="24"/>
        </w:rPr>
        <w:t xml:space="preserve"> Over-</w:t>
      </w:r>
      <w:r w:rsidR="00B74197" w:rsidRPr="0046507A">
        <w:rPr>
          <w:rFonts w:ascii="Times New Roman" w:hAnsi="Times New Roman" w:cs="Times New Roman"/>
          <w:sz w:val="24"/>
          <w:szCs w:val="24"/>
        </w:rPr>
        <w:t xml:space="preserve">nutrition is now becoming a public health concern in Ghana, thus, exacerbating the problems with lower physical activity levels </w:t>
      </w:r>
      <w:r w:rsidR="00FA707A" w:rsidRPr="0046507A">
        <w:rPr>
          <w:rFonts w:ascii="Times New Roman" w:hAnsi="Times New Roman" w:cs="Times New Roman"/>
          <w:sz w:val="24"/>
          <w:szCs w:val="24"/>
        </w:rPr>
        <w:t>[</w:t>
      </w:r>
      <w:r w:rsidR="001F3D18" w:rsidRPr="0046507A">
        <w:rPr>
          <w:rFonts w:ascii="Times New Roman" w:hAnsi="Times New Roman" w:cs="Times New Roman"/>
          <w:sz w:val="24"/>
          <w:szCs w:val="24"/>
        </w:rPr>
        <w:t>7</w:t>
      </w:r>
      <w:r w:rsidR="00FA707A" w:rsidRPr="0046507A">
        <w:rPr>
          <w:rFonts w:ascii="Times New Roman" w:hAnsi="Times New Roman" w:cs="Times New Roman"/>
          <w:sz w:val="24"/>
          <w:szCs w:val="24"/>
        </w:rPr>
        <w:t>]</w:t>
      </w:r>
      <w:r w:rsidR="006F6F1D" w:rsidRPr="0046507A">
        <w:rPr>
          <w:rFonts w:ascii="Times New Roman" w:hAnsi="Times New Roman" w:cs="Times New Roman"/>
          <w:sz w:val="24"/>
          <w:szCs w:val="24"/>
        </w:rPr>
        <w:t>.</w:t>
      </w:r>
      <w:r w:rsidR="00B74197" w:rsidRPr="00465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496" w:rsidRPr="0046507A" w:rsidRDefault="00A41C32" w:rsidP="004650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6507A">
        <w:rPr>
          <w:rFonts w:ascii="Times New Roman" w:hAnsi="Times New Roman" w:cs="Times New Roman"/>
          <w:sz w:val="24"/>
          <w:szCs w:val="24"/>
        </w:rPr>
        <w:t>Inadequate infrastructure, absence of policy for PE and sports in school</w:t>
      </w:r>
      <w:r w:rsidR="00BD12E1" w:rsidRPr="0046507A">
        <w:rPr>
          <w:rFonts w:ascii="Times New Roman" w:hAnsi="Times New Roman" w:cs="Times New Roman"/>
          <w:sz w:val="24"/>
          <w:szCs w:val="24"/>
        </w:rPr>
        <w:t>s</w:t>
      </w:r>
      <w:r w:rsidRPr="0046507A">
        <w:rPr>
          <w:rFonts w:ascii="Times New Roman" w:hAnsi="Times New Roman" w:cs="Times New Roman"/>
          <w:sz w:val="24"/>
          <w:szCs w:val="24"/>
        </w:rPr>
        <w:t>, lack of equipment and financial resources are mitigating participation in PA</w:t>
      </w:r>
      <w:r w:rsidR="00A93F93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C27186">
        <w:rPr>
          <w:rFonts w:ascii="Times New Roman" w:hAnsi="Times New Roman" w:cs="Times New Roman"/>
          <w:sz w:val="24"/>
          <w:szCs w:val="24"/>
        </w:rPr>
        <w:t>for children and youth in Ghana</w:t>
      </w:r>
      <w:r w:rsidR="00A93F93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BD12E1" w:rsidRPr="0046507A">
        <w:rPr>
          <w:rFonts w:ascii="Times New Roman" w:eastAsia="MinionPro-Regular" w:hAnsi="Times New Roman" w:cs="Times New Roman"/>
          <w:sz w:val="24"/>
          <w:szCs w:val="24"/>
        </w:rPr>
        <w:t>[</w:t>
      </w:r>
      <w:r w:rsidR="001F3D18" w:rsidRPr="0046507A">
        <w:rPr>
          <w:rFonts w:ascii="Times New Roman" w:eastAsia="MinionPro-Regular" w:hAnsi="Times New Roman" w:cs="Times New Roman"/>
          <w:sz w:val="24"/>
          <w:szCs w:val="24"/>
        </w:rPr>
        <w:t>8</w:t>
      </w:r>
      <w:r w:rsidR="00BD12E1" w:rsidRPr="0046507A">
        <w:rPr>
          <w:rFonts w:ascii="Times New Roman" w:eastAsia="MinionPro-Regular" w:hAnsi="Times New Roman" w:cs="Times New Roman"/>
          <w:sz w:val="24"/>
          <w:szCs w:val="24"/>
        </w:rPr>
        <w:t>][</w:t>
      </w:r>
      <w:r w:rsidR="001F3D18" w:rsidRPr="0046507A">
        <w:rPr>
          <w:rFonts w:ascii="Times New Roman" w:eastAsia="MinionPro-Regular" w:hAnsi="Times New Roman" w:cs="Times New Roman"/>
          <w:sz w:val="24"/>
          <w:szCs w:val="24"/>
        </w:rPr>
        <w:t>9</w:t>
      </w:r>
      <w:r w:rsidR="00BD12E1" w:rsidRPr="0046507A">
        <w:rPr>
          <w:rFonts w:ascii="Times New Roman" w:eastAsia="MinionPro-Regular" w:hAnsi="Times New Roman" w:cs="Times New Roman"/>
          <w:sz w:val="24"/>
          <w:szCs w:val="24"/>
        </w:rPr>
        <w:t>].</w:t>
      </w:r>
      <w:r w:rsidR="00BD12E1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051FF9" w:rsidRPr="0046507A">
        <w:rPr>
          <w:rFonts w:ascii="Times New Roman" w:hAnsi="Times New Roman" w:cs="Times New Roman"/>
          <w:sz w:val="24"/>
          <w:szCs w:val="24"/>
        </w:rPr>
        <w:t xml:space="preserve">The </w:t>
      </w:r>
      <w:r w:rsidR="005119E8" w:rsidRPr="0046507A">
        <w:rPr>
          <w:rFonts w:ascii="Times New Roman" w:hAnsi="Times New Roman" w:cs="Times New Roman"/>
          <w:sz w:val="24"/>
          <w:szCs w:val="24"/>
        </w:rPr>
        <w:t>2014 Ghana</w:t>
      </w:r>
      <w:r w:rsidR="00051FF9" w:rsidRPr="0046507A">
        <w:rPr>
          <w:rFonts w:ascii="Times New Roman" w:hAnsi="Times New Roman" w:cs="Times New Roman"/>
          <w:sz w:val="24"/>
          <w:szCs w:val="24"/>
        </w:rPr>
        <w:t xml:space="preserve"> PA card for children and youth</w:t>
      </w:r>
      <w:r w:rsidR="00C27186">
        <w:rPr>
          <w:rFonts w:ascii="Times New Roman" w:hAnsi="Times New Roman" w:cs="Times New Roman"/>
          <w:sz w:val="24"/>
          <w:szCs w:val="24"/>
        </w:rPr>
        <w:t>, for example,</w:t>
      </w:r>
      <w:r w:rsidR="00051FF9" w:rsidRPr="0046507A">
        <w:rPr>
          <w:rFonts w:ascii="Times New Roman" w:hAnsi="Times New Roman" w:cs="Times New Roman"/>
          <w:sz w:val="24"/>
          <w:szCs w:val="24"/>
        </w:rPr>
        <w:t xml:space="preserve"> indicated a</w:t>
      </w:r>
      <w:r w:rsidR="005119E8" w:rsidRPr="0046507A">
        <w:rPr>
          <w:rFonts w:ascii="Times New Roman" w:hAnsi="Times New Roman" w:cs="Times New Roman"/>
          <w:sz w:val="24"/>
          <w:szCs w:val="24"/>
        </w:rPr>
        <w:t xml:space="preserve"> grade “D” in the overall physical activity category </w:t>
      </w:r>
      <w:r w:rsidR="00A93F93" w:rsidRPr="0046507A">
        <w:rPr>
          <w:rFonts w:ascii="Times New Roman" w:hAnsi="Times New Roman" w:cs="Times New Roman"/>
          <w:sz w:val="24"/>
          <w:szCs w:val="24"/>
        </w:rPr>
        <w:t>[</w:t>
      </w:r>
      <w:r w:rsidR="001F3D18" w:rsidRPr="0046507A">
        <w:rPr>
          <w:rFonts w:ascii="Times New Roman" w:hAnsi="Times New Roman" w:cs="Times New Roman"/>
          <w:sz w:val="24"/>
          <w:szCs w:val="24"/>
        </w:rPr>
        <w:t>10</w:t>
      </w:r>
      <w:r w:rsidR="00A93F93" w:rsidRPr="0046507A">
        <w:rPr>
          <w:rFonts w:ascii="Times New Roman" w:hAnsi="Times New Roman" w:cs="Times New Roman"/>
          <w:sz w:val="24"/>
          <w:szCs w:val="24"/>
        </w:rPr>
        <w:t>]</w:t>
      </w:r>
      <w:r w:rsidR="005119E8" w:rsidRPr="0046507A">
        <w:rPr>
          <w:rFonts w:ascii="Times New Roman" w:hAnsi="Times New Roman" w:cs="Times New Roman"/>
          <w:sz w:val="24"/>
          <w:szCs w:val="24"/>
        </w:rPr>
        <w:t xml:space="preserve">.  </w:t>
      </w:r>
      <w:r w:rsidR="00051FF9" w:rsidRPr="0046507A">
        <w:rPr>
          <w:rFonts w:ascii="Times New Roman" w:hAnsi="Times New Roman" w:cs="Times New Roman"/>
          <w:sz w:val="24"/>
          <w:szCs w:val="24"/>
        </w:rPr>
        <w:t>It is for this reason that the Ghana School Health Education Program (SHEP) has one of its objective</w:t>
      </w:r>
      <w:r w:rsidR="00C27186">
        <w:rPr>
          <w:rFonts w:ascii="Times New Roman" w:hAnsi="Times New Roman" w:cs="Times New Roman"/>
          <w:sz w:val="24"/>
          <w:szCs w:val="24"/>
        </w:rPr>
        <w:t>s as to p</w:t>
      </w:r>
      <w:r w:rsidR="00051FF9" w:rsidRPr="0046507A">
        <w:rPr>
          <w:rFonts w:ascii="Times New Roman" w:hAnsi="Times New Roman" w:cs="Times New Roman"/>
          <w:sz w:val="24"/>
          <w:szCs w:val="24"/>
        </w:rPr>
        <w:t>romote healthy lifestyles including healthy diet, avoiding alcohol and tobacco consumpt</w:t>
      </w:r>
      <w:r w:rsidR="00C27186">
        <w:rPr>
          <w:rFonts w:ascii="Times New Roman" w:hAnsi="Times New Roman" w:cs="Times New Roman"/>
          <w:sz w:val="24"/>
          <w:szCs w:val="24"/>
        </w:rPr>
        <w:t xml:space="preserve">ion, and physical inactivity </w:t>
      </w:r>
      <w:r w:rsidR="001F1FDC" w:rsidRPr="0046507A">
        <w:rPr>
          <w:rFonts w:ascii="Times New Roman" w:hAnsi="Times New Roman" w:cs="Times New Roman"/>
          <w:sz w:val="24"/>
          <w:szCs w:val="24"/>
        </w:rPr>
        <w:t>[</w:t>
      </w:r>
      <w:r w:rsidR="001F3D18" w:rsidRPr="0046507A">
        <w:rPr>
          <w:rFonts w:ascii="Times New Roman" w:hAnsi="Times New Roman" w:cs="Times New Roman"/>
          <w:sz w:val="24"/>
          <w:szCs w:val="24"/>
        </w:rPr>
        <w:t>8</w:t>
      </w:r>
      <w:r w:rsidR="001F1FDC" w:rsidRPr="0046507A">
        <w:rPr>
          <w:rFonts w:ascii="Times New Roman" w:hAnsi="Times New Roman" w:cs="Times New Roman"/>
          <w:sz w:val="24"/>
          <w:szCs w:val="24"/>
        </w:rPr>
        <w:t>]</w:t>
      </w:r>
      <w:r w:rsidR="00051FF9" w:rsidRPr="0046507A">
        <w:rPr>
          <w:rFonts w:ascii="Times New Roman" w:hAnsi="Times New Roman" w:cs="Times New Roman"/>
          <w:sz w:val="24"/>
          <w:szCs w:val="24"/>
        </w:rPr>
        <w:t>.</w:t>
      </w:r>
      <w:r w:rsidR="006A0496" w:rsidRPr="0046507A">
        <w:rPr>
          <w:rFonts w:ascii="Times New Roman" w:hAnsi="Times New Roman" w:cs="Times New Roman"/>
          <w:sz w:val="24"/>
          <w:szCs w:val="24"/>
        </w:rPr>
        <w:t xml:space="preserve"> As </w:t>
      </w:r>
      <w:r w:rsidR="001F1FDC" w:rsidRPr="0046507A">
        <w:rPr>
          <w:rFonts w:ascii="Times New Roman" w:hAnsi="Times New Roman" w:cs="Times New Roman"/>
          <w:sz w:val="24"/>
          <w:szCs w:val="24"/>
        </w:rPr>
        <w:t>[1</w:t>
      </w:r>
      <w:r w:rsidR="001F3D18" w:rsidRPr="0046507A">
        <w:rPr>
          <w:rFonts w:ascii="Times New Roman" w:hAnsi="Times New Roman" w:cs="Times New Roman"/>
          <w:sz w:val="24"/>
          <w:szCs w:val="24"/>
        </w:rPr>
        <w:t>1</w:t>
      </w:r>
      <w:r w:rsidR="001F1FDC" w:rsidRPr="0046507A">
        <w:rPr>
          <w:rFonts w:ascii="Times New Roman" w:hAnsi="Times New Roman" w:cs="Times New Roman"/>
          <w:sz w:val="24"/>
          <w:szCs w:val="24"/>
        </w:rPr>
        <w:t>]</w:t>
      </w:r>
      <w:r w:rsidR="006A0496" w:rsidRPr="0046507A">
        <w:rPr>
          <w:rFonts w:ascii="Times New Roman" w:hAnsi="Times New Roman" w:cs="Times New Roman"/>
          <w:sz w:val="24"/>
          <w:szCs w:val="24"/>
        </w:rPr>
        <w:t xml:space="preserve"> noted, the prevalence of overweight and obesity are on the increase in Ghana, and comprehensive and concerted efforts sh</w:t>
      </w:r>
      <w:r w:rsidR="00347A72" w:rsidRPr="0046507A">
        <w:rPr>
          <w:rFonts w:ascii="Times New Roman" w:hAnsi="Times New Roman" w:cs="Times New Roman"/>
          <w:sz w:val="24"/>
          <w:szCs w:val="24"/>
        </w:rPr>
        <w:t>ould be made to reverse the upward trend</w:t>
      </w:r>
      <w:r w:rsidR="006A0496" w:rsidRPr="0046507A">
        <w:rPr>
          <w:rFonts w:ascii="Times New Roman" w:hAnsi="Times New Roman" w:cs="Times New Roman"/>
          <w:sz w:val="24"/>
          <w:szCs w:val="24"/>
        </w:rPr>
        <w:t>.</w:t>
      </w:r>
    </w:p>
    <w:p w:rsidR="00A144C3" w:rsidRPr="0046507A" w:rsidRDefault="00883925" w:rsidP="004650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An appropriate avenue for children and youth to accrue recommended levels of PA is school physical education (PE). The </w:t>
      </w:r>
      <w:r w:rsidR="00945AAC" w:rsidRPr="0046507A">
        <w:rPr>
          <w:rFonts w:ascii="Times New Roman" w:hAnsi="Times New Roman" w:cs="Times New Roman"/>
          <w:sz w:val="24"/>
          <w:szCs w:val="24"/>
        </w:rPr>
        <w:t xml:space="preserve">International Council of Sport Science and Physical Education [ICSSPE] </w:t>
      </w:r>
      <w:r w:rsidR="006B36FE" w:rsidRPr="0046507A">
        <w:rPr>
          <w:rFonts w:ascii="Times New Roman" w:hAnsi="Times New Roman" w:cs="Times New Roman"/>
          <w:sz w:val="24"/>
          <w:szCs w:val="24"/>
        </w:rPr>
        <w:t xml:space="preserve">[12] </w:t>
      </w:r>
      <w:r w:rsidR="00A54CFA" w:rsidRPr="0046507A">
        <w:rPr>
          <w:rFonts w:ascii="Times New Roman" w:hAnsi="Times New Roman" w:cs="Times New Roman"/>
          <w:sz w:val="24"/>
          <w:szCs w:val="24"/>
        </w:rPr>
        <w:t xml:space="preserve">asserted that </w:t>
      </w:r>
      <w:r w:rsidR="00945AAC" w:rsidRPr="0046507A">
        <w:rPr>
          <w:rFonts w:ascii="Times New Roman" w:hAnsi="Times New Roman" w:cs="Times New Roman"/>
          <w:sz w:val="24"/>
          <w:szCs w:val="24"/>
        </w:rPr>
        <w:t xml:space="preserve">PE is the only school subject whose primary focus is on the body, physical activity, physical development and health. </w:t>
      </w:r>
      <w:r w:rsidR="00A54CFA" w:rsidRPr="0046507A">
        <w:rPr>
          <w:rFonts w:ascii="Times New Roman" w:hAnsi="Times New Roman" w:cs="Times New Roman"/>
          <w:sz w:val="24"/>
          <w:szCs w:val="24"/>
        </w:rPr>
        <w:t>PE</w:t>
      </w:r>
      <w:r w:rsidR="00945AAC" w:rsidRPr="0046507A">
        <w:rPr>
          <w:rFonts w:ascii="Times New Roman" w:hAnsi="Times New Roman" w:cs="Times New Roman"/>
          <w:sz w:val="24"/>
          <w:szCs w:val="24"/>
        </w:rPr>
        <w:t xml:space="preserve"> helps children to become physically active which is essential for healthy development and which</w:t>
      </w:r>
      <w:r w:rsidR="00A54CFA" w:rsidRPr="0046507A">
        <w:rPr>
          <w:rFonts w:ascii="Times New Roman" w:hAnsi="Times New Roman" w:cs="Times New Roman"/>
          <w:sz w:val="24"/>
          <w:szCs w:val="24"/>
        </w:rPr>
        <w:t>, in turn,</w:t>
      </w:r>
      <w:r w:rsidR="00945AAC" w:rsidRPr="0046507A">
        <w:rPr>
          <w:rFonts w:ascii="Times New Roman" w:hAnsi="Times New Roman" w:cs="Times New Roman"/>
          <w:sz w:val="24"/>
          <w:szCs w:val="24"/>
        </w:rPr>
        <w:t xml:space="preserve"> lay</w:t>
      </w:r>
      <w:r w:rsidR="00A54CFA" w:rsidRPr="0046507A">
        <w:rPr>
          <w:rFonts w:ascii="Times New Roman" w:hAnsi="Times New Roman" w:cs="Times New Roman"/>
          <w:sz w:val="24"/>
          <w:szCs w:val="24"/>
        </w:rPr>
        <w:t>s the foundation</w:t>
      </w:r>
      <w:r w:rsidR="00945AAC" w:rsidRPr="0046507A">
        <w:rPr>
          <w:rFonts w:ascii="Times New Roman" w:hAnsi="Times New Roman" w:cs="Times New Roman"/>
          <w:sz w:val="24"/>
          <w:szCs w:val="24"/>
        </w:rPr>
        <w:t xml:space="preserve"> for adult</w:t>
      </w:r>
      <w:r w:rsidR="00A54CFA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945AAC" w:rsidRPr="0046507A">
        <w:rPr>
          <w:rFonts w:ascii="Times New Roman" w:hAnsi="Times New Roman" w:cs="Times New Roman"/>
          <w:sz w:val="24"/>
          <w:szCs w:val="24"/>
        </w:rPr>
        <w:t>healthy lifestyles</w:t>
      </w:r>
      <w:r w:rsidR="00A54CFA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6B36FE" w:rsidRPr="0046507A">
        <w:rPr>
          <w:rFonts w:ascii="Times New Roman" w:hAnsi="Times New Roman" w:cs="Times New Roman"/>
          <w:sz w:val="24"/>
          <w:szCs w:val="24"/>
        </w:rPr>
        <w:t>[12]</w:t>
      </w:r>
      <w:r w:rsidR="00945AAC" w:rsidRPr="0046507A">
        <w:rPr>
          <w:rFonts w:ascii="Times New Roman" w:hAnsi="Times New Roman" w:cs="Times New Roman"/>
          <w:sz w:val="24"/>
          <w:szCs w:val="24"/>
        </w:rPr>
        <w:t>.</w:t>
      </w:r>
      <w:r w:rsidR="00A54CFA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CA2099" w:rsidRPr="0046507A">
        <w:rPr>
          <w:rFonts w:ascii="Times New Roman" w:hAnsi="Times New Roman" w:cs="Times New Roman"/>
          <w:sz w:val="24"/>
          <w:szCs w:val="24"/>
        </w:rPr>
        <w:t>A considerable part of children’s physical activity is presently allocated to regular physical</w:t>
      </w:r>
      <w:r w:rsidR="00A54CFA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CA2099" w:rsidRPr="0046507A">
        <w:rPr>
          <w:rFonts w:ascii="Times New Roman" w:hAnsi="Times New Roman" w:cs="Times New Roman"/>
          <w:sz w:val="24"/>
          <w:szCs w:val="24"/>
        </w:rPr>
        <w:t>education (PE) classes in schools [1</w:t>
      </w:r>
      <w:r w:rsidR="007C067A" w:rsidRPr="0046507A">
        <w:rPr>
          <w:rFonts w:ascii="Times New Roman" w:hAnsi="Times New Roman" w:cs="Times New Roman"/>
          <w:sz w:val="24"/>
          <w:szCs w:val="24"/>
        </w:rPr>
        <w:t>3</w:t>
      </w:r>
      <w:r w:rsidR="00CA2099" w:rsidRPr="0046507A">
        <w:rPr>
          <w:rFonts w:ascii="Times New Roman" w:hAnsi="Times New Roman" w:cs="Times New Roman"/>
          <w:sz w:val="24"/>
          <w:szCs w:val="24"/>
        </w:rPr>
        <w:t xml:space="preserve">], because economic pressures </w:t>
      </w:r>
      <w:r w:rsidR="00945AAC" w:rsidRPr="0046507A">
        <w:rPr>
          <w:rFonts w:ascii="Times New Roman" w:hAnsi="Times New Roman" w:cs="Times New Roman"/>
          <w:sz w:val="24"/>
          <w:szCs w:val="24"/>
        </w:rPr>
        <w:t>[</w:t>
      </w:r>
      <w:r w:rsidR="00CA2099" w:rsidRPr="0046507A">
        <w:rPr>
          <w:rFonts w:ascii="Times New Roman" w:hAnsi="Times New Roman" w:cs="Times New Roman"/>
          <w:sz w:val="24"/>
          <w:szCs w:val="24"/>
        </w:rPr>
        <w:t>1</w:t>
      </w:r>
      <w:r w:rsidR="007C067A" w:rsidRPr="0046507A">
        <w:rPr>
          <w:rFonts w:ascii="Times New Roman" w:hAnsi="Times New Roman" w:cs="Times New Roman"/>
          <w:sz w:val="24"/>
          <w:szCs w:val="24"/>
        </w:rPr>
        <w:t>4</w:t>
      </w:r>
      <w:r w:rsidR="00CA2099" w:rsidRPr="0046507A">
        <w:rPr>
          <w:rFonts w:ascii="Times New Roman" w:hAnsi="Times New Roman" w:cs="Times New Roman"/>
          <w:sz w:val="24"/>
          <w:szCs w:val="24"/>
        </w:rPr>
        <w:t>] and parental concern for safety [1</w:t>
      </w:r>
      <w:r w:rsidR="00B95042" w:rsidRPr="0046507A">
        <w:rPr>
          <w:rFonts w:ascii="Times New Roman" w:hAnsi="Times New Roman" w:cs="Times New Roman"/>
          <w:sz w:val="24"/>
          <w:szCs w:val="24"/>
        </w:rPr>
        <w:t>5</w:t>
      </w:r>
      <w:r w:rsidR="00CA2099" w:rsidRPr="0046507A">
        <w:rPr>
          <w:rFonts w:ascii="Times New Roman" w:hAnsi="Times New Roman" w:cs="Times New Roman"/>
          <w:sz w:val="24"/>
          <w:szCs w:val="24"/>
        </w:rPr>
        <w:t>] often reduce children’s physical activity in non-school</w:t>
      </w:r>
      <w:r w:rsidR="00A54CFA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CA2099" w:rsidRPr="0046507A">
        <w:rPr>
          <w:rFonts w:ascii="Times New Roman" w:hAnsi="Times New Roman" w:cs="Times New Roman"/>
          <w:sz w:val="24"/>
          <w:szCs w:val="24"/>
        </w:rPr>
        <w:t>settings.</w:t>
      </w:r>
      <w:r w:rsidR="00A54CFA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0C458D" w:rsidRPr="0046507A">
        <w:rPr>
          <w:rFonts w:ascii="Times New Roman" w:hAnsi="Times New Roman" w:cs="Times New Roman"/>
          <w:sz w:val="24"/>
          <w:szCs w:val="24"/>
        </w:rPr>
        <w:t xml:space="preserve">PE is required twice a week in junior high; and </w:t>
      </w:r>
      <w:r w:rsidR="0041192F" w:rsidRPr="0046507A">
        <w:rPr>
          <w:rFonts w:ascii="Times New Roman" w:hAnsi="Times New Roman" w:cs="Times New Roman"/>
          <w:sz w:val="24"/>
          <w:szCs w:val="24"/>
        </w:rPr>
        <w:t>senior high schools</w:t>
      </w:r>
      <w:r w:rsidR="00A54CFA" w:rsidRPr="0046507A">
        <w:rPr>
          <w:rFonts w:ascii="Times New Roman" w:hAnsi="Times New Roman" w:cs="Times New Roman"/>
          <w:sz w:val="24"/>
          <w:szCs w:val="24"/>
        </w:rPr>
        <w:t xml:space="preserve"> in Ghana </w:t>
      </w:r>
      <w:r w:rsidR="00854EEF" w:rsidRPr="0046507A">
        <w:rPr>
          <w:rFonts w:ascii="Times New Roman" w:hAnsi="Times New Roman" w:cs="Times New Roman"/>
          <w:sz w:val="24"/>
          <w:szCs w:val="24"/>
        </w:rPr>
        <w:t xml:space="preserve">[16, </w:t>
      </w:r>
      <w:r w:rsidR="002D6C45" w:rsidRPr="0046507A">
        <w:rPr>
          <w:rFonts w:ascii="Times New Roman" w:hAnsi="Times New Roman" w:cs="Times New Roman"/>
          <w:sz w:val="24"/>
          <w:szCs w:val="24"/>
        </w:rPr>
        <w:t>17]</w:t>
      </w:r>
      <w:r w:rsidR="0041192F" w:rsidRPr="0046507A">
        <w:rPr>
          <w:rFonts w:ascii="Times New Roman" w:hAnsi="Times New Roman" w:cs="Times New Roman"/>
          <w:sz w:val="24"/>
          <w:szCs w:val="24"/>
        </w:rPr>
        <w:t>.</w:t>
      </w:r>
      <w:r w:rsidR="00A54CFA" w:rsidRPr="0046507A">
        <w:rPr>
          <w:rFonts w:ascii="Times New Roman" w:hAnsi="Times New Roman" w:cs="Times New Roman"/>
          <w:sz w:val="24"/>
          <w:szCs w:val="24"/>
        </w:rPr>
        <w:t xml:space="preserve"> However, teachers do not implement the subject according to policy due to limited</w:t>
      </w:r>
      <w:r w:rsidR="00A54CFA" w:rsidRPr="0046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253">
        <w:rPr>
          <w:rFonts w:ascii="Times New Roman" w:hAnsi="Times New Roman" w:cs="Times New Roman"/>
          <w:sz w:val="24"/>
          <w:szCs w:val="24"/>
        </w:rPr>
        <w:t>i</w:t>
      </w:r>
      <w:r w:rsidR="0041192F" w:rsidRPr="0046507A">
        <w:rPr>
          <w:rFonts w:ascii="Times New Roman" w:hAnsi="Times New Roman" w:cs="Times New Roman"/>
          <w:sz w:val="24"/>
          <w:szCs w:val="24"/>
        </w:rPr>
        <w:t xml:space="preserve">nfrastructure and facilities </w:t>
      </w:r>
      <w:r w:rsidR="009F6996" w:rsidRPr="0046507A">
        <w:rPr>
          <w:rFonts w:ascii="Times New Roman" w:hAnsi="Times New Roman" w:cs="Times New Roman"/>
          <w:sz w:val="24"/>
          <w:szCs w:val="24"/>
        </w:rPr>
        <w:t>[8]</w:t>
      </w:r>
      <w:r w:rsidR="00A54CFA" w:rsidRPr="0046507A">
        <w:rPr>
          <w:rFonts w:ascii="Times New Roman" w:hAnsi="Times New Roman" w:cs="Times New Roman"/>
          <w:sz w:val="24"/>
          <w:szCs w:val="24"/>
        </w:rPr>
        <w:t>, lack of adequate training</w:t>
      </w:r>
      <w:r w:rsidR="009F6996" w:rsidRPr="0046507A">
        <w:rPr>
          <w:rFonts w:ascii="Times New Roman" w:hAnsi="Times New Roman" w:cs="Times New Roman"/>
          <w:sz w:val="24"/>
          <w:szCs w:val="24"/>
        </w:rPr>
        <w:t>,</w:t>
      </w:r>
      <w:r w:rsidR="00A54CFA" w:rsidRPr="0046507A">
        <w:rPr>
          <w:rFonts w:ascii="Times New Roman" w:hAnsi="Times New Roman" w:cs="Times New Roman"/>
          <w:sz w:val="24"/>
          <w:szCs w:val="24"/>
        </w:rPr>
        <w:t xml:space="preserve"> and lack of teacher’s guides </w:t>
      </w:r>
      <w:r w:rsidR="00854EEF" w:rsidRPr="0046507A">
        <w:rPr>
          <w:rFonts w:ascii="Times New Roman" w:hAnsi="Times New Roman" w:cs="Times New Roman"/>
          <w:sz w:val="24"/>
          <w:szCs w:val="24"/>
        </w:rPr>
        <w:t>[</w:t>
      </w:r>
      <w:r w:rsidR="009F6996" w:rsidRPr="0046507A">
        <w:rPr>
          <w:rFonts w:ascii="Times New Roman" w:hAnsi="Times New Roman" w:cs="Times New Roman"/>
          <w:sz w:val="24"/>
          <w:szCs w:val="24"/>
        </w:rPr>
        <w:t>8</w:t>
      </w:r>
      <w:r w:rsidR="00854EEF" w:rsidRPr="0046507A">
        <w:rPr>
          <w:rFonts w:ascii="Times New Roman" w:hAnsi="Times New Roman" w:cs="Times New Roman"/>
          <w:sz w:val="24"/>
          <w:szCs w:val="24"/>
        </w:rPr>
        <w:t xml:space="preserve">, </w:t>
      </w:r>
      <w:r w:rsidR="009F6996" w:rsidRPr="0046507A">
        <w:rPr>
          <w:rFonts w:ascii="Times New Roman" w:hAnsi="Times New Roman" w:cs="Times New Roman"/>
          <w:sz w:val="24"/>
          <w:szCs w:val="24"/>
        </w:rPr>
        <w:t>19]</w:t>
      </w:r>
      <w:r w:rsidR="00A54CFA" w:rsidRPr="0046507A">
        <w:rPr>
          <w:rFonts w:ascii="Times New Roman" w:hAnsi="Times New Roman" w:cs="Times New Roman"/>
          <w:sz w:val="24"/>
          <w:szCs w:val="24"/>
        </w:rPr>
        <w:t>.</w:t>
      </w:r>
      <w:r w:rsidR="006769B8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CF4BF5" w:rsidRPr="0046507A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A144C3" w:rsidRPr="0046507A">
        <w:rPr>
          <w:rFonts w:ascii="Times New Roman" w:hAnsi="Times New Roman" w:cs="Times New Roman"/>
          <w:sz w:val="24"/>
          <w:szCs w:val="24"/>
        </w:rPr>
        <w:t xml:space="preserve">only 65.9% of district coordinators of </w:t>
      </w:r>
      <w:r w:rsidR="00CF4BF5" w:rsidRPr="0046507A">
        <w:rPr>
          <w:rFonts w:ascii="Times New Roman" w:hAnsi="Times New Roman" w:cs="Times New Roman"/>
          <w:sz w:val="24"/>
          <w:szCs w:val="24"/>
        </w:rPr>
        <w:t xml:space="preserve">the </w:t>
      </w:r>
      <w:r w:rsidR="00A144C3" w:rsidRPr="0046507A">
        <w:rPr>
          <w:rFonts w:ascii="Times New Roman" w:hAnsi="Times New Roman" w:cs="Times New Roman"/>
          <w:sz w:val="24"/>
          <w:szCs w:val="24"/>
        </w:rPr>
        <w:t>S</w:t>
      </w:r>
      <w:r w:rsidR="00CF4BF5" w:rsidRPr="0046507A">
        <w:rPr>
          <w:rFonts w:ascii="Times New Roman" w:hAnsi="Times New Roman" w:cs="Times New Roman"/>
          <w:sz w:val="24"/>
          <w:szCs w:val="24"/>
        </w:rPr>
        <w:t xml:space="preserve">chool </w:t>
      </w:r>
      <w:r w:rsidR="00A144C3" w:rsidRPr="0046507A">
        <w:rPr>
          <w:rFonts w:ascii="Times New Roman" w:hAnsi="Times New Roman" w:cs="Times New Roman"/>
          <w:sz w:val="24"/>
          <w:szCs w:val="24"/>
        </w:rPr>
        <w:t>H</w:t>
      </w:r>
      <w:r w:rsidR="00CF4BF5" w:rsidRPr="0046507A">
        <w:rPr>
          <w:rFonts w:ascii="Times New Roman" w:hAnsi="Times New Roman" w:cs="Times New Roman"/>
          <w:sz w:val="24"/>
          <w:szCs w:val="24"/>
        </w:rPr>
        <w:t xml:space="preserve">ealth </w:t>
      </w:r>
      <w:r w:rsidR="00A144C3" w:rsidRPr="0046507A">
        <w:rPr>
          <w:rFonts w:ascii="Times New Roman" w:hAnsi="Times New Roman" w:cs="Times New Roman"/>
          <w:sz w:val="24"/>
          <w:szCs w:val="24"/>
        </w:rPr>
        <w:t>E</w:t>
      </w:r>
      <w:r w:rsidR="00CF4BF5" w:rsidRPr="0046507A">
        <w:rPr>
          <w:rFonts w:ascii="Times New Roman" w:hAnsi="Times New Roman" w:cs="Times New Roman"/>
          <w:sz w:val="24"/>
          <w:szCs w:val="24"/>
        </w:rPr>
        <w:t xml:space="preserve">ducation </w:t>
      </w:r>
      <w:r w:rsidR="00A144C3" w:rsidRPr="0046507A">
        <w:rPr>
          <w:rFonts w:ascii="Times New Roman" w:hAnsi="Times New Roman" w:cs="Times New Roman"/>
          <w:sz w:val="24"/>
          <w:szCs w:val="24"/>
        </w:rPr>
        <w:t>P</w:t>
      </w:r>
      <w:r w:rsidR="00CF4BF5" w:rsidRPr="0046507A">
        <w:rPr>
          <w:rFonts w:ascii="Times New Roman" w:hAnsi="Times New Roman" w:cs="Times New Roman"/>
          <w:sz w:val="24"/>
          <w:szCs w:val="24"/>
        </w:rPr>
        <w:t>rogram</w:t>
      </w:r>
      <w:r w:rsidR="00A144C3" w:rsidRPr="0046507A">
        <w:rPr>
          <w:rFonts w:ascii="Times New Roman" w:hAnsi="Times New Roman" w:cs="Times New Roman"/>
          <w:sz w:val="24"/>
          <w:szCs w:val="24"/>
        </w:rPr>
        <w:t xml:space="preserve"> indicated they taught physical activity and fitness in their curriculum</w:t>
      </w:r>
      <w:r w:rsidR="00CF4BF5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7D53F0" w:rsidRPr="0046507A">
        <w:rPr>
          <w:rFonts w:ascii="Times New Roman" w:hAnsi="Times New Roman" w:cs="Times New Roman"/>
          <w:sz w:val="24"/>
          <w:szCs w:val="24"/>
        </w:rPr>
        <w:t>[20]</w:t>
      </w:r>
      <w:r w:rsidR="00A144C3" w:rsidRPr="0046507A">
        <w:rPr>
          <w:rFonts w:ascii="Times New Roman" w:hAnsi="Times New Roman" w:cs="Times New Roman"/>
          <w:sz w:val="24"/>
          <w:szCs w:val="24"/>
        </w:rPr>
        <w:t>.</w:t>
      </w:r>
    </w:p>
    <w:p w:rsidR="00585A81" w:rsidRPr="0046507A" w:rsidRDefault="00256B4D" w:rsidP="004650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lastRenderedPageBreak/>
        <w:t>Alcohol is a</w:t>
      </w:r>
      <w:r w:rsidR="00CF4BF5" w:rsidRPr="0046507A">
        <w:rPr>
          <w:rFonts w:ascii="Times New Roman" w:hAnsi="Times New Roman" w:cs="Times New Roman"/>
          <w:sz w:val="24"/>
          <w:szCs w:val="24"/>
        </w:rPr>
        <w:t>nother</w:t>
      </w:r>
      <w:r w:rsidR="006F6F1D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Pr="0046507A">
        <w:rPr>
          <w:rFonts w:ascii="Times New Roman" w:hAnsi="Times New Roman" w:cs="Times New Roman"/>
          <w:sz w:val="24"/>
          <w:szCs w:val="24"/>
        </w:rPr>
        <w:t xml:space="preserve">preventable risk factor </w:t>
      </w:r>
      <w:r w:rsidR="00230444" w:rsidRPr="0046507A">
        <w:rPr>
          <w:rFonts w:ascii="Times New Roman" w:hAnsi="Times New Roman" w:cs="Times New Roman"/>
          <w:sz w:val="24"/>
          <w:szCs w:val="24"/>
        </w:rPr>
        <w:t>[21]</w:t>
      </w:r>
      <w:r w:rsidR="00CF4BF5" w:rsidRPr="0046507A">
        <w:rPr>
          <w:rFonts w:ascii="Times New Roman" w:hAnsi="Times New Roman" w:cs="Times New Roman"/>
          <w:sz w:val="24"/>
          <w:szCs w:val="24"/>
        </w:rPr>
        <w:t xml:space="preserve"> pertinent to the current study</w:t>
      </w:r>
      <w:r w:rsidR="00365291">
        <w:rPr>
          <w:rFonts w:ascii="Times New Roman" w:hAnsi="Times New Roman" w:cs="Times New Roman"/>
          <w:sz w:val="24"/>
          <w:szCs w:val="24"/>
        </w:rPr>
        <w:t>.</w:t>
      </w:r>
      <w:r w:rsidR="008B7363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8B7363" w:rsidRPr="0046507A">
        <w:rPr>
          <w:rFonts w:ascii="Times New Roman" w:hAnsi="Times New Roman" w:cs="Times New Roman"/>
          <w:b/>
          <w:sz w:val="24"/>
          <w:szCs w:val="24"/>
        </w:rPr>
        <w:t>C</w:t>
      </w:r>
      <w:r w:rsidR="00C3595E" w:rsidRPr="0046507A">
        <w:rPr>
          <w:rFonts w:ascii="Times New Roman" w:hAnsi="Times New Roman" w:cs="Times New Roman"/>
          <w:sz w:val="24"/>
          <w:szCs w:val="24"/>
        </w:rPr>
        <w:t>hildren who drink at an early age have a higher risk of developi</w:t>
      </w:r>
      <w:r w:rsidR="00854EEF" w:rsidRPr="0046507A">
        <w:rPr>
          <w:rFonts w:ascii="Times New Roman" w:hAnsi="Times New Roman" w:cs="Times New Roman"/>
          <w:sz w:val="24"/>
          <w:szCs w:val="24"/>
        </w:rPr>
        <w:t xml:space="preserve">ng health problems in adulthood </w:t>
      </w:r>
      <w:r w:rsidR="00C3595E" w:rsidRPr="0046507A">
        <w:rPr>
          <w:rFonts w:ascii="Times New Roman" w:hAnsi="Times New Roman" w:cs="Times New Roman"/>
          <w:sz w:val="24"/>
          <w:szCs w:val="24"/>
        </w:rPr>
        <w:t>[</w:t>
      </w:r>
      <w:r w:rsidR="00485E0B" w:rsidRPr="0046507A">
        <w:rPr>
          <w:rFonts w:ascii="Times New Roman" w:hAnsi="Times New Roman" w:cs="Times New Roman"/>
          <w:sz w:val="24"/>
          <w:szCs w:val="24"/>
        </w:rPr>
        <w:t>22</w:t>
      </w:r>
      <w:r w:rsidR="00854EEF" w:rsidRPr="0046507A">
        <w:rPr>
          <w:rFonts w:ascii="Times New Roman" w:hAnsi="Times New Roman" w:cs="Times New Roman"/>
          <w:sz w:val="24"/>
          <w:szCs w:val="24"/>
        </w:rPr>
        <w:t xml:space="preserve">, </w:t>
      </w:r>
      <w:r w:rsidR="00357BCD" w:rsidRPr="0046507A">
        <w:rPr>
          <w:rFonts w:ascii="Times New Roman" w:hAnsi="Times New Roman" w:cs="Times New Roman"/>
          <w:sz w:val="24"/>
          <w:szCs w:val="24"/>
        </w:rPr>
        <w:t>20</w:t>
      </w:r>
      <w:r w:rsidR="008B7363" w:rsidRPr="0046507A">
        <w:rPr>
          <w:rFonts w:ascii="Times New Roman" w:hAnsi="Times New Roman" w:cs="Times New Roman"/>
          <w:sz w:val="24"/>
          <w:szCs w:val="24"/>
        </w:rPr>
        <w:t>]</w:t>
      </w:r>
      <w:r w:rsidR="002E78EC" w:rsidRPr="0046507A">
        <w:rPr>
          <w:rFonts w:ascii="Times New Roman" w:hAnsi="Times New Roman" w:cs="Times New Roman"/>
          <w:sz w:val="24"/>
          <w:szCs w:val="24"/>
        </w:rPr>
        <w:t xml:space="preserve">. </w:t>
      </w:r>
      <w:r w:rsidR="009C047A" w:rsidRPr="0046507A">
        <w:rPr>
          <w:rFonts w:ascii="Times New Roman" w:hAnsi="Times New Roman" w:cs="Times New Roman"/>
          <w:sz w:val="24"/>
          <w:szCs w:val="24"/>
        </w:rPr>
        <w:t>Furthermore, r</w:t>
      </w:r>
      <w:r w:rsidR="002E78EC" w:rsidRPr="0046507A">
        <w:rPr>
          <w:rFonts w:ascii="Times New Roman" w:hAnsi="Times New Roman" w:cs="Times New Roman"/>
          <w:sz w:val="24"/>
          <w:szCs w:val="24"/>
        </w:rPr>
        <w:t>esearch show</w:t>
      </w:r>
      <w:r w:rsidR="00365291">
        <w:rPr>
          <w:rFonts w:ascii="Times New Roman" w:hAnsi="Times New Roman" w:cs="Times New Roman"/>
          <w:sz w:val="24"/>
          <w:szCs w:val="24"/>
        </w:rPr>
        <w:t>s</w:t>
      </w:r>
      <w:r w:rsidR="002E78EC" w:rsidRPr="0046507A">
        <w:rPr>
          <w:rFonts w:ascii="Times New Roman" w:hAnsi="Times New Roman" w:cs="Times New Roman"/>
          <w:sz w:val="24"/>
          <w:szCs w:val="24"/>
        </w:rPr>
        <w:t xml:space="preserve"> that the pr</w:t>
      </w:r>
      <w:r w:rsidR="00365291">
        <w:rPr>
          <w:rFonts w:ascii="Times New Roman" w:hAnsi="Times New Roman" w:cs="Times New Roman"/>
          <w:sz w:val="24"/>
          <w:szCs w:val="24"/>
        </w:rPr>
        <w:t>evalence of lifetime alcohol consumption</w:t>
      </w:r>
      <w:r w:rsidR="002E78EC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854EEF" w:rsidRPr="0046507A">
        <w:rPr>
          <w:rFonts w:ascii="Times New Roman" w:hAnsi="Times New Roman" w:cs="Times New Roman"/>
          <w:sz w:val="24"/>
          <w:szCs w:val="24"/>
        </w:rPr>
        <w:t xml:space="preserve">among secondary students </w:t>
      </w:r>
      <w:r w:rsidR="00365291">
        <w:rPr>
          <w:rFonts w:ascii="Times New Roman" w:hAnsi="Times New Roman" w:cs="Times New Roman"/>
          <w:sz w:val="24"/>
          <w:szCs w:val="24"/>
        </w:rPr>
        <w:t>and a national</w:t>
      </w:r>
      <w:r w:rsidR="002E78EC" w:rsidRPr="0046507A">
        <w:rPr>
          <w:rFonts w:ascii="Times New Roman" w:hAnsi="Times New Roman" w:cs="Times New Roman"/>
          <w:sz w:val="24"/>
          <w:szCs w:val="24"/>
        </w:rPr>
        <w:t xml:space="preserve"> sample of youth </w:t>
      </w:r>
      <w:r w:rsidR="00854EEF" w:rsidRPr="0046507A">
        <w:rPr>
          <w:rFonts w:ascii="Times New Roman" w:hAnsi="Times New Roman" w:cs="Times New Roman"/>
          <w:sz w:val="24"/>
          <w:szCs w:val="24"/>
        </w:rPr>
        <w:t xml:space="preserve">in Ghana </w:t>
      </w:r>
      <w:r w:rsidR="00544C1F" w:rsidRPr="0046507A">
        <w:rPr>
          <w:rFonts w:ascii="Times New Roman" w:hAnsi="Times New Roman" w:cs="Times New Roman"/>
          <w:sz w:val="24"/>
          <w:szCs w:val="24"/>
        </w:rPr>
        <w:t>[</w:t>
      </w:r>
      <w:r w:rsidR="00365291">
        <w:rPr>
          <w:rFonts w:ascii="Times New Roman" w:hAnsi="Times New Roman" w:cs="Times New Roman"/>
          <w:sz w:val="24"/>
          <w:szCs w:val="24"/>
        </w:rPr>
        <w:t xml:space="preserve">20, </w:t>
      </w:r>
      <w:r w:rsidR="00A3036B" w:rsidRPr="0046507A">
        <w:rPr>
          <w:rFonts w:ascii="Times New Roman" w:hAnsi="Times New Roman" w:cs="Times New Roman"/>
          <w:sz w:val="24"/>
          <w:szCs w:val="24"/>
        </w:rPr>
        <w:t>2</w:t>
      </w:r>
      <w:r w:rsidR="00485E0B" w:rsidRPr="0046507A">
        <w:rPr>
          <w:rFonts w:ascii="Times New Roman" w:hAnsi="Times New Roman" w:cs="Times New Roman"/>
          <w:sz w:val="24"/>
          <w:szCs w:val="24"/>
        </w:rPr>
        <w:t>3</w:t>
      </w:r>
      <w:r w:rsidR="00544C1F" w:rsidRPr="0046507A">
        <w:rPr>
          <w:rFonts w:ascii="Times New Roman" w:hAnsi="Times New Roman" w:cs="Times New Roman"/>
          <w:sz w:val="24"/>
          <w:szCs w:val="24"/>
        </w:rPr>
        <w:t xml:space="preserve">] </w:t>
      </w:r>
      <w:r w:rsidR="002E78EC" w:rsidRPr="0046507A">
        <w:rPr>
          <w:rFonts w:ascii="Times New Roman" w:hAnsi="Times New Roman" w:cs="Times New Roman"/>
          <w:sz w:val="24"/>
          <w:szCs w:val="24"/>
        </w:rPr>
        <w:t>was approximately 25%.</w:t>
      </w:r>
      <w:r w:rsidR="00F3446D" w:rsidRPr="0046507A">
        <w:rPr>
          <w:rFonts w:ascii="Times New Roman" w:hAnsi="Times New Roman" w:cs="Times New Roman"/>
          <w:sz w:val="24"/>
          <w:szCs w:val="24"/>
        </w:rPr>
        <w:t xml:space="preserve"> Globally, alcohol is the third leading risk factor after childhood underweight and unsafe sex </w:t>
      </w:r>
      <w:r w:rsidR="00485E0B" w:rsidRPr="0046507A">
        <w:rPr>
          <w:rFonts w:ascii="Times New Roman" w:hAnsi="Times New Roman" w:cs="Times New Roman"/>
          <w:sz w:val="24"/>
          <w:szCs w:val="24"/>
        </w:rPr>
        <w:t>[24</w:t>
      </w:r>
      <w:r w:rsidR="00881EA1" w:rsidRPr="0046507A">
        <w:rPr>
          <w:rFonts w:ascii="Times New Roman" w:hAnsi="Times New Roman" w:cs="Times New Roman"/>
          <w:sz w:val="24"/>
          <w:szCs w:val="24"/>
        </w:rPr>
        <w:t>]</w:t>
      </w:r>
      <w:r w:rsidR="00F3446D" w:rsidRPr="0046507A">
        <w:rPr>
          <w:rFonts w:ascii="Times New Roman" w:hAnsi="Times New Roman" w:cs="Times New Roman"/>
          <w:sz w:val="24"/>
          <w:szCs w:val="24"/>
        </w:rPr>
        <w:t>.</w:t>
      </w:r>
      <w:r w:rsidR="007B08F6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A66D9A" w:rsidRPr="0046507A">
        <w:rPr>
          <w:rFonts w:ascii="Times New Roman" w:hAnsi="Times New Roman" w:cs="Times New Roman"/>
          <w:sz w:val="24"/>
          <w:szCs w:val="24"/>
        </w:rPr>
        <w:t xml:space="preserve">Research suggests that taking alcohol at an early age can result in greater risk of abusive consumption and other development problems [25]. </w:t>
      </w:r>
      <w:r w:rsidR="002758A0">
        <w:rPr>
          <w:rFonts w:ascii="Times New Roman" w:hAnsi="Times New Roman" w:cs="Times New Roman"/>
          <w:sz w:val="24"/>
          <w:szCs w:val="24"/>
        </w:rPr>
        <w:t>For example, [22] reported</w:t>
      </w:r>
      <w:r w:rsidR="00F00A28" w:rsidRPr="0046507A">
        <w:rPr>
          <w:rFonts w:ascii="Times New Roman" w:hAnsi="Times New Roman" w:cs="Times New Roman"/>
          <w:sz w:val="24"/>
          <w:szCs w:val="24"/>
        </w:rPr>
        <w:t xml:space="preserve"> participants in their study who started to drink at ages 11-14 were at the greatest risk of developing alcohol abuse. </w:t>
      </w:r>
    </w:p>
    <w:p w:rsidR="00364D5A" w:rsidRPr="0046507A" w:rsidRDefault="007B08F6" w:rsidP="00B7594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L</w:t>
      </w:r>
      <w:r w:rsidR="00485E0B" w:rsidRPr="0046507A">
        <w:rPr>
          <w:rFonts w:ascii="Times New Roman" w:hAnsi="Times New Roman" w:cs="Times New Roman"/>
          <w:sz w:val="24"/>
          <w:szCs w:val="24"/>
        </w:rPr>
        <w:t xml:space="preserve">iterature on alcohol use in sub-Saharan Africa has focused on its consumption and sexual behavior among adolescents and adults </w:t>
      </w:r>
      <w:r w:rsidR="00A66D9A" w:rsidRPr="0046507A">
        <w:rPr>
          <w:rFonts w:ascii="Times New Roman" w:hAnsi="Times New Roman" w:cs="Times New Roman"/>
          <w:sz w:val="24"/>
          <w:szCs w:val="24"/>
        </w:rPr>
        <w:t>[26</w:t>
      </w:r>
      <w:r w:rsidR="00485E0B" w:rsidRPr="0046507A">
        <w:rPr>
          <w:rFonts w:ascii="Times New Roman" w:hAnsi="Times New Roman" w:cs="Times New Roman"/>
          <w:sz w:val="24"/>
          <w:szCs w:val="24"/>
        </w:rPr>
        <w:t>].</w:t>
      </w:r>
      <w:r w:rsidR="002758A0">
        <w:rPr>
          <w:rFonts w:ascii="Times New Roman" w:hAnsi="Times New Roman" w:cs="Times New Roman"/>
          <w:sz w:val="24"/>
          <w:szCs w:val="24"/>
        </w:rPr>
        <w:t xml:space="preserve"> Similarly, </w:t>
      </w:r>
      <w:r w:rsidR="005A722C" w:rsidRPr="0046507A">
        <w:rPr>
          <w:rFonts w:ascii="Times New Roman" w:hAnsi="Times New Roman" w:cs="Times New Roman"/>
          <w:sz w:val="24"/>
          <w:szCs w:val="24"/>
        </w:rPr>
        <w:t xml:space="preserve">studies </w:t>
      </w:r>
      <w:r w:rsidR="000754C7">
        <w:rPr>
          <w:rFonts w:ascii="Times New Roman" w:hAnsi="Times New Roman" w:cs="Times New Roman"/>
          <w:sz w:val="24"/>
          <w:szCs w:val="24"/>
        </w:rPr>
        <w:t>on physical activity have traditionally examined its</w:t>
      </w:r>
      <w:r w:rsidR="005A722C" w:rsidRPr="0046507A">
        <w:rPr>
          <w:rFonts w:ascii="Times New Roman" w:hAnsi="Times New Roman" w:cs="Times New Roman"/>
          <w:sz w:val="24"/>
          <w:szCs w:val="24"/>
        </w:rPr>
        <w:t xml:space="preserve"> relationship </w:t>
      </w:r>
      <w:r w:rsidR="000754C7">
        <w:rPr>
          <w:rFonts w:ascii="Times New Roman" w:hAnsi="Times New Roman" w:cs="Times New Roman"/>
          <w:sz w:val="24"/>
          <w:szCs w:val="24"/>
        </w:rPr>
        <w:t>with BMI</w:t>
      </w:r>
      <w:r w:rsidR="005A722C" w:rsidRPr="0046507A">
        <w:rPr>
          <w:rFonts w:ascii="Times New Roman" w:hAnsi="Times New Roman" w:cs="Times New Roman"/>
          <w:sz w:val="24"/>
          <w:szCs w:val="24"/>
        </w:rPr>
        <w:t>. It is important for research to investigate the influence of alcohol consumption and other risk factors on the physical activity levels of adolescents and adults. Therefore, the</w:t>
      </w:r>
      <w:r w:rsidR="00364D5A"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="005A722C" w:rsidRPr="0046507A">
        <w:rPr>
          <w:rFonts w:ascii="Times New Roman" w:hAnsi="Times New Roman" w:cs="Times New Roman"/>
          <w:sz w:val="24"/>
          <w:szCs w:val="24"/>
        </w:rPr>
        <w:t>purpose of the present</w:t>
      </w:r>
      <w:r w:rsidR="00364D5A" w:rsidRPr="0046507A">
        <w:rPr>
          <w:rFonts w:ascii="Times New Roman" w:hAnsi="Times New Roman" w:cs="Times New Roman"/>
          <w:sz w:val="24"/>
          <w:szCs w:val="24"/>
        </w:rPr>
        <w:t xml:space="preserve"> study was to assess the </w:t>
      </w:r>
      <w:r w:rsidR="005A722C" w:rsidRPr="0046507A">
        <w:rPr>
          <w:rFonts w:ascii="Times New Roman" w:hAnsi="Times New Roman" w:cs="Times New Roman"/>
          <w:sz w:val="24"/>
          <w:szCs w:val="24"/>
        </w:rPr>
        <w:t xml:space="preserve">effect of BMI and drunkenness on the </w:t>
      </w:r>
      <w:r w:rsidR="00364D5A" w:rsidRPr="0046507A">
        <w:rPr>
          <w:rFonts w:ascii="Times New Roman" w:hAnsi="Times New Roman" w:cs="Times New Roman"/>
          <w:sz w:val="24"/>
          <w:szCs w:val="24"/>
        </w:rPr>
        <w:t xml:space="preserve">physical activity levels of junior high and senior high school </w:t>
      </w:r>
      <w:r w:rsidR="005A722C" w:rsidRPr="0046507A">
        <w:rPr>
          <w:rFonts w:ascii="Times New Roman" w:hAnsi="Times New Roman" w:cs="Times New Roman"/>
          <w:sz w:val="24"/>
          <w:szCs w:val="24"/>
        </w:rPr>
        <w:t xml:space="preserve">adolescent </w:t>
      </w:r>
      <w:r w:rsidR="00364D5A" w:rsidRPr="0046507A">
        <w:rPr>
          <w:rFonts w:ascii="Times New Roman" w:hAnsi="Times New Roman" w:cs="Times New Roman"/>
          <w:sz w:val="24"/>
          <w:szCs w:val="24"/>
        </w:rPr>
        <w:t>students in Ghana.</w:t>
      </w:r>
      <w:r w:rsidR="00066DC2">
        <w:rPr>
          <w:rFonts w:ascii="Times New Roman" w:hAnsi="Times New Roman" w:cs="Times New Roman"/>
          <w:sz w:val="24"/>
          <w:szCs w:val="24"/>
        </w:rPr>
        <w:t xml:space="preserve"> An understanding of the effects would help policy makers and educational administrators identify effective strategies to increase the activity levels of adolescents.</w:t>
      </w:r>
    </w:p>
    <w:p w:rsidR="002065ED" w:rsidRPr="00B7594C" w:rsidRDefault="00AA05E1" w:rsidP="00B7594C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4C">
        <w:rPr>
          <w:rFonts w:ascii="Times New Roman" w:hAnsi="Times New Roman" w:cs="Times New Roman"/>
          <w:b/>
          <w:sz w:val="30"/>
          <w:szCs w:val="30"/>
        </w:rPr>
        <w:t>2</w:t>
      </w:r>
      <w:r w:rsidRPr="00B7594C">
        <w:rPr>
          <w:rFonts w:ascii="Times New Roman" w:hAnsi="Times New Roman" w:cs="Times New Roman"/>
          <w:b/>
          <w:sz w:val="30"/>
          <w:szCs w:val="30"/>
        </w:rPr>
        <w:tab/>
        <w:t>Method</w:t>
      </w:r>
    </w:p>
    <w:p w:rsidR="00092022" w:rsidRPr="00B7594C" w:rsidRDefault="00AA05E1" w:rsidP="00B759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4C">
        <w:rPr>
          <w:rFonts w:ascii="Times New Roman" w:hAnsi="Times New Roman" w:cs="Times New Roman"/>
          <w:b/>
          <w:sz w:val="28"/>
          <w:szCs w:val="28"/>
        </w:rPr>
        <w:t>2.1</w:t>
      </w:r>
      <w:r w:rsidRPr="00B7594C">
        <w:rPr>
          <w:rFonts w:ascii="Times New Roman" w:hAnsi="Times New Roman" w:cs="Times New Roman"/>
          <w:b/>
          <w:sz w:val="28"/>
          <w:szCs w:val="28"/>
        </w:rPr>
        <w:tab/>
      </w:r>
      <w:r w:rsidR="00092022" w:rsidRPr="00B7594C">
        <w:rPr>
          <w:rFonts w:ascii="Times New Roman" w:hAnsi="Times New Roman" w:cs="Times New Roman"/>
          <w:b/>
          <w:sz w:val="28"/>
          <w:szCs w:val="28"/>
        </w:rPr>
        <w:t>Participants</w:t>
      </w:r>
    </w:p>
    <w:p w:rsidR="00092022" w:rsidRPr="000159E5" w:rsidRDefault="00092022" w:rsidP="00B7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E5">
        <w:rPr>
          <w:rFonts w:ascii="Times New Roman" w:hAnsi="Times New Roman" w:cs="Times New Roman"/>
          <w:sz w:val="24"/>
          <w:szCs w:val="24"/>
        </w:rPr>
        <w:t xml:space="preserve">Participants included 2790 Ghanaian junior high </w:t>
      </w:r>
      <w:r w:rsidR="00A956D9" w:rsidRPr="000159E5">
        <w:rPr>
          <w:rFonts w:ascii="Times New Roman" w:hAnsi="Times New Roman" w:cs="Times New Roman"/>
          <w:sz w:val="24"/>
          <w:szCs w:val="24"/>
        </w:rPr>
        <w:t xml:space="preserve">(1188) </w:t>
      </w:r>
      <w:r w:rsidRPr="000159E5">
        <w:rPr>
          <w:rFonts w:ascii="Times New Roman" w:hAnsi="Times New Roman" w:cs="Times New Roman"/>
          <w:sz w:val="24"/>
          <w:szCs w:val="24"/>
        </w:rPr>
        <w:t xml:space="preserve">and senior high </w:t>
      </w:r>
      <w:r w:rsidR="00A956D9" w:rsidRPr="000159E5">
        <w:rPr>
          <w:rFonts w:ascii="Times New Roman" w:hAnsi="Times New Roman" w:cs="Times New Roman"/>
          <w:sz w:val="24"/>
          <w:szCs w:val="24"/>
        </w:rPr>
        <w:t xml:space="preserve">(1602) </w:t>
      </w:r>
      <w:r w:rsidRPr="000159E5">
        <w:rPr>
          <w:rFonts w:ascii="Times New Roman" w:hAnsi="Times New Roman" w:cs="Times New Roman"/>
          <w:sz w:val="24"/>
          <w:szCs w:val="24"/>
        </w:rPr>
        <w:t>school students age</w:t>
      </w:r>
      <w:r w:rsidR="00925C60" w:rsidRPr="000159E5">
        <w:rPr>
          <w:rFonts w:ascii="Times New Roman" w:hAnsi="Times New Roman" w:cs="Times New Roman"/>
          <w:sz w:val="24"/>
          <w:szCs w:val="24"/>
        </w:rPr>
        <w:t>d</w:t>
      </w:r>
      <w:r w:rsidR="00883925" w:rsidRPr="000159E5">
        <w:rPr>
          <w:rFonts w:ascii="Times New Roman" w:hAnsi="Times New Roman" w:cs="Times New Roman"/>
          <w:sz w:val="24"/>
          <w:szCs w:val="24"/>
        </w:rPr>
        <w:t xml:space="preserve"> 11-18</w:t>
      </w:r>
      <w:r w:rsidRPr="000159E5">
        <w:rPr>
          <w:rFonts w:ascii="Times New Roman" w:hAnsi="Times New Roman" w:cs="Times New Roman"/>
          <w:sz w:val="24"/>
          <w:szCs w:val="24"/>
        </w:rPr>
        <w:t>. They were 1508 boys and 1282 girls.</w:t>
      </w:r>
      <w:r w:rsidR="005457C5">
        <w:rPr>
          <w:rFonts w:ascii="Times New Roman" w:hAnsi="Times New Roman" w:cs="Times New Roman"/>
          <w:sz w:val="24"/>
          <w:szCs w:val="24"/>
        </w:rPr>
        <w:t xml:space="preserve"> </w:t>
      </w:r>
      <w:r w:rsidR="00B7594C">
        <w:rPr>
          <w:rFonts w:ascii="Times New Roman" w:hAnsi="Times New Roman" w:cs="Times New Roman"/>
          <w:sz w:val="24"/>
          <w:szCs w:val="24"/>
        </w:rPr>
        <w:t>Some observations were excluded due to missing data for variables pertinent to this study.</w:t>
      </w:r>
    </w:p>
    <w:p w:rsidR="00A956D9" w:rsidRPr="00F32E10" w:rsidRDefault="00AA05E1" w:rsidP="00B759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E10">
        <w:rPr>
          <w:rFonts w:ascii="Times New Roman" w:hAnsi="Times New Roman" w:cs="Times New Roman"/>
          <w:b/>
          <w:sz w:val="28"/>
          <w:szCs w:val="28"/>
        </w:rPr>
        <w:t>2.2</w:t>
      </w:r>
      <w:r w:rsidRPr="00F32E10">
        <w:rPr>
          <w:rFonts w:ascii="Times New Roman" w:hAnsi="Times New Roman" w:cs="Times New Roman"/>
          <w:b/>
          <w:sz w:val="28"/>
          <w:szCs w:val="28"/>
        </w:rPr>
        <w:tab/>
      </w:r>
      <w:r w:rsidR="00A956D9" w:rsidRPr="00F32E10">
        <w:rPr>
          <w:rFonts w:ascii="Times New Roman" w:hAnsi="Times New Roman" w:cs="Times New Roman"/>
          <w:b/>
          <w:sz w:val="28"/>
          <w:szCs w:val="28"/>
        </w:rPr>
        <w:t>Instrument</w:t>
      </w:r>
    </w:p>
    <w:p w:rsidR="00280A55" w:rsidRPr="00E11F34" w:rsidRDefault="002065ED" w:rsidP="00B7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E5">
        <w:rPr>
          <w:rFonts w:ascii="Times New Roman" w:hAnsi="Times New Roman" w:cs="Times New Roman"/>
          <w:sz w:val="24"/>
          <w:szCs w:val="24"/>
        </w:rPr>
        <w:t xml:space="preserve">The 2012 Ghana Global School-Based Student Health Survey </w:t>
      </w:r>
      <w:r w:rsidR="00C51801" w:rsidRPr="000159E5">
        <w:rPr>
          <w:rFonts w:ascii="Times New Roman" w:hAnsi="Times New Roman" w:cs="Times New Roman"/>
          <w:sz w:val="24"/>
          <w:szCs w:val="24"/>
        </w:rPr>
        <w:t>(GSH</w:t>
      </w:r>
      <w:r w:rsidR="00E11F34" w:rsidRPr="000159E5">
        <w:rPr>
          <w:rFonts w:ascii="Times New Roman" w:hAnsi="Times New Roman" w:cs="Times New Roman"/>
          <w:sz w:val="24"/>
          <w:szCs w:val="24"/>
        </w:rPr>
        <w:t>S</w:t>
      </w:r>
      <w:r w:rsidR="00C51801" w:rsidRPr="00F32E10">
        <w:rPr>
          <w:rFonts w:ascii="Times New Roman" w:hAnsi="Times New Roman" w:cs="Times New Roman"/>
          <w:sz w:val="24"/>
          <w:szCs w:val="24"/>
        </w:rPr>
        <w:t xml:space="preserve">) </w:t>
      </w:r>
      <w:r w:rsidR="00D70973" w:rsidRPr="00F32E10">
        <w:rPr>
          <w:rFonts w:ascii="Times New Roman" w:hAnsi="Times New Roman" w:cs="Times New Roman"/>
          <w:sz w:val="24"/>
          <w:szCs w:val="24"/>
        </w:rPr>
        <w:t>[</w:t>
      </w:r>
      <w:r w:rsidR="00782921" w:rsidRPr="00F32E10">
        <w:rPr>
          <w:rFonts w:ascii="Times New Roman" w:hAnsi="Times New Roman" w:cs="Times New Roman"/>
          <w:sz w:val="24"/>
          <w:szCs w:val="24"/>
        </w:rPr>
        <w:t>2</w:t>
      </w:r>
      <w:r w:rsidR="00A66D9A" w:rsidRPr="00F32E10">
        <w:rPr>
          <w:rFonts w:ascii="Times New Roman" w:hAnsi="Times New Roman" w:cs="Times New Roman"/>
          <w:sz w:val="24"/>
          <w:szCs w:val="24"/>
        </w:rPr>
        <w:t>7</w:t>
      </w:r>
      <w:r w:rsidR="00D70973" w:rsidRPr="00F32E10">
        <w:rPr>
          <w:rFonts w:ascii="Times New Roman" w:hAnsi="Times New Roman" w:cs="Times New Roman"/>
          <w:sz w:val="24"/>
          <w:szCs w:val="24"/>
        </w:rPr>
        <w:t xml:space="preserve">] </w:t>
      </w:r>
      <w:r w:rsidRPr="000159E5">
        <w:rPr>
          <w:rFonts w:ascii="Times New Roman" w:hAnsi="Times New Roman" w:cs="Times New Roman"/>
          <w:sz w:val="24"/>
          <w:szCs w:val="24"/>
        </w:rPr>
        <w:t>served as the main data source.</w:t>
      </w:r>
      <w:r w:rsidR="00A956D9" w:rsidRPr="000159E5">
        <w:rPr>
          <w:rFonts w:ascii="Times New Roman" w:hAnsi="Times New Roman" w:cs="Times New Roman"/>
          <w:sz w:val="24"/>
          <w:szCs w:val="24"/>
        </w:rPr>
        <w:t xml:space="preserve"> </w:t>
      </w:r>
      <w:r w:rsidRPr="000159E5">
        <w:rPr>
          <w:rFonts w:ascii="Times New Roman" w:hAnsi="Times New Roman" w:cs="Times New Roman"/>
          <w:sz w:val="24"/>
          <w:szCs w:val="24"/>
        </w:rPr>
        <w:t xml:space="preserve">The study investigated the extent to which participants </w:t>
      </w:r>
      <w:r w:rsidR="00F3770E" w:rsidRPr="000159E5">
        <w:rPr>
          <w:rFonts w:ascii="Times New Roman" w:hAnsi="Times New Roman" w:cs="Times New Roman"/>
          <w:sz w:val="24"/>
          <w:szCs w:val="24"/>
        </w:rPr>
        <w:t>were physically active</w:t>
      </w:r>
      <w:r w:rsidRPr="000159E5">
        <w:rPr>
          <w:rFonts w:ascii="Times New Roman" w:hAnsi="Times New Roman" w:cs="Times New Roman"/>
          <w:sz w:val="24"/>
          <w:szCs w:val="24"/>
        </w:rPr>
        <w:t xml:space="preserve"> seven days per week and also attended physical education (PE) classes five days or more per week</w:t>
      </w:r>
      <w:r w:rsidR="00140D13" w:rsidRPr="000159E5">
        <w:rPr>
          <w:rFonts w:ascii="Times New Roman" w:hAnsi="Times New Roman" w:cs="Times New Roman"/>
          <w:sz w:val="24"/>
          <w:szCs w:val="24"/>
        </w:rPr>
        <w:t xml:space="preserve"> (PA</w:t>
      </w:r>
      <w:r w:rsidRPr="000159E5">
        <w:rPr>
          <w:rFonts w:ascii="Times New Roman" w:hAnsi="Times New Roman" w:cs="Times New Roman"/>
          <w:sz w:val="24"/>
          <w:szCs w:val="24"/>
        </w:rPr>
        <w:t xml:space="preserve">PE). The predictor variables were age, gender, </w:t>
      </w:r>
      <w:r w:rsidR="00F27F18" w:rsidRPr="000159E5">
        <w:rPr>
          <w:rFonts w:ascii="Times New Roman" w:hAnsi="Times New Roman" w:cs="Times New Roman"/>
          <w:sz w:val="24"/>
          <w:szCs w:val="24"/>
        </w:rPr>
        <w:t>level</w:t>
      </w:r>
      <w:r w:rsidR="00F27F18">
        <w:rPr>
          <w:rFonts w:ascii="Times New Roman" w:hAnsi="Times New Roman" w:cs="Times New Roman"/>
          <w:sz w:val="24"/>
          <w:szCs w:val="24"/>
        </w:rPr>
        <w:t xml:space="preserve"> of education</w:t>
      </w:r>
      <w:r w:rsidR="00F27F18" w:rsidRPr="000159E5">
        <w:rPr>
          <w:rFonts w:ascii="Times New Roman" w:hAnsi="Times New Roman" w:cs="Times New Roman"/>
          <w:sz w:val="24"/>
          <w:szCs w:val="24"/>
        </w:rPr>
        <w:t xml:space="preserve">, </w:t>
      </w:r>
      <w:r w:rsidRPr="000159E5">
        <w:rPr>
          <w:rFonts w:ascii="Times New Roman" w:hAnsi="Times New Roman" w:cs="Times New Roman"/>
          <w:sz w:val="24"/>
          <w:szCs w:val="24"/>
        </w:rPr>
        <w:t>body mass index (BMI),</w:t>
      </w:r>
      <w:r w:rsidR="00103914">
        <w:rPr>
          <w:rFonts w:ascii="Times New Roman" w:hAnsi="Times New Roman" w:cs="Times New Roman"/>
          <w:sz w:val="24"/>
          <w:szCs w:val="24"/>
        </w:rPr>
        <w:t xml:space="preserve"> number of times being drunk (NBD</w:t>
      </w:r>
      <w:r w:rsidRPr="000159E5">
        <w:rPr>
          <w:rFonts w:ascii="Times New Roman" w:hAnsi="Times New Roman" w:cs="Times New Roman"/>
          <w:sz w:val="24"/>
          <w:szCs w:val="24"/>
        </w:rPr>
        <w:t xml:space="preserve">), and number of times </w:t>
      </w:r>
      <w:r w:rsidR="00E82253">
        <w:rPr>
          <w:rFonts w:ascii="Times New Roman" w:hAnsi="Times New Roman" w:cs="Times New Roman"/>
          <w:sz w:val="24"/>
          <w:szCs w:val="24"/>
        </w:rPr>
        <w:t xml:space="preserve">being </w:t>
      </w:r>
      <w:r w:rsidRPr="000159E5">
        <w:rPr>
          <w:rFonts w:ascii="Times New Roman" w:hAnsi="Times New Roman" w:cs="Times New Roman"/>
          <w:sz w:val="24"/>
          <w:szCs w:val="24"/>
        </w:rPr>
        <w:t>in trouble</w:t>
      </w:r>
      <w:r w:rsidRPr="00E11F34">
        <w:rPr>
          <w:rFonts w:ascii="Times New Roman" w:hAnsi="Times New Roman" w:cs="Times New Roman"/>
          <w:sz w:val="24"/>
          <w:szCs w:val="24"/>
        </w:rPr>
        <w:t xml:space="preserve"> due to </w:t>
      </w:r>
      <w:r w:rsidR="00E82253">
        <w:rPr>
          <w:rFonts w:ascii="Times New Roman" w:hAnsi="Times New Roman" w:cs="Times New Roman"/>
          <w:sz w:val="24"/>
          <w:szCs w:val="24"/>
        </w:rPr>
        <w:t>drunke</w:t>
      </w:r>
      <w:r w:rsidR="005B403C">
        <w:rPr>
          <w:rFonts w:ascii="Times New Roman" w:hAnsi="Times New Roman" w:cs="Times New Roman"/>
          <w:sz w:val="24"/>
          <w:szCs w:val="24"/>
        </w:rPr>
        <w:t>n</w:t>
      </w:r>
      <w:r w:rsidR="00E82253">
        <w:rPr>
          <w:rFonts w:ascii="Times New Roman" w:hAnsi="Times New Roman" w:cs="Times New Roman"/>
          <w:sz w:val="24"/>
          <w:szCs w:val="24"/>
        </w:rPr>
        <w:t>ness</w:t>
      </w:r>
      <w:r w:rsidRPr="00E11F34">
        <w:rPr>
          <w:rFonts w:ascii="Times New Roman" w:hAnsi="Times New Roman" w:cs="Times New Roman"/>
          <w:sz w:val="24"/>
          <w:szCs w:val="24"/>
        </w:rPr>
        <w:t xml:space="preserve"> (TTD).</w:t>
      </w:r>
      <w:r w:rsidR="00790798">
        <w:rPr>
          <w:rFonts w:ascii="Times New Roman" w:hAnsi="Times New Roman" w:cs="Times New Roman"/>
          <w:sz w:val="24"/>
          <w:szCs w:val="24"/>
        </w:rPr>
        <w:t xml:space="preserve"> </w:t>
      </w:r>
      <w:r w:rsidR="00E11F34" w:rsidRPr="00E11F34">
        <w:rPr>
          <w:rFonts w:ascii="Times New Roman" w:hAnsi="Times New Roman" w:cs="Times New Roman"/>
          <w:sz w:val="24"/>
          <w:szCs w:val="24"/>
        </w:rPr>
        <w:t xml:space="preserve">The GSHS operationally defined PA </w:t>
      </w:r>
      <w:r w:rsidR="00665353">
        <w:rPr>
          <w:rFonts w:ascii="Times New Roman" w:hAnsi="Times New Roman" w:cs="Times New Roman"/>
          <w:sz w:val="24"/>
          <w:szCs w:val="24"/>
        </w:rPr>
        <w:t xml:space="preserve">as </w:t>
      </w:r>
      <w:r w:rsidR="00280A55" w:rsidRPr="00E11F34">
        <w:rPr>
          <w:rFonts w:ascii="Times New Roman" w:hAnsi="Times New Roman" w:cs="Times New Roman"/>
          <w:bCs/>
          <w:sz w:val="24"/>
          <w:szCs w:val="24"/>
        </w:rPr>
        <w:t>any activity that increases your heart rate and makes you get out of breath some of the time</w:t>
      </w:r>
      <w:r w:rsidR="00F27F18">
        <w:rPr>
          <w:rFonts w:ascii="Times New Roman" w:hAnsi="Times New Roman" w:cs="Times New Roman"/>
          <w:bCs/>
          <w:sz w:val="24"/>
          <w:szCs w:val="24"/>
        </w:rPr>
        <w:t xml:space="preserve"> [27]</w:t>
      </w:r>
      <w:r w:rsidR="00280A55" w:rsidRPr="00E11F34">
        <w:rPr>
          <w:rFonts w:ascii="Times New Roman" w:hAnsi="Times New Roman" w:cs="Times New Roman"/>
          <w:bCs/>
          <w:sz w:val="24"/>
          <w:szCs w:val="24"/>
        </w:rPr>
        <w:t>.</w:t>
      </w:r>
      <w:r w:rsidR="00D65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D13">
        <w:rPr>
          <w:rFonts w:ascii="Times New Roman" w:hAnsi="Times New Roman" w:cs="Times New Roman"/>
          <w:sz w:val="24"/>
          <w:szCs w:val="24"/>
        </w:rPr>
        <w:t>The response variable</w:t>
      </w:r>
      <w:r w:rsidR="00790798">
        <w:rPr>
          <w:rFonts w:ascii="Times New Roman" w:hAnsi="Times New Roman" w:cs="Times New Roman"/>
          <w:sz w:val="24"/>
          <w:szCs w:val="24"/>
        </w:rPr>
        <w:t>, PAPE, utilized two items: “</w:t>
      </w:r>
      <w:r w:rsidR="00280A55" w:rsidRPr="00E11F34">
        <w:rPr>
          <w:rFonts w:ascii="Times New Roman" w:hAnsi="Times New Roman" w:cs="Times New Roman"/>
          <w:sz w:val="24"/>
          <w:szCs w:val="24"/>
        </w:rPr>
        <w:t xml:space="preserve">During the past </w:t>
      </w:r>
      <w:r w:rsidR="00280A55" w:rsidRPr="00CF5873">
        <w:rPr>
          <w:rFonts w:ascii="Times New Roman" w:hAnsi="Times New Roman" w:cs="Times New Roman"/>
          <w:bCs/>
          <w:sz w:val="24"/>
          <w:szCs w:val="24"/>
        </w:rPr>
        <w:t>7 days</w:t>
      </w:r>
      <w:r w:rsidR="00280A55" w:rsidRPr="00CF5873">
        <w:rPr>
          <w:rFonts w:ascii="Times New Roman" w:hAnsi="Times New Roman" w:cs="Times New Roman"/>
          <w:sz w:val="24"/>
          <w:szCs w:val="24"/>
        </w:rPr>
        <w:t>,</w:t>
      </w:r>
      <w:r w:rsidR="00280A55" w:rsidRPr="00E11F34">
        <w:rPr>
          <w:rFonts w:ascii="Times New Roman" w:hAnsi="Times New Roman" w:cs="Times New Roman"/>
          <w:sz w:val="24"/>
          <w:szCs w:val="24"/>
        </w:rPr>
        <w:t xml:space="preserve"> on how many days were you physically active for a total </w:t>
      </w:r>
      <w:r w:rsidR="00140D13">
        <w:rPr>
          <w:rFonts w:ascii="Times New Roman" w:hAnsi="Times New Roman" w:cs="Times New Roman"/>
          <w:sz w:val="24"/>
          <w:szCs w:val="24"/>
        </w:rPr>
        <w:t>of at least 60 minutes per day?</w:t>
      </w:r>
      <w:r w:rsidR="00790798">
        <w:rPr>
          <w:rFonts w:ascii="Times New Roman" w:hAnsi="Times New Roman" w:cs="Times New Roman"/>
          <w:sz w:val="24"/>
          <w:szCs w:val="24"/>
        </w:rPr>
        <w:t>”</w:t>
      </w:r>
      <w:r w:rsidR="00140D13">
        <w:rPr>
          <w:rFonts w:ascii="Times New Roman" w:hAnsi="Times New Roman" w:cs="Times New Roman"/>
          <w:sz w:val="24"/>
          <w:szCs w:val="24"/>
        </w:rPr>
        <w:t xml:space="preserve">  </w:t>
      </w:r>
      <w:r w:rsidR="00790798">
        <w:rPr>
          <w:rFonts w:ascii="Times New Roman" w:hAnsi="Times New Roman" w:cs="Times New Roman"/>
          <w:sz w:val="24"/>
          <w:szCs w:val="24"/>
        </w:rPr>
        <w:t>and</w:t>
      </w:r>
      <w:r w:rsidR="00140D13">
        <w:rPr>
          <w:rFonts w:ascii="Times New Roman" w:hAnsi="Times New Roman" w:cs="Times New Roman"/>
          <w:sz w:val="24"/>
          <w:szCs w:val="24"/>
        </w:rPr>
        <w:t xml:space="preserve"> </w:t>
      </w:r>
      <w:r w:rsidR="00790798">
        <w:rPr>
          <w:rFonts w:ascii="Times New Roman" w:hAnsi="Times New Roman" w:cs="Times New Roman"/>
          <w:sz w:val="24"/>
          <w:szCs w:val="24"/>
        </w:rPr>
        <w:t>“</w:t>
      </w:r>
      <w:r w:rsidR="00280A55" w:rsidRPr="00E11F34">
        <w:rPr>
          <w:rFonts w:ascii="Times New Roman" w:hAnsi="Times New Roman" w:cs="Times New Roman"/>
          <w:sz w:val="24"/>
          <w:szCs w:val="24"/>
        </w:rPr>
        <w:t xml:space="preserve">During this school year, on how many days did you go to physical </w:t>
      </w:r>
      <w:r w:rsidR="00280A55" w:rsidRPr="00E11F34">
        <w:rPr>
          <w:rFonts w:ascii="Times New Roman" w:hAnsi="Times New Roman" w:cs="Times New Roman"/>
          <w:sz w:val="24"/>
          <w:szCs w:val="24"/>
        </w:rPr>
        <w:lastRenderedPageBreak/>
        <w:t>education (PE) class each week?</w:t>
      </w:r>
      <w:r w:rsidR="00790798">
        <w:rPr>
          <w:rFonts w:ascii="Times New Roman" w:hAnsi="Times New Roman" w:cs="Times New Roman"/>
          <w:sz w:val="24"/>
          <w:szCs w:val="24"/>
        </w:rPr>
        <w:t>”</w:t>
      </w:r>
      <w:r w:rsidR="00252EFA">
        <w:rPr>
          <w:rFonts w:ascii="Times New Roman" w:hAnsi="Times New Roman" w:cs="Times New Roman"/>
          <w:sz w:val="24"/>
          <w:szCs w:val="24"/>
        </w:rPr>
        <w:t xml:space="preserve"> BMI was computed from the body </w:t>
      </w:r>
      <w:r w:rsidR="00A42820">
        <w:rPr>
          <w:rFonts w:ascii="Times New Roman" w:hAnsi="Times New Roman" w:cs="Times New Roman"/>
          <w:sz w:val="24"/>
          <w:szCs w:val="24"/>
        </w:rPr>
        <w:t xml:space="preserve">weights and heights that </w:t>
      </w:r>
      <w:r w:rsidR="00252EFA">
        <w:rPr>
          <w:rFonts w:ascii="Times New Roman" w:hAnsi="Times New Roman" w:cs="Times New Roman"/>
          <w:sz w:val="24"/>
          <w:szCs w:val="24"/>
        </w:rPr>
        <w:t>students</w:t>
      </w:r>
      <w:r w:rsidR="00A42820">
        <w:rPr>
          <w:rFonts w:ascii="Times New Roman" w:hAnsi="Times New Roman" w:cs="Times New Roman"/>
          <w:sz w:val="24"/>
          <w:szCs w:val="24"/>
        </w:rPr>
        <w:t xml:space="preserve"> self-reported.</w:t>
      </w:r>
    </w:p>
    <w:p w:rsidR="00987F04" w:rsidRPr="00F32E10" w:rsidRDefault="004F4F6D" w:rsidP="00B759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</w:t>
      </w:r>
      <w:r w:rsidRPr="00F32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87F04" w:rsidRPr="00F32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Statistical Analysis</w:t>
      </w:r>
    </w:p>
    <w:p w:rsidR="00987F04" w:rsidRPr="00C72118" w:rsidRDefault="004F3703" w:rsidP="00B759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study utilized</w:t>
      </w:r>
      <w:r w:rsidR="00987F04" w:rsidRPr="00C7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two-way tables to classify and count participants by </w:t>
      </w:r>
      <w:r w:rsidR="00987F04" w:rsidRPr="00C72118">
        <w:rPr>
          <w:rFonts w:ascii="Times New Roman" w:hAnsi="Times New Roman" w:cs="Times New Roman"/>
          <w:sz w:val="24"/>
          <w:szCs w:val="24"/>
        </w:rPr>
        <w:t>the extent to which they were physically active seven days per week and also attended physical education (PE) classes fi</w:t>
      </w:r>
      <w:r>
        <w:rPr>
          <w:rFonts w:ascii="Times New Roman" w:hAnsi="Times New Roman" w:cs="Times New Roman"/>
          <w:sz w:val="24"/>
          <w:szCs w:val="24"/>
        </w:rPr>
        <w:t xml:space="preserve">ve days or more per week (PAPE) </w:t>
      </w:r>
      <w:r w:rsidR="00987F04" w:rsidRPr="00C72118">
        <w:rPr>
          <w:rFonts w:ascii="Times New Roman" w:eastAsia="Times New Roman" w:hAnsi="Times New Roman" w:cs="Times New Roman"/>
          <w:color w:val="000000"/>
          <w:sz w:val="24"/>
          <w:szCs w:val="24"/>
        </w:rPr>
        <w:t>and each</w:t>
      </w:r>
      <w:r w:rsidR="009D3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predictor variables.  The authors</w:t>
      </w:r>
      <w:r w:rsidR="00987F04" w:rsidRPr="00C7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calculated the conditional percentage of de</w:t>
      </w:r>
      <w:r w:rsidR="00CF5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pendent variable by each predictor </w:t>
      </w:r>
      <w:r w:rsidR="00CF5873" w:rsidRPr="00F32E10">
        <w:rPr>
          <w:rFonts w:ascii="Times New Roman" w:eastAsia="Times New Roman" w:hAnsi="Times New Roman" w:cs="Times New Roman"/>
          <w:sz w:val="24"/>
          <w:szCs w:val="24"/>
        </w:rPr>
        <w:t>variable</w:t>
      </w:r>
      <w:r w:rsidR="006B63B6" w:rsidRPr="00F32E1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6F05A5" w:rsidRPr="00F32E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6D9A" w:rsidRPr="00F32E10">
        <w:rPr>
          <w:rFonts w:ascii="Times New Roman" w:eastAsia="Times New Roman" w:hAnsi="Times New Roman" w:cs="Times New Roman"/>
          <w:sz w:val="24"/>
          <w:szCs w:val="24"/>
        </w:rPr>
        <w:t>8</w:t>
      </w:r>
      <w:r w:rsidR="006B63B6" w:rsidRPr="00F32E10">
        <w:rPr>
          <w:rFonts w:ascii="Times New Roman" w:eastAsia="Times New Roman" w:hAnsi="Times New Roman" w:cs="Times New Roman"/>
          <w:sz w:val="24"/>
          <w:szCs w:val="24"/>
        </w:rPr>
        <w:t>]</w:t>
      </w:r>
      <w:r w:rsidR="00987F04" w:rsidRPr="00F32E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03CA">
        <w:rPr>
          <w:rFonts w:ascii="Times New Roman" w:eastAsia="Times New Roman" w:hAnsi="Times New Roman" w:cs="Times New Roman"/>
          <w:sz w:val="24"/>
          <w:szCs w:val="24"/>
        </w:rPr>
        <w:t>The percentage distribution of each predictor variable was computed f</w:t>
      </w:r>
      <w:r w:rsidR="00987F04" w:rsidRPr="00C72118">
        <w:rPr>
          <w:rFonts w:ascii="Times New Roman" w:eastAsia="Times New Roman" w:hAnsi="Times New Roman" w:cs="Times New Roman"/>
          <w:color w:val="000000"/>
          <w:sz w:val="24"/>
          <w:szCs w:val="24"/>
        </w:rPr>
        <w:t>or each level of the dependent variable</w:t>
      </w:r>
      <w:r w:rsidR="00B60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87F04" w:rsidRPr="00C7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7F04" w:rsidRPr="00C72118" w:rsidRDefault="00987F04" w:rsidP="00B759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model the relationship between the dependent variable and the predictor variables, </w:t>
      </w:r>
      <w:r w:rsidR="006A0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authors </w:t>
      </w:r>
      <w:r w:rsidRPr="00C7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used binary logistic regression model because the response outcome is count or dichotomous </w:t>
      </w:r>
      <w:r w:rsidR="0034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that is, </w:t>
      </w:r>
      <w:r w:rsidRPr="00C72118">
        <w:rPr>
          <w:rFonts w:ascii="Times New Roman" w:eastAsia="Times New Roman" w:hAnsi="Times New Roman" w:cs="Times New Roman"/>
          <w:color w:val="000000"/>
          <w:sz w:val="24"/>
          <w:szCs w:val="24"/>
        </w:rPr>
        <w:t>the response variable “</w:t>
      </w:r>
      <w:r w:rsidRPr="00C72118">
        <w:rPr>
          <w:rFonts w:ascii="Times New Roman" w:hAnsi="Times New Roman" w:cs="Times New Roman"/>
          <w:sz w:val="24"/>
          <w:szCs w:val="24"/>
        </w:rPr>
        <w:t>PAPE</w:t>
      </w:r>
      <w:r w:rsidRPr="00C7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can take one of two possible outcomes representing “yes to </w:t>
      </w:r>
      <w:r w:rsidRPr="00C72118">
        <w:rPr>
          <w:rFonts w:ascii="Times New Roman" w:hAnsi="Times New Roman" w:cs="Times New Roman"/>
          <w:sz w:val="24"/>
          <w:szCs w:val="24"/>
        </w:rPr>
        <w:t>PAPE</w:t>
      </w:r>
      <w:r w:rsidRPr="00C7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or “no to </w:t>
      </w:r>
      <w:r w:rsidRPr="00C72118">
        <w:rPr>
          <w:rFonts w:ascii="Times New Roman" w:hAnsi="Times New Roman" w:cs="Times New Roman"/>
          <w:sz w:val="24"/>
          <w:szCs w:val="24"/>
        </w:rPr>
        <w:t>PAPE</w:t>
      </w:r>
      <w:r w:rsidRPr="00C72118">
        <w:rPr>
          <w:rFonts w:ascii="Times New Roman" w:eastAsia="Times New Roman" w:hAnsi="Times New Roman" w:cs="Times New Roman"/>
          <w:color w:val="000000"/>
          <w:sz w:val="24"/>
          <w:szCs w:val="24"/>
        </w:rPr>
        <w:t>”. The odds ratio and the associated </w:t>
      </w:r>
      <m:oMath>
        <m:d>
          <m:d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1-alpha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%</m:t>
        </m:r>
      </m:oMath>
      <w:r w:rsidRPr="00C72118">
        <w:rPr>
          <w:rFonts w:ascii="Times New Roman" w:eastAsia="Times New Roman" w:hAnsi="Times New Roman" w:cs="Times New Roman"/>
          <w:color w:val="000000"/>
          <w:sz w:val="24"/>
          <w:szCs w:val="24"/>
        </w:rPr>
        <w:t> confidence interval from the estimated model were used to establish statistical significance of the predictor variables on the</w:t>
      </w:r>
      <w:r w:rsidR="0034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dependent variable. Alpha represented</w:t>
      </w:r>
      <w:r w:rsidRPr="00C7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level of significance. </w:t>
      </w:r>
      <w:proofErr w:type="spellStart"/>
      <w:r w:rsidRPr="00C72118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RStud</w:t>
      </w:r>
      <w:r w:rsidR="004F3703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io</w:t>
      </w:r>
      <w:proofErr w:type="spellEnd"/>
      <w:r w:rsidR="004F3703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version 0.98.1103</w:t>
      </w:r>
      <w:r w:rsidRPr="00C72118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AC050B" w:rsidRPr="00F32E10">
        <w:rPr>
          <w:rFonts w:ascii="Times New Roman" w:eastAsia="Times New Roman" w:hAnsi="Times New Roman" w:cs="Times New Roman"/>
          <w:sz w:val="24"/>
          <w:szCs w:val="24"/>
          <w:lang w:val="en-CA"/>
        </w:rPr>
        <w:t>[2</w:t>
      </w:r>
      <w:r w:rsidR="00A66D9A" w:rsidRPr="00F32E10">
        <w:rPr>
          <w:rFonts w:ascii="Times New Roman" w:eastAsia="Times New Roman" w:hAnsi="Times New Roman" w:cs="Times New Roman"/>
          <w:sz w:val="24"/>
          <w:szCs w:val="24"/>
          <w:lang w:val="en-CA"/>
        </w:rPr>
        <w:t>9</w:t>
      </w:r>
      <w:r w:rsidR="00AC050B" w:rsidRPr="00F32E10">
        <w:rPr>
          <w:rFonts w:ascii="Times New Roman" w:eastAsia="Times New Roman" w:hAnsi="Times New Roman" w:cs="Times New Roman"/>
          <w:sz w:val="24"/>
          <w:szCs w:val="24"/>
          <w:lang w:val="en-CA"/>
        </w:rPr>
        <w:t>]</w:t>
      </w:r>
      <w:r w:rsidRPr="00F32E1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C72118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statistical package was used for data analysis.</w:t>
      </w:r>
    </w:p>
    <w:p w:rsidR="00983B6D" w:rsidRPr="00AE5944" w:rsidRDefault="00983B6D" w:rsidP="00B75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cyan"/>
        </w:rPr>
      </w:pPr>
    </w:p>
    <w:p w:rsidR="00F93464" w:rsidRPr="00F32E10" w:rsidRDefault="00C51411" w:rsidP="00B7594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E10">
        <w:rPr>
          <w:rFonts w:ascii="Times New Roman" w:hAnsi="Times New Roman" w:cs="Times New Roman"/>
          <w:b/>
          <w:sz w:val="30"/>
          <w:szCs w:val="30"/>
        </w:rPr>
        <w:t>3</w:t>
      </w:r>
      <w:r w:rsidRPr="00F32E10">
        <w:rPr>
          <w:rFonts w:ascii="Times New Roman" w:hAnsi="Times New Roman" w:cs="Times New Roman"/>
          <w:sz w:val="30"/>
          <w:szCs w:val="30"/>
        </w:rPr>
        <w:tab/>
      </w:r>
      <w:r w:rsidRPr="00F32E10">
        <w:rPr>
          <w:rFonts w:ascii="Times New Roman" w:hAnsi="Times New Roman" w:cs="Times New Roman"/>
          <w:b/>
          <w:sz w:val="30"/>
          <w:szCs w:val="30"/>
        </w:rPr>
        <w:t>Results</w:t>
      </w:r>
    </w:p>
    <w:p w:rsidR="003E4BA0" w:rsidRPr="00F32E10" w:rsidRDefault="00C51411" w:rsidP="00B759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E10">
        <w:rPr>
          <w:rFonts w:ascii="Times New Roman" w:hAnsi="Times New Roman" w:cs="Times New Roman"/>
          <w:b/>
          <w:sz w:val="28"/>
          <w:szCs w:val="28"/>
        </w:rPr>
        <w:t>3.1</w:t>
      </w:r>
      <w:r w:rsidRPr="00F32E10">
        <w:rPr>
          <w:rFonts w:ascii="Times New Roman" w:hAnsi="Times New Roman" w:cs="Times New Roman"/>
          <w:b/>
          <w:sz w:val="28"/>
          <w:szCs w:val="28"/>
        </w:rPr>
        <w:tab/>
      </w:r>
      <w:r w:rsidR="00B93204" w:rsidRPr="00F32E10">
        <w:rPr>
          <w:rFonts w:ascii="Times New Roman" w:hAnsi="Times New Roman" w:cs="Times New Roman"/>
          <w:b/>
          <w:sz w:val="28"/>
          <w:szCs w:val="28"/>
        </w:rPr>
        <w:t>Prevalence of physical activity</w:t>
      </w:r>
    </w:p>
    <w:p w:rsidR="000D2B0B" w:rsidRDefault="00220975" w:rsidP="00B7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showed that </w:t>
      </w:r>
      <w:r w:rsidR="002065ED" w:rsidRPr="00E11F34">
        <w:rPr>
          <w:rFonts w:ascii="Times New Roman" w:hAnsi="Times New Roman" w:cs="Times New Roman"/>
          <w:sz w:val="24"/>
          <w:szCs w:val="24"/>
        </w:rPr>
        <w:t>72.69% pa</w:t>
      </w:r>
      <w:r>
        <w:rPr>
          <w:rFonts w:ascii="Times New Roman" w:hAnsi="Times New Roman" w:cs="Times New Roman"/>
          <w:sz w:val="24"/>
          <w:szCs w:val="24"/>
        </w:rPr>
        <w:t xml:space="preserve">rticipants exercised seven days per </w:t>
      </w:r>
      <w:r w:rsidR="002065ED" w:rsidRPr="00E11F34">
        <w:rPr>
          <w:rFonts w:ascii="Times New Roman" w:hAnsi="Times New Roman" w:cs="Times New Roman"/>
          <w:sz w:val="24"/>
          <w:szCs w:val="24"/>
        </w:rPr>
        <w:t xml:space="preserve">week and </w:t>
      </w:r>
      <w:r w:rsidR="00F3770E" w:rsidRPr="00E11F34">
        <w:rPr>
          <w:rFonts w:ascii="Times New Roman" w:hAnsi="Times New Roman" w:cs="Times New Roman"/>
          <w:sz w:val="24"/>
          <w:szCs w:val="24"/>
        </w:rPr>
        <w:t xml:space="preserve">also </w:t>
      </w:r>
      <w:r w:rsidR="002065ED" w:rsidRPr="00E11F34">
        <w:rPr>
          <w:rFonts w:ascii="Times New Roman" w:hAnsi="Times New Roman" w:cs="Times New Roman"/>
          <w:sz w:val="24"/>
          <w:szCs w:val="24"/>
        </w:rPr>
        <w:t>attend</w:t>
      </w:r>
      <w:r w:rsidR="007A54DC">
        <w:rPr>
          <w:rFonts w:ascii="Times New Roman" w:hAnsi="Times New Roman" w:cs="Times New Roman"/>
          <w:sz w:val="24"/>
          <w:szCs w:val="24"/>
        </w:rPr>
        <w:t xml:space="preserve">ed PE classes five days or more per </w:t>
      </w:r>
      <w:r w:rsidR="002065ED" w:rsidRPr="00E11F34">
        <w:rPr>
          <w:rFonts w:ascii="Times New Roman" w:hAnsi="Times New Roman" w:cs="Times New Roman"/>
          <w:sz w:val="24"/>
          <w:szCs w:val="24"/>
        </w:rPr>
        <w:t>week</w:t>
      </w:r>
      <w:r w:rsidR="000E15E1">
        <w:rPr>
          <w:rFonts w:ascii="Times New Roman" w:hAnsi="Times New Roman" w:cs="Times New Roman"/>
          <w:sz w:val="24"/>
          <w:szCs w:val="24"/>
        </w:rPr>
        <w:t xml:space="preserve"> (PAPE)</w:t>
      </w:r>
      <w:r w:rsidR="002065ED" w:rsidRPr="00E11F34">
        <w:rPr>
          <w:rFonts w:ascii="Times New Roman" w:hAnsi="Times New Roman" w:cs="Times New Roman"/>
          <w:sz w:val="24"/>
          <w:szCs w:val="24"/>
        </w:rPr>
        <w:t xml:space="preserve">. </w:t>
      </w:r>
      <w:r w:rsidR="000D2B0B">
        <w:rPr>
          <w:rFonts w:ascii="Times New Roman" w:hAnsi="Times New Roman" w:cs="Times New Roman"/>
          <w:sz w:val="24"/>
          <w:szCs w:val="24"/>
        </w:rPr>
        <w:t>Table 1 presents descriptive data for BMI and PAPE. Students who achieved PAPE had a slightly lower (20.22) mean BMI than those who did not.</w:t>
      </w:r>
      <w:r w:rsidR="007A54DC">
        <w:rPr>
          <w:rFonts w:ascii="Times New Roman" w:hAnsi="Times New Roman" w:cs="Times New Roman"/>
          <w:sz w:val="24"/>
          <w:szCs w:val="24"/>
        </w:rPr>
        <w:t xml:space="preserve"> That is, participants with higher BMIs were less likely to meet PAPE</w:t>
      </w:r>
      <w:r w:rsidR="00AF586F">
        <w:rPr>
          <w:rFonts w:ascii="Times New Roman" w:hAnsi="Times New Roman" w:cs="Times New Roman"/>
          <w:sz w:val="24"/>
          <w:szCs w:val="24"/>
        </w:rPr>
        <w:t>.</w:t>
      </w:r>
    </w:p>
    <w:p w:rsidR="009B6FEF" w:rsidRPr="00E12745" w:rsidRDefault="009B6FEF" w:rsidP="007907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745">
        <w:rPr>
          <w:rFonts w:ascii="Times New Roman" w:hAnsi="Times New Roman" w:cs="Times New Roman"/>
          <w:sz w:val="24"/>
          <w:szCs w:val="24"/>
        </w:rPr>
        <w:t xml:space="preserve">Table 1: </w:t>
      </w:r>
      <w:r w:rsidR="00B22201">
        <w:rPr>
          <w:rFonts w:ascii="Times New Roman" w:hAnsi="Times New Roman" w:cs="Times New Roman"/>
          <w:sz w:val="24"/>
          <w:szCs w:val="24"/>
        </w:rPr>
        <w:t xml:space="preserve">Mean </w:t>
      </w:r>
      <w:r w:rsidRPr="00E12745">
        <w:rPr>
          <w:rFonts w:ascii="Times New Roman" w:hAnsi="Times New Roman" w:cs="Times New Roman"/>
          <w:sz w:val="24"/>
          <w:szCs w:val="24"/>
        </w:rPr>
        <w:t xml:space="preserve">BMI </w:t>
      </w:r>
      <w:r w:rsidR="00B22201">
        <w:rPr>
          <w:rFonts w:ascii="Times New Roman" w:hAnsi="Times New Roman" w:cs="Times New Roman"/>
          <w:sz w:val="24"/>
          <w:szCs w:val="24"/>
        </w:rPr>
        <w:t xml:space="preserve">scores </w:t>
      </w:r>
      <w:r w:rsidRPr="00E12745">
        <w:rPr>
          <w:rFonts w:ascii="Times New Roman" w:hAnsi="Times New Roman" w:cs="Times New Roman"/>
          <w:sz w:val="24"/>
          <w:szCs w:val="24"/>
        </w:rPr>
        <w:t xml:space="preserve">and </w:t>
      </w:r>
      <w:r w:rsidR="00B22201">
        <w:rPr>
          <w:rFonts w:ascii="Times New Roman" w:hAnsi="Times New Roman" w:cs="Times New Roman"/>
          <w:sz w:val="24"/>
          <w:szCs w:val="24"/>
        </w:rPr>
        <w:t xml:space="preserve">percentages meeting </w:t>
      </w:r>
      <w:r w:rsidRPr="00E12745">
        <w:rPr>
          <w:rFonts w:ascii="NewBaskerville-Roman" w:hAnsi="NewBaskerville-Roman" w:cs="NewBaskerville-Roman"/>
          <w:sz w:val="24"/>
          <w:szCs w:val="24"/>
        </w:rPr>
        <w:t>PAPE</w:t>
      </w:r>
    </w:p>
    <w:tbl>
      <w:tblPr>
        <w:tblW w:w="4800" w:type="dxa"/>
        <w:tblInd w:w="-5" w:type="dxa"/>
        <w:tblLook w:val="04A0" w:firstRow="1" w:lastRow="0" w:firstColumn="1" w:lastColumn="0" w:noHBand="0" w:noVBand="1"/>
      </w:tblPr>
      <w:tblGrid>
        <w:gridCol w:w="1350"/>
        <w:gridCol w:w="718"/>
        <w:gridCol w:w="960"/>
        <w:gridCol w:w="960"/>
        <w:gridCol w:w="960"/>
      </w:tblGrid>
      <w:tr w:rsidR="000D2B0B" w:rsidRPr="00775F0C" w:rsidTr="001E16C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775F0C" w:rsidRDefault="000D2B0B" w:rsidP="000D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5F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775F0C" w:rsidRDefault="000D2B0B" w:rsidP="000D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5F0C">
              <w:rPr>
                <w:rFonts w:ascii="Calibri" w:eastAsia="Times New Roman" w:hAnsi="Calibri" w:cs="Times New Roman"/>
                <w:b/>
                <w:bCs/>
                <w:color w:val="000000"/>
              </w:rPr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775F0C" w:rsidRDefault="000D2B0B" w:rsidP="000D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5F0C">
              <w:rPr>
                <w:rFonts w:ascii="Calibri" w:eastAsia="Times New Roman" w:hAnsi="Calibri" w:cs="Times New Roman"/>
                <w:b/>
                <w:bCs/>
                <w:color w:val="000000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775F0C" w:rsidRDefault="000D2B0B" w:rsidP="000D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5F0C">
              <w:rPr>
                <w:rFonts w:ascii="Calibri" w:eastAsia="Times New Roman" w:hAnsi="Calibri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775F0C" w:rsidRDefault="000D2B0B" w:rsidP="000D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5F0C">
              <w:rPr>
                <w:rFonts w:ascii="Calibri" w:eastAsia="Times New Roman" w:hAnsi="Calibri" w:cs="Times New Roman"/>
                <w:b/>
                <w:bCs/>
                <w:color w:val="000000"/>
              </w:rPr>
              <w:t>St. Dev</w:t>
            </w:r>
          </w:p>
        </w:tc>
      </w:tr>
      <w:tr w:rsidR="000D2B0B" w:rsidRPr="00775F0C" w:rsidTr="001E16C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775F0C" w:rsidRDefault="000D2B0B" w:rsidP="000D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5F0C">
              <w:rPr>
                <w:rFonts w:ascii="Calibri" w:eastAsia="Times New Roman" w:hAnsi="Calibri" w:cs="Times New Roman"/>
                <w:b/>
                <w:bCs/>
                <w:color w:val="000000"/>
              </w:rPr>
              <w:t>Met</w:t>
            </w:r>
            <w:r w:rsidR="001E16C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775F0C" w:rsidRDefault="000D2B0B" w:rsidP="000D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F0C">
              <w:rPr>
                <w:rFonts w:ascii="Calibri" w:eastAsia="Times New Roman" w:hAnsi="Calibri" w:cs="Times New Roman"/>
                <w:color w:val="000000"/>
              </w:rPr>
              <w:t>12.74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775F0C" w:rsidRDefault="000D2B0B" w:rsidP="000D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F0C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775F0C" w:rsidRDefault="000D2B0B" w:rsidP="000D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F0C">
              <w:rPr>
                <w:rFonts w:ascii="Calibri" w:eastAsia="Times New Roman" w:hAnsi="Calibri" w:cs="Times New Roman"/>
                <w:color w:val="000000"/>
              </w:rPr>
              <w:t>20.22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775F0C" w:rsidRDefault="000D2B0B" w:rsidP="000D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F0C">
              <w:rPr>
                <w:rFonts w:ascii="Calibri" w:eastAsia="Times New Roman" w:hAnsi="Calibri" w:cs="Times New Roman"/>
                <w:color w:val="000000"/>
              </w:rPr>
              <w:t>2.90</w:t>
            </w:r>
          </w:p>
        </w:tc>
      </w:tr>
      <w:tr w:rsidR="000D2B0B" w:rsidRPr="00775F0C" w:rsidTr="001E16C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775F0C" w:rsidRDefault="000D2B0B" w:rsidP="000D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5F0C">
              <w:rPr>
                <w:rFonts w:ascii="Calibri" w:eastAsia="Times New Roman" w:hAnsi="Calibri" w:cs="Times New Roman"/>
                <w:b/>
                <w:bCs/>
                <w:color w:val="000000"/>
              </w:rPr>
              <w:t>Not Met</w:t>
            </w:r>
            <w:r w:rsidR="001E16C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775F0C" w:rsidRDefault="000D2B0B" w:rsidP="000D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F0C">
              <w:rPr>
                <w:rFonts w:ascii="Calibri" w:eastAsia="Times New Roman" w:hAnsi="Calibri" w:cs="Times New Roman"/>
                <w:color w:val="000000"/>
              </w:rPr>
              <w:t>14.06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775F0C" w:rsidRDefault="000D2B0B" w:rsidP="000D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F0C">
              <w:rPr>
                <w:rFonts w:ascii="Calibri" w:eastAsia="Times New Roman" w:hAnsi="Calibri" w:cs="Times New Roman"/>
                <w:color w:val="000000"/>
              </w:rPr>
              <w:t>54.88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775F0C" w:rsidRDefault="000D2B0B" w:rsidP="000D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F0C">
              <w:rPr>
                <w:rFonts w:ascii="Calibri" w:eastAsia="Times New Roman" w:hAnsi="Calibri" w:cs="Times New Roman"/>
                <w:color w:val="000000"/>
              </w:rPr>
              <w:t>20.41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775F0C" w:rsidRDefault="000D2B0B" w:rsidP="000D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F0C">
              <w:rPr>
                <w:rFonts w:ascii="Calibri" w:eastAsia="Times New Roman" w:hAnsi="Calibri" w:cs="Times New Roman"/>
                <w:color w:val="000000"/>
              </w:rPr>
              <w:t>3.23</w:t>
            </w:r>
          </w:p>
        </w:tc>
      </w:tr>
    </w:tbl>
    <w:p w:rsidR="000D2B0B" w:rsidRDefault="000D2B0B" w:rsidP="000D2B0B">
      <w:pPr>
        <w:rPr>
          <w:rFonts w:ascii="Times New Roman" w:hAnsi="Times New Roman" w:cs="Times New Roman"/>
          <w:bCs/>
          <w:sz w:val="24"/>
          <w:szCs w:val="24"/>
        </w:rPr>
      </w:pPr>
    </w:p>
    <w:p w:rsidR="00B67C85" w:rsidRDefault="00D002FE" w:rsidP="00F54D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Table 2 presents data on gender, level of education and PAPE. Of the 2028 (72.69%) participants who achieved PAPE, 53.16% were male and 46.48% female. </w:t>
      </w:r>
      <w:r w:rsidR="00FE1722">
        <w:rPr>
          <w:rFonts w:ascii="Times New Roman" w:hAnsi="Times New Roman" w:cs="Times New Roman"/>
          <w:bCs/>
          <w:sz w:val="24"/>
          <w:szCs w:val="24"/>
        </w:rPr>
        <w:t>More SHS (56.66%) than JHS (43.34%) achieved PAPE.</w:t>
      </w:r>
    </w:p>
    <w:p w:rsidR="00F54D5D" w:rsidRPr="00F54D5D" w:rsidRDefault="00F54D5D" w:rsidP="00F54D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55D7" w:rsidRPr="00821B8B" w:rsidRDefault="00E12745" w:rsidP="003324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B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Table</w:t>
      </w:r>
      <w:r w:rsidR="00925E1E" w:rsidRPr="00821B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2: </w:t>
      </w:r>
      <w:r w:rsidRPr="00821B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Gender, level of education and PAPE </w:t>
      </w:r>
    </w:p>
    <w:tbl>
      <w:tblPr>
        <w:tblW w:w="5580" w:type="dxa"/>
        <w:tblInd w:w="-5" w:type="dxa"/>
        <w:tblLook w:val="04A0" w:firstRow="1" w:lastRow="0" w:firstColumn="1" w:lastColumn="0" w:noHBand="0" w:noVBand="1"/>
      </w:tblPr>
      <w:tblGrid>
        <w:gridCol w:w="2250"/>
        <w:gridCol w:w="696"/>
        <w:gridCol w:w="960"/>
        <w:gridCol w:w="830"/>
        <w:gridCol w:w="990"/>
      </w:tblGrid>
      <w:tr w:rsidR="00A35211" w:rsidRPr="00821B8B" w:rsidTr="00821B8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11" w:rsidRPr="00821B8B" w:rsidRDefault="00A35211" w:rsidP="0007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11" w:rsidRPr="00821B8B" w:rsidRDefault="00A35211" w:rsidP="001E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5211" w:rsidRPr="00821B8B" w:rsidRDefault="00A35211" w:rsidP="001E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11" w:rsidRPr="00821B8B" w:rsidRDefault="00A35211" w:rsidP="001E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Met</w:t>
            </w:r>
          </w:p>
        </w:tc>
      </w:tr>
      <w:tr w:rsidR="00A35211" w:rsidRPr="00821B8B" w:rsidTr="00821B8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211" w:rsidRPr="00821B8B" w:rsidRDefault="00A35211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211" w:rsidRPr="00821B8B" w:rsidRDefault="00A35211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211" w:rsidRPr="00821B8B" w:rsidRDefault="00A35211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211" w:rsidRPr="00821B8B" w:rsidRDefault="00A35211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211" w:rsidRPr="00821B8B" w:rsidRDefault="00A35211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D2B0B" w:rsidRPr="00821B8B" w:rsidTr="00821B8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65099C" w:rsidP="0065099C">
            <w:p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D2B0B"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21.20</w:t>
            </w:r>
          </w:p>
        </w:tc>
      </w:tr>
      <w:tr w:rsidR="000D2B0B" w:rsidRPr="00821B8B" w:rsidTr="00821B8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65099C" w:rsidP="0065099C">
            <w:p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D2B0B"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16.37</w:t>
            </w:r>
          </w:p>
        </w:tc>
      </w:tr>
      <w:tr w:rsidR="000D2B0B" w:rsidRPr="00821B8B" w:rsidTr="00821B8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6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37.57</w:t>
            </w:r>
          </w:p>
        </w:tc>
      </w:tr>
      <w:tr w:rsidR="00B11365" w:rsidRPr="00821B8B" w:rsidTr="00821B8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365" w:rsidRPr="00821B8B" w:rsidRDefault="00B11365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365" w:rsidRPr="00821B8B" w:rsidRDefault="00B11365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365" w:rsidRPr="00821B8B" w:rsidRDefault="00B11365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365" w:rsidRPr="00821B8B" w:rsidRDefault="00B11365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365" w:rsidRPr="00821B8B" w:rsidRDefault="00B11365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2B0B" w:rsidRPr="00821B8B" w:rsidTr="00821B8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A35211" w:rsidP="00A3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</w:t>
            </w:r>
            <w:r w:rsidR="00B11365"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</w:t>
            </w:r>
            <w:r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B11365"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ducation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2B0B" w:rsidRPr="00821B8B" w:rsidTr="00821B8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65099C" w:rsidP="0065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D2B0B"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40.55</w:t>
            </w:r>
          </w:p>
        </w:tc>
      </w:tr>
      <w:tr w:rsidR="000D2B0B" w:rsidRPr="00821B8B" w:rsidTr="00821B8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65099C" w:rsidP="0065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D2B0B"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59.45</w:t>
            </w:r>
          </w:p>
        </w:tc>
      </w:tr>
      <w:tr w:rsidR="000D2B0B" w:rsidRPr="00821B8B" w:rsidTr="00821B8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6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3505B6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0B" w:rsidRPr="00821B8B" w:rsidRDefault="000D2B0B" w:rsidP="000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:rsidR="000D2B0B" w:rsidRDefault="000D2B0B" w:rsidP="00B759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2B0B" w:rsidRDefault="001F4A72" w:rsidP="00B7594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Table 3 shows data on age </w:t>
      </w:r>
      <w:r w:rsidR="00FE1722">
        <w:rPr>
          <w:rFonts w:ascii="Times New Roman" w:hAnsi="Times New Roman" w:cs="Times New Roman"/>
          <w:bCs/>
          <w:sz w:val="24"/>
          <w:szCs w:val="24"/>
        </w:rPr>
        <w:t xml:space="preserve">and PAPE. The 18 years or older age group had the highest percentage (32.94%) of participants achieving PAPE, followed by the 16 year olds. The 11 years of younger age group had the lowest percentage (.74%). of participants achieving PAPE. </w:t>
      </w:r>
    </w:p>
    <w:p w:rsidR="000D2B0B" w:rsidRPr="00E12745" w:rsidRDefault="00073772" w:rsidP="000D2B0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Table</w:t>
      </w:r>
      <w:r w:rsidR="009B6FEF" w:rsidRPr="00E12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3: </w:t>
      </w:r>
      <w:r w:rsidR="00BB1EC5" w:rsidRPr="00E12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Frequ</w:t>
      </w:r>
      <w:r w:rsidR="001F4A72" w:rsidRPr="00E12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encies and percentages for age </w:t>
      </w:r>
      <w:r w:rsidR="00BB1EC5" w:rsidRPr="00E12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PAPE</w:t>
      </w:r>
    </w:p>
    <w:tbl>
      <w:tblPr>
        <w:tblW w:w="6300" w:type="dxa"/>
        <w:tblInd w:w="-5" w:type="dxa"/>
        <w:tblLook w:val="04A0" w:firstRow="1" w:lastRow="0" w:firstColumn="1" w:lastColumn="0" w:noHBand="0" w:noVBand="1"/>
      </w:tblPr>
      <w:tblGrid>
        <w:gridCol w:w="2430"/>
        <w:gridCol w:w="1170"/>
        <w:gridCol w:w="990"/>
        <w:gridCol w:w="810"/>
        <w:gridCol w:w="900"/>
      </w:tblGrid>
      <w:tr w:rsidR="00B2695C" w:rsidRPr="00324CDF" w:rsidTr="00C916C9">
        <w:trPr>
          <w:trHeight w:val="39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C" w:rsidRPr="00324CDF" w:rsidRDefault="00B2695C" w:rsidP="001E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C" w:rsidRPr="00324CDF" w:rsidRDefault="00B2695C" w:rsidP="001E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b/>
                <w:bCs/>
                <w:color w:val="000000"/>
              </w:rPr>
              <w:t>Met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C" w:rsidRPr="00324CDF" w:rsidRDefault="00B2695C" w:rsidP="001E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b/>
                <w:bCs/>
                <w:color w:val="000000"/>
              </w:rPr>
              <w:t>Not Met</w:t>
            </w:r>
          </w:p>
        </w:tc>
      </w:tr>
      <w:tr w:rsidR="00F563C3" w:rsidRPr="00324CDF" w:rsidTr="00C916C9">
        <w:trPr>
          <w:trHeight w:val="2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F563C3" w:rsidRPr="00324CDF" w:rsidTr="00C916C9">
        <w:trPr>
          <w:trHeight w:val="2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B2695C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F563C3" w:rsidRPr="00324CDF">
              <w:rPr>
                <w:rFonts w:ascii="Calibri" w:eastAsia="Times New Roman" w:hAnsi="Calibri" w:cs="Times New Roman"/>
                <w:color w:val="000000"/>
              </w:rPr>
              <w:t>11 year</w:t>
            </w:r>
            <w:r w:rsidR="00001EB5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F563C3" w:rsidRPr="00324CDF">
              <w:rPr>
                <w:rFonts w:ascii="Calibri" w:eastAsia="Times New Roman" w:hAnsi="Calibri" w:cs="Times New Roman"/>
                <w:color w:val="000000"/>
              </w:rPr>
              <w:t xml:space="preserve"> or younger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</w:tr>
      <w:tr w:rsidR="00F563C3" w:rsidRPr="00324CDF" w:rsidTr="00C916C9">
        <w:trPr>
          <w:trHeight w:val="2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C916C9" w:rsidP="00B26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="00F563C3" w:rsidRPr="00324CDF">
              <w:rPr>
                <w:rFonts w:ascii="Calibri" w:eastAsia="Times New Roman" w:hAnsi="Calibri" w:cs="Times New Roman"/>
                <w:color w:val="000000"/>
              </w:rPr>
              <w:t>12 years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4.29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1.97</w:t>
            </w:r>
          </w:p>
        </w:tc>
      </w:tr>
      <w:tr w:rsidR="00F563C3" w:rsidRPr="00324CDF" w:rsidTr="00C916C9">
        <w:trPr>
          <w:trHeight w:val="2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C916C9" w:rsidP="00B26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="00F563C3" w:rsidRPr="00324CDF">
              <w:rPr>
                <w:rFonts w:ascii="Calibri" w:eastAsia="Times New Roman" w:hAnsi="Calibri" w:cs="Times New Roman"/>
                <w:color w:val="000000"/>
              </w:rPr>
              <w:t>13 years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7.84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2.86</w:t>
            </w:r>
          </w:p>
        </w:tc>
      </w:tr>
      <w:tr w:rsidR="00F563C3" w:rsidRPr="00324CDF" w:rsidTr="00C916C9">
        <w:trPr>
          <w:trHeight w:val="2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C52EE1" w:rsidP="00B26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="00F563C3" w:rsidRPr="00324CDF">
              <w:rPr>
                <w:rFonts w:ascii="Calibri" w:eastAsia="Times New Roman" w:hAnsi="Calibri" w:cs="Times New Roman"/>
                <w:color w:val="000000"/>
              </w:rPr>
              <w:t>14 years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10.90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3.40</w:t>
            </w:r>
          </w:p>
        </w:tc>
      </w:tr>
      <w:tr w:rsidR="00F563C3" w:rsidRPr="00324CDF" w:rsidTr="00C916C9">
        <w:trPr>
          <w:trHeight w:val="2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821B8B" w:rsidP="00B26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="00F563C3" w:rsidRPr="00324CDF">
              <w:rPr>
                <w:rFonts w:ascii="Calibri" w:eastAsia="Times New Roman" w:hAnsi="Calibri" w:cs="Times New Roman"/>
                <w:color w:val="000000"/>
              </w:rPr>
              <w:t>15 years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14.45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4.93</w:t>
            </w:r>
          </w:p>
        </w:tc>
      </w:tr>
      <w:tr w:rsidR="00F563C3" w:rsidRPr="00324CDF" w:rsidTr="00C916C9">
        <w:trPr>
          <w:trHeight w:val="2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821B8B" w:rsidP="00B26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="00F563C3" w:rsidRPr="00324CDF">
              <w:rPr>
                <w:rFonts w:ascii="Calibri" w:eastAsia="Times New Roman" w:hAnsi="Calibri" w:cs="Times New Roman"/>
                <w:color w:val="000000"/>
              </w:rPr>
              <w:t>16 years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11.74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5.08</w:t>
            </w:r>
          </w:p>
        </w:tc>
      </w:tr>
      <w:tr w:rsidR="00F563C3" w:rsidRPr="00324CDF" w:rsidTr="00C916C9">
        <w:trPr>
          <w:trHeight w:val="2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821B8B" w:rsidP="00B26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="00F563C3" w:rsidRPr="00324CDF">
              <w:rPr>
                <w:rFonts w:ascii="Calibri" w:eastAsia="Times New Roman" w:hAnsi="Calibri" w:cs="Times New Roman"/>
                <w:color w:val="000000"/>
              </w:rPr>
              <w:t>17 years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17.11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5.92</w:t>
            </w:r>
          </w:p>
        </w:tc>
      </w:tr>
      <w:tr w:rsidR="00F563C3" w:rsidRPr="00324CDF" w:rsidTr="00C916C9">
        <w:trPr>
          <w:trHeight w:val="2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18 years or older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FC2257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C2257">
              <w:rPr>
                <w:rFonts w:ascii="Calibri" w:eastAsia="Times New Roman" w:hAnsi="Calibri" w:cs="Times New Roman"/>
              </w:rPr>
              <w:t>32.94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FC2257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C2257">
              <w:rPr>
                <w:rFonts w:ascii="Calibri" w:eastAsia="Times New Roman" w:hAnsi="Calibri" w:cs="Times New Roman"/>
              </w:rPr>
              <w:t>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FC2257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C2257">
              <w:rPr>
                <w:rFonts w:ascii="Calibri" w:eastAsia="Times New Roman" w:hAnsi="Calibri" w:cs="Times New Roman"/>
              </w:rPr>
              <w:t>12.87</w:t>
            </w:r>
          </w:p>
        </w:tc>
      </w:tr>
      <w:tr w:rsidR="00F563C3" w:rsidRPr="00324CDF" w:rsidTr="00C916C9">
        <w:trPr>
          <w:trHeight w:val="2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B26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b/>
                <w:bCs/>
                <w:color w:val="000000"/>
              </w:rPr>
              <w:t>2028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3505B6">
              <w:rPr>
                <w:rFonts w:ascii="Calibri" w:eastAsia="Times New Roman" w:hAnsi="Calibri" w:cs="Times New Roman"/>
                <w:b/>
                <w:bCs/>
                <w:color w:val="000000"/>
              </w:rPr>
              <w:t>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F563C3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CDF">
              <w:rPr>
                <w:rFonts w:ascii="Calibri" w:eastAsia="Times New Roman" w:hAnsi="Calibri" w:cs="Times New Roman"/>
                <w:b/>
                <w:bCs/>
                <w:color w:val="000000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C3" w:rsidRPr="00324CDF" w:rsidRDefault="00E81D0D" w:rsidP="00F5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1DCD">
              <w:rPr>
                <w:rFonts w:ascii="Calibri" w:eastAsia="Times New Roman" w:hAnsi="Calibri" w:cs="Times New Roman"/>
                <w:b/>
                <w:bCs/>
                <w:color w:val="000000"/>
              </w:rPr>
              <w:t>100.00</w:t>
            </w:r>
          </w:p>
        </w:tc>
      </w:tr>
    </w:tbl>
    <w:p w:rsidR="000D2B0B" w:rsidRDefault="000D2B0B" w:rsidP="00B7594C">
      <w:pPr>
        <w:spacing w:after="0" w:line="360" w:lineRule="auto"/>
        <w:jc w:val="both"/>
        <w:rPr>
          <w:rFonts w:ascii="NewBaskerville-Roman" w:hAnsi="NewBaskerville-Roman" w:cs="NewBaskerville-Roman"/>
          <w:sz w:val="20"/>
          <w:szCs w:val="20"/>
        </w:rPr>
      </w:pPr>
    </w:p>
    <w:p w:rsidR="00A63D1F" w:rsidRPr="00577918" w:rsidRDefault="00925637" w:rsidP="00577918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Table 4 presents data on number of times </w:t>
      </w:r>
      <w:r w:rsidR="00D07BFF">
        <w:rPr>
          <w:rFonts w:ascii="Times New Roman" w:hAnsi="Times New Roman" w:cs="Times New Roman"/>
          <w:bCs/>
          <w:sz w:val="24"/>
          <w:szCs w:val="24"/>
        </w:rPr>
        <w:t xml:space="preserve">participants were </w:t>
      </w:r>
      <w:r>
        <w:rPr>
          <w:rFonts w:ascii="Times New Roman" w:hAnsi="Times New Roman" w:cs="Times New Roman"/>
          <w:bCs/>
          <w:sz w:val="24"/>
          <w:szCs w:val="24"/>
        </w:rPr>
        <w:t xml:space="preserve">drunk, and number of times </w:t>
      </w:r>
      <w:r w:rsidR="00D07BFF">
        <w:rPr>
          <w:rFonts w:ascii="Times New Roman" w:hAnsi="Times New Roman" w:cs="Times New Roman"/>
          <w:bCs/>
          <w:sz w:val="24"/>
          <w:szCs w:val="24"/>
        </w:rPr>
        <w:t xml:space="preserve">they got </w:t>
      </w:r>
      <w:r>
        <w:rPr>
          <w:rFonts w:ascii="Times New Roman" w:hAnsi="Times New Roman" w:cs="Times New Roman"/>
          <w:bCs/>
          <w:sz w:val="24"/>
          <w:szCs w:val="24"/>
        </w:rPr>
        <w:t>into trouble due to being drunk and PAPE. The data show that the highest percentage of students who achieved PAPE were those who never had a drink (89.69%). In addition, students w</w:t>
      </w:r>
      <w:r w:rsidR="00D07BFF">
        <w:rPr>
          <w:rFonts w:ascii="Times New Roman" w:hAnsi="Times New Roman" w:cs="Times New Roman"/>
          <w:bCs/>
          <w:sz w:val="24"/>
          <w:szCs w:val="24"/>
        </w:rPr>
        <w:t xml:space="preserve">ho were never in trouble due to </w:t>
      </w:r>
      <w:r>
        <w:rPr>
          <w:rFonts w:ascii="Times New Roman" w:hAnsi="Times New Roman" w:cs="Times New Roman"/>
          <w:bCs/>
          <w:sz w:val="24"/>
          <w:szCs w:val="24"/>
        </w:rPr>
        <w:t>drunk</w:t>
      </w:r>
      <w:r w:rsidR="00D07BFF">
        <w:rPr>
          <w:rFonts w:ascii="Times New Roman" w:hAnsi="Times New Roman" w:cs="Times New Roman"/>
          <w:bCs/>
          <w:sz w:val="24"/>
          <w:szCs w:val="24"/>
        </w:rPr>
        <w:t>enness</w:t>
      </w:r>
      <w:r>
        <w:rPr>
          <w:rFonts w:ascii="Times New Roman" w:hAnsi="Times New Roman" w:cs="Times New Roman"/>
          <w:bCs/>
          <w:sz w:val="24"/>
          <w:szCs w:val="24"/>
        </w:rPr>
        <w:t xml:space="preserve"> had the highest percentage (91.37%) achieving PAPE</w:t>
      </w:r>
    </w:p>
    <w:p w:rsidR="00577918" w:rsidRDefault="00577918" w:rsidP="00AB3F24">
      <w:pPr>
        <w:ind w:left="900" w:hanging="9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5513F" w:rsidRDefault="0085513F" w:rsidP="00AB3F24">
      <w:pPr>
        <w:ind w:left="900" w:hanging="9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5513F" w:rsidRDefault="0085513F" w:rsidP="00AB3F24">
      <w:pPr>
        <w:ind w:left="900" w:hanging="9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F4A72" w:rsidRPr="00E12745" w:rsidRDefault="00E12745" w:rsidP="00AB3F24">
      <w:pPr>
        <w:ind w:left="900" w:hanging="9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2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Table</w:t>
      </w:r>
      <w:r w:rsidR="001F4A72" w:rsidRPr="00E12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4: Frequencies and percentages for number of times drunk, number of times in trouble, and PAPE</w:t>
      </w:r>
    </w:p>
    <w:tbl>
      <w:tblPr>
        <w:tblW w:w="7830" w:type="dxa"/>
        <w:tblInd w:w="-5" w:type="dxa"/>
        <w:tblLook w:val="04A0" w:firstRow="1" w:lastRow="0" w:firstColumn="1" w:lastColumn="0" w:noHBand="0" w:noVBand="1"/>
      </w:tblPr>
      <w:tblGrid>
        <w:gridCol w:w="3960"/>
        <w:gridCol w:w="900"/>
        <w:gridCol w:w="990"/>
        <w:gridCol w:w="990"/>
        <w:gridCol w:w="990"/>
      </w:tblGrid>
      <w:tr w:rsidR="003F389F" w:rsidRPr="00D45AA8" w:rsidTr="00A12DB3">
        <w:trPr>
          <w:trHeight w:val="3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0D2B0B" w:rsidRDefault="00B36A90" w:rsidP="001E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Number of T</w:t>
            </w:r>
            <w:r w:rsidR="003F389F" w:rsidRPr="000D2B0B">
              <w:rPr>
                <w:rFonts w:ascii="Calibri" w:eastAsia="Times New Roman" w:hAnsi="Calibri" w:cs="Times New Roman"/>
                <w:b/>
                <w:color w:val="000000"/>
              </w:rPr>
              <w:t>ime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s Drunk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1E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b/>
                <w:bCs/>
                <w:color w:val="000000"/>
              </w:rPr>
              <w:t>% (Met)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1E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b/>
                <w:bCs/>
                <w:color w:val="000000"/>
              </w:rPr>
              <w:t>% (Not Met)</w:t>
            </w:r>
          </w:p>
        </w:tc>
      </w:tr>
      <w:tr w:rsidR="003F389F" w:rsidRPr="00D45AA8" w:rsidTr="00A12DB3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89F" w:rsidRPr="00D45AA8" w:rsidRDefault="003F389F" w:rsidP="003F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89F" w:rsidRPr="00324CDF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89F" w:rsidRPr="00324CDF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89F" w:rsidRPr="00324CDF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89F" w:rsidRPr="00324CDF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89F" w:rsidRPr="00D45AA8" w:rsidTr="00A12DB3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B36A90" w:rsidRDefault="003F389F" w:rsidP="00B36A90">
            <w:pPr>
              <w:spacing w:after="0" w:line="240" w:lineRule="auto"/>
              <w:ind w:left="346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36A90">
              <w:rPr>
                <w:rFonts w:ascii="Calibri" w:eastAsia="Times New Roman" w:hAnsi="Calibri" w:cs="Times New Roman"/>
                <w:bCs/>
                <w:color w:val="000000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1819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89.69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661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86.75</w:t>
            </w:r>
          </w:p>
        </w:tc>
      </w:tr>
      <w:tr w:rsidR="003F389F" w:rsidRPr="00D45AA8" w:rsidTr="00A12DB3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9F" w:rsidRPr="00B36A90" w:rsidRDefault="00B36A90" w:rsidP="00B36A90">
            <w:pPr>
              <w:spacing w:after="0" w:line="240" w:lineRule="auto"/>
              <w:ind w:left="346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1-2 times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7.45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9.19</w:t>
            </w:r>
          </w:p>
        </w:tc>
      </w:tr>
      <w:tr w:rsidR="003F389F" w:rsidRPr="00D45AA8" w:rsidTr="00A12DB3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9F" w:rsidRPr="00B36A90" w:rsidRDefault="00B36A90" w:rsidP="00B36A90">
            <w:pPr>
              <w:spacing w:after="0" w:line="240" w:lineRule="auto"/>
              <w:ind w:left="346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3-9 times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1.78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2.49</w:t>
            </w:r>
          </w:p>
        </w:tc>
      </w:tr>
      <w:tr w:rsidR="003F389F" w:rsidRPr="00D45AA8" w:rsidTr="00A12DB3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9F" w:rsidRPr="00B36A90" w:rsidRDefault="00B36A90" w:rsidP="00B36A90">
            <w:pPr>
              <w:spacing w:after="0" w:line="240" w:lineRule="auto"/>
              <w:ind w:left="346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10 or more times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</w:tr>
      <w:tr w:rsidR="003F389F" w:rsidRPr="00D45AA8" w:rsidTr="00A12DB3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9F" w:rsidRPr="00D45AA8" w:rsidRDefault="003F389F" w:rsidP="003F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b/>
                <w:bCs/>
                <w:color w:val="000000"/>
              </w:rPr>
              <w:t>2028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0224BA">
              <w:rPr>
                <w:rFonts w:ascii="Calibri" w:eastAsia="Times New Roman" w:hAnsi="Calibri" w:cs="Times New Roman"/>
                <w:b/>
                <w:bCs/>
                <w:color w:val="000000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b/>
                <w:bCs/>
                <w:color w:val="000000"/>
              </w:rPr>
              <w:t>762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0224BA">
              <w:rPr>
                <w:rFonts w:ascii="Calibri" w:eastAsia="Times New Roman" w:hAnsi="Calibri" w:cs="Times New Roman"/>
                <w:b/>
                <w:bCs/>
                <w:color w:val="000000"/>
              </w:rPr>
              <w:t>.00</w:t>
            </w:r>
          </w:p>
        </w:tc>
      </w:tr>
      <w:tr w:rsidR="006972BD" w:rsidRPr="00D45AA8" w:rsidTr="00A12DB3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BD" w:rsidRPr="00583698" w:rsidRDefault="006972BD" w:rsidP="005836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BD" w:rsidRPr="00D45AA8" w:rsidRDefault="006972BD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BD" w:rsidRPr="00D45AA8" w:rsidRDefault="006972BD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F389F" w:rsidRPr="00D45AA8" w:rsidTr="00A12DB3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89F" w:rsidRPr="00583698" w:rsidRDefault="00583698" w:rsidP="005836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3698">
              <w:rPr>
                <w:rFonts w:ascii="Calibri" w:eastAsia="Times New Roman" w:hAnsi="Calibri" w:cs="Times New Roman"/>
                <w:b/>
                <w:color w:val="000000"/>
              </w:rPr>
              <w:t>Number of Troubles due to Being Drunk</w:t>
            </w:r>
            <w:r w:rsidR="003F389F" w:rsidRPr="00583698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89F" w:rsidRPr="00D45AA8" w:rsidRDefault="003F389F" w:rsidP="003F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83698" w:rsidRPr="00D45AA8" w:rsidTr="00A12DB3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98" w:rsidRPr="004530E2" w:rsidRDefault="00B36A90" w:rsidP="00B36A90">
            <w:pPr>
              <w:spacing w:after="0" w:line="240" w:lineRule="auto"/>
              <w:ind w:left="436" w:hanging="436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      </w:t>
            </w:r>
            <w:r w:rsidR="00583698" w:rsidRPr="004530E2">
              <w:rPr>
                <w:rFonts w:ascii="Calibri" w:eastAsia="Times New Roman" w:hAnsi="Calibri" w:cs="Times New Roman"/>
                <w:bCs/>
                <w:color w:val="000000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1853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91.37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709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93.04</w:t>
            </w:r>
          </w:p>
        </w:tc>
      </w:tr>
      <w:tr w:rsidR="00583698" w:rsidRPr="00D45AA8" w:rsidTr="00A12DB3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98" w:rsidRPr="004530E2" w:rsidRDefault="00B36A90" w:rsidP="00B36A90">
            <w:pPr>
              <w:spacing w:after="0" w:line="240" w:lineRule="auto"/>
              <w:ind w:left="346" w:hanging="346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      </w:t>
            </w:r>
            <w:r w:rsidR="004530E2">
              <w:rPr>
                <w:rFonts w:ascii="Calibri" w:eastAsia="Times New Roman" w:hAnsi="Calibri" w:cs="Times New Roman"/>
                <w:bCs/>
                <w:color w:val="000000"/>
              </w:rPr>
              <w:t>1-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2 times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5.62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4.46</w:t>
            </w:r>
          </w:p>
        </w:tc>
      </w:tr>
      <w:tr w:rsidR="00583698" w:rsidRPr="00D45AA8" w:rsidTr="00A12DB3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98" w:rsidRPr="004530E2" w:rsidRDefault="00B36A90" w:rsidP="00B36A90">
            <w:pPr>
              <w:spacing w:after="0" w:line="240" w:lineRule="auto"/>
              <w:ind w:left="436" w:hanging="436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      </w:t>
            </w:r>
            <w:r w:rsidR="004530E2">
              <w:rPr>
                <w:rFonts w:ascii="Calibri" w:eastAsia="Times New Roman" w:hAnsi="Calibri" w:cs="Times New Roman"/>
                <w:bCs/>
                <w:color w:val="000000"/>
              </w:rPr>
              <w:t>3-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9 times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1.73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1.31</w:t>
            </w:r>
          </w:p>
        </w:tc>
      </w:tr>
      <w:tr w:rsidR="00583698" w:rsidRPr="00D45AA8" w:rsidTr="00A12DB3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98" w:rsidRPr="004530E2" w:rsidRDefault="00B36A90" w:rsidP="00B36A90">
            <w:pPr>
              <w:spacing w:after="0" w:line="240" w:lineRule="auto"/>
              <w:ind w:left="346" w:hanging="346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      </w:t>
            </w:r>
            <w:r w:rsidR="004530E2">
              <w:rPr>
                <w:rFonts w:ascii="Calibri" w:eastAsia="Times New Roman" w:hAnsi="Calibri" w:cs="Times New Roman"/>
                <w:bCs/>
                <w:color w:val="000000"/>
              </w:rPr>
              <w:t>10 or more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times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1.28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</w:tr>
      <w:tr w:rsidR="00583698" w:rsidRPr="00D45AA8" w:rsidTr="00A12DB3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98" w:rsidRPr="00D45AA8" w:rsidRDefault="00583698" w:rsidP="00583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b/>
                <w:bCs/>
                <w:color w:val="000000"/>
              </w:rPr>
              <w:t>2028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0224BA">
              <w:rPr>
                <w:rFonts w:ascii="Calibri" w:eastAsia="Times New Roman" w:hAnsi="Calibri" w:cs="Times New Roman"/>
                <w:b/>
                <w:bCs/>
                <w:color w:val="000000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b/>
                <w:bCs/>
                <w:color w:val="000000"/>
              </w:rPr>
              <w:t>762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8" w:rsidRPr="00D45AA8" w:rsidRDefault="00583698" w:rsidP="0058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AA8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0224BA">
              <w:rPr>
                <w:rFonts w:ascii="Calibri" w:eastAsia="Times New Roman" w:hAnsi="Calibri" w:cs="Times New Roman"/>
                <w:b/>
                <w:bCs/>
                <w:color w:val="000000"/>
              </w:rPr>
              <w:t>.00</w:t>
            </w:r>
          </w:p>
        </w:tc>
      </w:tr>
    </w:tbl>
    <w:p w:rsidR="00DE69E4" w:rsidRDefault="00DE69E4" w:rsidP="00B7594C">
      <w:pPr>
        <w:spacing w:after="0" w:line="360" w:lineRule="auto"/>
        <w:jc w:val="both"/>
        <w:rPr>
          <w:rFonts w:ascii="NewBaskerville-Roman" w:hAnsi="NewBaskerville-Roman" w:cs="NewBaskerville-Roman"/>
          <w:b/>
          <w:sz w:val="24"/>
          <w:szCs w:val="24"/>
        </w:rPr>
      </w:pPr>
    </w:p>
    <w:p w:rsidR="00F93464" w:rsidRPr="00F32E10" w:rsidRDefault="00C51411" w:rsidP="00B7594C">
      <w:pPr>
        <w:spacing w:after="0" w:line="360" w:lineRule="auto"/>
        <w:jc w:val="both"/>
        <w:rPr>
          <w:rFonts w:ascii="NewBaskerville-Roman" w:hAnsi="NewBaskerville-Roman" w:cs="NewBaskerville-Roman"/>
          <w:b/>
          <w:sz w:val="28"/>
          <w:szCs w:val="28"/>
        </w:rPr>
      </w:pPr>
      <w:r w:rsidRPr="00F32E10">
        <w:rPr>
          <w:rFonts w:ascii="NewBaskerville-Roman" w:hAnsi="NewBaskerville-Roman" w:cs="NewBaskerville-Roman"/>
          <w:b/>
          <w:sz w:val="28"/>
          <w:szCs w:val="28"/>
        </w:rPr>
        <w:t>3.2</w:t>
      </w:r>
      <w:r w:rsidRPr="00F32E10">
        <w:rPr>
          <w:rFonts w:ascii="NewBaskerville-Roman" w:hAnsi="NewBaskerville-Roman" w:cs="NewBaskerville-Roman"/>
          <w:b/>
          <w:sz w:val="28"/>
          <w:szCs w:val="28"/>
        </w:rPr>
        <w:tab/>
      </w:r>
      <w:r w:rsidR="00B93204" w:rsidRPr="00F32E10">
        <w:rPr>
          <w:rFonts w:ascii="NewBaskerville-Roman" w:hAnsi="NewBaskerville-Roman" w:cs="NewBaskerville-Roman"/>
          <w:b/>
          <w:sz w:val="28"/>
          <w:szCs w:val="28"/>
        </w:rPr>
        <w:t>Predictors of physical activity levels</w:t>
      </w:r>
    </w:p>
    <w:p w:rsidR="00093EB0" w:rsidRPr="00B31905" w:rsidRDefault="00893FD3" w:rsidP="00B7594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1905">
        <w:rPr>
          <w:rFonts w:ascii="Times New Roman" w:hAnsi="Times New Roman" w:cs="Times New Roman"/>
          <w:sz w:val="24"/>
          <w:szCs w:val="24"/>
        </w:rPr>
        <w:t xml:space="preserve">Table </w:t>
      </w:r>
      <w:r w:rsidR="00093EB0" w:rsidRPr="00B31905">
        <w:rPr>
          <w:rFonts w:ascii="Times New Roman" w:hAnsi="Times New Roman" w:cs="Times New Roman"/>
          <w:sz w:val="24"/>
          <w:szCs w:val="24"/>
        </w:rPr>
        <w:t>4</w:t>
      </w:r>
      <w:r w:rsidRPr="00B31905">
        <w:rPr>
          <w:rFonts w:ascii="Times New Roman" w:hAnsi="Times New Roman" w:cs="Times New Roman"/>
          <w:sz w:val="24"/>
          <w:szCs w:val="24"/>
        </w:rPr>
        <w:t xml:space="preserve"> presents the logistic regression data for each of the predictor variables in the </w:t>
      </w:r>
      <w:r w:rsidR="00877FA4">
        <w:rPr>
          <w:rFonts w:ascii="Times New Roman" w:hAnsi="Times New Roman" w:cs="Times New Roman"/>
          <w:sz w:val="24"/>
          <w:szCs w:val="24"/>
        </w:rPr>
        <w:t xml:space="preserve">present </w:t>
      </w:r>
      <w:r w:rsidRPr="00B31905">
        <w:rPr>
          <w:rFonts w:ascii="Times New Roman" w:hAnsi="Times New Roman" w:cs="Times New Roman"/>
          <w:sz w:val="24"/>
          <w:szCs w:val="24"/>
        </w:rPr>
        <w:t xml:space="preserve">study. </w:t>
      </w:r>
      <w:r w:rsidR="0054066C">
        <w:rPr>
          <w:rFonts w:ascii="Times New Roman" w:hAnsi="Times New Roman" w:cs="Times New Roman"/>
          <w:sz w:val="24"/>
          <w:szCs w:val="24"/>
        </w:rPr>
        <w:t>The</w:t>
      </w:r>
      <w:r w:rsidR="0054066C" w:rsidRPr="00B31905">
        <w:rPr>
          <w:rFonts w:ascii="Times New Roman" w:hAnsi="Times New Roman" w:cs="Times New Roman"/>
          <w:sz w:val="24"/>
          <w:szCs w:val="24"/>
        </w:rPr>
        <w:t xml:space="preserve"> analyses indicated that age, gender, BMI, </w:t>
      </w:r>
      <w:r w:rsidR="0054066C">
        <w:rPr>
          <w:rFonts w:ascii="Times New Roman" w:hAnsi="Times New Roman" w:cs="Times New Roman"/>
          <w:sz w:val="24"/>
          <w:szCs w:val="24"/>
        </w:rPr>
        <w:t>number of times being drunk</w:t>
      </w:r>
      <w:r w:rsidR="0054066C" w:rsidRPr="00B31905">
        <w:rPr>
          <w:rFonts w:ascii="Times New Roman" w:hAnsi="Times New Roman" w:cs="Times New Roman"/>
          <w:sz w:val="24"/>
          <w:szCs w:val="24"/>
        </w:rPr>
        <w:t>, and the number of times one got</w:t>
      </w:r>
      <w:r w:rsidR="0054066C">
        <w:rPr>
          <w:rFonts w:ascii="Times New Roman" w:hAnsi="Times New Roman" w:cs="Times New Roman"/>
          <w:sz w:val="24"/>
          <w:szCs w:val="24"/>
        </w:rPr>
        <w:t xml:space="preserve"> into trouble due to </w:t>
      </w:r>
      <w:r w:rsidR="0054066C" w:rsidRPr="00B31905">
        <w:rPr>
          <w:rFonts w:ascii="Times New Roman" w:hAnsi="Times New Roman" w:cs="Times New Roman"/>
          <w:sz w:val="24"/>
          <w:szCs w:val="24"/>
        </w:rPr>
        <w:t>drunk</w:t>
      </w:r>
      <w:r w:rsidR="0054066C">
        <w:rPr>
          <w:rFonts w:ascii="Times New Roman" w:hAnsi="Times New Roman" w:cs="Times New Roman"/>
          <w:sz w:val="24"/>
          <w:szCs w:val="24"/>
        </w:rPr>
        <w:t>enness</w:t>
      </w:r>
      <w:r w:rsidR="0054066C" w:rsidRPr="00B31905">
        <w:rPr>
          <w:rFonts w:ascii="Times New Roman" w:hAnsi="Times New Roman" w:cs="Times New Roman"/>
          <w:sz w:val="24"/>
          <w:szCs w:val="24"/>
        </w:rPr>
        <w:t xml:space="preserve"> were significant predictors of PAPE, while the level of education was not</w:t>
      </w:r>
      <w:r w:rsidR="0054066C" w:rsidRPr="005E732B">
        <w:rPr>
          <w:rFonts w:ascii="Times New Roman" w:hAnsi="Times New Roman" w:cs="Times New Roman"/>
          <w:sz w:val="24"/>
          <w:szCs w:val="24"/>
        </w:rPr>
        <w:t xml:space="preserve">.  </w:t>
      </w:r>
      <w:r w:rsidR="00363CCF" w:rsidRPr="00B31905">
        <w:rPr>
          <w:rFonts w:ascii="Times New Roman" w:hAnsi="Times New Roman" w:cs="Times New Roman"/>
          <w:sz w:val="24"/>
          <w:szCs w:val="24"/>
        </w:rPr>
        <w:t>JHS and SHS students were equally likely to achieve PAPE.</w:t>
      </w:r>
      <w:r w:rsidR="00363CCF">
        <w:rPr>
          <w:rFonts w:ascii="Times New Roman" w:hAnsi="Times New Roman" w:cs="Times New Roman"/>
          <w:sz w:val="24"/>
          <w:szCs w:val="24"/>
        </w:rPr>
        <w:t xml:space="preserve"> </w:t>
      </w:r>
      <w:r w:rsidRPr="00B31905">
        <w:rPr>
          <w:rFonts w:ascii="Times New Roman" w:hAnsi="Times New Roman" w:cs="Times New Roman"/>
          <w:sz w:val="24"/>
          <w:szCs w:val="24"/>
        </w:rPr>
        <w:t xml:space="preserve">Participants 11 years or younger were used as the comparison </w:t>
      </w:r>
      <w:r w:rsidR="0054066C">
        <w:rPr>
          <w:rFonts w:ascii="Times New Roman" w:hAnsi="Times New Roman" w:cs="Times New Roman"/>
          <w:sz w:val="24"/>
          <w:szCs w:val="24"/>
        </w:rPr>
        <w:t xml:space="preserve">or reference </w:t>
      </w:r>
      <w:r w:rsidRPr="00B31905">
        <w:rPr>
          <w:rFonts w:ascii="Times New Roman" w:hAnsi="Times New Roman" w:cs="Times New Roman"/>
          <w:sz w:val="24"/>
          <w:szCs w:val="24"/>
        </w:rPr>
        <w:t>group</w:t>
      </w:r>
      <w:r w:rsidR="00093EB0" w:rsidRPr="00B31905">
        <w:rPr>
          <w:rFonts w:ascii="Times New Roman" w:hAnsi="Times New Roman" w:cs="Times New Roman"/>
          <w:sz w:val="24"/>
          <w:szCs w:val="24"/>
        </w:rPr>
        <w:t xml:space="preserve"> for age. The data show</w:t>
      </w:r>
      <w:r w:rsidRPr="00B31905">
        <w:rPr>
          <w:rFonts w:ascii="Times New Roman" w:hAnsi="Times New Roman" w:cs="Times New Roman"/>
          <w:sz w:val="24"/>
          <w:szCs w:val="24"/>
        </w:rPr>
        <w:t xml:space="preserve"> no significant difference in </w:t>
      </w:r>
      <w:r w:rsidR="00093EB0" w:rsidRPr="00B31905">
        <w:rPr>
          <w:rFonts w:ascii="Times New Roman" w:hAnsi="Times New Roman" w:cs="Times New Roman"/>
          <w:sz w:val="24"/>
          <w:szCs w:val="24"/>
        </w:rPr>
        <w:t>PAPE</w:t>
      </w:r>
      <w:r w:rsidRPr="00B31905">
        <w:rPr>
          <w:rFonts w:ascii="Times New Roman" w:hAnsi="Times New Roman" w:cs="Times New Roman"/>
          <w:sz w:val="24"/>
          <w:szCs w:val="24"/>
        </w:rPr>
        <w:t xml:space="preserve"> </w:t>
      </w:r>
      <w:r w:rsidR="00093EB0" w:rsidRPr="00B31905">
        <w:rPr>
          <w:rFonts w:ascii="Times New Roman" w:hAnsi="Times New Roman" w:cs="Times New Roman"/>
          <w:sz w:val="24"/>
          <w:szCs w:val="24"/>
        </w:rPr>
        <w:t>for</w:t>
      </w:r>
      <w:r w:rsidRPr="00B31905">
        <w:rPr>
          <w:rFonts w:ascii="Times New Roman" w:hAnsi="Times New Roman" w:cs="Times New Roman"/>
          <w:sz w:val="24"/>
          <w:szCs w:val="24"/>
        </w:rPr>
        <w:t xml:space="preserve"> students 12 or 13 years old and those 11 years or younger.</w:t>
      </w:r>
      <w:r w:rsidR="00093EB0" w:rsidRPr="00B31905">
        <w:rPr>
          <w:rFonts w:ascii="Times New Roman" w:hAnsi="Times New Roman" w:cs="Times New Roman"/>
          <w:iCs/>
          <w:sz w:val="24"/>
          <w:szCs w:val="24"/>
        </w:rPr>
        <w:t xml:space="preserve"> However, there were significant differences between those 13-18 plus years</w:t>
      </w:r>
      <w:r w:rsidR="00A26FB7" w:rsidRPr="00B319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3EB0" w:rsidRPr="00B31905">
        <w:rPr>
          <w:rFonts w:ascii="Times New Roman" w:hAnsi="Times New Roman" w:cs="Times New Roman"/>
          <w:iCs/>
          <w:sz w:val="24"/>
          <w:szCs w:val="24"/>
        </w:rPr>
        <w:t xml:space="preserve">and those 11 years or younger. </w:t>
      </w:r>
      <w:r w:rsidR="00877FA4">
        <w:rPr>
          <w:rFonts w:ascii="Times New Roman" w:hAnsi="Times New Roman" w:cs="Times New Roman"/>
          <w:iCs/>
          <w:sz w:val="24"/>
          <w:szCs w:val="24"/>
        </w:rPr>
        <w:t xml:space="preserve">That is, participants </w:t>
      </w:r>
      <w:r w:rsidR="00093EB0" w:rsidRPr="00B31905">
        <w:rPr>
          <w:rFonts w:ascii="Times New Roman" w:hAnsi="Times New Roman" w:cs="Times New Roman"/>
          <w:iCs/>
          <w:sz w:val="24"/>
          <w:szCs w:val="24"/>
        </w:rPr>
        <w:t xml:space="preserve">13-18 </w:t>
      </w:r>
      <w:r w:rsidR="00A26FB7" w:rsidRPr="00B31905">
        <w:rPr>
          <w:rFonts w:ascii="Times New Roman" w:hAnsi="Times New Roman" w:cs="Times New Roman"/>
          <w:iCs/>
          <w:sz w:val="24"/>
          <w:szCs w:val="24"/>
        </w:rPr>
        <w:t xml:space="preserve">years </w:t>
      </w:r>
      <w:r w:rsidR="00093EB0" w:rsidRPr="00B31905">
        <w:rPr>
          <w:rFonts w:ascii="Times New Roman" w:hAnsi="Times New Roman" w:cs="Times New Roman"/>
          <w:iCs/>
          <w:sz w:val="24"/>
          <w:szCs w:val="24"/>
        </w:rPr>
        <w:t xml:space="preserve">plus </w:t>
      </w:r>
      <w:r w:rsidR="003F527E" w:rsidRPr="00B31905">
        <w:rPr>
          <w:rFonts w:ascii="Times New Roman" w:hAnsi="Times New Roman" w:cs="Times New Roman"/>
          <w:iCs/>
          <w:sz w:val="24"/>
          <w:szCs w:val="24"/>
        </w:rPr>
        <w:t xml:space="preserve">years were two-fold </w:t>
      </w:r>
      <w:r w:rsidR="00093EB0" w:rsidRPr="00B31905">
        <w:rPr>
          <w:rFonts w:ascii="Times New Roman" w:hAnsi="Times New Roman" w:cs="Times New Roman"/>
          <w:iCs/>
          <w:sz w:val="24"/>
          <w:szCs w:val="24"/>
        </w:rPr>
        <w:t xml:space="preserve">more likely to </w:t>
      </w:r>
      <w:r w:rsidR="00A26FB7" w:rsidRPr="00B31905">
        <w:rPr>
          <w:rFonts w:ascii="Times New Roman" w:hAnsi="Times New Roman" w:cs="Times New Roman"/>
          <w:iCs/>
          <w:sz w:val="24"/>
          <w:szCs w:val="24"/>
        </w:rPr>
        <w:t>achieve PAPE than those 11 years or younger.</w:t>
      </w:r>
    </w:p>
    <w:p w:rsidR="000D2B0B" w:rsidRPr="00B31905" w:rsidRDefault="00893FD3" w:rsidP="00B7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905">
        <w:rPr>
          <w:rFonts w:ascii="Times New Roman" w:hAnsi="Times New Roman" w:cs="Times New Roman"/>
          <w:sz w:val="24"/>
          <w:szCs w:val="24"/>
        </w:rPr>
        <w:t xml:space="preserve"> </w:t>
      </w:r>
      <w:r w:rsidR="007512B1" w:rsidRPr="00B31905">
        <w:rPr>
          <w:rFonts w:ascii="Times New Roman" w:hAnsi="Times New Roman" w:cs="Times New Roman"/>
          <w:sz w:val="24"/>
          <w:szCs w:val="24"/>
        </w:rPr>
        <w:tab/>
      </w:r>
      <w:r w:rsidR="00E773C0">
        <w:rPr>
          <w:rFonts w:ascii="Times New Roman" w:hAnsi="Times New Roman" w:cs="Times New Roman"/>
          <w:sz w:val="24"/>
          <w:szCs w:val="24"/>
        </w:rPr>
        <w:t>F</w:t>
      </w:r>
      <w:r w:rsidR="00F4095B">
        <w:rPr>
          <w:rFonts w:ascii="Times New Roman" w:hAnsi="Times New Roman" w:cs="Times New Roman"/>
          <w:sz w:val="24"/>
          <w:szCs w:val="24"/>
        </w:rPr>
        <w:t xml:space="preserve">emales were more likely than males to achieve PAPE. </w:t>
      </w:r>
      <w:r w:rsidR="00E773C0">
        <w:rPr>
          <w:rFonts w:ascii="Times New Roman" w:hAnsi="Times New Roman" w:cs="Times New Roman"/>
          <w:sz w:val="24"/>
          <w:szCs w:val="24"/>
        </w:rPr>
        <w:t>In addition, t</w:t>
      </w:r>
      <w:r w:rsidR="000D2B0B" w:rsidRPr="00B31905">
        <w:rPr>
          <w:rFonts w:ascii="Times New Roman" w:hAnsi="Times New Roman" w:cs="Times New Roman"/>
          <w:sz w:val="24"/>
          <w:szCs w:val="24"/>
        </w:rPr>
        <w:t xml:space="preserve">hose with higher BMI were less likely to achieve PAPE. The likelihood of achieving PAPE decreased with increase in </w:t>
      </w:r>
      <w:r w:rsidR="00103914" w:rsidRPr="00B31905">
        <w:rPr>
          <w:rFonts w:ascii="Times New Roman" w:hAnsi="Times New Roman" w:cs="Times New Roman"/>
          <w:sz w:val="24"/>
          <w:szCs w:val="24"/>
        </w:rPr>
        <w:t>NBD</w:t>
      </w:r>
      <w:r w:rsidR="00E1611A" w:rsidRPr="00B31905">
        <w:rPr>
          <w:rFonts w:ascii="Times New Roman" w:hAnsi="Times New Roman" w:cs="Times New Roman"/>
          <w:sz w:val="24"/>
          <w:szCs w:val="24"/>
        </w:rPr>
        <w:t xml:space="preserve">. </w:t>
      </w:r>
      <w:r w:rsidR="00507B95">
        <w:rPr>
          <w:rFonts w:ascii="Times New Roman" w:hAnsi="Times New Roman" w:cs="Times New Roman"/>
          <w:sz w:val="24"/>
          <w:szCs w:val="24"/>
        </w:rPr>
        <w:t xml:space="preserve">That is, those who </w:t>
      </w:r>
      <w:r w:rsidR="008B76AB">
        <w:rPr>
          <w:rFonts w:ascii="Times New Roman" w:hAnsi="Times New Roman" w:cs="Times New Roman"/>
          <w:sz w:val="24"/>
          <w:szCs w:val="24"/>
        </w:rPr>
        <w:t>were never dru</w:t>
      </w:r>
      <w:r w:rsidR="00507B95">
        <w:rPr>
          <w:rFonts w:ascii="Times New Roman" w:hAnsi="Times New Roman" w:cs="Times New Roman"/>
          <w:sz w:val="24"/>
          <w:szCs w:val="24"/>
        </w:rPr>
        <w:t xml:space="preserve">nk were more likely to achieve PAPE than those who used </w:t>
      </w:r>
      <w:r w:rsidR="008B76AB">
        <w:rPr>
          <w:rFonts w:ascii="Times New Roman" w:hAnsi="Times New Roman" w:cs="Times New Roman"/>
          <w:sz w:val="24"/>
          <w:szCs w:val="24"/>
        </w:rPr>
        <w:t xml:space="preserve">were drunk </w:t>
      </w:r>
      <w:r w:rsidR="006C1BFA">
        <w:rPr>
          <w:rFonts w:ascii="Times New Roman" w:hAnsi="Times New Roman" w:cs="Times New Roman"/>
          <w:sz w:val="24"/>
          <w:szCs w:val="24"/>
        </w:rPr>
        <w:t>at least</w:t>
      </w:r>
      <w:r w:rsidR="00507B95">
        <w:rPr>
          <w:rFonts w:ascii="Times New Roman" w:hAnsi="Times New Roman" w:cs="Times New Roman"/>
          <w:sz w:val="24"/>
          <w:szCs w:val="24"/>
        </w:rPr>
        <w:t xml:space="preserve"> once. </w:t>
      </w:r>
    </w:p>
    <w:p w:rsidR="00FB3484" w:rsidRPr="00B31905" w:rsidRDefault="00FB3484" w:rsidP="00B759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05">
        <w:rPr>
          <w:rFonts w:ascii="Times New Roman" w:hAnsi="Times New Roman" w:cs="Times New Roman"/>
          <w:sz w:val="24"/>
          <w:szCs w:val="24"/>
        </w:rPr>
        <w:t xml:space="preserve">Participants who were </w:t>
      </w:r>
      <w:r w:rsidR="00C4259A" w:rsidRPr="00B31905">
        <w:rPr>
          <w:rFonts w:ascii="Times New Roman" w:hAnsi="Times New Roman" w:cs="Times New Roman"/>
          <w:sz w:val="24"/>
          <w:szCs w:val="24"/>
        </w:rPr>
        <w:t>“</w:t>
      </w:r>
      <w:r w:rsidRPr="00B31905">
        <w:rPr>
          <w:rFonts w:ascii="Times New Roman" w:hAnsi="Times New Roman" w:cs="Times New Roman"/>
          <w:sz w:val="24"/>
          <w:szCs w:val="24"/>
        </w:rPr>
        <w:t>never in trouble</w:t>
      </w:r>
      <w:r w:rsidR="00C4259A" w:rsidRPr="00B31905">
        <w:rPr>
          <w:rFonts w:ascii="Times New Roman" w:hAnsi="Times New Roman" w:cs="Times New Roman"/>
          <w:sz w:val="24"/>
          <w:szCs w:val="24"/>
        </w:rPr>
        <w:t>”</w:t>
      </w:r>
      <w:r w:rsidRPr="00B31905">
        <w:rPr>
          <w:rFonts w:ascii="Times New Roman" w:hAnsi="Times New Roman" w:cs="Times New Roman"/>
          <w:sz w:val="24"/>
          <w:szCs w:val="24"/>
        </w:rPr>
        <w:t xml:space="preserve"> </w:t>
      </w:r>
      <w:r w:rsidR="00C4259A" w:rsidRPr="00B31905">
        <w:rPr>
          <w:rFonts w:ascii="Times New Roman" w:hAnsi="Times New Roman" w:cs="Times New Roman"/>
          <w:sz w:val="24"/>
          <w:szCs w:val="24"/>
        </w:rPr>
        <w:t>served</w:t>
      </w:r>
      <w:r w:rsidRPr="00B31905">
        <w:rPr>
          <w:rFonts w:ascii="Times New Roman" w:hAnsi="Times New Roman" w:cs="Times New Roman"/>
          <w:sz w:val="24"/>
          <w:szCs w:val="24"/>
        </w:rPr>
        <w:t xml:space="preserve"> as </w:t>
      </w:r>
      <w:r w:rsidRPr="00FC3B60">
        <w:rPr>
          <w:rFonts w:ascii="Times New Roman" w:hAnsi="Times New Roman" w:cs="Times New Roman"/>
          <w:sz w:val="24"/>
          <w:szCs w:val="24"/>
        </w:rPr>
        <w:t>the comparison</w:t>
      </w:r>
      <w:r w:rsidR="00FC3B60">
        <w:rPr>
          <w:rFonts w:ascii="Times New Roman" w:hAnsi="Times New Roman" w:cs="Times New Roman"/>
          <w:sz w:val="24"/>
          <w:szCs w:val="24"/>
        </w:rPr>
        <w:t xml:space="preserve"> or reference</w:t>
      </w:r>
      <w:r w:rsidRPr="00B31905">
        <w:rPr>
          <w:rFonts w:ascii="Times New Roman" w:hAnsi="Times New Roman" w:cs="Times New Roman"/>
          <w:sz w:val="24"/>
          <w:szCs w:val="24"/>
        </w:rPr>
        <w:t xml:space="preserve"> group for </w:t>
      </w:r>
      <w:r w:rsidR="00FD21B0" w:rsidRPr="00B31905">
        <w:rPr>
          <w:rFonts w:ascii="Times New Roman" w:hAnsi="Times New Roman" w:cs="Times New Roman"/>
          <w:sz w:val="24"/>
          <w:szCs w:val="24"/>
        </w:rPr>
        <w:t xml:space="preserve">the variable TTD. </w:t>
      </w:r>
      <w:r w:rsidR="00FD21B0" w:rsidRPr="00B31905">
        <w:rPr>
          <w:rFonts w:ascii="Times New Roman" w:hAnsi="Times New Roman" w:cs="Times New Roman"/>
          <w:iCs/>
          <w:sz w:val="24"/>
          <w:szCs w:val="24"/>
        </w:rPr>
        <w:t>There was a significant difference be</w:t>
      </w:r>
      <w:r w:rsidR="00C4259A" w:rsidRPr="00B31905">
        <w:rPr>
          <w:rFonts w:ascii="Times New Roman" w:hAnsi="Times New Roman" w:cs="Times New Roman"/>
          <w:iCs/>
          <w:sz w:val="24"/>
          <w:szCs w:val="24"/>
        </w:rPr>
        <w:t>tween those who were in trouble</w:t>
      </w:r>
      <w:r w:rsidR="00FD21B0" w:rsidRPr="00B319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21B0" w:rsidRPr="00B31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1-2 times and 3-9 times and those who were never in trouble. Those who were in trouble 1-2 times and 3-9 times were less likely </w:t>
      </w:r>
      <w:r w:rsidR="00103914" w:rsidRPr="00B31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 those who were never in trouble </w:t>
      </w:r>
      <w:r w:rsidR="00FD21B0" w:rsidRPr="00B31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B375B2" w:rsidRPr="00B31905">
        <w:rPr>
          <w:rFonts w:ascii="Times New Roman" w:eastAsia="Times New Roman" w:hAnsi="Times New Roman" w:cs="Times New Roman"/>
          <w:color w:val="000000"/>
          <w:sz w:val="24"/>
          <w:szCs w:val="24"/>
        </w:rPr>
        <w:t>achieve</w:t>
      </w:r>
      <w:r w:rsidR="00FD21B0" w:rsidRPr="00B31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PAPE. Ther</w:t>
      </w:r>
      <w:r w:rsidR="007652C4" w:rsidRPr="00B31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was no </w:t>
      </w:r>
      <w:r w:rsidR="007652C4" w:rsidRPr="00B319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significant difference</w:t>
      </w:r>
      <w:r w:rsidR="00FD21B0" w:rsidRPr="00B31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those who were never in trouble and those who were in trouble 10 or more times.</w:t>
      </w:r>
    </w:p>
    <w:p w:rsidR="00A15ACD" w:rsidRPr="00DE69E4" w:rsidRDefault="00A15ACD" w:rsidP="00A15ACD">
      <w:pPr>
        <w:spacing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9E4">
        <w:rPr>
          <w:rFonts w:ascii="Times New Roman" w:hAnsi="Times New Roman" w:cs="Times New Roman"/>
          <w:sz w:val="24"/>
          <w:szCs w:val="24"/>
        </w:rPr>
        <w:t>Table 5: Logistic regression for age, educational level, BMI, number of times drunk, number of times in trouble and PAPE</w:t>
      </w:r>
    </w:p>
    <w:tbl>
      <w:tblPr>
        <w:tblW w:w="11172" w:type="dxa"/>
        <w:tblLook w:val="04A0" w:firstRow="1" w:lastRow="0" w:firstColumn="1" w:lastColumn="0" w:noHBand="0" w:noVBand="1"/>
      </w:tblPr>
      <w:tblGrid>
        <w:gridCol w:w="3685"/>
        <w:gridCol w:w="1016"/>
        <w:gridCol w:w="940"/>
        <w:gridCol w:w="924"/>
        <w:gridCol w:w="900"/>
        <w:gridCol w:w="990"/>
        <w:gridCol w:w="2717"/>
      </w:tblGrid>
      <w:tr w:rsidR="00E465FF" w:rsidRPr="00E56846" w:rsidTr="00F45CC4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FF" w:rsidRPr="00E56846" w:rsidRDefault="00E465FF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FF" w:rsidRPr="00E56846" w:rsidRDefault="00E465FF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FF" w:rsidRPr="00E56846" w:rsidRDefault="00E465FF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FF" w:rsidRPr="00E56846" w:rsidRDefault="00E465FF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E465FF" w:rsidRPr="00E56846" w:rsidRDefault="00E465FF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b/>
                <w:bCs/>
                <w:color w:val="000000"/>
              </w:rPr>
              <w:t>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FF" w:rsidRPr="00E56846" w:rsidRDefault="00E465FF" w:rsidP="00E4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E568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95% CI for the OR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F" w:rsidRPr="00E56846" w:rsidRDefault="00E465FF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465FF" w:rsidRPr="00E56846" w:rsidTr="00F45CC4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FF" w:rsidRPr="00E56846" w:rsidRDefault="00E465FF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FF" w:rsidRPr="00E56846" w:rsidRDefault="00E465FF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FF" w:rsidRPr="00E56846" w:rsidRDefault="00E465FF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FF" w:rsidRPr="00E56846" w:rsidRDefault="00E465FF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FF" w:rsidRPr="00E56846" w:rsidRDefault="00E465FF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b/>
                <w:bCs/>
                <w:color w:val="000000"/>
              </w:rPr>
              <w:t>Lower Limit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FF" w:rsidRPr="00E56846" w:rsidRDefault="00E465FF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b/>
                <w:bCs/>
                <w:color w:val="000000"/>
              </w:rPr>
              <w:t>Upper Limit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F" w:rsidRPr="00E56846" w:rsidRDefault="00E465FF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16B74" w:rsidRPr="00E56846" w:rsidTr="00F45CC4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Intercept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0.126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2.055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0.822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5.258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B74" w:rsidRPr="00E56846" w:rsidTr="00F45CC4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Age (12 years old)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0.294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1.591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0.657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3.768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B74" w:rsidRPr="00E56846" w:rsidTr="00FC225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Age (13 years old)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0.764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B74" w:rsidRPr="00FC2257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C2257">
              <w:rPr>
                <w:rFonts w:ascii="Calibri" w:eastAsia="Times New Roman" w:hAnsi="Calibri" w:cs="Times New Roman"/>
                <w:bCs/>
                <w:color w:val="000000"/>
              </w:rPr>
              <w:t>0.074*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2.146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0.909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4.935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B74" w:rsidRPr="00E56846" w:rsidTr="00FC225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Age (14 years old)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0.939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B74" w:rsidRPr="00FC2257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C2257">
              <w:rPr>
                <w:rFonts w:ascii="Calibri" w:eastAsia="Times New Roman" w:hAnsi="Calibri" w:cs="Times New Roman"/>
                <w:bCs/>
                <w:color w:val="000000"/>
              </w:rPr>
              <w:t>0.026**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2.558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1.093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5.830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B74" w:rsidRPr="00E56846" w:rsidTr="00FC225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Age (15 years old)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B74" w:rsidRPr="00FC2257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C2257">
              <w:rPr>
                <w:rFonts w:ascii="Calibri" w:eastAsia="Times New Roman" w:hAnsi="Calibri" w:cs="Times New Roman"/>
                <w:bCs/>
                <w:color w:val="000000"/>
              </w:rPr>
              <w:t>0.032**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2.463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1.059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5.571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B74" w:rsidRPr="00E56846" w:rsidTr="00FC225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Age (16 years old)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B74" w:rsidRPr="00FC2257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C2257">
              <w:rPr>
                <w:rFonts w:ascii="Calibri" w:eastAsia="Times New Roman" w:hAnsi="Calibri" w:cs="Times New Roman"/>
                <w:bCs/>
                <w:color w:val="000000"/>
              </w:rPr>
              <w:t>0.093*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2.040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0.868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4.665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B74" w:rsidRPr="00E56846" w:rsidTr="00FC225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Age (17 years old)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0.982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B74" w:rsidRPr="00FC2257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C2257">
              <w:rPr>
                <w:rFonts w:ascii="Calibri" w:eastAsia="Times New Roman" w:hAnsi="Calibri" w:cs="Times New Roman"/>
                <w:bCs/>
                <w:color w:val="000000"/>
              </w:rPr>
              <w:t>0.021**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2.669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1.136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6.107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B74" w:rsidRPr="00E56846" w:rsidTr="00FC225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Age (18 years plus)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0.897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B74" w:rsidRPr="00FC2257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C2257">
              <w:rPr>
                <w:rFonts w:ascii="Calibri" w:eastAsia="Times New Roman" w:hAnsi="Calibri" w:cs="Times New Roman"/>
                <w:bCs/>
                <w:color w:val="000000"/>
              </w:rPr>
              <w:t>0.034**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2.453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1.049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5.582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B74" w:rsidRPr="00E56846" w:rsidTr="00FC225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5E39BC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Level (SHS</w:t>
            </w:r>
            <w:r w:rsidR="00816B74" w:rsidRPr="00E5684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-0.141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B74" w:rsidRPr="00FC2257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257">
              <w:rPr>
                <w:rFonts w:ascii="Calibri" w:eastAsia="Times New Roman" w:hAnsi="Calibri" w:cs="Times New Roman"/>
                <w:color w:val="000000"/>
              </w:rPr>
              <w:t>0.238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0.687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1.096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B74" w:rsidRPr="00E56846" w:rsidTr="00FC225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336192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Gender</w:t>
            </w:r>
            <w:r w:rsidR="00816B74" w:rsidRPr="00E56846">
              <w:rPr>
                <w:rFonts w:ascii="Calibri" w:eastAsia="Times New Roman" w:hAnsi="Calibri" w:cs="Times New Roman"/>
                <w:color w:val="000000"/>
              </w:rPr>
              <w:t xml:space="preserve"> (Female)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B74" w:rsidRPr="00FC2257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C2257">
              <w:rPr>
                <w:rFonts w:ascii="Calibri" w:eastAsia="Times New Roman" w:hAnsi="Calibri" w:cs="Times New Roman"/>
                <w:bCs/>
                <w:color w:val="000000"/>
              </w:rPr>
              <w:t>0.045**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1.196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1.004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1.424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B74" w:rsidRPr="00E56846" w:rsidTr="00FC225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Body mass index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-0.028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B74" w:rsidRPr="00FC2257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C2257">
              <w:rPr>
                <w:rFonts w:ascii="Calibri" w:eastAsia="Times New Roman" w:hAnsi="Calibri" w:cs="Times New Roman"/>
                <w:bCs/>
                <w:color w:val="000000"/>
              </w:rPr>
              <w:t>0.058*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0.944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1.001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B74" w:rsidRPr="00E56846" w:rsidTr="00FC2257">
        <w:trPr>
          <w:trHeight w:val="9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4374C8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Number of </w:t>
            </w:r>
            <w:r w:rsidR="00816B74" w:rsidRPr="00E56846">
              <w:rPr>
                <w:rFonts w:ascii="Calibri" w:eastAsia="Times New Roman" w:hAnsi="Calibri" w:cs="Times New Roman"/>
                <w:color w:val="000000"/>
              </w:rPr>
              <w:t>Time</w:t>
            </w:r>
            <w:r>
              <w:rPr>
                <w:rFonts w:ascii="Calibri" w:eastAsia="Times New Roman" w:hAnsi="Calibri" w:cs="Times New Roman"/>
                <w:color w:val="000000"/>
              </w:rPr>
              <w:t>s Drunk (1-</w:t>
            </w:r>
            <w:r w:rsidR="00816B74" w:rsidRPr="00E56846">
              <w:rPr>
                <w:rFonts w:ascii="Calibri" w:eastAsia="Times New Roman" w:hAnsi="Calibri" w:cs="Times New Roman"/>
                <w:color w:val="000000"/>
              </w:rPr>
              <w:t>2 times)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-0.396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B74" w:rsidRPr="00FC2257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C2257">
              <w:rPr>
                <w:rFonts w:ascii="Calibri" w:eastAsia="Times New Roman" w:hAnsi="Calibri" w:cs="Times New Roman"/>
                <w:bCs/>
                <w:color w:val="000000"/>
              </w:rPr>
              <w:t>0.015**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0.929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B74" w:rsidRPr="00E56846" w:rsidTr="00FC225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4374C8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Number of </w:t>
            </w:r>
            <w:r w:rsidRPr="00E56846">
              <w:rPr>
                <w:rFonts w:ascii="Calibri" w:eastAsia="Times New Roman" w:hAnsi="Calibri" w:cs="Times New Roman"/>
                <w:color w:val="000000"/>
              </w:rPr>
              <w:t>Time</w:t>
            </w:r>
            <w:r>
              <w:rPr>
                <w:rFonts w:ascii="Calibri" w:eastAsia="Times New Roman" w:hAnsi="Calibri" w:cs="Times New Roman"/>
                <w:color w:val="000000"/>
              </w:rPr>
              <w:t>s D</w:t>
            </w:r>
            <w:r w:rsidRPr="00E56846">
              <w:rPr>
                <w:rFonts w:ascii="Calibri" w:eastAsia="Times New Roman" w:hAnsi="Calibri" w:cs="Times New Roman"/>
                <w:color w:val="000000"/>
              </w:rPr>
              <w:t xml:space="preserve">runk </w:t>
            </w:r>
            <w:r>
              <w:rPr>
                <w:rFonts w:ascii="Calibri" w:eastAsia="Times New Roman" w:hAnsi="Calibri" w:cs="Times New Roman"/>
                <w:color w:val="000000"/>
              </w:rPr>
              <w:t>(3-</w:t>
            </w:r>
            <w:r w:rsidR="00816B74" w:rsidRPr="00E56846">
              <w:rPr>
                <w:rFonts w:ascii="Calibri" w:eastAsia="Times New Roman" w:hAnsi="Calibri" w:cs="Times New Roman"/>
                <w:color w:val="000000"/>
              </w:rPr>
              <w:t>9 times)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-0.628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B74" w:rsidRPr="00FC2257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C2257">
              <w:rPr>
                <w:rFonts w:ascii="Calibri" w:eastAsia="Times New Roman" w:hAnsi="Calibri" w:cs="Times New Roman"/>
                <w:bCs/>
                <w:color w:val="000000"/>
              </w:rPr>
              <w:t>0.040**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0.295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0.987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B74" w:rsidRPr="00E56846" w:rsidTr="00FC225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4374C8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Number of </w:t>
            </w:r>
            <w:r w:rsidRPr="00E56846">
              <w:rPr>
                <w:rFonts w:ascii="Calibri" w:eastAsia="Times New Roman" w:hAnsi="Calibri" w:cs="Times New Roman"/>
                <w:color w:val="000000"/>
              </w:rPr>
              <w:t>Time</w:t>
            </w:r>
            <w:r>
              <w:rPr>
                <w:rFonts w:ascii="Calibri" w:eastAsia="Times New Roman" w:hAnsi="Calibri" w:cs="Times New Roman"/>
                <w:color w:val="000000"/>
              </w:rPr>
              <w:t>s D</w:t>
            </w:r>
            <w:r w:rsidRPr="00E56846">
              <w:rPr>
                <w:rFonts w:ascii="Calibri" w:eastAsia="Times New Roman" w:hAnsi="Calibri" w:cs="Times New Roman"/>
                <w:color w:val="000000"/>
              </w:rPr>
              <w:t xml:space="preserve">runk </w:t>
            </w:r>
            <w:r w:rsidR="00F45CC4">
              <w:rPr>
                <w:rFonts w:ascii="Calibri" w:eastAsia="Times New Roman" w:hAnsi="Calibri" w:cs="Times New Roman"/>
                <w:color w:val="000000"/>
              </w:rPr>
              <w:t>(10 or more</w:t>
            </w:r>
            <w:r w:rsidR="00816B74" w:rsidRPr="00E5684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-0.794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B74" w:rsidRPr="00FC2257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C2257">
              <w:rPr>
                <w:rFonts w:ascii="Calibri" w:eastAsia="Times New Roman" w:hAnsi="Calibri" w:cs="Times New Roman"/>
                <w:bCs/>
                <w:color w:val="000000"/>
              </w:rPr>
              <w:t>0.046**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1.010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B74" w:rsidRPr="00E56846" w:rsidTr="00FC225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4374C8" w:rsidP="00B6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troubles (1-</w:t>
            </w:r>
            <w:r w:rsidR="00816B74" w:rsidRPr="00E56846">
              <w:rPr>
                <w:rFonts w:ascii="Calibri" w:eastAsia="Times New Roman" w:hAnsi="Calibri" w:cs="Times New Roman"/>
                <w:color w:val="000000"/>
              </w:rPr>
              <w:t>2 times)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B74" w:rsidRPr="00FC2257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C2257">
              <w:rPr>
                <w:rFonts w:ascii="Calibri" w:eastAsia="Times New Roman" w:hAnsi="Calibri" w:cs="Times New Roman"/>
                <w:bCs/>
                <w:color w:val="000000"/>
              </w:rPr>
              <w:t>0.019**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1.671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1.101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2.599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B74" w:rsidRPr="00E56846" w:rsidTr="00FC225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4374C8" w:rsidP="00B6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troubles</w:t>
            </w:r>
            <w:r w:rsidRPr="00E568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(3-</w:t>
            </w:r>
            <w:r w:rsidR="00816B74" w:rsidRPr="00E56846">
              <w:rPr>
                <w:rFonts w:ascii="Calibri" w:eastAsia="Times New Roman" w:hAnsi="Calibri" w:cs="Times New Roman"/>
                <w:color w:val="000000"/>
              </w:rPr>
              <w:t>9 times)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B74" w:rsidRPr="00FC2257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C2257">
              <w:rPr>
                <w:rFonts w:ascii="Calibri" w:eastAsia="Times New Roman" w:hAnsi="Calibri" w:cs="Times New Roman"/>
                <w:bCs/>
                <w:color w:val="000000"/>
              </w:rPr>
              <w:t>0.099*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1.881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4.192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B74" w:rsidRPr="00E56846" w:rsidTr="00F45CC4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4374C8" w:rsidP="00B6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troubles</w:t>
            </w:r>
            <w:r w:rsidRPr="00E568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45CC4">
              <w:rPr>
                <w:rFonts w:ascii="Calibri" w:eastAsia="Times New Roman" w:hAnsi="Calibri" w:cs="Times New Roman"/>
                <w:color w:val="000000"/>
              </w:rPr>
              <w:t>(10 or more</w:t>
            </w:r>
            <w:r w:rsidR="00816B74" w:rsidRPr="00E5684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0.480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FC2257" w:rsidRDefault="00816B74" w:rsidP="0048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257">
              <w:rPr>
                <w:rFonts w:ascii="Calibri" w:eastAsia="Times New Roman" w:hAnsi="Calibri" w:cs="Times New Roman"/>
                <w:color w:val="000000"/>
              </w:rPr>
              <w:t>0.254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1.617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0.735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46">
              <w:rPr>
                <w:rFonts w:ascii="Calibri" w:eastAsia="Times New Roman" w:hAnsi="Calibri" w:cs="Times New Roman"/>
                <w:color w:val="000000"/>
              </w:rPr>
              <w:t>3.894</w:t>
            </w:r>
          </w:p>
        </w:tc>
        <w:tc>
          <w:tcPr>
            <w:tcW w:w="2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74" w:rsidRPr="00E56846" w:rsidRDefault="00816B74" w:rsidP="0048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C0764" w:rsidRDefault="00FC0764" w:rsidP="00B60610">
      <w:pPr>
        <w:spacing w:line="480" w:lineRule="auto"/>
        <w:jc w:val="both"/>
        <w:rPr>
          <w:rFonts w:ascii="NewBaskerville-Roman" w:hAnsi="NewBaskerville-Roman" w:cs="NewBaskerville-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** significant</w:t>
      </w:r>
      <w:r w:rsidRPr="00E56846">
        <w:rPr>
          <w:rFonts w:ascii="Calibri" w:eastAsia="Times New Roman" w:hAnsi="Calibri" w:cs="Times New Roman"/>
          <w:color w:val="000000"/>
        </w:rPr>
        <w:t xml:space="preserve"> at 5%</w:t>
      </w:r>
      <w:r>
        <w:rPr>
          <w:rFonts w:ascii="Calibri" w:eastAsia="Times New Roman" w:hAnsi="Calibri" w:cs="Times New Roman"/>
          <w:color w:val="000000"/>
        </w:rPr>
        <w:t>; * significant</w:t>
      </w:r>
      <w:r w:rsidRPr="00E56846">
        <w:rPr>
          <w:rFonts w:ascii="Calibri" w:eastAsia="Times New Roman" w:hAnsi="Calibri" w:cs="Times New Roman"/>
          <w:color w:val="000000"/>
        </w:rPr>
        <w:t xml:space="preserve"> at 10%</w:t>
      </w:r>
    </w:p>
    <w:p w:rsidR="00B60610" w:rsidRPr="00F32E10" w:rsidRDefault="00DE69E4" w:rsidP="003D21E2">
      <w:pPr>
        <w:spacing w:after="0" w:line="360" w:lineRule="auto"/>
        <w:jc w:val="both"/>
        <w:rPr>
          <w:rFonts w:ascii="NewBaskerville-Roman" w:hAnsi="NewBaskerville-Roman" w:cs="NewBaskerville-Roman"/>
          <w:b/>
          <w:sz w:val="30"/>
          <w:szCs w:val="30"/>
        </w:rPr>
      </w:pPr>
      <w:r w:rsidRPr="00F32E10">
        <w:rPr>
          <w:rFonts w:ascii="NewBaskerville-Roman" w:hAnsi="NewBaskerville-Roman" w:cs="NewBaskerville-Roman"/>
          <w:b/>
          <w:sz w:val="30"/>
          <w:szCs w:val="30"/>
        </w:rPr>
        <w:t>4</w:t>
      </w:r>
      <w:r w:rsidRPr="00F32E10">
        <w:rPr>
          <w:rFonts w:ascii="NewBaskerville-Roman" w:hAnsi="NewBaskerville-Roman" w:cs="NewBaskerville-Roman"/>
          <w:b/>
          <w:sz w:val="30"/>
          <w:szCs w:val="30"/>
        </w:rPr>
        <w:tab/>
        <w:t>Discussion and Conclusions</w:t>
      </w:r>
    </w:p>
    <w:p w:rsidR="00B60610" w:rsidRDefault="00DE69E4" w:rsidP="003D21E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current study investigated the influence of BMI and drunkenness on the physical activity levels of adolescent students in Ghana. </w:t>
      </w:r>
      <w:r w:rsidR="00824868">
        <w:rPr>
          <w:rFonts w:ascii="Times New Roman" w:hAnsi="Times New Roman" w:cs="Times New Roman"/>
          <w:iCs/>
          <w:sz w:val="24"/>
          <w:szCs w:val="24"/>
        </w:rPr>
        <w:t xml:space="preserve">The findings have </w:t>
      </w:r>
      <w:r w:rsidR="0003006E">
        <w:rPr>
          <w:rFonts w:ascii="Times New Roman" w:hAnsi="Times New Roman" w:cs="Times New Roman"/>
          <w:iCs/>
          <w:sz w:val="24"/>
          <w:szCs w:val="24"/>
        </w:rPr>
        <w:t>three</w:t>
      </w:r>
      <w:r w:rsidR="00824868">
        <w:rPr>
          <w:rFonts w:ascii="Times New Roman" w:hAnsi="Times New Roman" w:cs="Times New Roman"/>
          <w:iCs/>
          <w:sz w:val="24"/>
          <w:szCs w:val="24"/>
        </w:rPr>
        <w:t xml:space="preserve"> policy implications. First, t</w:t>
      </w:r>
      <w:r>
        <w:rPr>
          <w:rFonts w:ascii="Times New Roman" w:hAnsi="Times New Roman" w:cs="Times New Roman"/>
          <w:iCs/>
          <w:sz w:val="24"/>
          <w:szCs w:val="24"/>
        </w:rPr>
        <w:t xml:space="preserve">he results showed that </w:t>
      </w:r>
      <w:r w:rsidRPr="00282601">
        <w:rPr>
          <w:rFonts w:ascii="Times New Roman" w:hAnsi="Times New Roman" w:cs="Times New Roman"/>
          <w:iCs/>
          <w:sz w:val="24"/>
          <w:szCs w:val="24"/>
        </w:rPr>
        <w:t xml:space="preserve">adolescents 13 years or older were significantly </w:t>
      </w:r>
      <w:r w:rsidR="00282601" w:rsidRPr="00282601">
        <w:rPr>
          <w:rFonts w:ascii="Times New Roman" w:hAnsi="Times New Roman" w:cs="Times New Roman"/>
          <w:iCs/>
          <w:sz w:val="24"/>
          <w:szCs w:val="24"/>
        </w:rPr>
        <w:t>more</w:t>
      </w:r>
      <w:r w:rsidRPr="00282601">
        <w:rPr>
          <w:rFonts w:ascii="Times New Roman" w:hAnsi="Times New Roman" w:cs="Times New Roman"/>
          <w:iCs/>
          <w:sz w:val="24"/>
          <w:szCs w:val="24"/>
        </w:rPr>
        <w:t xml:space="preserve"> likely to achieve high levels of PA than their younger counterparts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94BA5" w:rsidRPr="00A94BA5">
        <w:rPr>
          <w:rFonts w:ascii="Times New Roman" w:hAnsi="Times New Roman" w:cs="Times New Roman"/>
          <w:iCs/>
          <w:sz w:val="24"/>
          <w:szCs w:val="24"/>
        </w:rPr>
        <w:t>Therefore, intervention programs should target students during their pre-teen years to help them become physically active early</w:t>
      </w:r>
      <w:r w:rsidR="007C396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1259A">
        <w:rPr>
          <w:rFonts w:ascii="Times New Roman" w:hAnsi="Times New Roman" w:cs="Times New Roman"/>
          <w:iCs/>
          <w:sz w:val="24"/>
          <w:szCs w:val="24"/>
        </w:rPr>
        <w:t>Second</w:t>
      </w:r>
      <w:r w:rsidR="004B637D" w:rsidRPr="004B637D">
        <w:rPr>
          <w:rFonts w:ascii="Times New Roman" w:hAnsi="Times New Roman" w:cs="Times New Roman"/>
          <w:iCs/>
          <w:sz w:val="24"/>
          <w:szCs w:val="24"/>
        </w:rPr>
        <w:t xml:space="preserve">, alcohol consumption and </w:t>
      </w:r>
      <w:r w:rsidR="00B10E50">
        <w:rPr>
          <w:rFonts w:ascii="Times New Roman" w:hAnsi="Times New Roman" w:cs="Times New Roman"/>
          <w:iCs/>
          <w:sz w:val="24"/>
          <w:szCs w:val="24"/>
        </w:rPr>
        <w:t xml:space="preserve">getting into trouble due to drunkenness </w:t>
      </w:r>
      <w:r w:rsidR="004B637D" w:rsidRPr="004B637D">
        <w:rPr>
          <w:rFonts w:ascii="Times New Roman" w:hAnsi="Times New Roman" w:cs="Times New Roman"/>
          <w:iCs/>
          <w:sz w:val="24"/>
          <w:szCs w:val="24"/>
        </w:rPr>
        <w:t>significantly predicted adolescents’ abilit</w:t>
      </w:r>
      <w:r w:rsidR="00CB50B2">
        <w:rPr>
          <w:rFonts w:ascii="Times New Roman" w:hAnsi="Times New Roman" w:cs="Times New Roman"/>
          <w:iCs/>
          <w:sz w:val="24"/>
          <w:szCs w:val="24"/>
        </w:rPr>
        <w:t>y to be</w:t>
      </w:r>
      <w:r w:rsidR="004B637D" w:rsidRPr="004B637D">
        <w:rPr>
          <w:rFonts w:ascii="Times New Roman" w:hAnsi="Times New Roman" w:cs="Times New Roman"/>
          <w:iCs/>
          <w:sz w:val="24"/>
          <w:szCs w:val="24"/>
        </w:rPr>
        <w:t xml:space="preserve"> physically active. </w:t>
      </w:r>
      <w:r w:rsidR="004B637D" w:rsidRPr="00175E80">
        <w:rPr>
          <w:rFonts w:ascii="Times New Roman" w:hAnsi="Times New Roman" w:cs="Times New Roman"/>
          <w:iCs/>
          <w:sz w:val="24"/>
          <w:szCs w:val="24"/>
        </w:rPr>
        <w:t>Therefore, intervention programs should aim at delaying the age of first alcohol use to after 14 years, consistent with recommendations by [22]</w:t>
      </w:r>
      <w:r w:rsidR="00CB50B2" w:rsidRPr="00175E80">
        <w:rPr>
          <w:rFonts w:ascii="Times New Roman" w:hAnsi="Times New Roman" w:cs="Times New Roman"/>
          <w:iCs/>
          <w:sz w:val="24"/>
          <w:szCs w:val="24"/>
        </w:rPr>
        <w:t>.</w:t>
      </w:r>
      <w:r w:rsidR="00CB50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653B">
        <w:rPr>
          <w:rFonts w:ascii="Times New Roman" w:hAnsi="Times New Roman" w:cs="Times New Roman"/>
          <w:iCs/>
          <w:sz w:val="24"/>
          <w:szCs w:val="24"/>
        </w:rPr>
        <w:t>Delaying the age of first alcohol use would be particular</w:t>
      </w:r>
      <w:r w:rsidR="003157C0">
        <w:rPr>
          <w:rFonts w:ascii="Times New Roman" w:hAnsi="Times New Roman" w:cs="Times New Roman"/>
          <w:iCs/>
          <w:sz w:val="24"/>
          <w:szCs w:val="24"/>
        </w:rPr>
        <w:t xml:space="preserve">ly beneficial to </w:t>
      </w:r>
      <w:r w:rsidR="00FC653B">
        <w:rPr>
          <w:rFonts w:ascii="Times New Roman" w:hAnsi="Times New Roman" w:cs="Times New Roman"/>
          <w:iCs/>
          <w:sz w:val="24"/>
          <w:szCs w:val="24"/>
        </w:rPr>
        <w:t xml:space="preserve">males, since the prevalence of alcohol </w:t>
      </w:r>
      <w:r w:rsidR="00FC653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consumption </w:t>
      </w:r>
      <w:r w:rsidR="00EE37E4">
        <w:rPr>
          <w:rFonts w:ascii="Times New Roman" w:hAnsi="Times New Roman" w:cs="Times New Roman"/>
          <w:iCs/>
          <w:sz w:val="24"/>
          <w:szCs w:val="24"/>
        </w:rPr>
        <w:t>and drunkenness are</w:t>
      </w:r>
      <w:r w:rsidR="00FC653B">
        <w:rPr>
          <w:rFonts w:ascii="Times New Roman" w:hAnsi="Times New Roman" w:cs="Times New Roman"/>
          <w:iCs/>
          <w:sz w:val="24"/>
          <w:szCs w:val="24"/>
        </w:rPr>
        <w:t xml:space="preserve"> higher in Ghanaian </w:t>
      </w:r>
      <w:r w:rsidR="003157C0">
        <w:rPr>
          <w:rFonts w:ascii="Times New Roman" w:hAnsi="Times New Roman" w:cs="Times New Roman"/>
          <w:iCs/>
          <w:sz w:val="24"/>
          <w:szCs w:val="24"/>
        </w:rPr>
        <w:t xml:space="preserve">adolescent </w:t>
      </w:r>
      <w:r w:rsidR="00FC653B">
        <w:rPr>
          <w:rFonts w:ascii="Times New Roman" w:hAnsi="Times New Roman" w:cs="Times New Roman"/>
          <w:iCs/>
          <w:sz w:val="24"/>
          <w:szCs w:val="24"/>
        </w:rPr>
        <w:t>males than females [30].</w:t>
      </w:r>
      <w:r w:rsidR="00EE37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006E">
        <w:rPr>
          <w:rFonts w:ascii="Times New Roman" w:hAnsi="Times New Roman" w:cs="Times New Roman"/>
          <w:iCs/>
          <w:sz w:val="24"/>
          <w:szCs w:val="24"/>
        </w:rPr>
        <w:t>Finally</w:t>
      </w:r>
      <w:r w:rsidR="00824868">
        <w:rPr>
          <w:rFonts w:ascii="Times New Roman" w:hAnsi="Times New Roman" w:cs="Times New Roman"/>
          <w:iCs/>
          <w:sz w:val="24"/>
          <w:szCs w:val="24"/>
        </w:rPr>
        <w:t xml:space="preserve">, to be effective, interventions intended to increase adolescents’ PA levels should be multi-faceted. </w:t>
      </w:r>
      <w:r w:rsidR="00470A33">
        <w:rPr>
          <w:rFonts w:ascii="Times New Roman" w:hAnsi="Times New Roman" w:cs="Times New Roman"/>
          <w:iCs/>
          <w:sz w:val="24"/>
          <w:szCs w:val="24"/>
        </w:rPr>
        <w:t xml:space="preserve">The findings that the number of times </w:t>
      </w:r>
      <w:r w:rsidR="001706F6">
        <w:rPr>
          <w:rFonts w:ascii="Times New Roman" w:hAnsi="Times New Roman" w:cs="Times New Roman"/>
          <w:iCs/>
          <w:sz w:val="24"/>
          <w:szCs w:val="24"/>
        </w:rPr>
        <w:t xml:space="preserve">being </w:t>
      </w:r>
      <w:r w:rsidR="00470A33">
        <w:rPr>
          <w:rFonts w:ascii="Times New Roman" w:hAnsi="Times New Roman" w:cs="Times New Roman"/>
          <w:iCs/>
          <w:sz w:val="24"/>
          <w:szCs w:val="24"/>
        </w:rPr>
        <w:t xml:space="preserve">drunk and the number of times adolescents got into troubles due to drunkenness significantly predicted PA levels support this assertion. </w:t>
      </w:r>
      <w:r w:rsidR="0003006E">
        <w:rPr>
          <w:rFonts w:ascii="Times New Roman" w:hAnsi="Times New Roman" w:cs="Times New Roman"/>
          <w:iCs/>
          <w:sz w:val="24"/>
          <w:szCs w:val="24"/>
        </w:rPr>
        <w:t>Thus, r</w:t>
      </w:r>
      <w:bookmarkStart w:id="0" w:name="_GoBack"/>
      <w:bookmarkEnd w:id="0"/>
      <w:r w:rsidR="00470A33">
        <w:rPr>
          <w:rFonts w:ascii="Times New Roman" w:hAnsi="Times New Roman" w:cs="Times New Roman"/>
          <w:iCs/>
          <w:sz w:val="24"/>
          <w:szCs w:val="24"/>
        </w:rPr>
        <w:t>ather than focusing solely on physical fitness components, PA intervention programs should incorporate education on alcohol consumption</w:t>
      </w:r>
      <w:r w:rsidR="00E6215A">
        <w:rPr>
          <w:rFonts w:ascii="Times New Roman" w:hAnsi="Times New Roman" w:cs="Times New Roman"/>
          <w:iCs/>
          <w:sz w:val="24"/>
          <w:szCs w:val="24"/>
        </w:rPr>
        <w:t xml:space="preserve"> and other risk factors</w:t>
      </w:r>
      <w:r w:rsidR="00470A3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81726" w:rsidRDefault="00481726" w:rsidP="00F52644">
      <w:pPr>
        <w:rPr>
          <w:rFonts w:ascii="NewBaskerville-Roman" w:hAnsi="NewBaskerville-Roman" w:cs="NewBaskerville-Roman"/>
          <w:b/>
          <w:sz w:val="30"/>
          <w:szCs w:val="30"/>
        </w:rPr>
      </w:pPr>
    </w:p>
    <w:p w:rsidR="00F52644" w:rsidRPr="000B2EEA" w:rsidRDefault="00F52644" w:rsidP="00F52644">
      <w:pPr>
        <w:rPr>
          <w:rFonts w:ascii="NewBaskerville-Roman" w:hAnsi="NewBaskerville-Roman" w:cs="NewBaskerville-Roman"/>
          <w:b/>
          <w:sz w:val="30"/>
          <w:szCs w:val="30"/>
        </w:rPr>
      </w:pPr>
      <w:r w:rsidRPr="000B2EEA">
        <w:rPr>
          <w:rFonts w:ascii="NewBaskerville-Roman" w:hAnsi="NewBaskerville-Roman" w:cs="NewBaskerville-Roman"/>
          <w:b/>
          <w:sz w:val="30"/>
          <w:szCs w:val="30"/>
        </w:rPr>
        <w:t xml:space="preserve">References </w:t>
      </w:r>
    </w:p>
    <w:p w:rsidR="00F52644" w:rsidRPr="000F7CBA" w:rsidRDefault="00F52644" w:rsidP="000F7CBA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ab/>
      </w:r>
      <w:r w:rsidRPr="007A6480">
        <w:rPr>
          <w:rFonts w:ascii="Times New Roman" w:hAnsi="Times New Roman" w:cs="Times New Roman"/>
          <w:iCs/>
          <w:sz w:val="24"/>
          <w:szCs w:val="24"/>
        </w:rPr>
        <w:t xml:space="preserve">Schultz, P. T. (1999). </w:t>
      </w:r>
      <w:r w:rsidRPr="007A6480">
        <w:rPr>
          <w:rFonts w:ascii="Times New Roman" w:hAnsi="Times New Roman" w:cs="Times New Roman"/>
          <w:bCs/>
          <w:sz w:val="24"/>
          <w:szCs w:val="24"/>
        </w:rPr>
        <w:t xml:space="preserve">Health and schooling investments in Africa. </w:t>
      </w:r>
      <w:r w:rsidRPr="007A6480">
        <w:rPr>
          <w:rFonts w:ascii="Times New Roman" w:hAnsi="Times New Roman" w:cs="Times New Roman"/>
          <w:i/>
          <w:iCs/>
          <w:sz w:val="24"/>
          <w:szCs w:val="24"/>
        </w:rPr>
        <w:t>Journal of Economic Perspectives, 13(3), 67–88.</w:t>
      </w:r>
    </w:p>
    <w:p w:rsidR="00F52644" w:rsidRPr="007A4E4E" w:rsidRDefault="00F52644" w:rsidP="003D21E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816D2">
        <w:rPr>
          <w:rFonts w:ascii="Times New Roman" w:hAnsi="Times New Roman" w:cs="Times New Roman"/>
          <w:sz w:val="24"/>
          <w:szCs w:val="24"/>
        </w:rPr>
        <w:t>[2]</w:t>
      </w:r>
      <w:r w:rsidRPr="003816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WHO (2004).</w:t>
      </w:r>
      <w:r w:rsidRPr="003816D2">
        <w:rPr>
          <w:rFonts w:ascii="Times New Roman" w:hAnsi="Times New Roman" w:cs="Times New Roman"/>
          <w:sz w:val="24"/>
          <w:szCs w:val="24"/>
        </w:rPr>
        <w:t xml:space="preserve"> </w:t>
      </w:r>
      <w:r w:rsidRPr="003816D2">
        <w:rPr>
          <w:rFonts w:ascii="Times New Roman" w:hAnsi="Times New Roman" w:cs="Times New Roman"/>
          <w:bCs/>
          <w:sz w:val="24"/>
          <w:szCs w:val="24"/>
        </w:rPr>
        <w:t>Global strategy on diet, physical activity and health.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6D2">
        <w:rPr>
          <w:rFonts w:ascii="Times New Roman" w:hAnsi="Times New Roman" w:cs="Times New Roman"/>
          <w:sz w:val="24"/>
          <w:szCs w:val="24"/>
        </w:rPr>
        <w:t xml:space="preserve">Geneva: </w:t>
      </w:r>
      <w:r>
        <w:rPr>
          <w:rFonts w:ascii="Times New Roman" w:hAnsi="Times New Roman" w:cs="Times New Roman"/>
          <w:sz w:val="24"/>
          <w:szCs w:val="24"/>
        </w:rPr>
        <w:t>World Health Organization.</w:t>
      </w:r>
    </w:p>
    <w:p w:rsidR="00F52644" w:rsidRPr="000F7CBA" w:rsidRDefault="00F52644" w:rsidP="000F7CBA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[3]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ab/>
      </w:r>
      <w:r w:rsidRPr="003816D2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WHO (2014). Global status report on communicable diseases. Geneva: </w:t>
      </w:r>
      <w:r>
        <w:rPr>
          <w:rFonts w:ascii="Times New Roman" w:hAnsi="Times New Roman" w:cs="Times New Roman"/>
          <w:sz w:val="24"/>
          <w:szCs w:val="24"/>
        </w:rPr>
        <w:t>World Health Organization.</w:t>
      </w:r>
    </w:p>
    <w:p w:rsidR="00F52644" w:rsidRDefault="00F52644" w:rsidP="000F7CBA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[4]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ab/>
      </w:r>
      <w:proofErr w:type="spellStart"/>
      <w:r w:rsidRPr="009A136E">
        <w:rPr>
          <w:rFonts w:ascii="Times New Roman" w:hAnsi="Times New Roman" w:cs="Times New Roman"/>
          <w:iCs/>
          <w:sz w:val="24"/>
          <w:szCs w:val="24"/>
        </w:rPr>
        <w:t>Patay</w:t>
      </w:r>
      <w:proofErr w:type="spellEnd"/>
      <w:r w:rsidRPr="009A136E">
        <w:rPr>
          <w:rFonts w:ascii="Times New Roman" w:hAnsi="Times New Roman" w:cs="Times New Roman"/>
          <w:iCs/>
          <w:sz w:val="24"/>
          <w:szCs w:val="24"/>
        </w:rPr>
        <w:t xml:space="preserve">, M. E., Patton, K., Parker, M., Fahey, K., &amp; Sinclair, C. (2015). </w:t>
      </w:r>
      <w:r w:rsidRPr="009A136E">
        <w:rPr>
          <w:rFonts w:ascii="Times New Roman" w:hAnsi="Times New Roman" w:cs="Times New Roman"/>
          <w:bCs/>
          <w:sz w:val="24"/>
          <w:szCs w:val="24"/>
        </w:rPr>
        <w:t xml:space="preserve">Understanding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9A136E">
        <w:rPr>
          <w:rFonts w:ascii="Times New Roman" w:hAnsi="Times New Roman" w:cs="Times New Roman"/>
          <w:bCs/>
          <w:sz w:val="24"/>
          <w:szCs w:val="24"/>
        </w:rPr>
        <w:t>otivators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barriers to physical a</w:t>
      </w:r>
      <w:r w:rsidRPr="009A136E">
        <w:rPr>
          <w:rFonts w:ascii="Times New Roman" w:hAnsi="Times New Roman" w:cs="Times New Roman"/>
          <w:bCs/>
          <w:sz w:val="24"/>
          <w:szCs w:val="24"/>
        </w:rPr>
        <w:t xml:space="preserve">ctivity. </w:t>
      </w:r>
      <w:r w:rsidRPr="009A136E">
        <w:rPr>
          <w:rFonts w:ascii="Times New Roman" w:eastAsia="MinionPro-Regular" w:hAnsi="Times New Roman" w:cs="Times New Roman"/>
          <w:i/>
          <w:sz w:val="24"/>
          <w:szCs w:val="24"/>
        </w:rPr>
        <w:t>The Physical Educator, 72,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9A136E">
        <w:rPr>
          <w:rFonts w:ascii="Times New Roman" w:eastAsia="MinionPro-Regular" w:hAnsi="Times New Roman" w:cs="Times New Roman"/>
          <w:sz w:val="24"/>
          <w:szCs w:val="24"/>
        </w:rPr>
        <w:t>496–</w:t>
      </w:r>
      <w:r>
        <w:rPr>
          <w:rFonts w:ascii="Times New Roman" w:eastAsia="MinionPro-Regular" w:hAnsi="Times New Roman" w:cs="Times New Roman"/>
          <w:sz w:val="24"/>
          <w:szCs w:val="24"/>
        </w:rPr>
        <w:t>517.</w:t>
      </w:r>
    </w:p>
    <w:p w:rsidR="00F52644" w:rsidRPr="00FA707A" w:rsidRDefault="00F52644" w:rsidP="000F7CBA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ab/>
      </w:r>
      <w:r w:rsidRPr="002428CC">
        <w:rPr>
          <w:rFonts w:ascii="Times New Roman" w:hAnsi="Times New Roman" w:cs="Times New Roman"/>
          <w:sz w:val="24"/>
          <w:szCs w:val="24"/>
        </w:rPr>
        <w:t xml:space="preserve">Campbell T, Campbell A. (2007). </w:t>
      </w:r>
      <w:r w:rsidRPr="002428CC">
        <w:rPr>
          <w:rFonts w:ascii="Times New Roman" w:hAnsi="Times New Roman" w:cs="Times New Roman"/>
          <w:bCs/>
          <w:sz w:val="24"/>
          <w:szCs w:val="24"/>
        </w:rPr>
        <w:t xml:space="preserve">Emerging disease burdens and the poor in cities of the developing world. </w:t>
      </w:r>
      <w:r w:rsidRPr="002428CC">
        <w:rPr>
          <w:rFonts w:ascii="Times New Roman" w:hAnsi="Times New Roman" w:cs="Times New Roman"/>
          <w:i/>
          <w:iCs/>
          <w:sz w:val="24"/>
          <w:szCs w:val="24"/>
        </w:rPr>
        <w:t xml:space="preserve">Journal of Urban Health </w:t>
      </w:r>
      <w:r w:rsidRPr="002428CC">
        <w:rPr>
          <w:rFonts w:ascii="Times New Roman" w:hAnsi="Times New Roman" w:cs="Times New Roman"/>
          <w:sz w:val="24"/>
          <w:szCs w:val="24"/>
        </w:rPr>
        <w:t xml:space="preserve">2007, </w:t>
      </w:r>
      <w:r w:rsidR="008F4727">
        <w:rPr>
          <w:rFonts w:ascii="Times New Roman" w:hAnsi="Times New Roman" w:cs="Times New Roman"/>
          <w:bCs/>
          <w:sz w:val="24"/>
          <w:szCs w:val="24"/>
        </w:rPr>
        <w:t xml:space="preserve">84(3 </w:t>
      </w:r>
      <w:proofErr w:type="spellStart"/>
      <w:r w:rsidRPr="002428CC">
        <w:rPr>
          <w:rFonts w:ascii="Times New Roman" w:hAnsi="Times New Roman" w:cs="Times New Roman"/>
          <w:bCs/>
          <w:sz w:val="24"/>
          <w:szCs w:val="24"/>
        </w:rPr>
        <w:t>Suppl</w:t>
      </w:r>
      <w:proofErr w:type="spellEnd"/>
      <w:proofErr w:type="gramStart"/>
      <w:r w:rsidRPr="002428CC">
        <w:rPr>
          <w:rFonts w:ascii="Times New Roman" w:hAnsi="Times New Roman" w:cs="Times New Roman"/>
          <w:bCs/>
          <w:sz w:val="24"/>
          <w:szCs w:val="24"/>
        </w:rPr>
        <w:t>):</w:t>
      </w:r>
      <w:r w:rsidRPr="002428C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428CC">
        <w:rPr>
          <w:rFonts w:ascii="Times New Roman" w:hAnsi="Times New Roman" w:cs="Times New Roman"/>
          <w:sz w:val="24"/>
          <w:szCs w:val="24"/>
        </w:rPr>
        <w:t>54-64. DOI: 10.1007/s11524-007-9181-7</w:t>
      </w:r>
    </w:p>
    <w:p w:rsidR="00F52644" w:rsidRPr="00582D76" w:rsidRDefault="00F52644" w:rsidP="003D21E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707A">
        <w:rPr>
          <w:rFonts w:ascii="Times New Roman" w:eastAsia="MinionPro-Regular" w:hAnsi="Times New Roman"/>
          <w:color w:val="000000"/>
          <w:sz w:val="24"/>
          <w:szCs w:val="24"/>
        </w:rPr>
        <w:t>[6]</w:t>
      </w:r>
      <w:r w:rsidRPr="00FA707A">
        <w:rPr>
          <w:rFonts w:ascii="Times New Roman" w:eastAsia="MinionPro-Regular" w:hAnsi="Times New Roman"/>
          <w:color w:val="000000"/>
          <w:sz w:val="24"/>
          <w:szCs w:val="24"/>
        </w:rPr>
        <w:tab/>
      </w:r>
      <w:proofErr w:type="spellStart"/>
      <w:r w:rsidRPr="007A6480">
        <w:rPr>
          <w:rFonts w:ascii="Times New Roman" w:hAnsi="Times New Roman" w:cs="Times New Roman"/>
          <w:bCs/>
          <w:sz w:val="24"/>
          <w:szCs w:val="24"/>
        </w:rPr>
        <w:t>Ofori-Asenso</w:t>
      </w:r>
      <w:proofErr w:type="spellEnd"/>
      <w:r w:rsidRPr="007A6480">
        <w:rPr>
          <w:rFonts w:ascii="Times New Roman" w:hAnsi="Times New Roman" w:cs="Times New Roman"/>
          <w:bCs/>
          <w:sz w:val="24"/>
          <w:szCs w:val="24"/>
        </w:rPr>
        <w:t xml:space="preserve">, R., &amp; Garcia, D. (2016). </w:t>
      </w:r>
      <w:r w:rsidRPr="007A6480">
        <w:rPr>
          <w:rFonts w:ascii="Times New Roman" w:hAnsi="Times New Roman" w:cs="Times New Roman"/>
          <w:sz w:val="24"/>
          <w:szCs w:val="24"/>
        </w:rPr>
        <w:t xml:space="preserve">Cardiovascular diseases in Ghana within the context of globalization. </w:t>
      </w:r>
      <w:r w:rsidRPr="007A6480">
        <w:rPr>
          <w:rFonts w:ascii="Times New Roman" w:hAnsi="Times New Roman" w:cs="Times New Roman"/>
          <w:i/>
          <w:sz w:val="24"/>
          <w:szCs w:val="24"/>
        </w:rPr>
        <w:t>Cardiovascular Diagnosis and Therapy, 6</w:t>
      </w:r>
      <w:r w:rsidRPr="007A6480">
        <w:rPr>
          <w:rFonts w:ascii="Times New Roman" w:hAnsi="Times New Roman" w:cs="Times New Roman"/>
          <w:sz w:val="24"/>
          <w:szCs w:val="24"/>
        </w:rPr>
        <w:t>(1):67-77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644" w:rsidRPr="000F7CBA" w:rsidRDefault="00F52644" w:rsidP="000F7CBA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[7]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ab/>
      </w:r>
      <w:r w:rsidRPr="00FA707A">
        <w:rPr>
          <w:rFonts w:ascii="Times New Roman" w:hAnsi="Times New Roman"/>
          <w:sz w:val="24"/>
          <w:szCs w:val="24"/>
        </w:rPr>
        <w:t xml:space="preserve">Janssen, I., </w:t>
      </w:r>
      <w:proofErr w:type="spellStart"/>
      <w:r w:rsidRPr="00FA707A">
        <w:rPr>
          <w:rFonts w:ascii="Times New Roman" w:hAnsi="Times New Roman"/>
          <w:sz w:val="24"/>
          <w:szCs w:val="24"/>
        </w:rPr>
        <w:t>Katzmarzyk</w:t>
      </w:r>
      <w:proofErr w:type="spellEnd"/>
      <w:r w:rsidRPr="00FA707A">
        <w:rPr>
          <w:rFonts w:ascii="Times New Roman" w:hAnsi="Times New Roman"/>
          <w:sz w:val="24"/>
          <w:szCs w:val="24"/>
        </w:rPr>
        <w:t xml:space="preserve">, P. T., Boyce, W. F., </w:t>
      </w:r>
      <w:proofErr w:type="spellStart"/>
      <w:r w:rsidRPr="00FA707A">
        <w:rPr>
          <w:rFonts w:ascii="Times New Roman" w:hAnsi="Times New Roman"/>
          <w:sz w:val="24"/>
          <w:szCs w:val="24"/>
        </w:rPr>
        <w:t>Vereecken</w:t>
      </w:r>
      <w:proofErr w:type="spellEnd"/>
      <w:r w:rsidRPr="00FA707A">
        <w:rPr>
          <w:rFonts w:ascii="Times New Roman" w:hAnsi="Times New Roman"/>
          <w:sz w:val="24"/>
          <w:szCs w:val="24"/>
        </w:rPr>
        <w:t xml:space="preserve">, C, </w:t>
      </w:r>
      <w:proofErr w:type="spellStart"/>
      <w:r w:rsidRPr="00FA707A">
        <w:rPr>
          <w:rFonts w:ascii="Times New Roman" w:hAnsi="Times New Roman"/>
          <w:sz w:val="24"/>
          <w:szCs w:val="24"/>
        </w:rPr>
        <w:t>Mulvihill</w:t>
      </w:r>
      <w:proofErr w:type="spellEnd"/>
      <w:r w:rsidRPr="00FA707A">
        <w:rPr>
          <w:rFonts w:ascii="Times New Roman" w:hAnsi="Times New Roman"/>
          <w:sz w:val="24"/>
          <w:szCs w:val="24"/>
        </w:rPr>
        <w:t>, C., Roberts, C., Currie, C., Pickett, W. (2005)</w:t>
      </w:r>
      <w:r w:rsidR="006D623B">
        <w:rPr>
          <w:rFonts w:ascii="Times New Roman" w:hAnsi="Times New Roman"/>
          <w:sz w:val="24"/>
          <w:szCs w:val="24"/>
        </w:rPr>
        <w:t>.</w:t>
      </w:r>
      <w:r w:rsidRPr="00FA707A">
        <w:rPr>
          <w:rFonts w:ascii="Times New Roman" w:hAnsi="Times New Roman"/>
          <w:sz w:val="24"/>
          <w:szCs w:val="24"/>
        </w:rPr>
        <w:t xml:space="preserve"> Comparison of overweight and obesity prevalence in school-aged youth from 34 countries and their relationships with physical activity and dietary patterns. </w:t>
      </w:r>
      <w:r w:rsidRPr="00FA707A">
        <w:rPr>
          <w:rFonts w:ascii="Times New Roman" w:hAnsi="Times New Roman"/>
          <w:i/>
          <w:iCs/>
          <w:sz w:val="24"/>
          <w:szCs w:val="24"/>
        </w:rPr>
        <w:t xml:space="preserve">Obesity Review, </w:t>
      </w:r>
      <w:r w:rsidRPr="00FA707A">
        <w:rPr>
          <w:rFonts w:ascii="Times New Roman" w:hAnsi="Times New Roman"/>
          <w:sz w:val="24"/>
          <w:szCs w:val="24"/>
        </w:rPr>
        <w:t>6(2): 123-132.</w:t>
      </w:r>
    </w:p>
    <w:p w:rsidR="00F52644" w:rsidRPr="00411FA6" w:rsidRDefault="00F52644" w:rsidP="003D21E2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[8]</w:t>
      </w:r>
      <w:r>
        <w:rPr>
          <w:rFonts w:ascii="Times New Roman" w:hAnsi="Times New Roman"/>
          <w:sz w:val="24"/>
          <w:szCs w:val="24"/>
        </w:rPr>
        <w:tab/>
        <w:t>Ghana Education Service (2012). School health education programme policy guidelines. Accra: Ghana Education Service.</w:t>
      </w:r>
    </w:p>
    <w:p w:rsidR="00F52644" w:rsidRPr="000F7CBA" w:rsidRDefault="00F52644" w:rsidP="000F7CBA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[9]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ab/>
      </w:r>
      <w:proofErr w:type="spellStart"/>
      <w:r w:rsidR="000F7CBA">
        <w:rPr>
          <w:rFonts w:ascii="Times New Roman" w:hAnsi="Times New Roman"/>
          <w:sz w:val="24"/>
          <w:szCs w:val="24"/>
        </w:rPr>
        <w:t>Ocansey</w:t>
      </w:r>
      <w:proofErr w:type="spellEnd"/>
      <w:r w:rsidR="000F7CBA">
        <w:rPr>
          <w:rFonts w:ascii="Times New Roman" w:hAnsi="Times New Roman"/>
          <w:sz w:val="24"/>
          <w:szCs w:val="24"/>
        </w:rPr>
        <w:t xml:space="preserve"> R, </w:t>
      </w:r>
      <w:proofErr w:type="spellStart"/>
      <w:r w:rsidR="000F7CBA">
        <w:rPr>
          <w:rFonts w:ascii="Times New Roman" w:hAnsi="Times New Roman"/>
          <w:sz w:val="24"/>
          <w:szCs w:val="24"/>
        </w:rPr>
        <w:t>Sofo</w:t>
      </w:r>
      <w:proofErr w:type="spellEnd"/>
      <w:r w:rsidR="000F7CBA">
        <w:rPr>
          <w:rFonts w:ascii="Times New Roman" w:hAnsi="Times New Roman"/>
          <w:sz w:val="24"/>
          <w:szCs w:val="24"/>
        </w:rPr>
        <w:t xml:space="preserve">, </w:t>
      </w:r>
      <w:r w:rsidRPr="00411FA6">
        <w:rPr>
          <w:rFonts w:ascii="Times New Roman" w:hAnsi="Times New Roman"/>
          <w:sz w:val="24"/>
          <w:szCs w:val="24"/>
        </w:rPr>
        <w:t xml:space="preserve">S, </w:t>
      </w:r>
      <w:proofErr w:type="spellStart"/>
      <w:r w:rsidRPr="00411FA6">
        <w:rPr>
          <w:rFonts w:ascii="Times New Roman" w:hAnsi="Times New Roman"/>
          <w:sz w:val="24"/>
          <w:szCs w:val="24"/>
        </w:rPr>
        <w:t>Jatong</w:t>
      </w:r>
      <w:proofErr w:type="spellEnd"/>
      <w:r w:rsidRPr="00411FA6">
        <w:rPr>
          <w:rFonts w:ascii="Times New Roman" w:hAnsi="Times New Roman"/>
          <w:sz w:val="24"/>
          <w:szCs w:val="24"/>
        </w:rPr>
        <w:t xml:space="preserve"> J. </w:t>
      </w:r>
      <w:r>
        <w:rPr>
          <w:rFonts w:ascii="Times New Roman" w:hAnsi="Times New Roman"/>
          <w:sz w:val="24"/>
          <w:szCs w:val="24"/>
        </w:rPr>
        <w:t>(</w:t>
      </w:r>
      <w:r w:rsidRPr="00411FA6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411FA6">
        <w:rPr>
          <w:rFonts w:ascii="Times New Roman" w:hAnsi="Times New Roman"/>
          <w:sz w:val="24"/>
          <w:szCs w:val="24"/>
        </w:rPr>
        <w:t>Physical education and after-</w:t>
      </w:r>
      <w:r>
        <w:rPr>
          <w:rFonts w:ascii="Times New Roman" w:hAnsi="Times New Roman"/>
          <w:sz w:val="24"/>
          <w:szCs w:val="24"/>
        </w:rPr>
        <w:t xml:space="preserve">school sport programs in Ghana: </w:t>
      </w:r>
      <w:r w:rsidRPr="00411FA6">
        <w:rPr>
          <w:rFonts w:ascii="Times New Roman" w:hAnsi="Times New Roman"/>
          <w:sz w:val="24"/>
          <w:szCs w:val="24"/>
        </w:rPr>
        <w:t>The role of pu</w:t>
      </w:r>
      <w:r>
        <w:rPr>
          <w:rFonts w:ascii="Times New Roman" w:hAnsi="Times New Roman"/>
          <w:sz w:val="24"/>
          <w:szCs w:val="24"/>
        </w:rPr>
        <w:t>blic and private structures. In</w:t>
      </w:r>
      <w:r w:rsidRPr="00411FA6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1FA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411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FA6">
        <w:rPr>
          <w:rFonts w:ascii="Times New Roman" w:hAnsi="Times New Roman"/>
          <w:sz w:val="24"/>
          <w:szCs w:val="24"/>
        </w:rPr>
        <w:t>Chepyator</w:t>
      </w:r>
      <w:proofErr w:type="spellEnd"/>
      <w:r w:rsidRPr="00411FA6">
        <w:rPr>
          <w:rFonts w:ascii="Times New Roman" w:hAnsi="Times New Roman"/>
          <w:sz w:val="24"/>
          <w:szCs w:val="24"/>
        </w:rPr>
        <w:t xml:space="preserve">-Thomson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411F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Pr="00411FA6">
        <w:rPr>
          <w:rFonts w:ascii="Times New Roman" w:hAnsi="Times New Roman"/>
          <w:sz w:val="24"/>
          <w:szCs w:val="24"/>
        </w:rPr>
        <w:t xml:space="preserve">, Hsu </w:t>
      </w:r>
      <w:r>
        <w:rPr>
          <w:rFonts w:ascii="Times New Roman" w:hAnsi="Times New Roman"/>
          <w:sz w:val="24"/>
          <w:szCs w:val="24"/>
        </w:rPr>
        <w:t>(</w:t>
      </w:r>
      <w:r w:rsidRPr="00411FA6">
        <w:rPr>
          <w:rFonts w:ascii="Times New Roman" w:hAnsi="Times New Roman"/>
          <w:sz w:val="24"/>
          <w:szCs w:val="24"/>
        </w:rPr>
        <w:t>eds.</w:t>
      </w:r>
      <w:r>
        <w:rPr>
          <w:rFonts w:ascii="Times New Roman" w:hAnsi="Times New Roman"/>
          <w:sz w:val="24"/>
          <w:szCs w:val="24"/>
        </w:rPr>
        <w:t>),</w:t>
      </w:r>
      <w:r w:rsidRPr="00411FA6">
        <w:rPr>
          <w:rFonts w:ascii="Times New Roman" w:hAnsi="Times New Roman"/>
          <w:sz w:val="24"/>
          <w:szCs w:val="24"/>
        </w:rPr>
        <w:t xml:space="preserve"> </w:t>
      </w:r>
      <w:r w:rsidRPr="00411FA6">
        <w:rPr>
          <w:rFonts w:ascii="Times New Roman" w:hAnsi="Times New Roman"/>
          <w:i/>
          <w:sz w:val="24"/>
          <w:szCs w:val="24"/>
        </w:rPr>
        <w:t>Global perspectives on physical education and after-school sports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41C32">
        <w:rPr>
          <w:rFonts w:ascii="Times New Roman" w:hAnsi="Times New Roman"/>
          <w:sz w:val="24"/>
          <w:szCs w:val="24"/>
        </w:rPr>
        <w:t>(pp.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1FA6">
        <w:rPr>
          <w:rFonts w:ascii="Times New Roman" w:hAnsi="Times New Roman"/>
          <w:sz w:val="24"/>
          <w:szCs w:val="24"/>
        </w:rPr>
        <w:t>13-35.</w:t>
      </w:r>
      <w:r>
        <w:rPr>
          <w:rFonts w:ascii="Times New Roman" w:hAnsi="Times New Roman"/>
          <w:i/>
          <w:sz w:val="24"/>
          <w:szCs w:val="24"/>
        </w:rPr>
        <w:t>)</w:t>
      </w:r>
      <w:r w:rsidRPr="00411FA6">
        <w:rPr>
          <w:rFonts w:ascii="Times New Roman" w:hAnsi="Times New Roman"/>
          <w:sz w:val="24"/>
          <w:szCs w:val="24"/>
        </w:rPr>
        <w:t xml:space="preserve">. Lanham, </w:t>
      </w:r>
      <w:r>
        <w:rPr>
          <w:rFonts w:ascii="Times New Roman" w:hAnsi="Times New Roman"/>
          <w:sz w:val="24"/>
          <w:szCs w:val="24"/>
        </w:rPr>
        <w:t>MD: University Press of America.</w:t>
      </w:r>
    </w:p>
    <w:p w:rsidR="00F52644" w:rsidRDefault="00F52644" w:rsidP="000F7CBA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lastRenderedPageBreak/>
        <w:t>[10]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ab/>
      </w:r>
      <w:proofErr w:type="spellStart"/>
      <w:r w:rsidRPr="00EA1547">
        <w:rPr>
          <w:rFonts w:ascii="Times New Roman" w:hAnsi="Times New Roman" w:cs="Times New Roman"/>
          <w:bCs/>
          <w:sz w:val="24"/>
          <w:szCs w:val="24"/>
        </w:rPr>
        <w:t>Oc</w:t>
      </w:r>
      <w:r w:rsidR="000F7CBA">
        <w:rPr>
          <w:rFonts w:ascii="Times New Roman" w:hAnsi="Times New Roman" w:cs="Times New Roman"/>
          <w:bCs/>
          <w:sz w:val="24"/>
          <w:szCs w:val="24"/>
        </w:rPr>
        <w:t>ansey</w:t>
      </w:r>
      <w:proofErr w:type="spellEnd"/>
      <w:r w:rsidR="000F7CBA">
        <w:rPr>
          <w:rFonts w:ascii="Times New Roman" w:hAnsi="Times New Roman" w:cs="Times New Roman"/>
          <w:bCs/>
          <w:sz w:val="24"/>
          <w:szCs w:val="24"/>
        </w:rPr>
        <w:t xml:space="preserve">, R., </w:t>
      </w:r>
      <w:proofErr w:type="spellStart"/>
      <w:r w:rsidR="000F7CBA">
        <w:rPr>
          <w:rFonts w:ascii="Times New Roman" w:hAnsi="Times New Roman" w:cs="Times New Roman"/>
          <w:bCs/>
          <w:sz w:val="24"/>
          <w:szCs w:val="24"/>
        </w:rPr>
        <w:t>Aryeetey</w:t>
      </w:r>
      <w:proofErr w:type="spellEnd"/>
      <w:r w:rsidR="000F7CBA">
        <w:rPr>
          <w:rFonts w:ascii="Times New Roman" w:hAnsi="Times New Roman" w:cs="Times New Roman"/>
          <w:bCs/>
          <w:sz w:val="24"/>
          <w:szCs w:val="24"/>
        </w:rPr>
        <w:t xml:space="preserve">, R., </w:t>
      </w:r>
      <w:r w:rsidRPr="00EA1547">
        <w:rPr>
          <w:rFonts w:ascii="Times New Roman" w:hAnsi="Times New Roman" w:cs="Times New Roman"/>
          <w:bCs/>
          <w:sz w:val="24"/>
          <w:szCs w:val="24"/>
        </w:rPr>
        <w:t xml:space="preserve">Sofo, </w:t>
      </w:r>
      <w:r w:rsidR="000F7CBA">
        <w:rPr>
          <w:rFonts w:ascii="Times New Roman" w:hAnsi="Times New Roman" w:cs="Times New Roman"/>
          <w:bCs/>
          <w:sz w:val="24"/>
          <w:szCs w:val="24"/>
        </w:rPr>
        <w:t xml:space="preserve">S., </w:t>
      </w:r>
      <w:proofErr w:type="spellStart"/>
      <w:r w:rsidRPr="00EA1547">
        <w:rPr>
          <w:rFonts w:ascii="Times New Roman" w:hAnsi="Times New Roman" w:cs="Times New Roman"/>
          <w:bCs/>
          <w:sz w:val="24"/>
          <w:szCs w:val="24"/>
        </w:rPr>
        <w:t>Delali</w:t>
      </w:r>
      <w:proofErr w:type="spellEnd"/>
      <w:r w:rsidRPr="00EA15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7CBA">
        <w:rPr>
          <w:rFonts w:ascii="Times New Roman" w:hAnsi="Times New Roman" w:cs="Times New Roman"/>
          <w:bCs/>
          <w:sz w:val="24"/>
          <w:szCs w:val="24"/>
        </w:rPr>
        <w:t xml:space="preserve">M. B., </w:t>
      </w:r>
      <w:proofErr w:type="spellStart"/>
      <w:r w:rsidRPr="00EA1547">
        <w:rPr>
          <w:rFonts w:ascii="Times New Roman" w:hAnsi="Times New Roman" w:cs="Times New Roman"/>
          <w:bCs/>
          <w:sz w:val="24"/>
          <w:szCs w:val="24"/>
        </w:rPr>
        <w:t>Pambo</w:t>
      </w:r>
      <w:proofErr w:type="spellEnd"/>
      <w:r w:rsidRPr="00EA15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7CBA">
        <w:rPr>
          <w:rFonts w:ascii="Times New Roman" w:hAnsi="Times New Roman" w:cs="Times New Roman"/>
          <w:bCs/>
          <w:sz w:val="24"/>
          <w:szCs w:val="24"/>
        </w:rPr>
        <w:t xml:space="preserve">P., &amp; </w:t>
      </w:r>
      <w:proofErr w:type="spellStart"/>
      <w:r w:rsidRPr="00EA1547">
        <w:rPr>
          <w:rFonts w:ascii="Times New Roman" w:hAnsi="Times New Roman" w:cs="Times New Roman"/>
          <w:bCs/>
          <w:sz w:val="24"/>
          <w:szCs w:val="24"/>
        </w:rPr>
        <w:t>Nyawornota</w:t>
      </w:r>
      <w:proofErr w:type="spellEnd"/>
      <w:r w:rsidR="000F7CBA">
        <w:rPr>
          <w:rFonts w:ascii="Times New Roman" w:hAnsi="Times New Roman" w:cs="Times New Roman"/>
          <w:bCs/>
          <w:sz w:val="24"/>
          <w:szCs w:val="24"/>
        </w:rPr>
        <w:t>, V. K.</w:t>
      </w:r>
      <w:r w:rsidRPr="00EA1547">
        <w:rPr>
          <w:rFonts w:ascii="Times New Roman" w:hAnsi="Times New Roman" w:cs="Times New Roman"/>
          <w:bCs/>
          <w:sz w:val="24"/>
          <w:szCs w:val="24"/>
        </w:rPr>
        <w:t xml:space="preserve"> (2014). Results from Ghana’s 2014 report card on physical activity for children and youth.</w:t>
      </w:r>
      <w:r w:rsidRPr="00EA1547">
        <w:rPr>
          <w:rFonts w:ascii="Times New Roman" w:hAnsi="Times New Roman" w:cs="Times New Roman"/>
          <w:i/>
          <w:iCs/>
          <w:sz w:val="24"/>
          <w:szCs w:val="24"/>
        </w:rPr>
        <w:t xml:space="preserve"> Journal 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 Physical Activity and Health, </w:t>
      </w:r>
      <w:r w:rsidRPr="00EA1547">
        <w:rPr>
          <w:rFonts w:ascii="Times New Roman" w:hAnsi="Times New Roman" w:cs="Times New Roman"/>
          <w:i/>
          <w:sz w:val="24"/>
          <w:szCs w:val="24"/>
        </w:rPr>
        <w:t>11</w:t>
      </w:r>
      <w:r w:rsidRPr="00EA15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1547">
        <w:rPr>
          <w:rFonts w:ascii="Times New Roman" w:hAnsi="Times New Roman" w:cs="Times New Roman"/>
          <w:sz w:val="24"/>
          <w:szCs w:val="24"/>
        </w:rPr>
        <w:t>Supp</w:t>
      </w:r>
      <w:proofErr w:type="spellEnd"/>
      <w:r w:rsidRPr="00EA1547">
        <w:rPr>
          <w:rFonts w:ascii="Times New Roman" w:hAnsi="Times New Roman" w:cs="Times New Roman"/>
          <w:sz w:val="24"/>
          <w:szCs w:val="24"/>
        </w:rPr>
        <w:t xml:space="preserve"> 1), S58-S62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AA3" w:rsidRDefault="00F52644" w:rsidP="00A33AA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[11]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3870">
        <w:rPr>
          <w:rFonts w:ascii="Times New Roman" w:hAnsi="Times New Roman" w:cs="Times New Roman"/>
        </w:rPr>
        <w:t>Dake</w:t>
      </w:r>
      <w:proofErr w:type="spellEnd"/>
      <w:r w:rsidRPr="00BA3870">
        <w:rPr>
          <w:rFonts w:ascii="Times New Roman" w:hAnsi="Times New Roman" w:cs="Times New Roman"/>
        </w:rPr>
        <w:t xml:space="preserve"> F</w:t>
      </w:r>
      <w:r w:rsidR="000F7CBA">
        <w:rPr>
          <w:rFonts w:ascii="Times New Roman" w:hAnsi="Times New Roman" w:cs="Times New Roman"/>
        </w:rPr>
        <w:t>.</w:t>
      </w:r>
      <w:r w:rsidRPr="00BA3870">
        <w:rPr>
          <w:rFonts w:ascii="Times New Roman" w:hAnsi="Times New Roman" w:cs="Times New Roman"/>
        </w:rPr>
        <w:t>A</w:t>
      </w:r>
      <w:r w:rsidR="000F7CBA">
        <w:rPr>
          <w:rFonts w:ascii="Times New Roman" w:hAnsi="Times New Roman" w:cs="Times New Roman"/>
        </w:rPr>
        <w:t>.</w:t>
      </w:r>
      <w:r w:rsidRPr="00BA3870">
        <w:rPr>
          <w:rFonts w:ascii="Times New Roman" w:hAnsi="Times New Roman" w:cs="Times New Roman"/>
        </w:rPr>
        <w:t xml:space="preserve">A, </w:t>
      </w:r>
      <w:proofErr w:type="spellStart"/>
      <w:r w:rsidRPr="00BA3870">
        <w:rPr>
          <w:rFonts w:ascii="Times New Roman" w:hAnsi="Times New Roman" w:cs="Times New Roman"/>
        </w:rPr>
        <w:t>Tawiah</w:t>
      </w:r>
      <w:proofErr w:type="spellEnd"/>
      <w:r w:rsidRPr="00BA3870">
        <w:rPr>
          <w:rFonts w:ascii="Times New Roman" w:hAnsi="Times New Roman" w:cs="Times New Roman"/>
        </w:rPr>
        <w:t xml:space="preserve"> E</w:t>
      </w:r>
      <w:r w:rsidR="000F7CBA">
        <w:rPr>
          <w:rFonts w:ascii="Times New Roman" w:hAnsi="Times New Roman" w:cs="Times New Roman"/>
        </w:rPr>
        <w:t>.</w:t>
      </w:r>
      <w:r w:rsidRPr="00BA3870">
        <w:rPr>
          <w:rFonts w:ascii="Times New Roman" w:hAnsi="Times New Roman" w:cs="Times New Roman"/>
        </w:rPr>
        <w:t xml:space="preserve">O, </w:t>
      </w:r>
      <w:proofErr w:type="spellStart"/>
      <w:r w:rsidRPr="00BA3870">
        <w:rPr>
          <w:rFonts w:ascii="Times New Roman" w:hAnsi="Times New Roman" w:cs="Times New Roman"/>
        </w:rPr>
        <w:t>Badasu</w:t>
      </w:r>
      <w:proofErr w:type="spellEnd"/>
      <w:r w:rsidRPr="00BA3870">
        <w:rPr>
          <w:rFonts w:ascii="Times New Roman" w:hAnsi="Times New Roman" w:cs="Times New Roman"/>
        </w:rPr>
        <w:t xml:space="preserve"> D</w:t>
      </w:r>
      <w:r w:rsidR="00A33AA3">
        <w:rPr>
          <w:rFonts w:ascii="Times New Roman" w:hAnsi="Times New Roman" w:cs="Times New Roman"/>
        </w:rPr>
        <w:t>. M. (2011</w:t>
      </w:r>
      <w:r w:rsidR="00363FF7">
        <w:rPr>
          <w:rFonts w:ascii="Times New Roman" w:hAnsi="Times New Roman" w:cs="Times New Roman"/>
        </w:rPr>
        <w:t xml:space="preserve">). </w:t>
      </w:r>
      <w:r w:rsidRPr="00BA3870">
        <w:rPr>
          <w:rFonts w:ascii="Times New Roman" w:hAnsi="Times New Roman" w:cs="Times New Roman"/>
        </w:rPr>
        <w:t xml:space="preserve">Socio-demographic correlates of obesity among </w:t>
      </w:r>
      <w:r w:rsidRPr="00A33AA3">
        <w:rPr>
          <w:rFonts w:ascii="Times New Roman" w:hAnsi="Times New Roman" w:cs="Times New Roman"/>
          <w:sz w:val="24"/>
          <w:szCs w:val="24"/>
        </w:rPr>
        <w:t>Ghanaia</w:t>
      </w:r>
      <w:r w:rsidR="00363FF7" w:rsidRPr="00A33AA3">
        <w:rPr>
          <w:rFonts w:ascii="Times New Roman" w:hAnsi="Times New Roman" w:cs="Times New Roman"/>
          <w:sz w:val="24"/>
          <w:szCs w:val="24"/>
        </w:rPr>
        <w:t>n</w:t>
      </w:r>
      <w:r w:rsidR="00A33AA3">
        <w:rPr>
          <w:rFonts w:ascii="Times New Roman" w:hAnsi="Times New Roman" w:cs="Times New Roman"/>
          <w:sz w:val="24"/>
          <w:szCs w:val="24"/>
        </w:rPr>
        <w:t xml:space="preserve"> women. </w:t>
      </w:r>
      <w:r w:rsidR="00A33AA3" w:rsidRPr="002807BC">
        <w:rPr>
          <w:rFonts w:ascii="Times New Roman" w:hAnsi="Times New Roman" w:cs="Times New Roman"/>
          <w:i/>
          <w:sz w:val="24"/>
          <w:szCs w:val="24"/>
        </w:rPr>
        <w:t>Public Health Nutrition, 14</w:t>
      </w:r>
      <w:r w:rsidR="00A33AA3">
        <w:rPr>
          <w:rFonts w:ascii="Times New Roman" w:hAnsi="Times New Roman" w:cs="Times New Roman"/>
          <w:sz w:val="24"/>
          <w:szCs w:val="24"/>
        </w:rPr>
        <w:t xml:space="preserve">(7), 1285-1291. DOI: </w:t>
      </w:r>
      <w:r w:rsidR="00A33AA3" w:rsidRPr="00A33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10.1017/S1368980010002879. </w:t>
      </w:r>
    </w:p>
    <w:p w:rsidR="00F52644" w:rsidRDefault="00F52644" w:rsidP="003D21E2">
      <w:pPr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[12]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CB6ABC">
        <w:rPr>
          <w:rFonts w:ascii="Times New Roman" w:hAnsi="Times New Roman" w:cs="Times New Roman"/>
          <w:sz w:val="24"/>
          <w:szCs w:val="24"/>
        </w:rPr>
        <w:t xml:space="preserve">International Council of Sport Science and Physical Education (2010). </w:t>
      </w:r>
      <w:r>
        <w:rPr>
          <w:rFonts w:ascii="Times New Roman" w:hAnsi="Times New Roman" w:cs="Times New Roman"/>
          <w:bCs/>
          <w:sz w:val="24"/>
          <w:szCs w:val="24"/>
        </w:rPr>
        <w:t>International position statement on physical e</w:t>
      </w:r>
      <w:r w:rsidRPr="00CB6ABC">
        <w:rPr>
          <w:rFonts w:ascii="Times New Roman" w:hAnsi="Times New Roman" w:cs="Times New Roman"/>
          <w:bCs/>
          <w:sz w:val="24"/>
          <w:szCs w:val="24"/>
        </w:rPr>
        <w:t>ducation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. Retrieved June 18, 2016 from </w:t>
      </w:r>
      <w:hyperlink r:id="rId5" w:history="1">
        <w:r w:rsidRPr="0022065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http://assets.sportanddev.org/downloads/international_position_statement_on_physical_education.pdf</w:t>
        </w:r>
      </w:hyperlink>
    </w:p>
    <w:p w:rsidR="00F52644" w:rsidRDefault="00F52644" w:rsidP="003D21E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[13]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Bailey, R. (</w:t>
      </w:r>
      <w:r w:rsidRPr="00043FA4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43FA4">
        <w:rPr>
          <w:rFonts w:ascii="Times New Roman" w:hAnsi="Times New Roman" w:cs="Times New Roman"/>
          <w:sz w:val="24"/>
          <w:szCs w:val="24"/>
        </w:rPr>
        <w:t>Physical education and sport in schools: a review of benefits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FA4">
        <w:rPr>
          <w:rFonts w:ascii="Times New Roman" w:hAnsi="Times New Roman" w:cs="Times New Roman"/>
          <w:sz w:val="24"/>
          <w:szCs w:val="24"/>
        </w:rPr>
        <w:t xml:space="preserve">and outcomes. </w:t>
      </w:r>
      <w:r w:rsidRPr="007C067A">
        <w:rPr>
          <w:rFonts w:ascii="Times New Roman" w:hAnsi="Times New Roman" w:cs="Times New Roman"/>
          <w:i/>
          <w:sz w:val="24"/>
          <w:szCs w:val="24"/>
        </w:rPr>
        <w:t>Journal of School Health, 76,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FA4">
        <w:rPr>
          <w:rFonts w:ascii="Times New Roman" w:hAnsi="Times New Roman" w:cs="Times New Roman"/>
          <w:sz w:val="24"/>
          <w:szCs w:val="24"/>
        </w:rPr>
        <w:t>397-401.</w:t>
      </w:r>
    </w:p>
    <w:p w:rsidR="00F52644" w:rsidRPr="006D623B" w:rsidRDefault="00F52644" w:rsidP="006D623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[14]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043FA4">
        <w:rPr>
          <w:rFonts w:ascii="Times New Roman" w:hAnsi="Times New Roman" w:cs="Times New Roman"/>
          <w:sz w:val="24"/>
          <w:szCs w:val="24"/>
        </w:rPr>
        <w:t>Hardy 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3F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3FA4">
        <w:rPr>
          <w:rFonts w:ascii="Times New Roman" w:hAnsi="Times New Roman" w:cs="Times New Roman"/>
          <w:sz w:val="24"/>
          <w:szCs w:val="24"/>
        </w:rPr>
        <w:t>, Kelly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3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B, Chapman, K., King, L., &amp; Farrell, L. (2010).</w:t>
      </w:r>
      <w:r w:rsidRPr="00043FA4">
        <w:rPr>
          <w:rFonts w:ascii="Times New Roman" w:hAnsi="Times New Roman" w:cs="Times New Roman"/>
          <w:sz w:val="24"/>
          <w:szCs w:val="24"/>
        </w:rPr>
        <w:t xml:space="preserve"> Parental perceptions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FA4">
        <w:rPr>
          <w:rFonts w:ascii="Times New Roman" w:hAnsi="Times New Roman" w:cs="Times New Roman"/>
          <w:sz w:val="24"/>
          <w:szCs w:val="24"/>
        </w:rPr>
        <w:t xml:space="preserve">barriers to children’s participation in </w:t>
      </w:r>
      <w:proofErr w:type="spellStart"/>
      <w:r w:rsidRPr="00043FA4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043FA4">
        <w:rPr>
          <w:rFonts w:ascii="Times New Roman" w:hAnsi="Times New Roman" w:cs="Times New Roman"/>
          <w:sz w:val="24"/>
          <w:szCs w:val="24"/>
        </w:rPr>
        <w:t xml:space="preserve"> sport in Australia. </w:t>
      </w:r>
      <w:r w:rsidRPr="00412371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proofErr w:type="spellStart"/>
      <w:r w:rsidRPr="00412371">
        <w:rPr>
          <w:rFonts w:ascii="Times New Roman" w:hAnsi="Times New Roman" w:cs="Times New Roman"/>
          <w:i/>
          <w:sz w:val="24"/>
          <w:szCs w:val="24"/>
        </w:rPr>
        <w:t>Paediatrics</w:t>
      </w:r>
      <w:proofErr w:type="spellEnd"/>
      <w:r w:rsidRPr="00412371">
        <w:rPr>
          <w:rFonts w:ascii="Times New Roman" w:hAnsi="Times New Roman" w:cs="Times New Roman"/>
          <w:i/>
          <w:sz w:val="24"/>
          <w:szCs w:val="24"/>
        </w:rPr>
        <w:t xml:space="preserve"> and Child Heath 46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3FA4">
        <w:rPr>
          <w:rFonts w:ascii="Times New Roman" w:hAnsi="Times New Roman" w:cs="Times New Roman"/>
          <w:sz w:val="24"/>
          <w:szCs w:val="24"/>
        </w:rPr>
        <w:t>197-203.</w:t>
      </w:r>
    </w:p>
    <w:p w:rsidR="00F52644" w:rsidRPr="007C067A" w:rsidRDefault="00F52644" w:rsidP="006D623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[15]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proofErr w:type="spellStart"/>
      <w:r w:rsidRPr="00043FA4">
        <w:rPr>
          <w:rFonts w:ascii="Times New Roman" w:hAnsi="Times New Roman" w:cs="Times New Roman"/>
          <w:sz w:val="24"/>
          <w:szCs w:val="24"/>
        </w:rPr>
        <w:t>Kalish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Banco L., Burke,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(2010). </w:t>
      </w:r>
      <w:r w:rsidRPr="00043FA4">
        <w:rPr>
          <w:rFonts w:ascii="Times New Roman" w:hAnsi="Times New Roman" w:cs="Times New Roman"/>
          <w:sz w:val="24"/>
          <w:szCs w:val="24"/>
        </w:rPr>
        <w:t xml:space="preserve"> Outdoor play: A survey of parent’s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FA4">
        <w:rPr>
          <w:rFonts w:ascii="Times New Roman" w:hAnsi="Times New Roman" w:cs="Times New Roman"/>
          <w:sz w:val="24"/>
          <w:szCs w:val="24"/>
        </w:rPr>
        <w:t xml:space="preserve">perceptions of their child’s safety. </w:t>
      </w:r>
      <w:r w:rsidRPr="005A7E6E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ournal of</w:t>
      </w:r>
      <w:r w:rsidRPr="005A7E6E">
        <w:rPr>
          <w:rFonts w:ascii="Times New Roman" w:hAnsi="Times New Roman" w:cs="Times New Roman"/>
          <w:i/>
          <w:sz w:val="24"/>
          <w:szCs w:val="24"/>
        </w:rPr>
        <w:t xml:space="preserve"> Trauma, 69,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FA4">
        <w:rPr>
          <w:rFonts w:ascii="Times New Roman" w:hAnsi="Times New Roman" w:cs="Times New Roman"/>
          <w:sz w:val="24"/>
          <w:szCs w:val="24"/>
        </w:rPr>
        <w:t>S218-S222</w:t>
      </w:r>
    </w:p>
    <w:p w:rsidR="00F52644" w:rsidRDefault="00F52644" w:rsidP="003D21E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[16]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  <w:t>Ministry of Education, Science &amp; Sports (2007). Teaching syllabus for physical education (junior high school 1-3). Accra: MOESS.</w:t>
      </w:r>
    </w:p>
    <w:p w:rsidR="00F52644" w:rsidRPr="007C067A" w:rsidRDefault="00F52644" w:rsidP="006D623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[17]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  <w:t>Ministry of Education (2010). Teaching syllabus for physical education (senior high school 1-3). Accra: MOESS.</w:t>
      </w:r>
    </w:p>
    <w:p w:rsidR="00F52644" w:rsidRPr="006D623B" w:rsidRDefault="00F52644" w:rsidP="006D623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[18]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 w:rsidRPr="002B1489">
        <w:rPr>
          <w:rFonts w:ascii="Times New Roman" w:hAnsi="Times New Roman"/>
          <w:sz w:val="24"/>
          <w:szCs w:val="24"/>
        </w:rPr>
        <w:t xml:space="preserve">Morgan, P. J. &amp; Hansen, V. (2008). Classroom teachers’ perceptions of the impact of barriers to teaching physical education on the quality of physical education programs. </w:t>
      </w:r>
      <w:r w:rsidRPr="002B1489">
        <w:rPr>
          <w:rFonts w:ascii="Times New Roman" w:hAnsi="Times New Roman"/>
          <w:i/>
          <w:sz w:val="24"/>
          <w:szCs w:val="24"/>
        </w:rPr>
        <w:t>Research Quarterly for Exercise and Sport, 79</w:t>
      </w:r>
      <w:r w:rsidRPr="002B1489">
        <w:rPr>
          <w:rFonts w:ascii="Times New Roman" w:hAnsi="Times New Roman"/>
          <w:sz w:val="24"/>
          <w:szCs w:val="24"/>
        </w:rPr>
        <w:t>(4), 506-516.</w:t>
      </w:r>
    </w:p>
    <w:p w:rsidR="00F52644" w:rsidRPr="009F6996" w:rsidRDefault="00F52644" w:rsidP="003D21E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[19]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 w:rsidRPr="009F6996">
        <w:rPr>
          <w:rFonts w:ascii="TimesNewRomanPS-ItalicMT" w:hAnsi="TimesNewRomanPS-ItalicMT" w:cs="TimesNewRomanPS-ItalicMT"/>
          <w:iCs/>
          <w:sz w:val="24"/>
          <w:szCs w:val="24"/>
        </w:rPr>
        <w:t xml:space="preserve">Sofo, S., &amp; </w:t>
      </w:r>
      <w:proofErr w:type="spellStart"/>
      <w:r w:rsidRPr="009F6996">
        <w:rPr>
          <w:rFonts w:ascii="TimesNewRomanPS-ItalicMT" w:hAnsi="TimesNewRomanPS-ItalicMT" w:cs="TimesNewRomanPS-ItalicMT"/>
          <w:iCs/>
          <w:sz w:val="24"/>
          <w:szCs w:val="24"/>
        </w:rPr>
        <w:t>Asola</w:t>
      </w:r>
      <w:proofErr w:type="spellEnd"/>
      <w:r w:rsidRPr="009F6996">
        <w:rPr>
          <w:rFonts w:ascii="TimesNewRomanPS-ItalicMT" w:hAnsi="TimesNewRomanPS-ItalicMT" w:cs="TimesNewRomanPS-ItalicMT"/>
          <w:iCs/>
          <w:sz w:val="24"/>
          <w:szCs w:val="24"/>
        </w:rPr>
        <w:t xml:space="preserve"> E. F. (2016). Barriers to providing quality physical education in primary schools in </w:t>
      </w:r>
      <w:r w:rsidRPr="009F6996">
        <w:rPr>
          <w:rFonts w:ascii="Times New Roman" w:hAnsi="Times New Roman" w:cs="Times New Roman"/>
          <w:iCs/>
          <w:sz w:val="24"/>
          <w:szCs w:val="24"/>
        </w:rPr>
        <w:t xml:space="preserve">Ghana. </w:t>
      </w:r>
      <w:r w:rsidRPr="009F6996">
        <w:rPr>
          <w:rFonts w:ascii="Times New Roman" w:hAnsi="Times New Roman" w:cs="Times New Roman"/>
          <w:i/>
          <w:iCs/>
          <w:sz w:val="24"/>
          <w:szCs w:val="24"/>
        </w:rPr>
        <w:t xml:space="preserve">IOSR Journal of Sports and Physical Education,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9F6996">
        <w:rPr>
          <w:rFonts w:ascii="Times New Roman" w:hAnsi="Times New Roman" w:cs="Times New Roman"/>
          <w:iCs/>
          <w:sz w:val="24"/>
          <w:szCs w:val="24"/>
        </w:rPr>
        <w:t>(3),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6996">
        <w:rPr>
          <w:rFonts w:ascii="Times New Roman" w:hAnsi="Times New Roman" w:cs="Times New Roman"/>
          <w:iCs/>
          <w:sz w:val="24"/>
          <w:szCs w:val="24"/>
        </w:rPr>
        <w:t>45-48.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6996">
        <w:rPr>
          <w:rFonts w:ascii="Times New Roman" w:hAnsi="Times New Roman" w:cs="Times New Roman"/>
          <w:sz w:val="24"/>
          <w:szCs w:val="24"/>
        </w:rPr>
        <w:t>DOI: 10.9790/6737-03034548</w:t>
      </w:r>
    </w:p>
    <w:p w:rsidR="00F52644" w:rsidRDefault="00F52644" w:rsidP="003D21E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[20]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Adu-Mireku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S. (2003). Schools and health: A district-level evaluation of school health education in Ghana. </w:t>
      </w:r>
      <w:r w:rsidRPr="002428CC">
        <w:rPr>
          <w:rFonts w:ascii="Times New Roman" w:hAnsi="Times New Roman" w:cs="Times New Roman"/>
          <w:i/>
          <w:sz w:val="26"/>
          <w:szCs w:val="26"/>
        </w:rPr>
        <w:t>Journal of Social Development in Africa, 18</w:t>
      </w:r>
      <w:r>
        <w:rPr>
          <w:rFonts w:ascii="Times New Roman" w:hAnsi="Times New Roman" w:cs="Times New Roman"/>
          <w:sz w:val="26"/>
          <w:szCs w:val="26"/>
        </w:rPr>
        <w:t>(2), 105-120.</w:t>
      </w:r>
    </w:p>
    <w:p w:rsidR="00F52644" w:rsidRPr="008D6315" w:rsidRDefault="00F52644" w:rsidP="003D21E2">
      <w:pPr>
        <w:pStyle w:val="Heading2"/>
        <w:spacing w:before="0" w:beforeAutospacing="0" w:after="0" w:afterAutospacing="0" w:line="360" w:lineRule="auto"/>
        <w:ind w:left="720" w:hanging="720"/>
        <w:jc w:val="both"/>
        <w:textAlignment w:val="baseline"/>
        <w:rPr>
          <w:b w:val="0"/>
          <w:sz w:val="24"/>
          <w:szCs w:val="24"/>
        </w:rPr>
      </w:pPr>
      <w:r w:rsidRPr="00230444">
        <w:rPr>
          <w:b w:val="0"/>
          <w:sz w:val="24"/>
          <w:szCs w:val="24"/>
        </w:rPr>
        <w:lastRenderedPageBreak/>
        <w:t>[21]</w:t>
      </w:r>
      <w:r>
        <w:rPr>
          <w:sz w:val="24"/>
          <w:szCs w:val="24"/>
        </w:rPr>
        <w:tab/>
      </w:r>
      <w:r w:rsidRPr="008D6315">
        <w:rPr>
          <w:b w:val="0"/>
          <w:sz w:val="24"/>
          <w:szCs w:val="24"/>
        </w:rPr>
        <w:t xml:space="preserve">WHO (2016). Global Health Observatory country views. Retrieved July 7, 2016 </w:t>
      </w:r>
      <w:proofErr w:type="gramStart"/>
      <w:r w:rsidRPr="008D6315">
        <w:rPr>
          <w:b w:val="0"/>
          <w:sz w:val="24"/>
          <w:szCs w:val="24"/>
        </w:rPr>
        <w:t xml:space="preserve">from </w:t>
      </w:r>
      <w:r>
        <w:rPr>
          <w:b w:val="0"/>
          <w:sz w:val="24"/>
          <w:szCs w:val="24"/>
        </w:rPr>
        <w:t xml:space="preserve"> </w:t>
      </w:r>
      <w:r w:rsidRPr="008D6315">
        <w:rPr>
          <w:b w:val="0"/>
          <w:sz w:val="24"/>
          <w:szCs w:val="24"/>
        </w:rPr>
        <w:t>http://apps.who.int/gho/data/node.country.country-GHA</w:t>
      </w:r>
      <w:proofErr w:type="gramEnd"/>
    </w:p>
    <w:p w:rsidR="00F52644" w:rsidRPr="00A3036B" w:rsidRDefault="00F52644" w:rsidP="003D21E2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8F6">
        <w:rPr>
          <w:rFonts w:ascii="Times New Roman" w:hAnsi="Times New Roman" w:cs="Times New Roman"/>
          <w:sz w:val="24"/>
          <w:szCs w:val="24"/>
        </w:rPr>
        <w:t>[22]</w:t>
      </w:r>
      <w:r w:rsidRPr="00A303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036B">
        <w:rPr>
          <w:rFonts w:ascii="Times New Roman" w:hAnsi="Times New Roman" w:cs="Times New Roman"/>
          <w:sz w:val="24"/>
          <w:szCs w:val="24"/>
        </w:rPr>
        <w:t>DeWit</w:t>
      </w:r>
      <w:proofErr w:type="spellEnd"/>
      <w:r w:rsidRPr="00A3036B">
        <w:rPr>
          <w:rFonts w:ascii="Times New Roman" w:hAnsi="Times New Roman" w:cs="Times New Roman"/>
          <w:sz w:val="24"/>
          <w:szCs w:val="24"/>
        </w:rPr>
        <w:t>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36B">
        <w:rPr>
          <w:rFonts w:ascii="Times New Roman" w:hAnsi="Times New Roman" w:cs="Times New Roman"/>
          <w:sz w:val="24"/>
          <w:szCs w:val="24"/>
        </w:rPr>
        <w:t xml:space="preserve">J., </w:t>
      </w:r>
      <w:proofErr w:type="spellStart"/>
      <w:r w:rsidRPr="00A3036B">
        <w:rPr>
          <w:rFonts w:ascii="Times New Roman" w:hAnsi="Times New Roman" w:cs="Times New Roman"/>
          <w:sz w:val="24"/>
          <w:szCs w:val="24"/>
        </w:rPr>
        <w:t>Adlaf</w:t>
      </w:r>
      <w:proofErr w:type="spellEnd"/>
      <w:r w:rsidRPr="00A3036B">
        <w:rPr>
          <w:rFonts w:ascii="Times New Roman" w:hAnsi="Times New Roman" w:cs="Times New Roman"/>
          <w:sz w:val="24"/>
          <w:szCs w:val="24"/>
        </w:rPr>
        <w:t>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36B">
        <w:rPr>
          <w:rFonts w:ascii="Times New Roman" w:hAnsi="Times New Roman" w:cs="Times New Roman"/>
          <w:sz w:val="24"/>
          <w:szCs w:val="24"/>
        </w:rPr>
        <w:t>M., Offord,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36B">
        <w:rPr>
          <w:rFonts w:ascii="Times New Roman" w:hAnsi="Times New Roman" w:cs="Times New Roman"/>
          <w:sz w:val="24"/>
          <w:szCs w:val="24"/>
        </w:rPr>
        <w:t xml:space="preserve">R., &amp; </w:t>
      </w:r>
      <w:proofErr w:type="spellStart"/>
      <w:r w:rsidRPr="00A3036B">
        <w:rPr>
          <w:rFonts w:ascii="Times New Roman" w:hAnsi="Times New Roman" w:cs="Times New Roman"/>
          <w:sz w:val="24"/>
          <w:szCs w:val="24"/>
        </w:rPr>
        <w:t>Ogborne</w:t>
      </w:r>
      <w:proofErr w:type="spellEnd"/>
      <w:r w:rsidRPr="00A3036B">
        <w:rPr>
          <w:rFonts w:ascii="Times New Roman" w:hAnsi="Times New Roman" w:cs="Times New Roman"/>
          <w:sz w:val="24"/>
          <w:szCs w:val="24"/>
        </w:rPr>
        <w:t xml:space="preserve">, A. C. (2000). Age at first alcohol use: A risk factor for the development of alcohol disorders. </w:t>
      </w:r>
      <w:r w:rsidRPr="00A3036B">
        <w:rPr>
          <w:rFonts w:ascii="Times New Roman" w:hAnsi="Times New Roman" w:cs="Times New Roman"/>
          <w:i/>
          <w:sz w:val="24"/>
          <w:szCs w:val="24"/>
        </w:rPr>
        <w:t>American Journal of Psychiatry, 157</w:t>
      </w:r>
      <w:r w:rsidRPr="00A3036B">
        <w:rPr>
          <w:rFonts w:ascii="Times New Roman" w:hAnsi="Times New Roman" w:cs="Times New Roman"/>
          <w:sz w:val="24"/>
          <w:szCs w:val="24"/>
        </w:rPr>
        <w:t>(5), 745–750.</w:t>
      </w:r>
    </w:p>
    <w:p w:rsidR="00F52644" w:rsidRPr="00A3036B" w:rsidRDefault="00F52644" w:rsidP="003D21E2">
      <w:pPr>
        <w:autoSpaceDE w:val="0"/>
        <w:autoSpaceDN w:val="0"/>
        <w:adjustRightInd w:val="0"/>
        <w:spacing w:after="0" w:line="360" w:lineRule="auto"/>
        <w:ind w:left="720" w:hanging="810"/>
        <w:jc w:val="both"/>
        <w:rPr>
          <w:rFonts w:ascii="Times New Roman" w:hAnsi="Times New Roman" w:cs="Times New Roman"/>
          <w:sz w:val="24"/>
          <w:szCs w:val="24"/>
        </w:rPr>
      </w:pPr>
      <w:r w:rsidRPr="007B08F6">
        <w:rPr>
          <w:rFonts w:ascii="Times New Roman" w:hAnsi="Times New Roman" w:cs="Times New Roman"/>
          <w:sz w:val="24"/>
          <w:szCs w:val="24"/>
        </w:rPr>
        <w:t>[23]</w:t>
      </w:r>
      <w:r w:rsidRPr="00A3036B">
        <w:rPr>
          <w:rFonts w:ascii="Times New Roman" w:hAnsi="Times New Roman" w:cs="Times New Roman"/>
          <w:sz w:val="24"/>
          <w:szCs w:val="24"/>
        </w:rPr>
        <w:tab/>
        <w:t>WHO (2003). National survey on prevalence and social consequences of substance (drug) use among second cycle and out of school youth in Ghana. Retrieved July 12, 2016 from http://www.who.int/countries/gha/publications/</w:t>
      </w:r>
    </w:p>
    <w:p w:rsidR="00F52644" w:rsidRPr="007B08F6" w:rsidRDefault="00F52644" w:rsidP="003D2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F6">
        <w:rPr>
          <w:rFonts w:ascii="Times New Roman" w:hAnsi="Times New Roman" w:cs="Times New Roman"/>
          <w:sz w:val="24"/>
          <w:szCs w:val="24"/>
        </w:rPr>
        <w:t>[24]</w:t>
      </w:r>
      <w:r w:rsidRPr="007B08F6">
        <w:rPr>
          <w:rFonts w:ascii="Times New Roman" w:hAnsi="Times New Roman" w:cs="Times New Roman"/>
          <w:sz w:val="24"/>
          <w:szCs w:val="24"/>
        </w:rPr>
        <w:tab/>
        <w:t>WHO (2011). Global status report on alcohol and health. Geneva: WHO Press.</w:t>
      </w:r>
    </w:p>
    <w:p w:rsidR="00F52644" w:rsidRPr="00375395" w:rsidRDefault="00F52644" w:rsidP="006D623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>[25]</w:t>
      </w:r>
      <w:r w:rsidRPr="00375395">
        <w:rPr>
          <w:rFonts w:ascii="Times New Roman" w:hAnsi="Times New Roman" w:cs="Times New Roman"/>
          <w:sz w:val="24"/>
          <w:szCs w:val="24"/>
        </w:rPr>
        <w:tab/>
        <w:t xml:space="preserve">Hawkins J. D., Graham, J. W., </w:t>
      </w:r>
      <w:proofErr w:type="spellStart"/>
      <w:r w:rsidRPr="00375395">
        <w:rPr>
          <w:rFonts w:ascii="Times New Roman" w:hAnsi="Times New Roman" w:cs="Times New Roman"/>
          <w:sz w:val="24"/>
          <w:szCs w:val="24"/>
        </w:rPr>
        <w:t>Maguin</w:t>
      </w:r>
      <w:proofErr w:type="spellEnd"/>
      <w:r w:rsidRPr="00375395">
        <w:rPr>
          <w:rFonts w:ascii="Times New Roman" w:hAnsi="Times New Roman" w:cs="Times New Roman"/>
          <w:sz w:val="24"/>
          <w:szCs w:val="24"/>
        </w:rPr>
        <w:t xml:space="preserve">, E., Abbott, R., Hill, K. G., &amp; Catalano, R. F. (1997). Exploring the effects of age of alcohol use initiation and psychosocial risk factors on subsequent alcohol misuse. </w:t>
      </w:r>
      <w:r w:rsidRPr="00375395">
        <w:rPr>
          <w:rFonts w:ascii="Times New Roman" w:hAnsi="Times New Roman" w:cs="Times New Roman"/>
          <w:i/>
          <w:sz w:val="24"/>
          <w:szCs w:val="24"/>
        </w:rPr>
        <w:t>Journal of Studies on Alcohol and Drugs, 58,</w:t>
      </w:r>
      <w:r w:rsidRPr="00375395">
        <w:rPr>
          <w:rFonts w:ascii="Times New Roman" w:hAnsi="Times New Roman" w:cs="Times New Roman"/>
          <w:sz w:val="24"/>
          <w:szCs w:val="24"/>
        </w:rPr>
        <w:t xml:space="preserve"> 280–290.</w:t>
      </w:r>
    </w:p>
    <w:p w:rsidR="00F52644" w:rsidRDefault="00F52644" w:rsidP="003D21E2">
      <w:pPr>
        <w:autoSpaceDE w:val="0"/>
        <w:autoSpaceDN w:val="0"/>
        <w:adjustRightInd w:val="0"/>
        <w:spacing w:after="0" w:line="36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 xml:space="preserve">[26]   </w:t>
      </w:r>
      <w:proofErr w:type="spellStart"/>
      <w:r w:rsidRPr="00375395">
        <w:rPr>
          <w:rFonts w:ascii="Times New Roman" w:hAnsi="Times New Roman" w:cs="Times New Roman"/>
          <w:sz w:val="24"/>
          <w:szCs w:val="24"/>
        </w:rPr>
        <w:t>Morojele</w:t>
      </w:r>
      <w:proofErr w:type="spellEnd"/>
      <w:r w:rsidRPr="00375395">
        <w:rPr>
          <w:rFonts w:ascii="Times New Roman" w:hAnsi="Times New Roman" w:cs="Times New Roman"/>
          <w:sz w:val="24"/>
          <w:szCs w:val="24"/>
        </w:rPr>
        <w:t xml:space="preserve">, N.K., Brook, J.S. (2006). Substance use and multiple </w:t>
      </w:r>
      <w:proofErr w:type="spellStart"/>
      <w:r w:rsidRPr="00375395">
        <w:rPr>
          <w:rFonts w:ascii="Times New Roman" w:hAnsi="Times New Roman" w:cs="Times New Roman"/>
          <w:sz w:val="24"/>
          <w:szCs w:val="24"/>
        </w:rPr>
        <w:t>victimisation</w:t>
      </w:r>
      <w:proofErr w:type="spellEnd"/>
      <w:r w:rsidRPr="00375395">
        <w:rPr>
          <w:rFonts w:ascii="Times New Roman" w:hAnsi="Times New Roman" w:cs="Times New Roman"/>
          <w:sz w:val="24"/>
          <w:szCs w:val="24"/>
        </w:rPr>
        <w:t xml:space="preserve"> among   </w:t>
      </w:r>
      <w:r w:rsidRPr="008B7363">
        <w:rPr>
          <w:rFonts w:ascii="Times New Roman" w:hAnsi="Times New Roman" w:cs="Times New Roman"/>
          <w:sz w:val="24"/>
          <w:szCs w:val="24"/>
        </w:rPr>
        <w:t xml:space="preserve">adolescents in South Africa. </w:t>
      </w:r>
      <w:r w:rsidRPr="002D0C88">
        <w:rPr>
          <w:rFonts w:ascii="Times New Roman" w:hAnsi="Times New Roman" w:cs="Times New Roman"/>
          <w:i/>
          <w:sz w:val="24"/>
          <w:szCs w:val="24"/>
        </w:rPr>
        <w:t xml:space="preserve">Addictive </w:t>
      </w:r>
      <w:r w:rsidRPr="00A3036B">
        <w:rPr>
          <w:rFonts w:ascii="Times New Roman" w:hAnsi="Times New Roman" w:cs="Times New Roman"/>
          <w:i/>
          <w:sz w:val="24"/>
          <w:szCs w:val="24"/>
        </w:rPr>
        <w:t>Behaviors, 31,</w:t>
      </w:r>
      <w:r>
        <w:rPr>
          <w:rFonts w:ascii="Times New Roman" w:hAnsi="Times New Roman" w:cs="Times New Roman"/>
          <w:sz w:val="24"/>
          <w:szCs w:val="24"/>
        </w:rPr>
        <w:t xml:space="preserve"> 1163-1176.</w:t>
      </w:r>
    </w:p>
    <w:p w:rsidR="00F52644" w:rsidRPr="00375395" w:rsidRDefault="00F52644" w:rsidP="009C44C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>[27]</w:t>
      </w:r>
      <w:r w:rsidRPr="00375395">
        <w:rPr>
          <w:rFonts w:ascii="Times New Roman" w:hAnsi="Times New Roman" w:cs="Times New Roman"/>
          <w:sz w:val="24"/>
          <w:szCs w:val="24"/>
        </w:rPr>
        <w:tab/>
        <w:t xml:space="preserve">WHO (2012). Global school-based student health survey (GSHS): 2012 Ghana GSHS </w:t>
      </w:r>
      <w:proofErr w:type="spellStart"/>
      <w:r w:rsidRPr="00375395">
        <w:rPr>
          <w:rFonts w:ascii="Times New Roman" w:hAnsi="Times New Roman" w:cs="Times New Roman"/>
          <w:sz w:val="24"/>
          <w:szCs w:val="24"/>
        </w:rPr>
        <w:t>Quesitonnaire</w:t>
      </w:r>
      <w:proofErr w:type="spellEnd"/>
      <w:r w:rsidRPr="00375395">
        <w:rPr>
          <w:rFonts w:ascii="Times New Roman" w:hAnsi="Times New Roman" w:cs="Times New Roman"/>
          <w:sz w:val="24"/>
          <w:szCs w:val="24"/>
        </w:rPr>
        <w:t>. Retrieved on June 1, 2016 from http://www.who.int/chp/gshs/GSHS_Core_Modules_2009_English.pdf</w:t>
      </w:r>
    </w:p>
    <w:p w:rsidR="00F52644" w:rsidRPr="00375395" w:rsidRDefault="00F52644" w:rsidP="009C44CB">
      <w:pPr>
        <w:shd w:val="clear" w:color="auto" w:fill="FFFFFF"/>
        <w:spacing w:after="315" w:line="360" w:lineRule="auto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>[28]</w:t>
      </w:r>
      <w:r w:rsidRPr="003753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5395">
        <w:rPr>
          <w:rFonts w:ascii="Times New Roman" w:eastAsia="Times New Roman" w:hAnsi="Times New Roman" w:cs="Times New Roman"/>
          <w:kern w:val="36"/>
          <w:sz w:val="24"/>
          <w:szCs w:val="24"/>
        </w:rPr>
        <w:t>Utts</w:t>
      </w:r>
      <w:proofErr w:type="spellEnd"/>
      <w:r w:rsidRPr="0037539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J. M. (2015). </w:t>
      </w:r>
      <w:r w:rsidRPr="0037539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Seeing through statistics (4th Ed.)</w:t>
      </w:r>
      <w:r w:rsidRPr="0037539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r w:rsidRPr="003753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Stamford, CT: Cengage learning</w:t>
      </w:r>
      <w:r w:rsidRPr="00375395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F52644" w:rsidRPr="009C44CB" w:rsidRDefault="00F52644" w:rsidP="009C44CB">
      <w:pPr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>[</w:t>
      </w:r>
      <w:r w:rsidRPr="009C44CB">
        <w:rPr>
          <w:rFonts w:ascii="Times New Roman" w:hAnsi="Times New Roman" w:cs="Times New Roman"/>
          <w:sz w:val="24"/>
          <w:szCs w:val="24"/>
        </w:rPr>
        <w:t>29]</w:t>
      </w:r>
      <w:r w:rsidRPr="009C44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4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RStudio</w:t>
      </w:r>
      <w:proofErr w:type="spellEnd"/>
      <w:r w:rsidRPr="009C44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Team (2015). </w:t>
      </w:r>
      <w:proofErr w:type="spellStart"/>
      <w:r w:rsidRPr="009C44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RStudio</w:t>
      </w:r>
      <w:proofErr w:type="spellEnd"/>
      <w:r w:rsidRPr="009C44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: Integrated Development for R. </w:t>
      </w:r>
      <w:proofErr w:type="spellStart"/>
      <w:r w:rsidRPr="009C44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RStudio</w:t>
      </w:r>
      <w:proofErr w:type="spellEnd"/>
      <w:r w:rsidRPr="009C44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Inc., Boston, MA. Retrieved July 10 from URL</w:t>
      </w:r>
      <w:r w:rsidRPr="009C44C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hyperlink r:id="rId6" w:history="1">
        <w:r w:rsidRPr="009C44CB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shd w:val="clear" w:color="auto" w:fill="FFFFFF"/>
          </w:rPr>
          <w:t>http://www.rstudio.com/</w:t>
        </w:r>
      </w:hyperlink>
    </w:p>
    <w:p w:rsidR="00F52644" w:rsidRPr="009C44CB" w:rsidRDefault="004868A6" w:rsidP="009C44C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44CB">
        <w:rPr>
          <w:rFonts w:ascii="Times New Roman" w:hAnsi="Times New Roman" w:cs="Times New Roman"/>
          <w:sz w:val="24"/>
          <w:szCs w:val="24"/>
        </w:rPr>
        <w:t>[30]</w:t>
      </w:r>
      <w:r w:rsidRPr="009C44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4CB">
        <w:rPr>
          <w:rFonts w:ascii="Times New Roman" w:hAnsi="Times New Roman" w:cs="Times New Roman"/>
          <w:sz w:val="24"/>
          <w:szCs w:val="24"/>
        </w:rPr>
        <w:t>Owusu</w:t>
      </w:r>
      <w:proofErr w:type="spellEnd"/>
      <w:r w:rsidRPr="009C44CB">
        <w:rPr>
          <w:rFonts w:ascii="Times New Roman" w:hAnsi="Times New Roman" w:cs="Times New Roman"/>
          <w:sz w:val="24"/>
          <w:szCs w:val="24"/>
        </w:rPr>
        <w:t>, A. (2008). Global School-Based Student Health Survey (GSHS) 2008:  Ghana Report, High Schools. In Centers for Disease Control and prevention C, ed. Atlanta, GA: CDC.</w:t>
      </w:r>
    </w:p>
    <w:p w:rsidR="00F52644" w:rsidRDefault="00F52644" w:rsidP="00F52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644" w:rsidRDefault="00F52644" w:rsidP="00F52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644" w:rsidRPr="007A6480" w:rsidRDefault="00F52644" w:rsidP="00F52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52644" w:rsidRPr="007A6480" w:rsidRDefault="00F52644" w:rsidP="00F52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F52644" w:rsidRPr="007A6480" w:rsidSect="0004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010"/>
    <w:multiLevelType w:val="hybridMultilevel"/>
    <w:tmpl w:val="13DAED20"/>
    <w:lvl w:ilvl="0" w:tplc="7DC6B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70AC"/>
    <w:multiLevelType w:val="multilevel"/>
    <w:tmpl w:val="6B7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665"/>
    <w:multiLevelType w:val="hybridMultilevel"/>
    <w:tmpl w:val="B55873DE"/>
    <w:lvl w:ilvl="0" w:tplc="7DC6B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F05367D"/>
    <w:multiLevelType w:val="hybridMultilevel"/>
    <w:tmpl w:val="6EF06B3E"/>
    <w:lvl w:ilvl="0" w:tplc="8BD86FB8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1985"/>
    <w:multiLevelType w:val="hybridMultilevel"/>
    <w:tmpl w:val="27568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53516"/>
    <w:multiLevelType w:val="hybridMultilevel"/>
    <w:tmpl w:val="0DAC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C5DAC"/>
    <w:multiLevelType w:val="hybridMultilevel"/>
    <w:tmpl w:val="AA22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A74"/>
    <w:multiLevelType w:val="multilevel"/>
    <w:tmpl w:val="6E06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86BC1"/>
    <w:multiLevelType w:val="hybridMultilevel"/>
    <w:tmpl w:val="C5C6F3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90"/>
    <w:rsid w:val="00001EB5"/>
    <w:rsid w:val="00005AB5"/>
    <w:rsid w:val="00006D75"/>
    <w:rsid w:val="00012C52"/>
    <w:rsid w:val="0001339B"/>
    <w:rsid w:val="000159E5"/>
    <w:rsid w:val="000224BA"/>
    <w:rsid w:val="0003006E"/>
    <w:rsid w:val="0003129E"/>
    <w:rsid w:val="00034441"/>
    <w:rsid w:val="0004012B"/>
    <w:rsid w:val="00043FA4"/>
    <w:rsid w:val="00047D98"/>
    <w:rsid w:val="00051FF9"/>
    <w:rsid w:val="000610EB"/>
    <w:rsid w:val="00061BDA"/>
    <w:rsid w:val="00061EF3"/>
    <w:rsid w:val="0006485A"/>
    <w:rsid w:val="00065B75"/>
    <w:rsid w:val="00066DC2"/>
    <w:rsid w:val="00070ABF"/>
    <w:rsid w:val="00073772"/>
    <w:rsid w:val="000754C7"/>
    <w:rsid w:val="00075623"/>
    <w:rsid w:val="00090DA0"/>
    <w:rsid w:val="00092022"/>
    <w:rsid w:val="00093EB0"/>
    <w:rsid w:val="000B2EEA"/>
    <w:rsid w:val="000C458D"/>
    <w:rsid w:val="000D2B0B"/>
    <w:rsid w:val="000D54AE"/>
    <w:rsid w:val="000E15E1"/>
    <w:rsid w:val="000F7CBA"/>
    <w:rsid w:val="00103914"/>
    <w:rsid w:val="00105168"/>
    <w:rsid w:val="0010632A"/>
    <w:rsid w:val="00111223"/>
    <w:rsid w:val="00112125"/>
    <w:rsid w:val="00114E0B"/>
    <w:rsid w:val="0012636B"/>
    <w:rsid w:val="0012638E"/>
    <w:rsid w:val="0012662D"/>
    <w:rsid w:val="0013674B"/>
    <w:rsid w:val="00140D13"/>
    <w:rsid w:val="001455D7"/>
    <w:rsid w:val="001706F6"/>
    <w:rsid w:val="0017329D"/>
    <w:rsid w:val="00175E80"/>
    <w:rsid w:val="00192A73"/>
    <w:rsid w:val="00194D5E"/>
    <w:rsid w:val="001A0CC4"/>
    <w:rsid w:val="001A5F17"/>
    <w:rsid w:val="001B4122"/>
    <w:rsid w:val="001B5C98"/>
    <w:rsid w:val="001D01E1"/>
    <w:rsid w:val="001E16C3"/>
    <w:rsid w:val="001F0DBC"/>
    <w:rsid w:val="001F1325"/>
    <w:rsid w:val="001F1FDC"/>
    <w:rsid w:val="001F3D18"/>
    <w:rsid w:val="001F4A72"/>
    <w:rsid w:val="001F5D9F"/>
    <w:rsid w:val="002017D0"/>
    <w:rsid w:val="002028B0"/>
    <w:rsid w:val="002065ED"/>
    <w:rsid w:val="00210900"/>
    <w:rsid w:val="0021489B"/>
    <w:rsid w:val="00220652"/>
    <w:rsid w:val="00220975"/>
    <w:rsid w:val="00230444"/>
    <w:rsid w:val="00231310"/>
    <w:rsid w:val="002337FA"/>
    <w:rsid w:val="00234B70"/>
    <w:rsid w:val="002428CC"/>
    <w:rsid w:val="00252EFA"/>
    <w:rsid w:val="00256B4D"/>
    <w:rsid w:val="002639B7"/>
    <w:rsid w:val="00264721"/>
    <w:rsid w:val="002758A0"/>
    <w:rsid w:val="002807BC"/>
    <w:rsid w:val="002808E5"/>
    <w:rsid w:val="00280A55"/>
    <w:rsid w:val="00282601"/>
    <w:rsid w:val="002943F7"/>
    <w:rsid w:val="00296512"/>
    <w:rsid w:val="002A3603"/>
    <w:rsid w:val="002B1489"/>
    <w:rsid w:val="002C2D6B"/>
    <w:rsid w:val="002D0C88"/>
    <w:rsid w:val="002D17EE"/>
    <w:rsid w:val="002D6C45"/>
    <w:rsid w:val="002E78EC"/>
    <w:rsid w:val="002F72AB"/>
    <w:rsid w:val="00304134"/>
    <w:rsid w:val="00305DB7"/>
    <w:rsid w:val="003157C0"/>
    <w:rsid w:val="003160D4"/>
    <w:rsid w:val="00324CDF"/>
    <w:rsid w:val="003324B3"/>
    <w:rsid w:val="00336192"/>
    <w:rsid w:val="00336813"/>
    <w:rsid w:val="00346F5B"/>
    <w:rsid w:val="00347A72"/>
    <w:rsid w:val="003505B6"/>
    <w:rsid w:val="00357BCD"/>
    <w:rsid w:val="00363CCF"/>
    <w:rsid w:val="00363FF7"/>
    <w:rsid w:val="00364D5A"/>
    <w:rsid w:val="00365291"/>
    <w:rsid w:val="003722D0"/>
    <w:rsid w:val="00375395"/>
    <w:rsid w:val="003816D2"/>
    <w:rsid w:val="003A2108"/>
    <w:rsid w:val="003A5D06"/>
    <w:rsid w:val="003B335D"/>
    <w:rsid w:val="003B5C75"/>
    <w:rsid w:val="003C05C2"/>
    <w:rsid w:val="003C10AD"/>
    <w:rsid w:val="003C4B93"/>
    <w:rsid w:val="003C7DC6"/>
    <w:rsid w:val="003D21E2"/>
    <w:rsid w:val="003D5DFD"/>
    <w:rsid w:val="003D64DA"/>
    <w:rsid w:val="003E2945"/>
    <w:rsid w:val="003E342B"/>
    <w:rsid w:val="003E4BA0"/>
    <w:rsid w:val="003E78DE"/>
    <w:rsid w:val="003F389F"/>
    <w:rsid w:val="003F527E"/>
    <w:rsid w:val="004029A7"/>
    <w:rsid w:val="0041192F"/>
    <w:rsid w:val="00412371"/>
    <w:rsid w:val="00420CB3"/>
    <w:rsid w:val="00423BB5"/>
    <w:rsid w:val="004374C8"/>
    <w:rsid w:val="00440367"/>
    <w:rsid w:val="004530E2"/>
    <w:rsid w:val="00453F5C"/>
    <w:rsid w:val="00464013"/>
    <w:rsid w:val="0046507A"/>
    <w:rsid w:val="00470A33"/>
    <w:rsid w:val="0047272D"/>
    <w:rsid w:val="00481726"/>
    <w:rsid w:val="00485E0B"/>
    <w:rsid w:val="00486019"/>
    <w:rsid w:val="004868A6"/>
    <w:rsid w:val="00491F38"/>
    <w:rsid w:val="00495B52"/>
    <w:rsid w:val="004A63C0"/>
    <w:rsid w:val="004A6C24"/>
    <w:rsid w:val="004B637D"/>
    <w:rsid w:val="004B75AC"/>
    <w:rsid w:val="004C1750"/>
    <w:rsid w:val="004D24EF"/>
    <w:rsid w:val="004E3D42"/>
    <w:rsid w:val="004E67E5"/>
    <w:rsid w:val="004F1006"/>
    <w:rsid w:val="004F3703"/>
    <w:rsid w:val="004F4DBB"/>
    <w:rsid w:val="004F4F6D"/>
    <w:rsid w:val="00505059"/>
    <w:rsid w:val="00507B95"/>
    <w:rsid w:val="005119E8"/>
    <w:rsid w:val="00535EC5"/>
    <w:rsid w:val="0054066C"/>
    <w:rsid w:val="00544C1F"/>
    <w:rsid w:val="005457C5"/>
    <w:rsid w:val="005458E5"/>
    <w:rsid w:val="00553123"/>
    <w:rsid w:val="00577918"/>
    <w:rsid w:val="005821D8"/>
    <w:rsid w:val="00582D76"/>
    <w:rsid w:val="00583698"/>
    <w:rsid w:val="00585A81"/>
    <w:rsid w:val="005913CD"/>
    <w:rsid w:val="005A722C"/>
    <w:rsid w:val="005A7E6E"/>
    <w:rsid w:val="005B280D"/>
    <w:rsid w:val="005B403C"/>
    <w:rsid w:val="005D19F5"/>
    <w:rsid w:val="005D1F6B"/>
    <w:rsid w:val="005E057E"/>
    <w:rsid w:val="005E0586"/>
    <w:rsid w:val="005E0E06"/>
    <w:rsid w:val="005E39BC"/>
    <w:rsid w:val="005E732B"/>
    <w:rsid w:val="005F1BFF"/>
    <w:rsid w:val="005F7A36"/>
    <w:rsid w:val="00625D22"/>
    <w:rsid w:val="00644F87"/>
    <w:rsid w:val="0065099C"/>
    <w:rsid w:val="00655350"/>
    <w:rsid w:val="00655716"/>
    <w:rsid w:val="00665353"/>
    <w:rsid w:val="0067330D"/>
    <w:rsid w:val="00675841"/>
    <w:rsid w:val="006769B8"/>
    <w:rsid w:val="006915A9"/>
    <w:rsid w:val="00694F8C"/>
    <w:rsid w:val="006972BD"/>
    <w:rsid w:val="006A0496"/>
    <w:rsid w:val="006A0A29"/>
    <w:rsid w:val="006A30D9"/>
    <w:rsid w:val="006B2A2A"/>
    <w:rsid w:val="006B36FE"/>
    <w:rsid w:val="006B4DC0"/>
    <w:rsid w:val="006B63B6"/>
    <w:rsid w:val="006C1BFA"/>
    <w:rsid w:val="006C60EF"/>
    <w:rsid w:val="006D623B"/>
    <w:rsid w:val="006D738C"/>
    <w:rsid w:val="006E77C7"/>
    <w:rsid w:val="006F05A5"/>
    <w:rsid w:val="006F6B1F"/>
    <w:rsid w:val="006F6F1D"/>
    <w:rsid w:val="0071259A"/>
    <w:rsid w:val="0072269C"/>
    <w:rsid w:val="0072551D"/>
    <w:rsid w:val="00747401"/>
    <w:rsid w:val="007512B1"/>
    <w:rsid w:val="0075141B"/>
    <w:rsid w:val="00761675"/>
    <w:rsid w:val="007652C4"/>
    <w:rsid w:val="007658E7"/>
    <w:rsid w:val="00766FCE"/>
    <w:rsid w:val="0077456A"/>
    <w:rsid w:val="00775F0C"/>
    <w:rsid w:val="00782921"/>
    <w:rsid w:val="0078306B"/>
    <w:rsid w:val="00790798"/>
    <w:rsid w:val="00792314"/>
    <w:rsid w:val="00794F08"/>
    <w:rsid w:val="007A3A20"/>
    <w:rsid w:val="007A4E4E"/>
    <w:rsid w:val="007A54DC"/>
    <w:rsid w:val="007A6480"/>
    <w:rsid w:val="007B08F6"/>
    <w:rsid w:val="007C067A"/>
    <w:rsid w:val="007C3968"/>
    <w:rsid w:val="007C4439"/>
    <w:rsid w:val="007D53F0"/>
    <w:rsid w:val="007E04D1"/>
    <w:rsid w:val="007F4194"/>
    <w:rsid w:val="007F481A"/>
    <w:rsid w:val="00811E0E"/>
    <w:rsid w:val="00816B74"/>
    <w:rsid w:val="00821B8B"/>
    <w:rsid w:val="00824868"/>
    <w:rsid w:val="0084641C"/>
    <w:rsid w:val="00854EEF"/>
    <w:rsid w:val="0085513F"/>
    <w:rsid w:val="008708EB"/>
    <w:rsid w:val="00876296"/>
    <w:rsid w:val="00877FA4"/>
    <w:rsid w:val="00881EA1"/>
    <w:rsid w:val="00883925"/>
    <w:rsid w:val="008863DF"/>
    <w:rsid w:val="00893FD3"/>
    <w:rsid w:val="00895A63"/>
    <w:rsid w:val="008B7363"/>
    <w:rsid w:val="008B76AB"/>
    <w:rsid w:val="008C021B"/>
    <w:rsid w:val="008C1F5A"/>
    <w:rsid w:val="008D6315"/>
    <w:rsid w:val="008F2338"/>
    <w:rsid w:val="008F4288"/>
    <w:rsid w:val="008F4727"/>
    <w:rsid w:val="0092391C"/>
    <w:rsid w:val="00925637"/>
    <w:rsid w:val="00925C60"/>
    <w:rsid w:val="00925E1E"/>
    <w:rsid w:val="009307E7"/>
    <w:rsid w:val="00945AAC"/>
    <w:rsid w:val="0095244B"/>
    <w:rsid w:val="00973A90"/>
    <w:rsid w:val="00983B6D"/>
    <w:rsid w:val="00987F04"/>
    <w:rsid w:val="009928A8"/>
    <w:rsid w:val="009A136E"/>
    <w:rsid w:val="009A395A"/>
    <w:rsid w:val="009B1F8D"/>
    <w:rsid w:val="009B336A"/>
    <w:rsid w:val="009B3606"/>
    <w:rsid w:val="009B6FEF"/>
    <w:rsid w:val="009B74DF"/>
    <w:rsid w:val="009B7A0C"/>
    <w:rsid w:val="009C047A"/>
    <w:rsid w:val="009C44CB"/>
    <w:rsid w:val="009C7D05"/>
    <w:rsid w:val="009D3128"/>
    <w:rsid w:val="009F2592"/>
    <w:rsid w:val="009F6996"/>
    <w:rsid w:val="00A12DB3"/>
    <w:rsid w:val="00A132D3"/>
    <w:rsid w:val="00A144C3"/>
    <w:rsid w:val="00A15ACD"/>
    <w:rsid w:val="00A2329F"/>
    <w:rsid w:val="00A26FB7"/>
    <w:rsid w:val="00A3036B"/>
    <w:rsid w:val="00A3326E"/>
    <w:rsid w:val="00A33AA3"/>
    <w:rsid w:val="00A35211"/>
    <w:rsid w:val="00A41C32"/>
    <w:rsid w:val="00A42820"/>
    <w:rsid w:val="00A45F36"/>
    <w:rsid w:val="00A507FB"/>
    <w:rsid w:val="00A51C70"/>
    <w:rsid w:val="00A54CFA"/>
    <w:rsid w:val="00A55BFD"/>
    <w:rsid w:val="00A63D1F"/>
    <w:rsid w:val="00A66D9A"/>
    <w:rsid w:val="00A932E8"/>
    <w:rsid w:val="00A93F93"/>
    <w:rsid w:val="00A94BA5"/>
    <w:rsid w:val="00A956D9"/>
    <w:rsid w:val="00AA05E1"/>
    <w:rsid w:val="00AA18EA"/>
    <w:rsid w:val="00AB3F24"/>
    <w:rsid w:val="00AC050B"/>
    <w:rsid w:val="00AD3BF0"/>
    <w:rsid w:val="00AE019C"/>
    <w:rsid w:val="00AE26F5"/>
    <w:rsid w:val="00AE4BE7"/>
    <w:rsid w:val="00AE5944"/>
    <w:rsid w:val="00AF586F"/>
    <w:rsid w:val="00B00E2A"/>
    <w:rsid w:val="00B10E50"/>
    <w:rsid w:val="00B11365"/>
    <w:rsid w:val="00B12A84"/>
    <w:rsid w:val="00B16482"/>
    <w:rsid w:val="00B2018F"/>
    <w:rsid w:val="00B22201"/>
    <w:rsid w:val="00B22BED"/>
    <w:rsid w:val="00B23D50"/>
    <w:rsid w:val="00B2695C"/>
    <w:rsid w:val="00B31905"/>
    <w:rsid w:val="00B36A90"/>
    <w:rsid w:val="00B375B2"/>
    <w:rsid w:val="00B408EE"/>
    <w:rsid w:val="00B518A9"/>
    <w:rsid w:val="00B532F9"/>
    <w:rsid w:val="00B603CA"/>
    <w:rsid w:val="00B60610"/>
    <w:rsid w:val="00B66DEC"/>
    <w:rsid w:val="00B67C85"/>
    <w:rsid w:val="00B74197"/>
    <w:rsid w:val="00B7594C"/>
    <w:rsid w:val="00B77880"/>
    <w:rsid w:val="00B900B9"/>
    <w:rsid w:val="00B93204"/>
    <w:rsid w:val="00B932F8"/>
    <w:rsid w:val="00B95042"/>
    <w:rsid w:val="00B9726C"/>
    <w:rsid w:val="00BA3870"/>
    <w:rsid w:val="00BA5F83"/>
    <w:rsid w:val="00BA62C7"/>
    <w:rsid w:val="00BB1234"/>
    <w:rsid w:val="00BB1EC5"/>
    <w:rsid w:val="00BC2560"/>
    <w:rsid w:val="00BC47B3"/>
    <w:rsid w:val="00BC4DC1"/>
    <w:rsid w:val="00BD12E1"/>
    <w:rsid w:val="00BE569B"/>
    <w:rsid w:val="00C045C8"/>
    <w:rsid w:val="00C11FCC"/>
    <w:rsid w:val="00C135E0"/>
    <w:rsid w:val="00C14A1D"/>
    <w:rsid w:val="00C27186"/>
    <w:rsid w:val="00C3595E"/>
    <w:rsid w:val="00C40AF9"/>
    <w:rsid w:val="00C4259A"/>
    <w:rsid w:val="00C4492B"/>
    <w:rsid w:val="00C46C26"/>
    <w:rsid w:val="00C51411"/>
    <w:rsid w:val="00C51801"/>
    <w:rsid w:val="00C52EE1"/>
    <w:rsid w:val="00C618F1"/>
    <w:rsid w:val="00C72118"/>
    <w:rsid w:val="00C8055B"/>
    <w:rsid w:val="00C916C9"/>
    <w:rsid w:val="00CA2099"/>
    <w:rsid w:val="00CB50B2"/>
    <w:rsid w:val="00CB6ABC"/>
    <w:rsid w:val="00CC3F30"/>
    <w:rsid w:val="00CC4342"/>
    <w:rsid w:val="00CD2D20"/>
    <w:rsid w:val="00CE3FE9"/>
    <w:rsid w:val="00CE6FC4"/>
    <w:rsid w:val="00CF18FF"/>
    <w:rsid w:val="00CF4BF5"/>
    <w:rsid w:val="00CF5873"/>
    <w:rsid w:val="00D001CD"/>
    <w:rsid w:val="00D002FE"/>
    <w:rsid w:val="00D00879"/>
    <w:rsid w:val="00D0180E"/>
    <w:rsid w:val="00D07BFF"/>
    <w:rsid w:val="00D1458E"/>
    <w:rsid w:val="00D151B0"/>
    <w:rsid w:val="00D152C4"/>
    <w:rsid w:val="00D222E0"/>
    <w:rsid w:val="00D34280"/>
    <w:rsid w:val="00D45AA8"/>
    <w:rsid w:val="00D47493"/>
    <w:rsid w:val="00D54EBB"/>
    <w:rsid w:val="00D552BF"/>
    <w:rsid w:val="00D65263"/>
    <w:rsid w:val="00D70973"/>
    <w:rsid w:val="00D73253"/>
    <w:rsid w:val="00D75634"/>
    <w:rsid w:val="00D7591E"/>
    <w:rsid w:val="00D95C08"/>
    <w:rsid w:val="00DA7257"/>
    <w:rsid w:val="00DA7753"/>
    <w:rsid w:val="00DB7723"/>
    <w:rsid w:val="00DC032E"/>
    <w:rsid w:val="00DC28AA"/>
    <w:rsid w:val="00DC7B47"/>
    <w:rsid w:val="00DD68AB"/>
    <w:rsid w:val="00DE69E4"/>
    <w:rsid w:val="00DF1326"/>
    <w:rsid w:val="00DF25A3"/>
    <w:rsid w:val="00E11F34"/>
    <w:rsid w:val="00E12745"/>
    <w:rsid w:val="00E1611A"/>
    <w:rsid w:val="00E16622"/>
    <w:rsid w:val="00E215C8"/>
    <w:rsid w:val="00E43B17"/>
    <w:rsid w:val="00E459E4"/>
    <w:rsid w:val="00E465FF"/>
    <w:rsid w:val="00E56846"/>
    <w:rsid w:val="00E61DCD"/>
    <w:rsid w:val="00E6215A"/>
    <w:rsid w:val="00E773C0"/>
    <w:rsid w:val="00E80274"/>
    <w:rsid w:val="00E81229"/>
    <w:rsid w:val="00E81D0D"/>
    <w:rsid w:val="00E82253"/>
    <w:rsid w:val="00EA1547"/>
    <w:rsid w:val="00EA5CF6"/>
    <w:rsid w:val="00EB1536"/>
    <w:rsid w:val="00EB2B5B"/>
    <w:rsid w:val="00EB3B32"/>
    <w:rsid w:val="00EB5E24"/>
    <w:rsid w:val="00EB764C"/>
    <w:rsid w:val="00EE0B5E"/>
    <w:rsid w:val="00EE37E4"/>
    <w:rsid w:val="00EF5204"/>
    <w:rsid w:val="00EF5DBD"/>
    <w:rsid w:val="00F00A28"/>
    <w:rsid w:val="00F217FC"/>
    <w:rsid w:val="00F233BD"/>
    <w:rsid w:val="00F248CF"/>
    <w:rsid w:val="00F24F5B"/>
    <w:rsid w:val="00F265D6"/>
    <w:rsid w:val="00F27C24"/>
    <w:rsid w:val="00F27F18"/>
    <w:rsid w:val="00F32877"/>
    <w:rsid w:val="00F32E10"/>
    <w:rsid w:val="00F3446D"/>
    <w:rsid w:val="00F34562"/>
    <w:rsid w:val="00F349E8"/>
    <w:rsid w:val="00F34E1E"/>
    <w:rsid w:val="00F3770E"/>
    <w:rsid w:val="00F4095B"/>
    <w:rsid w:val="00F44701"/>
    <w:rsid w:val="00F45CC4"/>
    <w:rsid w:val="00F52644"/>
    <w:rsid w:val="00F54D5D"/>
    <w:rsid w:val="00F563C3"/>
    <w:rsid w:val="00F64DE5"/>
    <w:rsid w:val="00F76794"/>
    <w:rsid w:val="00F93464"/>
    <w:rsid w:val="00F97DB2"/>
    <w:rsid w:val="00FA01EE"/>
    <w:rsid w:val="00FA51B9"/>
    <w:rsid w:val="00FA707A"/>
    <w:rsid w:val="00FB08C3"/>
    <w:rsid w:val="00FB1CE3"/>
    <w:rsid w:val="00FB3484"/>
    <w:rsid w:val="00FB69E4"/>
    <w:rsid w:val="00FC0764"/>
    <w:rsid w:val="00FC2257"/>
    <w:rsid w:val="00FC3B60"/>
    <w:rsid w:val="00FC653B"/>
    <w:rsid w:val="00FD21B0"/>
    <w:rsid w:val="00FE0B36"/>
    <w:rsid w:val="00FE1722"/>
    <w:rsid w:val="00FE4190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191B"/>
  <w15:chartTrackingRefBased/>
  <w15:docId w15:val="{7BEF7F5A-3FBC-4301-99C8-5BF64D6C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6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7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A5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uiPriority w:val="99"/>
    <w:rsid w:val="00C135E0"/>
    <w:pPr>
      <w:spacing w:line="240" w:lineRule="auto"/>
    </w:pPr>
    <w:rPr>
      <w:rFonts w:ascii="Calibri" w:eastAsia="Times New Roman" w:hAnsi="Calibri" w:cs="Times New Roman"/>
      <w:noProof/>
    </w:rPr>
  </w:style>
  <w:style w:type="character" w:customStyle="1" w:styleId="EndNoteBibliographyChar">
    <w:name w:val="EndNote Bibliography Char"/>
    <w:link w:val="EndNoteBibliography"/>
    <w:uiPriority w:val="99"/>
    <w:locked/>
    <w:rsid w:val="00C135E0"/>
    <w:rPr>
      <w:rFonts w:ascii="Calibri" w:eastAsia="Times New Roman" w:hAnsi="Calibri" w:cs="Times New Roman"/>
      <w:noProof/>
    </w:rPr>
  </w:style>
  <w:style w:type="character" w:styleId="Hyperlink">
    <w:name w:val="Hyperlink"/>
    <w:basedOn w:val="DefaultParagraphFont"/>
    <w:uiPriority w:val="99"/>
    <w:unhideWhenUsed/>
    <w:rsid w:val="00324C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6B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7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6E77C7"/>
  </w:style>
  <w:style w:type="character" w:styleId="Strong">
    <w:name w:val="Strong"/>
    <w:basedOn w:val="DefaultParagraphFont"/>
    <w:uiPriority w:val="22"/>
    <w:qFormat/>
    <w:rsid w:val="006E77C7"/>
    <w:rPr>
      <w:b/>
      <w:bCs/>
    </w:rPr>
  </w:style>
  <w:style w:type="character" w:customStyle="1" w:styleId="hidden">
    <w:name w:val="hidden"/>
    <w:basedOn w:val="DefaultParagraphFont"/>
    <w:rsid w:val="006E77C7"/>
  </w:style>
  <w:style w:type="paragraph" w:customStyle="1" w:styleId="Caption1">
    <w:name w:val="Caption1"/>
    <w:basedOn w:val="Normal"/>
    <w:rsid w:val="006E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-view-style">
    <w:name w:val="standard-view-style"/>
    <w:basedOn w:val="DefaultParagraphFont"/>
    <w:rsid w:val="006E77C7"/>
  </w:style>
  <w:style w:type="paragraph" w:customStyle="1" w:styleId="abstract">
    <w:name w:val="abstract"/>
    <w:basedOn w:val="Normal"/>
    <w:rsid w:val="006E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results">
    <w:name w:val="subjectresults"/>
    <w:basedOn w:val="Normal"/>
    <w:rsid w:val="006E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">
    <w:name w:val="item"/>
    <w:basedOn w:val="DefaultParagraphFont"/>
    <w:rsid w:val="006E77C7"/>
  </w:style>
  <w:style w:type="character" w:customStyle="1" w:styleId="Heading1Char">
    <w:name w:val="Heading 1 Char"/>
    <w:basedOn w:val="DefaultParagraphFont"/>
    <w:link w:val="Heading1"/>
    <w:uiPriority w:val="9"/>
    <w:rsid w:val="005E05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blication-meta-separator">
    <w:name w:val="publication-meta-separator"/>
    <w:basedOn w:val="DefaultParagraphFont"/>
    <w:rsid w:val="005E0586"/>
  </w:style>
  <w:style w:type="character" w:customStyle="1" w:styleId="publication-meta-journal">
    <w:name w:val="publication-meta-journal"/>
    <w:basedOn w:val="DefaultParagraphFont"/>
    <w:rsid w:val="005E0586"/>
  </w:style>
  <w:style w:type="character" w:customStyle="1" w:styleId="publication-author-position">
    <w:name w:val="publication-author-position"/>
    <w:basedOn w:val="DefaultParagraphFont"/>
    <w:rsid w:val="005E0586"/>
  </w:style>
  <w:style w:type="character" w:customStyle="1" w:styleId="foldable-text">
    <w:name w:val="foldable-text"/>
    <w:basedOn w:val="DefaultParagraphFont"/>
    <w:rsid w:val="005E0586"/>
  </w:style>
  <w:style w:type="character" w:customStyle="1" w:styleId="text-with-line-breaks">
    <w:name w:val="text-with-line-breaks"/>
    <w:basedOn w:val="DefaultParagraphFont"/>
    <w:rsid w:val="005E0586"/>
  </w:style>
  <w:style w:type="paragraph" w:customStyle="1" w:styleId="publication-promo-body">
    <w:name w:val="publication-promo-body"/>
    <w:basedOn w:val="Normal"/>
    <w:rsid w:val="005E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cation-meta-date">
    <w:name w:val="publication-meta-date"/>
    <w:basedOn w:val="DefaultParagraphFont"/>
    <w:rsid w:val="003C10AD"/>
  </w:style>
  <w:style w:type="character" w:customStyle="1" w:styleId="publication-meta-stats">
    <w:name w:val="publication-meta-stats"/>
    <w:basedOn w:val="DefaultParagraphFont"/>
    <w:rsid w:val="003C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091">
              <w:marLeft w:val="-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8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3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2643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65">
                  <w:marLeft w:val="0"/>
                  <w:marRight w:val="0"/>
                  <w:marTop w:val="0"/>
                  <w:marBottom w:val="0"/>
                  <w:divBdr>
                    <w:top w:val="single" w:sz="6" w:space="5" w:color="DDDDDD"/>
                    <w:left w:val="single" w:sz="6" w:space="5" w:color="DDDDDD"/>
                    <w:bottom w:val="single" w:sz="6" w:space="5" w:color="DDDDDD"/>
                    <w:right w:val="single" w:sz="6" w:space="5" w:color="DDDDDD"/>
                  </w:divBdr>
                  <w:divsChild>
                    <w:div w:id="9133231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32622">
                  <w:marLeft w:val="0"/>
                  <w:marRight w:val="0"/>
                  <w:marTop w:val="0"/>
                  <w:marBottom w:val="0"/>
                  <w:divBdr>
                    <w:top w:val="single" w:sz="6" w:space="5" w:color="DDDDDD"/>
                    <w:left w:val="single" w:sz="6" w:space="5" w:color="DDDDDD"/>
                    <w:bottom w:val="single" w:sz="6" w:space="5" w:color="DDDDDD"/>
                    <w:right w:val="single" w:sz="6" w:space="5" w:color="DDDDDD"/>
                  </w:divBdr>
                  <w:divsChild>
                    <w:div w:id="17028264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357168">
                  <w:marLeft w:val="0"/>
                  <w:marRight w:val="0"/>
                  <w:marTop w:val="0"/>
                  <w:marBottom w:val="0"/>
                  <w:divBdr>
                    <w:top w:val="single" w:sz="6" w:space="5" w:color="DDDDDD"/>
                    <w:left w:val="single" w:sz="6" w:space="5" w:color="DDDDDD"/>
                    <w:bottom w:val="single" w:sz="6" w:space="5" w:color="DDDDDD"/>
                    <w:right w:val="single" w:sz="6" w:space="5" w:color="DDDDDD"/>
                  </w:divBdr>
                  <w:divsChild>
                    <w:div w:id="1900819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527265">
                  <w:marLeft w:val="0"/>
                  <w:marRight w:val="0"/>
                  <w:marTop w:val="0"/>
                  <w:marBottom w:val="0"/>
                  <w:divBdr>
                    <w:top w:val="single" w:sz="6" w:space="5" w:color="DDDDDD"/>
                    <w:left w:val="single" w:sz="6" w:space="5" w:color="DDDDDD"/>
                    <w:bottom w:val="single" w:sz="6" w:space="5" w:color="DDDDDD"/>
                    <w:right w:val="single" w:sz="6" w:space="5" w:color="DDDDDD"/>
                  </w:divBdr>
                  <w:divsChild>
                    <w:div w:id="5485414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0540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94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069">
              <w:marLeft w:val="0"/>
              <w:marRight w:val="0"/>
              <w:marTop w:val="4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18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tudio.com/" TargetMode="External"/><Relationship Id="rId5" Type="http://schemas.openxmlformats.org/officeDocument/2006/relationships/hyperlink" Target="http://assets.sportanddev.org/downloads/international_position_statement_on_physical_educ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ssofo</dc:creator>
  <cp:keywords/>
  <dc:description/>
  <cp:lastModifiedBy>ssofo</cp:lastModifiedBy>
  <cp:revision>84</cp:revision>
  <dcterms:created xsi:type="dcterms:W3CDTF">2016-07-24T17:29:00Z</dcterms:created>
  <dcterms:modified xsi:type="dcterms:W3CDTF">2016-07-25T17:20:00Z</dcterms:modified>
</cp:coreProperties>
</file>