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28" w:rsidRPr="00A5146B" w:rsidRDefault="005A2028" w:rsidP="00BF5C8D">
      <w:pPr>
        <w:pStyle w:val="MDPI13authornames"/>
        <w:jc w:val="center"/>
        <w:rPr>
          <w:rFonts w:asciiTheme="majorBidi" w:hAnsiTheme="majorBidi" w:cstheme="majorBidi"/>
          <w:snapToGrid w:val="0"/>
          <w:color w:val="auto"/>
          <w:sz w:val="36"/>
          <w:szCs w:val="20"/>
        </w:rPr>
      </w:pPr>
      <w:r w:rsidRPr="00A5146B">
        <w:rPr>
          <w:rFonts w:asciiTheme="majorBidi" w:hAnsiTheme="majorBidi" w:cstheme="majorBidi"/>
          <w:snapToGrid w:val="0"/>
          <w:sz w:val="36"/>
          <w:szCs w:val="20"/>
        </w:rPr>
        <w:t>GDP and Inflation: New Story from a Developing World</w:t>
      </w:r>
      <w:r w:rsidRPr="00A5146B">
        <w:rPr>
          <w:rFonts w:asciiTheme="majorBidi" w:hAnsiTheme="majorBidi" w:cstheme="majorBidi"/>
          <w:snapToGrid w:val="0"/>
          <w:sz w:val="36"/>
          <w:szCs w:val="20"/>
        </w:rPr>
        <w:br/>
        <w:t xml:space="preserve">Case </w:t>
      </w:r>
      <w:r w:rsidRPr="00A5146B">
        <w:rPr>
          <w:rFonts w:asciiTheme="majorBidi" w:hAnsiTheme="majorBidi" w:cstheme="majorBidi"/>
          <w:snapToGrid w:val="0"/>
          <w:color w:val="auto"/>
          <w:sz w:val="36"/>
          <w:szCs w:val="20"/>
        </w:rPr>
        <w:t>of Jordan</w:t>
      </w:r>
    </w:p>
    <w:p w:rsidR="005A2028" w:rsidRPr="00A5146B" w:rsidRDefault="005A2028" w:rsidP="00BF5C8D">
      <w:pPr>
        <w:adjustRightInd w:val="0"/>
        <w:snapToGrid w:val="0"/>
        <w:spacing w:after="360"/>
        <w:jc w:val="center"/>
        <w:rPr>
          <w:rFonts w:asciiTheme="majorBidi" w:eastAsia="Times New Roman" w:hAnsiTheme="majorBidi" w:cstheme="majorBidi"/>
          <w:b/>
          <w:kern w:val="2"/>
          <w:vertAlign w:val="superscript"/>
          <w:lang w:eastAsia="de-DE" w:bidi="en-US"/>
          <w14:ligatures w14:val="standardContextual"/>
        </w:rPr>
      </w:pPr>
      <w:proofErr w:type="spellStart"/>
      <w:r w:rsidRPr="00A5146B">
        <w:rPr>
          <w:rFonts w:asciiTheme="majorBidi" w:eastAsia="Times New Roman" w:hAnsiTheme="majorBidi" w:cstheme="majorBidi"/>
          <w:b/>
          <w:kern w:val="2"/>
          <w:lang w:eastAsia="de-DE" w:bidi="en-US"/>
          <w14:ligatures w14:val="standardContextual"/>
        </w:rPr>
        <w:t>Rasha</w:t>
      </w:r>
      <w:proofErr w:type="spellEnd"/>
      <w:r w:rsidRPr="00A5146B">
        <w:rPr>
          <w:rFonts w:asciiTheme="majorBidi" w:eastAsia="Times New Roman" w:hAnsiTheme="majorBidi" w:cstheme="majorBidi"/>
          <w:b/>
          <w:kern w:val="2"/>
          <w:lang w:eastAsia="de-DE" w:bidi="en-US"/>
          <w14:ligatures w14:val="standardContextual"/>
        </w:rPr>
        <w:t xml:space="preserve"> Istaiteyeh</w:t>
      </w:r>
      <w:r w:rsidR="00363D7E" w:rsidRPr="00A5146B">
        <w:rPr>
          <w:rFonts w:asciiTheme="majorBidi" w:eastAsia="Times New Roman" w:hAnsiTheme="majorBidi" w:cstheme="majorBidi"/>
          <w:b/>
          <w:kern w:val="2"/>
          <w:vertAlign w:val="superscript"/>
          <w:lang w:eastAsia="de-DE" w:bidi="en-US"/>
          <w14:ligatures w14:val="standardContextual"/>
        </w:rPr>
        <w:t>1,</w:t>
      </w:r>
      <w:r w:rsidRPr="00A5146B">
        <w:rPr>
          <w:rFonts w:asciiTheme="majorBidi" w:eastAsia="Times New Roman" w:hAnsiTheme="majorBidi" w:cstheme="majorBidi"/>
          <w:b/>
          <w:kern w:val="2"/>
          <w:lang w:eastAsia="de-DE" w:bidi="en-US"/>
          <w14:ligatures w14:val="standardContextual"/>
        </w:rPr>
        <w:t xml:space="preserve">*, </w:t>
      </w:r>
      <w:r w:rsidR="006515BA" w:rsidRPr="00A5146B">
        <w:rPr>
          <w:rFonts w:asciiTheme="majorBidi" w:eastAsia="Times New Roman" w:hAnsiTheme="majorBidi" w:cstheme="majorBidi"/>
          <w:b/>
          <w:kern w:val="2"/>
          <w:lang w:eastAsia="de-DE" w:bidi="en-US"/>
          <w14:ligatures w14:val="standardContextual"/>
        </w:rPr>
        <w:t xml:space="preserve">and </w:t>
      </w:r>
      <w:r w:rsidRPr="00A5146B">
        <w:rPr>
          <w:rFonts w:asciiTheme="majorBidi" w:eastAsia="Times New Roman" w:hAnsiTheme="majorBidi" w:cstheme="majorBidi"/>
          <w:b/>
          <w:kern w:val="2"/>
          <w:lang w:eastAsia="de-DE" w:bidi="en-US"/>
          <w14:ligatures w14:val="standardContextual"/>
        </w:rPr>
        <w:t>Farah Najem</w:t>
      </w:r>
      <w:r w:rsidR="00363D7E" w:rsidRPr="00A5146B">
        <w:rPr>
          <w:rFonts w:asciiTheme="majorBidi" w:eastAsia="Times New Roman" w:hAnsiTheme="majorBidi" w:cstheme="majorBidi"/>
          <w:b/>
          <w:kern w:val="2"/>
          <w:vertAlign w:val="superscript"/>
          <w:lang w:eastAsia="de-DE" w:bidi="en-US"/>
          <w14:ligatures w14:val="standardContextual"/>
        </w:rPr>
        <w:t>2</w:t>
      </w:r>
    </w:p>
    <w:p w:rsidR="005A2028" w:rsidRPr="00A5146B" w:rsidRDefault="005A2028" w:rsidP="00BF5C8D">
      <w:pPr>
        <w:adjustRightInd w:val="0"/>
        <w:snapToGrid w:val="0"/>
        <w:spacing w:line="240" w:lineRule="auto"/>
        <w:rPr>
          <w:rFonts w:asciiTheme="majorBidi" w:eastAsia="Times New Roman" w:hAnsiTheme="majorBidi" w:cstheme="majorBidi"/>
          <w:kern w:val="2"/>
          <w:sz w:val="16"/>
          <w:szCs w:val="18"/>
          <w:lang w:eastAsia="de-DE" w:bidi="en-US"/>
          <w14:ligatures w14:val="standardContextual"/>
        </w:rPr>
      </w:pPr>
      <w:r w:rsidRPr="00A5146B">
        <w:rPr>
          <w:rFonts w:asciiTheme="majorBidi" w:eastAsia="Times New Roman" w:hAnsiTheme="majorBidi" w:cstheme="majorBidi"/>
          <w:kern w:val="2"/>
          <w:sz w:val="16"/>
          <w:szCs w:val="18"/>
          <w:vertAlign w:val="superscript"/>
          <w:lang w:eastAsia="de-DE" w:bidi="en-US"/>
          <w14:ligatures w14:val="standardContextual"/>
        </w:rPr>
        <w:t>1</w:t>
      </w:r>
      <w:r w:rsidRPr="00A5146B">
        <w:rPr>
          <w:rFonts w:asciiTheme="majorBidi" w:eastAsia="Times New Roman" w:hAnsiTheme="majorBidi" w:cstheme="majorBidi"/>
          <w:kern w:val="2"/>
          <w:sz w:val="16"/>
          <w:szCs w:val="18"/>
          <w:lang w:eastAsia="de-DE" w:bidi="en-US"/>
          <w14:ligatures w14:val="standardContextual"/>
        </w:rPr>
        <w:tab/>
        <w:t xml:space="preserve">Department of Economics, Faculty of Economics and Administrative Sciences; The Hashemite University, </w:t>
      </w:r>
      <w:proofErr w:type="spellStart"/>
      <w:r w:rsidRPr="00A5146B">
        <w:rPr>
          <w:rFonts w:asciiTheme="majorBidi" w:eastAsia="Times New Roman" w:hAnsiTheme="majorBidi" w:cstheme="majorBidi"/>
          <w:kern w:val="2"/>
          <w:sz w:val="16"/>
          <w:szCs w:val="18"/>
          <w:lang w:eastAsia="de-DE" w:bidi="en-US"/>
          <w14:ligatures w14:val="standardContextual"/>
        </w:rPr>
        <w:t>Zarqa</w:t>
      </w:r>
      <w:proofErr w:type="spellEnd"/>
      <w:r w:rsidRPr="00A5146B">
        <w:rPr>
          <w:rFonts w:asciiTheme="majorBidi" w:eastAsia="Times New Roman" w:hAnsiTheme="majorBidi" w:cstheme="majorBidi"/>
          <w:kern w:val="2"/>
          <w:sz w:val="16"/>
          <w:szCs w:val="18"/>
          <w:lang w:eastAsia="de-DE" w:bidi="en-US"/>
          <w14:ligatures w14:val="standardContextual"/>
        </w:rPr>
        <w:t xml:space="preserve">, P.O. Box 330116, Postal Code 13133, Jordan; </w:t>
      </w:r>
      <w:hyperlink r:id="rId8" w:history="1">
        <w:r w:rsidRPr="00A5146B">
          <w:rPr>
            <w:rFonts w:asciiTheme="majorBidi" w:eastAsia="Times New Roman" w:hAnsiTheme="majorBidi" w:cstheme="majorBidi"/>
            <w:color w:val="0000FF"/>
            <w:kern w:val="2"/>
            <w:sz w:val="16"/>
            <w:szCs w:val="18"/>
            <w:u w:val="single"/>
            <w:lang w:eastAsia="de-DE" w:bidi="en-US"/>
            <w14:ligatures w14:val="standardContextual"/>
          </w:rPr>
          <w:t>ristaiteyeh@hu.edu.jo</w:t>
        </w:r>
      </w:hyperlink>
      <w:r w:rsidRPr="00A5146B">
        <w:rPr>
          <w:rFonts w:asciiTheme="majorBidi" w:eastAsia="Times New Roman" w:hAnsiTheme="majorBidi" w:cstheme="majorBidi"/>
          <w:kern w:val="2"/>
          <w:sz w:val="16"/>
          <w:szCs w:val="18"/>
          <w:lang w:eastAsia="de-DE" w:bidi="en-US"/>
          <w14:ligatures w14:val="standardContextual"/>
        </w:rPr>
        <w:t xml:space="preserve"> </w:t>
      </w:r>
      <w:r w:rsidR="0028565F" w:rsidRPr="00A5146B">
        <w:rPr>
          <w:rFonts w:asciiTheme="majorBidi" w:eastAsia="Times New Roman" w:hAnsiTheme="majorBidi" w:cstheme="majorBidi"/>
          <w:kern w:val="2"/>
          <w:sz w:val="16"/>
          <w:szCs w:val="18"/>
          <w:lang w:eastAsia="de-DE" w:bidi="en-US"/>
          <w14:ligatures w14:val="standardContextual"/>
        </w:rPr>
        <w:br/>
      </w:r>
      <w:r w:rsidRPr="00A5146B">
        <w:rPr>
          <w:rFonts w:asciiTheme="majorBidi" w:eastAsia="Times New Roman" w:hAnsiTheme="majorBidi" w:cstheme="majorBidi"/>
          <w:kern w:val="2"/>
          <w:sz w:val="16"/>
          <w:szCs w:val="18"/>
          <w:vertAlign w:val="superscript"/>
          <w:lang w:eastAsia="de-DE" w:bidi="en-US"/>
          <w14:ligatures w14:val="standardContextual"/>
        </w:rPr>
        <w:t>2</w:t>
      </w:r>
      <w:r w:rsidRPr="00A5146B">
        <w:rPr>
          <w:rFonts w:asciiTheme="majorBidi" w:eastAsia="Times New Roman" w:hAnsiTheme="majorBidi" w:cstheme="majorBidi"/>
          <w:kern w:val="2"/>
          <w:sz w:val="16"/>
          <w:szCs w:val="18"/>
          <w:lang w:eastAsia="de-DE" w:bidi="en-US"/>
          <w14:ligatures w14:val="standardContextual"/>
        </w:rPr>
        <w:tab/>
      </w:r>
      <w:r w:rsidR="00C251B7" w:rsidRPr="00A5146B">
        <w:rPr>
          <w:rFonts w:asciiTheme="majorBidi" w:eastAsia="Times New Roman" w:hAnsiTheme="majorBidi" w:cstheme="majorBidi"/>
          <w:kern w:val="2"/>
          <w:sz w:val="16"/>
          <w:szCs w:val="18"/>
          <w:lang w:eastAsia="de-DE" w:bidi="en-US"/>
          <w14:ligatures w14:val="standardContextual"/>
        </w:rPr>
        <w:t>Independent Researcher</w:t>
      </w:r>
      <w:r w:rsidRPr="00A5146B">
        <w:rPr>
          <w:rFonts w:asciiTheme="majorBidi" w:eastAsia="Times New Roman" w:hAnsiTheme="majorBidi" w:cstheme="majorBidi"/>
          <w:kern w:val="2"/>
          <w:sz w:val="16"/>
          <w:szCs w:val="18"/>
          <w:lang w:eastAsia="de-DE" w:bidi="en-US"/>
          <w14:ligatures w14:val="standardContextual"/>
        </w:rPr>
        <w:t xml:space="preserve">; </w:t>
      </w:r>
      <w:hyperlink r:id="rId9" w:history="1">
        <w:r w:rsidRPr="00A5146B">
          <w:rPr>
            <w:rFonts w:asciiTheme="majorBidi" w:eastAsia="Times New Roman" w:hAnsiTheme="majorBidi" w:cstheme="majorBidi"/>
            <w:color w:val="0000FF"/>
            <w:kern w:val="2"/>
            <w:sz w:val="16"/>
            <w:szCs w:val="18"/>
            <w:u w:val="single"/>
            <w:lang w:eastAsia="de-DE" w:bidi="en-US"/>
            <w14:ligatures w14:val="standardContextual"/>
          </w:rPr>
          <w:t>farahnajem1992@gmail.com</w:t>
        </w:r>
      </w:hyperlink>
      <w:r w:rsidRPr="00A5146B">
        <w:rPr>
          <w:rFonts w:asciiTheme="majorBidi" w:eastAsia="Times New Roman" w:hAnsiTheme="majorBidi" w:cstheme="majorBidi"/>
          <w:kern w:val="2"/>
          <w:sz w:val="16"/>
          <w:szCs w:val="18"/>
          <w:lang w:eastAsia="de-DE" w:bidi="en-US"/>
          <w14:ligatures w14:val="standardContextual"/>
        </w:rPr>
        <w:t xml:space="preserve">  </w:t>
      </w:r>
      <w:r w:rsidR="0028565F" w:rsidRPr="00A5146B">
        <w:rPr>
          <w:rFonts w:asciiTheme="majorBidi" w:eastAsia="Times New Roman" w:hAnsiTheme="majorBidi" w:cstheme="majorBidi"/>
          <w:kern w:val="2"/>
          <w:sz w:val="16"/>
          <w:szCs w:val="18"/>
          <w:lang w:eastAsia="de-DE" w:bidi="en-US"/>
          <w14:ligatures w14:val="standardContextual"/>
        </w:rPr>
        <w:br/>
      </w:r>
      <w:r w:rsidRPr="00A5146B">
        <w:rPr>
          <w:rFonts w:asciiTheme="majorBidi" w:eastAsia="Times New Roman" w:hAnsiTheme="majorBidi" w:cstheme="majorBidi"/>
          <w:b/>
          <w:kern w:val="2"/>
          <w:sz w:val="16"/>
          <w:szCs w:val="18"/>
          <w:lang w:eastAsia="de-DE" w:bidi="en-US"/>
          <w14:ligatures w14:val="standardContextual"/>
        </w:rPr>
        <w:t>*</w:t>
      </w:r>
      <w:r w:rsidRPr="00A5146B">
        <w:rPr>
          <w:rFonts w:asciiTheme="majorBidi" w:eastAsia="Times New Roman" w:hAnsiTheme="majorBidi" w:cstheme="majorBidi"/>
          <w:kern w:val="2"/>
          <w:sz w:val="16"/>
          <w:szCs w:val="18"/>
          <w:lang w:eastAsia="de-DE" w:bidi="en-US"/>
          <w14:ligatures w14:val="standardContextual"/>
        </w:rPr>
        <w:tab/>
        <w:t xml:space="preserve">Correspondence: </w:t>
      </w:r>
      <w:hyperlink r:id="rId10" w:history="1">
        <w:r w:rsidRPr="00A5146B">
          <w:rPr>
            <w:rFonts w:asciiTheme="majorBidi" w:eastAsia="Times New Roman" w:hAnsiTheme="majorBidi" w:cstheme="majorBidi"/>
            <w:color w:val="0000FF"/>
            <w:kern w:val="2"/>
            <w:sz w:val="16"/>
            <w:szCs w:val="18"/>
            <w:u w:val="single"/>
            <w:lang w:eastAsia="de-DE" w:bidi="en-US"/>
            <w14:ligatures w14:val="standardContextual"/>
          </w:rPr>
          <w:t>ristaiteyeh@hu.edu.jo</w:t>
        </w:r>
      </w:hyperlink>
      <w:r w:rsidRPr="00A5146B">
        <w:rPr>
          <w:rFonts w:asciiTheme="majorBidi" w:eastAsia="Times New Roman" w:hAnsiTheme="majorBidi" w:cstheme="majorBidi"/>
          <w:kern w:val="2"/>
          <w:sz w:val="16"/>
          <w:szCs w:val="18"/>
          <w:lang w:eastAsia="de-DE" w:bidi="en-US"/>
          <w14:ligatures w14:val="standardContextual"/>
        </w:rPr>
        <w:t xml:space="preserve"> </w:t>
      </w:r>
    </w:p>
    <w:p w:rsidR="00BF5C8D" w:rsidRDefault="00BF5C8D" w:rsidP="00BF5C8D">
      <w:pPr>
        <w:pStyle w:val="MDPI17abstract"/>
        <w:ind w:left="0"/>
        <w:rPr>
          <w:rFonts w:asciiTheme="majorBidi" w:hAnsiTheme="majorBidi" w:cstheme="majorBidi"/>
          <w:b/>
          <w:sz w:val="22"/>
        </w:rPr>
      </w:pPr>
      <w:r>
        <w:rPr>
          <w:rFonts w:asciiTheme="majorBidi" w:hAnsiTheme="majorBidi" w:cstheme="majorBidi"/>
          <w:b/>
          <w:sz w:val="22"/>
        </w:rPr>
        <w:t xml:space="preserve">      </w:t>
      </w:r>
      <w:r w:rsidR="005A2028" w:rsidRPr="00A5146B">
        <w:rPr>
          <w:rFonts w:asciiTheme="majorBidi" w:hAnsiTheme="majorBidi" w:cstheme="majorBidi"/>
          <w:b/>
          <w:sz w:val="22"/>
        </w:rPr>
        <w:t xml:space="preserve">Abstract </w:t>
      </w:r>
    </w:p>
    <w:p w:rsidR="005A2028" w:rsidRPr="00A5146B" w:rsidRDefault="005A2028" w:rsidP="00BF5C8D">
      <w:pPr>
        <w:pStyle w:val="MDPI17abstract"/>
        <w:ind w:left="0"/>
        <w:rPr>
          <w:rFonts w:asciiTheme="majorBidi" w:hAnsiTheme="majorBidi" w:cstheme="majorBidi"/>
          <w:sz w:val="22"/>
        </w:rPr>
      </w:pPr>
      <w:r w:rsidRPr="00A5146B">
        <w:rPr>
          <w:rFonts w:asciiTheme="majorBidi" w:hAnsiTheme="majorBidi" w:cstheme="majorBidi"/>
          <w:sz w:val="22"/>
        </w:rPr>
        <w:t>This research examines the short-run and long-run relationships between inflation and economic growth in Jordan during 1977-2021. A two-variable VAR model with three lags was conducted to systematically capture the dynamics in the two-time series, inflation, and economic growth. The dynamic properties of the VAR (3) were summarized using impulse response functions and variance decompositions. There was no long-run relationship between inflation and economic growth, instead, a potential positive short-run relationship exists. Our findings are aligned with the existing body of literature on the nexus between inflation and economic growth; the results of our study can be utilized formulate macroeconomic policies by promoting economic growth which in return provides a stable economic environment without causing inflationary pressures. It could also be utilized by other countries with similar economic structures. Therefore, it is suggested that the country should maintain a moderate inflation rate for short-run growth.</w:t>
      </w:r>
    </w:p>
    <w:p w:rsidR="00A5146B" w:rsidRPr="00A5146B" w:rsidRDefault="00A5146B" w:rsidP="00A5146B">
      <w:pPr>
        <w:rPr>
          <w:rFonts w:asciiTheme="majorBidi" w:hAnsiTheme="majorBidi" w:cstheme="majorBidi"/>
          <w:lang w:eastAsia="de-DE" w:bidi="en-US"/>
        </w:rPr>
      </w:pPr>
    </w:p>
    <w:p w:rsidR="005A2028" w:rsidRPr="00A5146B" w:rsidRDefault="00BF5C8D" w:rsidP="00BF5C8D">
      <w:pPr>
        <w:pStyle w:val="MDPI16affiliation"/>
        <w:ind w:left="0" w:firstLine="0"/>
        <w:rPr>
          <w:rFonts w:asciiTheme="majorBidi" w:hAnsiTheme="majorBidi" w:cstheme="majorBidi"/>
          <w:sz w:val="22"/>
          <w:szCs w:val="22"/>
        </w:rPr>
      </w:pPr>
      <w:r>
        <w:rPr>
          <w:rFonts w:asciiTheme="majorBidi" w:hAnsiTheme="majorBidi" w:cstheme="majorBidi"/>
          <w:b/>
          <w:bCs/>
          <w:sz w:val="22"/>
          <w:szCs w:val="22"/>
        </w:rPr>
        <w:t xml:space="preserve">         </w:t>
      </w:r>
      <w:r w:rsidR="00A5146B" w:rsidRPr="00A5146B">
        <w:rPr>
          <w:rFonts w:asciiTheme="majorBidi" w:hAnsiTheme="majorBidi" w:cstheme="majorBidi"/>
          <w:b/>
          <w:bCs/>
          <w:sz w:val="22"/>
          <w:szCs w:val="22"/>
        </w:rPr>
        <w:t>JEL classification</w:t>
      </w:r>
      <w:r w:rsidR="00A5146B" w:rsidRPr="00A5146B">
        <w:rPr>
          <w:rFonts w:asciiTheme="majorBidi" w:hAnsiTheme="majorBidi" w:cstheme="majorBidi"/>
          <w:b/>
          <w:bCs/>
          <w:sz w:val="22"/>
          <w:szCs w:val="22"/>
        </w:rPr>
        <w:t>:</w:t>
      </w:r>
      <w:r w:rsidR="00A5146B" w:rsidRPr="00A5146B">
        <w:rPr>
          <w:rFonts w:asciiTheme="majorBidi" w:hAnsiTheme="majorBidi" w:cstheme="majorBidi"/>
          <w:sz w:val="22"/>
          <w:szCs w:val="22"/>
        </w:rPr>
        <w:t xml:space="preserve"> E6, E31, O11</w:t>
      </w:r>
    </w:p>
    <w:p w:rsidR="005A2028" w:rsidRPr="00A5146B" w:rsidRDefault="00BF5C8D" w:rsidP="00BF5C8D">
      <w:pPr>
        <w:pStyle w:val="MDPI18keywords"/>
        <w:ind w:left="0"/>
        <w:rPr>
          <w:rFonts w:asciiTheme="majorBidi" w:hAnsiTheme="majorBidi" w:cstheme="majorBidi"/>
          <w:szCs w:val="18"/>
        </w:rPr>
      </w:pPr>
      <w:r>
        <w:rPr>
          <w:rFonts w:asciiTheme="majorBidi" w:hAnsiTheme="majorBidi" w:cstheme="majorBidi"/>
          <w:b/>
          <w:sz w:val="22"/>
        </w:rPr>
        <w:t xml:space="preserve">          </w:t>
      </w:r>
      <w:r w:rsidR="005A2028" w:rsidRPr="00A5146B">
        <w:rPr>
          <w:rFonts w:asciiTheme="majorBidi" w:hAnsiTheme="majorBidi" w:cstheme="majorBidi"/>
          <w:b/>
          <w:sz w:val="22"/>
        </w:rPr>
        <w:t xml:space="preserve">Keywords: </w:t>
      </w:r>
      <w:r w:rsidR="005A2028" w:rsidRPr="00A5146B">
        <w:rPr>
          <w:rFonts w:asciiTheme="majorBidi" w:hAnsiTheme="majorBidi" w:cstheme="majorBidi"/>
          <w:bCs/>
          <w:sz w:val="22"/>
        </w:rPr>
        <w:t>Inflation</w:t>
      </w:r>
      <w:r w:rsidR="005A2028" w:rsidRPr="00A5146B">
        <w:rPr>
          <w:rFonts w:asciiTheme="majorBidi" w:hAnsiTheme="majorBidi" w:cstheme="majorBidi"/>
          <w:sz w:val="22"/>
        </w:rPr>
        <w:t>;</w:t>
      </w:r>
      <w:r w:rsidR="005A2028" w:rsidRPr="00A5146B">
        <w:rPr>
          <w:rFonts w:asciiTheme="majorBidi" w:hAnsiTheme="majorBidi" w:cstheme="majorBidi"/>
          <w:bCs/>
          <w:sz w:val="22"/>
        </w:rPr>
        <w:t xml:space="preserve"> Economic growth</w:t>
      </w:r>
      <w:r w:rsidR="005A2028" w:rsidRPr="00A5146B">
        <w:rPr>
          <w:rFonts w:asciiTheme="majorBidi" w:hAnsiTheme="majorBidi" w:cstheme="majorBidi"/>
          <w:sz w:val="22"/>
        </w:rPr>
        <w:t>;</w:t>
      </w:r>
      <w:r w:rsidR="005A2028" w:rsidRPr="00A5146B">
        <w:rPr>
          <w:rFonts w:asciiTheme="majorBidi" w:hAnsiTheme="majorBidi" w:cstheme="majorBidi"/>
          <w:bCs/>
          <w:sz w:val="22"/>
        </w:rPr>
        <w:t xml:space="preserve"> Jordan</w:t>
      </w:r>
      <w:r w:rsidR="005A2028" w:rsidRPr="00A5146B">
        <w:rPr>
          <w:rFonts w:asciiTheme="majorBidi" w:hAnsiTheme="majorBidi" w:cstheme="majorBidi"/>
          <w:sz w:val="22"/>
        </w:rPr>
        <w:t>;</w:t>
      </w:r>
      <w:r w:rsidR="005A2028" w:rsidRPr="00A5146B">
        <w:rPr>
          <w:rFonts w:asciiTheme="majorBidi" w:hAnsiTheme="majorBidi" w:cstheme="majorBidi"/>
          <w:bCs/>
          <w:sz w:val="22"/>
        </w:rPr>
        <w:t xml:space="preserve"> SDGs </w:t>
      </w:r>
      <w:r w:rsidR="005A2028" w:rsidRPr="00A5146B">
        <w:rPr>
          <w:rFonts w:asciiTheme="majorBidi" w:hAnsiTheme="majorBidi" w:cstheme="majorBidi"/>
          <w:sz w:val="22"/>
        </w:rPr>
        <w:t>;</w:t>
      </w:r>
      <w:r w:rsidR="005A2028" w:rsidRPr="00A5146B">
        <w:rPr>
          <w:rFonts w:asciiTheme="majorBidi" w:hAnsiTheme="majorBidi" w:cstheme="majorBidi"/>
          <w:bCs/>
          <w:sz w:val="22"/>
        </w:rPr>
        <w:t xml:space="preserve"> Vector Autoregressive Model</w:t>
      </w:r>
      <w:r w:rsidR="005A2028" w:rsidRPr="00A5146B">
        <w:rPr>
          <w:rFonts w:asciiTheme="majorBidi" w:hAnsiTheme="majorBidi" w:cstheme="majorBidi"/>
          <w:b/>
          <w:szCs w:val="18"/>
        </w:rPr>
        <w:t xml:space="preserve"> </w:t>
      </w:r>
      <w:r w:rsidR="005A2028" w:rsidRPr="00A5146B">
        <w:rPr>
          <w:rFonts w:asciiTheme="majorBidi" w:hAnsiTheme="majorBidi" w:cstheme="majorBidi"/>
          <w:b/>
          <w:szCs w:val="18"/>
        </w:rPr>
        <w:br/>
      </w:r>
    </w:p>
    <w:p w:rsidR="00A5146B" w:rsidRDefault="00A5146B" w:rsidP="00A5146B">
      <w:pPr>
        <w:rPr>
          <w:lang w:eastAsia="de-DE" w:bidi="en-US"/>
        </w:rPr>
      </w:pPr>
    </w:p>
    <w:p w:rsidR="00A5146B" w:rsidRDefault="00A5146B" w:rsidP="00A5146B">
      <w:pPr>
        <w:rPr>
          <w:lang w:eastAsia="de-DE" w:bidi="en-US"/>
        </w:rPr>
      </w:pPr>
    </w:p>
    <w:p w:rsidR="00A5146B" w:rsidRDefault="00A5146B" w:rsidP="00A5146B">
      <w:pPr>
        <w:rPr>
          <w:lang w:eastAsia="de-DE" w:bidi="en-US"/>
        </w:rPr>
      </w:pPr>
    </w:p>
    <w:p w:rsidR="00A5146B" w:rsidRDefault="00A5146B" w:rsidP="00A5146B">
      <w:pPr>
        <w:rPr>
          <w:lang w:eastAsia="de-DE" w:bidi="en-US"/>
        </w:rPr>
      </w:pPr>
    </w:p>
    <w:p w:rsidR="00A5146B" w:rsidRDefault="00A5146B" w:rsidP="00A5146B">
      <w:pPr>
        <w:rPr>
          <w:lang w:eastAsia="de-DE" w:bidi="en-US"/>
        </w:rPr>
      </w:pPr>
    </w:p>
    <w:p w:rsidR="00A5146B" w:rsidRDefault="00A5146B" w:rsidP="00A5146B">
      <w:pPr>
        <w:rPr>
          <w:lang w:eastAsia="de-DE" w:bidi="en-US"/>
        </w:rPr>
      </w:pPr>
    </w:p>
    <w:p w:rsidR="00A5146B" w:rsidRDefault="00A5146B" w:rsidP="00A5146B">
      <w:pPr>
        <w:rPr>
          <w:lang w:eastAsia="de-DE" w:bidi="en-US"/>
        </w:rPr>
      </w:pPr>
    </w:p>
    <w:p w:rsidR="00A5146B" w:rsidRDefault="00A5146B" w:rsidP="00A5146B">
      <w:pPr>
        <w:rPr>
          <w:lang w:eastAsia="de-DE" w:bidi="en-US"/>
        </w:rPr>
      </w:pPr>
    </w:p>
    <w:p w:rsidR="00A5146B" w:rsidRDefault="00A5146B" w:rsidP="00A5146B">
      <w:pPr>
        <w:rPr>
          <w:lang w:eastAsia="de-DE" w:bidi="en-US"/>
        </w:rPr>
      </w:pPr>
    </w:p>
    <w:p w:rsidR="00A5146B" w:rsidRDefault="00A5146B" w:rsidP="00A5146B">
      <w:pPr>
        <w:rPr>
          <w:lang w:eastAsia="de-DE" w:bidi="en-US"/>
        </w:rPr>
      </w:pPr>
    </w:p>
    <w:p w:rsidR="00A5146B" w:rsidRDefault="00A5146B" w:rsidP="00A5146B">
      <w:pPr>
        <w:rPr>
          <w:lang w:eastAsia="de-DE" w:bidi="en-US"/>
        </w:rPr>
      </w:pPr>
    </w:p>
    <w:p w:rsidR="00BF5C8D" w:rsidRDefault="00BF5C8D" w:rsidP="005A2028">
      <w:pPr>
        <w:pStyle w:val="MDPI21heading1"/>
        <w:rPr>
          <w:rFonts w:asciiTheme="minorHAnsi" w:eastAsiaTheme="minorHAnsi" w:hAnsiTheme="minorHAnsi" w:cstheme="minorBidi"/>
          <w:b w:val="0"/>
          <w:snapToGrid/>
          <w:color w:val="auto"/>
          <w:sz w:val="22"/>
        </w:rPr>
      </w:pPr>
    </w:p>
    <w:p w:rsidR="00BF5C8D" w:rsidRDefault="00BF5C8D" w:rsidP="005A2028">
      <w:pPr>
        <w:pStyle w:val="MDPI21heading1"/>
        <w:rPr>
          <w:rFonts w:asciiTheme="minorHAnsi" w:eastAsiaTheme="minorHAnsi" w:hAnsiTheme="minorHAnsi" w:cstheme="minorBidi"/>
          <w:b w:val="0"/>
          <w:snapToGrid/>
          <w:color w:val="auto"/>
          <w:sz w:val="22"/>
        </w:rPr>
      </w:pPr>
    </w:p>
    <w:p w:rsidR="00BF5C8D" w:rsidRDefault="00BF5C8D" w:rsidP="005A2028">
      <w:pPr>
        <w:pStyle w:val="MDPI21heading1"/>
        <w:rPr>
          <w:rFonts w:asciiTheme="minorHAnsi" w:eastAsiaTheme="minorHAnsi" w:hAnsiTheme="minorHAnsi" w:cstheme="minorBidi"/>
          <w:b w:val="0"/>
          <w:snapToGrid/>
          <w:color w:val="auto"/>
          <w:sz w:val="22"/>
        </w:rPr>
      </w:pPr>
    </w:p>
    <w:p w:rsidR="005A2028" w:rsidRDefault="005A2028" w:rsidP="005A2028">
      <w:pPr>
        <w:pStyle w:val="MDPI21heading1"/>
        <w:rPr>
          <w:lang w:eastAsia="zh-CN"/>
        </w:rPr>
      </w:pPr>
      <w:r w:rsidRPr="007F2582">
        <w:rPr>
          <w:lang w:eastAsia="zh-CN"/>
        </w:rPr>
        <w:lastRenderedPageBreak/>
        <w:t>1. Introduction</w:t>
      </w:r>
    </w:p>
    <w:p w:rsidR="005A2028" w:rsidRDefault="005A2028" w:rsidP="005A2028">
      <w:pPr>
        <w:pStyle w:val="MDPI31text"/>
        <w:rPr>
          <w:spacing w:val="-2"/>
        </w:rPr>
      </w:pPr>
      <w:r w:rsidRPr="00EB5D27">
        <w:rPr>
          <w:spacing w:val="-2"/>
        </w:rPr>
        <w:t xml:space="preserve">The impact of inflation on economic growth is a subject of </w:t>
      </w:r>
      <w:r>
        <w:rPr>
          <w:spacing w:val="-2"/>
        </w:rPr>
        <w:t xml:space="preserve">an </w:t>
      </w:r>
      <w:r w:rsidRPr="00EB5D27">
        <w:rPr>
          <w:spacing w:val="-2"/>
        </w:rPr>
        <w:t>ongoing debate.</w:t>
      </w:r>
      <w:r w:rsidRPr="009972ED">
        <w:rPr>
          <w:spacing w:val="-2"/>
        </w:rPr>
        <w:t xml:space="preserve"> The relationship between GDP and inflation has been debated extensively in both empirical as well as theoretical researches with hands-on country classifications; both developed and developing countries (</w:t>
      </w:r>
      <w:proofErr w:type="spellStart"/>
      <w:r w:rsidRPr="009972ED">
        <w:rPr>
          <w:spacing w:val="-2"/>
        </w:rPr>
        <w:t>Asandului</w:t>
      </w:r>
      <w:proofErr w:type="spellEnd"/>
      <w:r w:rsidRPr="009972ED">
        <w:rPr>
          <w:spacing w:val="-2"/>
        </w:rPr>
        <w:t xml:space="preserve"> and </w:t>
      </w:r>
      <w:proofErr w:type="spellStart"/>
      <w:r w:rsidRPr="009972ED">
        <w:rPr>
          <w:spacing w:val="-2"/>
        </w:rPr>
        <w:t>Lupu</w:t>
      </w:r>
      <w:proofErr w:type="spellEnd"/>
      <w:r w:rsidRPr="009972ED">
        <w:rPr>
          <w:spacing w:val="-2"/>
        </w:rPr>
        <w:t>, 2015</w:t>
      </w:r>
      <w:r>
        <w:rPr>
          <w:spacing w:val="-2"/>
        </w:rPr>
        <w:t>)</w:t>
      </w:r>
      <w:r w:rsidRPr="009972ED">
        <w:rPr>
          <w:spacing w:val="-2"/>
        </w:rPr>
        <w:t xml:space="preserve">. </w:t>
      </w:r>
      <w:r>
        <w:rPr>
          <w:spacing w:val="-2"/>
        </w:rPr>
        <w:t>The purpose of the work is to</w:t>
      </w:r>
      <w:r w:rsidRPr="009972ED">
        <w:rPr>
          <w:spacing w:val="-2"/>
        </w:rPr>
        <w:t xml:space="preserve"> investigates the presence of any causality among inflation and output growth during the period (1977-2021) in a scarce resource country, such as Jordan, which is also affected by several uplifts of unrest political situations from the surrounding countries in the Middle East and North Africa (MENA) region. </w:t>
      </w:r>
    </w:p>
    <w:p w:rsidR="005A2028" w:rsidRPr="009972ED" w:rsidRDefault="005A2028" w:rsidP="005A2028">
      <w:pPr>
        <w:pStyle w:val="MDPI31text"/>
        <w:rPr>
          <w:spacing w:val="-2"/>
        </w:rPr>
      </w:pPr>
      <w:r w:rsidRPr="009972ED">
        <w:rPr>
          <w:spacing w:val="-2"/>
        </w:rPr>
        <w:t xml:space="preserve">The Hashemite Kingdom of Jordan has been acting as a participating member in the war zone due to the recipients of refugees along with maintaining strong relations with foreign powers. Jordan’s previous refugee crises are incomparable with the undergoing Syrian crisis; it is on a global scale the greatest displacement crisis during the past fifty years. This crisis has a large-scale population displacement for the eleventh year in a row, and yet ongoing. The outbreak of the Arab Spring in the MENA region was triggered by collapsing the traditional autocratic regimes in the republics of the region </w:t>
      </w:r>
      <w:sdt>
        <w:sdtPr>
          <w:rPr>
            <w:spacing w:val="-2"/>
          </w:rPr>
          <w:id w:val="-1742943610"/>
          <w:citation/>
        </w:sdtPr>
        <w:sdtContent>
          <w:r w:rsidRPr="009972ED">
            <w:rPr>
              <w:spacing w:val="-2"/>
            </w:rPr>
            <w:fldChar w:fldCharType="begin"/>
          </w:r>
          <w:r w:rsidRPr="009972ED">
            <w:rPr>
              <w:spacing w:val="-2"/>
            </w:rPr>
            <w:instrText xml:space="preserve">CITATION Sal \l 1033 </w:instrText>
          </w:r>
          <w:r w:rsidRPr="009972ED">
            <w:rPr>
              <w:spacing w:val="-2"/>
            </w:rPr>
            <w:fldChar w:fldCharType="separate"/>
          </w:r>
          <w:r w:rsidRPr="009972ED">
            <w:rPr>
              <w:spacing w:val="-2"/>
            </w:rPr>
            <w:t>(Salamey, 2017)</w:t>
          </w:r>
          <w:r w:rsidRPr="009972ED">
            <w:rPr>
              <w:spacing w:val="-2"/>
            </w:rPr>
            <w:fldChar w:fldCharType="end"/>
          </w:r>
        </w:sdtContent>
      </w:sdt>
      <w:r w:rsidRPr="009972ED">
        <w:rPr>
          <w:spacing w:val="-2"/>
        </w:rPr>
        <w:t xml:space="preserve">. </w:t>
      </w:r>
      <w:r w:rsidRPr="00C625FA">
        <w:rPr>
          <w:spacing w:val="-2"/>
        </w:rPr>
        <w:t>Jordan's central role in the region makes the analysis of GDP and inflation dynamics there of the utmost importance. Understanding Jordan's economy is crucial due to its pivotal role in shaping the economic structure of the region. Researchers can discover the underlying factors that affect Jordan's economic stability and its effects on neighboring economies by probing the complex relationship between GDP and inflation. As a result, this research is an essential tool for decision-makers, economists, and other stakeholders, empowering them to create effective plans and promote sustainable economic growth in Jordan and the larger region.</w:t>
      </w:r>
    </w:p>
    <w:p w:rsidR="005A2028" w:rsidRDefault="005A2028" w:rsidP="005A2028">
      <w:pPr>
        <w:pStyle w:val="MDPI31text"/>
        <w:rPr>
          <w:spacing w:val="-2"/>
          <w:lang w:val="en"/>
        </w:rPr>
      </w:pPr>
      <w:r w:rsidRPr="00BA39A4">
        <w:rPr>
          <w:spacing w:val="-2"/>
          <w:lang w:val="en"/>
        </w:rPr>
        <w:t xml:space="preserve">Jordan relies on </w:t>
      </w:r>
      <w:proofErr w:type="spellStart"/>
      <w:r w:rsidRPr="00BA39A4">
        <w:rPr>
          <w:spacing w:val="-2"/>
          <w:lang w:val="en"/>
        </w:rPr>
        <w:t>rentierism</w:t>
      </w:r>
      <w:proofErr w:type="spellEnd"/>
      <w:r w:rsidRPr="00BA39A4">
        <w:rPr>
          <w:spacing w:val="-2"/>
          <w:lang w:val="en"/>
        </w:rPr>
        <w:t xml:space="preserve"> as a country, lacking substantial productive resources or a significant industrial </w:t>
      </w:r>
      <w:r>
        <w:rPr>
          <w:spacing w:val="-2"/>
          <w:lang w:val="en"/>
        </w:rPr>
        <w:t>base</w:t>
      </w:r>
      <w:r w:rsidRPr="00BA39A4">
        <w:rPr>
          <w:spacing w:val="-2"/>
          <w:lang w:val="en"/>
        </w:rPr>
        <w:t>.</w:t>
      </w:r>
      <w:r w:rsidRPr="009972ED">
        <w:rPr>
          <w:spacing w:val="-2"/>
          <w:lang w:val="en"/>
        </w:rPr>
        <w:t xml:space="preserve"> The country depends mainly on two sources of financing: exports of services and workers’ transfers associated with the country’s human capital, i.e., remittances and foreign aid. For remittances, one needs to realize that they are not only larger than Foreign Direct Investments (FDI), foreign grants and national exports all together, but also the most stable resource for the livelihoods of the receiving households </w:t>
      </w:r>
      <w:sdt>
        <w:sdtPr>
          <w:rPr>
            <w:spacing w:val="-2"/>
            <w:lang w:val="en"/>
          </w:rPr>
          <w:id w:val="-431198658"/>
          <w:citation/>
        </w:sdtPr>
        <w:sdtContent>
          <w:r w:rsidRPr="009972ED">
            <w:rPr>
              <w:spacing w:val="-2"/>
              <w:lang w:val="en"/>
            </w:rPr>
            <w:fldChar w:fldCharType="begin"/>
          </w:r>
          <w:r w:rsidRPr="009972ED">
            <w:rPr>
              <w:spacing w:val="-2"/>
            </w:rPr>
            <w:instrText xml:space="preserve"> CITATION JSF18 \l 1033 </w:instrText>
          </w:r>
          <w:r w:rsidRPr="009972ED">
            <w:rPr>
              <w:spacing w:val="-2"/>
              <w:lang w:val="en"/>
            </w:rPr>
            <w:fldChar w:fldCharType="separate"/>
          </w:r>
          <w:r w:rsidRPr="009972ED">
            <w:rPr>
              <w:spacing w:val="-2"/>
            </w:rPr>
            <w:t>(JSF, 2018)</w:t>
          </w:r>
          <w:r w:rsidRPr="009972ED">
            <w:rPr>
              <w:spacing w:val="-2"/>
            </w:rPr>
            <w:fldChar w:fldCharType="end"/>
          </w:r>
        </w:sdtContent>
      </w:sdt>
      <w:r w:rsidRPr="009972ED">
        <w:rPr>
          <w:spacing w:val="-2"/>
          <w:lang w:val="en"/>
        </w:rPr>
        <w:t>. Remittances have registered a considerable contribution to Jordan’s GDP, from 2.6% in 1975 to 22.3% in 1996 and 17.3% in 2014, and went down to 11% in 2020 due to Coronavirus consequences “COVID-19”</w:t>
      </w:r>
      <w:sdt>
        <w:sdtPr>
          <w:rPr>
            <w:spacing w:val="-2"/>
            <w:lang w:val="en"/>
          </w:rPr>
          <w:id w:val="-979068607"/>
          <w:citation/>
        </w:sdtPr>
        <w:sdtContent>
          <w:r w:rsidRPr="009972ED">
            <w:rPr>
              <w:spacing w:val="-2"/>
              <w:lang w:val="en"/>
            </w:rPr>
            <w:fldChar w:fldCharType="begin"/>
          </w:r>
          <w:r w:rsidRPr="009972ED">
            <w:rPr>
              <w:spacing w:val="-2"/>
            </w:rPr>
            <w:instrText xml:space="preserve"> CITATION Wor22 \l 1033 </w:instrText>
          </w:r>
          <w:r w:rsidRPr="009972ED">
            <w:rPr>
              <w:spacing w:val="-2"/>
              <w:lang w:val="en"/>
            </w:rPr>
            <w:fldChar w:fldCharType="separate"/>
          </w:r>
          <w:r w:rsidRPr="009972ED">
            <w:rPr>
              <w:spacing w:val="-2"/>
            </w:rPr>
            <w:t xml:space="preserve"> (WBG, 2022)</w:t>
          </w:r>
          <w:r w:rsidRPr="009972ED">
            <w:rPr>
              <w:spacing w:val="-2"/>
            </w:rPr>
            <w:fldChar w:fldCharType="end"/>
          </w:r>
        </w:sdtContent>
      </w:sdt>
      <w:r w:rsidRPr="009972ED">
        <w:rPr>
          <w:spacing w:val="-2"/>
          <w:lang w:val="en"/>
        </w:rPr>
        <w:t>. These inflows of remittances have no</w:t>
      </w:r>
      <w:r>
        <w:rPr>
          <w:spacing w:val="-2"/>
          <w:lang w:val="en"/>
        </w:rPr>
        <w:t xml:space="preserve"> direct</w:t>
      </w:r>
      <w:r w:rsidRPr="009972ED">
        <w:rPr>
          <w:spacing w:val="-2"/>
          <w:lang w:val="en"/>
        </w:rPr>
        <w:t xml:space="preserve"> impact on inflation; instead, the </w:t>
      </w:r>
      <w:r>
        <w:rPr>
          <w:spacing w:val="-2"/>
          <w:lang w:val="en"/>
        </w:rPr>
        <w:t xml:space="preserve">indirect </w:t>
      </w:r>
      <w:r w:rsidRPr="009972ED">
        <w:rPr>
          <w:spacing w:val="-2"/>
          <w:lang w:val="en"/>
        </w:rPr>
        <w:t>spillover effect was due to the increased Jordanian bank deposits as well as the bank deposits in foreign currencies; attributable to the rise of money</w:t>
      </w:r>
      <w:r>
        <w:rPr>
          <w:spacing w:val="-2"/>
          <w:lang w:val="en"/>
        </w:rPr>
        <w:t xml:space="preserve"> supply</w:t>
      </w:r>
      <w:r w:rsidRPr="009972ED">
        <w:rPr>
          <w:spacing w:val="-2"/>
          <w:lang w:val="en"/>
        </w:rPr>
        <w:t xml:space="preserve"> in the country. Due to the high remittances inflow, the households sector in Jordan is not directly linked to the government of Jordan's public spending policies, monetary policy (increasing or lowering the interest rate, for example), or fiscal policy intervention (financial support</w:t>
      </w:r>
      <w:r>
        <w:rPr>
          <w:spacing w:val="-2"/>
          <w:lang w:val="en"/>
        </w:rPr>
        <w:t xml:space="preserve"> for certain groups in society).</w:t>
      </w:r>
    </w:p>
    <w:p w:rsidR="005A2028" w:rsidRPr="009972ED" w:rsidRDefault="005A2028" w:rsidP="005A2028">
      <w:pPr>
        <w:pStyle w:val="MDPI31text"/>
        <w:rPr>
          <w:spacing w:val="-2"/>
          <w:lang w:val="en"/>
        </w:rPr>
      </w:pPr>
      <w:r w:rsidRPr="009972ED">
        <w:rPr>
          <w:spacing w:val="-2"/>
          <w:lang w:val="en"/>
        </w:rPr>
        <w:t>GDP and inflation are two key monetary pointers that are significant for figuring out the general soundness of an economy. In Jordan, these variables are especially significant because of multiple factors, the kingdom is considered an upper-middle-income country that has been experiencing several economic growth activities, furthermore, the nation has established itself as the Middle East's anchor for stability from a geopolitical standpoint. For that purpose, a stable economy is essential for a nation's citizens' general welfare. An economy is stable when it has a consistent GDP growth rate and low inflation rate, which enables businesses to run effectively and citizens to afford essentials.</w:t>
      </w:r>
      <w:r w:rsidRPr="009972ED">
        <w:rPr>
          <w:spacing w:val="-2"/>
        </w:rPr>
        <w:t xml:space="preserve"> </w:t>
      </w:r>
      <w:r w:rsidRPr="009972ED">
        <w:rPr>
          <w:spacing w:val="-2"/>
          <w:lang w:val="en"/>
        </w:rPr>
        <w:t xml:space="preserve">Jordan's economy may be able to draw foreign investment and investors are more likely to make investments in nations with stable economic conditions and a welcoming business environment, which can help to spur economic growth and create job opportunities targeting the unemployed </w:t>
      </w:r>
      <w:r w:rsidRPr="009972ED">
        <w:rPr>
          <w:spacing w:val="-2"/>
        </w:rPr>
        <w:t>population</w:t>
      </w:r>
      <w:r w:rsidRPr="009972ED">
        <w:rPr>
          <w:spacing w:val="-2"/>
          <w:lang w:val="en"/>
        </w:rPr>
        <w:t>.</w:t>
      </w:r>
      <w:r w:rsidRPr="009972ED">
        <w:rPr>
          <w:spacing w:val="-2"/>
        </w:rPr>
        <w:t xml:space="preserve"> </w:t>
      </w:r>
      <w:r w:rsidRPr="009972ED">
        <w:rPr>
          <w:spacing w:val="-2"/>
          <w:lang w:val="en"/>
        </w:rPr>
        <w:t xml:space="preserve">GDP and inflation data may be used by the Jordanian government to guide decisions about taxation, spending, and monetary policy. For instance, if inflation is high, the government may need to increase interest rates in order to reduce it, which could have an effect on both businesses and </w:t>
      </w:r>
      <w:r>
        <w:rPr>
          <w:spacing w:val="-2"/>
          <w:lang w:val="en"/>
        </w:rPr>
        <w:t>households</w:t>
      </w:r>
      <w:r w:rsidRPr="009972ED">
        <w:rPr>
          <w:spacing w:val="-2"/>
          <w:lang w:val="en"/>
        </w:rPr>
        <w:t>. As for the trade perspective, Jordan's economy is heavily dependent on foreign trade. Jordan can become more competitive in the global market and draw foreign investment and trade partnerships with a high GDP growth rate and low inflation rate</w:t>
      </w:r>
      <w:r>
        <w:rPr>
          <w:spacing w:val="-2"/>
          <w:lang w:val="en"/>
        </w:rPr>
        <w:t>,</w:t>
      </w:r>
      <w:r w:rsidRPr="00F37AFD">
        <w:t xml:space="preserve"> </w:t>
      </w:r>
      <w:r>
        <w:t>c</w:t>
      </w:r>
      <w:r w:rsidRPr="00552328">
        <w:t>onsequently</w:t>
      </w:r>
      <w:r>
        <w:t xml:space="preserve">, that </w:t>
      </w:r>
      <w:r w:rsidRPr="00F37AFD">
        <w:rPr>
          <w:spacing w:val="-2"/>
          <w:lang w:val="en"/>
        </w:rPr>
        <w:t xml:space="preserve">creates stronger policy </w:t>
      </w:r>
      <w:r>
        <w:rPr>
          <w:spacing w:val="-2"/>
          <w:lang w:val="en"/>
        </w:rPr>
        <w:t>incentives</w:t>
      </w:r>
      <w:r w:rsidRPr="00F37AFD">
        <w:rPr>
          <w:spacing w:val="-2"/>
          <w:lang w:val="en"/>
        </w:rPr>
        <w:t xml:space="preserve"> t</w:t>
      </w:r>
      <w:r>
        <w:rPr>
          <w:spacing w:val="-2"/>
          <w:lang w:val="en"/>
        </w:rPr>
        <w:t>o maintain low inflation levels</w:t>
      </w:r>
      <w:r w:rsidRPr="009972ED">
        <w:rPr>
          <w:spacing w:val="-2"/>
          <w:lang w:val="en"/>
        </w:rPr>
        <w:t>.</w:t>
      </w:r>
    </w:p>
    <w:p w:rsidR="005A2028" w:rsidRPr="009972ED" w:rsidRDefault="005A2028" w:rsidP="005A2028">
      <w:pPr>
        <w:pStyle w:val="MDPI31text"/>
        <w:rPr>
          <w:spacing w:val="-2"/>
          <w:lang w:val="en"/>
        </w:rPr>
      </w:pPr>
      <w:r w:rsidRPr="009972ED">
        <w:rPr>
          <w:spacing w:val="-2"/>
          <w:lang w:val="en"/>
        </w:rPr>
        <w:lastRenderedPageBreak/>
        <w:t xml:space="preserve">The rest of the paper is structured as follows, part 2 offers a survey of the related economic literature from a global </w:t>
      </w:r>
      <w:r w:rsidRPr="006D72CB">
        <w:rPr>
          <w:spacing w:val="-2"/>
          <w:lang w:val="en"/>
        </w:rPr>
        <w:t>perspective</w:t>
      </w:r>
      <w:r w:rsidRPr="006D72CB">
        <w:rPr>
          <w:spacing w:val="-2"/>
        </w:rPr>
        <w:t xml:space="preserve"> with a careful review of key publications cited.</w:t>
      </w:r>
      <w:r>
        <w:rPr>
          <w:spacing w:val="-2"/>
        </w:rPr>
        <w:t xml:space="preserve"> </w:t>
      </w:r>
      <w:r w:rsidRPr="00E140CF">
        <w:rPr>
          <w:spacing w:val="-2"/>
        </w:rPr>
        <w:t>The conducted study organized a comparative table to examine and contrast the controversial and diverging hypotheses</w:t>
      </w:r>
      <w:r>
        <w:rPr>
          <w:spacing w:val="-2"/>
        </w:rPr>
        <w:t xml:space="preserve"> from</w:t>
      </w:r>
      <w:r w:rsidRPr="00E140CF">
        <w:t xml:space="preserve"> </w:t>
      </w:r>
      <w:r w:rsidRPr="00E140CF">
        <w:rPr>
          <w:spacing w:val="-2"/>
        </w:rPr>
        <w:t>various countries around the world</w:t>
      </w:r>
      <w:r>
        <w:rPr>
          <w:spacing w:val="-2"/>
        </w:rPr>
        <w:t>, including but not limited to, the Middle East and Africa</w:t>
      </w:r>
      <w:r w:rsidRPr="00E140CF">
        <w:rPr>
          <w:spacing w:val="-2"/>
        </w:rPr>
        <w:t>.</w:t>
      </w:r>
      <w:r>
        <w:rPr>
          <w:spacing w:val="-2"/>
        </w:rPr>
        <w:t xml:space="preserve"> </w:t>
      </w:r>
      <w:r>
        <w:rPr>
          <w:spacing w:val="-2"/>
          <w:lang w:val="en"/>
        </w:rPr>
        <w:t>P</w:t>
      </w:r>
      <w:r w:rsidRPr="009972ED">
        <w:rPr>
          <w:spacing w:val="-2"/>
          <w:lang w:val="en"/>
        </w:rPr>
        <w:t>art 3 outlines the data and the analysis method. Part 4 illustrates the analysis results. Finally, conclusions and test results are included in part 5.</w:t>
      </w:r>
      <w:r w:rsidRPr="009972ED">
        <w:rPr>
          <w:spacing w:val="-2"/>
        </w:rPr>
        <w:t xml:space="preserve"> </w:t>
      </w:r>
      <w:r w:rsidRPr="009972ED">
        <w:rPr>
          <w:spacing w:val="-2"/>
          <w:lang w:val="en"/>
        </w:rPr>
        <w:t xml:space="preserve">Appendix I. offers the supplementary data explanation. </w:t>
      </w:r>
    </w:p>
    <w:p w:rsidR="005A2028" w:rsidRDefault="005A2028" w:rsidP="005A2028">
      <w:pPr>
        <w:pStyle w:val="MDPI31text"/>
        <w:rPr>
          <w:rFonts w:eastAsia="SimSun"/>
          <w:spacing w:val="-2"/>
          <w:lang w:eastAsia="zh-CN"/>
        </w:rPr>
      </w:pPr>
    </w:p>
    <w:p w:rsidR="005A2028" w:rsidRDefault="005A2028" w:rsidP="005A2028">
      <w:pPr>
        <w:pStyle w:val="MDPI21heading1"/>
      </w:pPr>
      <w:r w:rsidRPr="00FA04F1">
        <w:rPr>
          <w:lang w:eastAsia="zh-CN"/>
        </w:rPr>
        <w:t xml:space="preserve">2. </w:t>
      </w:r>
      <w:r w:rsidRPr="00606901">
        <w:t>Literature Review</w:t>
      </w:r>
    </w:p>
    <w:p w:rsidR="005A2028" w:rsidRPr="00606901" w:rsidRDefault="005A2028" w:rsidP="00237B14">
      <w:pPr>
        <w:pStyle w:val="MDPI31text"/>
      </w:pPr>
      <w:r w:rsidRPr="00606901">
        <w:t>The literature on inflation and growth has a long and enduring tradition in economics (</w:t>
      </w:r>
      <w:proofErr w:type="spellStart"/>
      <w:r w:rsidRPr="00606901">
        <w:t>Asandului</w:t>
      </w:r>
      <w:proofErr w:type="spellEnd"/>
      <w:r w:rsidRPr="00606901">
        <w:t xml:space="preserve"> and </w:t>
      </w:r>
      <w:proofErr w:type="spellStart"/>
      <w:r w:rsidRPr="00606901">
        <w:t>Lupu</w:t>
      </w:r>
      <w:proofErr w:type="spellEnd"/>
      <w:r w:rsidRPr="00606901">
        <w:t xml:space="preserve">, 2015). Extensive theoretical and empirical studies have examined </w:t>
      </w:r>
      <w:r w:rsidR="00237B14" w:rsidRPr="00237B14">
        <w:t>how inflation and economic growth, in both developed and developing nations, are related to one another</w:t>
      </w:r>
      <w:r w:rsidRPr="00606901">
        <w:t xml:space="preserve">. This section provides a brief overview of the main studies in this field. According to </w:t>
      </w:r>
      <w:proofErr w:type="spellStart"/>
      <w:r w:rsidRPr="00606901">
        <w:t>Valdovinos</w:t>
      </w:r>
      <w:proofErr w:type="spellEnd"/>
      <w:r w:rsidRPr="00606901">
        <w:t xml:space="preserve"> (2003), the original data illustrates the absence of a clear relationship between inflation and growth over time, after using the Baxter and King filter to extract the long run components of the data, a clear negative relation emerges between the two-time series, of eight different Latin American countries, from 1970 to 2000. </w:t>
      </w:r>
      <w:proofErr w:type="spellStart"/>
      <w:r w:rsidRPr="00606901">
        <w:t>Asandului</w:t>
      </w:r>
      <w:proofErr w:type="spellEnd"/>
      <w:r w:rsidRPr="00606901">
        <w:t xml:space="preserve"> and </w:t>
      </w:r>
      <w:proofErr w:type="spellStart"/>
      <w:r w:rsidRPr="00606901">
        <w:t>Lupu</w:t>
      </w:r>
      <w:proofErr w:type="spellEnd"/>
      <w:r w:rsidRPr="00606901">
        <w:t xml:space="preserve"> (2015) examined three testes, namely; the structural break using </w:t>
      </w:r>
      <w:proofErr w:type="spellStart"/>
      <w:r w:rsidRPr="00606901">
        <w:t>Zivot</w:t>
      </w:r>
      <w:proofErr w:type="spellEnd"/>
      <w:r w:rsidRPr="00606901">
        <w:t xml:space="preserve">-Andrews test, the stationarity test using ADF, and the Granger causality testing. Test results showed that for the period 1970 to 2013, there was a </w:t>
      </w:r>
      <w:proofErr w:type="spellStart"/>
      <w:r w:rsidRPr="00606901">
        <w:t>cointegrating</w:t>
      </w:r>
      <w:proofErr w:type="spellEnd"/>
      <w:r w:rsidRPr="00606901">
        <w:t xml:space="preserve"> relationship between inflation and economic growth for Romania. According to Hussain and Malik (2011) for the case study of Pakistan during 1960 until 2006, inflation was positively related with economic growth and vice versa. However, Guerrero (2006) suggested that inflation has an adverse effect on growth that is economically significant and quite robust statistically, in </w:t>
      </w:r>
      <w:r w:rsidRPr="00B669CB">
        <w:t>high, middle, and low income countries.</w:t>
      </w:r>
      <w:r w:rsidRPr="00606901">
        <w:t xml:space="preserve"> </w:t>
      </w:r>
      <w:proofErr w:type="spellStart"/>
      <w:r w:rsidRPr="00606901">
        <w:t>Apergis</w:t>
      </w:r>
      <w:proofErr w:type="spellEnd"/>
      <w:r w:rsidRPr="00606901">
        <w:t xml:space="preserve"> (2004) through univariate GARCH models and a panel set for the International Group of Seven (G7), suggested that inflation affects output growth, while Friedman (1977) hypothesis stated that inflation causes inflation uncertainty. </w:t>
      </w:r>
      <w:proofErr w:type="spellStart"/>
      <w:r w:rsidRPr="00606901">
        <w:t>Apergis’s</w:t>
      </w:r>
      <w:proofErr w:type="spellEnd"/>
      <w:r w:rsidRPr="00606901">
        <w:t xml:space="preserve"> analysis provided support to </w:t>
      </w:r>
      <w:proofErr w:type="spellStart"/>
      <w:r w:rsidRPr="00606901">
        <w:t>Cukierman</w:t>
      </w:r>
      <w:proofErr w:type="spellEnd"/>
      <w:r w:rsidRPr="00606901">
        <w:t xml:space="preserve"> and Meltzer (1986) hypothesis.</w:t>
      </w:r>
    </w:p>
    <w:p w:rsidR="005A2028" w:rsidRPr="00606901" w:rsidRDefault="005A2028" w:rsidP="00D90318">
      <w:pPr>
        <w:pStyle w:val="MDPI31text"/>
      </w:pPr>
      <w:r w:rsidRPr="00606901">
        <w:t xml:space="preserve">Another study by </w:t>
      </w:r>
      <w:proofErr w:type="spellStart"/>
      <w:r w:rsidRPr="00606901">
        <w:t>Barro</w:t>
      </w:r>
      <w:proofErr w:type="spellEnd"/>
      <w:r w:rsidRPr="00606901">
        <w:t xml:space="preserve"> (2013) analyzed 100 countries during thirty years (1960-1990) to assess the effects of inflation on the economic performance, results have found causal influences from inflation to growth and investment. </w:t>
      </w:r>
      <w:r w:rsidR="00FA18A2" w:rsidRPr="00FA18A2">
        <w:t xml:space="preserve">Although the negative effects of inflation on growth appear to be minimal, </w:t>
      </w:r>
      <w:r w:rsidR="00FA18A2">
        <w:t>they</w:t>
      </w:r>
      <w:r w:rsidR="00FA18A2" w:rsidRPr="00FA18A2">
        <w:t xml:space="preserve"> had significant long-term effects on living standards.</w:t>
      </w:r>
      <w:r w:rsidRPr="00606901">
        <w:t xml:space="preserve"> Robert and Alexander (1997) found a strong evidence between inflation and real growth after using a small sample of OECD countries. </w:t>
      </w:r>
      <w:proofErr w:type="spellStart"/>
      <w:r w:rsidRPr="00606901">
        <w:t>Aydına</w:t>
      </w:r>
      <w:proofErr w:type="spellEnd"/>
      <w:r w:rsidRPr="00606901">
        <w:t xml:space="preserve">, et al. (2016) studied five Turkish Republics using panel data, results have reflected a nonlinear relationship between inflation and growth rate, and that illustrated how a high inflation rate can have a considerable influence on economic growth. </w:t>
      </w:r>
      <w:proofErr w:type="spellStart"/>
      <w:r w:rsidRPr="00606901">
        <w:t>Koulakiotis</w:t>
      </w:r>
      <w:proofErr w:type="spellEnd"/>
      <w:r w:rsidRPr="00606901">
        <w:t xml:space="preserve">, et al. (2012) investigated the causality between inflation and GDP during the period from 1961 to 2008, through panel univariate GARCH models for 14 European countries, </w:t>
      </w:r>
      <w:r w:rsidR="00D90318">
        <w:t>a</w:t>
      </w:r>
      <w:r w:rsidR="00D90318" w:rsidRPr="00D90318">
        <w:t>t a 5% level of significance, inflation causes GDP, and at a 10% level of significance, GDP causes inflation. There is a bidirectional effect as a result.</w:t>
      </w:r>
      <w:r w:rsidRPr="00606901">
        <w:t xml:space="preserve"> Hwang and Wu (2011) examined the inflation–growth nexus in China from 1986 to 2006, according to the empirical findings, the inflation threshold effect is highly significant and robust. Ahmed and </w:t>
      </w:r>
      <w:proofErr w:type="spellStart"/>
      <w:r w:rsidRPr="00606901">
        <w:t>Mortaza</w:t>
      </w:r>
      <w:proofErr w:type="spellEnd"/>
      <w:r w:rsidRPr="00606901">
        <w:t xml:space="preserve"> (2005) used annual data set on real GDP and CPI in Bangladesh, for the period of 1980 to 2005, results demonstrated a statistically significant long-run negative relationship between inflation and economic growth.</w:t>
      </w:r>
    </w:p>
    <w:p w:rsidR="005A2028" w:rsidRPr="00220CCB" w:rsidRDefault="005A2028" w:rsidP="00BB0FD0">
      <w:pPr>
        <w:pStyle w:val="MDPI31text"/>
      </w:pPr>
      <w:proofErr w:type="spellStart"/>
      <w:r w:rsidRPr="00606901">
        <w:t>Chimobi</w:t>
      </w:r>
      <w:proofErr w:type="spellEnd"/>
      <w:r w:rsidRPr="00606901">
        <w:t xml:space="preserve"> (2010) tested empirically the Nigerian case for the period (1970-2005), results have shown no co-integrating relationship between Inflation and economic growth. Furthermore, the causality relationship using VAR-Granger causality at two different lag periods was tested, and the result have shown the same. </w:t>
      </w:r>
      <w:proofErr w:type="spellStart"/>
      <w:r w:rsidRPr="00606901">
        <w:t>Mallik</w:t>
      </w:r>
      <w:proofErr w:type="spellEnd"/>
      <w:r w:rsidRPr="00606901">
        <w:t xml:space="preserve"> and Chowdhury (2001) have examined the relationship between inflation and GDP growth for 4 South Asian countries from 1961 to 1997, the analysis found that inflation and economic growth are positively related. Moreover</w:t>
      </w:r>
      <w:r w:rsidR="00BB0FD0">
        <w:t>,</w:t>
      </w:r>
      <w:r w:rsidR="00BB0FD0" w:rsidRPr="00BB0FD0">
        <w:t xml:space="preserve"> </w:t>
      </w:r>
      <w:r w:rsidR="00BB0FD0">
        <w:t>g</w:t>
      </w:r>
      <w:r w:rsidR="00BB0FD0" w:rsidRPr="00BB0FD0">
        <w:t>rowth is more sensitive to changes in inflation rates than inflation is to changes in gr</w:t>
      </w:r>
      <w:r w:rsidR="00BB0FD0">
        <w:t>owth rates</w:t>
      </w:r>
      <w:r w:rsidRPr="00606901">
        <w:t xml:space="preserve">. Hwang (2007) investigated inflation-growth causality using a monthly data of US real growth rates and inflation rates from January 1947 until March 2005. </w:t>
      </w:r>
      <w:r w:rsidRPr="00606901">
        <w:lastRenderedPageBreak/>
        <w:t>With VARMA-ML-Asymmetric-VGARCH</w:t>
      </w:r>
      <w:r>
        <w:t xml:space="preserve"> to investigate the causality between inflation and economic growth,</w:t>
      </w:r>
      <w:r w:rsidRPr="00606901">
        <w:t xml:space="preserve"> </w:t>
      </w:r>
      <w:r>
        <w:t>r</w:t>
      </w:r>
      <w:r w:rsidRPr="00220CCB">
        <w:t>esults suggested that while one level has a positive effect on both uncertainties, one level has a positive effect on its level and a negative effect on the other level in a much smaller magnitude.</w:t>
      </w:r>
    </w:p>
    <w:p w:rsidR="005A2028" w:rsidRPr="00606901" w:rsidRDefault="005A2028" w:rsidP="00001112">
      <w:pPr>
        <w:pStyle w:val="MDPI31text"/>
      </w:pPr>
      <w:r w:rsidRPr="00606901">
        <w:t xml:space="preserve">Regarding the case of Jordan, </w:t>
      </w:r>
      <w:proofErr w:type="spellStart"/>
      <w:r w:rsidRPr="00606901">
        <w:t>Sweidan</w:t>
      </w:r>
      <w:proofErr w:type="spellEnd"/>
      <w:r w:rsidRPr="00606901">
        <w:t xml:space="preserve"> (2004) explored the relation between inflation and economic growth to check whether if this relation has a structural breakpoint effect or not. </w:t>
      </w:r>
      <w:r w:rsidR="00001112" w:rsidRPr="00001112">
        <w:t>The study demonstrates that the structural breakpoint effect happens when the inflation rate reaches 2%, after which the effect shifts to the negative. This finding indicates that the monetary policy's room for maneuver will be very small. Additionally, while implementing the new monetary policy, the Jordanian central bank should be mindful of the inflation phenomenon.</w:t>
      </w:r>
      <w:r w:rsidRPr="00606901">
        <w:t xml:space="preserve"> </w:t>
      </w:r>
      <w:proofErr w:type="spellStart"/>
      <w:r w:rsidRPr="00D00393">
        <w:t>Almajal</w:t>
      </w:r>
      <w:r>
        <w:t>i</w:t>
      </w:r>
      <w:proofErr w:type="spellEnd"/>
      <w:r>
        <w:t xml:space="preserve"> and </w:t>
      </w:r>
      <w:proofErr w:type="spellStart"/>
      <w:r w:rsidRPr="00D00393">
        <w:t>Almubidi</w:t>
      </w:r>
      <w:r>
        <w:t>n</w:t>
      </w:r>
      <w:proofErr w:type="spellEnd"/>
      <w:r w:rsidRPr="00D00393">
        <w:t xml:space="preserve"> </w:t>
      </w:r>
      <w:r>
        <w:t xml:space="preserve">(2022) estimated the indirect effects of the Jordanian monetary policy on three economic variables; foreign reserves, output gap, and inflation using the new Keynesian Theory. Results found that </w:t>
      </w:r>
      <w:r w:rsidRPr="00791EF2">
        <w:t xml:space="preserve">the monetary policy implemented by the Central Bank of Jordan has a certain level of effectiveness in influencing inflation and the output gap. However, its impact is found to be somewhat </w:t>
      </w:r>
      <w:r>
        <w:t>constrained</w:t>
      </w:r>
      <w:r w:rsidRPr="00791EF2">
        <w:t xml:space="preserve">. Additionally, the study highlights that the monetary policy has a significant role in covering the expenses related to the country's most </w:t>
      </w:r>
      <w:r>
        <w:t>prominent</w:t>
      </w:r>
      <w:r w:rsidRPr="00791EF2">
        <w:t xml:space="preserve"> imports by affecting the foreign reserves.</w:t>
      </w:r>
      <w:r w:rsidRPr="00E40622">
        <w:t xml:space="preserve"> </w:t>
      </w:r>
      <w:r>
        <w:t>A</w:t>
      </w:r>
      <w:r w:rsidRPr="00E40622">
        <w:t xml:space="preserve">nother Jordanian study by Abu </w:t>
      </w:r>
      <w:proofErr w:type="spellStart"/>
      <w:r w:rsidRPr="00E40622">
        <w:t>Shihab</w:t>
      </w:r>
      <w:proofErr w:type="spellEnd"/>
      <w:r w:rsidRPr="00E40622">
        <w:t xml:space="preserve"> (2014) during early 2000s (2000-2012) examined the Granger causality between economic growth and fiscal policy, in conclusion, results have shown the existence of a causal relationship between the two variables; economic growth can be used to explain the changes which occur to the budget deficit, but not vice versa.</w:t>
      </w:r>
      <w:r>
        <w:t xml:space="preserve"> Within the same Jordanian nexus, </w:t>
      </w:r>
      <w:proofErr w:type="spellStart"/>
      <w:r>
        <w:t>Matar</w:t>
      </w:r>
      <w:proofErr w:type="spellEnd"/>
      <w:r>
        <w:t xml:space="preserve"> (2016) investigated the empirical relationship between FDI, per capita electrical power consumption, economic growth. </w:t>
      </w:r>
      <w:r w:rsidRPr="00C33331">
        <w:t xml:space="preserve">The findings indicate the presence of a </w:t>
      </w:r>
      <w:r>
        <w:t>long-run</w:t>
      </w:r>
      <w:r w:rsidRPr="00C33331">
        <w:t xml:space="preserve"> equilibrium </w:t>
      </w:r>
      <w:r>
        <w:t>relationship</w:t>
      </w:r>
      <w:r w:rsidRPr="00C33331">
        <w:t xml:space="preserve"> between electricity consumption and economic growth.</w:t>
      </w:r>
      <w:r>
        <w:t xml:space="preserve"> Furthermore, the study suggests a unidirectional relationship from the real GDP to </w:t>
      </w:r>
      <w:r w:rsidRPr="00C33331">
        <w:t>electrical power consumption</w:t>
      </w:r>
      <w:r>
        <w:t>.</w:t>
      </w:r>
    </w:p>
    <w:p w:rsidR="005A2028" w:rsidRPr="00606901" w:rsidRDefault="005A2028" w:rsidP="005A2028">
      <w:pPr>
        <w:pStyle w:val="MDPI31text"/>
      </w:pPr>
      <w:r w:rsidRPr="00606901">
        <w:t xml:space="preserve">Another panel data by Gillman and Harris (2010) analyzed 13 transition countries during 13 years; (1990–2003) to study the effect of inflation on economic growth. Results found a strong negative robust effect of inflation on growth. Another time series data analyzed the case of South Africa by </w:t>
      </w:r>
      <w:proofErr w:type="spellStart"/>
      <w:r w:rsidRPr="00606901">
        <w:t>Odhiambo</w:t>
      </w:r>
      <w:proofErr w:type="spellEnd"/>
      <w:r w:rsidRPr="00606901">
        <w:t xml:space="preserve"> and M. (2013), where they studied the link between inflation and economic growth and results have indicated a bidirectional causality between the two variables. Within the same context of time-series data, a study from Kuwait by </w:t>
      </w:r>
      <w:proofErr w:type="spellStart"/>
      <w:r w:rsidRPr="00606901">
        <w:t>Saaed</w:t>
      </w:r>
      <w:proofErr w:type="spellEnd"/>
      <w:r w:rsidRPr="00606901">
        <w:t xml:space="preserve"> (2007) for the period of 1985 to 2005 examined the nexus between inflation and economic growth using co-integration and error correction models, results demonstrated the existence of a strong long-run inverse relationship between the two variables.  Using time-series data in China during (1979–2014), He and Zou (2016) showed that magnitude of the estimated effect of inflation has a significant positive impact on economic growth. </w:t>
      </w:r>
    </w:p>
    <w:p w:rsidR="005A2028" w:rsidRPr="00606901" w:rsidRDefault="005A2028" w:rsidP="005A2028">
      <w:pPr>
        <w:pStyle w:val="MDPI31text"/>
      </w:pPr>
      <w:r w:rsidRPr="00606901">
        <w:t xml:space="preserve">In three Asian countries for the period (1980-2010), </w:t>
      </w:r>
      <w:proofErr w:type="spellStart"/>
      <w:r w:rsidRPr="00606901">
        <w:t>Jayathileke</w:t>
      </w:r>
      <w:proofErr w:type="spellEnd"/>
      <w:r w:rsidRPr="00606901">
        <w:t xml:space="preserve"> and </w:t>
      </w:r>
      <w:proofErr w:type="spellStart"/>
      <w:r w:rsidRPr="00606901">
        <w:t>Rathnayake</w:t>
      </w:r>
      <w:proofErr w:type="spellEnd"/>
      <w:r w:rsidRPr="00606901">
        <w:t xml:space="preserve"> (20</w:t>
      </w:r>
      <w:r>
        <w:t>13) showed that there is a long-</w:t>
      </w:r>
      <w:r w:rsidRPr="00606901">
        <w:t xml:space="preserve">run negative and significant relationship between economic growth and inflation. In Vietnam, </w:t>
      </w:r>
      <w:proofErr w:type="spellStart"/>
      <w:r w:rsidRPr="00606901">
        <w:t>Dinh</w:t>
      </w:r>
      <w:proofErr w:type="spellEnd"/>
      <w:r w:rsidRPr="00606901">
        <w:t xml:space="preserve"> (2020) investigated the impact of inflation rate on economic growth using time-series data from 1996 to 2018, the author found the best-fit model for the Vietnamese case and results showed that the inflation rate is positively related to economic growth. </w:t>
      </w:r>
      <w:proofErr w:type="spellStart"/>
      <w:r w:rsidRPr="00606901">
        <w:t>Ekinci</w:t>
      </w:r>
      <w:proofErr w:type="spellEnd"/>
      <w:r w:rsidRPr="00606901">
        <w:t xml:space="preserve">, et al. (2020) examined 24 countries to understand the nexus between price stability and economic growth, threshold dynamic panel data model was used in the analysis by applying inflation targeting. The results of the conducted study have shown that the relationship between inflation and economic growth is nonlinear. </w:t>
      </w:r>
      <w:proofErr w:type="spellStart"/>
      <w:r w:rsidRPr="00606901">
        <w:t>Mollick</w:t>
      </w:r>
      <w:proofErr w:type="spellEnd"/>
      <w:r w:rsidRPr="00606901">
        <w:t xml:space="preserve">, et al. (2011) examined the effects of inflation during the what sol-called “globalization years” of (1986–2004) using a panel data, results have shown that inflation effect in emerging markets is less than the static models case, these results have been reported in the long-run. Paul, et al. (1997) examined the nexus between inflation and economic growth using 70 countries data during the period (1960-1989) using the Granger causality methodology, results were varied and mixed; non-uniform, no-causality, unidirectional causality, and bidirectional causality. To examine the threshold inflation rate which affects the economic growth, </w:t>
      </w:r>
      <w:proofErr w:type="spellStart"/>
      <w:r w:rsidRPr="00606901">
        <w:t>Ajide</w:t>
      </w:r>
      <w:proofErr w:type="spellEnd"/>
      <w:r w:rsidRPr="00606901">
        <w:t xml:space="preserve"> and </w:t>
      </w:r>
      <w:proofErr w:type="spellStart"/>
      <w:r w:rsidRPr="00606901">
        <w:t>Lawanson</w:t>
      </w:r>
      <w:proofErr w:type="spellEnd"/>
      <w:r w:rsidRPr="00606901">
        <w:t xml:space="preserve"> (2011) observed that after using the causality test between inflation and real GDP </w:t>
      </w:r>
      <w:r w:rsidRPr="00606901">
        <w:lastRenderedPageBreak/>
        <w:t xml:space="preserve">growth, there was neither bidirectional nor unidirectional causality, in addition, the nexus between the two variables was rather considered independent relationship. </w:t>
      </w:r>
    </w:p>
    <w:p w:rsidR="005A2028" w:rsidRPr="00606901" w:rsidRDefault="005A2028" w:rsidP="005A2028">
      <w:pPr>
        <w:pStyle w:val="MDPI31text"/>
      </w:pPr>
      <w:r w:rsidRPr="00606901">
        <w:t xml:space="preserve">In a similar direction, </w:t>
      </w:r>
      <w:proofErr w:type="spellStart"/>
      <w:r w:rsidRPr="00606901">
        <w:t>Hasanov</w:t>
      </w:r>
      <w:proofErr w:type="spellEnd"/>
      <w:r w:rsidRPr="00606901">
        <w:t xml:space="preserve"> and </w:t>
      </w:r>
      <w:proofErr w:type="spellStart"/>
      <w:r w:rsidRPr="00606901">
        <w:t>Omay</w:t>
      </w:r>
      <w:proofErr w:type="spellEnd"/>
      <w:r w:rsidRPr="00606901">
        <w:t xml:space="preserve"> (2011) tested 10 CEE countries for causal relationships, in some of the countries, results suggested that output growth rate minimizes market volatility, whereas inflation rate causes variability for both inflation rate as well as output growth rate</w:t>
      </w:r>
      <w:r>
        <w:t>;</w:t>
      </w:r>
      <w:r w:rsidRPr="000720DE">
        <w:t xml:space="preserve"> while one level has a positive effect on both uncertainties, one level has a positive effect on its level and a negative effect on the other level in a much smaller magnitude.</w:t>
      </w:r>
      <w:r w:rsidRPr="00606901">
        <w:t xml:space="preserve"> </w:t>
      </w:r>
      <w:proofErr w:type="spellStart"/>
      <w:r w:rsidRPr="00606901">
        <w:t>Manamperi</w:t>
      </w:r>
      <w:proofErr w:type="spellEnd"/>
      <w:r w:rsidRPr="00606901">
        <w:t xml:space="preserve"> (2014) tested the nexus between inflation and economic growth for both, long-run and short-run, in the BRICS countries during 30 years (1980-2012), results showing the relationship between inflation and economic growth varied from long-run to short-run, from positive to negative, and even no relationship, depending on the studied countries. In Bangladesh, during (1978-2010) Hossain, et al. (2012) examined the long-run relationship between inflation and economic growth, results found that inflation has certainly an impact on economic growth. </w:t>
      </w:r>
      <w:proofErr w:type="spellStart"/>
      <w:r w:rsidRPr="00606901">
        <w:t>Behera</w:t>
      </w:r>
      <w:proofErr w:type="spellEnd"/>
      <w:r w:rsidRPr="00606901">
        <w:t xml:space="preserve"> (2014) investigated the impact of inflation on economic growth in 6 South Asian Countries during (1980-2012), the countries results’ have shown no long-run relation between inflation and economic growth except for Malaysia where </w:t>
      </w:r>
      <w:proofErr w:type="spellStart"/>
      <w:r w:rsidRPr="00606901">
        <w:t>cointegration</w:t>
      </w:r>
      <w:proofErr w:type="spellEnd"/>
      <w:r w:rsidRPr="00606901">
        <w:t xml:space="preserve"> results showed an existing relationship in the long-run.</w:t>
      </w:r>
    </w:p>
    <w:p w:rsidR="005A2028" w:rsidRDefault="005A2028" w:rsidP="005A2028">
      <w:pPr>
        <w:pStyle w:val="MDPI31text"/>
        <w:rPr>
          <w:lang w:val="en"/>
        </w:rPr>
      </w:pPr>
      <w:r w:rsidRPr="00606901">
        <w:t xml:space="preserve">Gregorio (1993) investigated the relationship between inflation and growth in 12 Latin American countries for the period (1950-1985) have shown that inflation was indeed detrimental to growth, and the relationship was rather negative. Within the same Latin American context, </w:t>
      </w:r>
      <w:proofErr w:type="spellStart"/>
      <w:r w:rsidRPr="00606901">
        <w:t>Valdovinos</w:t>
      </w:r>
      <w:proofErr w:type="spellEnd"/>
      <w:r w:rsidRPr="00606901">
        <w:t xml:space="preserve"> (2003) used 8 different countries durian (1970-2000), a strong negative relationship appeared in the data. </w:t>
      </w:r>
      <w:proofErr w:type="spellStart"/>
      <w:r w:rsidRPr="00606901">
        <w:t>Baltar</w:t>
      </w:r>
      <w:proofErr w:type="spellEnd"/>
      <w:r w:rsidRPr="00606901">
        <w:t xml:space="preserve"> (2015) studied the case of Brazil and suggested</w:t>
      </w:r>
      <w:r>
        <w:t xml:space="preserve"> examining the relationship between economic growth and inflation</w:t>
      </w:r>
      <w:r w:rsidRPr="00606901">
        <w:t xml:space="preserve"> using a specific model “the cost-based price approach”</w:t>
      </w:r>
      <w:r>
        <w:t>. A high level of inflation is one of the factors that can hinder a nation's economic growth; it leads to a continuous increase in the prices of essential goods and services, which are fundamental needs of society.</w:t>
      </w:r>
      <w:r w:rsidRPr="00606901">
        <w:t xml:space="preserve"> On the other side of the continent, </w:t>
      </w:r>
      <w:proofErr w:type="spellStart"/>
      <w:r w:rsidRPr="00606901">
        <w:t>Bittencourt</w:t>
      </w:r>
      <w:proofErr w:type="spellEnd"/>
      <w:r w:rsidRPr="00606901">
        <w:t>, et al. (2015) studied 15 SSA countries during (1980-2009), results have suggested that inflation had indeed a detrimental effect to growth.</w:t>
      </w:r>
      <w:r w:rsidRPr="00606901">
        <w:rPr>
          <w:lang w:val="en"/>
        </w:rPr>
        <w:t xml:space="preserve"> </w:t>
      </w:r>
      <w:r w:rsidRPr="00606901">
        <w:t>Jung and Marshall (1986)</w:t>
      </w:r>
      <w:r w:rsidRPr="00606901">
        <w:rPr>
          <w:lang w:val="en"/>
        </w:rPr>
        <w:t xml:space="preserve"> used a data set for a diverse array of countries to examine the nexus between inflation and economic growth, the results were tested using the Granger causality method. The results were indicative between both views, the </w:t>
      </w:r>
      <w:proofErr w:type="spellStart"/>
      <w:r w:rsidRPr="00606901">
        <w:rPr>
          <w:lang w:val="en"/>
        </w:rPr>
        <w:t>distortionist</w:t>
      </w:r>
      <w:proofErr w:type="spellEnd"/>
      <w:r w:rsidRPr="00606901">
        <w:rPr>
          <w:lang w:val="en"/>
        </w:rPr>
        <w:t xml:space="preserve">, and the </w:t>
      </w:r>
      <w:proofErr w:type="spellStart"/>
      <w:r w:rsidRPr="00606901">
        <w:rPr>
          <w:lang w:val="en"/>
        </w:rPr>
        <w:t>structuralist</w:t>
      </w:r>
      <w:proofErr w:type="spellEnd"/>
      <w:r w:rsidRPr="00606901">
        <w:rPr>
          <w:lang w:val="en"/>
        </w:rPr>
        <w:t xml:space="preserve">, furthermore, one has discussed that inflation can lower real growth, while the other has the tendency to increase real growth. </w:t>
      </w:r>
      <w:r>
        <w:rPr>
          <w:lang w:val="en"/>
        </w:rPr>
        <w:t xml:space="preserve">Table 1. reflects </w:t>
      </w:r>
      <w:r w:rsidRPr="00D65E41">
        <w:rPr>
          <w:lang w:val="en"/>
        </w:rPr>
        <w:t>a synthesis of the various economic perspectives on the topic.</w:t>
      </w:r>
    </w:p>
    <w:p w:rsidR="005A2028" w:rsidRPr="00D65E41" w:rsidRDefault="005A2028" w:rsidP="005A2028">
      <w:pPr>
        <w:pStyle w:val="MDPI31text"/>
        <w:rPr>
          <w:lang w:val="en"/>
        </w:rPr>
      </w:pPr>
    </w:p>
    <w:p w:rsidR="005A2028" w:rsidRPr="006275E7" w:rsidRDefault="005A2028" w:rsidP="005A2028">
      <w:pPr>
        <w:pStyle w:val="MDPI31text"/>
        <w:ind w:left="-360"/>
        <w:rPr>
          <w:b/>
          <w:bCs/>
          <w:i/>
          <w:iCs/>
          <w:lang w:val="en"/>
        </w:rPr>
      </w:pPr>
      <w:r w:rsidRPr="006275E7">
        <w:rPr>
          <w:b/>
          <w:bCs/>
          <w:i/>
          <w:iCs/>
          <w:lang w:val="en"/>
        </w:rPr>
        <w:t xml:space="preserve">Table 1. </w:t>
      </w:r>
      <w:r>
        <w:rPr>
          <w:lang w:val="en"/>
        </w:rPr>
        <w:t>F</w:t>
      </w:r>
      <w:r w:rsidRPr="0009055A">
        <w:rPr>
          <w:lang w:val="en"/>
        </w:rPr>
        <w:t xml:space="preserve">indings </w:t>
      </w:r>
      <w:r>
        <w:rPr>
          <w:lang w:val="en"/>
        </w:rPr>
        <w:t>summary</w:t>
      </w:r>
      <w:r w:rsidRPr="0009055A">
        <w:rPr>
          <w:lang w:val="en"/>
        </w:rPr>
        <w:t xml:space="preserve"> of the various economic studies on </w:t>
      </w:r>
      <w:r>
        <w:rPr>
          <w:lang w:val="en"/>
        </w:rPr>
        <w:t>Inflation and Economic Growth</w:t>
      </w:r>
    </w:p>
    <w:tbl>
      <w:tblPr>
        <w:tblStyle w:val="MDPI41threelinetable"/>
        <w:tblW w:w="10525" w:type="dxa"/>
        <w:jc w:val="left"/>
        <w:tblLook w:val="04A0" w:firstRow="1" w:lastRow="0" w:firstColumn="1" w:lastColumn="0" w:noHBand="0" w:noVBand="1"/>
      </w:tblPr>
      <w:tblGrid>
        <w:gridCol w:w="1297"/>
        <w:gridCol w:w="1412"/>
        <w:gridCol w:w="1014"/>
        <w:gridCol w:w="1827"/>
        <w:gridCol w:w="4975"/>
      </w:tblGrid>
      <w:tr w:rsidR="005A2028" w:rsidRPr="007C216B" w:rsidTr="0089242F">
        <w:trPr>
          <w:cnfStyle w:val="100000000000" w:firstRow="1" w:lastRow="0" w:firstColumn="0" w:lastColumn="0" w:oddVBand="0" w:evenVBand="0" w:oddHBand="0" w:evenHBand="0" w:firstRowFirstColumn="0" w:firstRowLastColumn="0" w:lastRowFirstColumn="0" w:lastRowLastColumn="0"/>
          <w:trHeight w:val="300"/>
          <w:jc w:val="left"/>
        </w:trPr>
        <w:tc>
          <w:tcPr>
            <w:tcW w:w="1297" w:type="dxa"/>
            <w:noWrap/>
            <w:hideMark/>
          </w:tcPr>
          <w:p w:rsidR="005A2028" w:rsidRPr="007C216B" w:rsidRDefault="005A2028" w:rsidP="0089242F">
            <w:pPr>
              <w:rPr>
                <w:rFonts w:cstheme="majorBidi"/>
                <w:sz w:val="12"/>
                <w:szCs w:val="12"/>
              </w:rPr>
            </w:pPr>
            <w:r w:rsidRPr="007C216B">
              <w:rPr>
                <w:rFonts w:cstheme="majorBidi"/>
                <w:sz w:val="12"/>
                <w:szCs w:val="12"/>
              </w:rPr>
              <w:t>Author(s)</w:t>
            </w:r>
          </w:p>
        </w:tc>
        <w:tc>
          <w:tcPr>
            <w:tcW w:w="1412" w:type="dxa"/>
            <w:noWrap/>
            <w:hideMark/>
          </w:tcPr>
          <w:p w:rsidR="005A2028" w:rsidRPr="007C216B" w:rsidRDefault="005A2028" w:rsidP="0089242F">
            <w:pPr>
              <w:rPr>
                <w:rFonts w:cstheme="majorBidi"/>
                <w:sz w:val="12"/>
                <w:szCs w:val="12"/>
              </w:rPr>
            </w:pPr>
            <w:r w:rsidRPr="007C216B">
              <w:rPr>
                <w:rFonts w:cstheme="majorBidi"/>
                <w:sz w:val="12"/>
                <w:szCs w:val="12"/>
              </w:rPr>
              <w:t>Country(</w:t>
            </w:r>
            <w:proofErr w:type="spellStart"/>
            <w:r w:rsidRPr="007C216B">
              <w:rPr>
                <w:rFonts w:cstheme="majorBidi"/>
                <w:sz w:val="12"/>
                <w:szCs w:val="12"/>
              </w:rPr>
              <w:t>ies</w:t>
            </w:r>
            <w:proofErr w:type="spellEnd"/>
            <w:r w:rsidRPr="007C216B">
              <w:rPr>
                <w:rFonts w:cstheme="majorBidi"/>
                <w:sz w:val="12"/>
                <w:szCs w:val="12"/>
              </w:rPr>
              <w:t>)</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Time Period</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Methodology</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Findings</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Asandului</w:t>
            </w:r>
            <w:proofErr w:type="spellEnd"/>
            <w:r w:rsidRPr="007C216B">
              <w:rPr>
                <w:rFonts w:cstheme="majorBidi"/>
                <w:sz w:val="12"/>
                <w:szCs w:val="12"/>
              </w:rPr>
              <w:t xml:space="preserve"> and </w:t>
            </w:r>
            <w:proofErr w:type="spellStart"/>
            <w:r w:rsidRPr="007C216B">
              <w:rPr>
                <w:rFonts w:cstheme="majorBidi"/>
                <w:sz w:val="12"/>
                <w:szCs w:val="12"/>
              </w:rPr>
              <w:t>Lupu</w:t>
            </w:r>
            <w:proofErr w:type="spellEnd"/>
            <w:r w:rsidRPr="007C216B">
              <w:rPr>
                <w:rFonts w:cstheme="majorBidi"/>
                <w:sz w:val="12"/>
                <w:szCs w:val="12"/>
              </w:rPr>
              <w:t xml:space="preserve"> (</w:t>
            </w:r>
            <w:r w:rsidRPr="007C216B">
              <w:rPr>
                <w:rFonts w:cstheme="majorBidi"/>
                <w:sz w:val="12"/>
                <w:szCs w:val="12"/>
                <w:lang w:bidi="ar-JO"/>
              </w:rPr>
              <w:t>2015</w:t>
            </w:r>
            <w:r w:rsidRPr="007C216B">
              <w:rPr>
                <w:rFonts w:cstheme="majorBidi"/>
                <w:sz w:val="12"/>
                <w:szCs w:val="12"/>
              </w:rPr>
              <w:t>)</w:t>
            </w:r>
            <w:r>
              <w:rPr>
                <w:rFonts w:cstheme="majorBidi"/>
                <w:sz w:val="12"/>
                <w:szCs w:val="12"/>
              </w:rPr>
              <w:br/>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Romania</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1970-2013</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Structural break, Stationarity, Granger causality</w:t>
            </w:r>
          </w:p>
        </w:tc>
        <w:tc>
          <w:tcPr>
            <w:tcW w:w="4975" w:type="dxa"/>
            <w:noWrap/>
            <w:hideMark/>
          </w:tcPr>
          <w:p w:rsidR="005A2028" w:rsidRPr="007C216B" w:rsidRDefault="005A2028" w:rsidP="0089242F">
            <w:pPr>
              <w:rPr>
                <w:rFonts w:cstheme="majorBidi"/>
                <w:sz w:val="12"/>
                <w:szCs w:val="12"/>
              </w:rPr>
            </w:pPr>
            <w:proofErr w:type="spellStart"/>
            <w:r w:rsidRPr="007C216B">
              <w:rPr>
                <w:rFonts w:cstheme="majorBidi"/>
                <w:sz w:val="12"/>
                <w:szCs w:val="12"/>
              </w:rPr>
              <w:t>Cointegrating</w:t>
            </w:r>
            <w:proofErr w:type="spellEnd"/>
            <w:r w:rsidRPr="007C216B">
              <w:rPr>
                <w:rFonts w:cstheme="majorBidi"/>
                <w:sz w:val="12"/>
                <w:szCs w:val="12"/>
              </w:rPr>
              <w:t xml:space="preserve"> relationship between inflation and economic growth for Romania</w:t>
            </w:r>
          </w:p>
        </w:tc>
      </w:tr>
      <w:tr w:rsidR="005A2028" w:rsidRPr="007C216B" w:rsidTr="0089242F">
        <w:trPr>
          <w:trHeight w:val="300"/>
          <w:jc w:val="left"/>
        </w:trPr>
        <w:tc>
          <w:tcPr>
            <w:tcW w:w="1297" w:type="dxa"/>
            <w:noWrap/>
          </w:tcPr>
          <w:p w:rsidR="005A2028" w:rsidRPr="007C216B" w:rsidRDefault="005A2028" w:rsidP="0089242F">
            <w:pPr>
              <w:jc w:val="left"/>
              <w:rPr>
                <w:rFonts w:cstheme="majorBidi"/>
                <w:sz w:val="12"/>
                <w:szCs w:val="12"/>
              </w:rPr>
            </w:pPr>
            <w:proofErr w:type="spellStart"/>
            <w:r w:rsidRPr="00266F7A">
              <w:rPr>
                <w:rFonts w:cstheme="majorBidi"/>
                <w:sz w:val="12"/>
                <w:szCs w:val="12"/>
              </w:rPr>
              <w:t>Almajali</w:t>
            </w:r>
            <w:proofErr w:type="spellEnd"/>
            <w:r w:rsidRPr="00266F7A">
              <w:rPr>
                <w:rFonts w:cstheme="majorBidi"/>
                <w:sz w:val="12"/>
                <w:szCs w:val="12"/>
              </w:rPr>
              <w:t xml:space="preserve"> and </w:t>
            </w:r>
            <w:proofErr w:type="spellStart"/>
            <w:r w:rsidRPr="00266F7A">
              <w:rPr>
                <w:rFonts w:cstheme="majorBidi"/>
                <w:sz w:val="12"/>
                <w:szCs w:val="12"/>
              </w:rPr>
              <w:t>Almubidin</w:t>
            </w:r>
            <w:proofErr w:type="spellEnd"/>
            <w:r w:rsidRPr="00266F7A">
              <w:rPr>
                <w:rFonts w:cstheme="majorBidi"/>
                <w:sz w:val="12"/>
                <w:szCs w:val="12"/>
              </w:rPr>
              <w:t xml:space="preserve"> (2022)</w:t>
            </w:r>
          </w:p>
        </w:tc>
        <w:tc>
          <w:tcPr>
            <w:tcW w:w="1412" w:type="dxa"/>
            <w:noWrap/>
          </w:tcPr>
          <w:p w:rsidR="005A2028" w:rsidRPr="007C216B" w:rsidRDefault="005A2028" w:rsidP="0089242F">
            <w:pPr>
              <w:jc w:val="left"/>
              <w:rPr>
                <w:rFonts w:cstheme="majorBidi"/>
                <w:sz w:val="12"/>
                <w:szCs w:val="12"/>
              </w:rPr>
            </w:pPr>
            <w:r>
              <w:rPr>
                <w:rFonts w:cstheme="majorBidi"/>
                <w:sz w:val="12"/>
                <w:szCs w:val="12"/>
              </w:rPr>
              <w:t>Jordan</w:t>
            </w:r>
          </w:p>
        </w:tc>
        <w:tc>
          <w:tcPr>
            <w:tcW w:w="1014" w:type="dxa"/>
            <w:noWrap/>
          </w:tcPr>
          <w:p w:rsidR="005A2028" w:rsidRPr="007C216B" w:rsidRDefault="005A2028" w:rsidP="0089242F">
            <w:pPr>
              <w:rPr>
                <w:rFonts w:cstheme="majorBidi"/>
                <w:sz w:val="12"/>
                <w:szCs w:val="12"/>
              </w:rPr>
            </w:pPr>
            <w:r>
              <w:rPr>
                <w:rFonts w:cstheme="majorBidi"/>
                <w:sz w:val="12"/>
                <w:szCs w:val="12"/>
              </w:rPr>
              <w:t>Quarterly data 2000-2019</w:t>
            </w:r>
          </w:p>
        </w:tc>
        <w:tc>
          <w:tcPr>
            <w:tcW w:w="1827" w:type="dxa"/>
            <w:noWrap/>
          </w:tcPr>
          <w:p w:rsidR="005A2028" w:rsidRPr="007C216B" w:rsidRDefault="005A2028" w:rsidP="0089242F">
            <w:pPr>
              <w:jc w:val="left"/>
              <w:rPr>
                <w:rFonts w:cstheme="majorBidi"/>
                <w:sz w:val="12"/>
                <w:szCs w:val="12"/>
              </w:rPr>
            </w:pPr>
            <w:r>
              <w:rPr>
                <w:rFonts w:cstheme="majorBidi"/>
                <w:sz w:val="12"/>
                <w:szCs w:val="12"/>
              </w:rPr>
              <w:t>S</w:t>
            </w:r>
            <w:r w:rsidRPr="00A77E13">
              <w:rPr>
                <w:rFonts w:cstheme="majorBidi"/>
                <w:sz w:val="12"/>
                <w:szCs w:val="12"/>
              </w:rPr>
              <w:t>imultaneous equations methodology</w:t>
            </w:r>
            <w:r>
              <w:rPr>
                <w:rFonts w:cstheme="majorBidi"/>
                <w:sz w:val="12"/>
                <w:szCs w:val="12"/>
              </w:rPr>
              <w:t xml:space="preserve"> and </w:t>
            </w:r>
            <w:r w:rsidRPr="00A77E13">
              <w:rPr>
                <w:rFonts w:cstheme="majorBidi"/>
                <w:sz w:val="12"/>
                <w:szCs w:val="12"/>
              </w:rPr>
              <w:t>GMM</w:t>
            </w:r>
          </w:p>
        </w:tc>
        <w:tc>
          <w:tcPr>
            <w:tcW w:w="4975" w:type="dxa"/>
            <w:noWrap/>
          </w:tcPr>
          <w:p w:rsidR="005A2028" w:rsidRPr="007C216B" w:rsidRDefault="005A2028" w:rsidP="0089242F">
            <w:pPr>
              <w:rPr>
                <w:rFonts w:cstheme="majorBidi"/>
                <w:sz w:val="12"/>
                <w:szCs w:val="12"/>
              </w:rPr>
            </w:pPr>
            <w:r>
              <w:rPr>
                <w:rFonts w:cstheme="majorBidi"/>
                <w:sz w:val="12"/>
                <w:szCs w:val="12"/>
              </w:rPr>
              <w:t>M</w:t>
            </w:r>
            <w:r w:rsidRPr="00287887">
              <w:rPr>
                <w:rFonts w:cstheme="majorBidi"/>
                <w:sz w:val="12"/>
                <w:szCs w:val="12"/>
              </w:rPr>
              <w:t xml:space="preserve">onetary policy has a certain level of </w:t>
            </w:r>
            <w:proofErr w:type="spellStart"/>
            <w:r w:rsidRPr="00287887">
              <w:rPr>
                <w:rFonts w:cstheme="majorBidi"/>
                <w:sz w:val="12"/>
                <w:szCs w:val="12"/>
              </w:rPr>
              <w:t>effec-tiveness</w:t>
            </w:r>
            <w:proofErr w:type="spellEnd"/>
            <w:r w:rsidRPr="00287887">
              <w:rPr>
                <w:rFonts w:cstheme="majorBidi"/>
                <w:sz w:val="12"/>
                <w:szCs w:val="12"/>
              </w:rPr>
              <w:t xml:space="preserve"> in influencing inflation and the output gap</w:t>
            </w:r>
          </w:p>
        </w:tc>
      </w:tr>
      <w:tr w:rsidR="005A2028" w:rsidRPr="007C216B" w:rsidTr="0089242F">
        <w:trPr>
          <w:trHeight w:val="300"/>
          <w:jc w:val="left"/>
        </w:trPr>
        <w:tc>
          <w:tcPr>
            <w:tcW w:w="1297" w:type="dxa"/>
            <w:noWrap/>
          </w:tcPr>
          <w:p w:rsidR="005A2028" w:rsidRPr="00266F7A" w:rsidRDefault="005A2028" w:rsidP="0089242F">
            <w:pPr>
              <w:jc w:val="left"/>
              <w:rPr>
                <w:rFonts w:cstheme="majorBidi"/>
                <w:sz w:val="12"/>
                <w:szCs w:val="12"/>
              </w:rPr>
            </w:pPr>
            <w:r w:rsidRPr="00437F2E">
              <w:rPr>
                <w:rFonts w:cstheme="majorBidi"/>
                <w:sz w:val="12"/>
                <w:szCs w:val="12"/>
              </w:rPr>
              <w:t xml:space="preserve">Abu </w:t>
            </w:r>
            <w:proofErr w:type="spellStart"/>
            <w:r w:rsidRPr="00437F2E">
              <w:rPr>
                <w:rFonts w:cstheme="majorBidi"/>
                <w:sz w:val="12"/>
                <w:szCs w:val="12"/>
              </w:rPr>
              <w:t>Shihab</w:t>
            </w:r>
            <w:proofErr w:type="spellEnd"/>
            <w:r w:rsidRPr="00437F2E">
              <w:rPr>
                <w:rFonts w:cstheme="majorBidi"/>
                <w:sz w:val="12"/>
                <w:szCs w:val="12"/>
              </w:rPr>
              <w:t xml:space="preserve"> (2014)</w:t>
            </w:r>
          </w:p>
        </w:tc>
        <w:tc>
          <w:tcPr>
            <w:tcW w:w="1412" w:type="dxa"/>
            <w:noWrap/>
          </w:tcPr>
          <w:p w:rsidR="005A2028" w:rsidRDefault="005A2028" w:rsidP="0089242F">
            <w:pPr>
              <w:jc w:val="left"/>
              <w:rPr>
                <w:rFonts w:cstheme="majorBidi"/>
                <w:sz w:val="12"/>
                <w:szCs w:val="12"/>
              </w:rPr>
            </w:pPr>
            <w:r>
              <w:rPr>
                <w:rFonts w:cstheme="majorBidi"/>
                <w:sz w:val="12"/>
                <w:szCs w:val="12"/>
              </w:rPr>
              <w:t>Jordan</w:t>
            </w:r>
          </w:p>
        </w:tc>
        <w:tc>
          <w:tcPr>
            <w:tcW w:w="1014" w:type="dxa"/>
            <w:noWrap/>
          </w:tcPr>
          <w:p w:rsidR="005A2028" w:rsidRDefault="005A2028" w:rsidP="0089242F">
            <w:pPr>
              <w:rPr>
                <w:rFonts w:cstheme="majorBidi"/>
                <w:sz w:val="12"/>
                <w:szCs w:val="12"/>
              </w:rPr>
            </w:pPr>
            <w:r>
              <w:rPr>
                <w:rFonts w:cstheme="majorBidi"/>
                <w:sz w:val="12"/>
                <w:szCs w:val="12"/>
              </w:rPr>
              <w:t>2000-2012</w:t>
            </w:r>
          </w:p>
        </w:tc>
        <w:tc>
          <w:tcPr>
            <w:tcW w:w="1827" w:type="dxa"/>
            <w:noWrap/>
          </w:tcPr>
          <w:p w:rsidR="005A2028" w:rsidRDefault="005A2028" w:rsidP="0089242F">
            <w:pPr>
              <w:jc w:val="left"/>
              <w:rPr>
                <w:rFonts w:cstheme="majorBidi"/>
                <w:sz w:val="12"/>
                <w:szCs w:val="12"/>
              </w:rPr>
            </w:pPr>
            <w:r w:rsidRPr="00437F2E">
              <w:rPr>
                <w:rFonts w:cstheme="majorBidi"/>
                <w:sz w:val="12"/>
                <w:szCs w:val="12"/>
              </w:rPr>
              <w:t>Granger causality</w:t>
            </w:r>
          </w:p>
        </w:tc>
        <w:tc>
          <w:tcPr>
            <w:tcW w:w="4975" w:type="dxa"/>
            <w:noWrap/>
          </w:tcPr>
          <w:p w:rsidR="005A2028" w:rsidRDefault="005A2028" w:rsidP="0089242F">
            <w:pPr>
              <w:rPr>
                <w:rFonts w:cstheme="majorBidi"/>
                <w:sz w:val="12"/>
                <w:szCs w:val="12"/>
              </w:rPr>
            </w:pPr>
            <w:r w:rsidRPr="00437F2E">
              <w:rPr>
                <w:rFonts w:cstheme="majorBidi"/>
                <w:sz w:val="12"/>
                <w:szCs w:val="12"/>
              </w:rPr>
              <w:t>Causal relationship between ec</w:t>
            </w:r>
            <w:r>
              <w:rPr>
                <w:rFonts w:cstheme="majorBidi"/>
                <w:sz w:val="12"/>
                <w:szCs w:val="12"/>
              </w:rPr>
              <w:t>onomic growth and fiscal policy</w:t>
            </w:r>
          </w:p>
        </w:tc>
      </w:tr>
      <w:tr w:rsidR="005A2028" w:rsidRPr="007C216B" w:rsidTr="0089242F">
        <w:trPr>
          <w:trHeight w:val="300"/>
          <w:jc w:val="left"/>
        </w:trPr>
        <w:tc>
          <w:tcPr>
            <w:tcW w:w="1297" w:type="dxa"/>
            <w:noWrap/>
          </w:tcPr>
          <w:p w:rsidR="005A2028" w:rsidRPr="00437F2E" w:rsidRDefault="005A2028" w:rsidP="0089242F">
            <w:pPr>
              <w:jc w:val="left"/>
              <w:rPr>
                <w:rFonts w:cstheme="majorBidi"/>
                <w:sz w:val="12"/>
                <w:szCs w:val="12"/>
              </w:rPr>
            </w:pPr>
            <w:proofErr w:type="spellStart"/>
            <w:r>
              <w:rPr>
                <w:rFonts w:cstheme="majorBidi"/>
                <w:sz w:val="12"/>
                <w:szCs w:val="12"/>
              </w:rPr>
              <w:t>Matar</w:t>
            </w:r>
            <w:proofErr w:type="spellEnd"/>
            <w:r>
              <w:rPr>
                <w:rFonts w:cstheme="majorBidi"/>
                <w:sz w:val="12"/>
                <w:szCs w:val="12"/>
              </w:rPr>
              <w:t xml:space="preserve"> (2016)</w:t>
            </w:r>
          </w:p>
        </w:tc>
        <w:tc>
          <w:tcPr>
            <w:tcW w:w="1412" w:type="dxa"/>
            <w:noWrap/>
          </w:tcPr>
          <w:p w:rsidR="005A2028" w:rsidRDefault="005A2028" w:rsidP="0089242F">
            <w:pPr>
              <w:jc w:val="left"/>
              <w:rPr>
                <w:rFonts w:cstheme="majorBidi"/>
                <w:sz w:val="12"/>
                <w:szCs w:val="12"/>
              </w:rPr>
            </w:pPr>
            <w:r>
              <w:rPr>
                <w:rFonts w:cstheme="majorBidi"/>
                <w:sz w:val="12"/>
                <w:szCs w:val="12"/>
              </w:rPr>
              <w:t>Jordan</w:t>
            </w:r>
          </w:p>
        </w:tc>
        <w:tc>
          <w:tcPr>
            <w:tcW w:w="1014" w:type="dxa"/>
            <w:noWrap/>
          </w:tcPr>
          <w:p w:rsidR="005A2028" w:rsidRDefault="005A2028" w:rsidP="0089242F">
            <w:pPr>
              <w:rPr>
                <w:rFonts w:cstheme="majorBidi"/>
                <w:sz w:val="12"/>
                <w:szCs w:val="12"/>
              </w:rPr>
            </w:pPr>
            <w:r w:rsidRPr="00763209">
              <w:rPr>
                <w:rFonts w:cstheme="majorBidi"/>
                <w:sz w:val="12"/>
                <w:szCs w:val="12"/>
              </w:rPr>
              <w:t>1976-2011</w:t>
            </w:r>
          </w:p>
        </w:tc>
        <w:tc>
          <w:tcPr>
            <w:tcW w:w="1827" w:type="dxa"/>
            <w:noWrap/>
          </w:tcPr>
          <w:p w:rsidR="005A2028" w:rsidRPr="00763209" w:rsidRDefault="005A2028" w:rsidP="0089242F">
            <w:pPr>
              <w:rPr>
                <w:rFonts w:cstheme="majorBidi"/>
                <w:sz w:val="12"/>
                <w:szCs w:val="12"/>
              </w:rPr>
            </w:pPr>
            <w:r>
              <w:rPr>
                <w:rFonts w:cstheme="majorBidi"/>
                <w:sz w:val="12"/>
                <w:szCs w:val="12"/>
              </w:rPr>
              <w:t>T</w:t>
            </w:r>
            <w:r w:rsidRPr="00763209">
              <w:rPr>
                <w:rFonts w:cstheme="majorBidi"/>
                <w:sz w:val="12"/>
                <w:szCs w:val="12"/>
              </w:rPr>
              <w:t>ime series using</w:t>
            </w:r>
          </w:p>
          <w:p w:rsidR="005A2028" w:rsidRPr="00437F2E" w:rsidRDefault="005A2028" w:rsidP="0089242F">
            <w:pPr>
              <w:jc w:val="left"/>
              <w:rPr>
                <w:rFonts w:cstheme="majorBidi"/>
                <w:sz w:val="12"/>
                <w:szCs w:val="12"/>
              </w:rPr>
            </w:pPr>
            <w:r>
              <w:rPr>
                <w:rFonts w:cstheme="majorBidi"/>
                <w:sz w:val="12"/>
                <w:szCs w:val="12"/>
              </w:rPr>
              <w:t>ARDL</w:t>
            </w:r>
          </w:p>
        </w:tc>
        <w:tc>
          <w:tcPr>
            <w:tcW w:w="4975" w:type="dxa"/>
            <w:noWrap/>
          </w:tcPr>
          <w:p w:rsidR="005A2028" w:rsidRPr="00437F2E" w:rsidRDefault="005A2028" w:rsidP="0089242F">
            <w:pPr>
              <w:rPr>
                <w:rFonts w:cstheme="majorBidi"/>
                <w:sz w:val="12"/>
                <w:szCs w:val="12"/>
              </w:rPr>
            </w:pPr>
            <w:r>
              <w:rPr>
                <w:rFonts w:cstheme="majorBidi"/>
                <w:sz w:val="12"/>
                <w:szCs w:val="12"/>
              </w:rPr>
              <w:t>L</w:t>
            </w:r>
            <w:r w:rsidRPr="00CE5261">
              <w:rPr>
                <w:rFonts w:cstheme="majorBidi"/>
                <w:sz w:val="12"/>
                <w:szCs w:val="12"/>
              </w:rPr>
              <w:t>ong-run equilibrium relationship between electricity c</w:t>
            </w:r>
            <w:r>
              <w:rPr>
                <w:rFonts w:cstheme="majorBidi"/>
                <w:sz w:val="12"/>
                <w:szCs w:val="12"/>
              </w:rPr>
              <w:t>onsumption and economic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Valdovinos</w:t>
            </w:r>
            <w:proofErr w:type="spellEnd"/>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Eight Latin American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1970-2000</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Baxter and King filter</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Clear negative relation between inflation and economic growth over time</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r w:rsidRPr="007C216B">
              <w:rPr>
                <w:rFonts w:cstheme="majorBidi"/>
                <w:sz w:val="12"/>
                <w:szCs w:val="12"/>
              </w:rPr>
              <w:t xml:space="preserve">Hussain and Malik </w:t>
            </w:r>
            <w:r w:rsidRPr="007C216B">
              <w:rPr>
                <w:rFonts w:eastAsia="TimesNewRomanPSMT" w:cstheme="majorBidi"/>
                <w:sz w:val="12"/>
                <w:szCs w:val="12"/>
              </w:rPr>
              <w:t>(2011)</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Pakistan</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1960-2006</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2SLS technique</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Positive relationship between inflation and economic growth and vice versa in the case of Pakistan</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r w:rsidRPr="007C216B">
              <w:rPr>
                <w:rFonts w:cstheme="majorBidi"/>
                <w:sz w:val="12"/>
                <w:szCs w:val="12"/>
              </w:rPr>
              <w:t>Guerrero (2006)</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Rich, middle-income, and poor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1949-2002</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OLS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Inflation has an adverse effect on growth that is economically significant and quite robust statistically</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Apergis</w:t>
            </w:r>
            <w:proofErr w:type="spellEnd"/>
            <w:r w:rsidRPr="007C216B">
              <w:rPr>
                <w:rFonts w:cstheme="majorBidi"/>
                <w:sz w:val="12"/>
                <w:szCs w:val="12"/>
              </w:rPr>
              <w:t xml:space="preserve"> (2004)</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International Group of Seven (G7)</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1960–2000</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Univariate GARCH models, panel set</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 xml:space="preserve">Inflation affects output growth, supporting </w:t>
            </w:r>
            <w:proofErr w:type="spellStart"/>
            <w:r w:rsidRPr="007C216B">
              <w:rPr>
                <w:rFonts w:cstheme="majorBidi"/>
                <w:sz w:val="12"/>
                <w:szCs w:val="12"/>
              </w:rPr>
              <w:t>Cukierman</w:t>
            </w:r>
            <w:proofErr w:type="spellEnd"/>
            <w:r w:rsidRPr="007C216B">
              <w:rPr>
                <w:rFonts w:cstheme="majorBidi"/>
                <w:sz w:val="12"/>
                <w:szCs w:val="12"/>
              </w:rPr>
              <w:t xml:space="preserve"> and Meltzer's hypothesis.</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r w:rsidRPr="007C216B">
              <w:rPr>
                <w:rFonts w:cstheme="majorBidi"/>
                <w:sz w:val="12"/>
                <w:szCs w:val="12"/>
              </w:rPr>
              <w:t>Friedman (1977)</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France, Italy, Sweden, US, UK, Canada, Germany, and Japan</w:t>
            </w:r>
          </w:p>
        </w:tc>
        <w:tc>
          <w:tcPr>
            <w:tcW w:w="1014" w:type="dxa"/>
            <w:noWrap/>
            <w:hideMark/>
          </w:tcPr>
          <w:p w:rsidR="005A2028" w:rsidRPr="007C216B" w:rsidRDefault="005A2028" w:rsidP="0089242F">
            <w:pPr>
              <w:rPr>
                <w:rFonts w:cstheme="majorBidi"/>
                <w:sz w:val="12"/>
                <w:szCs w:val="12"/>
              </w:rPr>
            </w:pPr>
            <w:r>
              <w:rPr>
                <w:rFonts w:cstheme="majorBidi"/>
                <w:sz w:val="12"/>
                <w:szCs w:val="12"/>
              </w:rPr>
              <w:t>1966-1970 and 1970-1975</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The "natural-rate", "accelerationist" or "expectations-adjusted</w:t>
            </w:r>
          </w:p>
          <w:p w:rsidR="005A2028" w:rsidRPr="007C216B" w:rsidRDefault="005A2028" w:rsidP="0089242F">
            <w:pPr>
              <w:jc w:val="left"/>
              <w:rPr>
                <w:rFonts w:cstheme="majorBidi"/>
                <w:sz w:val="12"/>
                <w:szCs w:val="12"/>
              </w:rPr>
            </w:pPr>
            <w:r w:rsidRPr="007C216B">
              <w:rPr>
                <w:rFonts w:cstheme="majorBidi"/>
                <w:sz w:val="12"/>
                <w:szCs w:val="12"/>
              </w:rPr>
              <w:t>Phillips curve" hypothesis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Inflation causes inflation uncertainty, not directly related to the relationship betwee</w:t>
            </w:r>
            <w:r>
              <w:rPr>
                <w:rFonts w:cstheme="majorBidi"/>
                <w:sz w:val="12"/>
                <w:szCs w:val="12"/>
              </w:rPr>
              <w:t>n inflation and economic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Barro</w:t>
            </w:r>
            <w:proofErr w:type="spellEnd"/>
            <w:r w:rsidRPr="007C216B">
              <w:rPr>
                <w:rFonts w:cstheme="majorBidi"/>
                <w:sz w:val="12"/>
                <w:szCs w:val="12"/>
              </w:rPr>
              <w:t xml:space="preserve"> (2013)</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100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1960-1990</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Panel data</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Causal influences from inflation to growth and investment, with small adverse influence on growth and substantial long-term effects on standards of living</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r w:rsidRPr="007C216B">
              <w:rPr>
                <w:rFonts w:cstheme="majorBidi"/>
                <w:sz w:val="12"/>
                <w:szCs w:val="12"/>
              </w:rPr>
              <w:t>Robert and Alexander (1997)</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OECD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1966-1988</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pooled time series and cross-section fashion</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Strong evidence between inflation and real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Aydına</w:t>
            </w:r>
            <w:proofErr w:type="spellEnd"/>
            <w:r w:rsidRPr="007C216B">
              <w:rPr>
                <w:rFonts w:cstheme="majorBidi"/>
                <w:sz w:val="12"/>
                <w:szCs w:val="12"/>
              </w:rPr>
              <w:t>, et al.</w:t>
            </w:r>
            <w:r w:rsidRPr="007C216B">
              <w:rPr>
                <w:sz w:val="12"/>
                <w:szCs w:val="12"/>
              </w:rPr>
              <w:t xml:space="preserve"> </w:t>
            </w:r>
            <w:r w:rsidRPr="007C216B">
              <w:rPr>
                <w:rFonts w:cstheme="majorBidi"/>
                <w:sz w:val="12"/>
                <w:szCs w:val="12"/>
              </w:rPr>
              <w:t>(2016)</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5 Turkish Republics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1992-2013</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Panel data</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Nonlinear relationship between inflation and growth rate, with high inflation rate having a considerable influence on economic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Koulakiotis</w:t>
            </w:r>
            <w:proofErr w:type="spellEnd"/>
            <w:r w:rsidRPr="007C216B">
              <w:rPr>
                <w:rFonts w:cstheme="majorBidi"/>
                <w:sz w:val="12"/>
                <w:szCs w:val="12"/>
              </w:rPr>
              <w:t>, et al. (2012)</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14 European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1961-2008</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Panel univariate GARCH models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Bidirectional effect between inflation and GDP, with inflation causing GDP at 5% significance level and GDP causing inflation at 10% significance level</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r w:rsidRPr="007C216B">
              <w:rPr>
                <w:rFonts w:cstheme="majorBidi"/>
                <w:sz w:val="12"/>
                <w:szCs w:val="12"/>
              </w:rPr>
              <w:lastRenderedPageBreak/>
              <w:t>Hwang and Wu (2011)</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China</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1986-2006</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ARDL</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Highly significant and robust inflation threshold effect on the inflation-growth nexus in China</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Chimobi</w:t>
            </w:r>
            <w:proofErr w:type="spellEnd"/>
            <w:r w:rsidRPr="007C216B">
              <w:rPr>
                <w:rFonts w:cstheme="majorBidi"/>
                <w:sz w:val="12"/>
                <w:szCs w:val="12"/>
              </w:rPr>
              <w:t xml:space="preserve"> (2010)</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Nigeria</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1970-2005</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VAR-Granger causality</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No co-integrating relationship between inflation and economic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Mallik</w:t>
            </w:r>
            <w:proofErr w:type="spellEnd"/>
            <w:r w:rsidRPr="007C216B">
              <w:rPr>
                <w:rFonts w:cstheme="majorBidi"/>
                <w:sz w:val="12"/>
                <w:szCs w:val="12"/>
              </w:rPr>
              <w:t xml:space="preserve"> and Chowdhury (2001)</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South Asian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1961-1997</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Time series analysis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Inflation and economic growth are positively related. Sensitivity of inflation to changes in growth rates is larger than that of growth to changes in inflation rates.</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r w:rsidRPr="007C216B">
              <w:rPr>
                <w:rFonts w:cstheme="majorBidi"/>
                <w:sz w:val="12"/>
                <w:szCs w:val="12"/>
              </w:rPr>
              <w:t>Hwang (2007)</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United States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1947- 2005</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VARMA-ML-Asymmetric-VGARCH</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Bidirectional causality between inflation and economic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Sweidan</w:t>
            </w:r>
            <w:proofErr w:type="spellEnd"/>
            <w:r w:rsidRPr="007C216B">
              <w:rPr>
                <w:rFonts w:cstheme="majorBidi"/>
                <w:sz w:val="12"/>
                <w:szCs w:val="12"/>
              </w:rPr>
              <w:t xml:space="preserve"> (2004)</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Jordan</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1970-2003</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Structural breakpoint analysis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Negative effect of inflation on economic growth after inflation rate equal to 2%.</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r w:rsidRPr="007C216B">
              <w:rPr>
                <w:rFonts w:cstheme="majorBidi"/>
                <w:sz w:val="12"/>
                <w:szCs w:val="12"/>
              </w:rPr>
              <w:t>Gillman and Harris (2010)</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13 transition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1990-2003</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Panel data analysis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Strong negative robust effect of inflation on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Odhiambo</w:t>
            </w:r>
            <w:proofErr w:type="spellEnd"/>
            <w:r w:rsidRPr="007C216B">
              <w:rPr>
                <w:rFonts w:cstheme="majorBidi"/>
                <w:sz w:val="12"/>
                <w:szCs w:val="12"/>
              </w:rPr>
              <w:t xml:space="preserve"> and M. (2013)</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South Africa</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1980-2011</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Time series analysis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Bidirectional causality between inflation and economic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Saaed</w:t>
            </w:r>
            <w:proofErr w:type="spellEnd"/>
            <w:r w:rsidRPr="007C216B">
              <w:rPr>
                <w:rFonts w:cstheme="majorBidi"/>
                <w:sz w:val="12"/>
                <w:szCs w:val="12"/>
              </w:rPr>
              <w:t xml:space="preserve"> (2007)</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Kuwait</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1985-2005</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Co-integration and error correction models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Strong long-run inverse relationship between inflation and economic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r w:rsidRPr="007C216B">
              <w:rPr>
                <w:rFonts w:cstheme="majorBidi"/>
                <w:sz w:val="12"/>
                <w:szCs w:val="12"/>
              </w:rPr>
              <w:t>He and Zou (2016)</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China</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1979-2014</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Time series analysis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Significant positive impact of inflation on economic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Jayathileke</w:t>
            </w:r>
            <w:proofErr w:type="spellEnd"/>
            <w:r w:rsidRPr="007C216B">
              <w:rPr>
                <w:rFonts w:cstheme="majorBidi"/>
                <w:sz w:val="12"/>
                <w:szCs w:val="12"/>
              </w:rPr>
              <w:t xml:space="preserve"> and </w:t>
            </w:r>
            <w:proofErr w:type="spellStart"/>
            <w:r w:rsidRPr="007C216B">
              <w:rPr>
                <w:rFonts w:cstheme="majorBidi"/>
                <w:sz w:val="12"/>
                <w:szCs w:val="12"/>
              </w:rPr>
              <w:t>Rathnayake</w:t>
            </w:r>
            <w:proofErr w:type="spellEnd"/>
            <w:r w:rsidRPr="007C216B">
              <w:rPr>
                <w:rFonts w:cstheme="majorBidi"/>
                <w:sz w:val="12"/>
                <w:szCs w:val="12"/>
              </w:rPr>
              <w:t xml:space="preserve"> (2013)</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Asian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1980-2010</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Time series analysis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Negative and significant long-run relationship between economic growth and inflation</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Dinh</w:t>
            </w:r>
            <w:proofErr w:type="spellEnd"/>
            <w:r w:rsidRPr="007C216B">
              <w:rPr>
                <w:rFonts w:cstheme="majorBidi"/>
                <w:sz w:val="12"/>
                <w:szCs w:val="12"/>
              </w:rPr>
              <w:t xml:space="preserve"> (2020)</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Vietnam</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1996-2018</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Time series analysis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Positive relationship between inflation rate and economic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Ekinci</w:t>
            </w:r>
            <w:proofErr w:type="spellEnd"/>
            <w:r w:rsidRPr="007C216B">
              <w:rPr>
                <w:rFonts w:cstheme="majorBidi"/>
                <w:sz w:val="12"/>
                <w:szCs w:val="12"/>
              </w:rPr>
              <w:t>, et al. (2020)</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24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1997- 2018</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Threshold dynamic panel data model</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Nonlinear relationship between inflation and economic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Mollick</w:t>
            </w:r>
            <w:proofErr w:type="spellEnd"/>
            <w:r w:rsidRPr="007C216B">
              <w:rPr>
                <w:rFonts w:cstheme="majorBidi"/>
                <w:sz w:val="12"/>
                <w:szCs w:val="12"/>
              </w:rPr>
              <w:t>, et al. (2011)</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Emerging markets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1986-2004</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Panel data analysis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Inflation effect in emerging markets is less than the static models case in the long-run</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r w:rsidRPr="007C216B">
              <w:rPr>
                <w:rFonts w:cstheme="majorBidi"/>
                <w:sz w:val="12"/>
                <w:szCs w:val="12"/>
              </w:rPr>
              <w:t>Paul, et al. (1997)</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70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1960-1989</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Granger causality methodology</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Mixed and varied results, including no-causality, unidirectional causality, and bidirectional causality</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Ajide</w:t>
            </w:r>
            <w:proofErr w:type="spellEnd"/>
            <w:r w:rsidRPr="007C216B">
              <w:rPr>
                <w:rFonts w:cstheme="majorBidi"/>
                <w:sz w:val="12"/>
                <w:szCs w:val="12"/>
              </w:rPr>
              <w:t xml:space="preserve"> and </w:t>
            </w:r>
            <w:proofErr w:type="spellStart"/>
            <w:r w:rsidRPr="007C216B">
              <w:rPr>
                <w:rFonts w:cstheme="majorBidi"/>
                <w:sz w:val="12"/>
                <w:szCs w:val="12"/>
              </w:rPr>
              <w:t>Lawanson</w:t>
            </w:r>
            <w:proofErr w:type="spellEnd"/>
            <w:r w:rsidRPr="007C216B">
              <w:rPr>
                <w:rFonts w:cstheme="majorBidi"/>
                <w:sz w:val="12"/>
                <w:szCs w:val="12"/>
              </w:rPr>
              <w:t xml:space="preserve"> (2011)</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Nigeria</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1970-2003</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Causality test</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Independent relationship between inflation and real GDP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Hasanov</w:t>
            </w:r>
            <w:proofErr w:type="spellEnd"/>
            <w:r w:rsidRPr="007C216B">
              <w:rPr>
                <w:rFonts w:cstheme="majorBidi"/>
                <w:sz w:val="12"/>
                <w:szCs w:val="12"/>
              </w:rPr>
              <w:t xml:space="preserve"> and </w:t>
            </w:r>
            <w:proofErr w:type="spellStart"/>
            <w:r w:rsidRPr="007C216B">
              <w:rPr>
                <w:rFonts w:cstheme="majorBidi"/>
                <w:sz w:val="12"/>
                <w:szCs w:val="12"/>
              </w:rPr>
              <w:t>Omay</w:t>
            </w:r>
            <w:proofErr w:type="spellEnd"/>
            <w:r w:rsidRPr="007C216B">
              <w:rPr>
                <w:rFonts w:cstheme="majorBidi"/>
                <w:sz w:val="12"/>
                <w:szCs w:val="12"/>
              </w:rPr>
              <w:t xml:space="preserve"> (2011)</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10 CEE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1998- 2008</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Causality test</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Inflation rate causes variability for both inflation rate and output growth rate, while output growth rate minimizes market volatility</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Manamperi</w:t>
            </w:r>
            <w:proofErr w:type="spellEnd"/>
            <w:r w:rsidRPr="007C216B">
              <w:rPr>
                <w:rFonts w:cstheme="majorBidi"/>
                <w:sz w:val="12"/>
                <w:szCs w:val="12"/>
              </w:rPr>
              <w:t xml:space="preserve"> (2014)</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BRICS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1980-2012</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Long-run and short-run analysis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Relationship between inflation and economic growth varied from long-run to short-run, from positive to negative, and even no relationship</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r w:rsidRPr="007C216B">
              <w:rPr>
                <w:rFonts w:cstheme="majorBidi"/>
                <w:sz w:val="12"/>
                <w:szCs w:val="12"/>
              </w:rPr>
              <w:t>Hossain, et al. (2012)</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Bangladesh</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1978-2010</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Time series analysis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Inflation has a negative impact on economic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Behera</w:t>
            </w:r>
            <w:proofErr w:type="spellEnd"/>
            <w:r w:rsidRPr="007C216B">
              <w:rPr>
                <w:rFonts w:cstheme="majorBidi"/>
                <w:sz w:val="12"/>
                <w:szCs w:val="12"/>
              </w:rPr>
              <w:t xml:space="preserve"> (2014)</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6 South Asian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1980-2012</w:t>
            </w:r>
          </w:p>
        </w:tc>
        <w:tc>
          <w:tcPr>
            <w:tcW w:w="182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Cointegration</w:t>
            </w:r>
            <w:proofErr w:type="spellEnd"/>
            <w:r w:rsidRPr="007C216B">
              <w:rPr>
                <w:rFonts w:cstheme="majorBidi"/>
                <w:sz w:val="12"/>
                <w:szCs w:val="12"/>
              </w:rPr>
              <w:t xml:space="preserve"> analysis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No long-run relationship between inflation and economic growth except for Malaysia</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r w:rsidRPr="007C216B">
              <w:rPr>
                <w:rFonts w:cstheme="majorBidi"/>
                <w:sz w:val="12"/>
                <w:szCs w:val="12"/>
              </w:rPr>
              <w:t>Gregorio (1993)</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12 Latin American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1950-1985</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2 models that demonstrate various ways in which inflation influences growth were presented</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Negative relationship between inflation and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Baltar</w:t>
            </w:r>
            <w:proofErr w:type="spellEnd"/>
            <w:r w:rsidRPr="007C216B">
              <w:rPr>
                <w:rFonts w:cstheme="majorBidi"/>
                <w:sz w:val="12"/>
                <w:szCs w:val="12"/>
              </w:rPr>
              <w:t xml:space="preserve"> (2015)</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Brazil</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1994- 2013</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Cost-based price approach</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 xml:space="preserve">Confirms the relationship postulates in the article </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proofErr w:type="spellStart"/>
            <w:r w:rsidRPr="007C216B">
              <w:rPr>
                <w:rFonts w:cstheme="majorBidi"/>
                <w:sz w:val="12"/>
                <w:szCs w:val="12"/>
              </w:rPr>
              <w:t>Bittencourt</w:t>
            </w:r>
            <w:proofErr w:type="spellEnd"/>
            <w:r w:rsidRPr="007C216B">
              <w:rPr>
                <w:rFonts w:cstheme="majorBidi"/>
                <w:sz w:val="12"/>
                <w:szCs w:val="12"/>
              </w:rPr>
              <w:t>, et al. (2015)</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15 SSA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1980-2009</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Panel data analysis</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Inflation had a detrimental effect on growth</w:t>
            </w:r>
          </w:p>
        </w:tc>
      </w:tr>
      <w:tr w:rsidR="005A2028" w:rsidRPr="007C216B" w:rsidTr="0089242F">
        <w:trPr>
          <w:trHeight w:val="300"/>
          <w:jc w:val="left"/>
        </w:trPr>
        <w:tc>
          <w:tcPr>
            <w:tcW w:w="1297" w:type="dxa"/>
            <w:noWrap/>
            <w:hideMark/>
          </w:tcPr>
          <w:p w:rsidR="005A2028" w:rsidRPr="007C216B" w:rsidRDefault="005A2028" w:rsidP="0089242F">
            <w:pPr>
              <w:jc w:val="left"/>
              <w:rPr>
                <w:rFonts w:cstheme="majorBidi"/>
                <w:sz w:val="12"/>
                <w:szCs w:val="12"/>
              </w:rPr>
            </w:pPr>
            <w:r w:rsidRPr="007C216B">
              <w:rPr>
                <w:rFonts w:cstheme="majorBidi"/>
                <w:sz w:val="12"/>
                <w:szCs w:val="12"/>
              </w:rPr>
              <w:t>Jung and Marshall (1986)</w:t>
            </w:r>
          </w:p>
        </w:tc>
        <w:tc>
          <w:tcPr>
            <w:tcW w:w="1412" w:type="dxa"/>
            <w:noWrap/>
            <w:hideMark/>
          </w:tcPr>
          <w:p w:rsidR="005A2028" w:rsidRPr="007C216B" w:rsidRDefault="005A2028" w:rsidP="0089242F">
            <w:pPr>
              <w:jc w:val="left"/>
              <w:rPr>
                <w:rFonts w:cstheme="majorBidi"/>
                <w:sz w:val="12"/>
                <w:szCs w:val="12"/>
              </w:rPr>
            </w:pPr>
            <w:r w:rsidRPr="007C216B">
              <w:rPr>
                <w:rFonts w:cstheme="majorBidi"/>
                <w:sz w:val="12"/>
                <w:szCs w:val="12"/>
              </w:rPr>
              <w:t>Diverse array of countries</w:t>
            </w:r>
          </w:p>
        </w:tc>
        <w:tc>
          <w:tcPr>
            <w:tcW w:w="1014" w:type="dxa"/>
            <w:noWrap/>
            <w:hideMark/>
          </w:tcPr>
          <w:p w:rsidR="005A2028" w:rsidRPr="007C216B" w:rsidRDefault="005A2028" w:rsidP="0089242F">
            <w:pPr>
              <w:rPr>
                <w:rFonts w:cstheme="majorBidi"/>
                <w:sz w:val="12"/>
                <w:szCs w:val="12"/>
              </w:rPr>
            </w:pPr>
            <w:r w:rsidRPr="007C216B">
              <w:rPr>
                <w:rFonts w:cstheme="majorBidi"/>
                <w:sz w:val="12"/>
                <w:szCs w:val="12"/>
              </w:rPr>
              <w:t>1960-1980</w:t>
            </w:r>
          </w:p>
        </w:tc>
        <w:tc>
          <w:tcPr>
            <w:tcW w:w="1827" w:type="dxa"/>
            <w:noWrap/>
            <w:hideMark/>
          </w:tcPr>
          <w:p w:rsidR="005A2028" w:rsidRPr="007C216B" w:rsidRDefault="005A2028" w:rsidP="0089242F">
            <w:pPr>
              <w:jc w:val="left"/>
              <w:rPr>
                <w:rFonts w:cstheme="majorBidi"/>
                <w:sz w:val="12"/>
                <w:szCs w:val="12"/>
              </w:rPr>
            </w:pPr>
            <w:r w:rsidRPr="007C216B">
              <w:rPr>
                <w:rFonts w:cstheme="majorBidi"/>
                <w:sz w:val="12"/>
                <w:szCs w:val="12"/>
              </w:rPr>
              <w:t>Granger causality methodology</w:t>
            </w:r>
          </w:p>
        </w:tc>
        <w:tc>
          <w:tcPr>
            <w:tcW w:w="4975" w:type="dxa"/>
            <w:noWrap/>
            <w:hideMark/>
          </w:tcPr>
          <w:p w:rsidR="005A2028" w:rsidRPr="007C216B" w:rsidRDefault="005A2028" w:rsidP="0089242F">
            <w:pPr>
              <w:rPr>
                <w:rFonts w:cstheme="majorBidi"/>
                <w:sz w:val="12"/>
                <w:szCs w:val="12"/>
              </w:rPr>
            </w:pPr>
            <w:r w:rsidRPr="007C216B">
              <w:rPr>
                <w:rFonts w:cstheme="majorBidi"/>
                <w:sz w:val="12"/>
                <w:szCs w:val="12"/>
              </w:rPr>
              <w:t xml:space="preserve">Indicative results for both the </w:t>
            </w:r>
            <w:proofErr w:type="spellStart"/>
            <w:r w:rsidRPr="007C216B">
              <w:rPr>
                <w:rFonts w:cstheme="majorBidi"/>
                <w:sz w:val="12"/>
                <w:szCs w:val="12"/>
              </w:rPr>
              <w:t>distortionist</w:t>
            </w:r>
            <w:proofErr w:type="spellEnd"/>
            <w:r w:rsidRPr="007C216B">
              <w:rPr>
                <w:rFonts w:cstheme="majorBidi"/>
                <w:sz w:val="12"/>
                <w:szCs w:val="12"/>
              </w:rPr>
              <w:t xml:space="preserve"> and the </w:t>
            </w:r>
            <w:proofErr w:type="spellStart"/>
            <w:r w:rsidRPr="007C216B">
              <w:rPr>
                <w:rFonts w:cstheme="majorBidi"/>
                <w:sz w:val="12"/>
                <w:szCs w:val="12"/>
              </w:rPr>
              <w:t>structuralist</w:t>
            </w:r>
            <w:proofErr w:type="spellEnd"/>
            <w:r w:rsidRPr="007C216B">
              <w:rPr>
                <w:rFonts w:cstheme="majorBidi"/>
                <w:sz w:val="12"/>
                <w:szCs w:val="12"/>
              </w:rPr>
              <w:t xml:space="preserve"> views of inflation's effect on growth</w:t>
            </w:r>
          </w:p>
        </w:tc>
      </w:tr>
    </w:tbl>
    <w:p w:rsidR="005A2028" w:rsidRDefault="005A2028" w:rsidP="005A2028">
      <w:pPr>
        <w:pStyle w:val="MDPI31text"/>
        <w:rPr>
          <w:lang w:val="en"/>
        </w:rPr>
      </w:pPr>
    </w:p>
    <w:p w:rsidR="005A2028" w:rsidRPr="007C216B" w:rsidRDefault="005A2028" w:rsidP="005A2028">
      <w:pPr>
        <w:pStyle w:val="MDPI31text"/>
        <w:rPr>
          <w:lang w:val="en"/>
        </w:rPr>
      </w:pPr>
      <w:r w:rsidRPr="007C216B">
        <w:rPr>
          <w:lang w:val="en"/>
        </w:rPr>
        <w:t>In conclusion, and with the previous findings’</w:t>
      </w:r>
      <w:r>
        <w:rPr>
          <w:lang w:val="en"/>
        </w:rPr>
        <w:t xml:space="preserve">, </w:t>
      </w:r>
      <w:r w:rsidRPr="007C216B">
        <w:rPr>
          <w:lang w:val="en"/>
        </w:rPr>
        <w:t xml:space="preserve">the hypotheses are considered controversial and indecisive. Results varied; some found a robust evidence that inflation was positively related with economic growth while other researches documented a little support and even a negative one. Accordingly, some can </w:t>
      </w:r>
      <w:r>
        <w:rPr>
          <w:lang w:val="en"/>
        </w:rPr>
        <w:t>give</w:t>
      </w:r>
      <w:r w:rsidRPr="007C216B">
        <w:rPr>
          <w:lang w:val="en"/>
        </w:rPr>
        <w:t xml:space="preserve"> spurious results if a certain variable was excluded in the empirical analysis. For that reason, the dynamic causality between economic growth, and inflation will be presented in this research paper for the case of Jordan. Chronology of significant events occurred during the studied time period and have affected the country's GDP. Starting from the Gulf War (1990-1991), 2003 Iraqi War, passing by the Global Financial Crisis (2008-2009), 2010 Arab Spring, the 2011 Syrian Civil War and the refugees crisis, and lately, the COVID-19 economic challenge.</w:t>
      </w:r>
    </w:p>
    <w:p w:rsidR="005A2028" w:rsidRPr="007C216B" w:rsidRDefault="005A2028" w:rsidP="005A2028">
      <w:pPr>
        <w:pStyle w:val="MDPI31text"/>
        <w:rPr>
          <w:lang w:val="en"/>
        </w:rPr>
      </w:pPr>
    </w:p>
    <w:p w:rsidR="005A2028" w:rsidRPr="001F31D1" w:rsidRDefault="005A2028" w:rsidP="005A2028">
      <w:pPr>
        <w:pStyle w:val="MDPI21heading1"/>
      </w:pPr>
      <w:bookmarkStart w:id="0" w:name="page2"/>
      <w:bookmarkEnd w:id="0"/>
      <w:r w:rsidRPr="001F31D1">
        <w:t xml:space="preserve">3. </w:t>
      </w:r>
      <w:r>
        <w:t>Analysis Method</w:t>
      </w:r>
    </w:p>
    <w:p w:rsidR="005A2028" w:rsidRDefault="005A2028" w:rsidP="005A2028">
      <w:pPr>
        <w:pStyle w:val="MDPI31text"/>
      </w:pPr>
      <w:r w:rsidRPr="00087269">
        <w:t xml:space="preserve">The purpose of this study was to examine the short and long-run relationship between inflation and economic growth (measured as GDP growth) in Jordan for the period 1977 to 2021. The stationarity of each series was checked using the Augmented Dickey–Fuller (ADF) test and the Phillips and </w:t>
      </w:r>
      <w:proofErr w:type="spellStart"/>
      <w:r w:rsidRPr="00087269">
        <w:t>Perron</w:t>
      </w:r>
      <w:proofErr w:type="spellEnd"/>
      <w:r w:rsidRPr="00087269">
        <w:t xml:space="preserve"> (PP) test. As the series were stationary at I (0), a two-variable vector autoregressive (VAR) model with k lags (Sims, 1980) was conducted to systematically capture the dynamics in the two-time series, inflation and economic growth. The VAR can be represented using the following two equations:</w:t>
      </w:r>
    </w:p>
    <w:p w:rsidR="005A2028" w:rsidRPr="00F7127C" w:rsidRDefault="001E6C97" w:rsidP="005A2028">
      <w:pPr>
        <w:spacing w:line="360" w:lineRule="auto"/>
        <w:jc w:val="center"/>
        <w:rPr>
          <w:rFonts w:asciiTheme="majorBidi" w:eastAsiaTheme="minorEastAsia" w:hAnsiTheme="majorBidi" w:cstheme="majorBidi"/>
        </w:rPr>
      </w:pPr>
      <m:oMath>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y0</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yy1</m:t>
            </m:r>
          </m:sub>
        </m:sSub>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yyk</m:t>
            </m:r>
          </m:sub>
        </m:sSub>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t-k</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yx1</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yxk</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t-k</m:t>
            </m:r>
          </m:sub>
        </m:sSub>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v</m:t>
            </m:r>
          </m:e>
          <m:sub>
            <m:r>
              <w:rPr>
                <w:rFonts w:ascii="Cambria Math" w:hAnsi="Cambria Math" w:cstheme="majorBidi"/>
              </w:rPr>
              <m:t>t</m:t>
            </m:r>
          </m:sub>
          <m:sup>
            <m:r>
              <w:rPr>
                <w:rFonts w:ascii="Cambria Math" w:hAnsi="Cambria Math" w:cstheme="majorBidi"/>
              </w:rPr>
              <m:t>y</m:t>
            </m:r>
          </m:sup>
        </m:sSubSup>
      </m:oMath>
      <w:r w:rsidR="005A2028" w:rsidRPr="00F7127C">
        <w:rPr>
          <w:rFonts w:asciiTheme="majorBidi" w:eastAsiaTheme="minorEastAsia" w:hAnsiTheme="majorBidi" w:cstheme="majorBidi"/>
        </w:rPr>
        <w:t xml:space="preserve">    (1)</w:t>
      </w:r>
    </w:p>
    <w:p w:rsidR="005A2028" w:rsidRDefault="001E6C97" w:rsidP="005A2028">
      <w:pPr>
        <w:spacing w:line="360" w:lineRule="auto"/>
        <w:jc w:val="center"/>
        <w:rPr>
          <w:rFonts w:asciiTheme="majorBidi" w:eastAsiaTheme="minorEastAsia" w:hAnsiTheme="majorBidi" w:cstheme="majorBidi"/>
        </w:rPr>
      </w:pPr>
      <m:oMath>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t</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x0</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xy1</m:t>
            </m:r>
          </m:sub>
        </m:sSub>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xyk</m:t>
            </m:r>
          </m:sub>
        </m:sSub>
        <m:sSub>
          <m:sSubPr>
            <m:ctrlPr>
              <w:rPr>
                <w:rFonts w:ascii="Cambria Math" w:hAnsi="Cambria Math" w:cstheme="majorBidi"/>
                <w:i/>
              </w:rPr>
            </m:ctrlPr>
          </m:sSubPr>
          <m:e>
            <m:r>
              <w:rPr>
                <w:rFonts w:ascii="Cambria Math" w:hAnsi="Cambria Math" w:cstheme="majorBidi"/>
              </w:rPr>
              <m:t>y</m:t>
            </m:r>
          </m:e>
          <m:sub>
            <m:r>
              <w:rPr>
                <w:rFonts w:ascii="Cambria Math" w:hAnsi="Cambria Math" w:cstheme="majorBidi"/>
              </w:rPr>
              <m:t>t-k</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xx1</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β</m:t>
            </m:r>
          </m:e>
          <m:sub>
            <m:r>
              <w:rPr>
                <w:rFonts w:ascii="Cambria Math" w:hAnsi="Cambria Math" w:cstheme="majorBidi"/>
              </w:rPr>
              <m:t>xxk</m:t>
            </m:r>
          </m:sub>
        </m:sSub>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t-k</m:t>
            </m:r>
          </m:sub>
        </m:sSub>
        <m:r>
          <w:rPr>
            <w:rFonts w:ascii="Cambria Math" w:hAnsi="Cambria Math" w:cstheme="majorBidi"/>
          </w:rPr>
          <m:t>+</m:t>
        </m:r>
        <m:sSubSup>
          <m:sSubSupPr>
            <m:ctrlPr>
              <w:rPr>
                <w:rFonts w:ascii="Cambria Math" w:hAnsi="Cambria Math" w:cstheme="majorBidi"/>
                <w:i/>
              </w:rPr>
            </m:ctrlPr>
          </m:sSubSupPr>
          <m:e>
            <m:r>
              <w:rPr>
                <w:rFonts w:ascii="Cambria Math" w:hAnsi="Cambria Math" w:cstheme="majorBidi"/>
              </w:rPr>
              <m:t>v</m:t>
            </m:r>
          </m:e>
          <m:sub>
            <m:r>
              <w:rPr>
                <w:rFonts w:ascii="Cambria Math" w:hAnsi="Cambria Math" w:cstheme="majorBidi"/>
              </w:rPr>
              <m:t>t</m:t>
            </m:r>
          </m:sub>
          <m:sup>
            <m:r>
              <w:rPr>
                <w:rFonts w:ascii="Cambria Math" w:hAnsi="Cambria Math" w:cstheme="majorBidi"/>
              </w:rPr>
              <m:t>x</m:t>
            </m:r>
          </m:sup>
        </m:sSubSup>
      </m:oMath>
      <w:r w:rsidR="005A2028" w:rsidRPr="00F7127C">
        <w:rPr>
          <w:rFonts w:asciiTheme="majorBidi" w:eastAsiaTheme="minorEastAsia" w:hAnsiTheme="majorBidi" w:cstheme="majorBidi"/>
        </w:rPr>
        <w:t xml:space="preserve">    (2)</w:t>
      </w:r>
    </w:p>
    <w:p w:rsidR="005A2028" w:rsidRDefault="005A2028" w:rsidP="005A2028">
      <w:pPr>
        <w:pStyle w:val="MDPI31text"/>
      </w:pPr>
      <w:r>
        <w:lastRenderedPageBreak/>
        <w:t>W</w:t>
      </w:r>
      <w:r w:rsidRPr="00087269">
        <w:t>here y = inflation, x = GDP growth, t = time, and β_y0 and β_x0 represent intercepts. β_</w:t>
      </w:r>
      <w:proofErr w:type="spellStart"/>
      <w:proofErr w:type="gramStart"/>
      <w:r w:rsidRPr="00087269">
        <w:t>yyk</w:t>
      </w:r>
      <w:proofErr w:type="spellEnd"/>
      <w:r w:rsidRPr="00087269">
        <w:t xml:space="preserve">  represents</w:t>
      </w:r>
      <w:proofErr w:type="gramEnd"/>
      <w:r w:rsidRPr="00087269">
        <w:t xml:space="preserve"> the coefficient of y in the equation for y at lag k, β_</w:t>
      </w:r>
      <w:proofErr w:type="spellStart"/>
      <w:r w:rsidRPr="00087269">
        <w:t>yxk</w:t>
      </w:r>
      <w:proofErr w:type="spellEnd"/>
      <w:r w:rsidRPr="00087269">
        <w:t xml:space="preserve">  represents the coefficient of x in the equation for y at lag k, β_</w:t>
      </w:r>
      <w:proofErr w:type="spellStart"/>
      <w:r w:rsidRPr="00087269">
        <w:t>xyk</w:t>
      </w:r>
      <w:proofErr w:type="spellEnd"/>
      <w:r w:rsidRPr="00087269">
        <w:t xml:space="preserve">  represents the coefficient of y in the equation for x at lag k, β_</w:t>
      </w:r>
      <w:proofErr w:type="spellStart"/>
      <w:r w:rsidRPr="00087269">
        <w:t>xxk</w:t>
      </w:r>
      <w:proofErr w:type="spellEnd"/>
      <w:r w:rsidRPr="00087269">
        <w:t xml:space="preserve">  represents the coefficient of x in the equation for x at lag k. </w:t>
      </w:r>
      <w:proofErr w:type="spellStart"/>
      <w:r w:rsidRPr="00087269">
        <w:t>v_t^y</w:t>
      </w:r>
      <w:proofErr w:type="spellEnd"/>
      <w:r w:rsidRPr="00087269">
        <w:t xml:space="preserve"> and </w:t>
      </w:r>
      <w:proofErr w:type="spellStart"/>
      <w:r w:rsidRPr="00087269">
        <w:t>v_t^x</w:t>
      </w:r>
      <w:proofErr w:type="spellEnd"/>
      <w:r w:rsidRPr="00087269">
        <w:t xml:space="preserve"> are error terms (serially uncorrelated or independent) normally distributed with mean zero and time invariant covariance matrix Σ.</w:t>
      </w:r>
    </w:p>
    <w:p w:rsidR="005A2028" w:rsidRDefault="005A2028" w:rsidP="005A2028">
      <w:pPr>
        <w:pStyle w:val="MDPI31text"/>
      </w:pPr>
      <w:r w:rsidRPr="00087269">
        <w:t xml:space="preserve">The information criteria include </w:t>
      </w:r>
      <w:proofErr w:type="spellStart"/>
      <w:r w:rsidRPr="00087269">
        <w:t>Akaike’s</w:t>
      </w:r>
      <w:proofErr w:type="spellEnd"/>
      <w:r w:rsidRPr="00087269">
        <w:t xml:space="preserve"> information criterion (AIC), the corrected </w:t>
      </w:r>
      <w:proofErr w:type="spellStart"/>
      <w:r w:rsidRPr="00087269">
        <w:t>Akaike’s</w:t>
      </w:r>
      <w:proofErr w:type="spellEnd"/>
      <w:r w:rsidRPr="00087269">
        <w:t xml:space="preserve"> information criterion (AICC), the final prediction error criterion (FPE), the </w:t>
      </w:r>
      <w:proofErr w:type="spellStart"/>
      <w:r w:rsidRPr="00087269">
        <w:t>Hannan</w:t>
      </w:r>
      <w:proofErr w:type="spellEnd"/>
      <w:r w:rsidRPr="00087269">
        <w:t xml:space="preserve">-Quinn criterion (HQC), and the Schwarz Bayesian criterion (SBC, also referred to as BIC) were used to determine the optimum lag k for the VAR. The dynamic properties of the VAR(k) were summarized using the following </w:t>
      </w:r>
      <w:r>
        <w:t>two</w:t>
      </w:r>
      <w:r w:rsidRPr="00087269">
        <w:t xml:space="preserve"> types of structural analysis, including impulse response functions and variance decompositions. Granger causality test was not used to further assess the VAR as the both data series were </w:t>
      </w:r>
      <w:proofErr w:type="gramStart"/>
      <w:r w:rsidRPr="00087269">
        <w:t>I(</w:t>
      </w:r>
      <w:proofErr w:type="gramEnd"/>
      <w:r w:rsidRPr="00087269">
        <w:t>0), which implying there was no long-run relationship between the two series.</w:t>
      </w:r>
    </w:p>
    <w:p w:rsidR="005A2028" w:rsidRPr="00087269" w:rsidRDefault="005A2028" w:rsidP="005A2028">
      <w:pPr>
        <w:pStyle w:val="MDPI31text"/>
      </w:pPr>
      <w:r w:rsidRPr="00087269">
        <w:t xml:space="preserve">To ensure the validity of the VAR models, Durbin-Watson test statistics were used to test the null hypothesis that the residuals were uncorrelated. The </w:t>
      </w:r>
      <w:proofErr w:type="spellStart"/>
      <w:r w:rsidRPr="00087269">
        <w:t>Jarque-Bera</w:t>
      </w:r>
      <w:proofErr w:type="spellEnd"/>
      <w:r w:rsidRPr="00087269">
        <w:t xml:space="preserve"> normality test statistics and quantile-quantile (QQ) plots were used to determine if the residuals were normally distributed. The F statistics and their p-values for autoregressive conditional </w:t>
      </w:r>
      <w:proofErr w:type="spellStart"/>
      <w:r w:rsidRPr="00087269">
        <w:t>heteroskedasticity</w:t>
      </w:r>
      <w:proofErr w:type="spellEnd"/>
      <w:r w:rsidRPr="00087269">
        <w:t xml:space="preserve"> (ARCH), a method that explicitly models the change in variance over time in a time series, were used to test the null hypothesis that the residuals have equal </w:t>
      </w:r>
      <w:proofErr w:type="spellStart"/>
      <w:r w:rsidRPr="00087269">
        <w:t>covariances</w:t>
      </w:r>
      <w:proofErr w:type="spellEnd"/>
      <w:r w:rsidRPr="00087269">
        <w:t xml:space="preserve">. The residuals were found to be uncorrelated and normally distributed with equal </w:t>
      </w:r>
      <w:proofErr w:type="spellStart"/>
      <w:r w:rsidRPr="00087269">
        <w:t>covariances</w:t>
      </w:r>
      <w:proofErr w:type="spellEnd"/>
      <w:r w:rsidRPr="00087269">
        <w:t xml:space="preserve"> (See Appendix I). All analyses were performed using SAS version 9.1.4 (Cary, NC). For any tests, a p-value &lt; 0.05 indicated significance.</w:t>
      </w:r>
    </w:p>
    <w:p w:rsidR="005A2028" w:rsidRPr="00325902" w:rsidRDefault="005A2028" w:rsidP="005A2028">
      <w:pPr>
        <w:pStyle w:val="MDPI21heading1"/>
      </w:pPr>
      <w:r w:rsidRPr="00325902">
        <w:t xml:space="preserve">4. </w:t>
      </w:r>
      <w:r>
        <w:t>Analysis Results</w:t>
      </w:r>
    </w:p>
    <w:p w:rsidR="005A2028" w:rsidRDefault="005A2028" w:rsidP="005A2028">
      <w:pPr>
        <w:pStyle w:val="MDPI31text"/>
      </w:pPr>
      <w:r w:rsidRPr="00087269">
        <w:t>Figure 1 shows the plot of the two-time series, inflation and GDP growth, in Jordan for the period 1977 to 2021. There was no obvious time trend for both time series. The average GDP growth was 4.65% (SD = 5.30), with a maximum of 20.80% and a minimum of -10.73% (Table 1). The average inflation was 4.97% (SD = 5.21), with a maximum of 25.71% and a minimum of -0.88% (Table 1.).</w:t>
      </w:r>
    </w:p>
    <w:p w:rsidR="005A2028" w:rsidRDefault="005A2028" w:rsidP="005A2028">
      <w:pPr>
        <w:pStyle w:val="MDPI31text"/>
      </w:pPr>
    </w:p>
    <w:p w:rsidR="005A2028" w:rsidRDefault="005A2028" w:rsidP="005A2028">
      <w:pPr>
        <w:pStyle w:val="MDPI31text"/>
      </w:pPr>
    </w:p>
    <w:p w:rsidR="005A2028" w:rsidRPr="00A13886" w:rsidRDefault="005A2028" w:rsidP="005A2028">
      <w:pPr>
        <w:pStyle w:val="Caption"/>
        <w:spacing w:after="0"/>
        <w:ind w:left="630"/>
        <w:rPr>
          <w:rFonts w:ascii="Palatino Linotype" w:hAnsi="Palatino Linotype" w:cstheme="majorBidi"/>
          <w:noProof/>
          <w:color w:val="auto"/>
        </w:rPr>
      </w:pPr>
      <w:bookmarkStart w:id="1" w:name="_Ref129166812"/>
      <w:r w:rsidRPr="00A13886">
        <w:rPr>
          <w:rFonts w:ascii="Palatino Linotype" w:hAnsi="Palatino Linotype" w:cstheme="majorBidi"/>
          <w:noProof/>
        </w:rPr>
        <w:drawing>
          <wp:anchor distT="0" distB="0" distL="114300" distR="114300" simplePos="0" relativeHeight="251661312" behindDoc="0" locked="0" layoutInCell="1" allowOverlap="1" wp14:anchorId="1388F937" wp14:editId="08CD65C9">
            <wp:simplePos x="0" y="0"/>
            <wp:positionH relativeFrom="margin">
              <wp:align>center</wp:align>
            </wp:positionH>
            <wp:positionV relativeFrom="paragraph">
              <wp:posOffset>260086</wp:posOffset>
            </wp:positionV>
            <wp:extent cx="5899785" cy="2398143"/>
            <wp:effectExtent l="0" t="0" r="5715" b="2540"/>
            <wp:wrapTopAndBottom/>
            <wp:docPr id="9" name="Chart 9">
              <a:extLst xmlns:a="http://schemas.openxmlformats.org/drawingml/2006/main">
                <a:ext uri="{FF2B5EF4-FFF2-40B4-BE49-F238E27FC236}">
                  <a16:creationId xmlns:a16="http://schemas.microsoft.com/office/drawing/2014/main" id="{CFC72412-538F-3568-1BCC-60FE03B207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A13886">
        <w:rPr>
          <w:rFonts w:ascii="Palatino Linotype" w:hAnsi="Palatino Linotype" w:cstheme="majorBidi"/>
          <w:b/>
          <w:bCs/>
          <w:color w:val="auto"/>
        </w:rPr>
        <w:t xml:space="preserve">Figure </w:t>
      </w:r>
      <w:r w:rsidRPr="00A13886">
        <w:rPr>
          <w:rFonts w:ascii="Palatino Linotype" w:hAnsi="Palatino Linotype" w:cstheme="majorBidi"/>
          <w:b/>
          <w:bCs/>
          <w:color w:val="auto"/>
        </w:rPr>
        <w:fldChar w:fldCharType="begin"/>
      </w:r>
      <w:r w:rsidRPr="00A13886">
        <w:rPr>
          <w:rFonts w:ascii="Palatino Linotype" w:hAnsi="Palatino Linotype" w:cstheme="majorBidi"/>
          <w:b/>
          <w:bCs/>
          <w:color w:val="auto"/>
        </w:rPr>
        <w:instrText xml:space="preserve"> SEQ Figure \* ARABIC </w:instrText>
      </w:r>
      <w:r w:rsidRPr="00A13886">
        <w:rPr>
          <w:rFonts w:ascii="Palatino Linotype" w:hAnsi="Palatino Linotype" w:cstheme="majorBidi"/>
          <w:b/>
          <w:bCs/>
          <w:color w:val="auto"/>
        </w:rPr>
        <w:fldChar w:fldCharType="separate"/>
      </w:r>
      <w:r w:rsidRPr="00A13886">
        <w:rPr>
          <w:rFonts w:ascii="Palatino Linotype" w:hAnsi="Palatino Linotype" w:cstheme="majorBidi"/>
          <w:b/>
          <w:bCs/>
          <w:noProof/>
          <w:color w:val="auto"/>
        </w:rPr>
        <w:t>1</w:t>
      </w:r>
      <w:r w:rsidRPr="00A13886">
        <w:rPr>
          <w:rFonts w:ascii="Palatino Linotype" w:hAnsi="Palatino Linotype" w:cstheme="majorBidi"/>
          <w:b/>
          <w:bCs/>
          <w:color w:val="auto"/>
        </w:rPr>
        <w:fldChar w:fldCharType="end"/>
      </w:r>
      <w:bookmarkEnd w:id="1"/>
      <w:r w:rsidRPr="00A13886">
        <w:rPr>
          <w:rFonts w:ascii="Palatino Linotype" w:hAnsi="Palatino Linotype" w:cstheme="majorBidi"/>
          <w:b/>
          <w:bCs/>
          <w:color w:val="auto"/>
        </w:rPr>
        <w:t>.</w:t>
      </w:r>
      <w:r w:rsidRPr="00A13886">
        <w:rPr>
          <w:rFonts w:ascii="Palatino Linotype" w:hAnsi="Palatino Linotype" w:cstheme="majorBidi"/>
          <w:color w:val="auto"/>
        </w:rPr>
        <w:t xml:space="preserve"> </w:t>
      </w:r>
      <w:r w:rsidRPr="00A13886">
        <w:rPr>
          <w:rFonts w:ascii="Palatino Linotype" w:hAnsi="Palatino Linotype" w:cstheme="majorBidi"/>
          <w:noProof/>
          <w:color w:val="auto"/>
        </w:rPr>
        <w:t xml:space="preserve">GDP growth and inflation. </w:t>
      </w:r>
    </w:p>
    <w:p w:rsidR="005A2028" w:rsidRPr="00A13886" w:rsidRDefault="005A2028" w:rsidP="005A2028">
      <w:pPr>
        <w:spacing w:line="240" w:lineRule="auto"/>
        <w:ind w:left="630"/>
        <w:rPr>
          <w:rFonts w:cstheme="majorBidi"/>
          <w:i/>
          <w:iCs/>
          <w:sz w:val="18"/>
          <w:szCs w:val="18"/>
        </w:rPr>
      </w:pPr>
      <w:r w:rsidRPr="00A13886">
        <w:rPr>
          <w:rFonts w:cstheme="majorBidi"/>
          <w:i/>
          <w:iCs/>
          <w:sz w:val="18"/>
          <w:szCs w:val="18"/>
        </w:rPr>
        <w:t>Source: The World Bank Data.</w:t>
      </w:r>
    </w:p>
    <w:p w:rsidR="005A2028" w:rsidRDefault="005A2028" w:rsidP="005A2028">
      <w:pPr>
        <w:spacing w:line="240" w:lineRule="auto"/>
        <w:rPr>
          <w:rFonts w:asciiTheme="majorBidi" w:hAnsiTheme="majorBidi" w:cstheme="majorBidi"/>
          <w:i/>
          <w:iCs/>
          <w:sz w:val="24"/>
          <w:szCs w:val="24"/>
        </w:rPr>
      </w:pPr>
    </w:p>
    <w:p w:rsidR="00A5146B" w:rsidRDefault="00A5146B" w:rsidP="005A2028">
      <w:pPr>
        <w:spacing w:line="240" w:lineRule="auto"/>
        <w:rPr>
          <w:rFonts w:asciiTheme="majorBidi" w:hAnsiTheme="majorBidi" w:cstheme="majorBidi"/>
          <w:i/>
          <w:iCs/>
          <w:sz w:val="24"/>
          <w:szCs w:val="24"/>
        </w:rPr>
      </w:pPr>
    </w:p>
    <w:p w:rsidR="00A5146B" w:rsidRPr="004E00D1" w:rsidRDefault="00A5146B" w:rsidP="005A2028">
      <w:pPr>
        <w:spacing w:line="240" w:lineRule="auto"/>
        <w:rPr>
          <w:rFonts w:asciiTheme="majorBidi" w:hAnsiTheme="majorBidi" w:cstheme="majorBidi"/>
          <w:i/>
          <w:iCs/>
          <w:sz w:val="24"/>
          <w:szCs w:val="24"/>
        </w:rPr>
      </w:pPr>
    </w:p>
    <w:p w:rsidR="005A2028" w:rsidRPr="00D65AE8" w:rsidRDefault="005A2028" w:rsidP="005A2028">
      <w:pPr>
        <w:spacing w:line="240" w:lineRule="auto"/>
        <w:ind w:left="630"/>
        <w:rPr>
          <w:rFonts w:cstheme="majorBidi"/>
          <w:i/>
          <w:iCs/>
          <w:sz w:val="18"/>
          <w:szCs w:val="18"/>
        </w:rPr>
      </w:pPr>
      <w:bookmarkStart w:id="2" w:name="_Ref129166934"/>
      <w:r w:rsidRPr="00D65AE8">
        <w:rPr>
          <w:rFonts w:cstheme="majorBidi"/>
          <w:b/>
          <w:bCs/>
          <w:i/>
          <w:iCs/>
          <w:sz w:val="18"/>
          <w:szCs w:val="18"/>
        </w:rPr>
        <w:lastRenderedPageBreak/>
        <w:t xml:space="preserve">Table </w:t>
      </w:r>
      <w:r>
        <w:rPr>
          <w:rFonts w:cstheme="majorBidi"/>
          <w:b/>
          <w:bCs/>
          <w:i/>
          <w:iCs/>
          <w:sz w:val="18"/>
          <w:szCs w:val="18"/>
        </w:rPr>
        <w:t>2</w:t>
      </w:r>
      <w:r w:rsidRPr="00D65AE8">
        <w:rPr>
          <w:rFonts w:cstheme="majorBidi"/>
          <w:b/>
          <w:bCs/>
          <w:i/>
          <w:iCs/>
          <w:sz w:val="18"/>
          <w:szCs w:val="18"/>
        </w:rPr>
        <w:t>.</w:t>
      </w:r>
      <w:r w:rsidRPr="00D65AE8">
        <w:rPr>
          <w:rFonts w:cstheme="majorBidi"/>
          <w:i/>
          <w:iCs/>
          <w:sz w:val="18"/>
          <w:szCs w:val="18"/>
        </w:rPr>
        <w:t xml:space="preserve"> Descriptive statistics.</w:t>
      </w:r>
      <w:bookmarkEnd w:id="2"/>
      <w:r w:rsidRPr="00D65AE8">
        <w:rPr>
          <w:rFonts w:cstheme="majorBidi"/>
          <w:i/>
          <w:iCs/>
          <w:sz w:val="18"/>
          <w:szCs w:val="18"/>
        </w:rPr>
        <w:t xml:space="preserve"> </w:t>
      </w:r>
    </w:p>
    <w:tbl>
      <w:tblPr>
        <w:tblStyle w:val="MDPI41threelinetable"/>
        <w:tblW w:w="4386" w:type="pct"/>
        <w:tblLook w:val="04A0" w:firstRow="1" w:lastRow="0" w:firstColumn="1" w:lastColumn="0" w:noHBand="0" w:noVBand="1"/>
      </w:tblPr>
      <w:tblGrid>
        <w:gridCol w:w="2029"/>
        <w:gridCol w:w="2026"/>
        <w:gridCol w:w="2026"/>
        <w:gridCol w:w="2024"/>
        <w:gridCol w:w="1328"/>
      </w:tblGrid>
      <w:tr w:rsidR="005A2028" w:rsidRPr="00D65AE8" w:rsidTr="0089242F">
        <w:trPr>
          <w:cnfStyle w:val="100000000000" w:firstRow="1" w:lastRow="0" w:firstColumn="0" w:lastColumn="0" w:oddVBand="0" w:evenVBand="0" w:oddHBand="0" w:evenHBand="0" w:firstRowFirstColumn="0" w:firstRowLastColumn="0" w:lastRowFirstColumn="0" w:lastRowLastColumn="0"/>
        </w:trPr>
        <w:tc>
          <w:tcPr>
            <w:tcW w:w="1075" w:type="pct"/>
          </w:tcPr>
          <w:p w:rsidR="005A2028" w:rsidRPr="00D65AE8" w:rsidRDefault="005A2028" w:rsidP="0089242F">
            <w:pPr>
              <w:rPr>
                <w:rFonts w:cstheme="majorBidi"/>
              </w:rPr>
            </w:pPr>
          </w:p>
        </w:tc>
        <w:tc>
          <w:tcPr>
            <w:tcW w:w="1074" w:type="pct"/>
          </w:tcPr>
          <w:p w:rsidR="005A2028" w:rsidRPr="00D65AE8" w:rsidRDefault="005A2028" w:rsidP="0089242F">
            <w:pPr>
              <w:rPr>
                <w:rFonts w:cstheme="majorBidi"/>
              </w:rPr>
            </w:pPr>
            <w:r w:rsidRPr="00D65AE8">
              <w:rPr>
                <w:rFonts w:cstheme="majorBidi"/>
              </w:rPr>
              <w:t>M</w:t>
            </w:r>
          </w:p>
        </w:tc>
        <w:tc>
          <w:tcPr>
            <w:tcW w:w="1074" w:type="pct"/>
          </w:tcPr>
          <w:p w:rsidR="005A2028" w:rsidRPr="00D65AE8" w:rsidRDefault="005A2028" w:rsidP="0089242F">
            <w:pPr>
              <w:rPr>
                <w:rFonts w:cstheme="majorBidi"/>
              </w:rPr>
            </w:pPr>
            <w:r w:rsidRPr="00D65AE8">
              <w:rPr>
                <w:rFonts w:cstheme="majorBidi"/>
              </w:rPr>
              <w:t>SD</w:t>
            </w:r>
          </w:p>
        </w:tc>
        <w:tc>
          <w:tcPr>
            <w:tcW w:w="1073" w:type="pct"/>
          </w:tcPr>
          <w:p w:rsidR="005A2028" w:rsidRPr="00D65AE8" w:rsidRDefault="005A2028" w:rsidP="0089242F">
            <w:pPr>
              <w:rPr>
                <w:rFonts w:cstheme="majorBidi"/>
              </w:rPr>
            </w:pPr>
            <w:r w:rsidRPr="00D65AE8">
              <w:rPr>
                <w:rFonts w:cstheme="majorBidi"/>
              </w:rPr>
              <w:t>Min</w:t>
            </w:r>
          </w:p>
        </w:tc>
        <w:tc>
          <w:tcPr>
            <w:tcW w:w="705" w:type="pct"/>
          </w:tcPr>
          <w:p w:rsidR="005A2028" w:rsidRPr="00D65AE8" w:rsidRDefault="005A2028" w:rsidP="0089242F">
            <w:pPr>
              <w:rPr>
                <w:rFonts w:cstheme="majorBidi"/>
              </w:rPr>
            </w:pPr>
            <w:r w:rsidRPr="00D65AE8">
              <w:rPr>
                <w:rFonts w:cstheme="majorBidi"/>
              </w:rPr>
              <w:t>Max</w:t>
            </w:r>
          </w:p>
        </w:tc>
      </w:tr>
      <w:tr w:rsidR="005A2028" w:rsidRPr="00D65AE8" w:rsidTr="0089242F">
        <w:tc>
          <w:tcPr>
            <w:tcW w:w="1075" w:type="pct"/>
          </w:tcPr>
          <w:p w:rsidR="005A2028" w:rsidRPr="00D65AE8" w:rsidRDefault="005A2028" w:rsidP="0089242F">
            <w:pPr>
              <w:rPr>
                <w:rFonts w:cstheme="majorBidi"/>
              </w:rPr>
            </w:pPr>
            <w:r w:rsidRPr="00D65AE8">
              <w:rPr>
                <w:rFonts w:cstheme="majorBidi"/>
              </w:rPr>
              <w:t>GDP growth (%)</w:t>
            </w:r>
          </w:p>
        </w:tc>
        <w:tc>
          <w:tcPr>
            <w:tcW w:w="1074" w:type="pct"/>
          </w:tcPr>
          <w:p w:rsidR="005A2028" w:rsidRPr="00D65AE8" w:rsidRDefault="005A2028" w:rsidP="0089242F">
            <w:pPr>
              <w:rPr>
                <w:rFonts w:cstheme="majorBidi"/>
              </w:rPr>
            </w:pPr>
            <w:r w:rsidRPr="00D65AE8">
              <w:rPr>
                <w:rFonts w:cstheme="majorBidi"/>
              </w:rPr>
              <w:t>4.65</w:t>
            </w:r>
          </w:p>
        </w:tc>
        <w:tc>
          <w:tcPr>
            <w:tcW w:w="1074" w:type="pct"/>
          </w:tcPr>
          <w:p w:rsidR="005A2028" w:rsidRPr="00D65AE8" w:rsidRDefault="005A2028" w:rsidP="0089242F">
            <w:pPr>
              <w:rPr>
                <w:rFonts w:cstheme="majorBidi"/>
              </w:rPr>
            </w:pPr>
            <w:r w:rsidRPr="00D65AE8">
              <w:rPr>
                <w:rFonts w:cstheme="majorBidi"/>
              </w:rPr>
              <w:t>5.30</w:t>
            </w:r>
          </w:p>
        </w:tc>
        <w:tc>
          <w:tcPr>
            <w:tcW w:w="1073" w:type="pct"/>
          </w:tcPr>
          <w:p w:rsidR="005A2028" w:rsidRPr="00D65AE8" w:rsidRDefault="005A2028" w:rsidP="0089242F">
            <w:pPr>
              <w:rPr>
                <w:rFonts w:cstheme="majorBidi"/>
              </w:rPr>
            </w:pPr>
            <w:r w:rsidRPr="00D65AE8">
              <w:rPr>
                <w:rFonts w:cstheme="majorBidi"/>
              </w:rPr>
              <w:t>-10.73</w:t>
            </w:r>
          </w:p>
        </w:tc>
        <w:tc>
          <w:tcPr>
            <w:tcW w:w="705" w:type="pct"/>
          </w:tcPr>
          <w:p w:rsidR="005A2028" w:rsidRPr="00D65AE8" w:rsidRDefault="005A2028" w:rsidP="0089242F">
            <w:pPr>
              <w:rPr>
                <w:rFonts w:cstheme="majorBidi"/>
              </w:rPr>
            </w:pPr>
            <w:r w:rsidRPr="00D65AE8">
              <w:rPr>
                <w:rFonts w:cstheme="majorBidi"/>
              </w:rPr>
              <w:t>20.80</w:t>
            </w:r>
          </w:p>
        </w:tc>
      </w:tr>
      <w:tr w:rsidR="005A2028" w:rsidRPr="00D65AE8" w:rsidTr="0089242F">
        <w:tc>
          <w:tcPr>
            <w:tcW w:w="1075" w:type="pct"/>
          </w:tcPr>
          <w:p w:rsidR="005A2028" w:rsidRPr="00D65AE8" w:rsidRDefault="005A2028" w:rsidP="0089242F">
            <w:pPr>
              <w:rPr>
                <w:rFonts w:cstheme="majorBidi"/>
              </w:rPr>
            </w:pPr>
            <w:r w:rsidRPr="00D65AE8">
              <w:rPr>
                <w:rFonts w:cstheme="majorBidi"/>
              </w:rPr>
              <w:t>Inflation (%)</w:t>
            </w:r>
          </w:p>
        </w:tc>
        <w:tc>
          <w:tcPr>
            <w:tcW w:w="1074" w:type="pct"/>
          </w:tcPr>
          <w:p w:rsidR="005A2028" w:rsidRPr="00D65AE8" w:rsidRDefault="005A2028" w:rsidP="0089242F">
            <w:pPr>
              <w:rPr>
                <w:rFonts w:cstheme="majorBidi"/>
              </w:rPr>
            </w:pPr>
            <w:r w:rsidRPr="00D65AE8">
              <w:rPr>
                <w:rFonts w:cstheme="majorBidi"/>
              </w:rPr>
              <w:t>4.97</w:t>
            </w:r>
          </w:p>
        </w:tc>
        <w:tc>
          <w:tcPr>
            <w:tcW w:w="1074" w:type="pct"/>
          </w:tcPr>
          <w:p w:rsidR="005A2028" w:rsidRPr="00D65AE8" w:rsidRDefault="005A2028" w:rsidP="0089242F">
            <w:pPr>
              <w:rPr>
                <w:rFonts w:cstheme="majorBidi"/>
              </w:rPr>
            </w:pPr>
            <w:r w:rsidRPr="00D65AE8">
              <w:rPr>
                <w:rFonts w:cstheme="majorBidi"/>
              </w:rPr>
              <w:t>5.21</w:t>
            </w:r>
          </w:p>
        </w:tc>
        <w:tc>
          <w:tcPr>
            <w:tcW w:w="1073" w:type="pct"/>
          </w:tcPr>
          <w:p w:rsidR="005A2028" w:rsidRPr="00D65AE8" w:rsidRDefault="005A2028" w:rsidP="0089242F">
            <w:pPr>
              <w:rPr>
                <w:rFonts w:cstheme="majorBidi"/>
              </w:rPr>
            </w:pPr>
            <w:r w:rsidRPr="00D65AE8">
              <w:rPr>
                <w:rFonts w:cstheme="majorBidi"/>
              </w:rPr>
              <w:t>-0.88</w:t>
            </w:r>
          </w:p>
        </w:tc>
        <w:tc>
          <w:tcPr>
            <w:tcW w:w="705" w:type="pct"/>
          </w:tcPr>
          <w:p w:rsidR="005A2028" w:rsidRPr="00D65AE8" w:rsidRDefault="005A2028" w:rsidP="0089242F">
            <w:pPr>
              <w:rPr>
                <w:rFonts w:cstheme="majorBidi"/>
              </w:rPr>
            </w:pPr>
            <w:r w:rsidRPr="00D65AE8">
              <w:rPr>
                <w:rFonts w:cstheme="majorBidi"/>
              </w:rPr>
              <w:t>25.71</w:t>
            </w:r>
          </w:p>
        </w:tc>
      </w:tr>
    </w:tbl>
    <w:p w:rsidR="005A2028" w:rsidRPr="00D65AE8" w:rsidRDefault="005A2028" w:rsidP="005A2028">
      <w:pPr>
        <w:spacing w:line="240" w:lineRule="auto"/>
        <w:rPr>
          <w:rFonts w:cstheme="majorBidi"/>
        </w:rPr>
      </w:pPr>
      <w:r w:rsidRPr="00D65AE8">
        <w:rPr>
          <w:rFonts w:cstheme="majorBidi"/>
        </w:rPr>
        <w:t xml:space="preserve"> </w:t>
      </w:r>
    </w:p>
    <w:p w:rsidR="005A2028" w:rsidRPr="00087269" w:rsidRDefault="005A2028" w:rsidP="005A2028">
      <w:pPr>
        <w:pStyle w:val="MDPI31text"/>
      </w:pPr>
      <w:r w:rsidRPr="00087269">
        <w:t xml:space="preserve">To test if there was a unit root in the two-time series, Augmented Dickey–Fuller tests and Phillips and </w:t>
      </w:r>
      <w:proofErr w:type="spellStart"/>
      <w:r w:rsidRPr="00087269">
        <w:t>Perron</w:t>
      </w:r>
      <w:proofErr w:type="spellEnd"/>
      <w:r w:rsidRPr="00087269">
        <w:t xml:space="preserve"> tests for up to 4 lagged differences were utilized (</w:t>
      </w:r>
      <w:r w:rsidRPr="00087269">
        <w:fldChar w:fldCharType="begin"/>
      </w:r>
      <w:r w:rsidRPr="00087269">
        <w:instrText xml:space="preserve"> REF _Ref129167015 \h  \* MERGEFORMAT </w:instrText>
      </w:r>
      <w:r w:rsidRPr="00087269">
        <w:fldChar w:fldCharType="separate"/>
      </w:r>
      <w:r w:rsidRPr="00087269">
        <w:t>Table 2</w:t>
      </w:r>
      <w:r w:rsidRPr="00087269">
        <w:fldChar w:fldCharType="end"/>
      </w:r>
      <w:r w:rsidRPr="00087269">
        <w:t>). The p-values of the tau test statistics for the ADF and PP tests in all the autoregressive models were less than 0.05, and the null hypothesis (the series is nonstationary, i.e., there is a unit root) was rejected at the 5% level. Both time series, GDP growth and inflation, were stationary, i.e., I (0).</w:t>
      </w:r>
    </w:p>
    <w:p w:rsidR="005A2028" w:rsidRDefault="005A2028" w:rsidP="005A2028">
      <w:pPr>
        <w:pStyle w:val="MDPI31text"/>
      </w:pPr>
    </w:p>
    <w:p w:rsidR="005A2028" w:rsidRPr="00884BDD" w:rsidRDefault="005A2028" w:rsidP="005A2028">
      <w:pPr>
        <w:spacing w:line="240" w:lineRule="auto"/>
        <w:rPr>
          <w:rFonts w:cstheme="majorBidi"/>
          <w:i/>
          <w:iCs/>
          <w:sz w:val="18"/>
          <w:szCs w:val="18"/>
        </w:rPr>
      </w:pPr>
      <w:bookmarkStart w:id="3" w:name="_Ref129167015"/>
      <w:r>
        <w:rPr>
          <w:rFonts w:cstheme="majorBidi"/>
          <w:b/>
          <w:bCs/>
          <w:i/>
          <w:iCs/>
          <w:sz w:val="18"/>
          <w:szCs w:val="18"/>
        </w:rPr>
        <w:t xml:space="preserve">      </w:t>
      </w:r>
      <w:r w:rsidRPr="00884BDD">
        <w:rPr>
          <w:rFonts w:cstheme="majorBidi"/>
          <w:b/>
          <w:bCs/>
          <w:i/>
          <w:iCs/>
          <w:sz w:val="18"/>
          <w:szCs w:val="18"/>
        </w:rPr>
        <w:t xml:space="preserve">Table </w:t>
      </w:r>
      <w:r>
        <w:rPr>
          <w:rFonts w:cstheme="majorBidi"/>
          <w:b/>
          <w:bCs/>
          <w:i/>
          <w:iCs/>
          <w:sz w:val="18"/>
          <w:szCs w:val="18"/>
        </w:rPr>
        <w:t>3</w:t>
      </w:r>
      <w:r w:rsidRPr="00884BDD">
        <w:rPr>
          <w:rFonts w:cstheme="majorBidi"/>
          <w:b/>
          <w:bCs/>
          <w:i/>
          <w:iCs/>
          <w:sz w:val="18"/>
          <w:szCs w:val="18"/>
        </w:rPr>
        <w:t>.</w:t>
      </w:r>
      <w:r w:rsidRPr="00884BDD">
        <w:rPr>
          <w:rFonts w:cstheme="majorBidi"/>
          <w:i/>
          <w:iCs/>
          <w:sz w:val="18"/>
          <w:szCs w:val="18"/>
        </w:rPr>
        <w:t xml:space="preserve"> Assessment of stationarity.</w:t>
      </w:r>
      <w:bookmarkEnd w:id="3"/>
    </w:p>
    <w:tbl>
      <w:tblPr>
        <w:tblStyle w:val="MDPI41threelinetable"/>
        <w:tblW w:w="9355" w:type="dxa"/>
        <w:tblLook w:val="04A0" w:firstRow="1" w:lastRow="0" w:firstColumn="1" w:lastColumn="0" w:noHBand="0" w:noVBand="1"/>
      </w:tblPr>
      <w:tblGrid>
        <w:gridCol w:w="1615"/>
        <w:gridCol w:w="810"/>
        <w:gridCol w:w="1581"/>
        <w:gridCol w:w="1659"/>
        <w:gridCol w:w="1890"/>
        <w:gridCol w:w="1800"/>
      </w:tblGrid>
      <w:tr w:rsidR="005A2028" w:rsidRPr="00884BDD" w:rsidTr="0089242F">
        <w:trPr>
          <w:cnfStyle w:val="100000000000" w:firstRow="1" w:lastRow="0" w:firstColumn="0" w:lastColumn="0" w:oddVBand="0" w:evenVBand="0" w:oddHBand="0" w:evenHBand="0" w:firstRowFirstColumn="0" w:firstRowLastColumn="0" w:lastRowFirstColumn="0" w:lastRowLastColumn="0"/>
        </w:trPr>
        <w:tc>
          <w:tcPr>
            <w:tcW w:w="1615" w:type="dxa"/>
          </w:tcPr>
          <w:p w:rsidR="005A2028" w:rsidRPr="00884BDD" w:rsidRDefault="005A2028" w:rsidP="0089242F">
            <w:pPr>
              <w:rPr>
                <w:rFonts w:cstheme="majorBidi"/>
              </w:rPr>
            </w:pPr>
          </w:p>
        </w:tc>
        <w:tc>
          <w:tcPr>
            <w:tcW w:w="810" w:type="dxa"/>
          </w:tcPr>
          <w:p w:rsidR="005A2028" w:rsidRPr="00884BDD" w:rsidRDefault="005A2028" w:rsidP="0089242F">
            <w:pPr>
              <w:rPr>
                <w:rFonts w:cstheme="majorBidi"/>
              </w:rPr>
            </w:pPr>
          </w:p>
        </w:tc>
        <w:tc>
          <w:tcPr>
            <w:tcW w:w="3240" w:type="dxa"/>
            <w:gridSpan w:val="2"/>
          </w:tcPr>
          <w:p w:rsidR="005A2028" w:rsidRPr="00884BDD" w:rsidRDefault="005A2028" w:rsidP="0089242F">
            <w:pPr>
              <w:rPr>
                <w:rFonts w:cstheme="majorBidi"/>
              </w:rPr>
            </w:pPr>
            <w:r w:rsidRPr="00884BDD">
              <w:rPr>
                <w:rFonts w:cstheme="majorBidi"/>
              </w:rPr>
              <w:t>Augmented Dickey–Fuller</w:t>
            </w:r>
          </w:p>
        </w:tc>
        <w:tc>
          <w:tcPr>
            <w:tcW w:w="3690" w:type="dxa"/>
            <w:gridSpan w:val="2"/>
          </w:tcPr>
          <w:p w:rsidR="005A2028" w:rsidRPr="00884BDD" w:rsidRDefault="005A2028" w:rsidP="0089242F">
            <w:pPr>
              <w:rPr>
                <w:rFonts w:cstheme="majorBidi"/>
              </w:rPr>
            </w:pPr>
            <w:r w:rsidRPr="00884BDD">
              <w:rPr>
                <w:rFonts w:cstheme="majorBidi"/>
              </w:rPr>
              <w:t xml:space="preserve">Phillips and </w:t>
            </w:r>
            <w:proofErr w:type="spellStart"/>
            <w:r w:rsidRPr="00884BDD">
              <w:rPr>
                <w:rFonts w:cstheme="majorBidi"/>
              </w:rPr>
              <w:t>Perron</w:t>
            </w:r>
            <w:proofErr w:type="spellEnd"/>
          </w:p>
        </w:tc>
      </w:tr>
      <w:tr w:rsidR="005A2028" w:rsidRPr="00884BDD" w:rsidTr="0089242F">
        <w:tc>
          <w:tcPr>
            <w:tcW w:w="1615" w:type="dxa"/>
          </w:tcPr>
          <w:p w:rsidR="005A2028" w:rsidRPr="00884BDD" w:rsidRDefault="005A2028" w:rsidP="0089242F">
            <w:pPr>
              <w:rPr>
                <w:rFonts w:cstheme="majorBidi"/>
              </w:rPr>
            </w:pPr>
          </w:p>
        </w:tc>
        <w:tc>
          <w:tcPr>
            <w:tcW w:w="810" w:type="dxa"/>
          </w:tcPr>
          <w:p w:rsidR="005A2028" w:rsidRPr="00884BDD" w:rsidRDefault="005A2028" w:rsidP="0089242F">
            <w:pPr>
              <w:rPr>
                <w:rFonts w:cstheme="majorBidi"/>
              </w:rPr>
            </w:pPr>
            <w:r w:rsidRPr="00884BDD">
              <w:rPr>
                <w:rFonts w:cstheme="majorBidi"/>
              </w:rPr>
              <w:t>Lags</w:t>
            </w:r>
          </w:p>
        </w:tc>
        <w:tc>
          <w:tcPr>
            <w:tcW w:w="1581" w:type="dxa"/>
          </w:tcPr>
          <w:p w:rsidR="005A2028" w:rsidRPr="00884BDD" w:rsidRDefault="005A2028" w:rsidP="0089242F">
            <w:pPr>
              <w:rPr>
                <w:rFonts w:cstheme="majorBidi"/>
              </w:rPr>
            </w:pPr>
            <w:r w:rsidRPr="00884BDD">
              <w:rPr>
                <w:rFonts w:cstheme="majorBidi"/>
              </w:rPr>
              <w:t>Tau</w:t>
            </w:r>
          </w:p>
        </w:tc>
        <w:tc>
          <w:tcPr>
            <w:tcW w:w="1659" w:type="dxa"/>
          </w:tcPr>
          <w:p w:rsidR="005A2028" w:rsidRPr="00884BDD" w:rsidRDefault="005A2028" w:rsidP="0089242F">
            <w:pPr>
              <w:rPr>
                <w:rFonts w:cstheme="majorBidi"/>
              </w:rPr>
            </w:pPr>
            <w:r w:rsidRPr="00884BDD">
              <w:rPr>
                <w:rFonts w:cstheme="majorBidi"/>
              </w:rPr>
              <w:t>p</w:t>
            </w:r>
          </w:p>
        </w:tc>
        <w:tc>
          <w:tcPr>
            <w:tcW w:w="1890" w:type="dxa"/>
          </w:tcPr>
          <w:p w:rsidR="005A2028" w:rsidRPr="00884BDD" w:rsidRDefault="005A2028" w:rsidP="0089242F">
            <w:pPr>
              <w:rPr>
                <w:rFonts w:cstheme="majorBidi"/>
              </w:rPr>
            </w:pPr>
            <w:r w:rsidRPr="00884BDD">
              <w:rPr>
                <w:rFonts w:cstheme="majorBidi"/>
              </w:rPr>
              <w:t>Tau</w:t>
            </w:r>
          </w:p>
        </w:tc>
        <w:tc>
          <w:tcPr>
            <w:tcW w:w="1800" w:type="dxa"/>
          </w:tcPr>
          <w:p w:rsidR="005A2028" w:rsidRPr="00884BDD" w:rsidRDefault="005A2028" w:rsidP="0089242F">
            <w:pPr>
              <w:rPr>
                <w:rFonts w:cstheme="majorBidi"/>
              </w:rPr>
            </w:pPr>
            <w:r w:rsidRPr="00884BDD">
              <w:rPr>
                <w:rFonts w:cstheme="majorBidi"/>
              </w:rPr>
              <w:t>p</w:t>
            </w:r>
          </w:p>
        </w:tc>
      </w:tr>
      <w:tr w:rsidR="005A2028" w:rsidRPr="00884BDD" w:rsidTr="0089242F">
        <w:tc>
          <w:tcPr>
            <w:tcW w:w="1615" w:type="dxa"/>
          </w:tcPr>
          <w:p w:rsidR="005A2028" w:rsidRPr="00884BDD" w:rsidRDefault="005A2028" w:rsidP="0089242F">
            <w:pPr>
              <w:rPr>
                <w:rFonts w:cstheme="majorBidi"/>
              </w:rPr>
            </w:pPr>
            <w:r w:rsidRPr="00884BDD">
              <w:rPr>
                <w:rFonts w:cstheme="majorBidi"/>
              </w:rPr>
              <w:t>GDP growth</w:t>
            </w:r>
          </w:p>
        </w:tc>
        <w:tc>
          <w:tcPr>
            <w:tcW w:w="810" w:type="dxa"/>
          </w:tcPr>
          <w:p w:rsidR="005A2028" w:rsidRPr="00884BDD" w:rsidRDefault="005A2028" w:rsidP="0089242F">
            <w:pPr>
              <w:rPr>
                <w:rFonts w:cstheme="majorBidi"/>
              </w:rPr>
            </w:pPr>
            <w:r w:rsidRPr="00884BDD">
              <w:rPr>
                <w:rFonts w:cstheme="majorBidi"/>
              </w:rPr>
              <w:t>0</w:t>
            </w:r>
          </w:p>
        </w:tc>
        <w:tc>
          <w:tcPr>
            <w:tcW w:w="1581" w:type="dxa"/>
          </w:tcPr>
          <w:p w:rsidR="005A2028" w:rsidRPr="00884BDD" w:rsidRDefault="005A2028" w:rsidP="0089242F">
            <w:pPr>
              <w:rPr>
                <w:rFonts w:cstheme="majorBidi"/>
              </w:rPr>
            </w:pPr>
            <w:r w:rsidRPr="00884BDD">
              <w:rPr>
                <w:rFonts w:cstheme="majorBidi"/>
              </w:rPr>
              <w:t>-3.65</w:t>
            </w:r>
          </w:p>
        </w:tc>
        <w:tc>
          <w:tcPr>
            <w:tcW w:w="1659" w:type="dxa"/>
          </w:tcPr>
          <w:p w:rsidR="005A2028" w:rsidRPr="00884BDD" w:rsidRDefault="005A2028" w:rsidP="0089242F">
            <w:pPr>
              <w:rPr>
                <w:rFonts w:cstheme="majorBidi"/>
              </w:rPr>
            </w:pPr>
            <w:r w:rsidRPr="00884BDD">
              <w:rPr>
                <w:rFonts w:cstheme="majorBidi"/>
              </w:rPr>
              <w:t>0.0083</w:t>
            </w:r>
          </w:p>
        </w:tc>
        <w:tc>
          <w:tcPr>
            <w:tcW w:w="1890" w:type="dxa"/>
          </w:tcPr>
          <w:p w:rsidR="005A2028" w:rsidRPr="00884BDD" w:rsidRDefault="005A2028" w:rsidP="0089242F">
            <w:pPr>
              <w:rPr>
                <w:rFonts w:cstheme="majorBidi"/>
              </w:rPr>
            </w:pPr>
            <w:r w:rsidRPr="00884BDD">
              <w:rPr>
                <w:rFonts w:cstheme="majorBidi"/>
              </w:rPr>
              <w:t>-3.65</w:t>
            </w:r>
          </w:p>
        </w:tc>
        <w:tc>
          <w:tcPr>
            <w:tcW w:w="1800" w:type="dxa"/>
          </w:tcPr>
          <w:p w:rsidR="005A2028" w:rsidRPr="00884BDD" w:rsidRDefault="005A2028" w:rsidP="0089242F">
            <w:pPr>
              <w:rPr>
                <w:rFonts w:cstheme="majorBidi"/>
              </w:rPr>
            </w:pPr>
            <w:r w:rsidRPr="00884BDD">
              <w:rPr>
                <w:rFonts w:cstheme="majorBidi"/>
              </w:rPr>
              <w:t>0.0083</w:t>
            </w:r>
          </w:p>
        </w:tc>
      </w:tr>
      <w:tr w:rsidR="005A2028" w:rsidRPr="00884BDD" w:rsidTr="0089242F">
        <w:tc>
          <w:tcPr>
            <w:tcW w:w="1615" w:type="dxa"/>
          </w:tcPr>
          <w:p w:rsidR="005A2028" w:rsidRPr="00884BDD" w:rsidRDefault="005A2028" w:rsidP="0089242F">
            <w:pPr>
              <w:rPr>
                <w:rFonts w:cstheme="majorBidi"/>
              </w:rPr>
            </w:pPr>
          </w:p>
        </w:tc>
        <w:tc>
          <w:tcPr>
            <w:tcW w:w="810" w:type="dxa"/>
          </w:tcPr>
          <w:p w:rsidR="005A2028" w:rsidRPr="00884BDD" w:rsidRDefault="005A2028" w:rsidP="0089242F">
            <w:pPr>
              <w:rPr>
                <w:rFonts w:cstheme="majorBidi"/>
              </w:rPr>
            </w:pPr>
            <w:r w:rsidRPr="00884BDD">
              <w:rPr>
                <w:rFonts w:cstheme="majorBidi"/>
              </w:rPr>
              <w:t>1</w:t>
            </w:r>
          </w:p>
        </w:tc>
        <w:tc>
          <w:tcPr>
            <w:tcW w:w="1581" w:type="dxa"/>
          </w:tcPr>
          <w:p w:rsidR="005A2028" w:rsidRPr="00884BDD" w:rsidRDefault="005A2028" w:rsidP="0089242F">
            <w:pPr>
              <w:rPr>
                <w:rFonts w:cstheme="majorBidi"/>
              </w:rPr>
            </w:pPr>
            <w:r w:rsidRPr="00884BDD">
              <w:rPr>
                <w:rFonts w:cstheme="majorBidi"/>
              </w:rPr>
              <w:t>-3.41</w:t>
            </w:r>
          </w:p>
        </w:tc>
        <w:tc>
          <w:tcPr>
            <w:tcW w:w="1659" w:type="dxa"/>
          </w:tcPr>
          <w:p w:rsidR="005A2028" w:rsidRPr="00884BDD" w:rsidRDefault="005A2028" w:rsidP="0089242F">
            <w:pPr>
              <w:rPr>
                <w:rFonts w:cstheme="majorBidi"/>
              </w:rPr>
            </w:pPr>
            <w:r w:rsidRPr="00884BDD">
              <w:rPr>
                <w:rFonts w:cstheme="majorBidi"/>
              </w:rPr>
              <w:t>0.0186</w:t>
            </w:r>
          </w:p>
        </w:tc>
        <w:tc>
          <w:tcPr>
            <w:tcW w:w="1890" w:type="dxa"/>
          </w:tcPr>
          <w:p w:rsidR="005A2028" w:rsidRPr="00884BDD" w:rsidRDefault="005A2028" w:rsidP="0089242F">
            <w:pPr>
              <w:rPr>
                <w:rFonts w:cstheme="majorBidi"/>
              </w:rPr>
            </w:pPr>
            <w:r w:rsidRPr="00884BDD">
              <w:rPr>
                <w:rFonts w:cstheme="majorBidi"/>
              </w:rPr>
              <w:t>-3.53</w:t>
            </w:r>
          </w:p>
        </w:tc>
        <w:tc>
          <w:tcPr>
            <w:tcW w:w="1800" w:type="dxa"/>
          </w:tcPr>
          <w:p w:rsidR="005A2028" w:rsidRPr="00884BDD" w:rsidRDefault="005A2028" w:rsidP="0089242F">
            <w:pPr>
              <w:rPr>
                <w:rFonts w:cstheme="majorBidi"/>
              </w:rPr>
            </w:pPr>
            <w:r w:rsidRPr="00884BDD">
              <w:rPr>
                <w:rFonts w:cstheme="majorBidi"/>
              </w:rPr>
              <w:t>0.0115</w:t>
            </w:r>
          </w:p>
        </w:tc>
      </w:tr>
      <w:tr w:rsidR="005A2028" w:rsidRPr="00884BDD" w:rsidTr="0089242F">
        <w:tc>
          <w:tcPr>
            <w:tcW w:w="1615" w:type="dxa"/>
          </w:tcPr>
          <w:p w:rsidR="005A2028" w:rsidRPr="00884BDD" w:rsidRDefault="005A2028" w:rsidP="0089242F">
            <w:pPr>
              <w:rPr>
                <w:rFonts w:cstheme="majorBidi"/>
              </w:rPr>
            </w:pPr>
          </w:p>
        </w:tc>
        <w:tc>
          <w:tcPr>
            <w:tcW w:w="810" w:type="dxa"/>
          </w:tcPr>
          <w:p w:rsidR="005A2028" w:rsidRPr="00884BDD" w:rsidRDefault="005A2028" w:rsidP="0089242F">
            <w:pPr>
              <w:rPr>
                <w:rFonts w:cstheme="majorBidi"/>
              </w:rPr>
            </w:pPr>
            <w:r w:rsidRPr="00884BDD">
              <w:rPr>
                <w:rFonts w:cstheme="majorBidi"/>
              </w:rPr>
              <w:t>2</w:t>
            </w:r>
          </w:p>
        </w:tc>
        <w:tc>
          <w:tcPr>
            <w:tcW w:w="1581" w:type="dxa"/>
          </w:tcPr>
          <w:p w:rsidR="005A2028" w:rsidRPr="00884BDD" w:rsidRDefault="005A2028" w:rsidP="0089242F">
            <w:pPr>
              <w:rPr>
                <w:rFonts w:cstheme="majorBidi"/>
              </w:rPr>
            </w:pPr>
            <w:r w:rsidRPr="00884BDD">
              <w:rPr>
                <w:rFonts w:cstheme="majorBidi"/>
              </w:rPr>
              <w:t>-4.05</w:t>
            </w:r>
          </w:p>
        </w:tc>
        <w:tc>
          <w:tcPr>
            <w:tcW w:w="1659" w:type="dxa"/>
          </w:tcPr>
          <w:p w:rsidR="005A2028" w:rsidRPr="00884BDD" w:rsidRDefault="005A2028" w:rsidP="0089242F">
            <w:pPr>
              <w:rPr>
                <w:rFonts w:cstheme="majorBidi"/>
              </w:rPr>
            </w:pPr>
            <w:r w:rsidRPr="00884BDD">
              <w:rPr>
                <w:rFonts w:cstheme="majorBidi"/>
              </w:rPr>
              <w:t>0.0028</w:t>
            </w:r>
          </w:p>
        </w:tc>
        <w:tc>
          <w:tcPr>
            <w:tcW w:w="1890" w:type="dxa"/>
          </w:tcPr>
          <w:p w:rsidR="005A2028" w:rsidRPr="00884BDD" w:rsidRDefault="005A2028" w:rsidP="0089242F">
            <w:pPr>
              <w:rPr>
                <w:rFonts w:cstheme="majorBidi"/>
              </w:rPr>
            </w:pPr>
            <w:r w:rsidRPr="00884BDD">
              <w:rPr>
                <w:rFonts w:cstheme="majorBidi"/>
              </w:rPr>
              <w:t>-3.63</w:t>
            </w:r>
          </w:p>
        </w:tc>
        <w:tc>
          <w:tcPr>
            <w:tcW w:w="1800" w:type="dxa"/>
          </w:tcPr>
          <w:p w:rsidR="005A2028" w:rsidRPr="00884BDD" w:rsidRDefault="005A2028" w:rsidP="0089242F">
            <w:pPr>
              <w:rPr>
                <w:rFonts w:cstheme="majorBidi"/>
              </w:rPr>
            </w:pPr>
            <w:r w:rsidRPr="00884BDD">
              <w:rPr>
                <w:rFonts w:cstheme="majorBidi"/>
              </w:rPr>
              <w:t>0.0088</w:t>
            </w:r>
          </w:p>
        </w:tc>
      </w:tr>
      <w:tr w:rsidR="005A2028" w:rsidRPr="00884BDD" w:rsidTr="0089242F">
        <w:tc>
          <w:tcPr>
            <w:tcW w:w="1615" w:type="dxa"/>
          </w:tcPr>
          <w:p w:rsidR="005A2028" w:rsidRPr="00884BDD" w:rsidRDefault="005A2028" w:rsidP="0089242F">
            <w:pPr>
              <w:rPr>
                <w:rFonts w:cstheme="majorBidi"/>
              </w:rPr>
            </w:pPr>
          </w:p>
        </w:tc>
        <w:tc>
          <w:tcPr>
            <w:tcW w:w="810" w:type="dxa"/>
          </w:tcPr>
          <w:p w:rsidR="005A2028" w:rsidRPr="00884BDD" w:rsidRDefault="005A2028" w:rsidP="0089242F">
            <w:pPr>
              <w:rPr>
                <w:rFonts w:cstheme="majorBidi"/>
              </w:rPr>
            </w:pPr>
            <w:r w:rsidRPr="00884BDD">
              <w:rPr>
                <w:rFonts w:cstheme="majorBidi"/>
              </w:rPr>
              <w:t>3</w:t>
            </w:r>
          </w:p>
        </w:tc>
        <w:tc>
          <w:tcPr>
            <w:tcW w:w="1581" w:type="dxa"/>
          </w:tcPr>
          <w:p w:rsidR="005A2028" w:rsidRPr="00884BDD" w:rsidRDefault="005A2028" w:rsidP="0089242F">
            <w:pPr>
              <w:rPr>
                <w:rFonts w:cstheme="majorBidi"/>
              </w:rPr>
            </w:pPr>
            <w:r w:rsidRPr="00884BDD">
              <w:rPr>
                <w:rFonts w:cstheme="majorBidi"/>
              </w:rPr>
              <w:t>-3.43</w:t>
            </w:r>
          </w:p>
        </w:tc>
        <w:tc>
          <w:tcPr>
            <w:tcW w:w="1659" w:type="dxa"/>
          </w:tcPr>
          <w:p w:rsidR="005A2028" w:rsidRPr="00884BDD" w:rsidRDefault="005A2028" w:rsidP="0089242F">
            <w:pPr>
              <w:rPr>
                <w:rFonts w:cstheme="majorBidi"/>
              </w:rPr>
            </w:pPr>
            <w:r w:rsidRPr="00884BDD">
              <w:rPr>
                <w:rFonts w:cstheme="majorBidi"/>
              </w:rPr>
              <w:t>0.0151</w:t>
            </w:r>
          </w:p>
        </w:tc>
        <w:tc>
          <w:tcPr>
            <w:tcW w:w="1890" w:type="dxa"/>
          </w:tcPr>
          <w:p w:rsidR="005A2028" w:rsidRPr="00884BDD" w:rsidRDefault="005A2028" w:rsidP="0089242F">
            <w:pPr>
              <w:rPr>
                <w:rFonts w:cstheme="majorBidi"/>
              </w:rPr>
            </w:pPr>
            <w:r w:rsidRPr="00884BDD">
              <w:rPr>
                <w:rFonts w:cstheme="majorBidi"/>
              </w:rPr>
              <w:t>-3.61</w:t>
            </w:r>
          </w:p>
        </w:tc>
        <w:tc>
          <w:tcPr>
            <w:tcW w:w="1800" w:type="dxa"/>
          </w:tcPr>
          <w:p w:rsidR="005A2028" w:rsidRPr="00884BDD" w:rsidRDefault="005A2028" w:rsidP="0089242F">
            <w:pPr>
              <w:rPr>
                <w:rFonts w:cstheme="majorBidi"/>
              </w:rPr>
            </w:pPr>
            <w:r w:rsidRPr="00884BDD">
              <w:rPr>
                <w:rFonts w:cstheme="majorBidi"/>
              </w:rPr>
              <w:t>0.0092</w:t>
            </w:r>
          </w:p>
        </w:tc>
      </w:tr>
      <w:tr w:rsidR="005A2028" w:rsidRPr="00884BDD" w:rsidTr="0089242F">
        <w:tc>
          <w:tcPr>
            <w:tcW w:w="1615" w:type="dxa"/>
          </w:tcPr>
          <w:p w:rsidR="005A2028" w:rsidRPr="00884BDD" w:rsidRDefault="005A2028" w:rsidP="0089242F">
            <w:pPr>
              <w:rPr>
                <w:rFonts w:cstheme="majorBidi"/>
              </w:rPr>
            </w:pPr>
          </w:p>
        </w:tc>
        <w:tc>
          <w:tcPr>
            <w:tcW w:w="810" w:type="dxa"/>
          </w:tcPr>
          <w:p w:rsidR="005A2028" w:rsidRPr="00884BDD" w:rsidRDefault="005A2028" w:rsidP="0089242F">
            <w:pPr>
              <w:rPr>
                <w:rFonts w:cstheme="majorBidi"/>
              </w:rPr>
            </w:pPr>
            <w:r w:rsidRPr="00884BDD">
              <w:rPr>
                <w:rFonts w:cstheme="majorBidi"/>
              </w:rPr>
              <w:t>4</w:t>
            </w:r>
          </w:p>
        </w:tc>
        <w:tc>
          <w:tcPr>
            <w:tcW w:w="1581" w:type="dxa"/>
          </w:tcPr>
          <w:p w:rsidR="005A2028" w:rsidRPr="00884BDD" w:rsidRDefault="005A2028" w:rsidP="0089242F">
            <w:pPr>
              <w:rPr>
                <w:rFonts w:cstheme="majorBidi"/>
              </w:rPr>
            </w:pPr>
            <w:r w:rsidRPr="00884BDD">
              <w:rPr>
                <w:rFonts w:cstheme="majorBidi"/>
              </w:rPr>
              <w:t>-3.74</w:t>
            </w:r>
          </w:p>
        </w:tc>
        <w:tc>
          <w:tcPr>
            <w:tcW w:w="1659" w:type="dxa"/>
          </w:tcPr>
          <w:p w:rsidR="005A2028" w:rsidRPr="00884BDD" w:rsidRDefault="005A2028" w:rsidP="0089242F">
            <w:pPr>
              <w:rPr>
                <w:rFonts w:cstheme="majorBidi"/>
              </w:rPr>
            </w:pPr>
            <w:r w:rsidRPr="00884BDD">
              <w:rPr>
                <w:rFonts w:cstheme="majorBidi"/>
              </w:rPr>
              <w:t>0.0068</w:t>
            </w:r>
          </w:p>
        </w:tc>
        <w:tc>
          <w:tcPr>
            <w:tcW w:w="1890" w:type="dxa"/>
          </w:tcPr>
          <w:p w:rsidR="005A2028" w:rsidRPr="00884BDD" w:rsidRDefault="005A2028" w:rsidP="0089242F">
            <w:pPr>
              <w:rPr>
                <w:rFonts w:cstheme="majorBidi"/>
              </w:rPr>
            </w:pPr>
            <w:r w:rsidRPr="00884BDD">
              <w:rPr>
                <w:rFonts w:cstheme="majorBidi"/>
              </w:rPr>
              <w:t>-3.57</w:t>
            </w:r>
          </w:p>
        </w:tc>
        <w:tc>
          <w:tcPr>
            <w:tcW w:w="1800" w:type="dxa"/>
          </w:tcPr>
          <w:p w:rsidR="005A2028" w:rsidRPr="00884BDD" w:rsidRDefault="005A2028" w:rsidP="0089242F">
            <w:pPr>
              <w:rPr>
                <w:rFonts w:cstheme="majorBidi"/>
              </w:rPr>
            </w:pPr>
            <w:r w:rsidRPr="00884BDD">
              <w:rPr>
                <w:rFonts w:cstheme="majorBidi"/>
              </w:rPr>
              <w:t>0.0103</w:t>
            </w:r>
          </w:p>
        </w:tc>
      </w:tr>
      <w:tr w:rsidR="005A2028" w:rsidRPr="00884BDD" w:rsidTr="0089242F">
        <w:tc>
          <w:tcPr>
            <w:tcW w:w="1615" w:type="dxa"/>
          </w:tcPr>
          <w:p w:rsidR="005A2028" w:rsidRPr="00884BDD" w:rsidRDefault="005A2028" w:rsidP="0089242F">
            <w:pPr>
              <w:rPr>
                <w:rFonts w:cstheme="majorBidi"/>
              </w:rPr>
            </w:pPr>
            <w:r w:rsidRPr="00884BDD">
              <w:rPr>
                <w:rFonts w:cstheme="majorBidi"/>
              </w:rPr>
              <w:t>Inflation</w:t>
            </w:r>
          </w:p>
        </w:tc>
        <w:tc>
          <w:tcPr>
            <w:tcW w:w="810" w:type="dxa"/>
          </w:tcPr>
          <w:p w:rsidR="005A2028" w:rsidRPr="00884BDD" w:rsidRDefault="005A2028" w:rsidP="0089242F">
            <w:pPr>
              <w:rPr>
                <w:rFonts w:cstheme="majorBidi"/>
              </w:rPr>
            </w:pPr>
            <w:r w:rsidRPr="00884BDD">
              <w:rPr>
                <w:rFonts w:cstheme="majorBidi"/>
              </w:rPr>
              <w:t>0</w:t>
            </w:r>
          </w:p>
        </w:tc>
        <w:tc>
          <w:tcPr>
            <w:tcW w:w="1581" w:type="dxa"/>
          </w:tcPr>
          <w:p w:rsidR="005A2028" w:rsidRPr="00884BDD" w:rsidRDefault="005A2028" w:rsidP="0089242F">
            <w:pPr>
              <w:rPr>
                <w:rFonts w:cstheme="majorBidi"/>
              </w:rPr>
            </w:pPr>
            <w:r w:rsidRPr="00884BDD">
              <w:rPr>
                <w:rFonts w:cstheme="majorBidi"/>
              </w:rPr>
              <w:t>-4.07</w:t>
            </w:r>
          </w:p>
        </w:tc>
        <w:tc>
          <w:tcPr>
            <w:tcW w:w="1659" w:type="dxa"/>
          </w:tcPr>
          <w:p w:rsidR="005A2028" w:rsidRPr="00884BDD" w:rsidRDefault="005A2028" w:rsidP="0089242F">
            <w:pPr>
              <w:rPr>
                <w:rFonts w:cstheme="majorBidi"/>
              </w:rPr>
            </w:pPr>
            <w:r w:rsidRPr="00884BDD">
              <w:rPr>
                <w:rFonts w:cstheme="majorBidi"/>
              </w:rPr>
              <w:t>0.0025</w:t>
            </w:r>
          </w:p>
        </w:tc>
        <w:tc>
          <w:tcPr>
            <w:tcW w:w="1890" w:type="dxa"/>
          </w:tcPr>
          <w:p w:rsidR="005A2028" w:rsidRPr="00884BDD" w:rsidRDefault="005A2028" w:rsidP="0089242F">
            <w:pPr>
              <w:rPr>
                <w:rFonts w:cstheme="majorBidi"/>
              </w:rPr>
            </w:pPr>
            <w:r w:rsidRPr="00884BDD">
              <w:rPr>
                <w:rFonts w:cstheme="majorBidi"/>
              </w:rPr>
              <w:t>-4.07</w:t>
            </w:r>
          </w:p>
        </w:tc>
        <w:tc>
          <w:tcPr>
            <w:tcW w:w="1800" w:type="dxa"/>
          </w:tcPr>
          <w:p w:rsidR="005A2028" w:rsidRPr="00884BDD" w:rsidRDefault="005A2028" w:rsidP="0089242F">
            <w:pPr>
              <w:rPr>
                <w:rFonts w:cstheme="majorBidi"/>
              </w:rPr>
            </w:pPr>
            <w:r w:rsidRPr="00884BDD">
              <w:rPr>
                <w:rFonts w:cstheme="majorBidi"/>
              </w:rPr>
              <w:t>0.0025</w:t>
            </w:r>
          </w:p>
        </w:tc>
      </w:tr>
      <w:tr w:rsidR="005A2028" w:rsidRPr="00884BDD" w:rsidTr="0089242F">
        <w:tc>
          <w:tcPr>
            <w:tcW w:w="1615" w:type="dxa"/>
          </w:tcPr>
          <w:p w:rsidR="005A2028" w:rsidRPr="00884BDD" w:rsidRDefault="005A2028" w:rsidP="0089242F">
            <w:pPr>
              <w:rPr>
                <w:rFonts w:cstheme="majorBidi"/>
              </w:rPr>
            </w:pPr>
          </w:p>
        </w:tc>
        <w:tc>
          <w:tcPr>
            <w:tcW w:w="810" w:type="dxa"/>
          </w:tcPr>
          <w:p w:rsidR="005A2028" w:rsidRPr="00884BDD" w:rsidRDefault="005A2028" w:rsidP="0089242F">
            <w:pPr>
              <w:rPr>
                <w:rFonts w:cstheme="majorBidi"/>
              </w:rPr>
            </w:pPr>
            <w:r w:rsidRPr="00884BDD">
              <w:rPr>
                <w:rFonts w:cstheme="majorBidi"/>
              </w:rPr>
              <w:t>1</w:t>
            </w:r>
          </w:p>
        </w:tc>
        <w:tc>
          <w:tcPr>
            <w:tcW w:w="1581" w:type="dxa"/>
          </w:tcPr>
          <w:p w:rsidR="005A2028" w:rsidRPr="00884BDD" w:rsidRDefault="005A2028" w:rsidP="0089242F">
            <w:pPr>
              <w:rPr>
                <w:rFonts w:cstheme="majorBidi"/>
              </w:rPr>
            </w:pPr>
            <w:r w:rsidRPr="00884BDD">
              <w:rPr>
                <w:rFonts w:cstheme="majorBidi"/>
              </w:rPr>
              <w:t>-3.30</w:t>
            </w:r>
          </w:p>
        </w:tc>
        <w:tc>
          <w:tcPr>
            <w:tcW w:w="1659" w:type="dxa"/>
          </w:tcPr>
          <w:p w:rsidR="005A2028" w:rsidRPr="00884BDD" w:rsidRDefault="005A2028" w:rsidP="0089242F">
            <w:pPr>
              <w:rPr>
                <w:rFonts w:cstheme="majorBidi"/>
              </w:rPr>
            </w:pPr>
            <w:r w:rsidRPr="00884BDD">
              <w:rPr>
                <w:rFonts w:cstheme="majorBidi"/>
              </w:rPr>
              <w:t>0.0207</w:t>
            </w:r>
          </w:p>
        </w:tc>
        <w:tc>
          <w:tcPr>
            <w:tcW w:w="1890" w:type="dxa"/>
          </w:tcPr>
          <w:p w:rsidR="005A2028" w:rsidRPr="00884BDD" w:rsidRDefault="005A2028" w:rsidP="0089242F">
            <w:pPr>
              <w:rPr>
                <w:rFonts w:cstheme="majorBidi"/>
              </w:rPr>
            </w:pPr>
            <w:r w:rsidRPr="00884BDD">
              <w:rPr>
                <w:rFonts w:cstheme="majorBidi"/>
              </w:rPr>
              <w:t>-4.09</w:t>
            </w:r>
          </w:p>
        </w:tc>
        <w:tc>
          <w:tcPr>
            <w:tcW w:w="1800" w:type="dxa"/>
          </w:tcPr>
          <w:p w:rsidR="005A2028" w:rsidRPr="00884BDD" w:rsidRDefault="005A2028" w:rsidP="0089242F">
            <w:pPr>
              <w:rPr>
                <w:rFonts w:cstheme="majorBidi"/>
              </w:rPr>
            </w:pPr>
            <w:r w:rsidRPr="00884BDD">
              <w:rPr>
                <w:rFonts w:cstheme="majorBidi"/>
              </w:rPr>
              <w:t>0.0024</w:t>
            </w:r>
          </w:p>
        </w:tc>
      </w:tr>
      <w:tr w:rsidR="005A2028" w:rsidRPr="00884BDD" w:rsidTr="0089242F">
        <w:tc>
          <w:tcPr>
            <w:tcW w:w="1615" w:type="dxa"/>
          </w:tcPr>
          <w:p w:rsidR="005A2028" w:rsidRPr="00884BDD" w:rsidRDefault="005A2028" w:rsidP="0089242F">
            <w:pPr>
              <w:rPr>
                <w:rFonts w:cstheme="majorBidi"/>
              </w:rPr>
            </w:pPr>
          </w:p>
        </w:tc>
        <w:tc>
          <w:tcPr>
            <w:tcW w:w="810" w:type="dxa"/>
          </w:tcPr>
          <w:p w:rsidR="005A2028" w:rsidRPr="00884BDD" w:rsidRDefault="005A2028" w:rsidP="0089242F">
            <w:pPr>
              <w:rPr>
                <w:rFonts w:cstheme="majorBidi"/>
              </w:rPr>
            </w:pPr>
            <w:r w:rsidRPr="00884BDD">
              <w:rPr>
                <w:rFonts w:cstheme="majorBidi"/>
              </w:rPr>
              <w:t>2</w:t>
            </w:r>
          </w:p>
        </w:tc>
        <w:tc>
          <w:tcPr>
            <w:tcW w:w="1581" w:type="dxa"/>
          </w:tcPr>
          <w:p w:rsidR="005A2028" w:rsidRPr="00884BDD" w:rsidRDefault="005A2028" w:rsidP="0089242F">
            <w:pPr>
              <w:rPr>
                <w:rFonts w:cstheme="majorBidi"/>
              </w:rPr>
            </w:pPr>
            <w:r w:rsidRPr="00884BDD">
              <w:rPr>
                <w:rFonts w:cstheme="majorBidi"/>
              </w:rPr>
              <w:t>-3.73</w:t>
            </w:r>
          </w:p>
        </w:tc>
        <w:tc>
          <w:tcPr>
            <w:tcW w:w="1659" w:type="dxa"/>
          </w:tcPr>
          <w:p w:rsidR="005A2028" w:rsidRPr="00884BDD" w:rsidRDefault="005A2028" w:rsidP="0089242F">
            <w:pPr>
              <w:rPr>
                <w:rFonts w:cstheme="majorBidi"/>
              </w:rPr>
            </w:pPr>
            <w:r w:rsidRPr="00884BDD">
              <w:rPr>
                <w:rFonts w:cstheme="majorBidi"/>
              </w:rPr>
              <w:t>0.0068</w:t>
            </w:r>
          </w:p>
        </w:tc>
        <w:tc>
          <w:tcPr>
            <w:tcW w:w="1890" w:type="dxa"/>
          </w:tcPr>
          <w:p w:rsidR="005A2028" w:rsidRPr="00884BDD" w:rsidRDefault="005A2028" w:rsidP="0089242F">
            <w:pPr>
              <w:rPr>
                <w:rFonts w:cstheme="majorBidi"/>
              </w:rPr>
            </w:pPr>
            <w:r w:rsidRPr="00884BDD">
              <w:rPr>
                <w:rFonts w:cstheme="majorBidi"/>
              </w:rPr>
              <w:t>-4.09</w:t>
            </w:r>
          </w:p>
        </w:tc>
        <w:tc>
          <w:tcPr>
            <w:tcW w:w="1800" w:type="dxa"/>
          </w:tcPr>
          <w:p w:rsidR="005A2028" w:rsidRPr="00884BDD" w:rsidRDefault="005A2028" w:rsidP="0089242F">
            <w:pPr>
              <w:rPr>
                <w:rFonts w:cstheme="majorBidi"/>
              </w:rPr>
            </w:pPr>
            <w:r w:rsidRPr="00884BDD">
              <w:rPr>
                <w:rFonts w:cstheme="majorBidi"/>
              </w:rPr>
              <w:t>0.0024</w:t>
            </w:r>
          </w:p>
        </w:tc>
      </w:tr>
      <w:tr w:rsidR="005A2028" w:rsidRPr="00884BDD" w:rsidTr="0089242F">
        <w:tc>
          <w:tcPr>
            <w:tcW w:w="1615" w:type="dxa"/>
          </w:tcPr>
          <w:p w:rsidR="005A2028" w:rsidRPr="00884BDD" w:rsidRDefault="005A2028" w:rsidP="0089242F">
            <w:pPr>
              <w:rPr>
                <w:rFonts w:cstheme="majorBidi"/>
              </w:rPr>
            </w:pPr>
          </w:p>
        </w:tc>
        <w:tc>
          <w:tcPr>
            <w:tcW w:w="810" w:type="dxa"/>
          </w:tcPr>
          <w:p w:rsidR="005A2028" w:rsidRPr="00884BDD" w:rsidRDefault="005A2028" w:rsidP="0089242F">
            <w:pPr>
              <w:rPr>
                <w:rFonts w:cstheme="majorBidi"/>
              </w:rPr>
            </w:pPr>
            <w:r w:rsidRPr="00884BDD">
              <w:rPr>
                <w:rFonts w:cstheme="majorBidi"/>
              </w:rPr>
              <w:t>3</w:t>
            </w:r>
          </w:p>
        </w:tc>
        <w:tc>
          <w:tcPr>
            <w:tcW w:w="1581" w:type="dxa"/>
          </w:tcPr>
          <w:p w:rsidR="005A2028" w:rsidRPr="00884BDD" w:rsidRDefault="005A2028" w:rsidP="0089242F">
            <w:pPr>
              <w:rPr>
                <w:rFonts w:cstheme="majorBidi"/>
              </w:rPr>
            </w:pPr>
            <w:r w:rsidRPr="00884BDD">
              <w:rPr>
                <w:rFonts w:cstheme="majorBidi"/>
              </w:rPr>
              <w:t>-3.16</w:t>
            </w:r>
          </w:p>
        </w:tc>
        <w:tc>
          <w:tcPr>
            <w:tcW w:w="1659" w:type="dxa"/>
          </w:tcPr>
          <w:p w:rsidR="005A2028" w:rsidRPr="00884BDD" w:rsidRDefault="005A2028" w:rsidP="0089242F">
            <w:pPr>
              <w:rPr>
                <w:rFonts w:cstheme="majorBidi"/>
              </w:rPr>
            </w:pPr>
            <w:r w:rsidRPr="00884BDD">
              <w:rPr>
                <w:rFonts w:cstheme="majorBidi"/>
              </w:rPr>
              <w:t>0.0299</w:t>
            </w:r>
          </w:p>
        </w:tc>
        <w:tc>
          <w:tcPr>
            <w:tcW w:w="1890" w:type="dxa"/>
          </w:tcPr>
          <w:p w:rsidR="005A2028" w:rsidRPr="00884BDD" w:rsidRDefault="005A2028" w:rsidP="0089242F">
            <w:pPr>
              <w:rPr>
                <w:rFonts w:cstheme="majorBidi"/>
              </w:rPr>
            </w:pPr>
            <w:r w:rsidRPr="00884BDD">
              <w:rPr>
                <w:rFonts w:cstheme="majorBidi"/>
              </w:rPr>
              <w:t>-4.02</w:t>
            </w:r>
          </w:p>
        </w:tc>
        <w:tc>
          <w:tcPr>
            <w:tcW w:w="1800" w:type="dxa"/>
          </w:tcPr>
          <w:p w:rsidR="005A2028" w:rsidRPr="00884BDD" w:rsidRDefault="005A2028" w:rsidP="0089242F">
            <w:pPr>
              <w:rPr>
                <w:rFonts w:cstheme="majorBidi"/>
              </w:rPr>
            </w:pPr>
            <w:r w:rsidRPr="00884BDD">
              <w:rPr>
                <w:rFonts w:cstheme="majorBidi"/>
              </w:rPr>
              <w:t>0.0030</w:t>
            </w:r>
          </w:p>
        </w:tc>
      </w:tr>
      <w:tr w:rsidR="005A2028" w:rsidRPr="00884BDD" w:rsidTr="0089242F">
        <w:tc>
          <w:tcPr>
            <w:tcW w:w="1615" w:type="dxa"/>
          </w:tcPr>
          <w:p w:rsidR="005A2028" w:rsidRPr="00884BDD" w:rsidRDefault="005A2028" w:rsidP="0089242F">
            <w:pPr>
              <w:rPr>
                <w:rFonts w:cstheme="majorBidi"/>
              </w:rPr>
            </w:pPr>
          </w:p>
        </w:tc>
        <w:tc>
          <w:tcPr>
            <w:tcW w:w="810" w:type="dxa"/>
          </w:tcPr>
          <w:p w:rsidR="005A2028" w:rsidRPr="00884BDD" w:rsidRDefault="005A2028" w:rsidP="0089242F">
            <w:pPr>
              <w:rPr>
                <w:rFonts w:cstheme="majorBidi"/>
              </w:rPr>
            </w:pPr>
            <w:r w:rsidRPr="00884BDD">
              <w:rPr>
                <w:rFonts w:cstheme="majorBidi"/>
              </w:rPr>
              <w:t>4</w:t>
            </w:r>
          </w:p>
        </w:tc>
        <w:tc>
          <w:tcPr>
            <w:tcW w:w="1581" w:type="dxa"/>
          </w:tcPr>
          <w:p w:rsidR="005A2028" w:rsidRPr="00884BDD" w:rsidRDefault="005A2028" w:rsidP="0089242F">
            <w:pPr>
              <w:rPr>
                <w:rFonts w:cstheme="majorBidi"/>
              </w:rPr>
            </w:pPr>
            <w:r w:rsidRPr="00884BDD">
              <w:rPr>
                <w:rFonts w:cstheme="majorBidi"/>
              </w:rPr>
              <w:t>-2.70</w:t>
            </w:r>
          </w:p>
        </w:tc>
        <w:tc>
          <w:tcPr>
            <w:tcW w:w="1659" w:type="dxa"/>
          </w:tcPr>
          <w:p w:rsidR="005A2028" w:rsidRPr="00884BDD" w:rsidRDefault="005A2028" w:rsidP="0089242F">
            <w:pPr>
              <w:rPr>
                <w:rFonts w:cstheme="majorBidi"/>
              </w:rPr>
            </w:pPr>
            <w:r w:rsidRPr="00884BDD">
              <w:rPr>
                <w:rFonts w:cstheme="majorBidi"/>
              </w:rPr>
              <w:t>0.0424</w:t>
            </w:r>
          </w:p>
        </w:tc>
        <w:tc>
          <w:tcPr>
            <w:tcW w:w="1890" w:type="dxa"/>
          </w:tcPr>
          <w:p w:rsidR="005A2028" w:rsidRPr="00884BDD" w:rsidRDefault="005A2028" w:rsidP="0089242F">
            <w:pPr>
              <w:rPr>
                <w:rFonts w:cstheme="majorBidi"/>
              </w:rPr>
            </w:pPr>
            <w:r w:rsidRPr="00884BDD">
              <w:rPr>
                <w:rFonts w:cstheme="majorBidi"/>
              </w:rPr>
              <w:t>-3.96</w:t>
            </w:r>
          </w:p>
        </w:tc>
        <w:tc>
          <w:tcPr>
            <w:tcW w:w="1800" w:type="dxa"/>
          </w:tcPr>
          <w:p w:rsidR="005A2028" w:rsidRPr="00884BDD" w:rsidRDefault="005A2028" w:rsidP="0089242F">
            <w:pPr>
              <w:rPr>
                <w:rFonts w:cstheme="majorBidi"/>
              </w:rPr>
            </w:pPr>
            <w:r w:rsidRPr="00884BDD">
              <w:rPr>
                <w:rFonts w:cstheme="majorBidi"/>
              </w:rPr>
              <w:t>0.0035</w:t>
            </w:r>
          </w:p>
        </w:tc>
      </w:tr>
    </w:tbl>
    <w:p w:rsidR="005A2028" w:rsidRDefault="005A2028" w:rsidP="005A2028">
      <w:pPr>
        <w:pStyle w:val="MDPI31text"/>
      </w:pPr>
    </w:p>
    <w:p w:rsidR="005A2028" w:rsidRPr="00087269" w:rsidRDefault="005A2028" w:rsidP="005A2028">
      <w:pPr>
        <w:pStyle w:val="MDPI31text"/>
      </w:pPr>
      <w:r w:rsidRPr="00087269">
        <w:t>As the series were stationary at I(0), based on information criteria such as AIC, AICC, FPEC, HQC, and BIC (</w:t>
      </w:r>
      <w:r w:rsidRPr="00087269">
        <w:fldChar w:fldCharType="begin"/>
      </w:r>
      <w:r w:rsidRPr="00087269">
        <w:instrText xml:space="preserve"> REF _Ref129167140 \h  \* MERGEFORMAT </w:instrText>
      </w:r>
      <w:r w:rsidRPr="00087269">
        <w:fldChar w:fldCharType="separate"/>
      </w:r>
      <w:r w:rsidRPr="00087269">
        <w:t>Table 3</w:t>
      </w:r>
      <w:r w:rsidRPr="00087269">
        <w:fldChar w:fldCharType="end"/>
      </w:r>
      <w:r w:rsidRPr="00087269">
        <w:t xml:space="preserve">), a two-variable VAR(3) was conducted to systematically capture the dynamics in the two time series, inflation and GDP growth. </w:t>
      </w:r>
    </w:p>
    <w:p w:rsidR="005A2028" w:rsidRDefault="005A2028" w:rsidP="005A2028">
      <w:pPr>
        <w:pStyle w:val="MDPI31text"/>
      </w:pPr>
    </w:p>
    <w:p w:rsidR="005A2028" w:rsidRPr="00884BDD" w:rsidRDefault="005A2028" w:rsidP="005A2028">
      <w:pPr>
        <w:spacing w:line="240" w:lineRule="auto"/>
        <w:ind w:left="540"/>
        <w:rPr>
          <w:rFonts w:eastAsia="Calibri"/>
          <w:i/>
          <w:iCs/>
          <w:sz w:val="18"/>
          <w:szCs w:val="18"/>
        </w:rPr>
      </w:pPr>
      <w:bookmarkStart w:id="4" w:name="_Ref129167140"/>
      <w:r w:rsidRPr="00884BDD">
        <w:rPr>
          <w:rFonts w:eastAsia="Calibri"/>
          <w:b/>
          <w:bCs/>
          <w:i/>
          <w:iCs/>
          <w:sz w:val="18"/>
          <w:szCs w:val="18"/>
        </w:rPr>
        <w:t xml:space="preserve">Table </w:t>
      </w:r>
      <w:r>
        <w:rPr>
          <w:rFonts w:eastAsia="Calibri"/>
          <w:b/>
          <w:bCs/>
          <w:i/>
          <w:iCs/>
          <w:sz w:val="18"/>
          <w:szCs w:val="18"/>
        </w:rPr>
        <w:t>4</w:t>
      </w:r>
      <w:r w:rsidRPr="00884BDD">
        <w:rPr>
          <w:rFonts w:eastAsia="Calibri"/>
          <w:b/>
          <w:bCs/>
          <w:i/>
          <w:iCs/>
          <w:sz w:val="18"/>
          <w:szCs w:val="18"/>
        </w:rPr>
        <w:t>.</w:t>
      </w:r>
      <w:r w:rsidRPr="00884BDD">
        <w:rPr>
          <w:rFonts w:eastAsia="Calibri"/>
          <w:i/>
          <w:iCs/>
          <w:sz w:val="18"/>
          <w:szCs w:val="18"/>
        </w:rPr>
        <w:t xml:space="preserve"> Information criteria to determine the optimum lag k for the VAR</w:t>
      </w:r>
      <w:bookmarkEnd w:id="4"/>
    </w:p>
    <w:tbl>
      <w:tblPr>
        <w:tblStyle w:val="MDPI41threelinetable"/>
        <w:tblW w:w="4515" w:type="pct"/>
        <w:tblLook w:val="04A0" w:firstRow="1" w:lastRow="0" w:firstColumn="1" w:lastColumn="0" w:noHBand="0" w:noVBand="1"/>
      </w:tblPr>
      <w:tblGrid>
        <w:gridCol w:w="1786"/>
        <w:gridCol w:w="1786"/>
        <w:gridCol w:w="1791"/>
        <w:gridCol w:w="1791"/>
        <w:gridCol w:w="1791"/>
        <w:gridCol w:w="766"/>
      </w:tblGrid>
      <w:tr w:rsidR="005A2028" w:rsidRPr="00884BDD" w:rsidTr="0089242F">
        <w:trPr>
          <w:cnfStyle w:val="100000000000" w:firstRow="1" w:lastRow="0" w:firstColumn="0" w:lastColumn="0" w:oddVBand="0" w:evenVBand="0" w:oddHBand="0" w:evenHBand="0" w:firstRowFirstColumn="0" w:firstRowLastColumn="0" w:lastRowFirstColumn="0" w:lastRowLastColumn="0"/>
        </w:trPr>
        <w:tc>
          <w:tcPr>
            <w:tcW w:w="922" w:type="pct"/>
          </w:tcPr>
          <w:p w:rsidR="005A2028" w:rsidRPr="00884BDD" w:rsidRDefault="005A2028" w:rsidP="0089242F">
            <w:pPr>
              <w:spacing w:after="160" w:line="259" w:lineRule="auto"/>
              <w:jc w:val="left"/>
              <w:rPr>
                <w:color w:val="auto"/>
              </w:rPr>
            </w:pPr>
          </w:p>
        </w:tc>
        <w:tc>
          <w:tcPr>
            <w:tcW w:w="922" w:type="pct"/>
          </w:tcPr>
          <w:p w:rsidR="005A2028" w:rsidRPr="00884BDD" w:rsidRDefault="005A2028" w:rsidP="0089242F">
            <w:pPr>
              <w:spacing w:after="160" w:line="259" w:lineRule="auto"/>
              <w:rPr>
                <w:color w:val="auto"/>
              </w:rPr>
            </w:pPr>
            <w:r w:rsidRPr="00884BDD">
              <w:rPr>
                <w:i/>
                <w:iCs/>
                <w:color w:val="auto"/>
              </w:rPr>
              <w:t xml:space="preserve">k </w:t>
            </w:r>
            <w:r w:rsidRPr="00884BDD">
              <w:rPr>
                <w:color w:val="auto"/>
              </w:rPr>
              <w:t>= 1</w:t>
            </w:r>
          </w:p>
        </w:tc>
        <w:tc>
          <w:tcPr>
            <w:tcW w:w="924" w:type="pct"/>
          </w:tcPr>
          <w:p w:rsidR="005A2028" w:rsidRPr="00884BDD" w:rsidRDefault="005A2028" w:rsidP="0089242F">
            <w:pPr>
              <w:spacing w:after="160" w:line="259" w:lineRule="auto"/>
              <w:rPr>
                <w:color w:val="auto"/>
              </w:rPr>
            </w:pPr>
            <w:r w:rsidRPr="00884BDD">
              <w:rPr>
                <w:i/>
                <w:iCs/>
                <w:color w:val="auto"/>
              </w:rPr>
              <w:t xml:space="preserve">k </w:t>
            </w:r>
            <w:r w:rsidRPr="00884BDD">
              <w:rPr>
                <w:color w:val="auto"/>
              </w:rPr>
              <w:t>= 2</w:t>
            </w:r>
          </w:p>
        </w:tc>
        <w:tc>
          <w:tcPr>
            <w:tcW w:w="924" w:type="pct"/>
          </w:tcPr>
          <w:p w:rsidR="005A2028" w:rsidRPr="00884BDD" w:rsidRDefault="005A2028" w:rsidP="0089242F">
            <w:pPr>
              <w:spacing w:after="160" w:line="259" w:lineRule="auto"/>
              <w:rPr>
                <w:color w:val="auto"/>
              </w:rPr>
            </w:pPr>
            <w:r w:rsidRPr="00884BDD">
              <w:rPr>
                <w:i/>
                <w:iCs/>
                <w:color w:val="auto"/>
              </w:rPr>
              <w:t xml:space="preserve">k </w:t>
            </w:r>
            <w:r w:rsidRPr="00884BDD">
              <w:rPr>
                <w:color w:val="auto"/>
              </w:rPr>
              <w:t>= 3</w:t>
            </w:r>
          </w:p>
        </w:tc>
        <w:tc>
          <w:tcPr>
            <w:tcW w:w="924" w:type="pct"/>
          </w:tcPr>
          <w:p w:rsidR="005A2028" w:rsidRPr="00884BDD" w:rsidRDefault="005A2028" w:rsidP="0089242F">
            <w:pPr>
              <w:spacing w:after="160" w:line="259" w:lineRule="auto"/>
              <w:rPr>
                <w:color w:val="auto"/>
              </w:rPr>
            </w:pPr>
            <w:r w:rsidRPr="00884BDD">
              <w:rPr>
                <w:i/>
                <w:iCs/>
                <w:color w:val="auto"/>
              </w:rPr>
              <w:t xml:space="preserve">k </w:t>
            </w:r>
            <w:r w:rsidRPr="00884BDD">
              <w:rPr>
                <w:color w:val="auto"/>
              </w:rPr>
              <w:t>= 4</w:t>
            </w:r>
          </w:p>
        </w:tc>
        <w:tc>
          <w:tcPr>
            <w:tcW w:w="384" w:type="pct"/>
          </w:tcPr>
          <w:p w:rsidR="005A2028" w:rsidRPr="00884BDD" w:rsidRDefault="005A2028" w:rsidP="0089242F">
            <w:pPr>
              <w:spacing w:after="160" w:line="259" w:lineRule="auto"/>
              <w:rPr>
                <w:color w:val="auto"/>
              </w:rPr>
            </w:pPr>
            <w:r w:rsidRPr="00884BDD">
              <w:rPr>
                <w:i/>
                <w:iCs/>
                <w:color w:val="auto"/>
              </w:rPr>
              <w:t xml:space="preserve">k </w:t>
            </w:r>
            <w:r w:rsidRPr="00884BDD">
              <w:rPr>
                <w:color w:val="auto"/>
              </w:rPr>
              <w:t>= 5</w:t>
            </w:r>
          </w:p>
        </w:tc>
      </w:tr>
      <w:tr w:rsidR="005A2028" w:rsidRPr="00884BDD" w:rsidTr="0089242F">
        <w:tc>
          <w:tcPr>
            <w:tcW w:w="922" w:type="pct"/>
          </w:tcPr>
          <w:p w:rsidR="005A2028" w:rsidRPr="00884BDD" w:rsidRDefault="005A2028" w:rsidP="0089242F">
            <w:pPr>
              <w:spacing w:after="160" w:line="259" w:lineRule="auto"/>
              <w:rPr>
                <w:color w:val="auto"/>
              </w:rPr>
            </w:pPr>
            <w:r w:rsidRPr="00884BDD">
              <w:rPr>
                <w:color w:val="auto"/>
              </w:rPr>
              <w:t>AICC</w:t>
            </w:r>
          </w:p>
        </w:tc>
        <w:tc>
          <w:tcPr>
            <w:tcW w:w="922" w:type="pct"/>
          </w:tcPr>
          <w:p w:rsidR="005A2028" w:rsidRPr="00884BDD" w:rsidRDefault="005A2028" w:rsidP="0089242F">
            <w:pPr>
              <w:spacing w:after="160" w:line="259" w:lineRule="auto"/>
              <w:rPr>
                <w:color w:val="auto"/>
              </w:rPr>
            </w:pPr>
            <w:r w:rsidRPr="00884BDD">
              <w:rPr>
                <w:color w:val="auto"/>
              </w:rPr>
              <w:t>367.12</w:t>
            </w:r>
          </w:p>
        </w:tc>
        <w:tc>
          <w:tcPr>
            <w:tcW w:w="924" w:type="pct"/>
          </w:tcPr>
          <w:p w:rsidR="005A2028" w:rsidRPr="00884BDD" w:rsidRDefault="005A2028" w:rsidP="0089242F">
            <w:pPr>
              <w:spacing w:after="160" w:line="259" w:lineRule="auto"/>
              <w:rPr>
                <w:color w:val="auto"/>
              </w:rPr>
            </w:pPr>
            <w:r w:rsidRPr="00884BDD">
              <w:rPr>
                <w:color w:val="auto"/>
              </w:rPr>
              <w:t>366.63</w:t>
            </w:r>
          </w:p>
        </w:tc>
        <w:tc>
          <w:tcPr>
            <w:tcW w:w="924" w:type="pct"/>
          </w:tcPr>
          <w:p w:rsidR="005A2028" w:rsidRPr="00884BDD" w:rsidRDefault="005A2028" w:rsidP="0089242F">
            <w:pPr>
              <w:spacing w:after="160" w:line="259" w:lineRule="auto"/>
              <w:rPr>
                <w:color w:val="auto"/>
              </w:rPr>
            </w:pPr>
            <w:r w:rsidRPr="00884BDD">
              <w:rPr>
                <w:color w:val="auto"/>
              </w:rPr>
              <w:t>361.21</w:t>
            </w:r>
          </w:p>
        </w:tc>
        <w:tc>
          <w:tcPr>
            <w:tcW w:w="924" w:type="pct"/>
          </w:tcPr>
          <w:p w:rsidR="005A2028" w:rsidRPr="00884BDD" w:rsidRDefault="005A2028" w:rsidP="0089242F">
            <w:pPr>
              <w:spacing w:after="160" w:line="259" w:lineRule="auto"/>
              <w:rPr>
                <w:color w:val="auto"/>
              </w:rPr>
            </w:pPr>
            <w:r w:rsidRPr="00884BDD">
              <w:rPr>
                <w:color w:val="auto"/>
              </w:rPr>
              <w:t>380.97</w:t>
            </w:r>
          </w:p>
        </w:tc>
        <w:tc>
          <w:tcPr>
            <w:tcW w:w="384" w:type="pct"/>
          </w:tcPr>
          <w:p w:rsidR="005A2028" w:rsidRPr="00884BDD" w:rsidRDefault="005A2028" w:rsidP="0089242F">
            <w:pPr>
              <w:spacing w:after="160" w:line="259" w:lineRule="auto"/>
              <w:rPr>
                <w:color w:val="auto"/>
              </w:rPr>
            </w:pPr>
            <w:r w:rsidRPr="00884BDD">
              <w:rPr>
                <w:color w:val="auto"/>
              </w:rPr>
              <w:t>421.51</w:t>
            </w:r>
          </w:p>
        </w:tc>
      </w:tr>
      <w:tr w:rsidR="005A2028" w:rsidRPr="00884BDD" w:rsidTr="0089242F">
        <w:tc>
          <w:tcPr>
            <w:tcW w:w="922" w:type="pct"/>
          </w:tcPr>
          <w:p w:rsidR="005A2028" w:rsidRPr="00884BDD" w:rsidRDefault="005A2028" w:rsidP="0089242F">
            <w:pPr>
              <w:spacing w:after="160" w:line="259" w:lineRule="auto"/>
              <w:rPr>
                <w:color w:val="auto"/>
              </w:rPr>
            </w:pPr>
            <w:r w:rsidRPr="00884BDD">
              <w:rPr>
                <w:color w:val="auto"/>
              </w:rPr>
              <w:t>HQC</w:t>
            </w:r>
          </w:p>
        </w:tc>
        <w:tc>
          <w:tcPr>
            <w:tcW w:w="922" w:type="pct"/>
          </w:tcPr>
          <w:p w:rsidR="005A2028" w:rsidRPr="00884BDD" w:rsidRDefault="005A2028" w:rsidP="0089242F">
            <w:pPr>
              <w:spacing w:after="160" w:line="259" w:lineRule="auto"/>
              <w:rPr>
                <w:color w:val="auto"/>
              </w:rPr>
            </w:pPr>
            <w:r w:rsidRPr="00884BDD">
              <w:rPr>
                <w:color w:val="auto"/>
              </w:rPr>
              <w:t>367.78</w:t>
            </w:r>
          </w:p>
        </w:tc>
        <w:tc>
          <w:tcPr>
            <w:tcW w:w="924" w:type="pct"/>
          </w:tcPr>
          <w:p w:rsidR="005A2028" w:rsidRPr="00884BDD" w:rsidRDefault="005A2028" w:rsidP="0089242F">
            <w:pPr>
              <w:spacing w:after="160" w:line="259" w:lineRule="auto"/>
              <w:rPr>
                <w:color w:val="auto"/>
              </w:rPr>
            </w:pPr>
            <w:r w:rsidRPr="00884BDD">
              <w:rPr>
                <w:color w:val="auto"/>
              </w:rPr>
              <w:t>362.52</w:t>
            </w:r>
          </w:p>
        </w:tc>
        <w:tc>
          <w:tcPr>
            <w:tcW w:w="924" w:type="pct"/>
          </w:tcPr>
          <w:p w:rsidR="005A2028" w:rsidRPr="00884BDD" w:rsidRDefault="005A2028" w:rsidP="0089242F">
            <w:pPr>
              <w:spacing w:after="160" w:line="259" w:lineRule="auto"/>
              <w:rPr>
                <w:color w:val="auto"/>
              </w:rPr>
            </w:pPr>
            <w:r w:rsidRPr="00884BDD">
              <w:rPr>
                <w:color w:val="auto"/>
              </w:rPr>
              <w:t>346.54</w:t>
            </w:r>
          </w:p>
        </w:tc>
        <w:tc>
          <w:tcPr>
            <w:tcW w:w="924" w:type="pct"/>
          </w:tcPr>
          <w:p w:rsidR="005A2028" w:rsidRPr="00884BDD" w:rsidRDefault="005A2028" w:rsidP="0089242F">
            <w:pPr>
              <w:spacing w:after="160" w:line="259" w:lineRule="auto"/>
              <w:rPr>
                <w:color w:val="auto"/>
              </w:rPr>
            </w:pPr>
            <w:r w:rsidRPr="00884BDD">
              <w:rPr>
                <w:color w:val="auto"/>
              </w:rPr>
              <w:t>345.44</w:t>
            </w:r>
          </w:p>
        </w:tc>
        <w:tc>
          <w:tcPr>
            <w:tcW w:w="384" w:type="pct"/>
          </w:tcPr>
          <w:p w:rsidR="005A2028" w:rsidRPr="00884BDD" w:rsidRDefault="005A2028" w:rsidP="0089242F">
            <w:pPr>
              <w:spacing w:after="160" w:line="259" w:lineRule="auto"/>
              <w:rPr>
                <w:color w:val="auto"/>
              </w:rPr>
            </w:pPr>
            <w:r w:rsidRPr="00884BDD">
              <w:rPr>
                <w:color w:val="auto"/>
              </w:rPr>
              <w:t>434.92</w:t>
            </w:r>
          </w:p>
        </w:tc>
      </w:tr>
      <w:tr w:rsidR="005A2028" w:rsidRPr="00884BDD" w:rsidTr="0089242F">
        <w:tc>
          <w:tcPr>
            <w:tcW w:w="922" w:type="pct"/>
          </w:tcPr>
          <w:p w:rsidR="005A2028" w:rsidRPr="00884BDD" w:rsidRDefault="005A2028" w:rsidP="0089242F">
            <w:pPr>
              <w:spacing w:after="160" w:line="259" w:lineRule="auto"/>
              <w:rPr>
                <w:color w:val="auto"/>
              </w:rPr>
            </w:pPr>
            <w:r w:rsidRPr="00884BDD">
              <w:rPr>
                <w:color w:val="auto"/>
              </w:rPr>
              <w:t>AIC</w:t>
            </w:r>
          </w:p>
        </w:tc>
        <w:tc>
          <w:tcPr>
            <w:tcW w:w="922" w:type="pct"/>
          </w:tcPr>
          <w:p w:rsidR="005A2028" w:rsidRPr="00884BDD" w:rsidRDefault="005A2028" w:rsidP="0089242F">
            <w:pPr>
              <w:spacing w:after="160" w:line="259" w:lineRule="auto"/>
              <w:rPr>
                <w:color w:val="auto"/>
              </w:rPr>
            </w:pPr>
            <w:r w:rsidRPr="00884BDD">
              <w:rPr>
                <w:color w:val="auto"/>
              </w:rPr>
              <w:t>361.83</w:t>
            </w:r>
          </w:p>
        </w:tc>
        <w:tc>
          <w:tcPr>
            <w:tcW w:w="924" w:type="pct"/>
          </w:tcPr>
          <w:p w:rsidR="005A2028" w:rsidRPr="00884BDD" w:rsidRDefault="005A2028" w:rsidP="0089242F">
            <w:pPr>
              <w:spacing w:after="160" w:line="259" w:lineRule="auto"/>
              <w:rPr>
                <w:color w:val="auto"/>
              </w:rPr>
            </w:pPr>
            <w:r w:rsidRPr="00884BDD">
              <w:rPr>
                <w:color w:val="auto"/>
              </w:rPr>
              <w:t>354.08</w:t>
            </w:r>
          </w:p>
        </w:tc>
        <w:tc>
          <w:tcPr>
            <w:tcW w:w="924" w:type="pct"/>
          </w:tcPr>
          <w:p w:rsidR="005A2028" w:rsidRPr="00884BDD" w:rsidRDefault="005A2028" w:rsidP="0089242F">
            <w:pPr>
              <w:spacing w:after="160" w:line="259" w:lineRule="auto"/>
              <w:rPr>
                <w:color w:val="auto"/>
              </w:rPr>
            </w:pPr>
            <w:r w:rsidRPr="00884BDD">
              <w:rPr>
                <w:color w:val="auto"/>
              </w:rPr>
              <w:t>328.65</w:t>
            </w:r>
          </w:p>
        </w:tc>
        <w:tc>
          <w:tcPr>
            <w:tcW w:w="924" w:type="pct"/>
          </w:tcPr>
          <w:p w:rsidR="005A2028" w:rsidRPr="00884BDD" w:rsidRDefault="005A2028" w:rsidP="0089242F">
            <w:pPr>
              <w:spacing w:after="160" w:line="259" w:lineRule="auto"/>
              <w:rPr>
                <w:color w:val="auto"/>
              </w:rPr>
            </w:pPr>
            <w:r w:rsidRPr="00884BDD">
              <w:rPr>
                <w:color w:val="auto"/>
              </w:rPr>
              <w:t>332.34</w:t>
            </w:r>
          </w:p>
        </w:tc>
        <w:tc>
          <w:tcPr>
            <w:tcW w:w="384" w:type="pct"/>
          </w:tcPr>
          <w:p w:rsidR="005A2028" w:rsidRPr="00884BDD" w:rsidRDefault="005A2028" w:rsidP="0089242F">
            <w:pPr>
              <w:spacing w:after="160" w:line="259" w:lineRule="auto"/>
              <w:rPr>
                <w:color w:val="auto"/>
              </w:rPr>
            </w:pPr>
            <w:r w:rsidRPr="00884BDD">
              <w:rPr>
                <w:color w:val="auto"/>
              </w:rPr>
              <w:t>335.71</w:t>
            </w:r>
          </w:p>
        </w:tc>
      </w:tr>
      <w:tr w:rsidR="005A2028" w:rsidRPr="00884BDD" w:rsidTr="0089242F">
        <w:tc>
          <w:tcPr>
            <w:tcW w:w="922" w:type="pct"/>
          </w:tcPr>
          <w:p w:rsidR="005A2028" w:rsidRPr="00884BDD" w:rsidRDefault="005A2028" w:rsidP="0089242F">
            <w:pPr>
              <w:spacing w:after="160" w:line="259" w:lineRule="auto"/>
              <w:rPr>
                <w:color w:val="auto"/>
              </w:rPr>
            </w:pPr>
            <w:r w:rsidRPr="00884BDD">
              <w:rPr>
                <w:color w:val="auto"/>
              </w:rPr>
              <w:t>BIC</w:t>
            </w:r>
          </w:p>
        </w:tc>
        <w:tc>
          <w:tcPr>
            <w:tcW w:w="922" w:type="pct"/>
          </w:tcPr>
          <w:p w:rsidR="005A2028" w:rsidRPr="00884BDD" w:rsidRDefault="005A2028" w:rsidP="0089242F">
            <w:pPr>
              <w:spacing w:after="160" w:line="259" w:lineRule="auto"/>
              <w:rPr>
                <w:color w:val="auto"/>
              </w:rPr>
            </w:pPr>
            <w:r w:rsidRPr="00884BDD">
              <w:rPr>
                <w:color w:val="auto"/>
              </w:rPr>
              <w:t>377.89</w:t>
            </w:r>
          </w:p>
        </w:tc>
        <w:tc>
          <w:tcPr>
            <w:tcW w:w="924" w:type="pct"/>
          </w:tcPr>
          <w:p w:rsidR="005A2028" w:rsidRPr="00884BDD" w:rsidRDefault="005A2028" w:rsidP="0089242F">
            <w:pPr>
              <w:spacing w:after="160" w:line="259" w:lineRule="auto"/>
              <w:rPr>
                <w:color w:val="auto"/>
              </w:rPr>
            </w:pPr>
            <w:r w:rsidRPr="00884BDD">
              <w:rPr>
                <w:color w:val="auto"/>
              </w:rPr>
              <w:t>376.97</w:t>
            </w:r>
          </w:p>
        </w:tc>
        <w:tc>
          <w:tcPr>
            <w:tcW w:w="924" w:type="pct"/>
          </w:tcPr>
          <w:p w:rsidR="005A2028" w:rsidRPr="00884BDD" w:rsidRDefault="005A2028" w:rsidP="0089242F">
            <w:pPr>
              <w:spacing w:after="160" w:line="259" w:lineRule="auto"/>
              <w:rPr>
                <w:color w:val="auto"/>
              </w:rPr>
            </w:pPr>
            <w:r w:rsidRPr="00884BDD">
              <w:rPr>
                <w:color w:val="auto"/>
              </w:rPr>
              <w:t>365.25</w:t>
            </w:r>
          </w:p>
        </w:tc>
        <w:tc>
          <w:tcPr>
            <w:tcW w:w="924" w:type="pct"/>
          </w:tcPr>
          <w:p w:rsidR="005A2028" w:rsidRPr="00884BDD" w:rsidRDefault="005A2028" w:rsidP="0089242F">
            <w:pPr>
              <w:spacing w:after="160" w:line="259" w:lineRule="auto"/>
              <w:rPr>
                <w:color w:val="auto"/>
              </w:rPr>
            </w:pPr>
            <w:r w:rsidRPr="00884BDD">
              <w:rPr>
                <w:color w:val="auto"/>
              </w:rPr>
              <w:t>368.32</w:t>
            </w:r>
          </w:p>
        </w:tc>
        <w:tc>
          <w:tcPr>
            <w:tcW w:w="384" w:type="pct"/>
          </w:tcPr>
          <w:p w:rsidR="005A2028" w:rsidRPr="00884BDD" w:rsidRDefault="005A2028" w:rsidP="0089242F">
            <w:pPr>
              <w:spacing w:after="160" w:line="259" w:lineRule="auto"/>
              <w:rPr>
                <w:color w:val="auto"/>
              </w:rPr>
            </w:pPr>
            <w:r w:rsidRPr="00884BDD">
              <w:rPr>
                <w:color w:val="auto"/>
              </w:rPr>
              <w:t>370.88</w:t>
            </w:r>
          </w:p>
        </w:tc>
      </w:tr>
      <w:tr w:rsidR="005A2028" w:rsidRPr="00884BDD" w:rsidTr="0089242F">
        <w:tc>
          <w:tcPr>
            <w:tcW w:w="922" w:type="pct"/>
          </w:tcPr>
          <w:p w:rsidR="005A2028" w:rsidRPr="00884BDD" w:rsidRDefault="005A2028" w:rsidP="0089242F">
            <w:pPr>
              <w:spacing w:after="160" w:line="259" w:lineRule="auto"/>
              <w:rPr>
                <w:color w:val="auto"/>
              </w:rPr>
            </w:pPr>
            <w:r w:rsidRPr="00884BDD">
              <w:rPr>
                <w:color w:val="auto"/>
              </w:rPr>
              <w:t>FPEC</w:t>
            </w:r>
          </w:p>
        </w:tc>
        <w:tc>
          <w:tcPr>
            <w:tcW w:w="922" w:type="pct"/>
          </w:tcPr>
          <w:p w:rsidR="005A2028" w:rsidRPr="00884BDD" w:rsidRDefault="005A2028" w:rsidP="0089242F">
            <w:pPr>
              <w:spacing w:after="160" w:line="259" w:lineRule="auto"/>
              <w:rPr>
                <w:color w:val="auto"/>
              </w:rPr>
            </w:pPr>
            <w:r w:rsidRPr="00884BDD">
              <w:rPr>
                <w:color w:val="auto"/>
              </w:rPr>
              <w:t>440.30</w:t>
            </w:r>
          </w:p>
        </w:tc>
        <w:tc>
          <w:tcPr>
            <w:tcW w:w="924" w:type="pct"/>
          </w:tcPr>
          <w:p w:rsidR="005A2028" w:rsidRPr="00884BDD" w:rsidRDefault="005A2028" w:rsidP="0089242F">
            <w:pPr>
              <w:spacing w:after="160" w:line="259" w:lineRule="auto"/>
              <w:rPr>
                <w:color w:val="auto"/>
              </w:rPr>
            </w:pPr>
            <w:r w:rsidRPr="00884BDD">
              <w:rPr>
                <w:color w:val="auto"/>
              </w:rPr>
              <w:t>444.50</w:t>
            </w:r>
          </w:p>
        </w:tc>
        <w:tc>
          <w:tcPr>
            <w:tcW w:w="924" w:type="pct"/>
          </w:tcPr>
          <w:p w:rsidR="005A2028" w:rsidRPr="00884BDD" w:rsidRDefault="005A2028" w:rsidP="0089242F">
            <w:pPr>
              <w:spacing w:after="160" w:line="259" w:lineRule="auto"/>
              <w:rPr>
                <w:color w:val="auto"/>
              </w:rPr>
            </w:pPr>
            <w:r w:rsidRPr="00884BDD">
              <w:rPr>
                <w:color w:val="auto"/>
              </w:rPr>
              <w:t>349.54</w:t>
            </w:r>
          </w:p>
        </w:tc>
        <w:tc>
          <w:tcPr>
            <w:tcW w:w="924" w:type="pct"/>
          </w:tcPr>
          <w:p w:rsidR="005A2028" w:rsidRPr="00884BDD" w:rsidRDefault="005A2028" w:rsidP="0089242F">
            <w:pPr>
              <w:spacing w:after="160" w:line="259" w:lineRule="auto"/>
              <w:rPr>
                <w:color w:val="auto"/>
              </w:rPr>
            </w:pPr>
            <w:r w:rsidRPr="00884BDD">
              <w:rPr>
                <w:color w:val="auto"/>
              </w:rPr>
              <w:t>393.08</w:t>
            </w:r>
          </w:p>
        </w:tc>
        <w:tc>
          <w:tcPr>
            <w:tcW w:w="384" w:type="pct"/>
          </w:tcPr>
          <w:p w:rsidR="005A2028" w:rsidRPr="00884BDD" w:rsidRDefault="005A2028" w:rsidP="0089242F">
            <w:pPr>
              <w:spacing w:after="160" w:line="259" w:lineRule="auto"/>
              <w:rPr>
                <w:color w:val="auto"/>
              </w:rPr>
            </w:pPr>
            <w:r w:rsidRPr="00884BDD">
              <w:rPr>
                <w:color w:val="auto"/>
              </w:rPr>
              <w:t>443.82</w:t>
            </w:r>
          </w:p>
        </w:tc>
      </w:tr>
    </w:tbl>
    <w:p w:rsidR="005A2028" w:rsidRPr="00884BDD" w:rsidRDefault="005A2028" w:rsidP="005A2028">
      <w:pPr>
        <w:spacing w:line="240" w:lineRule="auto"/>
        <w:ind w:left="540"/>
        <w:rPr>
          <w:rFonts w:eastAsia="Calibri"/>
          <w:i/>
          <w:iCs/>
          <w:sz w:val="18"/>
          <w:szCs w:val="18"/>
        </w:rPr>
      </w:pPr>
      <w:r w:rsidRPr="00884BDD">
        <w:rPr>
          <w:rFonts w:eastAsia="Calibri"/>
          <w:i/>
          <w:iCs/>
          <w:sz w:val="18"/>
          <w:szCs w:val="18"/>
        </w:rPr>
        <w:t xml:space="preserve">Note. Bold text indicated smallest number for the information criteria. Optimum lag k = 3 was selected as the model had the smallest information criteria based on AICC, AIC, BIC, and FPEC.  </w:t>
      </w:r>
    </w:p>
    <w:p w:rsidR="005A2028" w:rsidRDefault="005A2028" w:rsidP="005A2028">
      <w:pPr>
        <w:pStyle w:val="MDPI31text"/>
      </w:pPr>
    </w:p>
    <w:p w:rsidR="005A2028" w:rsidRDefault="005A2028" w:rsidP="005A2028">
      <w:pPr>
        <w:pStyle w:val="MDPI31text"/>
      </w:pPr>
      <w:r w:rsidRPr="00087269">
        <w:t>According to the parameter estimates of the VAR(3) (</w:t>
      </w:r>
      <w:r w:rsidRPr="00087269">
        <w:fldChar w:fldCharType="begin"/>
      </w:r>
      <w:r w:rsidRPr="00087269">
        <w:instrText xml:space="preserve"> REF _Ref129167211 \h  \* MERGEFORMAT </w:instrText>
      </w:r>
      <w:r w:rsidRPr="00087269">
        <w:fldChar w:fldCharType="separate"/>
      </w:r>
      <w:r w:rsidRPr="00087269">
        <w:t>Table 4.</w:t>
      </w:r>
      <w:r w:rsidRPr="00087269">
        <w:fldChar w:fldCharType="end"/>
      </w:r>
      <w:r w:rsidRPr="00087269">
        <w:t>), the two univariate regression equations systematically capturing the dynamics in inflation and economic growth can be written as:</w:t>
      </w:r>
    </w:p>
    <w:p w:rsidR="005A2028" w:rsidRPr="00087269" w:rsidRDefault="005A2028" w:rsidP="005A2028">
      <w:pPr>
        <w:pStyle w:val="MDPI31text"/>
      </w:pPr>
    </w:p>
    <w:p w:rsidR="005A2028" w:rsidRDefault="005A2028" w:rsidP="005A2028">
      <w:pPr>
        <w:pStyle w:val="MDPI31text"/>
      </w:pPr>
      <w:proofErr w:type="spellStart"/>
      <w:r w:rsidRPr="00087269">
        <w:lastRenderedPageBreak/>
        <w:t>GDP</w:t>
      </w:r>
      <w:r w:rsidRPr="00087269">
        <w:rPr>
          <w:vertAlign w:val="subscript"/>
        </w:rPr>
        <w:t>t</w:t>
      </w:r>
      <w:proofErr w:type="spellEnd"/>
      <w:r w:rsidRPr="00087269">
        <w:t xml:space="preserve"> = 0.8411 + 0.2452*GDP</w:t>
      </w:r>
      <w:r w:rsidRPr="00087269">
        <w:rPr>
          <w:vertAlign w:val="subscript"/>
        </w:rPr>
        <w:t xml:space="preserve">t-1 </w:t>
      </w:r>
      <w:r w:rsidRPr="00087269">
        <w:t>– 0.0184*Inflation</w:t>
      </w:r>
      <w:r w:rsidRPr="00087269">
        <w:rPr>
          <w:vertAlign w:val="subscript"/>
        </w:rPr>
        <w:t xml:space="preserve">t-1 </w:t>
      </w:r>
      <w:r w:rsidRPr="00087269">
        <w:t>+ 0.3449*GDP</w:t>
      </w:r>
      <w:r w:rsidRPr="00087269">
        <w:rPr>
          <w:vertAlign w:val="subscript"/>
        </w:rPr>
        <w:t xml:space="preserve">t-2 </w:t>
      </w:r>
      <w:r w:rsidRPr="00087269">
        <w:t>+ 0.2463*Inflation</w:t>
      </w:r>
      <w:r w:rsidRPr="00087269">
        <w:rPr>
          <w:vertAlign w:val="subscript"/>
        </w:rPr>
        <w:t xml:space="preserve">t-2 </w:t>
      </w:r>
      <w:r w:rsidRPr="00087269">
        <w:t>– 0.2112*GDP</w:t>
      </w:r>
      <w:r w:rsidRPr="00087269">
        <w:rPr>
          <w:vertAlign w:val="subscript"/>
        </w:rPr>
        <w:t xml:space="preserve">t-3 </w:t>
      </w:r>
      <w:r w:rsidRPr="00087269">
        <w:t>+ 0.0548*Inflation</w:t>
      </w:r>
      <w:r w:rsidRPr="00087269">
        <w:rPr>
          <w:vertAlign w:val="subscript"/>
        </w:rPr>
        <w:t xml:space="preserve">t-3 </w:t>
      </w:r>
      <w:r w:rsidRPr="00087269">
        <w:t xml:space="preserve">+ </w:t>
      </w:r>
      <m:oMath>
        <m:sSubSup>
          <m:sSubSupPr>
            <m:ctrlPr>
              <w:rPr>
                <w:rFonts w:ascii="Cambria Math" w:hAnsi="Cambria Math"/>
                <w:i/>
              </w:rPr>
            </m:ctrlPr>
          </m:sSubSupPr>
          <m:e>
            <m:r>
              <w:rPr>
                <w:rFonts w:ascii="Cambria Math" w:hAnsi="Cambria Math"/>
              </w:rPr>
              <m:t>v</m:t>
            </m:r>
          </m:e>
          <m:sub>
            <m:r>
              <w:rPr>
                <w:rFonts w:ascii="Cambria Math" w:hAnsi="Cambria Math"/>
              </w:rPr>
              <m:t>t</m:t>
            </m:r>
          </m:sub>
          <m:sup>
            <m:r>
              <m:rPr>
                <m:sty m:val="p"/>
              </m:rPr>
              <w:rPr>
                <w:rFonts w:ascii="Cambria Math" w:hAnsi="Cambria Math"/>
              </w:rPr>
              <m:t>GDP</m:t>
            </m:r>
          </m:sup>
        </m:sSubSup>
      </m:oMath>
      <w:r w:rsidRPr="00087269">
        <w:t>,</w:t>
      </w:r>
    </w:p>
    <w:p w:rsidR="009E040D" w:rsidRPr="00087269" w:rsidRDefault="009E040D" w:rsidP="005A2028">
      <w:pPr>
        <w:pStyle w:val="MDPI31text"/>
      </w:pPr>
    </w:p>
    <w:p w:rsidR="005A2028" w:rsidRPr="00087269" w:rsidRDefault="005A2028" w:rsidP="005A2028">
      <w:pPr>
        <w:pStyle w:val="MDPI31text"/>
      </w:pPr>
      <w:proofErr w:type="spellStart"/>
      <w:r w:rsidRPr="00087269">
        <w:t>Inflation</w:t>
      </w:r>
      <w:r w:rsidRPr="00087269">
        <w:rPr>
          <w:vertAlign w:val="subscript"/>
        </w:rPr>
        <w:t>t</w:t>
      </w:r>
      <w:proofErr w:type="spellEnd"/>
      <w:r w:rsidRPr="00087269">
        <w:t xml:space="preserve"> = 2.3518 + 0.0794*GDP</w:t>
      </w:r>
      <w:r w:rsidRPr="00087269">
        <w:rPr>
          <w:vertAlign w:val="subscript"/>
        </w:rPr>
        <w:t xml:space="preserve">t-1 </w:t>
      </w:r>
      <w:r w:rsidRPr="00087269">
        <w:t>+ 0.5305*Inflation</w:t>
      </w:r>
      <w:r w:rsidRPr="00087269">
        <w:rPr>
          <w:vertAlign w:val="subscript"/>
        </w:rPr>
        <w:t xml:space="preserve">t-1 </w:t>
      </w:r>
      <w:r w:rsidRPr="00087269">
        <w:t>+ 0.410*GDP</w:t>
      </w:r>
      <w:r w:rsidRPr="00087269">
        <w:rPr>
          <w:vertAlign w:val="subscript"/>
        </w:rPr>
        <w:t xml:space="preserve">t-2 </w:t>
      </w:r>
      <w:r w:rsidRPr="00087269">
        <w:t>– 0.0506*Inflation</w:t>
      </w:r>
      <w:r w:rsidRPr="00087269">
        <w:rPr>
          <w:vertAlign w:val="subscript"/>
        </w:rPr>
        <w:t xml:space="preserve">t-2 </w:t>
      </w:r>
      <w:r w:rsidRPr="00087269">
        <w:t>+ 0.250*GDP</w:t>
      </w:r>
      <w:r w:rsidRPr="00087269">
        <w:rPr>
          <w:vertAlign w:val="subscript"/>
        </w:rPr>
        <w:t xml:space="preserve">t-3 </w:t>
      </w:r>
      <w:r w:rsidRPr="00087269">
        <w:t>– 0.1568*Inflation</w:t>
      </w:r>
      <w:r w:rsidRPr="00087269">
        <w:rPr>
          <w:vertAlign w:val="subscript"/>
        </w:rPr>
        <w:t xml:space="preserve">t-3 </w:t>
      </w:r>
      <w:r w:rsidRPr="00087269">
        <w:t>+</w:t>
      </w:r>
      <w:r w:rsidRPr="00087269">
        <w:rPr>
          <w:vertAlign w:val="subscript"/>
        </w:rPr>
        <w:t xml:space="preserve"> </w:t>
      </w:r>
      <m:oMath>
        <m:sSubSup>
          <m:sSubSupPr>
            <m:ctrlPr>
              <w:rPr>
                <w:rFonts w:ascii="Cambria Math" w:hAnsi="Cambria Math"/>
                <w:i/>
              </w:rPr>
            </m:ctrlPr>
          </m:sSubSupPr>
          <m:e>
            <m:r>
              <w:rPr>
                <w:rFonts w:ascii="Cambria Math" w:hAnsi="Cambria Math"/>
              </w:rPr>
              <m:t>v</m:t>
            </m:r>
          </m:e>
          <m:sub>
            <m:r>
              <w:rPr>
                <w:rFonts w:ascii="Cambria Math" w:hAnsi="Cambria Math"/>
              </w:rPr>
              <m:t>t</m:t>
            </m:r>
          </m:sub>
          <m:sup>
            <m:r>
              <m:rPr>
                <m:sty m:val="p"/>
              </m:rPr>
              <w:rPr>
                <w:rFonts w:ascii="Cambria Math" w:hAnsi="Cambria Math"/>
              </w:rPr>
              <m:t>Inflation</m:t>
            </m:r>
          </m:sup>
        </m:sSubSup>
      </m:oMath>
      <w:r w:rsidRPr="00087269">
        <w:t>.</w:t>
      </w:r>
    </w:p>
    <w:p w:rsidR="005A2028" w:rsidRDefault="005A2028" w:rsidP="005A2028">
      <w:pPr>
        <w:pStyle w:val="MDPI31text"/>
      </w:pPr>
    </w:p>
    <w:p w:rsidR="005A2028" w:rsidRPr="00296F8E" w:rsidRDefault="005A2028" w:rsidP="005A2028">
      <w:pPr>
        <w:pStyle w:val="MDPI31text"/>
      </w:pPr>
      <w:r w:rsidRPr="00296F8E">
        <w:t xml:space="preserve">It appeared that current GDP growth was statistically significantly positively associated with lagged 2 GDP growth (β = 0.3449, p = 0.0270), and not associated with other lagged GDP growth and any lagged inflation. </w:t>
      </w:r>
    </w:p>
    <w:p w:rsidR="005A2028" w:rsidRPr="00296F8E" w:rsidRDefault="005A2028" w:rsidP="005A2028">
      <w:pPr>
        <w:pStyle w:val="MDPI31text"/>
      </w:pPr>
    </w:p>
    <w:p w:rsidR="005A2028" w:rsidRPr="00296F8E" w:rsidRDefault="005A2028" w:rsidP="005A2028">
      <w:pPr>
        <w:pStyle w:val="MDPI31text"/>
      </w:pPr>
      <w:r w:rsidRPr="00296F8E">
        <w:t xml:space="preserve">It appeared that current inflation was statistically significantly positively associated with lagged 1 inflation (β = 0.5305, p = 0.0027), and not associated with other lagged inflation and any GDP growth. </w:t>
      </w:r>
    </w:p>
    <w:p w:rsidR="005A2028" w:rsidRDefault="005A2028" w:rsidP="005A2028">
      <w:pPr>
        <w:pStyle w:val="MDPI31text"/>
      </w:pPr>
    </w:p>
    <w:p w:rsidR="005A2028" w:rsidRPr="00A30235" w:rsidRDefault="005A2028" w:rsidP="005A2028">
      <w:pPr>
        <w:spacing w:line="240" w:lineRule="auto"/>
        <w:rPr>
          <w:rFonts w:eastAsia="Calibri"/>
          <w:i/>
          <w:iCs/>
          <w:sz w:val="18"/>
          <w:szCs w:val="18"/>
        </w:rPr>
      </w:pPr>
      <w:bookmarkStart w:id="5" w:name="_Ref129167211"/>
      <w:r>
        <w:rPr>
          <w:rFonts w:eastAsia="Calibri"/>
          <w:b/>
          <w:bCs/>
          <w:i/>
          <w:iCs/>
          <w:sz w:val="18"/>
          <w:szCs w:val="18"/>
        </w:rPr>
        <w:t xml:space="preserve">    </w:t>
      </w:r>
      <w:r w:rsidRPr="00A30235">
        <w:rPr>
          <w:rFonts w:eastAsia="Calibri"/>
          <w:b/>
          <w:bCs/>
          <w:i/>
          <w:iCs/>
          <w:sz w:val="18"/>
          <w:szCs w:val="18"/>
        </w:rPr>
        <w:t xml:space="preserve">Table </w:t>
      </w:r>
      <w:r>
        <w:rPr>
          <w:rFonts w:eastAsia="Calibri"/>
          <w:b/>
          <w:bCs/>
          <w:i/>
          <w:iCs/>
          <w:sz w:val="18"/>
          <w:szCs w:val="18"/>
        </w:rPr>
        <w:t>5</w:t>
      </w:r>
      <w:r w:rsidRPr="00A30235">
        <w:rPr>
          <w:rFonts w:eastAsia="Calibri"/>
          <w:b/>
          <w:bCs/>
          <w:i/>
          <w:iCs/>
          <w:sz w:val="18"/>
          <w:szCs w:val="18"/>
        </w:rPr>
        <w:t>.</w:t>
      </w:r>
      <w:r w:rsidRPr="00A30235">
        <w:rPr>
          <w:rFonts w:eastAsia="Calibri"/>
          <w:i/>
          <w:iCs/>
          <w:sz w:val="18"/>
          <w:szCs w:val="18"/>
        </w:rPr>
        <w:t xml:space="preserve"> Parameter estimates of VAR (3)</w:t>
      </w:r>
      <w:bookmarkEnd w:id="5"/>
    </w:p>
    <w:tbl>
      <w:tblPr>
        <w:tblStyle w:val="MDPI41threelinetable"/>
        <w:tblW w:w="4644" w:type="pct"/>
        <w:tblLook w:val="04A0" w:firstRow="1" w:lastRow="0" w:firstColumn="1" w:lastColumn="0" w:noHBand="0" w:noVBand="1"/>
      </w:tblPr>
      <w:tblGrid>
        <w:gridCol w:w="1651"/>
        <w:gridCol w:w="1934"/>
        <w:gridCol w:w="1794"/>
        <w:gridCol w:w="1794"/>
        <w:gridCol w:w="1794"/>
        <w:gridCol w:w="1021"/>
      </w:tblGrid>
      <w:tr w:rsidR="005A2028" w:rsidRPr="00A30235" w:rsidTr="0089242F">
        <w:trPr>
          <w:cnfStyle w:val="100000000000" w:firstRow="1" w:lastRow="0" w:firstColumn="0" w:lastColumn="0" w:oddVBand="0" w:evenVBand="0" w:oddHBand="0" w:evenHBand="0" w:firstRowFirstColumn="0" w:firstRowLastColumn="0" w:lastRowFirstColumn="0" w:lastRowLastColumn="0"/>
        </w:trPr>
        <w:tc>
          <w:tcPr>
            <w:tcW w:w="826" w:type="pct"/>
          </w:tcPr>
          <w:p w:rsidR="005A2028" w:rsidRPr="00A30235" w:rsidRDefault="005A2028" w:rsidP="0089242F">
            <w:pPr>
              <w:jc w:val="left"/>
              <w:rPr>
                <w:color w:val="auto"/>
              </w:rPr>
            </w:pPr>
          </w:p>
        </w:tc>
        <w:tc>
          <w:tcPr>
            <w:tcW w:w="968" w:type="pct"/>
          </w:tcPr>
          <w:p w:rsidR="005A2028" w:rsidRPr="00A30235" w:rsidRDefault="005A2028" w:rsidP="0089242F">
            <w:pPr>
              <w:rPr>
                <w:bCs/>
                <w:color w:val="auto"/>
              </w:rPr>
            </w:pPr>
            <w:r w:rsidRPr="00A30235">
              <w:rPr>
                <w:bCs/>
                <w:color w:val="auto"/>
              </w:rPr>
              <w:t>Variable</w:t>
            </w:r>
          </w:p>
        </w:tc>
        <w:tc>
          <w:tcPr>
            <w:tcW w:w="898" w:type="pct"/>
          </w:tcPr>
          <w:p w:rsidR="005A2028" w:rsidRPr="00A30235" w:rsidRDefault="005A2028" w:rsidP="0089242F">
            <w:pPr>
              <w:rPr>
                <w:bCs/>
                <w:color w:val="auto"/>
              </w:rPr>
            </w:pPr>
            <w:r w:rsidRPr="00A30235">
              <w:rPr>
                <w:bCs/>
                <w:color w:val="auto"/>
              </w:rPr>
              <w:t>β</w:t>
            </w:r>
          </w:p>
        </w:tc>
        <w:tc>
          <w:tcPr>
            <w:tcW w:w="898" w:type="pct"/>
          </w:tcPr>
          <w:p w:rsidR="005A2028" w:rsidRPr="00A30235" w:rsidRDefault="005A2028" w:rsidP="0089242F">
            <w:pPr>
              <w:rPr>
                <w:bCs/>
                <w:color w:val="auto"/>
              </w:rPr>
            </w:pPr>
            <w:r w:rsidRPr="00A30235">
              <w:rPr>
                <w:bCs/>
                <w:color w:val="auto"/>
              </w:rPr>
              <w:t>SE</w:t>
            </w:r>
          </w:p>
        </w:tc>
        <w:tc>
          <w:tcPr>
            <w:tcW w:w="898" w:type="pct"/>
          </w:tcPr>
          <w:p w:rsidR="005A2028" w:rsidRPr="00A30235" w:rsidRDefault="005A2028" w:rsidP="0089242F">
            <w:pPr>
              <w:rPr>
                <w:bCs/>
                <w:color w:val="auto"/>
              </w:rPr>
            </w:pPr>
            <w:r w:rsidRPr="00A30235">
              <w:rPr>
                <w:bCs/>
                <w:color w:val="auto"/>
              </w:rPr>
              <w:t>t</w:t>
            </w:r>
          </w:p>
        </w:tc>
        <w:tc>
          <w:tcPr>
            <w:tcW w:w="511" w:type="pct"/>
          </w:tcPr>
          <w:p w:rsidR="005A2028" w:rsidRPr="00A30235" w:rsidRDefault="005A2028" w:rsidP="0089242F">
            <w:pPr>
              <w:rPr>
                <w:bCs/>
                <w:color w:val="auto"/>
              </w:rPr>
            </w:pPr>
            <w:r w:rsidRPr="00A30235">
              <w:rPr>
                <w:bCs/>
                <w:color w:val="auto"/>
              </w:rPr>
              <w:t>p</w:t>
            </w:r>
          </w:p>
        </w:tc>
      </w:tr>
      <w:tr w:rsidR="005A2028" w:rsidRPr="00A30235" w:rsidTr="0089242F">
        <w:tc>
          <w:tcPr>
            <w:tcW w:w="826" w:type="pct"/>
          </w:tcPr>
          <w:p w:rsidR="005A2028" w:rsidRPr="00A30235" w:rsidRDefault="005A2028" w:rsidP="0089242F">
            <w:pPr>
              <w:rPr>
                <w:color w:val="auto"/>
              </w:rPr>
            </w:pPr>
            <w:r w:rsidRPr="00A30235">
              <w:rPr>
                <w:color w:val="auto"/>
              </w:rPr>
              <w:t>GDP</w:t>
            </w:r>
          </w:p>
        </w:tc>
        <w:tc>
          <w:tcPr>
            <w:tcW w:w="968" w:type="pct"/>
          </w:tcPr>
          <w:p w:rsidR="005A2028" w:rsidRPr="00A30235" w:rsidRDefault="005A2028" w:rsidP="0089242F">
            <w:pPr>
              <w:rPr>
                <w:color w:val="auto"/>
              </w:rPr>
            </w:pPr>
            <w:r w:rsidRPr="00A30235">
              <w:rPr>
                <w:color w:val="auto"/>
              </w:rPr>
              <w:t>Constant</w:t>
            </w:r>
          </w:p>
        </w:tc>
        <w:tc>
          <w:tcPr>
            <w:tcW w:w="898" w:type="pct"/>
          </w:tcPr>
          <w:p w:rsidR="005A2028" w:rsidRPr="00A30235" w:rsidRDefault="005A2028" w:rsidP="0089242F">
            <w:pPr>
              <w:rPr>
                <w:color w:val="auto"/>
              </w:rPr>
            </w:pPr>
            <w:r w:rsidRPr="00A30235">
              <w:rPr>
                <w:color w:val="auto"/>
              </w:rPr>
              <w:t>0.8411</w:t>
            </w:r>
          </w:p>
        </w:tc>
        <w:tc>
          <w:tcPr>
            <w:tcW w:w="898" w:type="pct"/>
          </w:tcPr>
          <w:p w:rsidR="005A2028" w:rsidRPr="00A30235" w:rsidRDefault="005A2028" w:rsidP="0089242F">
            <w:pPr>
              <w:rPr>
                <w:color w:val="auto"/>
              </w:rPr>
            </w:pPr>
            <w:r w:rsidRPr="00A30235">
              <w:rPr>
                <w:color w:val="auto"/>
              </w:rPr>
              <w:t>1.1182</w:t>
            </w:r>
          </w:p>
        </w:tc>
        <w:tc>
          <w:tcPr>
            <w:tcW w:w="898" w:type="pct"/>
          </w:tcPr>
          <w:p w:rsidR="005A2028" w:rsidRPr="00A30235" w:rsidRDefault="005A2028" w:rsidP="0089242F">
            <w:pPr>
              <w:rPr>
                <w:color w:val="auto"/>
              </w:rPr>
            </w:pPr>
            <w:r w:rsidRPr="00A30235">
              <w:rPr>
                <w:color w:val="auto"/>
              </w:rPr>
              <w:t>0.75</w:t>
            </w:r>
          </w:p>
        </w:tc>
        <w:tc>
          <w:tcPr>
            <w:tcW w:w="511" w:type="pct"/>
          </w:tcPr>
          <w:p w:rsidR="005A2028" w:rsidRPr="00A30235" w:rsidRDefault="005A2028" w:rsidP="0089242F">
            <w:pPr>
              <w:rPr>
                <w:color w:val="auto"/>
              </w:rPr>
            </w:pPr>
            <w:r w:rsidRPr="00A30235">
              <w:rPr>
                <w:color w:val="auto"/>
              </w:rPr>
              <w:t>0.4570</w:t>
            </w:r>
          </w:p>
        </w:tc>
      </w:tr>
      <w:tr w:rsidR="005A2028" w:rsidRPr="00A30235" w:rsidTr="0089242F">
        <w:tc>
          <w:tcPr>
            <w:tcW w:w="826" w:type="pct"/>
          </w:tcPr>
          <w:p w:rsidR="005A2028" w:rsidRPr="00A30235" w:rsidRDefault="005A2028" w:rsidP="0089242F">
            <w:pPr>
              <w:rPr>
                <w:bCs/>
                <w:color w:val="auto"/>
              </w:rPr>
            </w:pPr>
          </w:p>
        </w:tc>
        <w:tc>
          <w:tcPr>
            <w:tcW w:w="968" w:type="pct"/>
          </w:tcPr>
          <w:p w:rsidR="005A2028" w:rsidRPr="00A30235" w:rsidRDefault="005A2028" w:rsidP="0089242F">
            <w:pPr>
              <w:rPr>
                <w:color w:val="auto"/>
              </w:rPr>
            </w:pPr>
            <w:r w:rsidRPr="00A30235">
              <w:rPr>
                <w:color w:val="auto"/>
              </w:rPr>
              <w:t>GDP</w:t>
            </w:r>
            <w:r w:rsidRPr="00A30235">
              <w:rPr>
                <w:color w:val="auto"/>
                <w:vertAlign w:val="subscript"/>
              </w:rPr>
              <w:t>t-1</w:t>
            </w:r>
          </w:p>
        </w:tc>
        <w:tc>
          <w:tcPr>
            <w:tcW w:w="898" w:type="pct"/>
          </w:tcPr>
          <w:p w:rsidR="005A2028" w:rsidRPr="00A30235" w:rsidRDefault="005A2028" w:rsidP="0089242F">
            <w:pPr>
              <w:rPr>
                <w:color w:val="auto"/>
              </w:rPr>
            </w:pPr>
            <w:r w:rsidRPr="00A30235">
              <w:rPr>
                <w:color w:val="auto"/>
              </w:rPr>
              <w:t>0.2452</w:t>
            </w:r>
          </w:p>
        </w:tc>
        <w:tc>
          <w:tcPr>
            <w:tcW w:w="898" w:type="pct"/>
          </w:tcPr>
          <w:p w:rsidR="005A2028" w:rsidRPr="00A30235" w:rsidRDefault="005A2028" w:rsidP="0089242F">
            <w:pPr>
              <w:rPr>
                <w:color w:val="auto"/>
              </w:rPr>
            </w:pPr>
            <w:r w:rsidRPr="00A30235">
              <w:rPr>
                <w:color w:val="auto"/>
              </w:rPr>
              <w:t>0.1539</w:t>
            </w:r>
          </w:p>
        </w:tc>
        <w:tc>
          <w:tcPr>
            <w:tcW w:w="898" w:type="pct"/>
          </w:tcPr>
          <w:p w:rsidR="005A2028" w:rsidRPr="00A30235" w:rsidRDefault="005A2028" w:rsidP="0089242F">
            <w:pPr>
              <w:rPr>
                <w:color w:val="auto"/>
              </w:rPr>
            </w:pPr>
            <w:r w:rsidRPr="00A30235">
              <w:rPr>
                <w:color w:val="auto"/>
              </w:rPr>
              <w:t>1.59</w:t>
            </w:r>
          </w:p>
        </w:tc>
        <w:tc>
          <w:tcPr>
            <w:tcW w:w="511" w:type="pct"/>
          </w:tcPr>
          <w:p w:rsidR="005A2028" w:rsidRPr="00A30235" w:rsidRDefault="005A2028" w:rsidP="0089242F">
            <w:pPr>
              <w:rPr>
                <w:color w:val="auto"/>
              </w:rPr>
            </w:pPr>
            <w:r w:rsidRPr="00A30235">
              <w:rPr>
                <w:color w:val="auto"/>
              </w:rPr>
              <w:t>0.1201</w:t>
            </w:r>
          </w:p>
        </w:tc>
      </w:tr>
      <w:tr w:rsidR="005A2028" w:rsidRPr="00A30235" w:rsidTr="0089242F">
        <w:tc>
          <w:tcPr>
            <w:tcW w:w="826" w:type="pct"/>
          </w:tcPr>
          <w:p w:rsidR="005A2028" w:rsidRPr="00A30235" w:rsidRDefault="005A2028" w:rsidP="0089242F">
            <w:pPr>
              <w:rPr>
                <w:bCs/>
                <w:color w:val="auto"/>
              </w:rPr>
            </w:pPr>
          </w:p>
        </w:tc>
        <w:tc>
          <w:tcPr>
            <w:tcW w:w="968" w:type="pct"/>
          </w:tcPr>
          <w:p w:rsidR="005A2028" w:rsidRPr="00A30235" w:rsidRDefault="005A2028" w:rsidP="0089242F">
            <w:pPr>
              <w:rPr>
                <w:color w:val="auto"/>
              </w:rPr>
            </w:pPr>
            <w:r w:rsidRPr="00A30235">
              <w:rPr>
                <w:color w:val="auto"/>
              </w:rPr>
              <w:t>Inflation</w:t>
            </w:r>
            <w:r w:rsidRPr="00A30235">
              <w:rPr>
                <w:color w:val="auto"/>
                <w:vertAlign w:val="subscript"/>
              </w:rPr>
              <w:t>t-1</w:t>
            </w:r>
          </w:p>
        </w:tc>
        <w:tc>
          <w:tcPr>
            <w:tcW w:w="898" w:type="pct"/>
          </w:tcPr>
          <w:p w:rsidR="005A2028" w:rsidRPr="00A30235" w:rsidRDefault="005A2028" w:rsidP="0089242F">
            <w:pPr>
              <w:rPr>
                <w:color w:val="auto"/>
              </w:rPr>
            </w:pPr>
            <w:r w:rsidRPr="00A30235">
              <w:rPr>
                <w:color w:val="auto"/>
              </w:rPr>
              <w:t>-0.0184</w:t>
            </w:r>
          </w:p>
        </w:tc>
        <w:tc>
          <w:tcPr>
            <w:tcW w:w="898" w:type="pct"/>
          </w:tcPr>
          <w:p w:rsidR="005A2028" w:rsidRPr="00A30235" w:rsidRDefault="005A2028" w:rsidP="0089242F">
            <w:pPr>
              <w:rPr>
                <w:color w:val="auto"/>
              </w:rPr>
            </w:pPr>
            <w:r w:rsidRPr="00A30235">
              <w:rPr>
                <w:color w:val="auto"/>
              </w:rPr>
              <w:t>0.1401</w:t>
            </w:r>
          </w:p>
        </w:tc>
        <w:tc>
          <w:tcPr>
            <w:tcW w:w="898" w:type="pct"/>
          </w:tcPr>
          <w:p w:rsidR="005A2028" w:rsidRPr="00A30235" w:rsidRDefault="005A2028" w:rsidP="0089242F">
            <w:pPr>
              <w:rPr>
                <w:color w:val="auto"/>
              </w:rPr>
            </w:pPr>
            <w:r w:rsidRPr="00A30235">
              <w:rPr>
                <w:color w:val="auto"/>
              </w:rPr>
              <w:t>-0.13</w:t>
            </w:r>
          </w:p>
        </w:tc>
        <w:tc>
          <w:tcPr>
            <w:tcW w:w="511" w:type="pct"/>
          </w:tcPr>
          <w:p w:rsidR="005A2028" w:rsidRPr="00A30235" w:rsidRDefault="005A2028" w:rsidP="0089242F">
            <w:pPr>
              <w:rPr>
                <w:color w:val="auto"/>
              </w:rPr>
            </w:pPr>
            <w:r w:rsidRPr="00A30235">
              <w:rPr>
                <w:color w:val="auto"/>
              </w:rPr>
              <w:t>0.8965</w:t>
            </w:r>
          </w:p>
        </w:tc>
      </w:tr>
      <w:tr w:rsidR="005A2028" w:rsidRPr="00A30235" w:rsidTr="0089242F">
        <w:tc>
          <w:tcPr>
            <w:tcW w:w="826" w:type="pct"/>
          </w:tcPr>
          <w:p w:rsidR="005A2028" w:rsidRPr="00A30235" w:rsidRDefault="005A2028" w:rsidP="0089242F">
            <w:pPr>
              <w:jc w:val="left"/>
              <w:rPr>
                <w:color w:val="auto"/>
              </w:rPr>
            </w:pPr>
          </w:p>
        </w:tc>
        <w:tc>
          <w:tcPr>
            <w:tcW w:w="968" w:type="pct"/>
          </w:tcPr>
          <w:p w:rsidR="005A2028" w:rsidRPr="00A30235" w:rsidRDefault="005A2028" w:rsidP="0089242F">
            <w:pPr>
              <w:rPr>
                <w:color w:val="auto"/>
              </w:rPr>
            </w:pPr>
            <w:r w:rsidRPr="00A30235">
              <w:rPr>
                <w:color w:val="auto"/>
              </w:rPr>
              <w:t>GDP</w:t>
            </w:r>
            <w:r w:rsidRPr="00A30235">
              <w:rPr>
                <w:color w:val="auto"/>
                <w:vertAlign w:val="subscript"/>
              </w:rPr>
              <w:t>t-2</w:t>
            </w:r>
          </w:p>
        </w:tc>
        <w:tc>
          <w:tcPr>
            <w:tcW w:w="898" w:type="pct"/>
          </w:tcPr>
          <w:p w:rsidR="005A2028" w:rsidRPr="00A30235" w:rsidRDefault="005A2028" w:rsidP="0089242F">
            <w:pPr>
              <w:rPr>
                <w:color w:val="auto"/>
              </w:rPr>
            </w:pPr>
            <w:r w:rsidRPr="00A30235">
              <w:rPr>
                <w:color w:val="auto"/>
              </w:rPr>
              <w:t>0.3449</w:t>
            </w:r>
          </w:p>
        </w:tc>
        <w:tc>
          <w:tcPr>
            <w:tcW w:w="898" w:type="pct"/>
          </w:tcPr>
          <w:p w:rsidR="005A2028" w:rsidRPr="00A30235" w:rsidRDefault="005A2028" w:rsidP="0089242F">
            <w:pPr>
              <w:rPr>
                <w:color w:val="auto"/>
              </w:rPr>
            </w:pPr>
            <w:r w:rsidRPr="00A30235">
              <w:rPr>
                <w:color w:val="auto"/>
              </w:rPr>
              <w:t>0.1494</w:t>
            </w:r>
          </w:p>
        </w:tc>
        <w:tc>
          <w:tcPr>
            <w:tcW w:w="898" w:type="pct"/>
          </w:tcPr>
          <w:p w:rsidR="005A2028" w:rsidRPr="00A30235" w:rsidRDefault="005A2028" w:rsidP="0089242F">
            <w:pPr>
              <w:rPr>
                <w:color w:val="auto"/>
              </w:rPr>
            </w:pPr>
            <w:r w:rsidRPr="00A30235">
              <w:rPr>
                <w:color w:val="auto"/>
              </w:rPr>
              <w:t>2.31</w:t>
            </w:r>
          </w:p>
        </w:tc>
        <w:tc>
          <w:tcPr>
            <w:tcW w:w="511" w:type="pct"/>
          </w:tcPr>
          <w:p w:rsidR="005A2028" w:rsidRPr="00A30235" w:rsidRDefault="005A2028" w:rsidP="0089242F">
            <w:pPr>
              <w:rPr>
                <w:color w:val="auto"/>
              </w:rPr>
            </w:pPr>
            <w:r w:rsidRPr="00A30235">
              <w:rPr>
                <w:color w:val="auto"/>
              </w:rPr>
              <w:t>0.0270*</w:t>
            </w:r>
          </w:p>
        </w:tc>
      </w:tr>
      <w:tr w:rsidR="005A2028" w:rsidRPr="00A30235" w:rsidTr="0089242F">
        <w:tc>
          <w:tcPr>
            <w:tcW w:w="826" w:type="pct"/>
          </w:tcPr>
          <w:p w:rsidR="005A2028" w:rsidRPr="00A30235" w:rsidRDefault="005A2028" w:rsidP="0089242F">
            <w:pPr>
              <w:jc w:val="left"/>
              <w:rPr>
                <w:color w:val="auto"/>
              </w:rPr>
            </w:pPr>
          </w:p>
        </w:tc>
        <w:tc>
          <w:tcPr>
            <w:tcW w:w="968" w:type="pct"/>
          </w:tcPr>
          <w:p w:rsidR="005A2028" w:rsidRPr="00A30235" w:rsidRDefault="005A2028" w:rsidP="0089242F">
            <w:pPr>
              <w:rPr>
                <w:color w:val="auto"/>
              </w:rPr>
            </w:pPr>
            <w:r w:rsidRPr="00A30235">
              <w:rPr>
                <w:color w:val="auto"/>
              </w:rPr>
              <w:t>Inflation</w:t>
            </w:r>
            <w:r w:rsidRPr="00A30235">
              <w:rPr>
                <w:color w:val="auto"/>
                <w:vertAlign w:val="subscript"/>
              </w:rPr>
              <w:t>t-2</w:t>
            </w:r>
          </w:p>
        </w:tc>
        <w:tc>
          <w:tcPr>
            <w:tcW w:w="898" w:type="pct"/>
          </w:tcPr>
          <w:p w:rsidR="005A2028" w:rsidRPr="00A30235" w:rsidRDefault="005A2028" w:rsidP="0089242F">
            <w:pPr>
              <w:rPr>
                <w:color w:val="auto"/>
              </w:rPr>
            </w:pPr>
            <w:r w:rsidRPr="00A30235">
              <w:rPr>
                <w:color w:val="auto"/>
              </w:rPr>
              <w:t>0.2463</w:t>
            </w:r>
          </w:p>
        </w:tc>
        <w:tc>
          <w:tcPr>
            <w:tcW w:w="898" w:type="pct"/>
          </w:tcPr>
          <w:p w:rsidR="005A2028" w:rsidRPr="00A30235" w:rsidRDefault="005A2028" w:rsidP="0089242F">
            <w:pPr>
              <w:rPr>
                <w:color w:val="auto"/>
              </w:rPr>
            </w:pPr>
            <w:r w:rsidRPr="00A30235">
              <w:rPr>
                <w:color w:val="auto"/>
              </w:rPr>
              <w:t>0.1570</w:t>
            </w:r>
          </w:p>
        </w:tc>
        <w:tc>
          <w:tcPr>
            <w:tcW w:w="898" w:type="pct"/>
          </w:tcPr>
          <w:p w:rsidR="005A2028" w:rsidRPr="00A30235" w:rsidRDefault="005A2028" w:rsidP="0089242F">
            <w:pPr>
              <w:rPr>
                <w:color w:val="auto"/>
              </w:rPr>
            </w:pPr>
            <w:r w:rsidRPr="00A30235">
              <w:rPr>
                <w:color w:val="auto"/>
              </w:rPr>
              <w:t>1.57</w:t>
            </w:r>
          </w:p>
        </w:tc>
        <w:tc>
          <w:tcPr>
            <w:tcW w:w="511" w:type="pct"/>
          </w:tcPr>
          <w:p w:rsidR="005A2028" w:rsidRPr="00A30235" w:rsidRDefault="005A2028" w:rsidP="0089242F">
            <w:pPr>
              <w:rPr>
                <w:color w:val="auto"/>
              </w:rPr>
            </w:pPr>
            <w:r w:rsidRPr="00A30235">
              <w:rPr>
                <w:color w:val="auto"/>
              </w:rPr>
              <w:t>0.1257</w:t>
            </w:r>
          </w:p>
        </w:tc>
      </w:tr>
      <w:tr w:rsidR="005A2028" w:rsidRPr="00A30235" w:rsidTr="0089242F">
        <w:tc>
          <w:tcPr>
            <w:tcW w:w="826" w:type="pct"/>
          </w:tcPr>
          <w:p w:rsidR="005A2028" w:rsidRPr="00A30235" w:rsidRDefault="005A2028" w:rsidP="0089242F">
            <w:pPr>
              <w:jc w:val="left"/>
              <w:rPr>
                <w:color w:val="auto"/>
              </w:rPr>
            </w:pPr>
          </w:p>
        </w:tc>
        <w:tc>
          <w:tcPr>
            <w:tcW w:w="968" w:type="pct"/>
          </w:tcPr>
          <w:p w:rsidR="005A2028" w:rsidRPr="00A30235" w:rsidRDefault="005A2028" w:rsidP="0089242F">
            <w:pPr>
              <w:rPr>
                <w:color w:val="auto"/>
              </w:rPr>
            </w:pPr>
            <w:r w:rsidRPr="00A30235">
              <w:rPr>
                <w:color w:val="auto"/>
              </w:rPr>
              <w:t>GDP</w:t>
            </w:r>
            <w:r w:rsidRPr="00A30235">
              <w:rPr>
                <w:color w:val="auto"/>
                <w:vertAlign w:val="subscript"/>
              </w:rPr>
              <w:t>t-3</w:t>
            </w:r>
          </w:p>
        </w:tc>
        <w:tc>
          <w:tcPr>
            <w:tcW w:w="898" w:type="pct"/>
          </w:tcPr>
          <w:p w:rsidR="005A2028" w:rsidRPr="00A30235" w:rsidRDefault="005A2028" w:rsidP="0089242F">
            <w:pPr>
              <w:rPr>
                <w:color w:val="auto"/>
              </w:rPr>
            </w:pPr>
            <w:r w:rsidRPr="00A30235">
              <w:rPr>
                <w:color w:val="auto"/>
              </w:rPr>
              <w:t>-0.2112</w:t>
            </w:r>
          </w:p>
        </w:tc>
        <w:tc>
          <w:tcPr>
            <w:tcW w:w="898" w:type="pct"/>
          </w:tcPr>
          <w:p w:rsidR="005A2028" w:rsidRPr="00A30235" w:rsidRDefault="005A2028" w:rsidP="0089242F">
            <w:pPr>
              <w:rPr>
                <w:color w:val="auto"/>
              </w:rPr>
            </w:pPr>
            <w:r w:rsidRPr="00A30235">
              <w:rPr>
                <w:color w:val="auto"/>
              </w:rPr>
              <w:t>0.1427</w:t>
            </w:r>
          </w:p>
        </w:tc>
        <w:tc>
          <w:tcPr>
            <w:tcW w:w="898" w:type="pct"/>
          </w:tcPr>
          <w:p w:rsidR="005A2028" w:rsidRPr="00A30235" w:rsidRDefault="005A2028" w:rsidP="0089242F">
            <w:pPr>
              <w:rPr>
                <w:color w:val="auto"/>
              </w:rPr>
            </w:pPr>
            <w:r w:rsidRPr="00A30235">
              <w:rPr>
                <w:color w:val="auto"/>
              </w:rPr>
              <w:t>-1.48</w:t>
            </w:r>
          </w:p>
        </w:tc>
        <w:tc>
          <w:tcPr>
            <w:tcW w:w="511" w:type="pct"/>
          </w:tcPr>
          <w:p w:rsidR="005A2028" w:rsidRPr="00A30235" w:rsidRDefault="005A2028" w:rsidP="0089242F">
            <w:pPr>
              <w:rPr>
                <w:color w:val="auto"/>
              </w:rPr>
            </w:pPr>
            <w:r w:rsidRPr="00A30235">
              <w:rPr>
                <w:color w:val="auto"/>
              </w:rPr>
              <w:t>0.1480</w:t>
            </w:r>
          </w:p>
        </w:tc>
      </w:tr>
      <w:tr w:rsidR="005A2028" w:rsidRPr="00A30235" w:rsidTr="0089242F">
        <w:tc>
          <w:tcPr>
            <w:tcW w:w="826" w:type="pct"/>
          </w:tcPr>
          <w:p w:rsidR="005A2028" w:rsidRPr="00A30235" w:rsidRDefault="005A2028" w:rsidP="0089242F">
            <w:pPr>
              <w:jc w:val="left"/>
              <w:rPr>
                <w:color w:val="auto"/>
              </w:rPr>
            </w:pPr>
          </w:p>
        </w:tc>
        <w:tc>
          <w:tcPr>
            <w:tcW w:w="968" w:type="pct"/>
          </w:tcPr>
          <w:p w:rsidR="005A2028" w:rsidRPr="00A30235" w:rsidRDefault="005A2028" w:rsidP="0089242F">
            <w:pPr>
              <w:rPr>
                <w:color w:val="auto"/>
              </w:rPr>
            </w:pPr>
            <w:r w:rsidRPr="00A30235">
              <w:rPr>
                <w:color w:val="auto"/>
              </w:rPr>
              <w:t>Inflation</w:t>
            </w:r>
            <w:r w:rsidRPr="00A30235">
              <w:rPr>
                <w:color w:val="auto"/>
                <w:vertAlign w:val="subscript"/>
              </w:rPr>
              <w:t>t-3</w:t>
            </w:r>
          </w:p>
        </w:tc>
        <w:tc>
          <w:tcPr>
            <w:tcW w:w="898" w:type="pct"/>
          </w:tcPr>
          <w:p w:rsidR="005A2028" w:rsidRPr="00A30235" w:rsidRDefault="005A2028" w:rsidP="0089242F">
            <w:pPr>
              <w:rPr>
                <w:color w:val="auto"/>
              </w:rPr>
            </w:pPr>
            <w:r w:rsidRPr="00A30235">
              <w:rPr>
                <w:color w:val="auto"/>
              </w:rPr>
              <w:t>0.0548</w:t>
            </w:r>
          </w:p>
        </w:tc>
        <w:tc>
          <w:tcPr>
            <w:tcW w:w="898" w:type="pct"/>
          </w:tcPr>
          <w:p w:rsidR="005A2028" w:rsidRPr="00A30235" w:rsidRDefault="005A2028" w:rsidP="0089242F">
            <w:pPr>
              <w:rPr>
                <w:color w:val="auto"/>
              </w:rPr>
            </w:pPr>
            <w:r w:rsidRPr="00A30235">
              <w:rPr>
                <w:color w:val="auto"/>
              </w:rPr>
              <w:t>0.1475</w:t>
            </w:r>
          </w:p>
        </w:tc>
        <w:tc>
          <w:tcPr>
            <w:tcW w:w="898" w:type="pct"/>
          </w:tcPr>
          <w:p w:rsidR="005A2028" w:rsidRPr="00A30235" w:rsidRDefault="005A2028" w:rsidP="0089242F">
            <w:pPr>
              <w:rPr>
                <w:color w:val="auto"/>
              </w:rPr>
            </w:pPr>
            <w:r w:rsidRPr="00A30235">
              <w:rPr>
                <w:color w:val="auto"/>
              </w:rPr>
              <w:t>0.37</w:t>
            </w:r>
          </w:p>
        </w:tc>
        <w:tc>
          <w:tcPr>
            <w:tcW w:w="511" w:type="pct"/>
          </w:tcPr>
          <w:p w:rsidR="005A2028" w:rsidRPr="00A30235" w:rsidRDefault="005A2028" w:rsidP="0089242F">
            <w:pPr>
              <w:rPr>
                <w:color w:val="auto"/>
              </w:rPr>
            </w:pPr>
            <w:r w:rsidRPr="00A30235">
              <w:rPr>
                <w:color w:val="auto"/>
              </w:rPr>
              <w:t>0.7124</w:t>
            </w:r>
          </w:p>
        </w:tc>
      </w:tr>
      <w:tr w:rsidR="005A2028" w:rsidRPr="00A30235" w:rsidTr="0089242F">
        <w:tc>
          <w:tcPr>
            <w:tcW w:w="826" w:type="pct"/>
          </w:tcPr>
          <w:p w:rsidR="005A2028" w:rsidRPr="00A30235" w:rsidRDefault="005A2028" w:rsidP="0089242F">
            <w:pPr>
              <w:rPr>
                <w:color w:val="auto"/>
              </w:rPr>
            </w:pPr>
            <w:r w:rsidRPr="00A30235">
              <w:rPr>
                <w:color w:val="auto"/>
              </w:rPr>
              <w:t>Inflation</w:t>
            </w:r>
          </w:p>
        </w:tc>
        <w:tc>
          <w:tcPr>
            <w:tcW w:w="968" w:type="pct"/>
          </w:tcPr>
          <w:p w:rsidR="005A2028" w:rsidRPr="00A30235" w:rsidRDefault="005A2028" w:rsidP="0089242F">
            <w:pPr>
              <w:rPr>
                <w:color w:val="auto"/>
              </w:rPr>
            </w:pPr>
            <w:r w:rsidRPr="00A30235">
              <w:rPr>
                <w:color w:val="auto"/>
              </w:rPr>
              <w:t>Constant</w:t>
            </w:r>
          </w:p>
        </w:tc>
        <w:tc>
          <w:tcPr>
            <w:tcW w:w="898" w:type="pct"/>
          </w:tcPr>
          <w:p w:rsidR="005A2028" w:rsidRPr="00A30235" w:rsidRDefault="005A2028" w:rsidP="0089242F">
            <w:pPr>
              <w:rPr>
                <w:color w:val="auto"/>
              </w:rPr>
            </w:pPr>
            <w:r w:rsidRPr="00A30235">
              <w:rPr>
                <w:color w:val="auto"/>
              </w:rPr>
              <w:t>2.3518</w:t>
            </w:r>
          </w:p>
        </w:tc>
        <w:tc>
          <w:tcPr>
            <w:tcW w:w="898" w:type="pct"/>
          </w:tcPr>
          <w:p w:rsidR="005A2028" w:rsidRPr="00A30235" w:rsidRDefault="005A2028" w:rsidP="0089242F">
            <w:pPr>
              <w:rPr>
                <w:color w:val="auto"/>
              </w:rPr>
            </w:pPr>
            <w:r w:rsidRPr="00A30235">
              <w:rPr>
                <w:color w:val="auto"/>
              </w:rPr>
              <w:t>1.3089</w:t>
            </w:r>
          </w:p>
        </w:tc>
        <w:tc>
          <w:tcPr>
            <w:tcW w:w="898" w:type="pct"/>
          </w:tcPr>
          <w:p w:rsidR="005A2028" w:rsidRPr="00A30235" w:rsidRDefault="005A2028" w:rsidP="0089242F">
            <w:pPr>
              <w:rPr>
                <w:color w:val="auto"/>
              </w:rPr>
            </w:pPr>
            <w:r w:rsidRPr="00A30235">
              <w:rPr>
                <w:color w:val="auto"/>
              </w:rPr>
              <w:t>1.80</w:t>
            </w:r>
          </w:p>
        </w:tc>
        <w:tc>
          <w:tcPr>
            <w:tcW w:w="511" w:type="pct"/>
          </w:tcPr>
          <w:p w:rsidR="005A2028" w:rsidRPr="00A30235" w:rsidRDefault="005A2028" w:rsidP="0089242F">
            <w:pPr>
              <w:rPr>
                <w:color w:val="auto"/>
              </w:rPr>
            </w:pPr>
            <w:r w:rsidRPr="00A30235">
              <w:rPr>
                <w:color w:val="auto"/>
              </w:rPr>
              <w:t>0.0810</w:t>
            </w:r>
          </w:p>
        </w:tc>
      </w:tr>
      <w:tr w:rsidR="005A2028" w:rsidRPr="00A30235" w:rsidTr="0089242F">
        <w:tc>
          <w:tcPr>
            <w:tcW w:w="826" w:type="pct"/>
          </w:tcPr>
          <w:p w:rsidR="005A2028" w:rsidRPr="00A30235" w:rsidRDefault="005A2028" w:rsidP="0089242F">
            <w:pPr>
              <w:jc w:val="left"/>
              <w:rPr>
                <w:color w:val="auto"/>
              </w:rPr>
            </w:pPr>
          </w:p>
        </w:tc>
        <w:tc>
          <w:tcPr>
            <w:tcW w:w="968" w:type="pct"/>
          </w:tcPr>
          <w:p w:rsidR="005A2028" w:rsidRPr="00A30235" w:rsidRDefault="005A2028" w:rsidP="0089242F">
            <w:pPr>
              <w:rPr>
                <w:color w:val="auto"/>
              </w:rPr>
            </w:pPr>
            <w:r w:rsidRPr="00A30235">
              <w:rPr>
                <w:color w:val="auto"/>
              </w:rPr>
              <w:t>GDP</w:t>
            </w:r>
            <w:r w:rsidRPr="00A30235">
              <w:rPr>
                <w:color w:val="auto"/>
                <w:vertAlign w:val="subscript"/>
              </w:rPr>
              <w:t>t-1</w:t>
            </w:r>
          </w:p>
        </w:tc>
        <w:tc>
          <w:tcPr>
            <w:tcW w:w="898" w:type="pct"/>
          </w:tcPr>
          <w:p w:rsidR="005A2028" w:rsidRPr="00A30235" w:rsidRDefault="005A2028" w:rsidP="0089242F">
            <w:pPr>
              <w:rPr>
                <w:color w:val="auto"/>
              </w:rPr>
            </w:pPr>
            <w:r w:rsidRPr="00A30235">
              <w:rPr>
                <w:color w:val="auto"/>
              </w:rPr>
              <w:t>0.0794</w:t>
            </w:r>
          </w:p>
        </w:tc>
        <w:tc>
          <w:tcPr>
            <w:tcW w:w="898" w:type="pct"/>
          </w:tcPr>
          <w:p w:rsidR="005A2028" w:rsidRPr="00A30235" w:rsidRDefault="005A2028" w:rsidP="0089242F">
            <w:pPr>
              <w:rPr>
                <w:color w:val="auto"/>
              </w:rPr>
            </w:pPr>
            <w:r w:rsidRPr="00A30235">
              <w:rPr>
                <w:color w:val="auto"/>
              </w:rPr>
              <w:t>0.1801</w:t>
            </w:r>
          </w:p>
        </w:tc>
        <w:tc>
          <w:tcPr>
            <w:tcW w:w="898" w:type="pct"/>
          </w:tcPr>
          <w:p w:rsidR="005A2028" w:rsidRPr="00A30235" w:rsidRDefault="005A2028" w:rsidP="0089242F">
            <w:pPr>
              <w:rPr>
                <w:color w:val="auto"/>
              </w:rPr>
            </w:pPr>
            <w:r w:rsidRPr="00A30235">
              <w:rPr>
                <w:color w:val="auto"/>
              </w:rPr>
              <w:t>0.44</w:t>
            </w:r>
          </w:p>
        </w:tc>
        <w:tc>
          <w:tcPr>
            <w:tcW w:w="511" w:type="pct"/>
          </w:tcPr>
          <w:p w:rsidR="005A2028" w:rsidRPr="00A30235" w:rsidRDefault="005A2028" w:rsidP="0089242F">
            <w:pPr>
              <w:rPr>
                <w:color w:val="auto"/>
              </w:rPr>
            </w:pPr>
            <w:r w:rsidRPr="00A30235">
              <w:rPr>
                <w:color w:val="auto"/>
              </w:rPr>
              <w:t>0.3320</w:t>
            </w:r>
          </w:p>
        </w:tc>
      </w:tr>
      <w:tr w:rsidR="005A2028" w:rsidRPr="00A30235" w:rsidTr="0089242F">
        <w:tc>
          <w:tcPr>
            <w:tcW w:w="826" w:type="pct"/>
          </w:tcPr>
          <w:p w:rsidR="005A2028" w:rsidRPr="00A30235" w:rsidRDefault="005A2028" w:rsidP="0089242F">
            <w:pPr>
              <w:jc w:val="left"/>
              <w:rPr>
                <w:color w:val="auto"/>
              </w:rPr>
            </w:pPr>
          </w:p>
        </w:tc>
        <w:tc>
          <w:tcPr>
            <w:tcW w:w="968" w:type="pct"/>
          </w:tcPr>
          <w:p w:rsidR="005A2028" w:rsidRPr="00A30235" w:rsidRDefault="005A2028" w:rsidP="0089242F">
            <w:pPr>
              <w:rPr>
                <w:color w:val="auto"/>
              </w:rPr>
            </w:pPr>
            <w:r w:rsidRPr="00A30235">
              <w:rPr>
                <w:color w:val="auto"/>
              </w:rPr>
              <w:t>Inflation</w:t>
            </w:r>
            <w:r w:rsidRPr="00A30235">
              <w:rPr>
                <w:color w:val="auto"/>
                <w:vertAlign w:val="subscript"/>
              </w:rPr>
              <w:t>t-1</w:t>
            </w:r>
          </w:p>
        </w:tc>
        <w:tc>
          <w:tcPr>
            <w:tcW w:w="898" w:type="pct"/>
          </w:tcPr>
          <w:p w:rsidR="005A2028" w:rsidRPr="00A30235" w:rsidRDefault="005A2028" w:rsidP="0089242F">
            <w:pPr>
              <w:rPr>
                <w:color w:val="auto"/>
              </w:rPr>
            </w:pPr>
            <w:r w:rsidRPr="00A30235">
              <w:rPr>
                <w:color w:val="auto"/>
              </w:rPr>
              <w:t>0.5305</w:t>
            </w:r>
          </w:p>
        </w:tc>
        <w:tc>
          <w:tcPr>
            <w:tcW w:w="898" w:type="pct"/>
          </w:tcPr>
          <w:p w:rsidR="005A2028" w:rsidRPr="00A30235" w:rsidRDefault="005A2028" w:rsidP="0089242F">
            <w:pPr>
              <w:rPr>
                <w:color w:val="auto"/>
              </w:rPr>
            </w:pPr>
            <w:r w:rsidRPr="00A30235">
              <w:rPr>
                <w:color w:val="auto"/>
              </w:rPr>
              <w:t>0.1640</w:t>
            </w:r>
          </w:p>
        </w:tc>
        <w:tc>
          <w:tcPr>
            <w:tcW w:w="898" w:type="pct"/>
          </w:tcPr>
          <w:p w:rsidR="005A2028" w:rsidRPr="00A30235" w:rsidRDefault="005A2028" w:rsidP="0089242F">
            <w:pPr>
              <w:rPr>
                <w:color w:val="auto"/>
              </w:rPr>
            </w:pPr>
            <w:r w:rsidRPr="00A30235">
              <w:rPr>
                <w:color w:val="auto"/>
              </w:rPr>
              <w:t>3.23</w:t>
            </w:r>
          </w:p>
        </w:tc>
        <w:tc>
          <w:tcPr>
            <w:tcW w:w="511" w:type="pct"/>
          </w:tcPr>
          <w:p w:rsidR="005A2028" w:rsidRPr="00A30235" w:rsidRDefault="005A2028" w:rsidP="0089242F">
            <w:pPr>
              <w:rPr>
                <w:color w:val="auto"/>
              </w:rPr>
            </w:pPr>
            <w:r w:rsidRPr="00A30235">
              <w:rPr>
                <w:color w:val="auto"/>
              </w:rPr>
              <w:t>0.0027*</w:t>
            </w:r>
          </w:p>
        </w:tc>
      </w:tr>
      <w:tr w:rsidR="005A2028" w:rsidRPr="00A30235" w:rsidTr="0089242F">
        <w:tc>
          <w:tcPr>
            <w:tcW w:w="826" w:type="pct"/>
          </w:tcPr>
          <w:p w:rsidR="005A2028" w:rsidRPr="00A30235" w:rsidRDefault="005A2028" w:rsidP="0089242F">
            <w:pPr>
              <w:jc w:val="left"/>
              <w:rPr>
                <w:color w:val="auto"/>
              </w:rPr>
            </w:pPr>
          </w:p>
        </w:tc>
        <w:tc>
          <w:tcPr>
            <w:tcW w:w="968" w:type="pct"/>
          </w:tcPr>
          <w:p w:rsidR="005A2028" w:rsidRPr="00A30235" w:rsidRDefault="005A2028" w:rsidP="0089242F">
            <w:pPr>
              <w:rPr>
                <w:color w:val="auto"/>
              </w:rPr>
            </w:pPr>
            <w:r w:rsidRPr="00A30235">
              <w:rPr>
                <w:color w:val="auto"/>
              </w:rPr>
              <w:t>GDP</w:t>
            </w:r>
            <w:r w:rsidRPr="00A30235">
              <w:rPr>
                <w:color w:val="auto"/>
                <w:vertAlign w:val="subscript"/>
              </w:rPr>
              <w:t>t-2</w:t>
            </w:r>
          </w:p>
        </w:tc>
        <w:tc>
          <w:tcPr>
            <w:tcW w:w="898" w:type="pct"/>
          </w:tcPr>
          <w:p w:rsidR="005A2028" w:rsidRPr="00A30235" w:rsidRDefault="005A2028" w:rsidP="0089242F">
            <w:pPr>
              <w:rPr>
                <w:color w:val="auto"/>
              </w:rPr>
            </w:pPr>
            <w:r w:rsidRPr="00A30235">
              <w:rPr>
                <w:color w:val="auto"/>
              </w:rPr>
              <w:t>0.0410</w:t>
            </w:r>
          </w:p>
        </w:tc>
        <w:tc>
          <w:tcPr>
            <w:tcW w:w="898" w:type="pct"/>
          </w:tcPr>
          <w:p w:rsidR="005A2028" w:rsidRPr="00A30235" w:rsidRDefault="005A2028" w:rsidP="0089242F">
            <w:pPr>
              <w:rPr>
                <w:color w:val="auto"/>
              </w:rPr>
            </w:pPr>
            <w:r w:rsidRPr="00A30235">
              <w:rPr>
                <w:color w:val="auto"/>
              </w:rPr>
              <w:t>0.1749</w:t>
            </w:r>
          </w:p>
        </w:tc>
        <w:tc>
          <w:tcPr>
            <w:tcW w:w="898" w:type="pct"/>
          </w:tcPr>
          <w:p w:rsidR="005A2028" w:rsidRPr="00A30235" w:rsidRDefault="005A2028" w:rsidP="0089242F">
            <w:pPr>
              <w:rPr>
                <w:color w:val="auto"/>
              </w:rPr>
            </w:pPr>
            <w:r w:rsidRPr="00A30235">
              <w:rPr>
                <w:color w:val="auto"/>
              </w:rPr>
              <w:t>0.23</w:t>
            </w:r>
          </w:p>
        </w:tc>
        <w:tc>
          <w:tcPr>
            <w:tcW w:w="511" w:type="pct"/>
          </w:tcPr>
          <w:p w:rsidR="005A2028" w:rsidRPr="00A30235" w:rsidRDefault="005A2028" w:rsidP="0089242F">
            <w:pPr>
              <w:rPr>
                <w:color w:val="auto"/>
              </w:rPr>
            </w:pPr>
            <w:r w:rsidRPr="00A30235">
              <w:rPr>
                <w:color w:val="auto"/>
              </w:rPr>
              <w:t>0.8163</w:t>
            </w:r>
          </w:p>
        </w:tc>
      </w:tr>
      <w:tr w:rsidR="005A2028" w:rsidRPr="00A30235" w:rsidTr="0089242F">
        <w:tc>
          <w:tcPr>
            <w:tcW w:w="826" w:type="pct"/>
          </w:tcPr>
          <w:p w:rsidR="005A2028" w:rsidRPr="00A30235" w:rsidRDefault="005A2028" w:rsidP="0089242F">
            <w:pPr>
              <w:jc w:val="left"/>
              <w:rPr>
                <w:color w:val="auto"/>
              </w:rPr>
            </w:pPr>
          </w:p>
        </w:tc>
        <w:tc>
          <w:tcPr>
            <w:tcW w:w="968" w:type="pct"/>
          </w:tcPr>
          <w:p w:rsidR="005A2028" w:rsidRPr="00A30235" w:rsidRDefault="005A2028" w:rsidP="0089242F">
            <w:pPr>
              <w:rPr>
                <w:color w:val="auto"/>
              </w:rPr>
            </w:pPr>
            <w:r w:rsidRPr="00A30235">
              <w:rPr>
                <w:color w:val="auto"/>
              </w:rPr>
              <w:t>Inflation</w:t>
            </w:r>
            <w:r w:rsidRPr="00A30235">
              <w:rPr>
                <w:color w:val="auto"/>
                <w:vertAlign w:val="subscript"/>
              </w:rPr>
              <w:t>t-2</w:t>
            </w:r>
          </w:p>
        </w:tc>
        <w:tc>
          <w:tcPr>
            <w:tcW w:w="898" w:type="pct"/>
          </w:tcPr>
          <w:p w:rsidR="005A2028" w:rsidRPr="00A30235" w:rsidRDefault="005A2028" w:rsidP="0089242F">
            <w:pPr>
              <w:rPr>
                <w:color w:val="auto"/>
              </w:rPr>
            </w:pPr>
            <w:r w:rsidRPr="00A30235">
              <w:rPr>
                <w:color w:val="auto"/>
              </w:rPr>
              <w:t>-0.0506</w:t>
            </w:r>
          </w:p>
        </w:tc>
        <w:tc>
          <w:tcPr>
            <w:tcW w:w="898" w:type="pct"/>
          </w:tcPr>
          <w:p w:rsidR="005A2028" w:rsidRPr="00A30235" w:rsidRDefault="005A2028" w:rsidP="0089242F">
            <w:pPr>
              <w:rPr>
                <w:color w:val="auto"/>
              </w:rPr>
            </w:pPr>
            <w:r w:rsidRPr="00A30235">
              <w:rPr>
                <w:color w:val="auto"/>
              </w:rPr>
              <w:t>0.1838</w:t>
            </w:r>
          </w:p>
        </w:tc>
        <w:tc>
          <w:tcPr>
            <w:tcW w:w="898" w:type="pct"/>
          </w:tcPr>
          <w:p w:rsidR="005A2028" w:rsidRPr="00A30235" w:rsidRDefault="005A2028" w:rsidP="0089242F">
            <w:pPr>
              <w:rPr>
                <w:color w:val="auto"/>
              </w:rPr>
            </w:pPr>
            <w:r w:rsidRPr="00A30235">
              <w:rPr>
                <w:color w:val="auto"/>
              </w:rPr>
              <w:t>-0.28</w:t>
            </w:r>
          </w:p>
        </w:tc>
        <w:tc>
          <w:tcPr>
            <w:tcW w:w="511" w:type="pct"/>
          </w:tcPr>
          <w:p w:rsidR="005A2028" w:rsidRPr="00A30235" w:rsidRDefault="005A2028" w:rsidP="0089242F">
            <w:pPr>
              <w:rPr>
                <w:color w:val="auto"/>
              </w:rPr>
            </w:pPr>
            <w:r w:rsidRPr="00A30235">
              <w:rPr>
                <w:color w:val="auto"/>
              </w:rPr>
              <w:t>0.7849</w:t>
            </w:r>
          </w:p>
        </w:tc>
      </w:tr>
      <w:tr w:rsidR="005A2028" w:rsidRPr="00A30235" w:rsidTr="0089242F">
        <w:tc>
          <w:tcPr>
            <w:tcW w:w="826" w:type="pct"/>
          </w:tcPr>
          <w:p w:rsidR="005A2028" w:rsidRPr="00A30235" w:rsidRDefault="005A2028" w:rsidP="0089242F">
            <w:pPr>
              <w:jc w:val="left"/>
              <w:rPr>
                <w:color w:val="auto"/>
              </w:rPr>
            </w:pPr>
          </w:p>
        </w:tc>
        <w:tc>
          <w:tcPr>
            <w:tcW w:w="968" w:type="pct"/>
          </w:tcPr>
          <w:p w:rsidR="005A2028" w:rsidRPr="00A30235" w:rsidRDefault="005A2028" w:rsidP="0089242F">
            <w:pPr>
              <w:rPr>
                <w:color w:val="auto"/>
              </w:rPr>
            </w:pPr>
            <w:r w:rsidRPr="00A30235">
              <w:rPr>
                <w:color w:val="auto"/>
              </w:rPr>
              <w:t>GDP</w:t>
            </w:r>
            <w:r w:rsidRPr="00A30235">
              <w:rPr>
                <w:color w:val="auto"/>
                <w:vertAlign w:val="subscript"/>
              </w:rPr>
              <w:t>t-3</w:t>
            </w:r>
          </w:p>
        </w:tc>
        <w:tc>
          <w:tcPr>
            <w:tcW w:w="898" w:type="pct"/>
          </w:tcPr>
          <w:p w:rsidR="005A2028" w:rsidRPr="00A30235" w:rsidRDefault="005A2028" w:rsidP="0089242F">
            <w:pPr>
              <w:rPr>
                <w:color w:val="auto"/>
              </w:rPr>
            </w:pPr>
            <w:r w:rsidRPr="00A30235">
              <w:rPr>
                <w:color w:val="auto"/>
              </w:rPr>
              <w:t>0.0250</w:t>
            </w:r>
          </w:p>
        </w:tc>
        <w:tc>
          <w:tcPr>
            <w:tcW w:w="898" w:type="pct"/>
          </w:tcPr>
          <w:p w:rsidR="005A2028" w:rsidRPr="00A30235" w:rsidRDefault="005A2028" w:rsidP="0089242F">
            <w:pPr>
              <w:rPr>
                <w:color w:val="auto"/>
              </w:rPr>
            </w:pPr>
            <w:r w:rsidRPr="00A30235">
              <w:rPr>
                <w:color w:val="auto"/>
              </w:rPr>
              <w:t>0.1671</w:t>
            </w:r>
          </w:p>
        </w:tc>
        <w:tc>
          <w:tcPr>
            <w:tcW w:w="898" w:type="pct"/>
          </w:tcPr>
          <w:p w:rsidR="005A2028" w:rsidRPr="00A30235" w:rsidRDefault="005A2028" w:rsidP="0089242F">
            <w:pPr>
              <w:rPr>
                <w:color w:val="auto"/>
              </w:rPr>
            </w:pPr>
            <w:r w:rsidRPr="00A30235">
              <w:rPr>
                <w:color w:val="auto"/>
              </w:rPr>
              <w:t>0.15</w:t>
            </w:r>
          </w:p>
        </w:tc>
        <w:tc>
          <w:tcPr>
            <w:tcW w:w="511" w:type="pct"/>
          </w:tcPr>
          <w:p w:rsidR="005A2028" w:rsidRPr="00A30235" w:rsidRDefault="005A2028" w:rsidP="0089242F">
            <w:pPr>
              <w:rPr>
                <w:color w:val="auto"/>
              </w:rPr>
            </w:pPr>
            <w:r w:rsidRPr="00A30235">
              <w:rPr>
                <w:color w:val="auto"/>
              </w:rPr>
              <w:t>0.8821</w:t>
            </w:r>
          </w:p>
        </w:tc>
      </w:tr>
      <w:tr w:rsidR="005A2028" w:rsidRPr="00A30235" w:rsidTr="0089242F">
        <w:tc>
          <w:tcPr>
            <w:tcW w:w="826" w:type="pct"/>
          </w:tcPr>
          <w:p w:rsidR="005A2028" w:rsidRPr="00A30235" w:rsidRDefault="005A2028" w:rsidP="0089242F">
            <w:pPr>
              <w:jc w:val="left"/>
              <w:rPr>
                <w:color w:val="auto"/>
              </w:rPr>
            </w:pPr>
          </w:p>
        </w:tc>
        <w:tc>
          <w:tcPr>
            <w:tcW w:w="968" w:type="pct"/>
          </w:tcPr>
          <w:p w:rsidR="005A2028" w:rsidRPr="00A30235" w:rsidRDefault="005A2028" w:rsidP="0089242F">
            <w:pPr>
              <w:rPr>
                <w:color w:val="auto"/>
              </w:rPr>
            </w:pPr>
            <w:r w:rsidRPr="00A30235">
              <w:rPr>
                <w:color w:val="auto"/>
              </w:rPr>
              <w:t>Inflation</w:t>
            </w:r>
            <w:r w:rsidRPr="00A30235">
              <w:rPr>
                <w:color w:val="auto"/>
                <w:vertAlign w:val="subscript"/>
              </w:rPr>
              <w:t>t-3</w:t>
            </w:r>
          </w:p>
        </w:tc>
        <w:tc>
          <w:tcPr>
            <w:tcW w:w="898" w:type="pct"/>
          </w:tcPr>
          <w:p w:rsidR="005A2028" w:rsidRPr="00A30235" w:rsidRDefault="005A2028" w:rsidP="0089242F">
            <w:pPr>
              <w:rPr>
                <w:color w:val="auto"/>
              </w:rPr>
            </w:pPr>
            <w:r w:rsidRPr="00A30235">
              <w:rPr>
                <w:color w:val="auto"/>
              </w:rPr>
              <w:t>-0.1568</w:t>
            </w:r>
          </w:p>
        </w:tc>
        <w:tc>
          <w:tcPr>
            <w:tcW w:w="898" w:type="pct"/>
          </w:tcPr>
          <w:p w:rsidR="005A2028" w:rsidRPr="00A30235" w:rsidRDefault="005A2028" w:rsidP="0089242F">
            <w:pPr>
              <w:rPr>
                <w:color w:val="auto"/>
              </w:rPr>
            </w:pPr>
            <w:r w:rsidRPr="00A30235">
              <w:rPr>
                <w:color w:val="auto"/>
              </w:rPr>
              <w:t>0.1726</w:t>
            </w:r>
          </w:p>
        </w:tc>
        <w:tc>
          <w:tcPr>
            <w:tcW w:w="898" w:type="pct"/>
          </w:tcPr>
          <w:p w:rsidR="005A2028" w:rsidRPr="00A30235" w:rsidRDefault="005A2028" w:rsidP="0089242F">
            <w:pPr>
              <w:rPr>
                <w:color w:val="auto"/>
              </w:rPr>
            </w:pPr>
            <w:r w:rsidRPr="00A30235">
              <w:rPr>
                <w:color w:val="auto"/>
              </w:rPr>
              <w:t>-0.91</w:t>
            </w:r>
          </w:p>
        </w:tc>
        <w:tc>
          <w:tcPr>
            <w:tcW w:w="511" w:type="pct"/>
          </w:tcPr>
          <w:p w:rsidR="005A2028" w:rsidRPr="00A30235" w:rsidRDefault="005A2028" w:rsidP="0089242F">
            <w:pPr>
              <w:rPr>
                <w:color w:val="auto"/>
              </w:rPr>
            </w:pPr>
            <w:r w:rsidRPr="00A30235">
              <w:rPr>
                <w:color w:val="auto"/>
              </w:rPr>
              <w:t>0.3701</w:t>
            </w:r>
          </w:p>
        </w:tc>
      </w:tr>
    </w:tbl>
    <w:p w:rsidR="005A2028" w:rsidRPr="00A30235" w:rsidRDefault="005A2028" w:rsidP="005A2028">
      <w:pPr>
        <w:spacing w:line="240" w:lineRule="auto"/>
        <w:rPr>
          <w:rFonts w:eastAsia="Calibri"/>
          <w:i/>
          <w:iCs/>
          <w:sz w:val="18"/>
          <w:szCs w:val="18"/>
        </w:rPr>
      </w:pPr>
      <w:r w:rsidRPr="00A30235">
        <w:rPr>
          <w:rFonts w:eastAsia="Calibri"/>
          <w:i/>
          <w:iCs/>
          <w:sz w:val="18"/>
          <w:szCs w:val="18"/>
        </w:rPr>
        <w:t>Note. * indicated significance at the 0.05 level.</w:t>
      </w:r>
    </w:p>
    <w:p w:rsidR="005A2028" w:rsidRDefault="005A2028" w:rsidP="005A2028">
      <w:pPr>
        <w:pStyle w:val="MDPI31text"/>
      </w:pPr>
    </w:p>
    <w:p w:rsidR="005A2028" w:rsidRPr="00296F8E" w:rsidRDefault="005A2028" w:rsidP="005A2028">
      <w:pPr>
        <w:pStyle w:val="MDPI31text"/>
        <w:rPr>
          <w:iCs/>
        </w:rPr>
      </w:pPr>
      <w:r w:rsidRPr="00296F8E">
        <w:rPr>
          <w:iCs/>
        </w:rPr>
        <w:t>The dynamic properties of the VAR (3) were further summarized impulse response functions and variance decompositions. The</w:t>
      </w:r>
      <w:r w:rsidRPr="00296F8E">
        <w:t xml:space="preserve"> simple impulse response functions were used to quantify the impulse responses to shocks from either variable (inflation and GDP growth) over a 30-year period (</w:t>
      </w:r>
      <w:r w:rsidRPr="00296F8E">
        <w:fldChar w:fldCharType="begin"/>
      </w:r>
      <w:r w:rsidRPr="00296F8E">
        <w:instrText xml:space="preserve"> REF _Ref129167366 \h  \* MERGEFORMAT </w:instrText>
      </w:r>
      <w:r w:rsidRPr="00296F8E">
        <w:fldChar w:fldCharType="separate"/>
      </w:r>
      <w:r w:rsidRPr="00296F8E">
        <w:rPr>
          <w:i/>
          <w:iCs/>
        </w:rPr>
        <w:t>Figure 2.</w:t>
      </w:r>
      <w:r w:rsidRPr="00296F8E">
        <w:fldChar w:fldCharType="end"/>
      </w:r>
      <w:r w:rsidRPr="00296F8E">
        <w:t xml:space="preserve">). </w:t>
      </w:r>
      <w:r w:rsidRPr="00296F8E">
        <w:rPr>
          <w:iCs/>
        </w:rPr>
        <w:t xml:space="preserve">A unit shock in GDP growth 1) increased GDP growth by a maximum of 0.40 in the short-run and became ineffective in the long-run, and 2) increased inflation by a maximum of 0.12 in the short-run and became ineffective in the long-run. A unit shock in inflation 1) increased GDP growth by a maximum of 0.23 in the short-run and became ineffective in the long-run, and 2) increased inflation by a maximum of 0.53 in the short-run and became ineffective in the long-run. </w:t>
      </w:r>
    </w:p>
    <w:p w:rsidR="005A2028" w:rsidRDefault="005A2028" w:rsidP="005A2028">
      <w:pPr>
        <w:pStyle w:val="MDPI31text"/>
      </w:pPr>
    </w:p>
    <w:p w:rsidR="005A2028" w:rsidRDefault="005A2028" w:rsidP="005A2028">
      <w:pPr>
        <w:pStyle w:val="MDPI31text"/>
      </w:pPr>
    </w:p>
    <w:p w:rsidR="005A2028" w:rsidRPr="000642CE" w:rsidRDefault="005A2028" w:rsidP="005A2028">
      <w:pPr>
        <w:pStyle w:val="Caption"/>
        <w:spacing w:after="0"/>
        <w:ind w:left="1350"/>
        <w:rPr>
          <w:rFonts w:ascii="Palatino Linotype" w:hAnsi="Palatino Linotype" w:cstheme="majorBidi"/>
          <w:color w:val="auto"/>
        </w:rPr>
      </w:pPr>
      <w:bookmarkStart w:id="6" w:name="_Ref129167366"/>
      <w:r w:rsidRPr="00B33E7B">
        <w:rPr>
          <w:rFonts w:asciiTheme="majorBidi" w:hAnsiTheme="majorBidi" w:cstheme="majorBidi"/>
          <w:noProof/>
        </w:rPr>
        <w:lastRenderedPageBreak/>
        <w:drawing>
          <wp:anchor distT="0" distB="0" distL="114300" distR="114300" simplePos="0" relativeHeight="251662336" behindDoc="1" locked="0" layoutInCell="1" allowOverlap="1" wp14:anchorId="4AC68957" wp14:editId="3D8FA6B9">
            <wp:simplePos x="0" y="0"/>
            <wp:positionH relativeFrom="column">
              <wp:posOffset>852805</wp:posOffset>
            </wp:positionH>
            <wp:positionV relativeFrom="paragraph">
              <wp:posOffset>236855</wp:posOffset>
            </wp:positionV>
            <wp:extent cx="2801620" cy="21793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1620" cy="2179320"/>
                    </a:xfrm>
                    <a:prstGeom prst="rect">
                      <a:avLst/>
                    </a:prstGeom>
                    <a:noFill/>
                    <a:ln>
                      <a:noFill/>
                    </a:ln>
                  </pic:spPr>
                </pic:pic>
              </a:graphicData>
            </a:graphic>
          </wp:anchor>
        </w:drawing>
      </w:r>
      <w:r w:rsidRPr="00B33E7B">
        <w:rPr>
          <w:rFonts w:asciiTheme="majorBidi" w:hAnsiTheme="majorBidi" w:cstheme="majorBidi"/>
          <w:b/>
          <w:bCs/>
          <w:noProof/>
        </w:rPr>
        <w:drawing>
          <wp:anchor distT="0" distB="0" distL="114300" distR="114300" simplePos="0" relativeHeight="251659264" behindDoc="1" locked="0" layoutInCell="1" allowOverlap="1" wp14:anchorId="4AFBD20F" wp14:editId="39B674E6">
            <wp:simplePos x="0" y="0"/>
            <wp:positionH relativeFrom="margin">
              <wp:posOffset>3695065</wp:posOffset>
            </wp:positionH>
            <wp:positionV relativeFrom="paragraph">
              <wp:posOffset>227330</wp:posOffset>
            </wp:positionV>
            <wp:extent cx="2880564" cy="21793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564" cy="2179320"/>
                    </a:xfrm>
                    <a:prstGeom prst="rect">
                      <a:avLst/>
                    </a:prstGeom>
                    <a:noFill/>
                    <a:ln>
                      <a:noFill/>
                    </a:ln>
                  </pic:spPr>
                </pic:pic>
              </a:graphicData>
            </a:graphic>
            <wp14:sizeRelV relativeFrom="margin">
              <wp14:pctHeight>0</wp14:pctHeight>
            </wp14:sizeRelV>
          </wp:anchor>
        </w:drawing>
      </w:r>
      <w:r w:rsidRPr="000642CE">
        <w:rPr>
          <w:rFonts w:ascii="Palatino Linotype" w:hAnsi="Palatino Linotype" w:cstheme="majorBidi"/>
          <w:b/>
          <w:bCs/>
          <w:color w:val="auto"/>
        </w:rPr>
        <w:t xml:space="preserve">Figure </w:t>
      </w:r>
      <w:r w:rsidRPr="000642CE">
        <w:rPr>
          <w:rFonts w:ascii="Palatino Linotype" w:hAnsi="Palatino Linotype" w:cstheme="majorBidi"/>
          <w:b/>
          <w:bCs/>
          <w:color w:val="auto"/>
        </w:rPr>
        <w:fldChar w:fldCharType="begin"/>
      </w:r>
      <w:r w:rsidRPr="000642CE">
        <w:rPr>
          <w:rFonts w:ascii="Palatino Linotype" w:hAnsi="Palatino Linotype" w:cstheme="majorBidi"/>
          <w:b/>
          <w:bCs/>
          <w:color w:val="auto"/>
        </w:rPr>
        <w:instrText xml:space="preserve"> SEQ Figure \* ARABIC </w:instrText>
      </w:r>
      <w:r w:rsidRPr="000642CE">
        <w:rPr>
          <w:rFonts w:ascii="Palatino Linotype" w:hAnsi="Palatino Linotype" w:cstheme="majorBidi"/>
          <w:b/>
          <w:bCs/>
          <w:color w:val="auto"/>
        </w:rPr>
        <w:fldChar w:fldCharType="separate"/>
      </w:r>
      <w:r w:rsidRPr="000642CE">
        <w:rPr>
          <w:rFonts w:ascii="Palatino Linotype" w:hAnsi="Palatino Linotype" w:cstheme="majorBidi"/>
          <w:b/>
          <w:bCs/>
          <w:noProof/>
          <w:color w:val="auto"/>
        </w:rPr>
        <w:t>2</w:t>
      </w:r>
      <w:r w:rsidRPr="000642CE">
        <w:rPr>
          <w:rFonts w:ascii="Palatino Linotype" w:hAnsi="Palatino Linotype" w:cstheme="majorBidi"/>
          <w:b/>
          <w:bCs/>
          <w:color w:val="auto"/>
        </w:rPr>
        <w:fldChar w:fldCharType="end"/>
      </w:r>
      <w:r w:rsidRPr="000642CE">
        <w:rPr>
          <w:rFonts w:ascii="Palatino Linotype" w:hAnsi="Palatino Linotype" w:cstheme="majorBidi"/>
          <w:b/>
          <w:bCs/>
          <w:color w:val="auto"/>
        </w:rPr>
        <w:t>.</w:t>
      </w:r>
      <w:r w:rsidRPr="000642CE">
        <w:rPr>
          <w:rFonts w:ascii="Palatino Linotype" w:hAnsi="Palatino Linotype" w:cstheme="majorBidi"/>
          <w:color w:val="auto"/>
        </w:rPr>
        <w:t xml:space="preserve"> Plots of impulse responses.</w:t>
      </w:r>
      <w:bookmarkEnd w:id="6"/>
    </w:p>
    <w:p w:rsidR="005A2028" w:rsidRPr="000642CE" w:rsidRDefault="005A2028" w:rsidP="005A2028">
      <w:pPr>
        <w:keepNext/>
        <w:tabs>
          <w:tab w:val="left" w:pos="6163"/>
          <w:tab w:val="left" w:pos="7511"/>
          <w:tab w:val="left" w:pos="9539"/>
        </w:tabs>
        <w:spacing w:line="240" w:lineRule="auto"/>
        <w:ind w:left="1350"/>
        <w:rPr>
          <w:rFonts w:asciiTheme="majorBidi" w:hAnsiTheme="majorBidi" w:cstheme="majorBidi"/>
        </w:rPr>
      </w:pPr>
      <w:r w:rsidRPr="000642CE">
        <w:rPr>
          <w:rFonts w:cstheme="majorBidi"/>
          <w:i/>
          <w:iCs/>
          <w:sz w:val="18"/>
          <w:szCs w:val="18"/>
        </w:rPr>
        <w:t xml:space="preserve">Note. The two left-sided figures (“Response to impulse in </w:t>
      </w:r>
      <w:proofErr w:type="spellStart"/>
      <w:r w:rsidRPr="000642CE">
        <w:rPr>
          <w:rFonts w:cstheme="majorBidi"/>
          <w:i/>
          <w:iCs/>
          <w:sz w:val="18"/>
          <w:szCs w:val="18"/>
        </w:rPr>
        <w:t>gdp</w:t>
      </w:r>
      <w:proofErr w:type="spellEnd"/>
      <w:r w:rsidRPr="000642CE">
        <w:rPr>
          <w:rFonts w:cstheme="majorBidi"/>
          <w:i/>
          <w:iCs/>
          <w:sz w:val="18"/>
          <w:szCs w:val="18"/>
        </w:rPr>
        <w:t>”) show the responses of GDP growth and inflation to a forecast error impulse in GDP growth with two standard errors. The two right-sided figures (“Response to impulse in inflation”) show the responses of GDP growth and inflation to a forecast error impulse in inflation with two standard errors.</w:t>
      </w:r>
    </w:p>
    <w:p w:rsidR="005A2028" w:rsidRDefault="005A2028" w:rsidP="005A2028">
      <w:pPr>
        <w:pStyle w:val="MDPI31text"/>
      </w:pPr>
    </w:p>
    <w:p w:rsidR="005A2028" w:rsidRPr="00296F8E" w:rsidRDefault="005A2028" w:rsidP="005A2028">
      <w:pPr>
        <w:pStyle w:val="MDPI31text"/>
      </w:pPr>
      <w:r w:rsidRPr="00296F8E">
        <w:rPr>
          <w:iCs/>
        </w:rPr>
        <w:t>Variance decompositions were used to quantify how important each of the shocks is as a component of the overall variance of each of the variables over time (</w:t>
      </w:r>
      <w:r w:rsidRPr="00296F8E">
        <w:rPr>
          <w:iCs/>
        </w:rPr>
        <w:fldChar w:fldCharType="begin"/>
      </w:r>
      <w:r w:rsidRPr="00296F8E">
        <w:rPr>
          <w:iCs/>
        </w:rPr>
        <w:instrText xml:space="preserve"> REF _Ref129167453 \h  \* MERGEFORMAT </w:instrText>
      </w:r>
      <w:r w:rsidRPr="00296F8E">
        <w:rPr>
          <w:iCs/>
        </w:rPr>
      </w:r>
      <w:r w:rsidRPr="00296F8E">
        <w:rPr>
          <w:iCs/>
        </w:rPr>
        <w:fldChar w:fldCharType="separate"/>
      </w:r>
      <w:r w:rsidRPr="00296F8E">
        <w:t>Table 5</w:t>
      </w:r>
      <w:r w:rsidRPr="00296F8E">
        <w:fldChar w:fldCharType="end"/>
      </w:r>
      <w:r w:rsidRPr="00296F8E">
        <w:rPr>
          <w:iCs/>
        </w:rPr>
        <w:t xml:space="preserve">). </w:t>
      </w:r>
      <w:r w:rsidRPr="00296F8E">
        <w:t xml:space="preserve">85.82-99.96% of the 1-to-8-step-ahead prediction error </w:t>
      </w:r>
      <w:proofErr w:type="spellStart"/>
      <w:r w:rsidRPr="00296F8E">
        <w:t>covariances</w:t>
      </w:r>
      <w:proofErr w:type="spellEnd"/>
      <w:r w:rsidRPr="00296F8E">
        <w:t xml:space="preserve"> of GDP growth was accounted for by its own innovations and 0.04-14.18% was accounted for by the inflation innovations. 83.59-85.72% of the 1-to-8-step-ahead prediction error </w:t>
      </w:r>
      <w:proofErr w:type="spellStart"/>
      <w:r w:rsidRPr="00296F8E">
        <w:t>covariances</w:t>
      </w:r>
      <w:proofErr w:type="spellEnd"/>
      <w:r w:rsidRPr="00296F8E">
        <w:t xml:space="preserve"> of inflation was accounted for by its own innovations and 14.28-16.41% was accounted for by the GDP growth innovations. </w:t>
      </w:r>
    </w:p>
    <w:p w:rsidR="005A2028" w:rsidRDefault="005A2028" w:rsidP="005A2028">
      <w:pPr>
        <w:pStyle w:val="MDPI31text"/>
      </w:pPr>
    </w:p>
    <w:p w:rsidR="005A2028" w:rsidRDefault="005A2028" w:rsidP="005A2028">
      <w:pPr>
        <w:pStyle w:val="MDPI31text"/>
      </w:pPr>
    </w:p>
    <w:p w:rsidR="005A2028" w:rsidRPr="007200DE" w:rsidRDefault="005A2028" w:rsidP="005A2028">
      <w:pPr>
        <w:spacing w:line="240" w:lineRule="auto"/>
        <w:ind w:left="450"/>
        <w:rPr>
          <w:rFonts w:cstheme="majorBidi"/>
          <w:i/>
          <w:iCs/>
          <w:sz w:val="18"/>
          <w:szCs w:val="18"/>
        </w:rPr>
      </w:pPr>
      <w:bookmarkStart w:id="7" w:name="_Ref129167453"/>
      <w:r w:rsidRPr="007200DE">
        <w:rPr>
          <w:rFonts w:cstheme="majorBidi"/>
          <w:b/>
          <w:bCs/>
          <w:i/>
          <w:iCs/>
          <w:sz w:val="18"/>
          <w:szCs w:val="18"/>
        </w:rPr>
        <w:t xml:space="preserve">Table </w:t>
      </w:r>
      <w:r>
        <w:rPr>
          <w:rFonts w:cstheme="majorBidi"/>
          <w:b/>
          <w:bCs/>
          <w:i/>
          <w:iCs/>
          <w:sz w:val="18"/>
          <w:szCs w:val="18"/>
        </w:rPr>
        <w:t>6</w:t>
      </w:r>
      <w:r w:rsidRPr="007200DE">
        <w:rPr>
          <w:rFonts w:cstheme="majorBidi"/>
          <w:b/>
          <w:bCs/>
          <w:i/>
          <w:iCs/>
          <w:sz w:val="18"/>
          <w:szCs w:val="18"/>
        </w:rPr>
        <w:t>.</w:t>
      </w:r>
      <w:r w:rsidRPr="007200DE">
        <w:rPr>
          <w:rFonts w:cstheme="majorBidi"/>
          <w:i/>
          <w:iCs/>
          <w:sz w:val="18"/>
          <w:szCs w:val="18"/>
        </w:rPr>
        <w:t xml:space="preserve"> Proportions of decomposition of prediction error </w:t>
      </w:r>
      <w:proofErr w:type="spellStart"/>
      <w:r w:rsidRPr="007200DE">
        <w:rPr>
          <w:rFonts w:cstheme="majorBidi"/>
          <w:i/>
          <w:iCs/>
          <w:sz w:val="18"/>
          <w:szCs w:val="18"/>
        </w:rPr>
        <w:t>covariances</w:t>
      </w:r>
      <w:proofErr w:type="spellEnd"/>
      <w:r w:rsidRPr="007200DE">
        <w:rPr>
          <w:rFonts w:cstheme="majorBidi"/>
          <w:i/>
          <w:iCs/>
          <w:sz w:val="18"/>
          <w:szCs w:val="18"/>
        </w:rPr>
        <w:t xml:space="preserve"> of two variables.</w:t>
      </w:r>
      <w:bookmarkEnd w:id="7"/>
    </w:p>
    <w:tbl>
      <w:tblPr>
        <w:tblStyle w:val="MDPI41threelinetable"/>
        <w:tblW w:w="0" w:type="auto"/>
        <w:tblLook w:val="04A0" w:firstRow="1" w:lastRow="0" w:firstColumn="1" w:lastColumn="0" w:noHBand="0" w:noVBand="1"/>
      </w:tblPr>
      <w:tblGrid>
        <w:gridCol w:w="1885"/>
        <w:gridCol w:w="1980"/>
        <w:gridCol w:w="3147"/>
        <w:gridCol w:w="2338"/>
      </w:tblGrid>
      <w:tr w:rsidR="005A2028" w:rsidRPr="007200DE" w:rsidTr="0089242F">
        <w:trPr>
          <w:cnfStyle w:val="100000000000" w:firstRow="1" w:lastRow="0" w:firstColumn="0" w:lastColumn="0" w:oddVBand="0" w:evenVBand="0" w:oddHBand="0" w:evenHBand="0" w:firstRowFirstColumn="0" w:firstRowLastColumn="0" w:lastRowFirstColumn="0" w:lastRowLastColumn="0"/>
        </w:trPr>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p>
        </w:tc>
        <w:tc>
          <w:tcPr>
            <w:tcW w:w="5485" w:type="dxa"/>
            <w:gridSpan w:val="2"/>
          </w:tcPr>
          <w:p w:rsidR="005A2028" w:rsidRPr="007200DE" w:rsidRDefault="005A2028" w:rsidP="0089242F">
            <w:pPr>
              <w:rPr>
                <w:rFonts w:cstheme="majorBidi"/>
              </w:rPr>
            </w:pPr>
            <w:r w:rsidRPr="007200DE">
              <w:rPr>
                <w:rFonts w:cstheme="majorBidi"/>
              </w:rPr>
              <w:t xml:space="preserve">Proportions of prediction error </w:t>
            </w:r>
            <w:proofErr w:type="spellStart"/>
            <w:r w:rsidRPr="007200DE">
              <w:rPr>
                <w:rFonts w:cstheme="majorBidi"/>
              </w:rPr>
              <w:t>covariances</w:t>
            </w:r>
            <w:proofErr w:type="spellEnd"/>
            <w:r w:rsidRPr="007200DE">
              <w:rPr>
                <w:rFonts w:cstheme="majorBidi"/>
              </w:rPr>
              <w:t xml:space="preserve"> by variable</w:t>
            </w:r>
          </w:p>
        </w:tc>
      </w:tr>
      <w:tr w:rsidR="005A2028" w:rsidRPr="007200DE" w:rsidTr="0089242F">
        <w:tc>
          <w:tcPr>
            <w:tcW w:w="1885" w:type="dxa"/>
          </w:tcPr>
          <w:p w:rsidR="005A2028" w:rsidRPr="007200DE" w:rsidRDefault="005A2028" w:rsidP="0089242F">
            <w:pPr>
              <w:rPr>
                <w:rFonts w:cstheme="majorBidi"/>
              </w:rPr>
            </w:pPr>
            <w:r w:rsidRPr="007200DE">
              <w:rPr>
                <w:rFonts w:cstheme="majorBidi"/>
              </w:rPr>
              <w:t>Variable</w:t>
            </w:r>
          </w:p>
        </w:tc>
        <w:tc>
          <w:tcPr>
            <w:tcW w:w="1980" w:type="dxa"/>
          </w:tcPr>
          <w:p w:rsidR="005A2028" w:rsidRPr="007200DE" w:rsidRDefault="005A2028" w:rsidP="0089242F">
            <w:pPr>
              <w:rPr>
                <w:rFonts w:cstheme="majorBidi"/>
              </w:rPr>
            </w:pPr>
            <w:r w:rsidRPr="007200DE">
              <w:rPr>
                <w:rFonts w:cstheme="majorBidi"/>
              </w:rPr>
              <w:t>Lead</w:t>
            </w:r>
          </w:p>
        </w:tc>
        <w:tc>
          <w:tcPr>
            <w:tcW w:w="3147" w:type="dxa"/>
          </w:tcPr>
          <w:p w:rsidR="005A2028" w:rsidRPr="007200DE" w:rsidRDefault="005A2028" w:rsidP="0089242F">
            <w:pPr>
              <w:rPr>
                <w:rFonts w:cstheme="majorBidi"/>
              </w:rPr>
            </w:pPr>
            <w:r w:rsidRPr="007200DE">
              <w:rPr>
                <w:rFonts w:cstheme="majorBidi"/>
              </w:rPr>
              <w:t>GDP growth</w:t>
            </w:r>
          </w:p>
        </w:tc>
        <w:tc>
          <w:tcPr>
            <w:tcW w:w="2338" w:type="dxa"/>
          </w:tcPr>
          <w:p w:rsidR="005A2028" w:rsidRPr="007200DE" w:rsidRDefault="005A2028" w:rsidP="0089242F">
            <w:pPr>
              <w:rPr>
                <w:rFonts w:cstheme="majorBidi"/>
              </w:rPr>
            </w:pPr>
            <w:r w:rsidRPr="007200DE">
              <w:rPr>
                <w:rFonts w:cstheme="majorBidi"/>
              </w:rPr>
              <w:t>Inflation</w:t>
            </w:r>
          </w:p>
        </w:tc>
      </w:tr>
      <w:tr w:rsidR="005A2028" w:rsidRPr="007200DE" w:rsidTr="0089242F">
        <w:tc>
          <w:tcPr>
            <w:tcW w:w="1885" w:type="dxa"/>
          </w:tcPr>
          <w:p w:rsidR="005A2028" w:rsidRPr="007200DE" w:rsidRDefault="005A2028" w:rsidP="0089242F">
            <w:pPr>
              <w:rPr>
                <w:rFonts w:cstheme="majorBidi"/>
              </w:rPr>
            </w:pPr>
            <w:r w:rsidRPr="007200DE">
              <w:rPr>
                <w:rFonts w:cstheme="majorBidi"/>
              </w:rPr>
              <w:t>GDP growth</w:t>
            </w:r>
          </w:p>
        </w:tc>
        <w:tc>
          <w:tcPr>
            <w:tcW w:w="1980" w:type="dxa"/>
          </w:tcPr>
          <w:p w:rsidR="005A2028" w:rsidRPr="007200DE" w:rsidRDefault="005A2028" w:rsidP="0089242F">
            <w:pPr>
              <w:rPr>
                <w:rFonts w:cstheme="majorBidi"/>
              </w:rPr>
            </w:pPr>
            <w:r w:rsidRPr="007200DE">
              <w:rPr>
                <w:rFonts w:cstheme="majorBidi"/>
              </w:rPr>
              <w:t>1</w:t>
            </w:r>
          </w:p>
        </w:tc>
        <w:tc>
          <w:tcPr>
            <w:tcW w:w="3147" w:type="dxa"/>
          </w:tcPr>
          <w:p w:rsidR="005A2028" w:rsidRPr="007200DE" w:rsidRDefault="005A2028" w:rsidP="0089242F">
            <w:pPr>
              <w:rPr>
                <w:rFonts w:cstheme="majorBidi"/>
              </w:rPr>
            </w:pPr>
            <w:r w:rsidRPr="007200DE">
              <w:rPr>
                <w:rFonts w:cstheme="majorBidi"/>
              </w:rPr>
              <w:t>1</w:t>
            </w:r>
          </w:p>
        </w:tc>
        <w:tc>
          <w:tcPr>
            <w:tcW w:w="2338" w:type="dxa"/>
          </w:tcPr>
          <w:p w:rsidR="005A2028" w:rsidRPr="007200DE" w:rsidRDefault="005A2028" w:rsidP="0089242F">
            <w:pPr>
              <w:rPr>
                <w:rFonts w:cstheme="majorBidi"/>
              </w:rPr>
            </w:pPr>
            <w:r w:rsidRPr="007200DE">
              <w:rPr>
                <w:rFonts w:cstheme="majorBidi"/>
              </w:rPr>
              <w:t>0</w:t>
            </w:r>
          </w:p>
        </w:tc>
      </w:tr>
      <w:tr w:rsidR="005A2028" w:rsidRPr="007200DE" w:rsidTr="0089242F">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r w:rsidRPr="007200DE">
              <w:rPr>
                <w:rFonts w:cstheme="majorBidi"/>
              </w:rPr>
              <w:t>2</w:t>
            </w:r>
          </w:p>
        </w:tc>
        <w:tc>
          <w:tcPr>
            <w:tcW w:w="3147" w:type="dxa"/>
          </w:tcPr>
          <w:p w:rsidR="005A2028" w:rsidRPr="007200DE" w:rsidRDefault="005A2028" w:rsidP="0089242F">
            <w:pPr>
              <w:rPr>
                <w:rFonts w:cstheme="majorBidi"/>
              </w:rPr>
            </w:pPr>
            <w:r w:rsidRPr="007200DE">
              <w:rPr>
                <w:rFonts w:cstheme="majorBidi"/>
              </w:rPr>
              <w:t>0.9996</w:t>
            </w:r>
          </w:p>
        </w:tc>
        <w:tc>
          <w:tcPr>
            <w:tcW w:w="2338" w:type="dxa"/>
          </w:tcPr>
          <w:p w:rsidR="005A2028" w:rsidRPr="007200DE" w:rsidRDefault="005A2028" w:rsidP="0089242F">
            <w:pPr>
              <w:rPr>
                <w:rFonts w:cstheme="majorBidi"/>
              </w:rPr>
            </w:pPr>
            <w:r w:rsidRPr="007200DE">
              <w:rPr>
                <w:rFonts w:cstheme="majorBidi"/>
              </w:rPr>
              <w:t>0.0004</w:t>
            </w:r>
          </w:p>
        </w:tc>
      </w:tr>
      <w:tr w:rsidR="005A2028" w:rsidRPr="007200DE" w:rsidTr="0089242F">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r w:rsidRPr="007200DE">
              <w:rPr>
                <w:rFonts w:cstheme="majorBidi"/>
              </w:rPr>
              <w:t>3</w:t>
            </w:r>
          </w:p>
        </w:tc>
        <w:tc>
          <w:tcPr>
            <w:tcW w:w="3147" w:type="dxa"/>
          </w:tcPr>
          <w:p w:rsidR="005A2028" w:rsidRPr="007200DE" w:rsidRDefault="005A2028" w:rsidP="0089242F">
            <w:pPr>
              <w:rPr>
                <w:rFonts w:cstheme="majorBidi"/>
              </w:rPr>
            </w:pPr>
            <w:r w:rsidRPr="007200DE">
              <w:rPr>
                <w:rFonts w:cstheme="majorBidi"/>
              </w:rPr>
              <w:t>0.9488</w:t>
            </w:r>
          </w:p>
        </w:tc>
        <w:tc>
          <w:tcPr>
            <w:tcW w:w="2338" w:type="dxa"/>
          </w:tcPr>
          <w:p w:rsidR="005A2028" w:rsidRPr="007200DE" w:rsidRDefault="005A2028" w:rsidP="0089242F">
            <w:pPr>
              <w:rPr>
                <w:rFonts w:cstheme="majorBidi"/>
              </w:rPr>
            </w:pPr>
            <w:r w:rsidRPr="007200DE">
              <w:rPr>
                <w:rFonts w:cstheme="majorBidi"/>
              </w:rPr>
              <w:t>0.0512</w:t>
            </w:r>
          </w:p>
        </w:tc>
      </w:tr>
      <w:tr w:rsidR="005A2028" w:rsidRPr="007200DE" w:rsidTr="0089242F">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r w:rsidRPr="007200DE">
              <w:rPr>
                <w:rFonts w:cstheme="majorBidi"/>
              </w:rPr>
              <w:t>4</w:t>
            </w:r>
          </w:p>
        </w:tc>
        <w:tc>
          <w:tcPr>
            <w:tcW w:w="3147" w:type="dxa"/>
          </w:tcPr>
          <w:p w:rsidR="005A2028" w:rsidRPr="007200DE" w:rsidRDefault="005A2028" w:rsidP="0089242F">
            <w:pPr>
              <w:rPr>
                <w:rFonts w:cstheme="majorBidi"/>
              </w:rPr>
            </w:pPr>
            <w:r w:rsidRPr="007200DE">
              <w:rPr>
                <w:rFonts w:cstheme="majorBidi"/>
              </w:rPr>
              <w:t>0.9041</w:t>
            </w:r>
          </w:p>
        </w:tc>
        <w:tc>
          <w:tcPr>
            <w:tcW w:w="2338" w:type="dxa"/>
          </w:tcPr>
          <w:p w:rsidR="005A2028" w:rsidRPr="007200DE" w:rsidRDefault="005A2028" w:rsidP="0089242F">
            <w:pPr>
              <w:rPr>
                <w:rFonts w:cstheme="majorBidi"/>
              </w:rPr>
            </w:pPr>
            <w:r w:rsidRPr="007200DE">
              <w:rPr>
                <w:rFonts w:cstheme="majorBidi"/>
              </w:rPr>
              <w:t>0.0959</w:t>
            </w:r>
          </w:p>
        </w:tc>
      </w:tr>
      <w:tr w:rsidR="005A2028" w:rsidRPr="007200DE" w:rsidTr="0089242F">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r w:rsidRPr="007200DE">
              <w:rPr>
                <w:rFonts w:cstheme="majorBidi"/>
              </w:rPr>
              <w:t>5</w:t>
            </w:r>
          </w:p>
        </w:tc>
        <w:tc>
          <w:tcPr>
            <w:tcW w:w="3147" w:type="dxa"/>
          </w:tcPr>
          <w:p w:rsidR="005A2028" w:rsidRPr="007200DE" w:rsidRDefault="005A2028" w:rsidP="0089242F">
            <w:pPr>
              <w:rPr>
                <w:rFonts w:cstheme="majorBidi"/>
              </w:rPr>
            </w:pPr>
            <w:r w:rsidRPr="007200DE">
              <w:rPr>
                <w:rFonts w:cstheme="majorBidi"/>
              </w:rPr>
              <w:t>0.8644</w:t>
            </w:r>
          </w:p>
        </w:tc>
        <w:tc>
          <w:tcPr>
            <w:tcW w:w="2338" w:type="dxa"/>
          </w:tcPr>
          <w:p w:rsidR="005A2028" w:rsidRPr="007200DE" w:rsidRDefault="005A2028" w:rsidP="0089242F">
            <w:pPr>
              <w:rPr>
                <w:rFonts w:cstheme="majorBidi"/>
              </w:rPr>
            </w:pPr>
            <w:r w:rsidRPr="007200DE">
              <w:rPr>
                <w:rFonts w:cstheme="majorBidi"/>
              </w:rPr>
              <w:t>0.1356</w:t>
            </w:r>
          </w:p>
        </w:tc>
      </w:tr>
      <w:tr w:rsidR="005A2028" w:rsidRPr="007200DE" w:rsidTr="0089242F">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r w:rsidRPr="007200DE">
              <w:rPr>
                <w:rFonts w:cstheme="majorBidi"/>
              </w:rPr>
              <w:t>6</w:t>
            </w:r>
          </w:p>
        </w:tc>
        <w:tc>
          <w:tcPr>
            <w:tcW w:w="3147" w:type="dxa"/>
          </w:tcPr>
          <w:p w:rsidR="005A2028" w:rsidRPr="007200DE" w:rsidRDefault="005A2028" w:rsidP="0089242F">
            <w:pPr>
              <w:rPr>
                <w:rFonts w:cstheme="majorBidi"/>
              </w:rPr>
            </w:pPr>
            <w:r w:rsidRPr="007200DE">
              <w:rPr>
                <w:rFonts w:cstheme="majorBidi"/>
              </w:rPr>
              <w:t>0.8590</w:t>
            </w:r>
          </w:p>
        </w:tc>
        <w:tc>
          <w:tcPr>
            <w:tcW w:w="2338" w:type="dxa"/>
          </w:tcPr>
          <w:p w:rsidR="005A2028" w:rsidRPr="007200DE" w:rsidRDefault="005A2028" w:rsidP="0089242F">
            <w:pPr>
              <w:rPr>
                <w:rFonts w:cstheme="majorBidi"/>
              </w:rPr>
            </w:pPr>
            <w:r w:rsidRPr="007200DE">
              <w:rPr>
                <w:rFonts w:cstheme="majorBidi"/>
              </w:rPr>
              <w:t>0.1410</w:t>
            </w:r>
          </w:p>
        </w:tc>
      </w:tr>
      <w:tr w:rsidR="005A2028" w:rsidRPr="007200DE" w:rsidTr="0089242F">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r w:rsidRPr="007200DE">
              <w:rPr>
                <w:rFonts w:cstheme="majorBidi"/>
              </w:rPr>
              <w:t>7</w:t>
            </w:r>
          </w:p>
        </w:tc>
        <w:tc>
          <w:tcPr>
            <w:tcW w:w="3147" w:type="dxa"/>
          </w:tcPr>
          <w:p w:rsidR="005A2028" w:rsidRPr="007200DE" w:rsidRDefault="005A2028" w:rsidP="0089242F">
            <w:pPr>
              <w:rPr>
                <w:rFonts w:cstheme="majorBidi"/>
              </w:rPr>
            </w:pPr>
            <w:r w:rsidRPr="007200DE">
              <w:rPr>
                <w:rFonts w:cstheme="majorBidi"/>
              </w:rPr>
              <w:t>0.8587</w:t>
            </w:r>
          </w:p>
        </w:tc>
        <w:tc>
          <w:tcPr>
            <w:tcW w:w="2338" w:type="dxa"/>
          </w:tcPr>
          <w:p w:rsidR="005A2028" w:rsidRPr="007200DE" w:rsidRDefault="005A2028" w:rsidP="0089242F">
            <w:pPr>
              <w:rPr>
                <w:rFonts w:cstheme="majorBidi"/>
              </w:rPr>
            </w:pPr>
            <w:r w:rsidRPr="007200DE">
              <w:rPr>
                <w:rFonts w:cstheme="majorBidi"/>
              </w:rPr>
              <w:t>0.1413</w:t>
            </w:r>
          </w:p>
        </w:tc>
      </w:tr>
      <w:tr w:rsidR="005A2028" w:rsidRPr="007200DE" w:rsidTr="0089242F">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r w:rsidRPr="007200DE">
              <w:rPr>
                <w:rFonts w:cstheme="majorBidi"/>
              </w:rPr>
              <w:t>8</w:t>
            </w:r>
          </w:p>
        </w:tc>
        <w:tc>
          <w:tcPr>
            <w:tcW w:w="3147" w:type="dxa"/>
          </w:tcPr>
          <w:p w:rsidR="005A2028" w:rsidRPr="007200DE" w:rsidRDefault="005A2028" w:rsidP="0089242F">
            <w:pPr>
              <w:rPr>
                <w:rFonts w:cstheme="majorBidi"/>
              </w:rPr>
            </w:pPr>
            <w:r w:rsidRPr="007200DE">
              <w:rPr>
                <w:rFonts w:cstheme="majorBidi"/>
              </w:rPr>
              <w:t>0.8582</w:t>
            </w:r>
          </w:p>
        </w:tc>
        <w:tc>
          <w:tcPr>
            <w:tcW w:w="2338" w:type="dxa"/>
          </w:tcPr>
          <w:p w:rsidR="005A2028" w:rsidRPr="007200DE" w:rsidRDefault="005A2028" w:rsidP="0089242F">
            <w:pPr>
              <w:rPr>
                <w:rFonts w:cstheme="majorBidi"/>
              </w:rPr>
            </w:pPr>
            <w:r w:rsidRPr="007200DE">
              <w:rPr>
                <w:rFonts w:cstheme="majorBidi"/>
              </w:rPr>
              <w:t>0.1418</w:t>
            </w:r>
          </w:p>
        </w:tc>
      </w:tr>
      <w:tr w:rsidR="005A2028" w:rsidRPr="007200DE" w:rsidTr="0089242F">
        <w:tc>
          <w:tcPr>
            <w:tcW w:w="1885" w:type="dxa"/>
          </w:tcPr>
          <w:p w:rsidR="005A2028" w:rsidRPr="007200DE" w:rsidRDefault="005A2028" w:rsidP="0089242F">
            <w:pPr>
              <w:rPr>
                <w:rFonts w:cstheme="majorBidi"/>
              </w:rPr>
            </w:pPr>
            <w:r w:rsidRPr="007200DE">
              <w:rPr>
                <w:rFonts w:cstheme="majorBidi"/>
              </w:rPr>
              <w:t>Inflation</w:t>
            </w:r>
          </w:p>
        </w:tc>
        <w:tc>
          <w:tcPr>
            <w:tcW w:w="1980" w:type="dxa"/>
          </w:tcPr>
          <w:p w:rsidR="005A2028" w:rsidRPr="007200DE" w:rsidRDefault="005A2028" w:rsidP="0089242F">
            <w:pPr>
              <w:rPr>
                <w:rFonts w:cstheme="majorBidi"/>
              </w:rPr>
            </w:pPr>
            <w:r w:rsidRPr="007200DE">
              <w:rPr>
                <w:rFonts w:cstheme="majorBidi"/>
              </w:rPr>
              <w:t>1</w:t>
            </w:r>
          </w:p>
        </w:tc>
        <w:tc>
          <w:tcPr>
            <w:tcW w:w="3147" w:type="dxa"/>
          </w:tcPr>
          <w:p w:rsidR="005A2028" w:rsidRPr="007200DE" w:rsidRDefault="005A2028" w:rsidP="0089242F">
            <w:pPr>
              <w:rPr>
                <w:rFonts w:cstheme="majorBidi"/>
              </w:rPr>
            </w:pPr>
            <w:r w:rsidRPr="007200DE">
              <w:rPr>
                <w:rFonts w:cstheme="majorBidi"/>
              </w:rPr>
              <w:t>0.1641</w:t>
            </w:r>
          </w:p>
        </w:tc>
        <w:tc>
          <w:tcPr>
            <w:tcW w:w="2338" w:type="dxa"/>
          </w:tcPr>
          <w:p w:rsidR="005A2028" w:rsidRPr="007200DE" w:rsidRDefault="005A2028" w:rsidP="0089242F">
            <w:pPr>
              <w:rPr>
                <w:rFonts w:cstheme="majorBidi"/>
              </w:rPr>
            </w:pPr>
            <w:r w:rsidRPr="007200DE">
              <w:rPr>
                <w:rFonts w:cstheme="majorBidi"/>
              </w:rPr>
              <w:t>0.8359</w:t>
            </w:r>
          </w:p>
        </w:tc>
      </w:tr>
      <w:tr w:rsidR="005A2028" w:rsidRPr="007200DE" w:rsidTr="0089242F">
        <w:tc>
          <w:tcPr>
            <w:tcW w:w="1885" w:type="dxa"/>
          </w:tcPr>
          <w:p w:rsidR="005A2028" w:rsidRPr="007200DE" w:rsidRDefault="005A2028" w:rsidP="0089242F">
            <w:pPr>
              <w:rPr>
                <w:rFonts w:cstheme="majorBidi"/>
                <w:b/>
                <w:bCs/>
              </w:rPr>
            </w:pPr>
          </w:p>
        </w:tc>
        <w:tc>
          <w:tcPr>
            <w:tcW w:w="1980" w:type="dxa"/>
          </w:tcPr>
          <w:p w:rsidR="005A2028" w:rsidRPr="007200DE" w:rsidRDefault="005A2028" w:rsidP="0089242F">
            <w:pPr>
              <w:rPr>
                <w:rFonts w:cstheme="majorBidi"/>
              </w:rPr>
            </w:pPr>
            <w:r w:rsidRPr="007200DE">
              <w:rPr>
                <w:rFonts w:cstheme="majorBidi"/>
              </w:rPr>
              <w:t>2</w:t>
            </w:r>
          </w:p>
        </w:tc>
        <w:tc>
          <w:tcPr>
            <w:tcW w:w="3147" w:type="dxa"/>
          </w:tcPr>
          <w:p w:rsidR="005A2028" w:rsidRPr="007200DE" w:rsidRDefault="005A2028" w:rsidP="0089242F">
            <w:pPr>
              <w:rPr>
                <w:rFonts w:cstheme="majorBidi"/>
              </w:rPr>
            </w:pPr>
            <w:r w:rsidRPr="007200DE">
              <w:rPr>
                <w:rFonts w:cstheme="majorBidi"/>
              </w:rPr>
              <w:t>0.1478</w:t>
            </w:r>
          </w:p>
        </w:tc>
        <w:tc>
          <w:tcPr>
            <w:tcW w:w="2338" w:type="dxa"/>
          </w:tcPr>
          <w:p w:rsidR="005A2028" w:rsidRPr="007200DE" w:rsidRDefault="005A2028" w:rsidP="0089242F">
            <w:pPr>
              <w:rPr>
                <w:rFonts w:cstheme="majorBidi"/>
              </w:rPr>
            </w:pPr>
            <w:r w:rsidRPr="007200DE">
              <w:rPr>
                <w:rFonts w:cstheme="majorBidi"/>
              </w:rPr>
              <w:t>0.8522</w:t>
            </w:r>
          </w:p>
        </w:tc>
      </w:tr>
      <w:tr w:rsidR="005A2028" w:rsidRPr="007200DE" w:rsidTr="0089242F">
        <w:tc>
          <w:tcPr>
            <w:tcW w:w="1885" w:type="dxa"/>
          </w:tcPr>
          <w:p w:rsidR="005A2028" w:rsidRPr="007200DE" w:rsidRDefault="005A2028" w:rsidP="0089242F">
            <w:pPr>
              <w:rPr>
                <w:rFonts w:cstheme="majorBidi"/>
                <w:b/>
                <w:bCs/>
              </w:rPr>
            </w:pPr>
          </w:p>
        </w:tc>
        <w:tc>
          <w:tcPr>
            <w:tcW w:w="1980" w:type="dxa"/>
          </w:tcPr>
          <w:p w:rsidR="005A2028" w:rsidRPr="007200DE" w:rsidRDefault="005A2028" w:rsidP="0089242F">
            <w:pPr>
              <w:rPr>
                <w:rFonts w:cstheme="majorBidi"/>
              </w:rPr>
            </w:pPr>
            <w:r w:rsidRPr="007200DE">
              <w:rPr>
                <w:rFonts w:cstheme="majorBidi"/>
              </w:rPr>
              <w:t>3</w:t>
            </w:r>
          </w:p>
        </w:tc>
        <w:tc>
          <w:tcPr>
            <w:tcW w:w="3147" w:type="dxa"/>
          </w:tcPr>
          <w:p w:rsidR="005A2028" w:rsidRPr="007200DE" w:rsidRDefault="005A2028" w:rsidP="0089242F">
            <w:pPr>
              <w:rPr>
                <w:rFonts w:cstheme="majorBidi"/>
              </w:rPr>
            </w:pPr>
            <w:r w:rsidRPr="007200DE">
              <w:rPr>
                <w:rFonts w:cstheme="majorBidi"/>
              </w:rPr>
              <w:t>0.1428</w:t>
            </w:r>
          </w:p>
        </w:tc>
        <w:tc>
          <w:tcPr>
            <w:tcW w:w="2338" w:type="dxa"/>
          </w:tcPr>
          <w:p w:rsidR="005A2028" w:rsidRPr="007200DE" w:rsidRDefault="005A2028" w:rsidP="0089242F">
            <w:pPr>
              <w:rPr>
                <w:rFonts w:cstheme="majorBidi"/>
              </w:rPr>
            </w:pPr>
            <w:r w:rsidRPr="007200DE">
              <w:rPr>
                <w:rFonts w:cstheme="majorBidi"/>
              </w:rPr>
              <w:t>0.8572</w:t>
            </w:r>
          </w:p>
        </w:tc>
      </w:tr>
      <w:tr w:rsidR="005A2028" w:rsidRPr="007200DE" w:rsidTr="0089242F">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r w:rsidRPr="007200DE">
              <w:rPr>
                <w:rFonts w:cstheme="majorBidi"/>
              </w:rPr>
              <w:t>4</w:t>
            </w:r>
          </w:p>
        </w:tc>
        <w:tc>
          <w:tcPr>
            <w:tcW w:w="3147" w:type="dxa"/>
          </w:tcPr>
          <w:p w:rsidR="005A2028" w:rsidRPr="007200DE" w:rsidRDefault="005A2028" w:rsidP="0089242F">
            <w:pPr>
              <w:rPr>
                <w:rFonts w:cstheme="majorBidi"/>
              </w:rPr>
            </w:pPr>
            <w:r w:rsidRPr="007200DE">
              <w:rPr>
                <w:rFonts w:cstheme="majorBidi"/>
              </w:rPr>
              <w:t>0.1518</w:t>
            </w:r>
          </w:p>
        </w:tc>
        <w:tc>
          <w:tcPr>
            <w:tcW w:w="2338" w:type="dxa"/>
          </w:tcPr>
          <w:p w:rsidR="005A2028" w:rsidRPr="007200DE" w:rsidRDefault="005A2028" w:rsidP="0089242F">
            <w:pPr>
              <w:rPr>
                <w:rFonts w:cstheme="majorBidi"/>
              </w:rPr>
            </w:pPr>
            <w:r w:rsidRPr="007200DE">
              <w:rPr>
                <w:rFonts w:cstheme="majorBidi"/>
              </w:rPr>
              <w:t>0.8482</w:t>
            </w:r>
          </w:p>
        </w:tc>
      </w:tr>
      <w:tr w:rsidR="005A2028" w:rsidRPr="007200DE" w:rsidTr="0089242F">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r w:rsidRPr="007200DE">
              <w:rPr>
                <w:rFonts w:cstheme="majorBidi"/>
              </w:rPr>
              <w:t>5</w:t>
            </w:r>
          </w:p>
        </w:tc>
        <w:tc>
          <w:tcPr>
            <w:tcW w:w="3147" w:type="dxa"/>
          </w:tcPr>
          <w:p w:rsidR="005A2028" w:rsidRPr="007200DE" w:rsidRDefault="005A2028" w:rsidP="0089242F">
            <w:pPr>
              <w:rPr>
                <w:rFonts w:cstheme="majorBidi"/>
              </w:rPr>
            </w:pPr>
            <w:r w:rsidRPr="007200DE">
              <w:rPr>
                <w:rFonts w:cstheme="majorBidi"/>
              </w:rPr>
              <w:t>0.1565</w:t>
            </w:r>
          </w:p>
        </w:tc>
        <w:tc>
          <w:tcPr>
            <w:tcW w:w="2338" w:type="dxa"/>
          </w:tcPr>
          <w:p w:rsidR="005A2028" w:rsidRPr="007200DE" w:rsidRDefault="005A2028" w:rsidP="0089242F">
            <w:pPr>
              <w:rPr>
                <w:rFonts w:cstheme="majorBidi"/>
              </w:rPr>
            </w:pPr>
            <w:r w:rsidRPr="007200DE">
              <w:rPr>
                <w:rFonts w:cstheme="majorBidi"/>
              </w:rPr>
              <w:t>0.8435</w:t>
            </w:r>
          </w:p>
        </w:tc>
      </w:tr>
      <w:tr w:rsidR="005A2028" w:rsidRPr="007200DE" w:rsidTr="0089242F">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r w:rsidRPr="007200DE">
              <w:rPr>
                <w:rFonts w:cstheme="majorBidi"/>
              </w:rPr>
              <w:t>6</w:t>
            </w:r>
          </w:p>
        </w:tc>
        <w:tc>
          <w:tcPr>
            <w:tcW w:w="3147" w:type="dxa"/>
          </w:tcPr>
          <w:p w:rsidR="005A2028" w:rsidRPr="007200DE" w:rsidRDefault="005A2028" w:rsidP="0089242F">
            <w:pPr>
              <w:rPr>
                <w:rFonts w:cstheme="majorBidi"/>
              </w:rPr>
            </w:pPr>
            <w:r w:rsidRPr="007200DE">
              <w:rPr>
                <w:rFonts w:cstheme="majorBidi"/>
              </w:rPr>
              <w:t>0.1577</w:t>
            </w:r>
          </w:p>
        </w:tc>
        <w:tc>
          <w:tcPr>
            <w:tcW w:w="2338" w:type="dxa"/>
          </w:tcPr>
          <w:p w:rsidR="005A2028" w:rsidRPr="007200DE" w:rsidRDefault="005A2028" w:rsidP="0089242F">
            <w:pPr>
              <w:rPr>
                <w:rFonts w:cstheme="majorBidi"/>
              </w:rPr>
            </w:pPr>
            <w:r w:rsidRPr="007200DE">
              <w:rPr>
                <w:rFonts w:cstheme="majorBidi"/>
              </w:rPr>
              <w:t>0.8423</w:t>
            </w:r>
          </w:p>
        </w:tc>
      </w:tr>
      <w:tr w:rsidR="005A2028" w:rsidRPr="007200DE" w:rsidTr="0089242F">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r w:rsidRPr="007200DE">
              <w:rPr>
                <w:rFonts w:cstheme="majorBidi"/>
              </w:rPr>
              <w:t>7</w:t>
            </w:r>
          </w:p>
        </w:tc>
        <w:tc>
          <w:tcPr>
            <w:tcW w:w="3147" w:type="dxa"/>
          </w:tcPr>
          <w:p w:rsidR="005A2028" w:rsidRPr="007200DE" w:rsidRDefault="005A2028" w:rsidP="0089242F">
            <w:pPr>
              <w:rPr>
                <w:rFonts w:cstheme="majorBidi"/>
              </w:rPr>
            </w:pPr>
            <w:r w:rsidRPr="007200DE">
              <w:rPr>
                <w:rFonts w:cstheme="majorBidi"/>
              </w:rPr>
              <w:t>0.1577</w:t>
            </w:r>
          </w:p>
        </w:tc>
        <w:tc>
          <w:tcPr>
            <w:tcW w:w="2338" w:type="dxa"/>
          </w:tcPr>
          <w:p w:rsidR="005A2028" w:rsidRPr="007200DE" w:rsidRDefault="005A2028" w:rsidP="0089242F">
            <w:pPr>
              <w:rPr>
                <w:rFonts w:cstheme="majorBidi"/>
              </w:rPr>
            </w:pPr>
            <w:r w:rsidRPr="007200DE">
              <w:rPr>
                <w:rFonts w:cstheme="majorBidi"/>
              </w:rPr>
              <w:t>0.8423</w:t>
            </w:r>
          </w:p>
        </w:tc>
      </w:tr>
      <w:tr w:rsidR="005A2028" w:rsidRPr="007200DE" w:rsidTr="0089242F">
        <w:tc>
          <w:tcPr>
            <w:tcW w:w="1885" w:type="dxa"/>
          </w:tcPr>
          <w:p w:rsidR="005A2028" w:rsidRPr="007200DE" w:rsidRDefault="005A2028" w:rsidP="0089242F">
            <w:pPr>
              <w:rPr>
                <w:rFonts w:cstheme="majorBidi"/>
              </w:rPr>
            </w:pPr>
          </w:p>
        </w:tc>
        <w:tc>
          <w:tcPr>
            <w:tcW w:w="1980" w:type="dxa"/>
          </w:tcPr>
          <w:p w:rsidR="005A2028" w:rsidRPr="007200DE" w:rsidRDefault="005A2028" w:rsidP="0089242F">
            <w:pPr>
              <w:rPr>
                <w:rFonts w:cstheme="majorBidi"/>
              </w:rPr>
            </w:pPr>
            <w:r w:rsidRPr="007200DE">
              <w:rPr>
                <w:rFonts w:cstheme="majorBidi"/>
              </w:rPr>
              <w:t>8</w:t>
            </w:r>
          </w:p>
        </w:tc>
        <w:tc>
          <w:tcPr>
            <w:tcW w:w="3147" w:type="dxa"/>
          </w:tcPr>
          <w:p w:rsidR="005A2028" w:rsidRPr="007200DE" w:rsidRDefault="005A2028" w:rsidP="0089242F">
            <w:pPr>
              <w:rPr>
                <w:rFonts w:cstheme="majorBidi"/>
              </w:rPr>
            </w:pPr>
            <w:r w:rsidRPr="007200DE">
              <w:rPr>
                <w:rFonts w:cstheme="majorBidi"/>
              </w:rPr>
              <w:t>0.1578</w:t>
            </w:r>
          </w:p>
        </w:tc>
        <w:tc>
          <w:tcPr>
            <w:tcW w:w="2338" w:type="dxa"/>
          </w:tcPr>
          <w:p w:rsidR="005A2028" w:rsidRPr="007200DE" w:rsidRDefault="005A2028" w:rsidP="0089242F">
            <w:pPr>
              <w:rPr>
                <w:rFonts w:cstheme="majorBidi"/>
              </w:rPr>
            </w:pPr>
            <w:r w:rsidRPr="007200DE">
              <w:rPr>
                <w:rFonts w:cstheme="majorBidi"/>
              </w:rPr>
              <w:t>0.8422</w:t>
            </w:r>
          </w:p>
        </w:tc>
      </w:tr>
    </w:tbl>
    <w:p w:rsidR="005A2028" w:rsidRPr="007200DE" w:rsidRDefault="005A2028" w:rsidP="005A2028">
      <w:pPr>
        <w:pStyle w:val="MDPI31text"/>
        <w:rPr>
          <w:sz w:val="18"/>
          <w:szCs w:val="18"/>
        </w:rPr>
      </w:pPr>
      <w:r w:rsidRPr="007200DE">
        <w:rPr>
          <w:rFonts w:cstheme="majorBidi"/>
          <w:sz w:val="18"/>
          <w:szCs w:val="18"/>
        </w:rPr>
        <w:br/>
      </w:r>
    </w:p>
    <w:p w:rsidR="005A2028" w:rsidRDefault="005A2028" w:rsidP="005A2028">
      <w:pPr>
        <w:pStyle w:val="MDPI31text"/>
      </w:pPr>
    </w:p>
    <w:p w:rsidR="00A5146B" w:rsidRDefault="00A5146B" w:rsidP="005A2028">
      <w:pPr>
        <w:pStyle w:val="MDPI31text"/>
      </w:pPr>
    </w:p>
    <w:p w:rsidR="00A5146B" w:rsidRPr="00325902" w:rsidRDefault="00A5146B" w:rsidP="005A2028">
      <w:pPr>
        <w:pStyle w:val="MDPI31text"/>
      </w:pPr>
    </w:p>
    <w:p w:rsidR="005A2028" w:rsidRPr="00325902" w:rsidRDefault="005A2028" w:rsidP="005A2028">
      <w:pPr>
        <w:pStyle w:val="MDPI21heading1"/>
      </w:pPr>
      <w:r>
        <w:lastRenderedPageBreak/>
        <w:t>5. Conclusion</w:t>
      </w:r>
    </w:p>
    <w:p w:rsidR="005A2028" w:rsidRDefault="005A2028" w:rsidP="005A2028">
      <w:pPr>
        <w:pStyle w:val="MDPI31text"/>
      </w:pPr>
      <w:r w:rsidRPr="00296F8E">
        <w:t xml:space="preserve">This study conducted a two-variable VAR model with three lags to examine both, the short-run and long-run relationships between inflation and economic growth (measured as GDP growth) in Jordan during the period (1977-2021). The dynamic properties of the VAR (3) were summarized using impulse response functions and variance decompositions. Although there was no long-run relationship between inflation and economic growth, there may be a positive short-run relationship between inflation and economic growth in Jordan from 1977 to 2021. </w:t>
      </w:r>
    </w:p>
    <w:p w:rsidR="005A2028" w:rsidRDefault="005A2028" w:rsidP="005A2028">
      <w:pPr>
        <w:pStyle w:val="MDPI31text"/>
      </w:pPr>
      <w:r w:rsidRPr="00296F8E">
        <w:t xml:space="preserve">The evidence on the Jordanian case shows that the level of economic activity and price increase does not interplay; reflecting </w:t>
      </w:r>
      <w:r>
        <w:t xml:space="preserve">the current </w:t>
      </w:r>
      <w:r w:rsidRPr="00296F8E">
        <w:t xml:space="preserve">monetary policy, which might deter achieving SDG goal eight in enhancing economic growth and employment for all. The presented work proves that countries -practically developing countries- economic structure, employment availability, and government resources differ from developed countries. That is in tandem with what </w:t>
      </w:r>
      <w:sdt>
        <w:sdtPr>
          <w:id w:val="-1956625455"/>
          <w:citation/>
        </w:sdtPr>
        <w:sdtContent>
          <w:r w:rsidRPr="00296F8E">
            <w:fldChar w:fldCharType="begin"/>
          </w:r>
          <w:r w:rsidRPr="00296F8E">
            <w:instrText xml:space="preserve"> CITATION Pau97 \l 1033 </w:instrText>
          </w:r>
          <w:r w:rsidRPr="00296F8E">
            <w:fldChar w:fldCharType="separate"/>
          </w:r>
          <w:r w:rsidRPr="00296F8E">
            <w:t>(Paul, et al., 1997)</w:t>
          </w:r>
          <w:r w:rsidRPr="00296F8E">
            <w:fldChar w:fldCharType="end"/>
          </w:r>
        </w:sdtContent>
      </w:sdt>
      <w:r w:rsidRPr="00296F8E">
        <w:t xml:space="preserve"> found in some African, developing Asian countries, and some Latin American countries, where no causal relationship between inflation and GDP was found. Most developing countries have no trade-off (zero opportunity cost) between inflation and economic growth. This study contributes to the existing literature by providing empirical evidence on the relationship between inflation and economic growth in Jordan.</w:t>
      </w:r>
      <w:r>
        <w:t xml:space="preserve"> </w:t>
      </w:r>
    </w:p>
    <w:p w:rsidR="009E040D" w:rsidRDefault="005A2028" w:rsidP="005A2028">
      <w:pPr>
        <w:pStyle w:val="MDPI31text"/>
      </w:pPr>
      <w:r w:rsidRPr="00056018">
        <w:t>Based on that finding, Jordan can improve</w:t>
      </w:r>
      <w:r>
        <w:t xml:space="preserve"> its performance</w:t>
      </w:r>
      <w:r w:rsidRPr="00056018">
        <w:t xml:space="preserve"> by enacting more efficient monetary policies to deal with the problem of a lack of interaction between economic activity and price growth. This can aid in achieving SDG Goal 8, which is to improve economic growth and employment opportunities for all. </w:t>
      </w:r>
      <w:r>
        <w:t xml:space="preserve">Theoretically speaking, </w:t>
      </w:r>
      <w:r w:rsidRPr="00056018">
        <w:t xml:space="preserve">Jordan </w:t>
      </w:r>
      <w:r>
        <w:t xml:space="preserve">has the ability </w:t>
      </w:r>
      <w:r w:rsidRPr="00056018">
        <w:t>to boost economic activity, control price stability, and foster an environment that will lead to sustained economic growth and more job opportunities by reviewing and improving their mo</w:t>
      </w:r>
      <w:r>
        <w:t xml:space="preserve">netary policy framework. Within the same framework, the country can </w:t>
      </w:r>
      <w:r w:rsidRPr="00056018">
        <w:t>benefit from concentrating on enhancing its economic foundation, expanding employment opportunities, and maximizing government resources in order to better meet the unique needs and characteristics of developing nations.</w:t>
      </w:r>
    </w:p>
    <w:p w:rsidR="005A2028" w:rsidRDefault="005A2028" w:rsidP="005A2028">
      <w:pPr>
        <w:pStyle w:val="MDPI31text"/>
      </w:pPr>
      <w:r>
        <w:br/>
      </w:r>
    </w:p>
    <w:p w:rsidR="005A2028" w:rsidRDefault="005A2028" w:rsidP="005A2028">
      <w:pPr>
        <w:pStyle w:val="MDPI31text"/>
      </w:pPr>
    </w:p>
    <w:p w:rsidR="005A2028" w:rsidRPr="00B14585" w:rsidRDefault="00A5146B" w:rsidP="00A5146B">
      <w:pPr>
        <w:pStyle w:val="MDPI31text"/>
        <w:ind w:left="0" w:firstLine="0"/>
        <w:rPr>
          <w:b/>
          <w:bCs/>
        </w:rPr>
      </w:pPr>
      <w:r>
        <w:rPr>
          <w:b/>
          <w:bCs/>
        </w:rPr>
        <w:t xml:space="preserve">                                                  </w:t>
      </w:r>
      <w:r w:rsidR="005A2028" w:rsidRPr="00B14585">
        <w:rPr>
          <w:b/>
          <w:bCs/>
        </w:rPr>
        <w:t xml:space="preserve">Appendix I. Supplementary </w:t>
      </w:r>
      <w:r w:rsidR="005A2028">
        <w:rPr>
          <w:b/>
          <w:bCs/>
        </w:rPr>
        <w:t>D</w:t>
      </w:r>
      <w:r w:rsidR="005A2028" w:rsidRPr="00B14585">
        <w:rPr>
          <w:b/>
          <w:bCs/>
        </w:rPr>
        <w:t xml:space="preserve">ata  </w:t>
      </w:r>
    </w:p>
    <w:p w:rsidR="005A2028" w:rsidRPr="00B14585" w:rsidRDefault="005A2028" w:rsidP="005A2028">
      <w:pPr>
        <w:pStyle w:val="MDPI31text"/>
      </w:pPr>
      <w:r w:rsidRPr="00B14585">
        <w:t>Durbin-Watson test statistics were used to test the null hypothesis that the residuals were uncorrelated (Brooks, 2014). The Durbin-Watson test statistics were 2.0360 and 2.0212 for GDP growth and inflation (Table A1), respectively, which indicated that the residuals for the VAR were uncorrelated.</w:t>
      </w:r>
    </w:p>
    <w:p w:rsidR="005A2028" w:rsidRPr="00B14585" w:rsidRDefault="005A2028" w:rsidP="005A2028">
      <w:pPr>
        <w:pStyle w:val="MDPI31text"/>
      </w:pPr>
    </w:p>
    <w:p w:rsidR="005A2028" w:rsidRPr="00B14585" w:rsidRDefault="005A2028" w:rsidP="005A2028">
      <w:pPr>
        <w:pStyle w:val="MDPI31text"/>
      </w:pPr>
      <w:r w:rsidRPr="00B14585">
        <w:t xml:space="preserve">The </w:t>
      </w:r>
      <w:proofErr w:type="spellStart"/>
      <w:r w:rsidRPr="00B14585">
        <w:t>Jarque-Bera</w:t>
      </w:r>
      <w:proofErr w:type="spellEnd"/>
      <w:r w:rsidRPr="00B14585">
        <w:t xml:space="preserve"> normality test statistics and quantile-quantile (QQ) plots were used to determine if the residuals were normally distributed. The results of the </w:t>
      </w:r>
      <w:proofErr w:type="spellStart"/>
      <w:r w:rsidRPr="00B14585">
        <w:t>Jarque-Bera</w:t>
      </w:r>
      <w:proofErr w:type="spellEnd"/>
      <w:r w:rsidRPr="00B14585">
        <w:t xml:space="preserve"> normality tests suggested that the residuals may not be normally distributed (p &lt; 0.0001, Table A1). However, the QQ plots (Figure A1) indicated that the residuals may be normally distributed as most of the data points in the QQ plots were close to the 45-degree straight line. Thus, as </w:t>
      </w:r>
      <w:proofErr w:type="spellStart"/>
      <w:r w:rsidRPr="00B14585">
        <w:t>Jarque-Bera</w:t>
      </w:r>
      <w:proofErr w:type="spellEnd"/>
      <w:r w:rsidRPr="00B14585">
        <w:t xml:space="preserve"> normality tests may be conservative, it is concluded that the residuals were normally distributed based on the results of the QQ plots.</w:t>
      </w:r>
    </w:p>
    <w:p w:rsidR="005A2028" w:rsidRPr="00B14585" w:rsidRDefault="005A2028" w:rsidP="005A2028">
      <w:pPr>
        <w:pStyle w:val="MDPI31text"/>
      </w:pPr>
    </w:p>
    <w:p w:rsidR="005A2028" w:rsidRDefault="005A2028" w:rsidP="005A2028">
      <w:pPr>
        <w:pStyle w:val="MDPI31text"/>
      </w:pPr>
      <w:r w:rsidRPr="00B14585">
        <w:t xml:space="preserve">The </w:t>
      </w:r>
      <w:r w:rsidRPr="00B14585">
        <w:rPr>
          <w:i/>
          <w:iCs/>
        </w:rPr>
        <w:t>F</w:t>
      </w:r>
      <w:r w:rsidRPr="00B14585">
        <w:t xml:space="preserve"> statistics and their </w:t>
      </w:r>
      <w:r w:rsidRPr="00B14585">
        <w:rPr>
          <w:i/>
          <w:iCs/>
        </w:rPr>
        <w:t>p</w:t>
      </w:r>
      <w:r w:rsidRPr="00B14585">
        <w:t xml:space="preserve">-values for autoregressive conditional </w:t>
      </w:r>
      <w:proofErr w:type="spellStart"/>
      <w:r w:rsidRPr="00B14585">
        <w:t>heteroskedasticity</w:t>
      </w:r>
      <w:proofErr w:type="spellEnd"/>
      <w:r w:rsidRPr="00B14585">
        <w:t xml:space="preserve"> (ARCH), a method that explicitly models the change in variance over time in a time series, were used to test the null hypothesis that the residuals have equal </w:t>
      </w:r>
      <w:proofErr w:type="spellStart"/>
      <w:r w:rsidRPr="00B14585">
        <w:t>covariances</w:t>
      </w:r>
      <w:proofErr w:type="spellEnd"/>
      <w:r w:rsidRPr="00B14585">
        <w:t xml:space="preserve">. As the p-values of the F statistics for autoregressive conditional </w:t>
      </w:r>
      <w:proofErr w:type="spellStart"/>
      <w:r w:rsidRPr="00B14585">
        <w:t>heteroskedasticity</w:t>
      </w:r>
      <w:proofErr w:type="spellEnd"/>
      <w:r w:rsidRPr="00B14585">
        <w:t xml:space="preserve"> (p = 0.5603 GDP growth and p = 0.8058 for inflation) were greater than 0.05, it concludes that the residuals have equal </w:t>
      </w:r>
      <w:proofErr w:type="spellStart"/>
      <w:r w:rsidRPr="00B14585">
        <w:t>covariances</w:t>
      </w:r>
      <w:proofErr w:type="spellEnd"/>
      <w:r w:rsidRPr="00B14585">
        <w:t>.</w:t>
      </w:r>
    </w:p>
    <w:sdt>
      <w:sdtPr>
        <w:id w:val="-1713412246"/>
        <w:bibliography/>
      </w:sdtPr>
      <w:sdtContent>
        <w:p w:rsidR="00A5146B" w:rsidRDefault="00A5146B" w:rsidP="00A5146B">
          <w:pPr>
            <w:pStyle w:val="MDPI31text"/>
          </w:pPr>
        </w:p>
        <w:p w:rsidR="00A5146B" w:rsidRDefault="00A5146B" w:rsidP="00A5146B">
          <w:pPr>
            <w:pStyle w:val="MDPI31text"/>
          </w:pPr>
        </w:p>
        <w:p w:rsidR="00A5146B" w:rsidRDefault="00A5146B" w:rsidP="00A5146B">
          <w:pPr>
            <w:pStyle w:val="MDPI31text"/>
          </w:pPr>
        </w:p>
        <w:p w:rsidR="00A5146B" w:rsidRDefault="00A5146B" w:rsidP="00A5146B">
          <w:pPr>
            <w:pStyle w:val="MDPI31text"/>
          </w:pPr>
        </w:p>
        <w:p w:rsidR="005A2028" w:rsidRPr="00B14585" w:rsidRDefault="001E6C97" w:rsidP="00A5146B">
          <w:pPr>
            <w:pStyle w:val="MDPI31text"/>
          </w:pPr>
        </w:p>
        <w:bookmarkStart w:id="8" w:name="_GoBack" w:displacedByCustomXml="next"/>
        <w:bookmarkEnd w:id="8" w:displacedByCustomXml="next"/>
      </w:sdtContent>
    </w:sdt>
    <w:p w:rsidR="005A2028" w:rsidRPr="00500B3C" w:rsidRDefault="005A2028" w:rsidP="005A2028">
      <w:pPr>
        <w:spacing w:line="240" w:lineRule="auto"/>
        <w:ind w:left="630"/>
        <w:rPr>
          <w:rFonts w:cstheme="majorBidi"/>
          <w:i/>
          <w:iCs/>
          <w:sz w:val="18"/>
          <w:szCs w:val="18"/>
        </w:rPr>
      </w:pPr>
      <w:r w:rsidRPr="00500B3C">
        <w:rPr>
          <w:rFonts w:cstheme="majorBidi"/>
          <w:b/>
          <w:bCs/>
          <w:i/>
          <w:iCs/>
          <w:sz w:val="18"/>
          <w:szCs w:val="18"/>
        </w:rPr>
        <w:t>Table (A1)</w:t>
      </w:r>
      <w:r w:rsidRPr="00500B3C">
        <w:rPr>
          <w:rFonts w:cstheme="majorBidi"/>
          <w:i/>
          <w:iCs/>
          <w:sz w:val="18"/>
          <w:szCs w:val="18"/>
        </w:rPr>
        <w:t>. Univariate model white noise diagnostics</w:t>
      </w:r>
    </w:p>
    <w:tbl>
      <w:tblPr>
        <w:tblStyle w:val="MDPI41threelinetable"/>
        <w:tblW w:w="4523" w:type="pct"/>
        <w:tblLook w:val="04A0" w:firstRow="1" w:lastRow="0" w:firstColumn="1" w:lastColumn="0" w:noHBand="0" w:noVBand="1"/>
      </w:tblPr>
      <w:tblGrid>
        <w:gridCol w:w="1988"/>
        <w:gridCol w:w="2383"/>
        <w:gridCol w:w="1678"/>
        <w:gridCol w:w="2139"/>
        <w:gridCol w:w="829"/>
        <w:gridCol w:w="711"/>
      </w:tblGrid>
      <w:tr w:rsidR="005A2028" w:rsidRPr="00500B3C" w:rsidTr="0089242F">
        <w:trPr>
          <w:cnfStyle w:val="100000000000" w:firstRow="1" w:lastRow="0" w:firstColumn="0" w:lastColumn="0" w:oddVBand="0" w:evenVBand="0" w:oddHBand="0" w:evenHBand="0" w:firstRowFirstColumn="0" w:firstRowLastColumn="0" w:lastRowFirstColumn="0" w:lastRowLastColumn="0"/>
        </w:trPr>
        <w:tc>
          <w:tcPr>
            <w:tcW w:w="1070" w:type="pct"/>
          </w:tcPr>
          <w:p w:rsidR="005A2028" w:rsidRPr="00500B3C" w:rsidRDefault="005A2028" w:rsidP="0089242F">
            <w:pPr>
              <w:rPr>
                <w:rFonts w:cstheme="majorBidi"/>
                <w:sz w:val="18"/>
                <w:szCs w:val="18"/>
              </w:rPr>
            </w:pPr>
            <w:bookmarkStart w:id="9" w:name="_Hlk107668811"/>
          </w:p>
        </w:tc>
        <w:tc>
          <w:tcPr>
            <w:tcW w:w="1273" w:type="pct"/>
          </w:tcPr>
          <w:p w:rsidR="005A2028" w:rsidRPr="00500B3C" w:rsidRDefault="005A2028" w:rsidP="0089242F">
            <w:pPr>
              <w:rPr>
                <w:rFonts w:cstheme="majorBidi"/>
                <w:sz w:val="18"/>
                <w:szCs w:val="18"/>
              </w:rPr>
            </w:pPr>
            <w:r w:rsidRPr="00500B3C">
              <w:rPr>
                <w:rFonts w:cstheme="majorBidi"/>
                <w:sz w:val="18"/>
                <w:szCs w:val="18"/>
              </w:rPr>
              <w:t>Durbin-Watson</w:t>
            </w:r>
          </w:p>
        </w:tc>
        <w:tc>
          <w:tcPr>
            <w:tcW w:w="2058" w:type="pct"/>
            <w:gridSpan w:val="2"/>
          </w:tcPr>
          <w:p w:rsidR="005A2028" w:rsidRPr="00500B3C" w:rsidRDefault="005A2028" w:rsidP="0089242F">
            <w:pPr>
              <w:rPr>
                <w:rFonts w:cstheme="majorBidi"/>
                <w:sz w:val="18"/>
                <w:szCs w:val="18"/>
              </w:rPr>
            </w:pPr>
            <w:proofErr w:type="spellStart"/>
            <w:r w:rsidRPr="00500B3C">
              <w:rPr>
                <w:rFonts w:cstheme="majorBidi"/>
                <w:sz w:val="18"/>
                <w:szCs w:val="18"/>
              </w:rPr>
              <w:t>Jarque-Bera</w:t>
            </w:r>
            <w:proofErr w:type="spellEnd"/>
            <w:r w:rsidRPr="00500B3C">
              <w:rPr>
                <w:rFonts w:cstheme="majorBidi"/>
                <w:sz w:val="18"/>
                <w:szCs w:val="18"/>
              </w:rPr>
              <w:t xml:space="preserve"> normality test</w:t>
            </w:r>
          </w:p>
        </w:tc>
        <w:tc>
          <w:tcPr>
            <w:tcW w:w="597" w:type="pct"/>
            <w:gridSpan w:val="2"/>
          </w:tcPr>
          <w:p w:rsidR="005A2028" w:rsidRPr="00500B3C" w:rsidRDefault="005A2028" w:rsidP="0089242F">
            <w:pPr>
              <w:rPr>
                <w:rFonts w:cstheme="majorBidi"/>
                <w:sz w:val="18"/>
                <w:szCs w:val="18"/>
              </w:rPr>
            </w:pPr>
            <w:r w:rsidRPr="00500B3C">
              <w:rPr>
                <w:rFonts w:cstheme="majorBidi"/>
                <w:sz w:val="18"/>
                <w:szCs w:val="18"/>
              </w:rPr>
              <w:t>ARCH</w:t>
            </w:r>
          </w:p>
        </w:tc>
      </w:tr>
      <w:bookmarkEnd w:id="9"/>
      <w:tr w:rsidR="005A2028" w:rsidRPr="00500B3C" w:rsidTr="0089242F">
        <w:tc>
          <w:tcPr>
            <w:tcW w:w="1070" w:type="pct"/>
          </w:tcPr>
          <w:p w:rsidR="005A2028" w:rsidRPr="00500B3C" w:rsidRDefault="005A2028" w:rsidP="0089242F">
            <w:pPr>
              <w:rPr>
                <w:rFonts w:cstheme="majorBidi"/>
                <w:sz w:val="18"/>
                <w:szCs w:val="18"/>
              </w:rPr>
            </w:pPr>
          </w:p>
        </w:tc>
        <w:tc>
          <w:tcPr>
            <w:tcW w:w="1273" w:type="pct"/>
          </w:tcPr>
          <w:p w:rsidR="005A2028" w:rsidRPr="00500B3C" w:rsidRDefault="005A2028" w:rsidP="0089242F">
            <w:pPr>
              <w:rPr>
                <w:rFonts w:cstheme="majorBidi"/>
                <w:sz w:val="18"/>
                <w:szCs w:val="18"/>
              </w:rPr>
            </w:pPr>
          </w:p>
        </w:tc>
        <w:tc>
          <w:tcPr>
            <w:tcW w:w="911" w:type="pct"/>
          </w:tcPr>
          <w:p w:rsidR="005A2028" w:rsidRPr="00500B3C" w:rsidRDefault="005A2028" w:rsidP="0089242F">
            <w:pPr>
              <w:rPr>
                <w:rFonts w:cstheme="majorBidi"/>
                <w:i/>
                <w:iCs/>
                <w:sz w:val="18"/>
                <w:szCs w:val="18"/>
              </w:rPr>
            </w:pPr>
            <w:r w:rsidRPr="00500B3C">
              <w:rPr>
                <w:rFonts w:cstheme="majorBidi"/>
                <w:i/>
                <w:iCs/>
                <w:sz w:val="18"/>
                <w:szCs w:val="18"/>
              </w:rPr>
              <w:t>χ</w:t>
            </w:r>
            <w:r w:rsidRPr="00500B3C">
              <w:rPr>
                <w:rFonts w:cstheme="majorBidi"/>
                <w:i/>
                <w:iCs/>
                <w:sz w:val="18"/>
                <w:szCs w:val="18"/>
                <w:vertAlign w:val="superscript"/>
              </w:rPr>
              <w:t>2</w:t>
            </w:r>
          </w:p>
        </w:tc>
        <w:tc>
          <w:tcPr>
            <w:tcW w:w="1147" w:type="pct"/>
          </w:tcPr>
          <w:p w:rsidR="005A2028" w:rsidRPr="00500B3C" w:rsidRDefault="005A2028" w:rsidP="0089242F">
            <w:pPr>
              <w:rPr>
                <w:rFonts w:cstheme="majorBidi"/>
                <w:i/>
                <w:iCs/>
                <w:sz w:val="18"/>
                <w:szCs w:val="18"/>
              </w:rPr>
            </w:pPr>
            <w:r w:rsidRPr="00500B3C">
              <w:rPr>
                <w:rFonts w:cstheme="majorBidi"/>
                <w:i/>
                <w:iCs/>
                <w:sz w:val="18"/>
                <w:szCs w:val="18"/>
              </w:rPr>
              <w:t>p</w:t>
            </w:r>
          </w:p>
        </w:tc>
        <w:tc>
          <w:tcPr>
            <w:tcW w:w="474" w:type="pct"/>
          </w:tcPr>
          <w:p w:rsidR="005A2028" w:rsidRPr="00500B3C" w:rsidRDefault="005A2028" w:rsidP="0089242F">
            <w:pPr>
              <w:rPr>
                <w:rFonts w:cstheme="majorBidi"/>
                <w:i/>
                <w:iCs/>
                <w:sz w:val="18"/>
                <w:szCs w:val="18"/>
              </w:rPr>
            </w:pPr>
            <w:r w:rsidRPr="00500B3C">
              <w:rPr>
                <w:rFonts w:cstheme="majorBidi"/>
                <w:i/>
                <w:iCs/>
                <w:sz w:val="18"/>
                <w:szCs w:val="18"/>
              </w:rPr>
              <w:t>F</w:t>
            </w:r>
          </w:p>
        </w:tc>
        <w:tc>
          <w:tcPr>
            <w:tcW w:w="125" w:type="pct"/>
          </w:tcPr>
          <w:p w:rsidR="005A2028" w:rsidRPr="00500B3C" w:rsidRDefault="005A2028" w:rsidP="0089242F">
            <w:pPr>
              <w:rPr>
                <w:rFonts w:cstheme="majorBidi"/>
                <w:i/>
                <w:iCs/>
                <w:sz w:val="18"/>
                <w:szCs w:val="18"/>
              </w:rPr>
            </w:pPr>
            <w:r w:rsidRPr="00500B3C">
              <w:rPr>
                <w:rFonts w:cstheme="majorBidi"/>
                <w:i/>
                <w:iCs/>
                <w:sz w:val="18"/>
                <w:szCs w:val="18"/>
              </w:rPr>
              <w:t>P</w:t>
            </w:r>
          </w:p>
        </w:tc>
      </w:tr>
      <w:tr w:rsidR="005A2028" w:rsidRPr="00500B3C" w:rsidTr="0089242F">
        <w:tc>
          <w:tcPr>
            <w:tcW w:w="1070" w:type="pct"/>
          </w:tcPr>
          <w:p w:rsidR="005A2028" w:rsidRPr="00500B3C" w:rsidRDefault="005A2028" w:rsidP="0089242F">
            <w:pPr>
              <w:rPr>
                <w:rFonts w:cstheme="majorBidi"/>
                <w:sz w:val="18"/>
                <w:szCs w:val="18"/>
              </w:rPr>
            </w:pPr>
            <w:r w:rsidRPr="00500B3C">
              <w:rPr>
                <w:rFonts w:cstheme="majorBidi"/>
                <w:sz w:val="18"/>
                <w:szCs w:val="18"/>
              </w:rPr>
              <w:t>GDP growth</w:t>
            </w:r>
          </w:p>
        </w:tc>
        <w:tc>
          <w:tcPr>
            <w:tcW w:w="1273" w:type="pct"/>
          </w:tcPr>
          <w:p w:rsidR="005A2028" w:rsidRPr="00500B3C" w:rsidRDefault="005A2028" w:rsidP="0089242F">
            <w:pPr>
              <w:rPr>
                <w:rFonts w:cstheme="majorBidi"/>
                <w:sz w:val="18"/>
                <w:szCs w:val="18"/>
              </w:rPr>
            </w:pPr>
            <w:r w:rsidRPr="00500B3C">
              <w:rPr>
                <w:rFonts w:cstheme="majorBidi"/>
                <w:sz w:val="18"/>
                <w:szCs w:val="18"/>
              </w:rPr>
              <w:t>2.0360</w:t>
            </w:r>
          </w:p>
        </w:tc>
        <w:tc>
          <w:tcPr>
            <w:tcW w:w="911" w:type="pct"/>
          </w:tcPr>
          <w:p w:rsidR="005A2028" w:rsidRPr="00500B3C" w:rsidRDefault="005A2028" w:rsidP="0089242F">
            <w:pPr>
              <w:rPr>
                <w:rFonts w:cstheme="majorBidi"/>
                <w:sz w:val="18"/>
                <w:szCs w:val="18"/>
              </w:rPr>
            </w:pPr>
            <w:r w:rsidRPr="00500B3C">
              <w:rPr>
                <w:rFonts w:cstheme="majorBidi"/>
                <w:sz w:val="18"/>
                <w:szCs w:val="18"/>
              </w:rPr>
              <w:t>19.91</w:t>
            </w:r>
          </w:p>
        </w:tc>
        <w:tc>
          <w:tcPr>
            <w:tcW w:w="1147" w:type="pct"/>
          </w:tcPr>
          <w:p w:rsidR="005A2028" w:rsidRPr="00500B3C" w:rsidRDefault="005A2028" w:rsidP="0089242F">
            <w:pPr>
              <w:rPr>
                <w:rFonts w:cstheme="majorBidi"/>
                <w:sz w:val="18"/>
                <w:szCs w:val="18"/>
              </w:rPr>
            </w:pPr>
            <w:r w:rsidRPr="00500B3C">
              <w:rPr>
                <w:rFonts w:cstheme="majorBidi"/>
                <w:sz w:val="18"/>
                <w:szCs w:val="18"/>
              </w:rPr>
              <w:t xml:space="preserve">&lt; 0.001 </w:t>
            </w:r>
          </w:p>
        </w:tc>
        <w:tc>
          <w:tcPr>
            <w:tcW w:w="474" w:type="pct"/>
          </w:tcPr>
          <w:p w:rsidR="005A2028" w:rsidRPr="00500B3C" w:rsidRDefault="005A2028" w:rsidP="0089242F">
            <w:pPr>
              <w:rPr>
                <w:rFonts w:cstheme="majorBidi"/>
                <w:sz w:val="18"/>
                <w:szCs w:val="18"/>
              </w:rPr>
            </w:pPr>
            <w:r w:rsidRPr="00500B3C">
              <w:rPr>
                <w:rFonts w:cstheme="majorBidi"/>
                <w:sz w:val="18"/>
                <w:szCs w:val="18"/>
              </w:rPr>
              <w:t>0.35</w:t>
            </w:r>
          </w:p>
        </w:tc>
        <w:tc>
          <w:tcPr>
            <w:tcW w:w="125" w:type="pct"/>
          </w:tcPr>
          <w:p w:rsidR="005A2028" w:rsidRPr="00500B3C" w:rsidRDefault="005A2028" w:rsidP="0089242F">
            <w:pPr>
              <w:rPr>
                <w:rFonts w:cstheme="majorBidi"/>
                <w:sz w:val="18"/>
                <w:szCs w:val="18"/>
              </w:rPr>
            </w:pPr>
            <w:r w:rsidRPr="00500B3C">
              <w:rPr>
                <w:rFonts w:cstheme="majorBidi"/>
                <w:sz w:val="18"/>
                <w:szCs w:val="18"/>
              </w:rPr>
              <w:t>0.5603</w:t>
            </w:r>
          </w:p>
        </w:tc>
      </w:tr>
      <w:tr w:rsidR="005A2028" w:rsidRPr="00500B3C" w:rsidTr="0089242F">
        <w:tc>
          <w:tcPr>
            <w:tcW w:w="1070" w:type="pct"/>
          </w:tcPr>
          <w:p w:rsidR="005A2028" w:rsidRPr="00500B3C" w:rsidRDefault="005A2028" w:rsidP="0089242F">
            <w:pPr>
              <w:rPr>
                <w:rFonts w:cstheme="majorBidi"/>
                <w:sz w:val="18"/>
                <w:szCs w:val="18"/>
              </w:rPr>
            </w:pPr>
            <w:r w:rsidRPr="00500B3C">
              <w:rPr>
                <w:rFonts w:cstheme="majorBidi"/>
                <w:sz w:val="18"/>
                <w:szCs w:val="18"/>
              </w:rPr>
              <w:t>Inflation</w:t>
            </w:r>
          </w:p>
        </w:tc>
        <w:tc>
          <w:tcPr>
            <w:tcW w:w="1273" w:type="pct"/>
          </w:tcPr>
          <w:p w:rsidR="005A2028" w:rsidRPr="00500B3C" w:rsidRDefault="005A2028" w:rsidP="0089242F">
            <w:pPr>
              <w:rPr>
                <w:rFonts w:cstheme="majorBidi"/>
                <w:sz w:val="18"/>
                <w:szCs w:val="18"/>
              </w:rPr>
            </w:pPr>
            <w:r w:rsidRPr="00500B3C">
              <w:rPr>
                <w:rFonts w:cstheme="majorBidi"/>
                <w:sz w:val="18"/>
                <w:szCs w:val="18"/>
              </w:rPr>
              <w:t>2.0212</w:t>
            </w:r>
          </w:p>
        </w:tc>
        <w:tc>
          <w:tcPr>
            <w:tcW w:w="911" w:type="pct"/>
          </w:tcPr>
          <w:p w:rsidR="005A2028" w:rsidRPr="00500B3C" w:rsidRDefault="005A2028" w:rsidP="0089242F">
            <w:pPr>
              <w:rPr>
                <w:rFonts w:cstheme="majorBidi"/>
                <w:sz w:val="18"/>
                <w:szCs w:val="18"/>
              </w:rPr>
            </w:pPr>
            <w:r w:rsidRPr="00500B3C">
              <w:rPr>
                <w:rFonts w:cstheme="majorBidi"/>
                <w:sz w:val="18"/>
                <w:szCs w:val="18"/>
              </w:rPr>
              <w:t>24.00</w:t>
            </w:r>
          </w:p>
        </w:tc>
        <w:tc>
          <w:tcPr>
            <w:tcW w:w="1147" w:type="pct"/>
          </w:tcPr>
          <w:p w:rsidR="005A2028" w:rsidRPr="00500B3C" w:rsidRDefault="005A2028" w:rsidP="0089242F">
            <w:pPr>
              <w:rPr>
                <w:rFonts w:cstheme="majorBidi"/>
                <w:sz w:val="18"/>
                <w:szCs w:val="18"/>
              </w:rPr>
            </w:pPr>
            <w:r w:rsidRPr="00500B3C">
              <w:rPr>
                <w:rFonts w:cstheme="majorBidi"/>
                <w:sz w:val="18"/>
                <w:szCs w:val="18"/>
              </w:rPr>
              <w:t>&lt; 0.001</w:t>
            </w:r>
          </w:p>
        </w:tc>
        <w:tc>
          <w:tcPr>
            <w:tcW w:w="474" w:type="pct"/>
          </w:tcPr>
          <w:p w:rsidR="005A2028" w:rsidRPr="00500B3C" w:rsidRDefault="005A2028" w:rsidP="0089242F">
            <w:pPr>
              <w:rPr>
                <w:rFonts w:cstheme="majorBidi"/>
                <w:sz w:val="18"/>
                <w:szCs w:val="18"/>
              </w:rPr>
            </w:pPr>
            <w:r w:rsidRPr="00500B3C">
              <w:rPr>
                <w:rFonts w:cstheme="majorBidi"/>
                <w:sz w:val="18"/>
                <w:szCs w:val="18"/>
              </w:rPr>
              <w:t>0.06</w:t>
            </w:r>
          </w:p>
        </w:tc>
        <w:tc>
          <w:tcPr>
            <w:tcW w:w="125" w:type="pct"/>
          </w:tcPr>
          <w:p w:rsidR="005A2028" w:rsidRPr="00500B3C" w:rsidRDefault="005A2028" w:rsidP="0089242F">
            <w:pPr>
              <w:rPr>
                <w:rFonts w:cstheme="majorBidi"/>
                <w:sz w:val="18"/>
                <w:szCs w:val="18"/>
              </w:rPr>
            </w:pPr>
            <w:r w:rsidRPr="00500B3C">
              <w:rPr>
                <w:rFonts w:cstheme="majorBidi"/>
                <w:sz w:val="18"/>
                <w:szCs w:val="18"/>
              </w:rPr>
              <w:t>0.8058</w:t>
            </w:r>
          </w:p>
        </w:tc>
      </w:tr>
    </w:tbl>
    <w:p w:rsidR="005A2028" w:rsidRPr="00500B3C" w:rsidRDefault="005A2028" w:rsidP="005A2028">
      <w:pPr>
        <w:spacing w:line="240" w:lineRule="auto"/>
        <w:rPr>
          <w:rFonts w:cstheme="majorBidi"/>
          <w:sz w:val="18"/>
          <w:szCs w:val="18"/>
        </w:rPr>
      </w:pPr>
    </w:p>
    <w:p w:rsidR="005A2028" w:rsidRPr="00500B3C" w:rsidRDefault="005A2028" w:rsidP="005A2028">
      <w:pPr>
        <w:pStyle w:val="MDPI31text"/>
        <w:rPr>
          <w:sz w:val="18"/>
          <w:szCs w:val="18"/>
        </w:rPr>
      </w:pPr>
    </w:p>
    <w:p w:rsidR="005A2028" w:rsidRPr="00500B3C" w:rsidRDefault="005A2028" w:rsidP="005A2028">
      <w:pPr>
        <w:spacing w:line="240" w:lineRule="auto"/>
        <w:ind w:left="1170"/>
        <w:rPr>
          <w:rFonts w:cstheme="majorBidi"/>
          <w:i/>
          <w:iCs/>
          <w:sz w:val="18"/>
          <w:szCs w:val="18"/>
        </w:rPr>
      </w:pPr>
      <w:r w:rsidRPr="00500B3C">
        <w:rPr>
          <w:rFonts w:cstheme="majorBidi"/>
          <w:b/>
          <w:bCs/>
          <w:i/>
          <w:iCs/>
          <w:sz w:val="18"/>
          <w:szCs w:val="18"/>
        </w:rPr>
        <w:t>Figure (A1).</w:t>
      </w:r>
      <w:r w:rsidRPr="00500B3C">
        <w:rPr>
          <w:rFonts w:cstheme="majorBidi"/>
          <w:i/>
          <w:iCs/>
          <w:sz w:val="18"/>
          <w:szCs w:val="18"/>
        </w:rPr>
        <w:t xml:space="preserve"> QQ plots for GDP growth (left) and inflation (right)</w:t>
      </w:r>
    </w:p>
    <w:p w:rsidR="005A2028" w:rsidRPr="00B33E7B" w:rsidRDefault="005A2028" w:rsidP="005A2028">
      <w:pPr>
        <w:spacing w:line="240" w:lineRule="auto"/>
        <w:rPr>
          <w:rFonts w:asciiTheme="majorBidi" w:hAnsiTheme="majorBidi" w:cstheme="majorBidi"/>
          <w:sz w:val="24"/>
          <w:szCs w:val="24"/>
        </w:rPr>
      </w:pPr>
      <w:r w:rsidRPr="00B33E7B">
        <w:rPr>
          <w:rFonts w:asciiTheme="majorBidi" w:hAnsiTheme="majorBidi" w:cstheme="majorBidi"/>
          <w:noProof/>
          <w:sz w:val="24"/>
          <w:szCs w:val="24"/>
        </w:rPr>
        <w:drawing>
          <wp:anchor distT="0" distB="0" distL="114300" distR="114300" simplePos="0" relativeHeight="251660288" behindDoc="1" locked="0" layoutInCell="1" allowOverlap="1" wp14:anchorId="27AF612A" wp14:editId="0E2F5849">
            <wp:simplePos x="0" y="0"/>
            <wp:positionH relativeFrom="column">
              <wp:posOffset>3256915</wp:posOffset>
            </wp:positionH>
            <wp:positionV relativeFrom="paragraph">
              <wp:posOffset>213995</wp:posOffset>
            </wp:positionV>
            <wp:extent cx="2322195" cy="2286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1050" r="52005" b="5123"/>
                    <a:stretch/>
                  </pic:blipFill>
                  <pic:spPr bwMode="auto">
                    <a:xfrm>
                      <a:off x="0" y="0"/>
                      <a:ext cx="2322195" cy="2286000"/>
                    </a:xfrm>
                    <a:prstGeom prst="rect">
                      <a:avLst/>
                    </a:prstGeom>
                    <a:noFill/>
                    <a:ln>
                      <a:noFill/>
                    </a:ln>
                    <a:extLst>
                      <a:ext uri="{53640926-AAD7-44D8-BBD7-CCE9431645EC}">
                        <a14:shadowObscured xmlns:a14="http://schemas.microsoft.com/office/drawing/2010/main"/>
                      </a:ext>
                    </a:extLst>
                  </pic:spPr>
                </pic:pic>
              </a:graphicData>
            </a:graphic>
          </wp:anchor>
        </w:drawing>
      </w:r>
    </w:p>
    <w:p w:rsidR="005A2028" w:rsidRPr="004E00D1" w:rsidRDefault="005A2028" w:rsidP="005A2028">
      <w:pPr>
        <w:spacing w:line="240" w:lineRule="auto"/>
        <w:rPr>
          <w:rFonts w:asciiTheme="majorBidi" w:hAnsiTheme="majorBidi" w:cstheme="majorBidi"/>
          <w:i/>
          <w:iCs/>
          <w:sz w:val="24"/>
          <w:szCs w:val="24"/>
        </w:rPr>
      </w:pPr>
      <w:r w:rsidRPr="00B33E7B">
        <w:rPr>
          <w:rFonts w:asciiTheme="majorBidi" w:hAnsiTheme="majorBidi" w:cstheme="majorBidi"/>
          <w:noProof/>
          <w:sz w:val="24"/>
          <w:szCs w:val="24"/>
        </w:rPr>
        <w:drawing>
          <wp:anchor distT="0" distB="0" distL="114300" distR="114300" simplePos="0" relativeHeight="251663360" behindDoc="1" locked="0" layoutInCell="1" allowOverlap="1" wp14:anchorId="495A9BB2" wp14:editId="3413D7D4">
            <wp:simplePos x="0" y="0"/>
            <wp:positionH relativeFrom="column">
              <wp:posOffset>789305</wp:posOffset>
            </wp:positionH>
            <wp:positionV relativeFrom="paragraph">
              <wp:posOffset>7620</wp:posOffset>
            </wp:positionV>
            <wp:extent cx="2349500" cy="2286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1374" r="51732" b="5285"/>
                    <a:stretch/>
                  </pic:blipFill>
                  <pic:spPr bwMode="auto">
                    <a:xfrm>
                      <a:off x="0" y="0"/>
                      <a:ext cx="2349500" cy="2286000"/>
                    </a:xfrm>
                    <a:prstGeom prst="rect">
                      <a:avLst/>
                    </a:prstGeom>
                    <a:noFill/>
                    <a:ln>
                      <a:noFill/>
                    </a:ln>
                    <a:extLst>
                      <a:ext uri="{53640926-AAD7-44D8-BBD7-CCE9431645EC}">
                        <a14:shadowObscured xmlns:a14="http://schemas.microsoft.com/office/drawing/2010/main"/>
                      </a:ext>
                    </a:extLst>
                  </pic:spPr>
                </pic:pic>
              </a:graphicData>
            </a:graphic>
          </wp:anchor>
        </w:drawing>
      </w:r>
      <w:r w:rsidRPr="00B33E7B">
        <w:rPr>
          <w:rFonts w:asciiTheme="majorBidi" w:hAnsiTheme="majorBidi" w:cstheme="majorBidi"/>
          <w:sz w:val="24"/>
          <w:szCs w:val="24"/>
        </w:rPr>
        <w:br/>
      </w:r>
    </w:p>
    <w:p w:rsidR="005A2028" w:rsidRDefault="005A2028" w:rsidP="005A2028">
      <w:pPr>
        <w:pStyle w:val="MDPI31text"/>
      </w:pPr>
    </w:p>
    <w:p w:rsidR="005A2028" w:rsidRPr="00296F8E" w:rsidRDefault="005A2028" w:rsidP="005A2028">
      <w:pPr>
        <w:pStyle w:val="MDPI31text"/>
      </w:pPr>
    </w:p>
    <w:p w:rsidR="005A2028" w:rsidRDefault="005A2028" w:rsidP="005A2028">
      <w:pPr>
        <w:pStyle w:val="MDPI31text"/>
        <w:rPr>
          <w:b/>
          <w:bCs/>
          <w:u w:val="single"/>
        </w:rPr>
      </w:pPr>
    </w:p>
    <w:p w:rsidR="005A2028" w:rsidRDefault="005A2028" w:rsidP="005A2028">
      <w:pPr>
        <w:pStyle w:val="MDPI31text"/>
        <w:ind w:left="1350" w:hanging="1080"/>
        <w:rPr>
          <w:b/>
          <w:bCs/>
        </w:rPr>
      </w:pPr>
      <w:bookmarkStart w:id="10" w:name="OLE_LINK3"/>
    </w:p>
    <w:p w:rsidR="005A2028" w:rsidRDefault="005A2028" w:rsidP="005A2028">
      <w:pPr>
        <w:pStyle w:val="MDPI31text"/>
        <w:ind w:left="1350" w:hanging="1080"/>
        <w:rPr>
          <w:b/>
          <w:bCs/>
        </w:rPr>
      </w:pPr>
    </w:p>
    <w:p w:rsidR="005A2028" w:rsidRDefault="005A2028" w:rsidP="005A2028">
      <w:pPr>
        <w:pStyle w:val="MDPI31text"/>
        <w:ind w:left="1350" w:hanging="1080"/>
        <w:rPr>
          <w:b/>
          <w:bCs/>
        </w:rPr>
      </w:pPr>
    </w:p>
    <w:p w:rsidR="005A2028" w:rsidRDefault="005A2028" w:rsidP="005A2028">
      <w:pPr>
        <w:pStyle w:val="MDPI31text"/>
        <w:ind w:left="1350" w:hanging="1080"/>
        <w:rPr>
          <w:b/>
          <w:bCs/>
        </w:rPr>
      </w:pPr>
    </w:p>
    <w:p w:rsidR="005A2028" w:rsidRDefault="005A2028" w:rsidP="005A2028">
      <w:pPr>
        <w:pStyle w:val="MDPI31text"/>
        <w:ind w:left="1350" w:hanging="1080"/>
        <w:rPr>
          <w:b/>
          <w:bCs/>
        </w:rPr>
      </w:pPr>
    </w:p>
    <w:p w:rsidR="005A2028" w:rsidRDefault="005A2028" w:rsidP="005A2028">
      <w:pPr>
        <w:pStyle w:val="MDPI31text"/>
        <w:ind w:left="1350" w:hanging="1080"/>
        <w:rPr>
          <w:b/>
          <w:bCs/>
        </w:rPr>
      </w:pPr>
    </w:p>
    <w:p w:rsidR="005A2028" w:rsidRDefault="005A2028" w:rsidP="005A2028">
      <w:pPr>
        <w:pStyle w:val="MDPI31text"/>
        <w:ind w:left="1350" w:hanging="1080"/>
        <w:rPr>
          <w:b/>
          <w:bCs/>
        </w:rPr>
      </w:pPr>
    </w:p>
    <w:p w:rsidR="005A2028" w:rsidRDefault="005A2028" w:rsidP="005A2028">
      <w:pPr>
        <w:pStyle w:val="MDPI31text"/>
        <w:ind w:left="1350" w:hanging="1080"/>
        <w:rPr>
          <w:b/>
          <w:bCs/>
        </w:rPr>
      </w:pPr>
    </w:p>
    <w:p w:rsidR="005A2028" w:rsidRDefault="005A2028" w:rsidP="005A2028">
      <w:pPr>
        <w:pStyle w:val="MDPI31text"/>
        <w:ind w:left="1350" w:hanging="1080"/>
        <w:rPr>
          <w:b/>
          <w:bCs/>
        </w:rPr>
      </w:pPr>
    </w:p>
    <w:p w:rsidR="0089242F" w:rsidRDefault="0089242F" w:rsidP="005A2028">
      <w:pPr>
        <w:pStyle w:val="MDPI31text"/>
        <w:ind w:left="1350" w:hanging="1080"/>
        <w:rPr>
          <w:b/>
          <w:bCs/>
        </w:rPr>
      </w:pPr>
    </w:p>
    <w:p w:rsidR="005A2028" w:rsidRDefault="005A2028" w:rsidP="005A2028">
      <w:pPr>
        <w:pStyle w:val="MDPI31text"/>
        <w:ind w:left="1350" w:hanging="1080"/>
        <w:rPr>
          <w:b/>
          <w:bCs/>
        </w:rPr>
      </w:pPr>
      <w:r w:rsidRPr="00B14585">
        <w:rPr>
          <w:b/>
          <w:bCs/>
        </w:rPr>
        <w:t>References</w:t>
      </w:r>
    </w:p>
    <w:p w:rsidR="005A2028" w:rsidRDefault="005A2028" w:rsidP="005A2028">
      <w:pPr>
        <w:pStyle w:val="MDPI31text"/>
        <w:ind w:left="720" w:hanging="450"/>
      </w:pPr>
    </w:p>
    <w:p w:rsidR="005A2028" w:rsidRDefault="00531AF1" w:rsidP="00F72322">
      <w:pPr>
        <w:pStyle w:val="MDPI31text"/>
        <w:ind w:left="720" w:hanging="450"/>
      </w:pPr>
      <w:r w:rsidRPr="00531AF1">
        <w:t xml:space="preserve">[1] </w:t>
      </w:r>
      <w:r w:rsidR="005A2028">
        <w:t xml:space="preserve">Abu </w:t>
      </w:r>
      <w:proofErr w:type="spellStart"/>
      <w:r w:rsidR="005A2028">
        <w:t>Shihab</w:t>
      </w:r>
      <w:proofErr w:type="spellEnd"/>
      <w:r w:rsidR="005A2028">
        <w:t xml:space="preserve">, R. </w:t>
      </w:r>
      <w:r w:rsidR="00F72322">
        <w:t>(</w:t>
      </w:r>
      <w:r w:rsidR="005A2028">
        <w:t>2014</w:t>
      </w:r>
      <w:r w:rsidR="00F72322">
        <w:t>),</w:t>
      </w:r>
      <w:r w:rsidR="005A2028">
        <w:t xml:space="preserve"> The Causal Relationship between Fiscal Policy and Economic Growth</w:t>
      </w:r>
    </w:p>
    <w:p w:rsidR="005A2028" w:rsidRPr="00B14585" w:rsidRDefault="005A2028" w:rsidP="00884F5F">
      <w:pPr>
        <w:pStyle w:val="MDPI31text"/>
        <w:ind w:left="720" w:firstLine="0"/>
      </w:pPr>
      <w:r>
        <w:t xml:space="preserve">in Jordan, </w:t>
      </w:r>
      <w:r w:rsidRPr="005C56D1">
        <w:rPr>
          <w:i/>
          <w:iCs/>
        </w:rPr>
        <w:t>International Journal of Business and Social Science</w:t>
      </w:r>
      <w:r>
        <w:t>, 5</w:t>
      </w:r>
      <w:r w:rsidR="00884F5F">
        <w:t>,</w:t>
      </w:r>
      <w:r>
        <w:t xml:space="preserve"> </w:t>
      </w:r>
      <w:r w:rsidR="00884F5F" w:rsidRPr="00884F5F">
        <w:t>pp.</w:t>
      </w:r>
      <w:r w:rsidR="00884F5F">
        <w:t xml:space="preserve"> </w:t>
      </w:r>
      <w:r>
        <w:t>203–208.</w:t>
      </w:r>
      <w:r w:rsidRPr="00B14585">
        <w:fldChar w:fldCharType="begin"/>
      </w:r>
      <w:r w:rsidRPr="00B14585">
        <w:instrText xml:space="preserve"> BIBLIOGRAPHY </w:instrText>
      </w:r>
      <w:r w:rsidRPr="00B14585">
        <w:fldChar w:fldCharType="separate"/>
      </w:r>
    </w:p>
    <w:p w:rsidR="005A2028" w:rsidRDefault="00531AF1" w:rsidP="00332969">
      <w:pPr>
        <w:pStyle w:val="MDPI31text"/>
        <w:ind w:left="720" w:hanging="450"/>
      </w:pPr>
      <w:r>
        <w:t>[2</w:t>
      </w:r>
      <w:r w:rsidRPr="00531AF1">
        <w:t xml:space="preserve">] </w:t>
      </w:r>
      <w:r w:rsidR="005A2028">
        <w:t xml:space="preserve">Ahmed, </w:t>
      </w:r>
      <w:r w:rsidR="005A2028" w:rsidRPr="00C33B96">
        <w:t>S</w:t>
      </w:r>
      <w:r w:rsidR="00F72322">
        <w:t>.</w:t>
      </w:r>
      <w:r w:rsidR="005A2028">
        <w:t xml:space="preserve"> and </w:t>
      </w:r>
      <w:r w:rsidR="005A2028" w:rsidRPr="00C33B96">
        <w:t>Golam M</w:t>
      </w:r>
      <w:r w:rsidR="00F72322">
        <w:t>.</w:t>
      </w:r>
      <w:r w:rsidR="005A2028">
        <w:t xml:space="preserve"> </w:t>
      </w:r>
      <w:r w:rsidR="00F72322">
        <w:t>(</w:t>
      </w:r>
      <w:r w:rsidR="005A2028" w:rsidRPr="00B14585">
        <w:t>2005</w:t>
      </w:r>
      <w:r w:rsidR="00F72322">
        <w:t>),</w:t>
      </w:r>
      <w:r w:rsidR="005A2028">
        <w:t xml:space="preserve"> </w:t>
      </w:r>
      <w:r w:rsidR="005A2028" w:rsidRPr="00B14585">
        <w:t>Inflation and Economic Growth in Bangladesh: 1981</w:t>
      </w:r>
      <w:r w:rsidR="005A2028" w:rsidRPr="005B347D">
        <w:rPr>
          <w:szCs w:val="18"/>
        </w:rPr>
        <w:t>–</w:t>
      </w:r>
      <w:r w:rsidR="005A2028" w:rsidRPr="00B14585">
        <w:t xml:space="preserve">2005, Working Paper Series: WP 0604, </w:t>
      </w:r>
      <w:r w:rsidR="005A2028" w:rsidRPr="00B14585">
        <w:rPr>
          <w:i/>
          <w:iCs/>
        </w:rPr>
        <w:t>Research Department, Bangladesh Bank</w:t>
      </w:r>
      <w:r w:rsidR="005A2028" w:rsidRPr="00B14585">
        <w:t>, Dhaka, Bangladesh , December.</w:t>
      </w:r>
    </w:p>
    <w:p w:rsidR="005A2028" w:rsidRDefault="00531AF1" w:rsidP="00332969">
      <w:pPr>
        <w:pStyle w:val="MDPI31text"/>
        <w:ind w:left="720" w:hanging="450"/>
      </w:pPr>
      <w:r w:rsidRPr="00531AF1">
        <w:t>[</w:t>
      </w:r>
      <w:r>
        <w:t>3</w:t>
      </w:r>
      <w:r w:rsidRPr="00531AF1">
        <w:t xml:space="preserve">] </w:t>
      </w:r>
      <w:r w:rsidR="00332969">
        <w:t>Ajide, K.</w:t>
      </w:r>
      <w:r w:rsidR="005A2028">
        <w:t xml:space="preserve"> B</w:t>
      </w:r>
      <w:r w:rsidR="00332969">
        <w:t>.</w:t>
      </w:r>
      <w:r w:rsidR="005A2028">
        <w:t xml:space="preserve"> and Lawanson</w:t>
      </w:r>
      <w:r w:rsidR="00332969" w:rsidRPr="00332969">
        <w:t xml:space="preserve"> </w:t>
      </w:r>
      <w:r w:rsidR="00332969">
        <w:t>O</w:t>
      </w:r>
      <w:r w:rsidR="005A2028">
        <w:t xml:space="preserve">. 2011 </w:t>
      </w:r>
      <w:r w:rsidR="005A2028" w:rsidRPr="00B14585">
        <w:t xml:space="preserve">Inflation Thresholds and Economic Growth: Evidence from Nigeria, </w:t>
      </w:r>
      <w:r w:rsidR="005A2028" w:rsidRPr="00B14585">
        <w:rPr>
          <w:i/>
          <w:iCs/>
        </w:rPr>
        <w:t>Asian Economic and Financial Review</w:t>
      </w:r>
      <w:r w:rsidR="005A2028">
        <w:t>, 2</w:t>
      </w:r>
      <w:r w:rsidR="00884F5F">
        <w:t xml:space="preserve">, </w:t>
      </w:r>
      <w:r w:rsidR="00884F5F" w:rsidRPr="00884F5F">
        <w:t>pp.</w:t>
      </w:r>
      <w:r w:rsidR="00884F5F">
        <w:t xml:space="preserve"> </w:t>
      </w:r>
      <w:r w:rsidR="005A2028" w:rsidRPr="00B14585">
        <w:t>876</w:t>
      </w:r>
      <w:r w:rsidR="005A2028" w:rsidRPr="005B347D">
        <w:rPr>
          <w:szCs w:val="18"/>
        </w:rPr>
        <w:t>–</w:t>
      </w:r>
      <w:r w:rsidR="005A2028" w:rsidRPr="00B14585">
        <w:t>901.</w:t>
      </w:r>
    </w:p>
    <w:p w:rsidR="005A2028" w:rsidRPr="00B14585" w:rsidRDefault="00531AF1" w:rsidP="00332969">
      <w:pPr>
        <w:pStyle w:val="MDPI31text"/>
        <w:ind w:left="720" w:hanging="450"/>
      </w:pPr>
      <w:r>
        <w:t>[4</w:t>
      </w:r>
      <w:r w:rsidRPr="00531AF1">
        <w:t>]</w:t>
      </w:r>
      <w:r>
        <w:t xml:space="preserve"> </w:t>
      </w:r>
      <w:r w:rsidR="005A2028" w:rsidRPr="002A6462">
        <w:t>Almajali, A</w:t>
      </w:r>
      <w:r w:rsidR="00332969">
        <w:t>.</w:t>
      </w:r>
      <w:r w:rsidR="005A2028" w:rsidRPr="002A6462">
        <w:t xml:space="preserve"> A</w:t>
      </w:r>
      <w:r w:rsidR="00332969">
        <w:t>.</w:t>
      </w:r>
      <w:r w:rsidR="005A2028" w:rsidRPr="002A6462">
        <w:t>Q</w:t>
      </w:r>
      <w:r w:rsidR="00332969">
        <w:t>.</w:t>
      </w:r>
      <w:r w:rsidR="005A2028">
        <w:t xml:space="preserve"> and</w:t>
      </w:r>
      <w:r w:rsidR="005A2028" w:rsidRPr="002A6462">
        <w:t xml:space="preserve"> </w:t>
      </w:r>
      <w:r w:rsidR="00332969" w:rsidRPr="002A6462">
        <w:t>Almubidin</w:t>
      </w:r>
      <w:r w:rsidR="00332969">
        <w:t xml:space="preserve"> </w:t>
      </w:r>
      <w:r w:rsidR="005A2028" w:rsidRPr="002A6462">
        <w:t>R</w:t>
      </w:r>
      <w:r w:rsidR="00332969">
        <w:t>.</w:t>
      </w:r>
      <w:r w:rsidR="005A2028" w:rsidRPr="002A6462">
        <w:t xml:space="preserve"> F</w:t>
      </w:r>
      <w:r w:rsidR="00332969">
        <w:t>.</w:t>
      </w:r>
      <w:r w:rsidR="005A2028" w:rsidRPr="002A6462">
        <w:t xml:space="preserve"> </w:t>
      </w:r>
      <w:r w:rsidR="00227338">
        <w:t>(</w:t>
      </w:r>
      <w:r w:rsidR="005A2028" w:rsidRPr="002A6462">
        <w:t>2022</w:t>
      </w:r>
      <w:r w:rsidR="00227338">
        <w:t>),</w:t>
      </w:r>
      <w:r w:rsidR="005A2028" w:rsidRPr="002A6462">
        <w:t xml:space="preserve"> Estimating the Indirect Effects of Monetary Policy on Inflation, the Output Gap and Foreign Reserves in Jordan Using the New Keynesian Model. </w:t>
      </w:r>
      <w:r w:rsidR="005A2028" w:rsidRPr="002A6462">
        <w:rPr>
          <w:i/>
          <w:iCs/>
        </w:rPr>
        <w:t>Jordan Journal of Economic Sciences</w:t>
      </w:r>
      <w:r w:rsidR="005A2028" w:rsidRPr="002A6462">
        <w:t>, </w:t>
      </w:r>
      <w:r w:rsidR="005A2028" w:rsidRPr="002A6462">
        <w:rPr>
          <w:i/>
          <w:iCs/>
        </w:rPr>
        <w:t>9</w:t>
      </w:r>
      <w:r w:rsidR="005A2028" w:rsidRPr="002A6462">
        <w:t>(2)</w:t>
      </w:r>
      <w:r w:rsidR="00884F5F">
        <w:t xml:space="preserve">, </w:t>
      </w:r>
      <w:r w:rsidR="00884F5F" w:rsidRPr="00884F5F">
        <w:t>pp.</w:t>
      </w:r>
      <w:r w:rsidR="00884F5F">
        <w:t xml:space="preserve"> </w:t>
      </w:r>
      <w:r w:rsidR="005A2028" w:rsidRPr="002A6462">
        <w:t>172–188.</w:t>
      </w:r>
    </w:p>
    <w:p w:rsidR="005A2028" w:rsidRPr="00B14585" w:rsidRDefault="00531AF1" w:rsidP="00A64A6B">
      <w:pPr>
        <w:pStyle w:val="MDPI31text"/>
        <w:ind w:left="720" w:hanging="450"/>
      </w:pPr>
      <w:r w:rsidRPr="00531AF1">
        <w:t>[</w:t>
      </w:r>
      <w:r>
        <w:t>5</w:t>
      </w:r>
      <w:r w:rsidRPr="00531AF1">
        <w:t xml:space="preserve">] </w:t>
      </w:r>
      <w:r w:rsidR="005A2028">
        <w:t xml:space="preserve">Apergis, </w:t>
      </w:r>
      <w:r w:rsidR="005A2028" w:rsidRPr="003F3113">
        <w:t>N</w:t>
      </w:r>
      <w:r w:rsidR="005A2028">
        <w:t xml:space="preserve">. </w:t>
      </w:r>
      <w:r w:rsidR="00A64A6B">
        <w:t>(</w:t>
      </w:r>
      <w:r w:rsidR="005A2028" w:rsidRPr="00B14585">
        <w:t>2004</w:t>
      </w:r>
      <w:r w:rsidR="00A64A6B">
        <w:t>),</w:t>
      </w:r>
      <w:r w:rsidR="005A2028">
        <w:t xml:space="preserve"> </w:t>
      </w:r>
      <w:r w:rsidR="005A2028" w:rsidRPr="00B14585">
        <w:t xml:space="preserve">Inflation, output growth, volatility and causality: evidence from panel data and the G7 countries, </w:t>
      </w:r>
      <w:r w:rsidR="005A2028" w:rsidRPr="00B14585">
        <w:rPr>
          <w:i/>
          <w:iCs/>
        </w:rPr>
        <w:t>Economics Letters</w:t>
      </w:r>
      <w:r w:rsidR="005A2028" w:rsidRPr="00B14585">
        <w:t>, 83</w:t>
      </w:r>
      <w:r w:rsidR="00884F5F">
        <w:t xml:space="preserve">, </w:t>
      </w:r>
      <w:r w:rsidR="00884F5F" w:rsidRPr="00884F5F">
        <w:t>pp.</w:t>
      </w:r>
      <w:r w:rsidR="00884F5F">
        <w:t xml:space="preserve"> </w:t>
      </w:r>
      <w:r w:rsidR="005A2028" w:rsidRPr="00B14585">
        <w:t>185</w:t>
      </w:r>
      <w:r w:rsidR="005A2028" w:rsidRPr="005B347D">
        <w:rPr>
          <w:szCs w:val="18"/>
        </w:rPr>
        <w:t>–</w:t>
      </w:r>
      <w:r w:rsidR="005A2028" w:rsidRPr="00B14585">
        <w:t>191.</w:t>
      </w:r>
    </w:p>
    <w:p w:rsidR="005A2028" w:rsidRPr="00B14585" w:rsidRDefault="00531AF1" w:rsidP="0054159A">
      <w:pPr>
        <w:pStyle w:val="MDPI31text"/>
        <w:ind w:left="720" w:hanging="450"/>
      </w:pPr>
      <w:r>
        <w:t>[6</w:t>
      </w:r>
      <w:r w:rsidRPr="00531AF1">
        <w:t xml:space="preserve">] </w:t>
      </w:r>
      <w:r w:rsidR="005A2028" w:rsidRPr="00B14585">
        <w:t>Asa</w:t>
      </w:r>
      <w:r w:rsidR="005A2028">
        <w:t xml:space="preserve">ndului, </w:t>
      </w:r>
      <w:r w:rsidR="005A2028" w:rsidRPr="00677FEC">
        <w:t>M</w:t>
      </w:r>
      <w:r w:rsidR="0054159A">
        <w:t>.</w:t>
      </w:r>
      <w:r w:rsidR="005A2028">
        <w:t xml:space="preserve"> and Lupu</w:t>
      </w:r>
      <w:r w:rsidR="0054159A">
        <w:t xml:space="preserve"> D</w:t>
      </w:r>
      <w:r w:rsidR="005A2028">
        <w:t xml:space="preserve">. </w:t>
      </w:r>
      <w:r w:rsidR="0054159A">
        <w:t>(</w:t>
      </w:r>
      <w:r w:rsidR="005A2028">
        <w:t>2015</w:t>
      </w:r>
      <w:r w:rsidR="0054159A">
        <w:t>),</w:t>
      </w:r>
      <w:r w:rsidR="005A2028">
        <w:t xml:space="preserve"> </w:t>
      </w:r>
      <w:r w:rsidR="005A2028" w:rsidRPr="00B14585">
        <w:t>The Inflation and Economic Growth: Eviden</w:t>
      </w:r>
      <w:r w:rsidR="005A2028">
        <w:t>ce from Romania</w:t>
      </w:r>
      <w:r w:rsidR="005A2028" w:rsidRPr="00B14585">
        <w:t xml:space="preserve">, </w:t>
      </w:r>
      <w:r w:rsidR="005A2028" w:rsidRPr="00B14585">
        <w:rPr>
          <w:i/>
          <w:iCs/>
        </w:rPr>
        <w:t>Danubius University of Galati</w:t>
      </w:r>
      <w:r w:rsidR="005A2028" w:rsidRPr="00B14585">
        <w:t>, 11</w:t>
      </w:r>
      <w:r w:rsidR="00884F5F">
        <w:t xml:space="preserve">, </w:t>
      </w:r>
      <w:r w:rsidR="00884F5F" w:rsidRPr="00884F5F">
        <w:t>pp.</w:t>
      </w:r>
      <w:r w:rsidR="00884F5F">
        <w:t xml:space="preserve"> </w:t>
      </w:r>
      <w:r w:rsidR="005A2028" w:rsidRPr="00B14585">
        <w:t>35</w:t>
      </w:r>
      <w:r w:rsidR="005A2028" w:rsidRPr="005B347D">
        <w:rPr>
          <w:szCs w:val="18"/>
        </w:rPr>
        <w:t>–</w:t>
      </w:r>
      <w:r w:rsidR="005A2028" w:rsidRPr="00B14585">
        <w:t>42.</w:t>
      </w:r>
    </w:p>
    <w:p w:rsidR="005A2028" w:rsidRPr="00B14585" w:rsidRDefault="00531AF1" w:rsidP="00F94084">
      <w:pPr>
        <w:pStyle w:val="MDPI31text"/>
        <w:ind w:left="720" w:hanging="450"/>
      </w:pPr>
      <w:r w:rsidRPr="00531AF1">
        <w:t>[</w:t>
      </w:r>
      <w:r>
        <w:t>7</w:t>
      </w:r>
      <w:r w:rsidRPr="00531AF1">
        <w:t xml:space="preserve">] </w:t>
      </w:r>
      <w:r w:rsidR="005A2028">
        <w:t>Aydın, C</w:t>
      </w:r>
      <w:r w:rsidR="00F94084">
        <w:t>.</w:t>
      </w:r>
      <w:r w:rsidR="005A2028">
        <w:t>, Esen</w:t>
      </w:r>
      <w:r w:rsidR="00F94084" w:rsidRPr="00F94084">
        <w:t xml:space="preserve"> </w:t>
      </w:r>
      <w:r w:rsidR="00F94084">
        <w:t>Ö.</w:t>
      </w:r>
      <w:r w:rsidR="005A2028">
        <w:t>, and Bayrak</w:t>
      </w:r>
      <w:r w:rsidR="00F94084" w:rsidRPr="00F94084">
        <w:t xml:space="preserve"> </w:t>
      </w:r>
      <w:r w:rsidR="00F94084">
        <w:t>M</w:t>
      </w:r>
      <w:r w:rsidR="005A2028">
        <w:t xml:space="preserve">. </w:t>
      </w:r>
      <w:r w:rsidR="00F94084">
        <w:t>(</w:t>
      </w:r>
      <w:r w:rsidR="005A2028">
        <w:t>2016</w:t>
      </w:r>
      <w:r w:rsidR="00F94084">
        <w:t>),</w:t>
      </w:r>
      <w:r w:rsidR="005A2028">
        <w:t xml:space="preserve"> </w:t>
      </w:r>
      <w:r w:rsidR="005A2028" w:rsidRPr="00B14585">
        <w:t xml:space="preserve">Inflation and Economic Growth: A Dynamic Panel Threshold Analysis for Turkish </w:t>
      </w:r>
      <w:r w:rsidR="005A2028">
        <w:t>Republics in Transition Process</w:t>
      </w:r>
      <w:r w:rsidR="005A2028" w:rsidRPr="00B14585">
        <w:t xml:space="preserve">, </w:t>
      </w:r>
      <w:r w:rsidR="005A2028" w:rsidRPr="00B14585">
        <w:rPr>
          <w:i/>
          <w:iCs/>
        </w:rPr>
        <w:t>Procedia - Social and Behavioral Sciences</w:t>
      </w:r>
      <w:r w:rsidR="005A2028" w:rsidRPr="00B14585">
        <w:t>, 229</w:t>
      </w:r>
      <w:r w:rsidR="00884F5F">
        <w:t xml:space="preserve">, </w:t>
      </w:r>
      <w:r w:rsidR="00884F5F" w:rsidRPr="00884F5F">
        <w:t>pp.</w:t>
      </w:r>
      <w:r w:rsidR="00884F5F">
        <w:t xml:space="preserve"> </w:t>
      </w:r>
      <w:r w:rsidR="005A2028" w:rsidRPr="00B14585">
        <w:t>196</w:t>
      </w:r>
      <w:r w:rsidR="005A2028" w:rsidRPr="005B347D">
        <w:rPr>
          <w:szCs w:val="18"/>
        </w:rPr>
        <w:t>–</w:t>
      </w:r>
      <w:r w:rsidR="005A2028" w:rsidRPr="00B14585">
        <w:t>205.</w:t>
      </w:r>
    </w:p>
    <w:p w:rsidR="005A2028" w:rsidRPr="00B14585" w:rsidRDefault="00531AF1" w:rsidP="001973A7">
      <w:pPr>
        <w:pStyle w:val="MDPI31text"/>
        <w:ind w:left="720" w:hanging="450"/>
      </w:pPr>
      <w:r>
        <w:t>[8</w:t>
      </w:r>
      <w:r w:rsidRPr="00531AF1">
        <w:t xml:space="preserve">] </w:t>
      </w:r>
      <w:r w:rsidR="005A2028">
        <w:t>Baltar,</w:t>
      </w:r>
      <w:r w:rsidR="001973A7">
        <w:t xml:space="preserve"> </w:t>
      </w:r>
      <w:r w:rsidR="005A2028" w:rsidRPr="00341455">
        <w:t>C</w:t>
      </w:r>
      <w:r w:rsidR="001973A7">
        <w:t xml:space="preserve">. </w:t>
      </w:r>
      <w:r w:rsidR="005A2028" w:rsidRPr="00341455">
        <w:t>T</w:t>
      </w:r>
      <w:r w:rsidR="001973A7">
        <w:t>.</w:t>
      </w:r>
      <w:r w:rsidR="005A2028">
        <w:t xml:space="preserve"> </w:t>
      </w:r>
      <w:r w:rsidR="00E24E8F">
        <w:t>(</w:t>
      </w:r>
      <w:r w:rsidR="005A2028">
        <w:t>2015</w:t>
      </w:r>
      <w:r w:rsidR="00E24E8F">
        <w:t>),</w:t>
      </w:r>
      <w:r w:rsidR="005A2028">
        <w:t xml:space="preserve"> </w:t>
      </w:r>
      <w:r w:rsidR="005A2028" w:rsidRPr="00B14585">
        <w:t>Inflation and economic growth in an open develop</w:t>
      </w:r>
      <w:r w:rsidR="005A2028">
        <w:t>ing country: the case of Brazil</w:t>
      </w:r>
      <w:r w:rsidR="005A2028" w:rsidRPr="00B14585">
        <w:t>, Ca</w:t>
      </w:r>
      <w:r w:rsidR="005A2028" w:rsidRPr="00B14585">
        <w:rPr>
          <w:i/>
          <w:iCs/>
        </w:rPr>
        <w:t>mbridge Journal of Economics</w:t>
      </w:r>
      <w:r w:rsidR="005A2028" w:rsidRPr="00B14585">
        <w:t>, 39</w:t>
      </w:r>
      <w:r w:rsidR="00884F5F">
        <w:t xml:space="preserve">, </w:t>
      </w:r>
      <w:r w:rsidR="00884F5F" w:rsidRPr="00884F5F">
        <w:t>pp.</w:t>
      </w:r>
      <w:r w:rsidR="00884F5F">
        <w:t xml:space="preserve"> </w:t>
      </w:r>
      <w:r w:rsidR="005A2028" w:rsidRPr="00B14585">
        <w:t>1263</w:t>
      </w:r>
      <w:r w:rsidR="005A2028" w:rsidRPr="005B347D">
        <w:rPr>
          <w:szCs w:val="18"/>
        </w:rPr>
        <w:t>–</w:t>
      </w:r>
      <w:r w:rsidR="005A2028" w:rsidRPr="00B14585">
        <w:t>1280.</w:t>
      </w:r>
    </w:p>
    <w:p w:rsidR="005A2028" w:rsidRPr="00B14585" w:rsidRDefault="00531AF1" w:rsidP="001711E9">
      <w:pPr>
        <w:pStyle w:val="MDPI31text"/>
        <w:ind w:left="720" w:hanging="450"/>
      </w:pPr>
      <w:r w:rsidRPr="00531AF1">
        <w:t>[</w:t>
      </w:r>
      <w:r>
        <w:t>9</w:t>
      </w:r>
      <w:r w:rsidRPr="00531AF1">
        <w:t xml:space="preserve">] </w:t>
      </w:r>
      <w:r w:rsidR="005A2028">
        <w:t xml:space="preserve"> Barro, R. </w:t>
      </w:r>
      <w:r w:rsidR="00E24E8F">
        <w:t>(</w:t>
      </w:r>
      <w:r w:rsidR="005A2028">
        <w:t>2013</w:t>
      </w:r>
      <w:r w:rsidR="00E24E8F">
        <w:t>)</w:t>
      </w:r>
      <w:r w:rsidR="005A2028">
        <w:t xml:space="preserve"> Inflation and Economic Growth</w:t>
      </w:r>
      <w:r w:rsidR="005A2028" w:rsidRPr="00B14585">
        <w:t xml:space="preserve">, </w:t>
      </w:r>
      <w:r w:rsidR="005A2028" w:rsidRPr="00B14585">
        <w:rPr>
          <w:i/>
          <w:iCs/>
        </w:rPr>
        <w:t>Annals of Economics and Finance</w:t>
      </w:r>
      <w:r w:rsidR="005A2028" w:rsidRPr="00B14585">
        <w:t>, 14</w:t>
      </w:r>
      <w:r w:rsidR="00884F5F">
        <w:t xml:space="preserve">, </w:t>
      </w:r>
      <w:r w:rsidR="00884F5F" w:rsidRPr="00884F5F">
        <w:t>pp.</w:t>
      </w:r>
      <w:r w:rsidR="00884F5F">
        <w:t xml:space="preserve"> </w:t>
      </w:r>
      <w:r w:rsidR="005A2028" w:rsidRPr="00B14585">
        <w:t>121</w:t>
      </w:r>
      <w:r w:rsidR="005A2028" w:rsidRPr="005B347D">
        <w:rPr>
          <w:szCs w:val="18"/>
        </w:rPr>
        <w:t>–</w:t>
      </w:r>
      <w:r w:rsidR="005A2028" w:rsidRPr="00B14585">
        <w:t>144.</w:t>
      </w:r>
    </w:p>
    <w:p w:rsidR="005A2028" w:rsidRPr="00B14585" w:rsidRDefault="00531AF1" w:rsidP="001711E9">
      <w:pPr>
        <w:pStyle w:val="MDPI31text"/>
        <w:ind w:left="720" w:hanging="450"/>
      </w:pPr>
      <w:r w:rsidRPr="00531AF1">
        <w:t>[1</w:t>
      </w:r>
      <w:r>
        <w:t>0</w:t>
      </w:r>
      <w:r w:rsidRPr="00531AF1">
        <w:t xml:space="preserve">] </w:t>
      </w:r>
      <w:r w:rsidR="005A2028" w:rsidRPr="00B14585">
        <w:t>Behera</w:t>
      </w:r>
      <w:r w:rsidR="005A2028">
        <w:t>,</w:t>
      </w:r>
      <w:r w:rsidR="005A2028" w:rsidRPr="00B14585">
        <w:t xml:space="preserve"> </w:t>
      </w:r>
      <w:r w:rsidR="005A2028" w:rsidRPr="00546C7E">
        <w:t>J</w:t>
      </w:r>
      <w:r w:rsidR="005A2028">
        <w:t xml:space="preserve">. </w:t>
      </w:r>
      <w:r w:rsidR="00E24E8F">
        <w:t>(</w:t>
      </w:r>
      <w:r w:rsidR="005A2028">
        <w:t>2014</w:t>
      </w:r>
      <w:r w:rsidR="00E24E8F">
        <w:t>),</w:t>
      </w:r>
      <w:r w:rsidR="005A2028">
        <w:t xml:space="preserve"> </w:t>
      </w:r>
      <w:r w:rsidR="005A2028" w:rsidRPr="00B14585">
        <w:rPr>
          <w:i/>
          <w:iCs/>
        </w:rPr>
        <w:t>Inflation and its Impact on Economic Growth: Evidence</w:t>
      </w:r>
      <w:r w:rsidR="005A2028">
        <w:rPr>
          <w:i/>
          <w:iCs/>
        </w:rPr>
        <w:t xml:space="preserve"> from Six South Asian Countries</w:t>
      </w:r>
      <w:r w:rsidR="005A2028" w:rsidRPr="00B14585">
        <w:t xml:space="preserve">, </w:t>
      </w:r>
      <w:r w:rsidR="005A2028" w:rsidRPr="00B14585">
        <w:rPr>
          <w:i/>
          <w:iCs/>
        </w:rPr>
        <w:t>Journal of Economics and Sustainable Development</w:t>
      </w:r>
      <w:r w:rsidR="005A2028" w:rsidRPr="00B14585">
        <w:t>, 5(7).</w:t>
      </w:r>
    </w:p>
    <w:p w:rsidR="005A2028" w:rsidRPr="00B14585" w:rsidRDefault="00531AF1" w:rsidP="001711E9">
      <w:pPr>
        <w:pStyle w:val="MDPI31text"/>
        <w:ind w:left="720" w:hanging="450"/>
      </w:pPr>
      <w:r w:rsidRPr="00531AF1">
        <w:t>[1</w:t>
      </w:r>
      <w:r>
        <w:t>1</w:t>
      </w:r>
      <w:r w:rsidRPr="00531AF1">
        <w:t>]</w:t>
      </w:r>
      <w:r w:rsidR="005A2028" w:rsidRPr="00AC68EA">
        <w:t xml:space="preserve"> Bittencourt</w:t>
      </w:r>
      <w:r w:rsidR="005A2028">
        <w:t>,</w:t>
      </w:r>
      <w:r w:rsidR="005A2028" w:rsidRPr="00AC68EA">
        <w:t xml:space="preserve"> M</w:t>
      </w:r>
      <w:r w:rsidR="001711E9">
        <w:t>.</w:t>
      </w:r>
      <w:r w:rsidR="005A2028">
        <w:t>, Eyden</w:t>
      </w:r>
      <w:r w:rsidR="001711E9" w:rsidRPr="001711E9">
        <w:t xml:space="preserve"> </w:t>
      </w:r>
      <w:r w:rsidR="001711E9">
        <w:t>R.,</w:t>
      </w:r>
      <w:r w:rsidR="005A2028">
        <w:t xml:space="preserve"> and Seleteng</w:t>
      </w:r>
      <w:r w:rsidR="001711E9" w:rsidRPr="001711E9">
        <w:t xml:space="preserve"> </w:t>
      </w:r>
      <w:r w:rsidR="001711E9">
        <w:t>M</w:t>
      </w:r>
      <w:r w:rsidR="005A2028">
        <w:t xml:space="preserve">. </w:t>
      </w:r>
      <w:r w:rsidR="00E24E8F">
        <w:t>(</w:t>
      </w:r>
      <w:r w:rsidR="005A2028">
        <w:t>2015</w:t>
      </w:r>
      <w:r w:rsidR="00E24E8F">
        <w:t>),</w:t>
      </w:r>
      <w:r w:rsidR="005A2028">
        <w:t xml:space="preserve"> </w:t>
      </w:r>
      <w:r w:rsidR="005A2028" w:rsidRPr="00B14585">
        <w:t>Inflation and Economic Growth: Evidence from the Southe</w:t>
      </w:r>
      <w:r w:rsidR="005A2028">
        <w:t>rn Africa Development Community</w:t>
      </w:r>
      <w:r w:rsidR="005A2028" w:rsidRPr="00B14585">
        <w:t xml:space="preserve">, </w:t>
      </w:r>
      <w:r w:rsidR="005A2028" w:rsidRPr="00B14585">
        <w:rPr>
          <w:i/>
          <w:iCs/>
        </w:rPr>
        <w:t>South African Journal of Economics</w:t>
      </w:r>
      <w:r w:rsidR="005A2028" w:rsidRPr="00B14585">
        <w:t>, 83</w:t>
      </w:r>
      <w:r w:rsidR="00884F5F">
        <w:t xml:space="preserve">, </w:t>
      </w:r>
      <w:r w:rsidR="00884F5F" w:rsidRPr="00884F5F">
        <w:t>pp.</w:t>
      </w:r>
      <w:r w:rsidR="00884F5F">
        <w:t xml:space="preserve"> </w:t>
      </w:r>
      <w:r w:rsidR="005A2028" w:rsidRPr="00B14585">
        <w:t>411</w:t>
      </w:r>
      <w:r w:rsidR="005A2028" w:rsidRPr="005B347D">
        <w:rPr>
          <w:szCs w:val="18"/>
        </w:rPr>
        <w:t>–</w:t>
      </w:r>
      <w:r w:rsidR="005A2028" w:rsidRPr="00B14585">
        <w:t>424.</w:t>
      </w:r>
      <w:r w:rsidR="005A2028">
        <w:t xml:space="preserve"> </w:t>
      </w:r>
      <w:r w:rsidR="005A2028" w:rsidRPr="00AC68EA">
        <w:t>https://doi.org/10.1111/saje.12075</w:t>
      </w:r>
      <w:r w:rsidR="005A2028">
        <w:t xml:space="preserve"> </w:t>
      </w:r>
    </w:p>
    <w:p w:rsidR="005A2028" w:rsidRPr="00B14585" w:rsidRDefault="00531AF1" w:rsidP="005A2028">
      <w:pPr>
        <w:pStyle w:val="MDPI31text"/>
        <w:ind w:left="720" w:hanging="450"/>
      </w:pPr>
      <w:r w:rsidRPr="00531AF1">
        <w:t>[1</w:t>
      </w:r>
      <w:r>
        <w:t>2</w:t>
      </w:r>
      <w:r w:rsidRPr="00531AF1">
        <w:t xml:space="preserve">] </w:t>
      </w:r>
      <w:r w:rsidR="005A2028" w:rsidRPr="00B14585">
        <w:t xml:space="preserve">Chimobi, O. P. (2010) </w:t>
      </w:r>
      <w:r w:rsidR="005A2028" w:rsidRPr="00B14585">
        <w:rPr>
          <w:i/>
          <w:iCs/>
        </w:rPr>
        <w:t>Inflation and Economic Growth in Nigeria'</w:t>
      </w:r>
      <w:r w:rsidR="005A2028" w:rsidRPr="00B14585">
        <w:t xml:space="preserve">, </w:t>
      </w:r>
      <w:r w:rsidR="005A2028" w:rsidRPr="00B14585">
        <w:rPr>
          <w:i/>
          <w:iCs/>
        </w:rPr>
        <w:t>Journal of Sustainable Development</w:t>
      </w:r>
      <w:r w:rsidR="005A2028" w:rsidRPr="00B14585">
        <w:t>, 3</w:t>
      </w:r>
      <w:r w:rsidR="005A2028">
        <w:t xml:space="preserve">: </w:t>
      </w:r>
      <w:r w:rsidR="005A2028" w:rsidRPr="00B14585">
        <w:t>159</w:t>
      </w:r>
      <w:r w:rsidR="005A2028" w:rsidRPr="005B347D">
        <w:rPr>
          <w:szCs w:val="18"/>
        </w:rPr>
        <w:t>–</w:t>
      </w:r>
      <w:r w:rsidR="005A2028" w:rsidRPr="00B14585">
        <w:t>166.</w:t>
      </w:r>
    </w:p>
    <w:p w:rsidR="005A2028" w:rsidRPr="00B14585" w:rsidRDefault="00531AF1" w:rsidP="00460B7F">
      <w:pPr>
        <w:pStyle w:val="MDPI31text"/>
        <w:ind w:left="720" w:hanging="450"/>
      </w:pPr>
      <w:r w:rsidRPr="00531AF1">
        <w:lastRenderedPageBreak/>
        <w:t>[1</w:t>
      </w:r>
      <w:r>
        <w:t>3</w:t>
      </w:r>
      <w:r w:rsidRPr="00531AF1">
        <w:t xml:space="preserve">] </w:t>
      </w:r>
      <w:r w:rsidR="005A2028" w:rsidRPr="001063D7">
        <w:t>Cukierman</w:t>
      </w:r>
      <w:r w:rsidR="005A2028">
        <w:t>,</w:t>
      </w:r>
      <w:r w:rsidR="005A2028" w:rsidRPr="001063D7">
        <w:t xml:space="preserve"> A</w:t>
      </w:r>
      <w:r w:rsidR="00460B7F">
        <w:t>.</w:t>
      </w:r>
      <w:r w:rsidR="005A2028" w:rsidRPr="001063D7">
        <w:t xml:space="preserve"> and </w:t>
      </w:r>
      <w:r w:rsidR="00460B7F" w:rsidRPr="001063D7">
        <w:t xml:space="preserve">Meltzer </w:t>
      </w:r>
      <w:r w:rsidR="005A2028" w:rsidRPr="001063D7">
        <w:t>A</w:t>
      </w:r>
      <w:r w:rsidR="00460B7F">
        <w:t>.</w:t>
      </w:r>
      <w:r w:rsidR="005A2028" w:rsidRPr="001063D7">
        <w:t xml:space="preserve"> H.</w:t>
      </w:r>
      <w:r w:rsidR="005A2028">
        <w:t xml:space="preserve"> </w:t>
      </w:r>
      <w:r w:rsidR="00460B7F">
        <w:t>(</w:t>
      </w:r>
      <w:r w:rsidR="005A2028">
        <w:t>1986</w:t>
      </w:r>
      <w:r w:rsidR="00460B7F">
        <w:t>),</w:t>
      </w:r>
      <w:r w:rsidR="005A2028">
        <w:t xml:space="preserve"> </w:t>
      </w:r>
      <w:r w:rsidR="005A2028" w:rsidRPr="00B14585">
        <w:t xml:space="preserve">A Theory of Ambiguity, Credibility, and Inflation under Discretion and Asymmetric Information, </w:t>
      </w:r>
      <w:r w:rsidR="005A2028" w:rsidRPr="00B14585">
        <w:rPr>
          <w:i/>
          <w:iCs/>
        </w:rPr>
        <w:t>Econometrica</w:t>
      </w:r>
      <w:r w:rsidR="005A2028" w:rsidRPr="00B14585">
        <w:t>, 54</w:t>
      </w:r>
      <w:r w:rsidR="00884F5F">
        <w:t xml:space="preserve">, </w:t>
      </w:r>
      <w:r w:rsidR="00884F5F" w:rsidRPr="00884F5F">
        <w:t>pp.</w:t>
      </w:r>
      <w:r w:rsidR="00884F5F">
        <w:t xml:space="preserve"> </w:t>
      </w:r>
      <w:r w:rsidR="005A2028" w:rsidRPr="00B14585">
        <w:t>1099</w:t>
      </w:r>
      <w:r w:rsidR="005A2028" w:rsidRPr="005B347D">
        <w:rPr>
          <w:szCs w:val="18"/>
        </w:rPr>
        <w:t>–</w:t>
      </w:r>
      <w:r w:rsidR="005A2028" w:rsidRPr="00B14585">
        <w:t>1128.</w:t>
      </w:r>
    </w:p>
    <w:p w:rsidR="005A2028" w:rsidRPr="00B14585" w:rsidRDefault="00531AF1" w:rsidP="00FF0DFF">
      <w:pPr>
        <w:pStyle w:val="MDPI31text"/>
        <w:ind w:left="720" w:hanging="450"/>
      </w:pPr>
      <w:r w:rsidRPr="00531AF1">
        <w:t>[1</w:t>
      </w:r>
      <w:r>
        <w:t>4</w:t>
      </w:r>
      <w:r w:rsidRPr="00531AF1">
        <w:t>]</w:t>
      </w:r>
      <w:r w:rsidR="005A2028">
        <w:t xml:space="preserve"> Dinh, </w:t>
      </w:r>
      <w:r w:rsidR="005A2028" w:rsidRPr="003E7576">
        <w:t>D</w:t>
      </w:r>
      <w:r w:rsidR="00FF0DFF">
        <w:t xml:space="preserve">. </w:t>
      </w:r>
      <w:r w:rsidR="005A2028" w:rsidRPr="003E7576">
        <w:t>V</w:t>
      </w:r>
      <w:r w:rsidR="005A2028">
        <w:t xml:space="preserve">. </w:t>
      </w:r>
      <w:r w:rsidR="00E24E8F">
        <w:t>(</w:t>
      </w:r>
      <w:r w:rsidR="005A2028">
        <w:t>2020</w:t>
      </w:r>
      <w:r w:rsidR="00E24E8F">
        <w:t>),</w:t>
      </w:r>
      <w:r w:rsidR="005A2028">
        <w:t xml:space="preserve"> </w:t>
      </w:r>
      <w:r w:rsidR="005A2028" w:rsidRPr="00B14585">
        <w:t>Impulse Response of Inflation to Economic Grow</w:t>
      </w:r>
      <w:r w:rsidR="005A2028">
        <w:t>th Dynamics: VAR Model Analysis</w:t>
      </w:r>
      <w:r w:rsidR="005A2028" w:rsidRPr="00B14585">
        <w:t xml:space="preserve">, </w:t>
      </w:r>
      <w:r w:rsidR="005A2028" w:rsidRPr="00B14585">
        <w:rPr>
          <w:i/>
          <w:iCs/>
        </w:rPr>
        <w:t>Journal of Asian Finance, Economics and Business</w:t>
      </w:r>
      <w:r w:rsidR="005A2028" w:rsidRPr="00B14585">
        <w:t>,</w:t>
      </w:r>
      <w:r w:rsidR="005A2028">
        <w:t xml:space="preserve"> </w:t>
      </w:r>
      <w:r w:rsidR="005A2028" w:rsidRPr="00B14585">
        <w:t>7</w:t>
      </w:r>
      <w:r w:rsidR="00884F5F">
        <w:t xml:space="preserve">, </w:t>
      </w:r>
      <w:r w:rsidR="00884F5F" w:rsidRPr="00884F5F">
        <w:t>pp.</w:t>
      </w:r>
      <w:r w:rsidR="00884F5F">
        <w:t xml:space="preserve"> </w:t>
      </w:r>
      <w:r w:rsidR="005A2028" w:rsidRPr="00B14585">
        <w:t>219</w:t>
      </w:r>
      <w:r w:rsidR="005A2028" w:rsidRPr="005B347D">
        <w:rPr>
          <w:szCs w:val="18"/>
        </w:rPr>
        <w:t>–</w:t>
      </w:r>
      <w:r w:rsidR="005A2028" w:rsidRPr="00B14585">
        <w:t>228.</w:t>
      </w:r>
    </w:p>
    <w:p w:rsidR="005A2028" w:rsidRPr="00B14585" w:rsidRDefault="00531AF1" w:rsidP="00FF0DFF">
      <w:pPr>
        <w:pStyle w:val="MDPI31text"/>
        <w:ind w:left="720" w:hanging="450"/>
      </w:pPr>
      <w:r w:rsidRPr="00531AF1">
        <w:t>[1</w:t>
      </w:r>
      <w:r>
        <w:t>5</w:t>
      </w:r>
      <w:r w:rsidRPr="00531AF1">
        <w:t>]</w:t>
      </w:r>
      <w:r>
        <w:t xml:space="preserve"> </w:t>
      </w:r>
      <w:r w:rsidR="005A2028" w:rsidRPr="00B14585">
        <w:t xml:space="preserve">Ekinci, </w:t>
      </w:r>
      <w:r w:rsidR="005A2028" w:rsidRPr="001174DE">
        <w:t>R</w:t>
      </w:r>
      <w:r w:rsidR="00FF0DFF">
        <w:t>.</w:t>
      </w:r>
      <w:r w:rsidR="005A2028" w:rsidRPr="00B14585">
        <w:t xml:space="preserve">, </w:t>
      </w:r>
      <w:r w:rsidR="00FF0DFF" w:rsidRPr="00B14585">
        <w:t>T</w:t>
      </w:r>
      <w:r w:rsidR="00FF0DFF">
        <w:t>üzün</w:t>
      </w:r>
      <w:r w:rsidR="00FF0DFF" w:rsidRPr="001174DE">
        <w:t xml:space="preserve"> </w:t>
      </w:r>
      <w:r w:rsidR="005A2028" w:rsidRPr="001174DE">
        <w:t>O</w:t>
      </w:r>
      <w:r w:rsidR="00FF0DFF">
        <w:t>.</w:t>
      </w:r>
      <w:r w:rsidR="005A2028">
        <w:t xml:space="preserve">, and </w:t>
      </w:r>
      <w:r w:rsidR="00FF0DFF">
        <w:t>Ceylan</w:t>
      </w:r>
      <w:r w:rsidR="00FF0DFF" w:rsidRPr="001174DE">
        <w:t xml:space="preserve"> </w:t>
      </w:r>
      <w:r w:rsidR="005A2028" w:rsidRPr="001174DE">
        <w:t>F</w:t>
      </w:r>
      <w:r w:rsidR="005A2028">
        <w:t xml:space="preserve">. </w:t>
      </w:r>
      <w:r w:rsidR="00E24E8F">
        <w:t>(</w:t>
      </w:r>
      <w:r w:rsidR="005A2028">
        <w:t>2020</w:t>
      </w:r>
      <w:r w:rsidR="00E24E8F">
        <w:t>),</w:t>
      </w:r>
      <w:r w:rsidR="005A2028">
        <w:t xml:space="preserve"> </w:t>
      </w:r>
      <w:r w:rsidR="005A2028" w:rsidRPr="00B14585">
        <w:t xml:space="preserve">The relationship between inflation and economic growth: Experiences of some inflation targeting countries, </w:t>
      </w:r>
      <w:r w:rsidR="005A2028" w:rsidRPr="00B14585">
        <w:rPr>
          <w:i/>
          <w:iCs/>
        </w:rPr>
        <w:t>Financial Studies</w:t>
      </w:r>
      <w:r w:rsidR="005A2028">
        <w:t>, 24</w:t>
      </w:r>
      <w:r w:rsidR="00884F5F">
        <w:t xml:space="preserve">, </w:t>
      </w:r>
      <w:r w:rsidR="00884F5F" w:rsidRPr="00884F5F">
        <w:t>pp.</w:t>
      </w:r>
      <w:r w:rsidR="00884F5F">
        <w:t xml:space="preserve"> </w:t>
      </w:r>
      <w:r w:rsidR="005A2028" w:rsidRPr="00B14585">
        <w:t>6</w:t>
      </w:r>
      <w:r w:rsidR="005A2028" w:rsidRPr="005B347D">
        <w:rPr>
          <w:szCs w:val="18"/>
        </w:rPr>
        <w:t>–</w:t>
      </w:r>
      <w:r w:rsidR="005A2028" w:rsidRPr="00B14585">
        <w:t>20.</w:t>
      </w:r>
    </w:p>
    <w:p w:rsidR="005A2028" w:rsidRPr="00B14585" w:rsidRDefault="00531AF1" w:rsidP="00F83370">
      <w:pPr>
        <w:pStyle w:val="MDPI31text"/>
        <w:ind w:left="720" w:hanging="450"/>
      </w:pPr>
      <w:r w:rsidRPr="00531AF1">
        <w:t>[1</w:t>
      </w:r>
      <w:r>
        <w:t>6</w:t>
      </w:r>
      <w:r w:rsidRPr="00531AF1">
        <w:t xml:space="preserve">] </w:t>
      </w:r>
      <w:r w:rsidR="005A2028">
        <w:t xml:space="preserve">Friedman, </w:t>
      </w:r>
      <w:r w:rsidR="005A2028" w:rsidRPr="00CD48F6">
        <w:t>M</w:t>
      </w:r>
      <w:r w:rsidR="005A2028">
        <w:t xml:space="preserve">. </w:t>
      </w:r>
      <w:r w:rsidR="00E24E8F">
        <w:t>(</w:t>
      </w:r>
      <w:r w:rsidR="005A2028">
        <w:t>1977</w:t>
      </w:r>
      <w:r w:rsidR="00E24E8F">
        <w:t>),</w:t>
      </w:r>
      <w:r w:rsidR="005A2028" w:rsidRPr="00CD48F6">
        <w:t xml:space="preserve"> </w:t>
      </w:r>
      <w:r w:rsidR="005A2028" w:rsidRPr="00B14585">
        <w:t>Nobel lect</w:t>
      </w:r>
      <w:r w:rsidR="005A2028">
        <w:t>ure: inflation and unemployment</w:t>
      </w:r>
      <w:r w:rsidR="005A2028" w:rsidRPr="00B14585">
        <w:t xml:space="preserve">, </w:t>
      </w:r>
      <w:r w:rsidR="005A2028" w:rsidRPr="00B14585">
        <w:rPr>
          <w:i/>
          <w:iCs/>
        </w:rPr>
        <w:t>Journal of Political Economy</w:t>
      </w:r>
      <w:r w:rsidR="005A2028" w:rsidRPr="00B14585">
        <w:t>, 85</w:t>
      </w:r>
      <w:r w:rsidR="00884F5F">
        <w:t xml:space="preserve">, </w:t>
      </w:r>
      <w:r w:rsidR="00884F5F" w:rsidRPr="00884F5F">
        <w:t>pp.</w:t>
      </w:r>
      <w:r w:rsidR="00884F5F">
        <w:t xml:space="preserve"> </w:t>
      </w:r>
      <w:r w:rsidR="005A2028" w:rsidRPr="00B14585">
        <w:t>451</w:t>
      </w:r>
      <w:r w:rsidR="005A2028" w:rsidRPr="005B347D">
        <w:rPr>
          <w:szCs w:val="18"/>
        </w:rPr>
        <w:t>–</w:t>
      </w:r>
      <w:r w:rsidR="005A2028" w:rsidRPr="00B14585">
        <w:t>472.</w:t>
      </w:r>
      <w:r w:rsidR="005A2028">
        <w:t xml:space="preserve"> </w:t>
      </w:r>
      <w:r w:rsidR="005A2028" w:rsidRPr="00021A70">
        <w:t>https://www.jstor.org/stable/1830192</w:t>
      </w:r>
      <w:r w:rsidR="005A2028">
        <w:t xml:space="preserve"> </w:t>
      </w:r>
    </w:p>
    <w:p w:rsidR="005A2028" w:rsidRPr="00B14585" w:rsidRDefault="00531AF1" w:rsidP="00F83370">
      <w:pPr>
        <w:pStyle w:val="MDPI31text"/>
        <w:ind w:left="720" w:hanging="450"/>
      </w:pPr>
      <w:r w:rsidRPr="00531AF1">
        <w:t>[1</w:t>
      </w:r>
      <w:r>
        <w:t>7</w:t>
      </w:r>
      <w:r w:rsidRPr="00531AF1">
        <w:t xml:space="preserve">] </w:t>
      </w:r>
      <w:r w:rsidR="005A2028" w:rsidRPr="00B14585">
        <w:t>Gillma</w:t>
      </w:r>
      <w:r w:rsidR="005A2028">
        <w:t>n,</w:t>
      </w:r>
      <w:r w:rsidR="005A2028" w:rsidRPr="0074599E">
        <w:t xml:space="preserve"> M</w:t>
      </w:r>
      <w:r w:rsidR="00F83370">
        <w:t>.</w:t>
      </w:r>
      <w:r w:rsidR="005A2028">
        <w:t xml:space="preserve">, and </w:t>
      </w:r>
      <w:r w:rsidR="00F83370" w:rsidRPr="0011340A">
        <w:t xml:space="preserve">Harris </w:t>
      </w:r>
      <w:r w:rsidR="005A2028" w:rsidRPr="0011340A">
        <w:t>M</w:t>
      </w:r>
      <w:r w:rsidR="005A2028">
        <w:t xml:space="preserve">. </w:t>
      </w:r>
      <w:r w:rsidR="00891ABC">
        <w:t>(</w:t>
      </w:r>
      <w:r w:rsidR="005A2028">
        <w:t>2010</w:t>
      </w:r>
      <w:r w:rsidR="00891ABC">
        <w:t>),</w:t>
      </w:r>
      <w:r w:rsidR="005A2028">
        <w:t xml:space="preserve"> </w:t>
      </w:r>
      <w:r w:rsidR="005A2028" w:rsidRPr="00B14585">
        <w:t xml:space="preserve">The effect of inflation on growth. Evidence from </w:t>
      </w:r>
      <w:r w:rsidR="005A2028">
        <w:t>a panel of transition countries</w:t>
      </w:r>
      <w:r w:rsidR="005A2028" w:rsidRPr="00B14585">
        <w:t>, E</w:t>
      </w:r>
      <w:r w:rsidR="005A2028" w:rsidRPr="00B14585">
        <w:rPr>
          <w:i/>
          <w:iCs/>
        </w:rPr>
        <w:t>conomics of Transition</w:t>
      </w:r>
      <w:r w:rsidR="005A2028">
        <w:t>, 18</w:t>
      </w:r>
      <w:r w:rsidR="00884F5F">
        <w:t xml:space="preserve">, </w:t>
      </w:r>
      <w:r w:rsidR="00884F5F" w:rsidRPr="00884F5F">
        <w:t>pp.</w:t>
      </w:r>
      <w:r w:rsidR="00884F5F">
        <w:t xml:space="preserve"> </w:t>
      </w:r>
      <w:r w:rsidR="005A2028">
        <w:t>697</w:t>
      </w:r>
      <w:r w:rsidR="005A2028" w:rsidRPr="005B347D">
        <w:rPr>
          <w:szCs w:val="18"/>
        </w:rPr>
        <w:t>–</w:t>
      </w:r>
      <w:r w:rsidR="005A2028" w:rsidRPr="00B14585">
        <w:t>714.</w:t>
      </w:r>
    </w:p>
    <w:p w:rsidR="005A2028" w:rsidRPr="00B14585" w:rsidRDefault="00531AF1" w:rsidP="00F83370">
      <w:pPr>
        <w:pStyle w:val="MDPI31text"/>
        <w:ind w:left="720" w:hanging="450"/>
      </w:pPr>
      <w:r w:rsidRPr="00531AF1">
        <w:t>[1</w:t>
      </w:r>
      <w:r>
        <w:t>8</w:t>
      </w:r>
      <w:r w:rsidRPr="00531AF1">
        <w:t>]</w:t>
      </w:r>
      <w:r>
        <w:t xml:space="preserve"> </w:t>
      </w:r>
      <w:r w:rsidR="005A2028" w:rsidRPr="00CC58C1">
        <w:t>Gregorio</w:t>
      </w:r>
      <w:r w:rsidR="005A2028">
        <w:t xml:space="preserve">, </w:t>
      </w:r>
      <w:r w:rsidR="005A2028" w:rsidRPr="00CC58C1">
        <w:t>J</w:t>
      </w:r>
      <w:r w:rsidR="00F83370">
        <w:t>.</w:t>
      </w:r>
      <w:r w:rsidR="005A2028" w:rsidRPr="00CC58C1">
        <w:t xml:space="preserve"> D</w:t>
      </w:r>
      <w:r w:rsidR="005A2028">
        <w:t>.</w:t>
      </w:r>
      <w:r w:rsidR="00F83370">
        <w:t xml:space="preserve"> (</w:t>
      </w:r>
      <w:r w:rsidR="005A2028">
        <w:t>1993</w:t>
      </w:r>
      <w:r w:rsidR="00F83370">
        <w:t>),</w:t>
      </w:r>
      <w:r w:rsidR="005A2028">
        <w:t xml:space="preserve"> </w:t>
      </w:r>
      <w:r w:rsidR="00F83370">
        <w:t>T</w:t>
      </w:r>
      <w:r w:rsidR="005A2028">
        <w:t>axation, and long-run growth</w:t>
      </w:r>
      <w:r w:rsidR="005A2028" w:rsidRPr="00B14585">
        <w:t xml:space="preserve">, </w:t>
      </w:r>
      <w:r w:rsidR="005A2028" w:rsidRPr="00B14585">
        <w:rPr>
          <w:i/>
          <w:iCs/>
        </w:rPr>
        <w:t>Journal of Monetary Economics</w:t>
      </w:r>
      <w:r w:rsidR="005A2028" w:rsidRPr="00B14585">
        <w:t>, 31</w:t>
      </w:r>
      <w:r w:rsidR="00612075">
        <w:t xml:space="preserve">, </w:t>
      </w:r>
      <w:r w:rsidR="00612075" w:rsidRPr="00884F5F">
        <w:t>pp.</w:t>
      </w:r>
      <w:r w:rsidR="00612075">
        <w:t xml:space="preserve"> </w:t>
      </w:r>
      <w:r w:rsidR="005A2028" w:rsidRPr="00B14585">
        <w:t>271</w:t>
      </w:r>
      <w:r w:rsidR="005A2028" w:rsidRPr="005B347D">
        <w:rPr>
          <w:szCs w:val="18"/>
        </w:rPr>
        <w:t>–</w:t>
      </w:r>
      <w:r w:rsidR="005A2028" w:rsidRPr="00B14585">
        <w:t>298.</w:t>
      </w:r>
      <w:r w:rsidR="005A2028">
        <w:t xml:space="preserve"> </w:t>
      </w:r>
      <w:r w:rsidR="005A2028" w:rsidRPr="007A4A54">
        <w:t>https://doi.org/10.1016/0304-3932(93)90049-L</w:t>
      </w:r>
      <w:r w:rsidR="005A2028">
        <w:t xml:space="preserve"> </w:t>
      </w:r>
    </w:p>
    <w:p w:rsidR="005A2028" w:rsidRPr="00B14585" w:rsidRDefault="00531AF1" w:rsidP="00F83370">
      <w:pPr>
        <w:pStyle w:val="MDPI31text"/>
        <w:ind w:left="720" w:hanging="450"/>
      </w:pPr>
      <w:r w:rsidRPr="00531AF1">
        <w:t>[1</w:t>
      </w:r>
      <w:r>
        <w:t>9</w:t>
      </w:r>
      <w:r w:rsidRPr="00531AF1">
        <w:t xml:space="preserve">] </w:t>
      </w:r>
      <w:r w:rsidR="005A2028" w:rsidRPr="00B14585">
        <w:t>Guerrero</w:t>
      </w:r>
      <w:r w:rsidR="005A2028">
        <w:t>,</w:t>
      </w:r>
      <w:r w:rsidR="005A2028" w:rsidRPr="000072FD">
        <w:t xml:space="preserve"> F</w:t>
      </w:r>
      <w:r w:rsidR="005A2028">
        <w:t xml:space="preserve">. </w:t>
      </w:r>
      <w:r w:rsidR="00891ABC">
        <w:t>(</w:t>
      </w:r>
      <w:r w:rsidR="005A2028">
        <w:t>2006</w:t>
      </w:r>
      <w:r w:rsidR="00891ABC">
        <w:t>),</w:t>
      </w:r>
      <w:r w:rsidR="005A2028" w:rsidRPr="000072FD">
        <w:t xml:space="preserve"> </w:t>
      </w:r>
      <w:r w:rsidR="005A2028" w:rsidRPr="00B14585">
        <w:t xml:space="preserve">Does inflation cause poor </w:t>
      </w:r>
      <w:r w:rsidR="005A2028">
        <w:t>long-term growth performance?</w:t>
      </w:r>
      <w:r w:rsidR="005A2028" w:rsidRPr="00B14585">
        <w:rPr>
          <w:i/>
          <w:iCs/>
        </w:rPr>
        <w:t>,</w:t>
      </w:r>
      <w:r w:rsidR="005A2028" w:rsidRPr="00B14585">
        <w:t xml:space="preserve"> </w:t>
      </w:r>
      <w:r w:rsidR="005A2028" w:rsidRPr="00B14585">
        <w:rPr>
          <w:i/>
          <w:iCs/>
        </w:rPr>
        <w:t>Japan and the World Economy</w:t>
      </w:r>
      <w:r w:rsidR="005A2028">
        <w:t>, 18</w:t>
      </w:r>
      <w:r w:rsidR="00884F5F">
        <w:t xml:space="preserve">, </w:t>
      </w:r>
      <w:r w:rsidR="00884F5F" w:rsidRPr="00884F5F">
        <w:t>pp.</w:t>
      </w:r>
      <w:r w:rsidR="00884F5F">
        <w:t xml:space="preserve"> </w:t>
      </w:r>
      <w:r w:rsidR="005A2028" w:rsidRPr="00B14585">
        <w:t>72</w:t>
      </w:r>
      <w:r w:rsidR="005A2028" w:rsidRPr="005B347D">
        <w:rPr>
          <w:szCs w:val="18"/>
        </w:rPr>
        <w:t>–</w:t>
      </w:r>
      <w:r w:rsidR="005A2028" w:rsidRPr="00B14585">
        <w:t>89.</w:t>
      </w:r>
    </w:p>
    <w:p w:rsidR="005A2028" w:rsidRPr="00B14585" w:rsidRDefault="00531AF1" w:rsidP="00F83370">
      <w:pPr>
        <w:pStyle w:val="MDPI31text"/>
        <w:ind w:left="720" w:hanging="450"/>
      </w:pPr>
      <w:r>
        <w:t>[20</w:t>
      </w:r>
      <w:r w:rsidRPr="00531AF1">
        <w:t>]</w:t>
      </w:r>
      <w:r w:rsidR="005A2028">
        <w:t xml:space="preserve"> Hasanov, M</w:t>
      </w:r>
      <w:r w:rsidR="00F83370">
        <w:t>.</w:t>
      </w:r>
      <w:r w:rsidR="005A2028">
        <w:t xml:space="preserve"> and </w:t>
      </w:r>
      <w:r w:rsidR="00F83370">
        <w:t xml:space="preserve">Omay </w:t>
      </w:r>
      <w:r w:rsidR="005A2028">
        <w:t xml:space="preserve">T. </w:t>
      </w:r>
      <w:r w:rsidR="00891ABC">
        <w:t>(</w:t>
      </w:r>
      <w:r w:rsidR="005A2028">
        <w:t>2011</w:t>
      </w:r>
      <w:r w:rsidR="00891ABC">
        <w:t>),</w:t>
      </w:r>
      <w:r w:rsidR="005A2028">
        <w:t xml:space="preserve"> </w:t>
      </w:r>
      <w:r w:rsidR="005A2028" w:rsidRPr="00B14585">
        <w:t>The Relationship Between Inflation, Output Growth, and Their Uncertainties: Evide</w:t>
      </w:r>
      <w:r w:rsidR="005A2028">
        <w:t>nce from Selected CEE Countries</w:t>
      </w:r>
      <w:r w:rsidR="005A2028" w:rsidRPr="00B14585">
        <w:t xml:space="preserve">, </w:t>
      </w:r>
      <w:r w:rsidR="005A2028" w:rsidRPr="00B14585">
        <w:rPr>
          <w:i/>
          <w:iCs/>
        </w:rPr>
        <w:t>Emerging Markets Finance and Trade. Published By: Taylor and Francis, Ltd.</w:t>
      </w:r>
      <w:r w:rsidR="005A2028" w:rsidRPr="00B14585">
        <w:t>, 47</w:t>
      </w:r>
      <w:r w:rsidR="00884F5F">
        <w:t xml:space="preserve">, </w:t>
      </w:r>
      <w:r w:rsidR="00884F5F" w:rsidRPr="00884F5F">
        <w:t>pp.</w:t>
      </w:r>
      <w:r w:rsidR="00884F5F">
        <w:t xml:space="preserve"> </w:t>
      </w:r>
      <w:r w:rsidR="005A2028" w:rsidRPr="00B14585">
        <w:t>5</w:t>
      </w:r>
      <w:r w:rsidR="005A2028" w:rsidRPr="005B347D">
        <w:rPr>
          <w:szCs w:val="18"/>
        </w:rPr>
        <w:t>–</w:t>
      </w:r>
      <w:r w:rsidR="005A2028" w:rsidRPr="00B14585">
        <w:t>20.</w:t>
      </w:r>
    </w:p>
    <w:p w:rsidR="005A2028" w:rsidRPr="00B14585" w:rsidRDefault="00531AF1" w:rsidP="00594C0B">
      <w:pPr>
        <w:pStyle w:val="MDPI31text"/>
        <w:ind w:left="720" w:hanging="450"/>
      </w:pPr>
      <w:r>
        <w:t>[21</w:t>
      </w:r>
      <w:r w:rsidRPr="00531AF1">
        <w:t>]</w:t>
      </w:r>
      <w:r w:rsidR="005A2028">
        <w:t xml:space="preserve"> </w:t>
      </w:r>
      <w:r w:rsidR="005A2028" w:rsidRPr="002D4E69">
        <w:t>He</w:t>
      </w:r>
      <w:r w:rsidR="005A2028">
        <w:t>,</w:t>
      </w:r>
      <w:r w:rsidR="005A2028" w:rsidRPr="002D4E69">
        <w:t xml:space="preserve"> Q</w:t>
      </w:r>
      <w:r w:rsidR="00F83370">
        <w:t>.</w:t>
      </w:r>
      <w:r w:rsidR="005A2028">
        <w:t xml:space="preserve">, and </w:t>
      </w:r>
      <w:r w:rsidR="00F83370">
        <w:t>Zou</w:t>
      </w:r>
      <w:r w:rsidR="00F83370" w:rsidRPr="002D4E69">
        <w:t xml:space="preserve"> </w:t>
      </w:r>
      <w:r w:rsidR="005A2028" w:rsidRPr="002D4E69">
        <w:t>H</w:t>
      </w:r>
      <w:r w:rsidR="00594C0B">
        <w:t>-F</w:t>
      </w:r>
      <w:r w:rsidR="005A2028">
        <w:t xml:space="preserve">. </w:t>
      </w:r>
      <w:r w:rsidR="00891ABC">
        <w:t>(</w:t>
      </w:r>
      <w:r w:rsidR="005A2028">
        <w:t>2016</w:t>
      </w:r>
      <w:r w:rsidR="00891ABC">
        <w:t>),</w:t>
      </w:r>
      <w:r w:rsidR="005A2028">
        <w:t xml:space="preserve"> </w:t>
      </w:r>
      <w:r w:rsidR="005A2028" w:rsidRPr="00B14585">
        <w:t>Does inflation cause growth in the reform</w:t>
      </w:r>
      <w:r w:rsidR="005A2028">
        <w:t>-era China? Theory and evidence</w:t>
      </w:r>
      <w:r w:rsidR="005A2028" w:rsidRPr="00B14585">
        <w:t xml:space="preserve">, </w:t>
      </w:r>
      <w:r w:rsidR="005A2028" w:rsidRPr="00B14585">
        <w:rPr>
          <w:i/>
          <w:iCs/>
        </w:rPr>
        <w:t>International Review of Economics and Finance</w:t>
      </w:r>
      <w:r w:rsidR="005A2028" w:rsidRPr="00B14585">
        <w:t>, 45</w:t>
      </w:r>
      <w:r w:rsidR="00884F5F">
        <w:t xml:space="preserve">, </w:t>
      </w:r>
      <w:r w:rsidR="00884F5F" w:rsidRPr="00884F5F">
        <w:t>pp.</w:t>
      </w:r>
      <w:r w:rsidR="00884F5F">
        <w:t xml:space="preserve"> </w:t>
      </w:r>
      <w:r w:rsidR="005A2028" w:rsidRPr="00B14585">
        <w:t>470</w:t>
      </w:r>
      <w:r w:rsidR="005A2028" w:rsidRPr="005B347D">
        <w:rPr>
          <w:szCs w:val="18"/>
        </w:rPr>
        <w:t>–</w:t>
      </w:r>
      <w:r w:rsidR="005A2028" w:rsidRPr="00B14585">
        <w:t>484.</w:t>
      </w:r>
    </w:p>
    <w:p w:rsidR="005A2028" w:rsidRPr="00B14585" w:rsidRDefault="00531AF1" w:rsidP="00F83370">
      <w:pPr>
        <w:pStyle w:val="MDPI31text"/>
        <w:ind w:left="720" w:hanging="450"/>
      </w:pPr>
      <w:r>
        <w:t>[22</w:t>
      </w:r>
      <w:r w:rsidRPr="00531AF1">
        <w:t>]</w:t>
      </w:r>
      <w:r w:rsidR="005A2028" w:rsidRPr="00B14585">
        <w:t xml:space="preserve"> </w:t>
      </w:r>
      <w:r w:rsidR="005A2028">
        <w:t xml:space="preserve">Hossain Ehsan, </w:t>
      </w:r>
      <w:r w:rsidR="00F83370">
        <w:t xml:space="preserve">Ghosh </w:t>
      </w:r>
      <w:r w:rsidR="005A2028">
        <w:t>B</w:t>
      </w:r>
      <w:r w:rsidR="00F83370">
        <w:t>.</w:t>
      </w:r>
      <w:r w:rsidR="005A2028">
        <w:t>C</w:t>
      </w:r>
      <w:r w:rsidR="00F83370">
        <w:t>.</w:t>
      </w:r>
      <w:r w:rsidR="005A2028">
        <w:t>, and Islam</w:t>
      </w:r>
      <w:r w:rsidR="00F83370" w:rsidRPr="00F83370">
        <w:t xml:space="preserve"> </w:t>
      </w:r>
      <w:r w:rsidR="00F83370">
        <w:t>K. K</w:t>
      </w:r>
      <w:r w:rsidR="005A2028">
        <w:t xml:space="preserve">. </w:t>
      </w:r>
      <w:r w:rsidR="00891ABC">
        <w:t>(</w:t>
      </w:r>
      <w:r w:rsidR="005A2028">
        <w:t>2012</w:t>
      </w:r>
      <w:r w:rsidR="00891ABC">
        <w:t>),</w:t>
      </w:r>
      <w:r w:rsidR="005A2028">
        <w:t xml:space="preserve"> </w:t>
      </w:r>
      <w:r w:rsidR="005A2028" w:rsidRPr="00B14585">
        <w:t>Inflation an</w:t>
      </w:r>
      <w:r w:rsidR="005A2028">
        <w:t>d Economic Growth in Bangladesh</w:t>
      </w:r>
      <w:r w:rsidR="005A2028" w:rsidRPr="00B14585">
        <w:t xml:space="preserve">, </w:t>
      </w:r>
      <w:r w:rsidR="005A2028" w:rsidRPr="00B14585">
        <w:rPr>
          <w:i/>
          <w:iCs/>
        </w:rPr>
        <w:t>Researchers World -Journal of Arts, Science and Commerce</w:t>
      </w:r>
      <w:r w:rsidR="005A2028" w:rsidRPr="00B14585">
        <w:t>, 3</w:t>
      </w:r>
      <w:r w:rsidR="00884F5F">
        <w:t xml:space="preserve">, </w:t>
      </w:r>
      <w:r w:rsidR="00884F5F" w:rsidRPr="00884F5F">
        <w:t>pp.</w:t>
      </w:r>
      <w:r w:rsidR="00884F5F">
        <w:t xml:space="preserve"> </w:t>
      </w:r>
      <w:r w:rsidR="005A2028" w:rsidRPr="00B14585">
        <w:t>85</w:t>
      </w:r>
      <w:r w:rsidR="005A2028" w:rsidRPr="005B347D">
        <w:rPr>
          <w:szCs w:val="18"/>
        </w:rPr>
        <w:t>–</w:t>
      </w:r>
      <w:r w:rsidR="005A2028" w:rsidRPr="00B14585">
        <w:t>92.</w:t>
      </w:r>
    </w:p>
    <w:p w:rsidR="005A2028" w:rsidRPr="00B14585" w:rsidRDefault="00531AF1" w:rsidP="00594C0B">
      <w:pPr>
        <w:pStyle w:val="MDPI31text"/>
        <w:ind w:left="720" w:hanging="450"/>
      </w:pPr>
      <w:r>
        <w:t>[23</w:t>
      </w:r>
      <w:r w:rsidRPr="00531AF1">
        <w:t>]</w:t>
      </w:r>
      <w:r w:rsidR="005A2028">
        <w:t xml:space="preserve"> Hussain, S</w:t>
      </w:r>
      <w:r w:rsidR="00594C0B">
        <w:t xml:space="preserve">. </w:t>
      </w:r>
      <w:r w:rsidR="005A2028">
        <w:t>S</w:t>
      </w:r>
      <w:r w:rsidR="00594C0B">
        <w:t>.</w:t>
      </w:r>
      <w:r w:rsidR="005A2028">
        <w:t xml:space="preserve">, and </w:t>
      </w:r>
      <w:r w:rsidR="00594C0B">
        <w:t xml:space="preserve">Malik </w:t>
      </w:r>
      <w:r w:rsidR="005A2028">
        <w:t>S</w:t>
      </w:r>
      <w:r w:rsidR="00594C0B">
        <w:t>.</w:t>
      </w:r>
      <w:r w:rsidR="005A2028">
        <w:t xml:space="preserve"> A. </w:t>
      </w:r>
      <w:r w:rsidR="00891ABC">
        <w:t>(</w:t>
      </w:r>
      <w:r w:rsidR="005A2028">
        <w:t>2011</w:t>
      </w:r>
      <w:r w:rsidR="00891ABC">
        <w:t>),</w:t>
      </w:r>
      <w:r w:rsidR="005A2028">
        <w:t xml:space="preserve"> </w:t>
      </w:r>
      <w:r w:rsidR="005A2028" w:rsidRPr="00B14585">
        <w:t>Inflation and Economic</w:t>
      </w:r>
      <w:r w:rsidR="005A2028">
        <w:t xml:space="preserve"> Growth: Evidence from Pakistan</w:t>
      </w:r>
      <w:r w:rsidR="005A2028" w:rsidRPr="00B14585">
        <w:t xml:space="preserve">, </w:t>
      </w:r>
      <w:r w:rsidR="005A2028" w:rsidRPr="00B14585">
        <w:rPr>
          <w:i/>
          <w:iCs/>
        </w:rPr>
        <w:t>International Journal of Economics and Finance</w:t>
      </w:r>
      <w:r w:rsidR="005A2028" w:rsidRPr="00B14585">
        <w:t>, 3</w:t>
      </w:r>
      <w:r w:rsidR="00884F5F">
        <w:t xml:space="preserve">, </w:t>
      </w:r>
      <w:r w:rsidR="00884F5F" w:rsidRPr="00884F5F">
        <w:t>pp.</w:t>
      </w:r>
      <w:r w:rsidR="00884F5F">
        <w:t xml:space="preserve"> </w:t>
      </w:r>
      <w:r w:rsidR="005A2028" w:rsidRPr="00B14585">
        <w:t>262</w:t>
      </w:r>
      <w:r w:rsidR="005A2028" w:rsidRPr="005B347D">
        <w:rPr>
          <w:szCs w:val="18"/>
        </w:rPr>
        <w:t>–</w:t>
      </w:r>
      <w:r w:rsidR="005A2028" w:rsidRPr="00B14585">
        <w:t>276.</w:t>
      </w:r>
    </w:p>
    <w:p w:rsidR="005A2028" w:rsidRPr="00B14585" w:rsidRDefault="00531AF1" w:rsidP="00594C0B">
      <w:pPr>
        <w:pStyle w:val="MDPI31text"/>
        <w:ind w:left="720" w:hanging="450"/>
      </w:pPr>
      <w:r w:rsidRPr="00594C0B">
        <w:t>[24]</w:t>
      </w:r>
      <w:r w:rsidR="005A2028" w:rsidRPr="00594C0B">
        <w:t xml:space="preserve"> Hwang, J-T</w:t>
      </w:r>
      <w:r w:rsidR="00594C0B" w:rsidRPr="00594C0B">
        <w:t>.</w:t>
      </w:r>
      <w:r w:rsidR="005A2028" w:rsidRPr="00594C0B">
        <w:t xml:space="preserve">, and </w:t>
      </w:r>
      <w:r w:rsidR="00594C0B" w:rsidRPr="00594C0B">
        <w:t xml:space="preserve">Wu </w:t>
      </w:r>
      <w:r w:rsidR="00594C0B">
        <w:t>M</w:t>
      </w:r>
      <w:r w:rsidR="005A2028" w:rsidRPr="00594C0B">
        <w:t xml:space="preserve">-J. </w:t>
      </w:r>
      <w:r w:rsidR="009F789E" w:rsidRPr="009F789E">
        <w:t>(</w:t>
      </w:r>
      <w:r w:rsidR="005A2028" w:rsidRPr="009F789E">
        <w:t>2011</w:t>
      </w:r>
      <w:r w:rsidR="009F789E" w:rsidRPr="009F789E">
        <w:t>),</w:t>
      </w:r>
      <w:r w:rsidR="005A2028" w:rsidRPr="009F789E">
        <w:t xml:space="preserve"> </w:t>
      </w:r>
      <w:r w:rsidR="005A2028" w:rsidRPr="00B14585">
        <w:t xml:space="preserve">Inflation and Economic Growth </w:t>
      </w:r>
      <w:r w:rsidR="005A2028">
        <w:t>in China: An Empirical Analysis</w:t>
      </w:r>
      <w:r w:rsidR="005A2028" w:rsidRPr="00B14585">
        <w:t>, C</w:t>
      </w:r>
      <w:r w:rsidR="005A2028" w:rsidRPr="00B14585">
        <w:rPr>
          <w:i/>
          <w:iCs/>
        </w:rPr>
        <w:t>hina and World Economy</w:t>
      </w:r>
      <w:r w:rsidR="005A2028" w:rsidRPr="00B14585">
        <w:t>, 19</w:t>
      </w:r>
      <w:r w:rsidR="00884F5F">
        <w:t xml:space="preserve">, </w:t>
      </w:r>
      <w:r w:rsidR="00884F5F" w:rsidRPr="00884F5F">
        <w:t>pp.</w:t>
      </w:r>
      <w:r w:rsidR="00884F5F">
        <w:t xml:space="preserve"> </w:t>
      </w:r>
      <w:r w:rsidR="005A2028" w:rsidRPr="00B14585">
        <w:t>67</w:t>
      </w:r>
      <w:r w:rsidR="005A2028" w:rsidRPr="005B347D">
        <w:rPr>
          <w:szCs w:val="18"/>
        </w:rPr>
        <w:t>–</w:t>
      </w:r>
      <w:r w:rsidR="005A2028" w:rsidRPr="00B14585">
        <w:t>84.</w:t>
      </w:r>
    </w:p>
    <w:p w:rsidR="005A2028" w:rsidRPr="00B14585" w:rsidRDefault="00531AF1" w:rsidP="00F74C71">
      <w:pPr>
        <w:pStyle w:val="MDPI31text"/>
        <w:ind w:left="720" w:hanging="450"/>
      </w:pPr>
      <w:r>
        <w:t>[25</w:t>
      </w:r>
      <w:r w:rsidRPr="00531AF1">
        <w:t>]</w:t>
      </w:r>
      <w:r w:rsidR="005A2028">
        <w:t xml:space="preserve"> </w:t>
      </w:r>
      <w:r w:rsidR="005A2028" w:rsidRPr="004A22DD">
        <w:t>Hwang</w:t>
      </w:r>
      <w:r w:rsidR="005A2028">
        <w:t xml:space="preserve">, </w:t>
      </w:r>
      <w:r w:rsidR="005A2028" w:rsidRPr="004A22DD">
        <w:t>Y-H</w:t>
      </w:r>
      <w:r w:rsidR="005A2028">
        <w:t xml:space="preserve">. </w:t>
      </w:r>
      <w:r w:rsidR="009F789E">
        <w:t>(</w:t>
      </w:r>
      <w:r w:rsidR="005A2028">
        <w:t>2007</w:t>
      </w:r>
      <w:r w:rsidR="009F789E">
        <w:t>),</w:t>
      </w:r>
      <w:r w:rsidR="005A2028" w:rsidRPr="004A22DD">
        <w:t xml:space="preserve"> </w:t>
      </w:r>
      <w:r w:rsidR="005A2028" w:rsidRPr="00B14585">
        <w:t>be</w:t>
      </w:r>
      <w:r w:rsidR="005A2028">
        <w:t>tween inflation and real growth</w:t>
      </w:r>
      <w:r w:rsidR="005A2028" w:rsidRPr="00B14585">
        <w:t xml:space="preserve">, </w:t>
      </w:r>
      <w:r w:rsidR="005A2028" w:rsidRPr="00B14585">
        <w:rPr>
          <w:i/>
          <w:iCs/>
        </w:rPr>
        <w:t>Economics Letters</w:t>
      </w:r>
      <w:r w:rsidR="005A2028" w:rsidRPr="00B14585">
        <w:t>, 94</w:t>
      </w:r>
      <w:r w:rsidR="00884F5F">
        <w:t xml:space="preserve">, </w:t>
      </w:r>
      <w:r w:rsidR="00884F5F" w:rsidRPr="00884F5F">
        <w:t>pp.</w:t>
      </w:r>
      <w:r w:rsidR="00884F5F">
        <w:t xml:space="preserve"> </w:t>
      </w:r>
      <w:r w:rsidR="005A2028" w:rsidRPr="00B14585">
        <w:t>146</w:t>
      </w:r>
      <w:r w:rsidR="005A2028" w:rsidRPr="005B347D">
        <w:rPr>
          <w:szCs w:val="18"/>
        </w:rPr>
        <w:t>–</w:t>
      </w:r>
      <w:r w:rsidR="005A2028" w:rsidRPr="00B14585">
        <w:t>153.</w:t>
      </w:r>
    </w:p>
    <w:p w:rsidR="005A2028" w:rsidRPr="00B14585" w:rsidRDefault="00C61313" w:rsidP="009F789E">
      <w:pPr>
        <w:pStyle w:val="MDPI31text"/>
        <w:ind w:left="720" w:hanging="450"/>
      </w:pPr>
      <w:r>
        <w:t>[26</w:t>
      </w:r>
      <w:r w:rsidRPr="00531AF1">
        <w:t>]</w:t>
      </w:r>
      <w:r w:rsidR="005A2028">
        <w:t xml:space="preserve"> </w:t>
      </w:r>
      <w:r w:rsidR="005A2028" w:rsidRPr="00E05FC1">
        <w:t>Jayathileke</w:t>
      </w:r>
      <w:r w:rsidR="005A2028">
        <w:t xml:space="preserve"> </w:t>
      </w:r>
      <w:r w:rsidR="005A2028" w:rsidRPr="00E05FC1">
        <w:t>Piyasiri M. B.</w:t>
      </w:r>
      <w:r w:rsidR="005A2028">
        <w:t xml:space="preserve">, </w:t>
      </w:r>
      <w:r w:rsidR="005A2028" w:rsidRPr="00E05FC1">
        <w:t>Ruwan M. K. T. Rathnayake</w:t>
      </w:r>
      <w:r w:rsidR="005A2028">
        <w:t>.</w:t>
      </w:r>
      <w:r w:rsidR="005A2028" w:rsidRPr="00E05FC1">
        <w:t xml:space="preserve"> </w:t>
      </w:r>
      <w:r w:rsidR="009F789E">
        <w:t>(</w:t>
      </w:r>
      <w:r w:rsidR="005A2028">
        <w:t>2013</w:t>
      </w:r>
      <w:r w:rsidR="009F789E">
        <w:t xml:space="preserve">), </w:t>
      </w:r>
      <w:r w:rsidR="005A2028" w:rsidRPr="00B14585">
        <w:t>Testing the Link between Inflation and Econ</w:t>
      </w:r>
      <w:r w:rsidR="005A2028">
        <w:t>omic Growth: Evidence from Asia</w:t>
      </w:r>
      <w:r w:rsidR="005A2028" w:rsidRPr="00B14585">
        <w:t xml:space="preserve">, </w:t>
      </w:r>
      <w:r w:rsidR="005A2028" w:rsidRPr="00B14585">
        <w:rPr>
          <w:i/>
          <w:iCs/>
        </w:rPr>
        <w:t>Modern Economy</w:t>
      </w:r>
      <w:r w:rsidR="005A2028" w:rsidRPr="00B14585">
        <w:t>, 4</w:t>
      </w:r>
      <w:r w:rsidR="00884F5F">
        <w:t xml:space="preserve">, </w:t>
      </w:r>
      <w:r w:rsidR="00884F5F" w:rsidRPr="00884F5F">
        <w:t>pp.</w:t>
      </w:r>
      <w:r w:rsidR="00884F5F">
        <w:t xml:space="preserve"> </w:t>
      </w:r>
      <w:r w:rsidR="005A2028">
        <w:t>87</w:t>
      </w:r>
      <w:r w:rsidR="005A2028" w:rsidRPr="005B347D">
        <w:rPr>
          <w:szCs w:val="18"/>
        </w:rPr>
        <w:t>–</w:t>
      </w:r>
      <w:r w:rsidR="005A2028" w:rsidRPr="00B14585">
        <w:t>92.</w:t>
      </w:r>
    </w:p>
    <w:p w:rsidR="005A2028" w:rsidRPr="00B14585" w:rsidRDefault="00C61313" w:rsidP="009F789E">
      <w:pPr>
        <w:pStyle w:val="MDPI31text"/>
        <w:ind w:left="720" w:hanging="450"/>
      </w:pPr>
      <w:r>
        <w:t>[27</w:t>
      </w:r>
      <w:r w:rsidRPr="00531AF1">
        <w:t>]</w:t>
      </w:r>
      <w:r>
        <w:t xml:space="preserve"> JSF,</w:t>
      </w:r>
      <w:r w:rsidR="005A2028" w:rsidRPr="00B14585">
        <w:t xml:space="preserve"> </w:t>
      </w:r>
      <w:r w:rsidR="005A2028" w:rsidRPr="0013127A">
        <w:t>Jordan Strategy Forum</w:t>
      </w:r>
      <w:r w:rsidR="005A2028">
        <w:t xml:space="preserve">. </w:t>
      </w:r>
      <w:r w:rsidR="009F789E">
        <w:t>(</w:t>
      </w:r>
      <w:r w:rsidR="005A2028">
        <w:t>2018</w:t>
      </w:r>
      <w:r w:rsidR="009F789E">
        <w:t>),</w:t>
      </w:r>
      <w:r w:rsidR="005A2028" w:rsidRPr="00B14585">
        <w:t xml:space="preserve"> The Economics of Jordanian Remittances: Some Issues We Sh</w:t>
      </w:r>
      <w:r w:rsidR="005A2028">
        <w:t>ould be Happy About and Enhance</w:t>
      </w:r>
      <w:r w:rsidR="005A2028" w:rsidRPr="00B14585">
        <w:t xml:space="preserve">, Amman, Jordan. Available at:  https://www.jsf.org/sites/default/files/EN%20Remittances_1.pdf. (accessed 01 </w:t>
      </w:r>
      <w:r w:rsidR="005A2028">
        <w:t>April</w:t>
      </w:r>
      <w:r w:rsidR="005A2028" w:rsidRPr="00B14585">
        <w:t xml:space="preserve"> 202</w:t>
      </w:r>
      <w:r w:rsidR="005A2028">
        <w:t>3</w:t>
      </w:r>
      <w:r w:rsidR="005A2028" w:rsidRPr="00B14585">
        <w:t>).</w:t>
      </w:r>
    </w:p>
    <w:p w:rsidR="005A2028" w:rsidRPr="00B14585" w:rsidRDefault="00C61313" w:rsidP="00F74C71">
      <w:pPr>
        <w:pStyle w:val="MDPI31text"/>
        <w:ind w:left="720" w:hanging="450"/>
      </w:pPr>
      <w:r>
        <w:t>[28</w:t>
      </w:r>
      <w:r w:rsidRPr="00531AF1">
        <w:t>]</w:t>
      </w:r>
      <w:r w:rsidR="005A2028" w:rsidRPr="00B14585">
        <w:t xml:space="preserve"> </w:t>
      </w:r>
      <w:r w:rsidR="005A2028" w:rsidRPr="00876D39">
        <w:t>Jung</w:t>
      </w:r>
      <w:r w:rsidR="005A2028">
        <w:t>,</w:t>
      </w:r>
      <w:r w:rsidR="005A2028" w:rsidRPr="00876D39">
        <w:t xml:space="preserve"> W</w:t>
      </w:r>
      <w:r w:rsidR="00F74C71">
        <w:t>.</w:t>
      </w:r>
      <w:r w:rsidR="005A2028" w:rsidRPr="00876D39">
        <w:t xml:space="preserve"> S.</w:t>
      </w:r>
      <w:r w:rsidR="005A2028">
        <w:t xml:space="preserve">, and </w:t>
      </w:r>
      <w:r w:rsidR="00F74C71" w:rsidRPr="00876D39">
        <w:t xml:space="preserve">Marshall </w:t>
      </w:r>
      <w:r w:rsidR="005A2028" w:rsidRPr="00876D39">
        <w:t>P</w:t>
      </w:r>
      <w:r w:rsidR="00F74C71">
        <w:t>.</w:t>
      </w:r>
      <w:r w:rsidR="005A2028" w:rsidRPr="00876D39">
        <w:t xml:space="preserve"> J</w:t>
      </w:r>
      <w:r w:rsidR="005A2028">
        <w:t xml:space="preserve">. </w:t>
      </w:r>
      <w:r w:rsidR="009F789E">
        <w:t>(</w:t>
      </w:r>
      <w:r w:rsidR="005A2028">
        <w:t>1986</w:t>
      </w:r>
      <w:r w:rsidR="009F789E">
        <w:t>),</w:t>
      </w:r>
      <w:r w:rsidR="005A2028" w:rsidRPr="00876D39">
        <w:t xml:space="preserve"> </w:t>
      </w:r>
      <w:r w:rsidR="005A2028" w:rsidRPr="00B14585">
        <w:t>Inflation and Economic Growth: Some International Evidence on Structuralist an</w:t>
      </w:r>
      <w:r w:rsidR="005A2028">
        <w:t>d Distortionist Positions: Note</w:t>
      </w:r>
      <w:r w:rsidR="005A2028" w:rsidRPr="00B14585">
        <w:t xml:space="preserve">, </w:t>
      </w:r>
      <w:r w:rsidR="005A2028" w:rsidRPr="00B14585">
        <w:rPr>
          <w:i/>
          <w:iCs/>
        </w:rPr>
        <w:t>Journal of Money, Credit and Banking</w:t>
      </w:r>
      <w:r w:rsidR="005A2028" w:rsidRPr="00B14585">
        <w:t>, 18</w:t>
      </w:r>
      <w:r w:rsidR="00884F5F">
        <w:t xml:space="preserve">, </w:t>
      </w:r>
      <w:r w:rsidR="00884F5F" w:rsidRPr="00884F5F">
        <w:t>pp.</w:t>
      </w:r>
      <w:r w:rsidR="00884F5F">
        <w:t xml:space="preserve"> </w:t>
      </w:r>
      <w:r w:rsidR="005A2028">
        <w:t>227</w:t>
      </w:r>
      <w:r w:rsidR="005A2028" w:rsidRPr="005B347D">
        <w:rPr>
          <w:szCs w:val="18"/>
        </w:rPr>
        <w:t>–</w:t>
      </w:r>
      <w:r w:rsidR="005A2028" w:rsidRPr="00B14585">
        <w:t>232 .</w:t>
      </w:r>
    </w:p>
    <w:p w:rsidR="005A2028" w:rsidRPr="00B14585" w:rsidRDefault="00C61313" w:rsidP="00F74C71">
      <w:pPr>
        <w:pStyle w:val="MDPI31text"/>
        <w:ind w:left="720" w:hanging="450"/>
      </w:pPr>
      <w:r>
        <w:t>[29</w:t>
      </w:r>
      <w:r w:rsidRPr="00531AF1">
        <w:t>]</w:t>
      </w:r>
      <w:r w:rsidR="005A2028" w:rsidRPr="002503FF">
        <w:t xml:space="preserve"> Koulakiotis</w:t>
      </w:r>
      <w:r w:rsidR="005A2028">
        <w:t xml:space="preserve">, </w:t>
      </w:r>
      <w:r w:rsidR="005A2028" w:rsidRPr="002503FF">
        <w:t>A</w:t>
      </w:r>
      <w:r w:rsidR="00F74C71">
        <w:t>.</w:t>
      </w:r>
      <w:r w:rsidR="005A2028">
        <w:t xml:space="preserve">, </w:t>
      </w:r>
      <w:r w:rsidR="00F74C71" w:rsidRPr="002503FF">
        <w:t xml:space="preserve">Lyroudi </w:t>
      </w:r>
      <w:r w:rsidR="005A2028" w:rsidRPr="002503FF">
        <w:t>K</w:t>
      </w:r>
      <w:r w:rsidR="00F74C71">
        <w:t>.</w:t>
      </w:r>
      <w:r w:rsidR="005A2028">
        <w:t>, and</w:t>
      </w:r>
      <w:r w:rsidR="005A2028" w:rsidRPr="002503FF">
        <w:t xml:space="preserve"> </w:t>
      </w:r>
      <w:r w:rsidR="00F74C71" w:rsidRPr="002503FF">
        <w:t xml:space="preserve">Papasyriopoulos </w:t>
      </w:r>
      <w:r w:rsidR="005A2028" w:rsidRPr="002503FF">
        <w:t>N</w:t>
      </w:r>
      <w:r w:rsidR="005A2028">
        <w:t xml:space="preserve">. </w:t>
      </w:r>
      <w:r w:rsidR="009F789E">
        <w:t>(</w:t>
      </w:r>
      <w:r w:rsidR="005A2028">
        <w:t>2012</w:t>
      </w:r>
      <w:r w:rsidR="009F789E">
        <w:t>),</w:t>
      </w:r>
      <w:r w:rsidR="005A2028" w:rsidRPr="002503FF">
        <w:t xml:space="preserve"> </w:t>
      </w:r>
      <w:r w:rsidR="005A2028" w:rsidRPr="00B14585">
        <w:t>Inflation, GDP and C</w:t>
      </w:r>
      <w:r w:rsidR="005A2028">
        <w:t>ausality for European Countries</w:t>
      </w:r>
      <w:r w:rsidR="005A2028" w:rsidRPr="00B14585">
        <w:t xml:space="preserve">, </w:t>
      </w:r>
      <w:r w:rsidR="005A2028" w:rsidRPr="00B14585">
        <w:rPr>
          <w:i/>
          <w:iCs/>
        </w:rPr>
        <w:t>International Advances in Economic Research</w:t>
      </w:r>
      <w:r w:rsidR="005A2028" w:rsidRPr="00B14585">
        <w:t>, 18</w:t>
      </w:r>
      <w:r w:rsidR="00884F5F">
        <w:t xml:space="preserve">, </w:t>
      </w:r>
      <w:r w:rsidR="00884F5F" w:rsidRPr="00884F5F">
        <w:t>pp.</w:t>
      </w:r>
      <w:r w:rsidR="00884F5F">
        <w:t xml:space="preserve"> </w:t>
      </w:r>
      <w:r w:rsidR="005A2028" w:rsidRPr="00B14585">
        <w:t>53</w:t>
      </w:r>
      <w:r w:rsidR="005A2028" w:rsidRPr="005B347D">
        <w:rPr>
          <w:szCs w:val="18"/>
        </w:rPr>
        <w:t>–</w:t>
      </w:r>
      <w:r w:rsidR="005A2028" w:rsidRPr="00B14585">
        <w:t>62.</w:t>
      </w:r>
    </w:p>
    <w:p w:rsidR="005A2028" w:rsidRPr="00B14585" w:rsidRDefault="00C61313" w:rsidP="003A0978">
      <w:pPr>
        <w:pStyle w:val="MDPI31text"/>
        <w:ind w:left="720" w:hanging="450"/>
      </w:pPr>
      <w:r>
        <w:t>[30</w:t>
      </w:r>
      <w:r w:rsidRPr="00531AF1">
        <w:t>]</w:t>
      </w:r>
      <w:r>
        <w:t xml:space="preserve"> </w:t>
      </w:r>
      <w:r w:rsidR="005A2028" w:rsidRPr="00530751">
        <w:t>Mallik</w:t>
      </w:r>
      <w:r w:rsidR="005A2028">
        <w:t xml:space="preserve">, </w:t>
      </w:r>
      <w:r w:rsidR="005A2028" w:rsidRPr="00530751">
        <w:t>G</w:t>
      </w:r>
      <w:r w:rsidR="003A0978">
        <w:t>.</w:t>
      </w:r>
      <w:r w:rsidR="005A2028">
        <w:t>, and</w:t>
      </w:r>
      <w:r w:rsidR="005A2028" w:rsidRPr="00530751">
        <w:t xml:space="preserve"> </w:t>
      </w:r>
      <w:r w:rsidR="003A0978" w:rsidRPr="00530751">
        <w:t xml:space="preserve">Chowdhury </w:t>
      </w:r>
      <w:r w:rsidR="005A2028" w:rsidRPr="00530751">
        <w:t>A</w:t>
      </w:r>
      <w:r w:rsidR="005A2028">
        <w:t xml:space="preserve">. </w:t>
      </w:r>
      <w:r w:rsidR="009F789E">
        <w:t>(</w:t>
      </w:r>
      <w:r w:rsidR="005A2028">
        <w:t>2001</w:t>
      </w:r>
      <w:r w:rsidR="009F789E">
        <w:t>),</w:t>
      </w:r>
      <w:r w:rsidR="005A2028" w:rsidRPr="00530751">
        <w:t xml:space="preserve"> </w:t>
      </w:r>
      <w:r w:rsidR="005A2028" w:rsidRPr="00B14585">
        <w:t xml:space="preserve">Inflation and Economic Growth Evidence </w:t>
      </w:r>
      <w:r w:rsidR="005A2028">
        <w:t>from Four South Asian Countries</w:t>
      </w:r>
      <w:r w:rsidR="005A2028" w:rsidRPr="00B14585">
        <w:t xml:space="preserve">, </w:t>
      </w:r>
      <w:r w:rsidR="005A2028" w:rsidRPr="00B14585">
        <w:rPr>
          <w:i/>
          <w:iCs/>
        </w:rPr>
        <w:t>Asia-Pacific Development Journal</w:t>
      </w:r>
      <w:r w:rsidR="005A2028">
        <w:t>, 8</w:t>
      </w:r>
      <w:r w:rsidR="00884F5F">
        <w:t xml:space="preserve">, </w:t>
      </w:r>
      <w:r w:rsidR="00884F5F" w:rsidRPr="00884F5F">
        <w:t>pp.</w:t>
      </w:r>
      <w:r w:rsidR="00884F5F">
        <w:t xml:space="preserve"> </w:t>
      </w:r>
      <w:r w:rsidR="005A2028" w:rsidRPr="00B14585">
        <w:t>1</w:t>
      </w:r>
      <w:r w:rsidR="005A2028">
        <w:t>23</w:t>
      </w:r>
      <w:r w:rsidR="005A2028" w:rsidRPr="005B347D">
        <w:rPr>
          <w:szCs w:val="18"/>
        </w:rPr>
        <w:t>–</w:t>
      </w:r>
      <w:r w:rsidR="005A2028" w:rsidRPr="00B14585">
        <w:t>135.</w:t>
      </w:r>
    </w:p>
    <w:p w:rsidR="005A2028" w:rsidRDefault="00C61313" w:rsidP="003A0978">
      <w:pPr>
        <w:pStyle w:val="MDPI31text"/>
        <w:ind w:left="720" w:hanging="450"/>
      </w:pPr>
      <w:r>
        <w:t>[31</w:t>
      </w:r>
      <w:r w:rsidRPr="00531AF1">
        <w:t>]</w:t>
      </w:r>
      <w:r>
        <w:t xml:space="preserve"> </w:t>
      </w:r>
      <w:r w:rsidR="005A2028" w:rsidRPr="007F52AC">
        <w:t>Manamperi</w:t>
      </w:r>
      <w:r w:rsidR="005A2028">
        <w:t>,</w:t>
      </w:r>
      <w:r w:rsidR="005A2028" w:rsidRPr="007F52AC">
        <w:t xml:space="preserve"> N</w:t>
      </w:r>
      <w:r w:rsidR="005A2028">
        <w:t xml:space="preserve">. </w:t>
      </w:r>
      <w:r w:rsidR="009F789E">
        <w:t>(</w:t>
      </w:r>
      <w:r w:rsidR="005A2028">
        <w:t>2014</w:t>
      </w:r>
      <w:r w:rsidR="009F789E">
        <w:t>),</w:t>
      </w:r>
      <w:r w:rsidR="005A2028">
        <w:t xml:space="preserve"> </w:t>
      </w:r>
      <w:r w:rsidR="005A2028" w:rsidRPr="00B14585">
        <w:t xml:space="preserve">The short and long-run dynamics between inflation and economic growth in BRICS, </w:t>
      </w:r>
      <w:r w:rsidR="005A2028" w:rsidRPr="00B14585">
        <w:rPr>
          <w:i/>
          <w:iCs/>
        </w:rPr>
        <w:t>Applied Economics Letters</w:t>
      </w:r>
      <w:r w:rsidR="005A2028">
        <w:t>, 21</w:t>
      </w:r>
      <w:r w:rsidR="00884F5F">
        <w:t xml:space="preserve">, </w:t>
      </w:r>
      <w:r w:rsidR="00884F5F" w:rsidRPr="00884F5F">
        <w:t>pp.</w:t>
      </w:r>
      <w:r w:rsidR="00884F5F">
        <w:t xml:space="preserve"> </w:t>
      </w:r>
      <w:r w:rsidR="005A2028">
        <w:t>140</w:t>
      </w:r>
      <w:r w:rsidR="005A2028" w:rsidRPr="005B347D">
        <w:rPr>
          <w:szCs w:val="18"/>
        </w:rPr>
        <w:t>–</w:t>
      </w:r>
      <w:r w:rsidR="005A2028" w:rsidRPr="00B14585">
        <w:t>145.</w:t>
      </w:r>
    </w:p>
    <w:p w:rsidR="005A2028" w:rsidRDefault="00C61313" w:rsidP="003A0978">
      <w:pPr>
        <w:pStyle w:val="MDPI31text"/>
        <w:ind w:left="720" w:hanging="450"/>
      </w:pPr>
      <w:r>
        <w:t>[32</w:t>
      </w:r>
      <w:r w:rsidRPr="00531AF1">
        <w:t>]</w:t>
      </w:r>
      <w:r w:rsidR="005A2028" w:rsidRPr="007A7A4A">
        <w:t xml:space="preserve"> Matar</w:t>
      </w:r>
      <w:r w:rsidR="005A2028">
        <w:t>,</w:t>
      </w:r>
      <w:r w:rsidR="005A2028" w:rsidRPr="007A7A4A">
        <w:t xml:space="preserve"> A</w:t>
      </w:r>
      <w:r w:rsidR="005A2028">
        <w:t xml:space="preserve">. </w:t>
      </w:r>
      <w:r w:rsidR="009F789E">
        <w:t>(</w:t>
      </w:r>
      <w:r w:rsidR="005A2028">
        <w:t>2016</w:t>
      </w:r>
      <w:r w:rsidR="009F789E">
        <w:t>),</w:t>
      </w:r>
      <w:r w:rsidR="005A2028">
        <w:t xml:space="preserve"> A Dynamic Equilibrium Relationship between Foreign Direct Investment,</w:t>
      </w:r>
    </w:p>
    <w:p w:rsidR="005A2028" w:rsidRPr="00B14585" w:rsidRDefault="005A2028" w:rsidP="005A2028">
      <w:pPr>
        <w:pStyle w:val="MDPI31text"/>
        <w:ind w:left="720" w:firstLine="0"/>
      </w:pPr>
      <w:r>
        <w:t>Electrical Power Consumption, and Gross Domestic Product in Jordan,</w:t>
      </w:r>
      <w:r w:rsidRPr="007A7A4A">
        <w:t xml:space="preserve"> </w:t>
      </w:r>
      <w:r w:rsidRPr="005C56D1">
        <w:rPr>
          <w:i/>
          <w:iCs/>
        </w:rPr>
        <w:t>Jordan Journal of Economic Sciences</w:t>
      </w:r>
      <w:r>
        <w:t xml:space="preserve">, </w:t>
      </w:r>
      <w:r w:rsidRPr="005C56D1">
        <w:t>3</w:t>
      </w:r>
      <w:r>
        <w:t>(1).</w:t>
      </w:r>
    </w:p>
    <w:p w:rsidR="005A2028" w:rsidRPr="00B14585" w:rsidRDefault="00C61313" w:rsidP="003A0978">
      <w:pPr>
        <w:pStyle w:val="MDPI31text"/>
        <w:ind w:left="720" w:hanging="450"/>
      </w:pPr>
      <w:r>
        <w:t>[33</w:t>
      </w:r>
      <w:r w:rsidRPr="00531AF1">
        <w:t>]</w:t>
      </w:r>
      <w:r>
        <w:t xml:space="preserve"> </w:t>
      </w:r>
      <w:r w:rsidR="005A2028" w:rsidRPr="006C426E">
        <w:t xml:space="preserve">Mollick, A V., </w:t>
      </w:r>
      <w:r w:rsidR="003A0978">
        <w:t xml:space="preserve">Cabral </w:t>
      </w:r>
      <w:r w:rsidR="005A2028">
        <w:t>R</w:t>
      </w:r>
      <w:r w:rsidR="003A0978">
        <w:t>.</w:t>
      </w:r>
      <w:r w:rsidR="005A2028">
        <w:t xml:space="preserve">, and </w:t>
      </w:r>
      <w:r w:rsidR="003A0978">
        <w:t xml:space="preserve">Carneiro </w:t>
      </w:r>
      <w:r w:rsidR="005A2028">
        <w:t>F</w:t>
      </w:r>
      <w:r w:rsidR="003A0978">
        <w:t>.</w:t>
      </w:r>
      <w:r w:rsidR="005A2028">
        <w:t xml:space="preserve"> G. </w:t>
      </w:r>
      <w:r w:rsidR="009F789E">
        <w:t>(</w:t>
      </w:r>
      <w:r w:rsidR="005A2028">
        <w:t>2011</w:t>
      </w:r>
      <w:r w:rsidR="009F789E">
        <w:t>),</w:t>
      </w:r>
      <w:r w:rsidR="005A2028">
        <w:t xml:space="preserve"> </w:t>
      </w:r>
      <w:r w:rsidR="005A2028" w:rsidRPr="00B14585">
        <w:t xml:space="preserve">Does inflation targeting matter for output growth? Evidence from industrial and emerging economies, </w:t>
      </w:r>
      <w:r w:rsidR="005A2028" w:rsidRPr="00B14585">
        <w:rPr>
          <w:i/>
          <w:iCs/>
        </w:rPr>
        <w:t>Journal of Policy Modeling</w:t>
      </w:r>
      <w:r w:rsidR="005A2028" w:rsidRPr="00B14585">
        <w:t>, 33</w:t>
      </w:r>
      <w:r w:rsidR="00612075">
        <w:t xml:space="preserve">, </w:t>
      </w:r>
      <w:r w:rsidR="00612075" w:rsidRPr="00884F5F">
        <w:t>pp.</w:t>
      </w:r>
      <w:r w:rsidR="00612075">
        <w:t xml:space="preserve"> </w:t>
      </w:r>
      <w:r w:rsidR="005A2028" w:rsidRPr="00B14585">
        <w:t>537</w:t>
      </w:r>
      <w:r w:rsidR="005A2028" w:rsidRPr="005B347D">
        <w:rPr>
          <w:szCs w:val="18"/>
        </w:rPr>
        <w:t>–</w:t>
      </w:r>
      <w:r w:rsidR="005A2028" w:rsidRPr="00B14585">
        <w:t>551.</w:t>
      </w:r>
    </w:p>
    <w:p w:rsidR="005A2028" w:rsidRPr="00B14585" w:rsidRDefault="00C61313" w:rsidP="00E91DF4">
      <w:pPr>
        <w:pStyle w:val="MDPI31text"/>
        <w:ind w:left="720" w:hanging="450"/>
      </w:pPr>
      <w:r>
        <w:t>[34</w:t>
      </w:r>
      <w:r w:rsidRPr="00531AF1">
        <w:t>]</w:t>
      </w:r>
      <w:r>
        <w:t xml:space="preserve"> </w:t>
      </w:r>
      <w:r w:rsidR="005A2028" w:rsidRPr="00407036">
        <w:t>Odhiambo</w:t>
      </w:r>
      <w:r w:rsidR="005A2028">
        <w:t>,</w:t>
      </w:r>
      <w:r w:rsidR="005A2028" w:rsidRPr="00407036">
        <w:t xml:space="preserve"> N</w:t>
      </w:r>
      <w:r w:rsidR="00E91DF4">
        <w:t>.</w:t>
      </w:r>
      <w:r w:rsidR="005A2028" w:rsidRPr="00407036">
        <w:t xml:space="preserve"> M. and </w:t>
      </w:r>
      <w:r w:rsidR="00E91DF4" w:rsidRPr="00407036">
        <w:t xml:space="preserve">Odhiambo </w:t>
      </w:r>
      <w:r w:rsidR="005A2028" w:rsidRPr="00407036">
        <w:t>N</w:t>
      </w:r>
      <w:r w:rsidR="00E91DF4">
        <w:t>.</w:t>
      </w:r>
      <w:r w:rsidR="005A2028" w:rsidRPr="00407036">
        <w:t xml:space="preserve"> M.</w:t>
      </w:r>
      <w:r w:rsidR="003D426A">
        <w:t xml:space="preserve"> (2013),</w:t>
      </w:r>
      <w:r w:rsidR="005A2028" w:rsidRPr="00B14585">
        <w:t xml:space="preserve"> Inflation and economic growth in South Afr</w:t>
      </w:r>
      <w:r w:rsidR="005A2028">
        <w:t>ica: an empirical investigation</w:t>
      </w:r>
      <w:r w:rsidR="005A2028" w:rsidRPr="00B14585">
        <w:t xml:space="preserve">, </w:t>
      </w:r>
      <w:r w:rsidR="005A2028" w:rsidRPr="00B14585">
        <w:rPr>
          <w:i/>
          <w:iCs/>
        </w:rPr>
        <w:t>Economics, Management, and Financial Markets</w:t>
      </w:r>
      <w:r w:rsidR="005A2028" w:rsidRPr="00B14585">
        <w:t>, 8</w:t>
      </w:r>
      <w:r w:rsidR="00612075">
        <w:t xml:space="preserve">, </w:t>
      </w:r>
      <w:r w:rsidR="00612075" w:rsidRPr="00884F5F">
        <w:t>pp.</w:t>
      </w:r>
      <w:r w:rsidR="00612075">
        <w:t xml:space="preserve"> </w:t>
      </w:r>
      <w:r w:rsidR="005A2028" w:rsidRPr="00B14585">
        <w:t>27</w:t>
      </w:r>
      <w:r w:rsidR="005A2028" w:rsidRPr="005B347D">
        <w:rPr>
          <w:szCs w:val="18"/>
        </w:rPr>
        <w:t>–</w:t>
      </w:r>
      <w:r w:rsidR="005A2028" w:rsidRPr="00B14585">
        <w:t>41.</w:t>
      </w:r>
    </w:p>
    <w:p w:rsidR="005A2028" w:rsidRPr="00B14585" w:rsidRDefault="00C61313" w:rsidP="00E91DF4">
      <w:pPr>
        <w:pStyle w:val="MDPI31text"/>
        <w:ind w:left="720" w:hanging="450"/>
      </w:pPr>
      <w:r>
        <w:t>[35</w:t>
      </w:r>
      <w:r w:rsidRPr="00531AF1">
        <w:t>]</w:t>
      </w:r>
      <w:r>
        <w:t xml:space="preserve"> </w:t>
      </w:r>
      <w:r w:rsidR="005A2028" w:rsidRPr="00D05E75">
        <w:t>Paul</w:t>
      </w:r>
      <w:r w:rsidR="005A2028">
        <w:t>,</w:t>
      </w:r>
      <w:r w:rsidR="005A2028" w:rsidRPr="00D05E75">
        <w:t xml:space="preserve"> S</w:t>
      </w:r>
      <w:r w:rsidR="00E91DF4">
        <w:t>.</w:t>
      </w:r>
      <w:r w:rsidR="005A2028" w:rsidRPr="00D05E75">
        <w:t xml:space="preserve">, </w:t>
      </w:r>
      <w:r w:rsidR="00E91DF4" w:rsidRPr="00D05E75">
        <w:t xml:space="preserve">Kearney </w:t>
      </w:r>
      <w:r w:rsidR="005A2028" w:rsidRPr="00D05E75">
        <w:t>C</w:t>
      </w:r>
      <w:r w:rsidR="00E91DF4">
        <w:t>.</w:t>
      </w:r>
      <w:r w:rsidR="005A2028" w:rsidRPr="00D05E75">
        <w:t xml:space="preserve"> and </w:t>
      </w:r>
      <w:r w:rsidR="00E91DF4" w:rsidRPr="00D05E75">
        <w:t xml:space="preserve">Chowdhury </w:t>
      </w:r>
      <w:r w:rsidR="005A2028" w:rsidRPr="00D05E75">
        <w:t>K</w:t>
      </w:r>
      <w:r w:rsidR="005A2028">
        <w:t xml:space="preserve">. </w:t>
      </w:r>
      <w:r w:rsidR="00CE6E44">
        <w:t>(</w:t>
      </w:r>
      <w:r w:rsidR="005A2028">
        <w:t>1997</w:t>
      </w:r>
      <w:r w:rsidR="00CE6E44">
        <w:t>),</w:t>
      </w:r>
      <w:r w:rsidR="005A2028" w:rsidRPr="00D05E75">
        <w:t xml:space="preserve"> </w:t>
      </w:r>
      <w:r w:rsidR="005A2028" w:rsidRPr="00B14585">
        <w:t xml:space="preserve">Inflation and Economic Growth: a multi-country empirical analysis, </w:t>
      </w:r>
      <w:r w:rsidR="005A2028" w:rsidRPr="00B14585">
        <w:rPr>
          <w:i/>
          <w:iCs/>
        </w:rPr>
        <w:t>Applied Economics</w:t>
      </w:r>
      <w:r w:rsidR="005A2028" w:rsidRPr="00B14585">
        <w:t>, 29</w:t>
      </w:r>
      <w:r w:rsidR="00612075">
        <w:t xml:space="preserve">, </w:t>
      </w:r>
      <w:r w:rsidR="00612075" w:rsidRPr="00884F5F">
        <w:t>pp.</w:t>
      </w:r>
      <w:r w:rsidR="00612075">
        <w:t xml:space="preserve"> </w:t>
      </w:r>
      <w:r w:rsidR="005A2028" w:rsidRPr="00B14585">
        <w:t>1387</w:t>
      </w:r>
      <w:r w:rsidR="005A2028" w:rsidRPr="005B347D">
        <w:rPr>
          <w:szCs w:val="18"/>
        </w:rPr>
        <w:t>–</w:t>
      </w:r>
      <w:r w:rsidR="005A2028" w:rsidRPr="00B14585">
        <w:t>1401.</w:t>
      </w:r>
    </w:p>
    <w:p w:rsidR="005A2028" w:rsidRPr="00B14585" w:rsidRDefault="00C61313" w:rsidP="001975B7">
      <w:pPr>
        <w:pStyle w:val="MDPI31text"/>
        <w:ind w:left="720" w:hanging="450"/>
      </w:pPr>
      <w:r>
        <w:t>[36</w:t>
      </w:r>
      <w:r w:rsidRPr="00531AF1">
        <w:t>]</w:t>
      </w:r>
      <w:r>
        <w:t xml:space="preserve"> </w:t>
      </w:r>
      <w:r w:rsidR="005A2028">
        <w:t xml:space="preserve">Robert, W., and </w:t>
      </w:r>
      <w:r w:rsidR="001975B7">
        <w:t xml:space="preserve">Alexander </w:t>
      </w:r>
      <w:r w:rsidR="005A2028">
        <w:t xml:space="preserve">J. </w:t>
      </w:r>
      <w:r w:rsidR="00CE6E44">
        <w:t>(</w:t>
      </w:r>
      <w:r w:rsidR="005A2028">
        <w:t>1997</w:t>
      </w:r>
      <w:r w:rsidR="00CE6E44">
        <w:t>),</w:t>
      </w:r>
      <w:r w:rsidR="005A2028" w:rsidRPr="00B14585">
        <w:t xml:space="preserve"> Inflation and economic growth: evidence from a growth equation, </w:t>
      </w:r>
      <w:r w:rsidR="005A2028" w:rsidRPr="00B14585">
        <w:rPr>
          <w:i/>
          <w:iCs/>
        </w:rPr>
        <w:t>Applied Economics</w:t>
      </w:r>
      <w:r w:rsidR="005A2028" w:rsidRPr="00B14585">
        <w:t xml:space="preserve">, </w:t>
      </w:r>
      <w:r w:rsidR="005A2028" w:rsidRPr="00B14585">
        <w:rPr>
          <w:i/>
          <w:iCs/>
        </w:rPr>
        <w:t>Taylor and Francis Journals</w:t>
      </w:r>
      <w:r w:rsidR="005A2028">
        <w:t>, 29</w:t>
      </w:r>
      <w:r w:rsidR="00612075">
        <w:t xml:space="preserve">, </w:t>
      </w:r>
      <w:r w:rsidR="00612075" w:rsidRPr="00884F5F">
        <w:t>pp.</w:t>
      </w:r>
      <w:r w:rsidR="00612075">
        <w:t xml:space="preserve"> </w:t>
      </w:r>
      <w:r w:rsidR="005A2028" w:rsidRPr="00B14585">
        <w:t>233</w:t>
      </w:r>
      <w:r w:rsidR="005A2028" w:rsidRPr="005B347D">
        <w:rPr>
          <w:szCs w:val="18"/>
        </w:rPr>
        <w:t>–</w:t>
      </w:r>
      <w:r w:rsidR="005A2028" w:rsidRPr="00B14585">
        <w:t>238.</w:t>
      </w:r>
    </w:p>
    <w:p w:rsidR="005A2028" w:rsidRPr="00B14585" w:rsidRDefault="00C61313" w:rsidP="001975B7">
      <w:pPr>
        <w:pStyle w:val="MDPI31text"/>
        <w:ind w:left="720" w:hanging="450"/>
      </w:pPr>
      <w:r>
        <w:t>[37</w:t>
      </w:r>
      <w:r w:rsidRPr="00531AF1">
        <w:t>]</w:t>
      </w:r>
      <w:r w:rsidR="005A2028">
        <w:t xml:space="preserve"> </w:t>
      </w:r>
      <w:r w:rsidR="005A2028" w:rsidRPr="002D1E9E">
        <w:t>Saaed</w:t>
      </w:r>
      <w:r w:rsidR="005A2028">
        <w:t>,</w:t>
      </w:r>
      <w:r w:rsidR="005A2028" w:rsidRPr="002D1E9E">
        <w:t xml:space="preserve"> A</w:t>
      </w:r>
      <w:r w:rsidR="001975B7">
        <w:t>.</w:t>
      </w:r>
      <w:r w:rsidR="005A2028" w:rsidRPr="002D1E9E">
        <w:t xml:space="preserve"> A</w:t>
      </w:r>
      <w:r w:rsidR="001975B7">
        <w:t>.</w:t>
      </w:r>
      <w:r w:rsidR="005A2028" w:rsidRPr="002D1E9E">
        <w:t xml:space="preserve"> J</w:t>
      </w:r>
      <w:r w:rsidR="005A2028">
        <w:t xml:space="preserve">. </w:t>
      </w:r>
      <w:r w:rsidR="00CE6E44">
        <w:t>(</w:t>
      </w:r>
      <w:r w:rsidR="005A2028">
        <w:t>2007</w:t>
      </w:r>
      <w:r w:rsidR="00CE6E44">
        <w:t>),</w:t>
      </w:r>
      <w:r w:rsidR="005A2028">
        <w:t xml:space="preserve"> </w:t>
      </w:r>
      <w:r w:rsidR="005A2028" w:rsidRPr="00B14585">
        <w:t>Inflation and Economic Growth in Kuwait: 1985</w:t>
      </w:r>
      <w:r w:rsidR="005A2028" w:rsidRPr="005B347D">
        <w:rPr>
          <w:szCs w:val="18"/>
        </w:rPr>
        <w:t>–</w:t>
      </w:r>
      <w:r w:rsidR="005A2028" w:rsidRPr="00B14585">
        <w:t xml:space="preserve">2005 - Evidence from Co-Integration and Error Correction Model, </w:t>
      </w:r>
      <w:r w:rsidR="005A2028" w:rsidRPr="00B14585">
        <w:rPr>
          <w:i/>
          <w:iCs/>
        </w:rPr>
        <w:t>Applied Econometrics and International Development</w:t>
      </w:r>
      <w:r w:rsidR="005A2028">
        <w:t>, 7</w:t>
      </w:r>
      <w:r w:rsidR="00612075">
        <w:t xml:space="preserve">, </w:t>
      </w:r>
      <w:r w:rsidR="00612075" w:rsidRPr="00884F5F">
        <w:t>pp.</w:t>
      </w:r>
      <w:r w:rsidR="00612075">
        <w:t xml:space="preserve"> </w:t>
      </w:r>
      <w:r w:rsidR="005A2028">
        <w:t>143</w:t>
      </w:r>
      <w:r w:rsidR="005A2028" w:rsidRPr="005B347D">
        <w:rPr>
          <w:szCs w:val="18"/>
        </w:rPr>
        <w:t>–</w:t>
      </w:r>
      <w:r w:rsidR="005A2028" w:rsidRPr="00B14585">
        <w:t>155.</w:t>
      </w:r>
    </w:p>
    <w:p w:rsidR="005A2028" w:rsidRPr="00B14585" w:rsidRDefault="00C61313" w:rsidP="001975B7">
      <w:pPr>
        <w:pStyle w:val="MDPI31text"/>
        <w:ind w:left="720" w:hanging="450"/>
      </w:pPr>
      <w:r>
        <w:t>[38</w:t>
      </w:r>
      <w:r w:rsidRPr="00531AF1">
        <w:t>]</w:t>
      </w:r>
      <w:r>
        <w:t xml:space="preserve"> </w:t>
      </w:r>
      <w:r w:rsidR="005A2028">
        <w:t xml:space="preserve">Salamey, I. </w:t>
      </w:r>
      <w:r w:rsidR="00060977">
        <w:t>(</w:t>
      </w:r>
      <w:r w:rsidR="005A2028">
        <w:t>2017</w:t>
      </w:r>
      <w:r w:rsidR="00060977">
        <w:t>),</w:t>
      </w:r>
      <w:r w:rsidR="005A2028">
        <w:t xml:space="preserve"> </w:t>
      </w:r>
      <w:r w:rsidR="005A2028" w:rsidRPr="00B14585">
        <w:t>The Decline of Nation-States after the Arab Spr</w:t>
      </w:r>
      <w:r w:rsidR="005A2028">
        <w:t>ing. The Rise of Communitocracy</w:t>
      </w:r>
      <w:r w:rsidR="005A2028" w:rsidRPr="00B14585">
        <w:t>, (1</w:t>
      </w:r>
      <w:r w:rsidR="005A2028" w:rsidRPr="00B14585">
        <w:rPr>
          <w:vertAlign w:val="superscript"/>
        </w:rPr>
        <w:t>st</w:t>
      </w:r>
      <w:r w:rsidR="005A2028" w:rsidRPr="00B14585">
        <w:t xml:space="preserve"> ed.). </w:t>
      </w:r>
      <w:r w:rsidR="005A2028" w:rsidRPr="00B14585">
        <w:rPr>
          <w:i/>
          <w:iCs/>
        </w:rPr>
        <w:t>Routledge, Book</w:t>
      </w:r>
      <w:r w:rsidR="005A2028" w:rsidRPr="00B14585">
        <w:t>.</w:t>
      </w:r>
    </w:p>
    <w:p w:rsidR="005A2028" w:rsidRPr="00B14585" w:rsidRDefault="00C61313" w:rsidP="001975B7">
      <w:pPr>
        <w:pStyle w:val="MDPI31text"/>
        <w:ind w:left="720" w:hanging="450"/>
      </w:pPr>
      <w:r>
        <w:t>[39</w:t>
      </w:r>
      <w:r w:rsidRPr="00531AF1">
        <w:t>]</w:t>
      </w:r>
      <w:r w:rsidR="005A2028">
        <w:t xml:space="preserve"> </w:t>
      </w:r>
      <w:r w:rsidR="005A2028" w:rsidRPr="009209F2">
        <w:t>Sweidan</w:t>
      </w:r>
      <w:r w:rsidR="005A2028">
        <w:t xml:space="preserve">, </w:t>
      </w:r>
      <w:r w:rsidR="005A2028" w:rsidRPr="009209F2">
        <w:t>O</w:t>
      </w:r>
      <w:r w:rsidR="001975B7">
        <w:t>.</w:t>
      </w:r>
      <w:r w:rsidR="005A2028" w:rsidRPr="009209F2">
        <w:t xml:space="preserve"> D</w:t>
      </w:r>
      <w:r w:rsidR="005A2028">
        <w:t xml:space="preserve">. </w:t>
      </w:r>
      <w:r w:rsidR="00060977">
        <w:t>(</w:t>
      </w:r>
      <w:r w:rsidR="005A2028">
        <w:t>2004</w:t>
      </w:r>
      <w:r w:rsidR="00060977">
        <w:t>),</w:t>
      </w:r>
      <w:r w:rsidR="005A2028">
        <w:t xml:space="preserve"> </w:t>
      </w:r>
      <w:r w:rsidR="005A2028" w:rsidRPr="00B14585">
        <w:t xml:space="preserve">Does Inflation Harm Economic Growth in Jordan? An Econometric Analysis for the Period 1970-2000', </w:t>
      </w:r>
      <w:r w:rsidR="005A2028" w:rsidRPr="00B14585">
        <w:rPr>
          <w:i/>
          <w:iCs/>
        </w:rPr>
        <w:t>International Journal of Applied Econometrics and Quantitative Studies</w:t>
      </w:r>
      <w:r w:rsidR="005A2028" w:rsidRPr="00B14585">
        <w:t>, 1</w:t>
      </w:r>
      <w:r w:rsidR="00612075">
        <w:t xml:space="preserve">, </w:t>
      </w:r>
      <w:r w:rsidR="00612075" w:rsidRPr="00884F5F">
        <w:t>pp.</w:t>
      </w:r>
      <w:r w:rsidR="00612075">
        <w:t xml:space="preserve"> </w:t>
      </w:r>
      <w:r w:rsidR="005A2028" w:rsidRPr="00B14585">
        <w:t>41</w:t>
      </w:r>
      <w:r w:rsidR="005A2028" w:rsidRPr="005B347D">
        <w:rPr>
          <w:szCs w:val="18"/>
        </w:rPr>
        <w:t>–</w:t>
      </w:r>
      <w:r w:rsidR="005A2028" w:rsidRPr="00B14585">
        <w:t>66.</w:t>
      </w:r>
    </w:p>
    <w:p w:rsidR="005A2028" w:rsidRPr="00B14585" w:rsidRDefault="00C61313" w:rsidP="001975B7">
      <w:pPr>
        <w:pStyle w:val="MDPI31text"/>
        <w:ind w:left="720" w:hanging="450"/>
      </w:pPr>
      <w:r>
        <w:lastRenderedPageBreak/>
        <w:t>[40</w:t>
      </w:r>
      <w:r w:rsidRPr="00531AF1">
        <w:t>]</w:t>
      </w:r>
      <w:r>
        <w:t xml:space="preserve"> </w:t>
      </w:r>
      <w:r w:rsidR="005A2028" w:rsidRPr="005F02F2">
        <w:t>Valdovinos</w:t>
      </w:r>
      <w:r w:rsidR="005A2028">
        <w:t xml:space="preserve">, </w:t>
      </w:r>
      <w:r w:rsidR="005A2028" w:rsidRPr="005F02F2">
        <w:t>C</w:t>
      </w:r>
      <w:r w:rsidR="001975B7">
        <w:t>.</w:t>
      </w:r>
      <w:r w:rsidR="005A2028" w:rsidRPr="005F02F2">
        <w:t xml:space="preserve"> G. F</w:t>
      </w:r>
      <w:r w:rsidR="005A2028">
        <w:t xml:space="preserve">. </w:t>
      </w:r>
      <w:r w:rsidR="00060977">
        <w:t>(</w:t>
      </w:r>
      <w:r w:rsidR="005A2028">
        <w:t>2003</w:t>
      </w:r>
      <w:r w:rsidR="00060977">
        <w:t>),</w:t>
      </w:r>
      <w:r w:rsidR="005A2028" w:rsidRPr="005F02F2">
        <w:t xml:space="preserve"> </w:t>
      </w:r>
      <w:r w:rsidR="005A2028" w:rsidRPr="00B14585">
        <w:t xml:space="preserve">Inflation and economic growth in the long run, </w:t>
      </w:r>
      <w:r w:rsidR="005A2028" w:rsidRPr="00B14585">
        <w:rPr>
          <w:i/>
          <w:iCs/>
        </w:rPr>
        <w:t>Economics Letters</w:t>
      </w:r>
      <w:r w:rsidR="005A2028">
        <w:t>, 80</w:t>
      </w:r>
      <w:r w:rsidR="00612075">
        <w:t xml:space="preserve">, </w:t>
      </w:r>
      <w:r w:rsidR="00612075" w:rsidRPr="00884F5F">
        <w:t>pp.</w:t>
      </w:r>
      <w:r w:rsidR="00612075">
        <w:t xml:space="preserve"> </w:t>
      </w:r>
      <w:r w:rsidR="005A2028">
        <w:t>167</w:t>
      </w:r>
      <w:r w:rsidR="005A2028" w:rsidRPr="005B347D">
        <w:rPr>
          <w:szCs w:val="18"/>
        </w:rPr>
        <w:t>–</w:t>
      </w:r>
      <w:r w:rsidR="005A2028" w:rsidRPr="00B14585">
        <w:t>173.</w:t>
      </w:r>
    </w:p>
    <w:p w:rsidR="005A2028" w:rsidRPr="00B14585" w:rsidRDefault="00C61313" w:rsidP="00060977">
      <w:pPr>
        <w:pStyle w:val="MDPI31text"/>
        <w:ind w:left="720" w:hanging="450"/>
      </w:pPr>
      <w:r>
        <w:t>[41</w:t>
      </w:r>
      <w:r w:rsidRPr="00531AF1">
        <w:t>]</w:t>
      </w:r>
      <w:r>
        <w:t xml:space="preserve"> </w:t>
      </w:r>
      <w:r w:rsidR="005A2028" w:rsidRPr="00B14585">
        <w:t>WBG</w:t>
      </w:r>
      <w:r>
        <w:t>,</w:t>
      </w:r>
      <w:r w:rsidR="005A2028">
        <w:t xml:space="preserve"> </w:t>
      </w:r>
      <w:r w:rsidR="005A2028" w:rsidRPr="006E48CA">
        <w:t>Wold Bank Group</w:t>
      </w:r>
      <w:r w:rsidR="005A2028">
        <w:t xml:space="preserve">. </w:t>
      </w:r>
      <w:r w:rsidR="00060977">
        <w:t>(</w:t>
      </w:r>
      <w:r w:rsidR="005A2028">
        <w:t>2022</w:t>
      </w:r>
      <w:r w:rsidR="00060977">
        <w:t>),</w:t>
      </w:r>
      <w:r w:rsidR="005A2028">
        <w:t xml:space="preserve"> </w:t>
      </w:r>
      <w:r w:rsidR="005A2028" w:rsidRPr="00B14585">
        <w:t xml:space="preserve">Personal Remittances, received (% of GDP)-Jordan, Available at: https://data.worldbank.org/indicator/BX.TRF.PWKR.DT.GD.ZS?locations=JO (accessed 10 </w:t>
      </w:r>
      <w:r w:rsidR="005A2028">
        <w:t>April</w:t>
      </w:r>
      <w:r w:rsidR="005A2028" w:rsidRPr="00B14585">
        <w:t xml:space="preserve"> 202</w:t>
      </w:r>
      <w:r w:rsidR="005A2028">
        <w:t>3</w:t>
      </w:r>
      <w:r w:rsidR="005A2028" w:rsidRPr="00B14585">
        <w:t>).</w:t>
      </w:r>
      <w:r w:rsidR="005A2028" w:rsidRPr="00B14585">
        <w:fldChar w:fldCharType="end"/>
      </w:r>
    </w:p>
    <w:bookmarkEnd w:id="10"/>
    <w:p w:rsidR="005A2028" w:rsidRDefault="005A2028" w:rsidP="005A2028">
      <w:pPr>
        <w:pStyle w:val="MDPI71References"/>
        <w:numPr>
          <w:ilvl w:val="0"/>
          <w:numId w:val="0"/>
        </w:numPr>
        <w:ind w:left="425" w:hanging="425"/>
      </w:pPr>
    </w:p>
    <w:p w:rsidR="002509FC" w:rsidRDefault="002509FC"/>
    <w:sectPr w:rsidR="002509FC" w:rsidSect="00BF5C8D">
      <w:headerReference w:type="even" r:id="rId16"/>
      <w:footerReference w:type="default" r:id="rId17"/>
      <w:pgSz w:w="11906" w:h="16838" w:code="9"/>
      <w:pgMar w:top="1411" w:right="720" w:bottom="1080" w:left="432" w:header="1022" w:footer="346"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CF" w:rsidRDefault="006E7DCF" w:rsidP="005A2028">
      <w:pPr>
        <w:spacing w:after="0" w:line="240" w:lineRule="auto"/>
      </w:pPr>
      <w:r>
        <w:separator/>
      </w:r>
    </w:p>
  </w:endnote>
  <w:endnote w:type="continuationSeparator" w:id="0">
    <w:p w:rsidR="006E7DCF" w:rsidRDefault="006E7DCF" w:rsidP="005A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35545994"/>
      <w:docPartObj>
        <w:docPartGallery w:val="Page Numbers (Bottom of Page)"/>
        <w:docPartUnique/>
      </w:docPartObj>
    </w:sdtPr>
    <w:sdtEndPr>
      <w:rPr>
        <w:noProof/>
      </w:rPr>
    </w:sdtEndPr>
    <w:sdtContent>
      <w:p w:rsidR="00A5146B" w:rsidRDefault="00A5146B">
        <w:pPr>
          <w:pStyle w:val="Footer"/>
          <w:jc w:val="right"/>
        </w:pPr>
        <w:r>
          <w:rPr>
            <w:noProof w:val="0"/>
          </w:rPr>
          <w:fldChar w:fldCharType="begin"/>
        </w:r>
        <w:r>
          <w:instrText xml:space="preserve"> PAGE   \* MERGEFORMAT </w:instrText>
        </w:r>
        <w:r>
          <w:rPr>
            <w:noProof w:val="0"/>
          </w:rPr>
          <w:fldChar w:fldCharType="separate"/>
        </w:r>
        <w:r w:rsidR="009E040D">
          <w:t>14</w:t>
        </w:r>
        <w:r>
          <w:fldChar w:fldCharType="end"/>
        </w:r>
      </w:p>
    </w:sdtContent>
  </w:sdt>
  <w:p w:rsidR="00A5146B" w:rsidRDefault="00A514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CF" w:rsidRDefault="006E7DCF" w:rsidP="005A2028">
      <w:pPr>
        <w:spacing w:after="0" w:line="240" w:lineRule="auto"/>
      </w:pPr>
      <w:r>
        <w:separator/>
      </w:r>
    </w:p>
  </w:footnote>
  <w:footnote w:type="continuationSeparator" w:id="0">
    <w:p w:rsidR="006E7DCF" w:rsidRDefault="006E7DCF" w:rsidP="005A2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97" w:rsidRDefault="001E6C97" w:rsidP="008924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105"/>
    <w:multiLevelType w:val="hybridMultilevel"/>
    <w:tmpl w:val="F752B0BE"/>
    <w:lvl w:ilvl="0" w:tplc="14706C3E">
      <w:start w:val="1"/>
      <w:numFmt w:val="decimal"/>
      <w:lvlRestart w:val="0"/>
      <w:lvlText w:val="%1."/>
      <w:lvlJc w:val="left"/>
      <w:pPr>
        <w:ind w:left="425" w:hanging="425"/>
      </w:pPr>
      <w:rPr>
        <w:rFonts w:hint="default"/>
        <w:b w:val="0"/>
        <w:i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638D88A"/>
    <w:lvl w:ilvl="0" w:tplc="4B962C7E">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57C88D6"/>
    <w:lvl w:ilvl="0" w:tplc="DDD01708">
      <w:start w:val="1"/>
      <w:numFmt w:val="decimal"/>
      <w:lvlRestart w:val="0"/>
      <w:pStyle w:val="MDPI71FootNotes"/>
      <w:lvlText w:val="%1."/>
      <w:lvlJc w:val="left"/>
      <w:pPr>
        <w:ind w:left="425" w:hanging="425"/>
      </w:pPr>
      <w:rPr>
        <w:rFonts w:hint="default"/>
        <w:vertAlign w:val="superscrip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23DDC"/>
    <w:multiLevelType w:val="hybridMultilevel"/>
    <w:tmpl w:val="551680D0"/>
    <w:lvl w:ilvl="0" w:tplc="9C841BA2">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D3724E6"/>
    <w:multiLevelType w:val="hybridMultilevel"/>
    <w:tmpl w:val="44DE48E2"/>
    <w:lvl w:ilvl="0" w:tplc="A8B245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56025"/>
    <w:multiLevelType w:val="hybridMultilevel"/>
    <w:tmpl w:val="D1AC3664"/>
    <w:lvl w:ilvl="0" w:tplc="6A300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1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
  </w:num>
  <w:num w:numId="11">
    <w:abstractNumId w:val="9"/>
  </w:num>
  <w:num w:numId="12">
    <w:abstractNumId w:val="6"/>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2D"/>
    <w:rsid w:val="00001112"/>
    <w:rsid w:val="00060977"/>
    <w:rsid w:val="000A4271"/>
    <w:rsid w:val="001711E9"/>
    <w:rsid w:val="001973A7"/>
    <w:rsid w:val="001975B7"/>
    <w:rsid w:val="001E6C97"/>
    <w:rsid w:val="001F5E5F"/>
    <w:rsid w:val="00227338"/>
    <w:rsid w:val="00237B14"/>
    <w:rsid w:val="002509FC"/>
    <w:rsid w:val="0028565F"/>
    <w:rsid w:val="00332969"/>
    <w:rsid w:val="00363D7E"/>
    <w:rsid w:val="003A0978"/>
    <w:rsid w:val="003D426A"/>
    <w:rsid w:val="00455502"/>
    <w:rsid w:val="00460B7F"/>
    <w:rsid w:val="00472C00"/>
    <w:rsid w:val="00531AF1"/>
    <w:rsid w:val="0054159A"/>
    <w:rsid w:val="00594C0B"/>
    <w:rsid w:val="005A2028"/>
    <w:rsid w:val="00612075"/>
    <w:rsid w:val="006515BA"/>
    <w:rsid w:val="006E7DCF"/>
    <w:rsid w:val="007B4B86"/>
    <w:rsid w:val="00884F5F"/>
    <w:rsid w:val="00891ABC"/>
    <w:rsid w:val="0089242F"/>
    <w:rsid w:val="008C7909"/>
    <w:rsid w:val="0097092D"/>
    <w:rsid w:val="009E040D"/>
    <w:rsid w:val="009F789E"/>
    <w:rsid w:val="00A1262A"/>
    <w:rsid w:val="00A5146B"/>
    <w:rsid w:val="00A64A6B"/>
    <w:rsid w:val="00BB0FD0"/>
    <w:rsid w:val="00BF5C8D"/>
    <w:rsid w:val="00C01774"/>
    <w:rsid w:val="00C251B7"/>
    <w:rsid w:val="00C61313"/>
    <w:rsid w:val="00CE6E44"/>
    <w:rsid w:val="00D90318"/>
    <w:rsid w:val="00E24E8F"/>
    <w:rsid w:val="00E31092"/>
    <w:rsid w:val="00E91DF4"/>
    <w:rsid w:val="00F72322"/>
    <w:rsid w:val="00F74C71"/>
    <w:rsid w:val="00F83370"/>
    <w:rsid w:val="00F94084"/>
    <w:rsid w:val="00FA18A2"/>
    <w:rsid w:val="00FF0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8ED73"/>
  <w15:chartTrackingRefBased/>
  <w15:docId w15:val="{63053293-DC08-4967-B14E-B1851A0B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A2028"/>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2title">
    <w:name w:val="MDPI_1.2_title"/>
    <w:next w:val="Normal"/>
    <w:qFormat/>
    <w:rsid w:val="005A2028"/>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5A2028"/>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5A2028"/>
    <w:pPr>
      <w:adjustRightInd w:val="0"/>
      <w:snapToGrid w:val="0"/>
      <w:spacing w:after="0" w:line="240" w:lineRule="atLeast"/>
      <w:ind w:right="113"/>
    </w:pPr>
    <w:rPr>
      <w:rFonts w:ascii="Palatino Linotype" w:eastAsia="Times New Roman" w:hAnsi="Palatino Linotype" w:cs="Times New Roman"/>
      <w:color w:val="000000"/>
      <w:sz w:val="14"/>
      <w:szCs w:val="20"/>
      <w:lang w:eastAsia="de-DE" w:bidi="en-US"/>
    </w:rPr>
  </w:style>
  <w:style w:type="paragraph" w:customStyle="1" w:styleId="MDPI16affiliation">
    <w:name w:val="MDPI_1.6_affiliation"/>
    <w:qFormat/>
    <w:rsid w:val="005A2028"/>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5A2028"/>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5A2028"/>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9classification">
    <w:name w:val="MDPI_1.9_classification"/>
    <w:qFormat/>
    <w:rsid w:val="005A2028"/>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19line">
    <w:name w:val="MDPI_1.9_line"/>
    <w:qFormat/>
    <w:rsid w:val="005A2028"/>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paragraph" w:styleId="Header">
    <w:name w:val="header"/>
    <w:basedOn w:val="Normal"/>
    <w:link w:val="HeaderChar"/>
    <w:uiPriority w:val="99"/>
    <w:rsid w:val="005A2028"/>
    <w:pPr>
      <w:pBdr>
        <w:bottom w:val="single" w:sz="6" w:space="1" w:color="auto"/>
      </w:pBdr>
      <w:tabs>
        <w:tab w:val="center" w:pos="4153"/>
        <w:tab w:val="right" w:pos="8306"/>
      </w:tabs>
      <w:snapToGrid w:val="0"/>
      <w:spacing w:after="0" w:line="240" w:lineRule="atLeast"/>
      <w:jc w:val="center"/>
    </w:pPr>
    <w:rPr>
      <w:rFonts w:ascii="Palatino Linotype" w:eastAsia="SimSun" w:hAnsi="Palatino Linotype" w:cs="Times New Roman"/>
      <w:noProof/>
      <w:color w:val="000000"/>
      <w:sz w:val="20"/>
      <w:szCs w:val="18"/>
      <w:lang w:eastAsia="zh-CN"/>
    </w:rPr>
  </w:style>
  <w:style w:type="character" w:customStyle="1" w:styleId="HeaderChar">
    <w:name w:val="Header Char"/>
    <w:basedOn w:val="DefaultParagraphFont"/>
    <w:link w:val="Header"/>
    <w:uiPriority w:val="99"/>
    <w:rsid w:val="005A2028"/>
    <w:rPr>
      <w:rFonts w:ascii="Palatino Linotype" w:eastAsia="SimSun" w:hAnsi="Palatino Linotype" w:cs="Times New Roman"/>
      <w:noProof/>
      <w:color w:val="000000"/>
      <w:sz w:val="20"/>
      <w:szCs w:val="18"/>
      <w:lang w:eastAsia="zh-CN"/>
    </w:rPr>
  </w:style>
  <w:style w:type="paragraph" w:customStyle="1" w:styleId="MDPIheaderjournallogo">
    <w:name w:val="MDPI_header_journal_logo"/>
    <w:qFormat/>
    <w:rsid w:val="005A2028"/>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5A2028"/>
    <w:pPr>
      <w:ind w:firstLine="0"/>
    </w:pPr>
  </w:style>
  <w:style w:type="paragraph" w:customStyle="1" w:styleId="MDPI31text">
    <w:name w:val="MDPI_3.1_text"/>
    <w:qFormat/>
    <w:rsid w:val="005A2028"/>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3textspaceafter">
    <w:name w:val="MDPI_3.3_text_space_after"/>
    <w:qFormat/>
    <w:rsid w:val="005A2028"/>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5A2028"/>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5A2028"/>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5A2028"/>
    <w:pPr>
      <w:numPr>
        <w:numId w:val="10"/>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5A2028"/>
    <w:pPr>
      <w:numPr>
        <w:numId w:val="12"/>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5A2028"/>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5A2028"/>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5A2028"/>
    <w:pPr>
      <w:adjustRightInd w:val="0"/>
      <w:snapToGrid w:val="0"/>
      <w:spacing w:before="240" w:after="120" w:line="228" w:lineRule="auto"/>
      <w:ind w:left="2608"/>
      <w:jc w:val="both"/>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5A202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5A2028"/>
    <w:pPr>
      <w:adjustRightInd w:val="0"/>
      <w:snapToGrid w:val="0"/>
      <w:spacing w:after="0" w:line="228" w:lineRule="auto"/>
      <w:ind w:left="2608"/>
      <w:jc w:val="both"/>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5A2028"/>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5A2028"/>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23heading3">
    <w:name w:val="MDPI_2.3_heading3"/>
    <w:qFormat/>
    <w:rsid w:val="005A2028"/>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5A2028"/>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5A2028"/>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5A2028"/>
    <w:pPr>
      <w:numPr>
        <w:numId w:val="13"/>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paragraph" w:styleId="BalloonText">
    <w:name w:val="Balloon Text"/>
    <w:basedOn w:val="Normal"/>
    <w:link w:val="BalloonTextChar"/>
    <w:uiPriority w:val="99"/>
    <w:rsid w:val="005A2028"/>
    <w:pPr>
      <w:spacing w:after="0" w:line="260" w:lineRule="atLeast"/>
      <w:jc w:val="both"/>
    </w:pPr>
    <w:rPr>
      <w:rFonts w:ascii="Palatino Linotype" w:eastAsia="SimSun" w:hAnsi="Palatino Linotype" w:cs="Tahoma"/>
      <w:noProof/>
      <w:color w:val="000000"/>
      <w:sz w:val="20"/>
      <w:szCs w:val="18"/>
      <w:lang w:eastAsia="zh-CN"/>
    </w:rPr>
  </w:style>
  <w:style w:type="character" w:customStyle="1" w:styleId="BalloonTextChar">
    <w:name w:val="Balloon Text Char"/>
    <w:basedOn w:val="DefaultParagraphFont"/>
    <w:link w:val="BalloonText"/>
    <w:uiPriority w:val="99"/>
    <w:rsid w:val="005A2028"/>
    <w:rPr>
      <w:rFonts w:ascii="Palatino Linotype" w:eastAsia="SimSun" w:hAnsi="Palatino Linotype" w:cs="Tahoma"/>
      <w:noProof/>
      <w:color w:val="000000"/>
      <w:sz w:val="20"/>
      <w:szCs w:val="18"/>
      <w:lang w:eastAsia="zh-CN"/>
    </w:rPr>
  </w:style>
  <w:style w:type="character" w:styleId="LineNumber">
    <w:name w:val="line number"/>
    <w:uiPriority w:val="99"/>
    <w:rsid w:val="005A2028"/>
    <w:rPr>
      <w:rFonts w:ascii="Palatino Linotype" w:hAnsi="Palatino Linotype"/>
      <w:sz w:val="16"/>
    </w:rPr>
  </w:style>
  <w:style w:type="table" w:customStyle="1" w:styleId="MDPI41threelinetable">
    <w:name w:val="MDPI_4.1_three_line_table"/>
    <w:basedOn w:val="TableNormal"/>
    <w:uiPriority w:val="99"/>
    <w:rsid w:val="005A2028"/>
    <w:pPr>
      <w:adjustRightInd w:val="0"/>
      <w:snapToGrid w:val="0"/>
      <w:spacing w:after="0" w:line="240" w:lineRule="auto"/>
      <w:jc w:val="center"/>
    </w:pPr>
    <w:rPr>
      <w:rFonts w:ascii="Palatino Linotype" w:eastAsia="SimSun"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5A2028"/>
    <w:rPr>
      <w:color w:val="0000FF"/>
      <w:u w:val="single"/>
    </w:rPr>
  </w:style>
  <w:style w:type="paragraph" w:styleId="Footer">
    <w:name w:val="footer"/>
    <w:basedOn w:val="Normal"/>
    <w:link w:val="FooterChar"/>
    <w:uiPriority w:val="99"/>
    <w:rsid w:val="005A2028"/>
    <w:pPr>
      <w:tabs>
        <w:tab w:val="center" w:pos="4153"/>
        <w:tab w:val="right" w:pos="8306"/>
      </w:tabs>
      <w:snapToGrid w:val="0"/>
      <w:spacing w:after="0" w:line="240" w:lineRule="atLeast"/>
      <w:jc w:val="both"/>
    </w:pPr>
    <w:rPr>
      <w:rFonts w:ascii="Palatino Linotype" w:eastAsia="SimSun" w:hAnsi="Palatino Linotype" w:cs="Times New Roman"/>
      <w:noProof/>
      <w:color w:val="000000"/>
      <w:sz w:val="20"/>
      <w:szCs w:val="18"/>
      <w:lang w:eastAsia="zh-CN"/>
    </w:rPr>
  </w:style>
  <w:style w:type="character" w:customStyle="1" w:styleId="FooterChar">
    <w:name w:val="Footer Char"/>
    <w:basedOn w:val="DefaultParagraphFont"/>
    <w:link w:val="Footer"/>
    <w:uiPriority w:val="99"/>
    <w:rsid w:val="005A2028"/>
    <w:rPr>
      <w:rFonts w:ascii="Palatino Linotype" w:eastAsia="SimSun" w:hAnsi="Palatino Linotype" w:cs="Times New Roman"/>
      <w:noProof/>
      <w:color w:val="000000"/>
      <w:sz w:val="20"/>
      <w:szCs w:val="18"/>
      <w:lang w:eastAsia="zh-CN"/>
    </w:rPr>
  </w:style>
  <w:style w:type="paragraph" w:customStyle="1" w:styleId="MDPI34textspacebefore">
    <w:name w:val="MDPI_3.4_text_space_before"/>
    <w:qFormat/>
    <w:rsid w:val="005A2028"/>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81theorem">
    <w:name w:val="MDPI_8.1_theorem"/>
    <w:qFormat/>
    <w:rsid w:val="005A2028"/>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5A2028"/>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61Citation">
    <w:name w:val="MDPI_6.1_Citation"/>
    <w:qFormat/>
    <w:rsid w:val="005A2028"/>
    <w:pPr>
      <w:adjustRightInd w:val="0"/>
      <w:snapToGrid w:val="0"/>
      <w:spacing w:after="0" w:line="240" w:lineRule="atLeast"/>
      <w:ind w:right="113"/>
    </w:pPr>
    <w:rPr>
      <w:rFonts w:ascii="Palatino Linotype" w:eastAsia="SimSun" w:hAnsi="Palatino Linotype" w:cs="Cordia New"/>
      <w:sz w:val="14"/>
      <w:lang w:eastAsia="zh-CN"/>
    </w:rPr>
  </w:style>
  <w:style w:type="paragraph" w:customStyle="1" w:styleId="MDPI62BackMatter">
    <w:name w:val="MDPI_6.2_BackMatter"/>
    <w:qFormat/>
    <w:rsid w:val="005A2028"/>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5A2028"/>
    <w:pPr>
      <w:adjustRightInd w:val="0"/>
      <w:snapToGrid w:val="0"/>
      <w:spacing w:before="240" w:after="0" w:line="228" w:lineRule="auto"/>
      <w:jc w:val="both"/>
    </w:pPr>
    <w:rPr>
      <w:rFonts w:ascii="Palatino Linotype" w:eastAsia="SimSun" w:hAnsi="Palatino Linotype" w:cs="Times New Roman"/>
      <w:snapToGrid w:val="0"/>
      <w:color w:val="000000"/>
      <w:sz w:val="18"/>
      <w:szCs w:val="20"/>
      <w:lang w:bidi="en-US"/>
    </w:rPr>
  </w:style>
  <w:style w:type="paragraph" w:customStyle="1" w:styleId="MDPI15academiceditor">
    <w:name w:val="MDPI_1.5_academic_editor"/>
    <w:qFormat/>
    <w:rsid w:val="005A2028"/>
    <w:pPr>
      <w:adjustRightInd w:val="0"/>
      <w:snapToGrid w:val="0"/>
      <w:spacing w:before="12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411onetablecaption">
    <w:name w:val="MDPI_4.1.1_one_table_caption"/>
    <w:qFormat/>
    <w:rsid w:val="005A2028"/>
    <w:pPr>
      <w:adjustRightInd w:val="0"/>
      <w:snapToGrid w:val="0"/>
      <w:spacing w:before="240" w:after="120" w:line="260" w:lineRule="atLeast"/>
      <w:jc w:val="center"/>
    </w:pPr>
    <w:rPr>
      <w:rFonts w:ascii="Palatino Linotype" w:eastAsia="SimSun" w:hAnsi="Palatino Linotype" w:cs="Cordia New"/>
      <w:noProof/>
      <w:color w:val="000000"/>
      <w:sz w:val="18"/>
      <w:lang w:eastAsia="zh-CN" w:bidi="en-US"/>
    </w:rPr>
  </w:style>
  <w:style w:type="paragraph" w:customStyle="1" w:styleId="MDPI511onefigurecaption">
    <w:name w:val="MDPI_5.1.1_one_figure_caption"/>
    <w:qFormat/>
    <w:rsid w:val="005A2028"/>
    <w:pPr>
      <w:adjustRightInd w:val="0"/>
      <w:snapToGrid w:val="0"/>
      <w:spacing w:before="240" w:after="120" w:line="260" w:lineRule="atLeast"/>
      <w:jc w:val="center"/>
    </w:pPr>
    <w:rPr>
      <w:rFonts w:ascii="Palatino Linotype" w:eastAsia="SimSun" w:hAnsi="Palatino Linotype" w:cs="Times New Roman"/>
      <w:noProof/>
      <w:color w:val="000000"/>
      <w:sz w:val="18"/>
      <w:szCs w:val="20"/>
      <w:lang w:eastAsia="zh-CN" w:bidi="en-US"/>
    </w:rPr>
  </w:style>
  <w:style w:type="paragraph" w:customStyle="1" w:styleId="MDPI72Copyright">
    <w:name w:val="MDPI_7.2_Copyright"/>
    <w:qFormat/>
    <w:rsid w:val="005A2028"/>
    <w:pPr>
      <w:adjustRightInd w:val="0"/>
      <w:snapToGrid w:val="0"/>
      <w:spacing w:before="60" w:after="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73CopyrightImage">
    <w:name w:val="MDPI_7.3_CopyrightImage"/>
    <w:rsid w:val="005A2028"/>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5A2028"/>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5A2028"/>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footerfirstpage">
    <w:name w:val="MDPI_footer_firstpage"/>
    <w:qFormat/>
    <w:rsid w:val="005A2028"/>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header">
    <w:name w:val="MDPI_header"/>
    <w:qFormat/>
    <w:rsid w:val="005A2028"/>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5A2028"/>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5A2028"/>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paragraph" w:customStyle="1" w:styleId="MDPItext">
    <w:name w:val="MDPI_text"/>
    <w:qFormat/>
    <w:rsid w:val="005A2028"/>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5A2028"/>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apple-converted-space">
    <w:name w:val="apple-converted-space"/>
    <w:rsid w:val="005A2028"/>
  </w:style>
  <w:style w:type="paragraph" w:styleId="BodyText">
    <w:name w:val="Body Text"/>
    <w:link w:val="BodyTextChar"/>
    <w:rsid w:val="005A2028"/>
    <w:pPr>
      <w:spacing w:after="120" w:line="340" w:lineRule="atLeast"/>
      <w:jc w:val="both"/>
    </w:pPr>
    <w:rPr>
      <w:rFonts w:ascii="Palatino Linotype" w:eastAsia="SimSun" w:hAnsi="Palatino Linotype" w:cs="Times New Roman"/>
      <w:color w:val="000000"/>
      <w:sz w:val="24"/>
      <w:szCs w:val="20"/>
      <w:lang w:eastAsia="de-DE"/>
    </w:rPr>
  </w:style>
  <w:style w:type="character" w:customStyle="1" w:styleId="BodyTextChar">
    <w:name w:val="Body Text Char"/>
    <w:basedOn w:val="DefaultParagraphFont"/>
    <w:link w:val="BodyText"/>
    <w:rsid w:val="005A2028"/>
    <w:rPr>
      <w:rFonts w:ascii="Palatino Linotype" w:eastAsia="SimSun" w:hAnsi="Palatino Linotype" w:cs="Times New Roman"/>
      <w:color w:val="000000"/>
      <w:sz w:val="24"/>
      <w:szCs w:val="20"/>
      <w:lang w:eastAsia="de-DE"/>
    </w:rPr>
  </w:style>
  <w:style w:type="character" w:styleId="CommentReference">
    <w:name w:val="annotation reference"/>
    <w:rsid w:val="005A2028"/>
    <w:rPr>
      <w:sz w:val="21"/>
      <w:szCs w:val="21"/>
    </w:rPr>
  </w:style>
  <w:style w:type="paragraph" w:styleId="CommentText">
    <w:name w:val="annotation text"/>
    <w:basedOn w:val="Normal"/>
    <w:link w:val="CommentTextChar"/>
    <w:rsid w:val="005A2028"/>
    <w:pPr>
      <w:spacing w:after="0" w:line="260" w:lineRule="atLeast"/>
      <w:jc w:val="both"/>
    </w:pPr>
    <w:rPr>
      <w:rFonts w:ascii="Palatino Linotype" w:eastAsia="SimSun" w:hAnsi="Palatino Linotype" w:cs="Times New Roman"/>
      <w:noProof/>
      <w:color w:val="000000"/>
      <w:sz w:val="20"/>
      <w:szCs w:val="20"/>
      <w:lang w:eastAsia="zh-CN"/>
    </w:rPr>
  </w:style>
  <w:style w:type="character" w:customStyle="1" w:styleId="CommentTextChar">
    <w:name w:val="Comment Text Char"/>
    <w:basedOn w:val="DefaultParagraphFont"/>
    <w:link w:val="CommentText"/>
    <w:rsid w:val="005A2028"/>
    <w:rPr>
      <w:rFonts w:ascii="Palatino Linotype" w:eastAsia="SimSun" w:hAnsi="Palatino Linotype" w:cs="Times New Roman"/>
      <w:noProof/>
      <w:color w:val="000000"/>
      <w:sz w:val="20"/>
      <w:szCs w:val="20"/>
      <w:lang w:eastAsia="zh-CN"/>
    </w:rPr>
  </w:style>
  <w:style w:type="paragraph" w:styleId="CommentSubject">
    <w:name w:val="annotation subject"/>
    <w:basedOn w:val="CommentText"/>
    <w:next w:val="CommentText"/>
    <w:link w:val="CommentSubjectChar"/>
    <w:rsid w:val="005A2028"/>
    <w:rPr>
      <w:b/>
      <w:bCs/>
    </w:rPr>
  </w:style>
  <w:style w:type="character" w:customStyle="1" w:styleId="CommentSubjectChar">
    <w:name w:val="Comment Subject Char"/>
    <w:basedOn w:val="CommentTextChar"/>
    <w:link w:val="CommentSubject"/>
    <w:rsid w:val="005A2028"/>
    <w:rPr>
      <w:rFonts w:ascii="Palatino Linotype" w:eastAsia="SimSun" w:hAnsi="Palatino Linotype" w:cs="Times New Roman"/>
      <w:b/>
      <w:bCs/>
      <w:noProof/>
      <w:color w:val="000000"/>
      <w:sz w:val="20"/>
      <w:szCs w:val="20"/>
      <w:lang w:eastAsia="zh-CN"/>
    </w:rPr>
  </w:style>
  <w:style w:type="character" w:styleId="EndnoteReference">
    <w:name w:val="endnote reference"/>
    <w:rsid w:val="005A2028"/>
    <w:rPr>
      <w:vertAlign w:val="superscript"/>
    </w:rPr>
  </w:style>
  <w:style w:type="character" w:customStyle="1" w:styleId="EndnoteTextChar">
    <w:name w:val="Endnote Text Char"/>
    <w:basedOn w:val="DefaultParagraphFont"/>
    <w:link w:val="EndnoteText"/>
    <w:semiHidden/>
    <w:rsid w:val="005A2028"/>
    <w:rPr>
      <w:rFonts w:ascii="Palatino Linotype" w:eastAsia="SimSun" w:hAnsi="Palatino Linotype" w:cs="Times New Roman"/>
      <w:noProof/>
      <w:color w:val="000000"/>
      <w:sz w:val="20"/>
      <w:szCs w:val="20"/>
      <w:lang w:eastAsia="zh-CN"/>
    </w:rPr>
  </w:style>
  <w:style w:type="paragraph" w:styleId="EndnoteText">
    <w:name w:val="endnote text"/>
    <w:basedOn w:val="Normal"/>
    <w:link w:val="EndnoteTextChar"/>
    <w:semiHidden/>
    <w:unhideWhenUsed/>
    <w:rsid w:val="005A2028"/>
    <w:pPr>
      <w:spacing w:after="0" w:line="240" w:lineRule="auto"/>
      <w:jc w:val="both"/>
    </w:pPr>
    <w:rPr>
      <w:rFonts w:ascii="Palatino Linotype" w:eastAsia="SimSun" w:hAnsi="Palatino Linotype" w:cs="Times New Roman"/>
      <w:noProof/>
      <w:color w:val="000000"/>
      <w:sz w:val="20"/>
      <w:szCs w:val="20"/>
      <w:lang w:eastAsia="zh-CN"/>
    </w:rPr>
  </w:style>
  <w:style w:type="character" w:styleId="FollowedHyperlink">
    <w:name w:val="FollowedHyperlink"/>
    <w:rsid w:val="005A2028"/>
    <w:rPr>
      <w:color w:val="954F72"/>
      <w:u w:val="single"/>
    </w:rPr>
  </w:style>
  <w:style w:type="paragraph" w:styleId="FootnoteText">
    <w:name w:val="footnote text"/>
    <w:basedOn w:val="Normal"/>
    <w:link w:val="FootnoteTextChar"/>
    <w:uiPriority w:val="99"/>
    <w:semiHidden/>
    <w:unhideWhenUsed/>
    <w:rsid w:val="005A2028"/>
    <w:pPr>
      <w:spacing w:after="0" w:line="240" w:lineRule="auto"/>
      <w:jc w:val="both"/>
    </w:pPr>
    <w:rPr>
      <w:rFonts w:ascii="Palatino Linotype" w:eastAsia="SimSun" w:hAnsi="Palatino Linotype" w:cs="Times New Roman"/>
      <w:noProof/>
      <w:color w:val="000000"/>
      <w:sz w:val="20"/>
      <w:szCs w:val="20"/>
      <w:lang w:eastAsia="zh-CN"/>
    </w:rPr>
  </w:style>
  <w:style w:type="character" w:customStyle="1" w:styleId="FootnoteTextChar">
    <w:name w:val="Footnote Text Char"/>
    <w:basedOn w:val="DefaultParagraphFont"/>
    <w:link w:val="FootnoteText"/>
    <w:uiPriority w:val="99"/>
    <w:semiHidden/>
    <w:rsid w:val="005A2028"/>
    <w:rPr>
      <w:rFonts w:ascii="Palatino Linotype" w:eastAsia="SimSun" w:hAnsi="Palatino Linotype" w:cs="Times New Roman"/>
      <w:noProof/>
      <w:color w:val="000000"/>
      <w:sz w:val="20"/>
      <w:szCs w:val="20"/>
      <w:lang w:eastAsia="zh-CN"/>
    </w:rPr>
  </w:style>
  <w:style w:type="paragraph" w:styleId="NormalWeb">
    <w:name w:val="Normal (Web)"/>
    <w:basedOn w:val="Normal"/>
    <w:uiPriority w:val="99"/>
    <w:rsid w:val="005A2028"/>
    <w:pPr>
      <w:spacing w:after="0" w:line="260" w:lineRule="atLeast"/>
      <w:jc w:val="both"/>
    </w:pPr>
    <w:rPr>
      <w:rFonts w:ascii="Palatino Linotype" w:eastAsia="SimSun" w:hAnsi="Palatino Linotype" w:cs="Times New Roman"/>
      <w:noProof/>
      <w:color w:val="000000"/>
      <w:sz w:val="20"/>
      <w:szCs w:val="24"/>
      <w:lang w:eastAsia="zh-CN"/>
    </w:rPr>
  </w:style>
  <w:style w:type="paragraph" w:customStyle="1" w:styleId="MsoFootnoteText0">
    <w:name w:val="MsoFootnoteText"/>
    <w:basedOn w:val="NormalWeb"/>
    <w:qFormat/>
    <w:rsid w:val="005A2028"/>
    <w:rPr>
      <w:rFonts w:ascii="Times New Roman" w:hAnsi="Times New Roman"/>
    </w:rPr>
  </w:style>
  <w:style w:type="character" w:styleId="PageNumber">
    <w:name w:val="page number"/>
    <w:rsid w:val="005A2028"/>
  </w:style>
  <w:style w:type="paragraph" w:customStyle="1" w:styleId="MDPI71FootNotes">
    <w:name w:val="MDPI_7.1_FootNotes"/>
    <w:qFormat/>
    <w:rsid w:val="005A2028"/>
    <w:pPr>
      <w:numPr>
        <w:numId w:val="6"/>
      </w:numPr>
      <w:adjustRightInd w:val="0"/>
      <w:snapToGrid w:val="0"/>
      <w:spacing w:after="0" w:line="228" w:lineRule="auto"/>
    </w:pPr>
    <w:rPr>
      <w:rFonts w:ascii="Palatino Linotype" w:eastAsiaTheme="minorEastAsia" w:hAnsi="Palatino Linotype" w:cs="Times New Roman"/>
      <w:noProof/>
      <w:color w:val="000000"/>
      <w:sz w:val="18"/>
      <w:szCs w:val="20"/>
      <w:lang w:eastAsia="zh-CN"/>
    </w:rPr>
  </w:style>
  <w:style w:type="paragraph" w:styleId="Caption">
    <w:name w:val="caption"/>
    <w:basedOn w:val="Normal"/>
    <w:next w:val="Normal"/>
    <w:uiPriority w:val="35"/>
    <w:unhideWhenUsed/>
    <w:qFormat/>
    <w:rsid w:val="005A202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taiteyeh@hu.edu.jo"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ristaiteyeh@hu.edu.j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arahnajem1992@gmail.com"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rsu\Desktop\statistical_consulting\projects\nabeel_nafee_ahmad_alhashmi\project3\GDP,Inflation-DATA(1977-2021)-Su_ys0628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'Data 1977-2021'!$B$2</c:f>
              <c:strCache>
                <c:ptCount val="1"/>
                <c:pt idx="0">
                  <c:v>GDP (%)</c:v>
                </c:pt>
              </c:strCache>
            </c:strRef>
          </c:tx>
          <c:spPr>
            <a:ln w="28575" cap="rnd">
              <a:solidFill>
                <a:schemeClr val="dk1">
                  <a:tint val="88500"/>
                </a:schemeClr>
              </a:solidFill>
              <a:prstDash val="sysDash"/>
              <a:round/>
            </a:ln>
            <a:effectLst/>
          </c:spPr>
          <c:marker>
            <c:symbol val="circle"/>
            <c:size val="5"/>
            <c:spPr>
              <a:solidFill>
                <a:schemeClr val="dk1">
                  <a:tint val="88500"/>
                </a:schemeClr>
              </a:solidFill>
              <a:ln w="9525">
                <a:solidFill>
                  <a:schemeClr val="dk1">
                    <a:tint val="88500"/>
                  </a:schemeClr>
                </a:solidFill>
              </a:ln>
              <a:effectLst/>
            </c:spPr>
          </c:marker>
          <c:cat>
            <c:numRef>
              <c:f>'Data 1977-2021'!$A$3:$A$47</c:f>
              <c:numCache>
                <c:formatCode>General</c:formatCode>
                <c:ptCount val="45"/>
                <c:pt idx="0">
                  <c:v>1977</c:v>
                </c:pt>
                <c:pt idx="1">
                  <c:v>1978</c:v>
                </c:pt>
                <c:pt idx="2">
                  <c:v>1979</c:v>
                </c:pt>
                <c:pt idx="3">
                  <c:v>1980</c:v>
                </c:pt>
                <c:pt idx="4">
                  <c:v>1981</c:v>
                </c:pt>
                <c:pt idx="5">
                  <c:v>1982</c:v>
                </c:pt>
                <c:pt idx="6">
                  <c:v>1983</c:v>
                </c:pt>
                <c:pt idx="7">
                  <c:v>1984</c:v>
                </c:pt>
                <c:pt idx="8">
                  <c:v>1985</c:v>
                </c:pt>
                <c:pt idx="9">
                  <c:v>1986</c:v>
                </c:pt>
                <c:pt idx="10">
                  <c:v>1987</c:v>
                </c:pt>
                <c:pt idx="11">
                  <c:v>1988</c:v>
                </c:pt>
                <c:pt idx="12">
                  <c:v>1989</c:v>
                </c:pt>
                <c:pt idx="13">
                  <c:v>1990</c:v>
                </c:pt>
                <c:pt idx="14">
                  <c:v>1991</c:v>
                </c:pt>
                <c:pt idx="15">
                  <c:v>1992</c:v>
                </c:pt>
                <c:pt idx="16">
                  <c:v>1993</c:v>
                </c:pt>
                <c:pt idx="17">
                  <c:v>1994</c:v>
                </c:pt>
                <c:pt idx="18">
                  <c:v>1995</c:v>
                </c:pt>
                <c:pt idx="19">
                  <c:v>1996</c:v>
                </c:pt>
                <c:pt idx="20">
                  <c:v>1997</c:v>
                </c:pt>
                <c:pt idx="21">
                  <c:v>1998</c:v>
                </c:pt>
                <c:pt idx="22">
                  <c:v>1999</c:v>
                </c:pt>
                <c:pt idx="23">
                  <c:v>2000</c:v>
                </c:pt>
                <c:pt idx="24">
                  <c:v>2001</c:v>
                </c:pt>
                <c:pt idx="25">
                  <c:v>2002</c:v>
                </c:pt>
                <c:pt idx="26">
                  <c:v>2003</c:v>
                </c:pt>
                <c:pt idx="27">
                  <c:v>2004</c:v>
                </c:pt>
                <c:pt idx="28">
                  <c:v>2005</c:v>
                </c:pt>
                <c:pt idx="29">
                  <c:v>2006</c:v>
                </c:pt>
                <c:pt idx="30">
                  <c:v>2007</c:v>
                </c:pt>
                <c:pt idx="31">
                  <c:v>2008</c:v>
                </c:pt>
                <c:pt idx="32">
                  <c:v>2009</c:v>
                </c:pt>
                <c:pt idx="33">
                  <c:v>2010</c:v>
                </c:pt>
                <c:pt idx="34">
                  <c:v>2011</c:v>
                </c:pt>
                <c:pt idx="35">
                  <c:v>2012</c:v>
                </c:pt>
                <c:pt idx="36">
                  <c:v>2013</c:v>
                </c:pt>
                <c:pt idx="37">
                  <c:v>2014</c:v>
                </c:pt>
                <c:pt idx="38">
                  <c:v>2015</c:v>
                </c:pt>
                <c:pt idx="39">
                  <c:v>2016</c:v>
                </c:pt>
                <c:pt idx="40">
                  <c:v>2017</c:v>
                </c:pt>
                <c:pt idx="41">
                  <c:v>2018</c:v>
                </c:pt>
                <c:pt idx="42">
                  <c:v>2019</c:v>
                </c:pt>
                <c:pt idx="43">
                  <c:v>2020</c:v>
                </c:pt>
                <c:pt idx="44">
                  <c:v>2021</c:v>
                </c:pt>
              </c:numCache>
            </c:numRef>
          </c:cat>
          <c:val>
            <c:numRef>
              <c:f>'Data 1977-2021'!$B$3:$B$47</c:f>
              <c:numCache>
                <c:formatCode>General</c:formatCode>
                <c:ptCount val="45"/>
                <c:pt idx="0">
                  <c:v>8.2984088648955634</c:v>
                </c:pt>
                <c:pt idx="1">
                  <c:v>14.679566013500732</c:v>
                </c:pt>
                <c:pt idx="2">
                  <c:v>20.802909271156906</c:v>
                </c:pt>
                <c:pt idx="3">
                  <c:v>11.184846464319719</c:v>
                </c:pt>
                <c:pt idx="4">
                  <c:v>17.178717424629525</c:v>
                </c:pt>
                <c:pt idx="5">
                  <c:v>7.0259433890842047</c:v>
                </c:pt>
                <c:pt idx="6">
                  <c:v>-2.2197385546941319</c:v>
                </c:pt>
                <c:pt idx="7">
                  <c:v>4.291687766765591</c:v>
                </c:pt>
                <c:pt idx="8">
                  <c:v>-2.7069471651415995</c:v>
                </c:pt>
                <c:pt idx="9">
                  <c:v>5.5046342506773129</c:v>
                </c:pt>
                <c:pt idx="10">
                  <c:v>2.3232743707291945</c:v>
                </c:pt>
                <c:pt idx="11">
                  <c:v>1.4621698230338467</c:v>
                </c:pt>
                <c:pt idx="12">
                  <c:v>-10.729219281299279</c:v>
                </c:pt>
                <c:pt idx="13">
                  <c:v>-0.27590390611102578</c:v>
                </c:pt>
                <c:pt idx="14">
                  <c:v>1.6085301477466203</c:v>
                </c:pt>
                <c:pt idx="15">
                  <c:v>14.349777799406553</c:v>
                </c:pt>
                <c:pt idx="16">
                  <c:v>4.4869889919523018</c:v>
                </c:pt>
                <c:pt idx="17">
                  <c:v>4.9714773247907544</c:v>
                </c:pt>
                <c:pt idx="18">
                  <c:v>6.2008744413951717</c:v>
                </c:pt>
                <c:pt idx="19">
                  <c:v>2.0870202145510035</c:v>
                </c:pt>
                <c:pt idx="20">
                  <c:v>3.3084759117978422</c:v>
                </c:pt>
                <c:pt idx="21">
                  <c:v>3.012172148082044</c:v>
                </c:pt>
                <c:pt idx="22">
                  <c:v>3.3895307468828406</c:v>
                </c:pt>
                <c:pt idx="23">
                  <c:v>4.2457123440155442</c:v>
                </c:pt>
                <c:pt idx="24">
                  <c:v>5.2699573768640846</c:v>
                </c:pt>
                <c:pt idx="25">
                  <c:v>5.7838081127194982</c:v>
                </c:pt>
                <c:pt idx="26">
                  <c:v>4.1616669990857957</c:v>
                </c:pt>
                <c:pt idx="27">
                  <c:v>8.5672147976026451</c:v>
                </c:pt>
                <c:pt idx="28">
                  <c:v>8.1465948914178057</c:v>
                </c:pt>
                <c:pt idx="29">
                  <c:v>8.0929749443376124</c:v>
                </c:pt>
                <c:pt idx="30">
                  <c:v>8.1761703506036127</c:v>
                </c:pt>
                <c:pt idx="31">
                  <c:v>7.2323189642085453</c:v>
                </c:pt>
                <c:pt idx="32">
                  <c:v>5.0237100727266863</c:v>
                </c:pt>
                <c:pt idx="33">
                  <c:v>2.3148342206304591</c:v>
                </c:pt>
                <c:pt idx="34">
                  <c:v>2.7371798863210444</c:v>
                </c:pt>
                <c:pt idx="35">
                  <c:v>2.4293580010023845</c:v>
                </c:pt>
                <c:pt idx="36">
                  <c:v>2.6099473754863141</c:v>
                </c:pt>
                <c:pt idx="37">
                  <c:v>3.3840780993347153</c:v>
                </c:pt>
                <c:pt idx="38">
                  <c:v>2.4965287931518816</c:v>
                </c:pt>
                <c:pt idx="39">
                  <c:v>1.9941808493012019</c:v>
                </c:pt>
                <c:pt idx="40">
                  <c:v>1.9340917014170742</c:v>
                </c:pt>
                <c:pt idx="41">
                  <c:v>1.9340917014170742</c:v>
                </c:pt>
                <c:pt idx="42">
                  <c:v>1.9554663578441165</c:v>
                </c:pt>
                <c:pt idx="43">
                  <c:v>-1.5513844655320383</c:v>
                </c:pt>
                <c:pt idx="44">
                  <c:v>2.04</c:v>
                </c:pt>
              </c:numCache>
            </c:numRef>
          </c:val>
          <c:smooth val="0"/>
          <c:extLst>
            <c:ext xmlns:c16="http://schemas.microsoft.com/office/drawing/2014/chart" uri="{C3380CC4-5D6E-409C-BE32-E72D297353CC}">
              <c16:uniqueId val="{00000000-8AB9-4F9A-BCE8-EB787EA2719F}"/>
            </c:ext>
          </c:extLst>
        </c:ser>
        <c:ser>
          <c:idx val="1"/>
          <c:order val="1"/>
          <c:tx>
            <c:strRef>
              <c:f>'Data 1977-2021'!$C$2</c:f>
              <c:strCache>
                <c:ptCount val="1"/>
                <c:pt idx="0">
                  <c:v>Inflation, consumer prices (annual %)</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numRef>
              <c:f>'Data 1977-2021'!$A$3:$A$47</c:f>
              <c:numCache>
                <c:formatCode>General</c:formatCode>
                <c:ptCount val="45"/>
                <c:pt idx="0">
                  <c:v>1977</c:v>
                </c:pt>
                <c:pt idx="1">
                  <c:v>1978</c:v>
                </c:pt>
                <c:pt idx="2">
                  <c:v>1979</c:v>
                </c:pt>
                <c:pt idx="3">
                  <c:v>1980</c:v>
                </c:pt>
                <c:pt idx="4">
                  <c:v>1981</c:v>
                </c:pt>
                <c:pt idx="5">
                  <c:v>1982</c:v>
                </c:pt>
                <c:pt idx="6">
                  <c:v>1983</c:v>
                </c:pt>
                <c:pt idx="7">
                  <c:v>1984</c:v>
                </c:pt>
                <c:pt idx="8">
                  <c:v>1985</c:v>
                </c:pt>
                <c:pt idx="9">
                  <c:v>1986</c:v>
                </c:pt>
                <c:pt idx="10">
                  <c:v>1987</c:v>
                </c:pt>
                <c:pt idx="11">
                  <c:v>1988</c:v>
                </c:pt>
                <c:pt idx="12">
                  <c:v>1989</c:v>
                </c:pt>
                <c:pt idx="13">
                  <c:v>1990</c:v>
                </c:pt>
                <c:pt idx="14">
                  <c:v>1991</c:v>
                </c:pt>
                <c:pt idx="15">
                  <c:v>1992</c:v>
                </c:pt>
                <c:pt idx="16">
                  <c:v>1993</c:v>
                </c:pt>
                <c:pt idx="17">
                  <c:v>1994</c:v>
                </c:pt>
                <c:pt idx="18">
                  <c:v>1995</c:v>
                </c:pt>
                <c:pt idx="19">
                  <c:v>1996</c:v>
                </c:pt>
                <c:pt idx="20">
                  <c:v>1997</c:v>
                </c:pt>
                <c:pt idx="21">
                  <c:v>1998</c:v>
                </c:pt>
                <c:pt idx="22">
                  <c:v>1999</c:v>
                </c:pt>
                <c:pt idx="23">
                  <c:v>2000</c:v>
                </c:pt>
                <c:pt idx="24">
                  <c:v>2001</c:v>
                </c:pt>
                <c:pt idx="25">
                  <c:v>2002</c:v>
                </c:pt>
                <c:pt idx="26">
                  <c:v>2003</c:v>
                </c:pt>
                <c:pt idx="27">
                  <c:v>2004</c:v>
                </c:pt>
                <c:pt idx="28">
                  <c:v>2005</c:v>
                </c:pt>
                <c:pt idx="29">
                  <c:v>2006</c:v>
                </c:pt>
                <c:pt idx="30">
                  <c:v>2007</c:v>
                </c:pt>
                <c:pt idx="31">
                  <c:v>2008</c:v>
                </c:pt>
                <c:pt idx="32">
                  <c:v>2009</c:v>
                </c:pt>
                <c:pt idx="33">
                  <c:v>2010</c:v>
                </c:pt>
                <c:pt idx="34">
                  <c:v>2011</c:v>
                </c:pt>
                <c:pt idx="35">
                  <c:v>2012</c:v>
                </c:pt>
                <c:pt idx="36">
                  <c:v>2013</c:v>
                </c:pt>
                <c:pt idx="37">
                  <c:v>2014</c:v>
                </c:pt>
                <c:pt idx="38">
                  <c:v>2015</c:v>
                </c:pt>
                <c:pt idx="39">
                  <c:v>2016</c:v>
                </c:pt>
                <c:pt idx="40">
                  <c:v>2017</c:v>
                </c:pt>
                <c:pt idx="41">
                  <c:v>2018</c:v>
                </c:pt>
                <c:pt idx="42">
                  <c:v>2019</c:v>
                </c:pt>
                <c:pt idx="43">
                  <c:v>2020</c:v>
                </c:pt>
                <c:pt idx="44">
                  <c:v>2021</c:v>
                </c:pt>
              </c:numCache>
            </c:numRef>
          </c:cat>
          <c:val>
            <c:numRef>
              <c:f>'Data 1977-2021'!$C$3:$C$47</c:f>
              <c:numCache>
                <c:formatCode>General</c:formatCode>
                <c:ptCount val="45"/>
                <c:pt idx="0">
                  <c:v>14.5665171893876</c:v>
                </c:pt>
                <c:pt idx="1">
                  <c:v>6.9215212995240796</c:v>
                </c:pt>
                <c:pt idx="2">
                  <c:v>14.246491763078399</c:v>
                </c:pt>
                <c:pt idx="3">
                  <c:v>11.111111111111301</c:v>
                </c:pt>
                <c:pt idx="4">
                  <c:v>7.6999999999997604</c:v>
                </c:pt>
                <c:pt idx="5">
                  <c:v>7.4280408542248804</c:v>
                </c:pt>
                <c:pt idx="6">
                  <c:v>5.0201670983146096</c:v>
                </c:pt>
                <c:pt idx="7">
                  <c:v>3.8474727383761498</c:v>
                </c:pt>
                <c:pt idx="8">
                  <c:v>2.9850746271475299</c:v>
                </c:pt>
                <c:pt idx="9">
                  <c:v>0</c:v>
                </c:pt>
                <c:pt idx="10">
                  <c:v>-0.19999999999989199</c:v>
                </c:pt>
                <c:pt idx="11">
                  <c:v>6.6132264529057698</c:v>
                </c:pt>
                <c:pt idx="12">
                  <c:v>25.7127192982454</c:v>
                </c:pt>
                <c:pt idx="13">
                  <c:v>16.192137561523399</c:v>
                </c:pt>
                <c:pt idx="14">
                  <c:v>8.1554959785521106</c:v>
                </c:pt>
                <c:pt idx="15">
                  <c:v>3.9958356055719002</c:v>
                </c:pt>
                <c:pt idx="16">
                  <c:v>3.3166666666670701</c:v>
                </c:pt>
                <c:pt idx="17">
                  <c:v>3.5166962413288698</c:v>
                </c:pt>
                <c:pt idx="18">
                  <c:v>2.3531245130127201</c:v>
                </c:pt>
                <c:pt idx="19">
                  <c:v>6.5012180267958497</c:v>
                </c:pt>
                <c:pt idx="20">
                  <c:v>3.0378842030025099</c:v>
                </c:pt>
                <c:pt idx="21">
                  <c:v>3.0916666666670198</c:v>
                </c:pt>
                <c:pt idx="22">
                  <c:v>0.60625656777946602</c:v>
                </c:pt>
                <c:pt idx="23">
                  <c:v>0.66688092559791301</c:v>
                </c:pt>
                <c:pt idx="24">
                  <c:v>1.77220437351018</c:v>
                </c:pt>
                <c:pt idx="25">
                  <c:v>1.8329938900204901</c:v>
                </c:pt>
                <c:pt idx="26">
                  <c:v>1.63</c:v>
                </c:pt>
                <c:pt idx="27">
                  <c:v>3.361868214766</c:v>
                </c:pt>
                <c:pt idx="28">
                  <c:v>3.4936853461953001</c:v>
                </c:pt>
                <c:pt idx="29">
                  <c:v>6.2517246665644199</c:v>
                </c:pt>
                <c:pt idx="30">
                  <c:v>4.74390639021646</c:v>
                </c:pt>
                <c:pt idx="31">
                  <c:v>13.9712310012729</c:v>
                </c:pt>
                <c:pt idx="32">
                  <c:v>-0.73906974314477303</c:v>
                </c:pt>
                <c:pt idx="33">
                  <c:v>4.8455187585211901</c:v>
                </c:pt>
                <c:pt idx="34">
                  <c:v>4.1624416292778097</c:v>
                </c:pt>
                <c:pt idx="35">
                  <c:v>4.51522956670998</c:v>
                </c:pt>
                <c:pt idx="36">
                  <c:v>4.8246231426954198</c:v>
                </c:pt>
                <c:pt idx="37">
                  <c:v>2.8994790500604699</c:v>
                </c:pt>
                <c:pt idx="38">
                  <c:v>-0.87685135970402195</c:v>
                </c:pt>
                <c:pt idx="39">
                  <c:v>-0.77843046305411701</c:v>
                </c:pt>
                <c:pt idx="40">
                  <c:v>3.3238944757609601</c:v>
                </c:pt>
                <c:pt idx="41">
                  <c:v>4.4623110847548499</c:v>
                </c:pt>
                <c:pt idx="42">
                  <c:v>0.76151404726551297</c:v>
                </c:pt>
                <c:pt idx="43">
                  <c:v>0.33329435062842999</c:v>
                </c:pt>
                <c:pt idx="44">
                  <c:v>1.65</c:v>
                </c:pt>
              </c:numCache>
            </c:numRef>
          </c:val>
          <c:smooth val="0"/>
          <c:extLst>
            <c:ext xmlns:c16="http://schemas.microsoft.com/office/drawing/2014/chart" uri="{C3380CC4-5D6E-409C-BE32-E72D297353CC}">
              <c16:uniqueId val="{00000001-8AB9-4F9A-BCE8-EB787EA2719F}"/>
            </c:ext>
          </c:extLst>
        </c:ser>
        <c:dLbls>
          <c:showLegendKey val="0"/>
          <c:showVal val="0"/>
          <c:showCatName val="0"/>
          <c:showSerName val="0"/>
          <c:showPercent val="0"/>
          <c:showBubbleSize val="0"/>
        </c:dLbls>
        <c:marker val="1"/>
        <c:smooth val="0"/>
        <c:axId val="1332466288"/>
        <c:axId val="1332467952"/>
      </c:lineChart>
      <c:catAx>
        <c:axId val="133246628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Times New Roman" panose="02020603050405020304" pitchFamily="18" charset="0"/>
              </a:defRPr>
            </a:pPr>
            <a:endParaRPr lang="en-US"/>
          </a:p>
        </c:txPr>
        <c:crossAx val="1332467952"/>
        <c:crosses val="autoZero"/>
        <c:auto val="1"/>
        <c:lblAlgn val="ctr"/>
        <c:lblOffset val="100"/>
        <c:noMultiLvlLbl val="0"/>
      </c:catAx>
      <c:valAx>
        <c:axId val="1332467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Palatino Linotype" panose="02040502050505030304" pitchFamily="18" charset="0"/>
                    <a:ea typeface="+mn-ea"/>
                    <a:cs typeface="Times New Roman" panose="02020603050405020304" pitchFamily="18" charset="0"/>
                  </a:defRPr>
                </a:pPr>
                <a:r>
                  <a:rPr lang="en-US">
                    <a:latin typeface="Palatino Linotype" panose="02040502050505030304" pitchFamily="18" charset="0"/>
                  </a:rPr>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Palatino Linotype" panose="0204050205050503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Times New Roman" panose="02020603050405020304" pitchFamily="18" charset="0"/>
              </a:defRPr>
            </a:pPr>
            <a:endParaRPr lang="en-US"/>
          </a:p>
        </c:txPr>
        <c:crossAx val="13324662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Sal</b:Tag>
    <b:SourceType>Book</b:SourceType>
    <b:Guid>{8BAE7098-9D6A-4B3F-8B78-802DBB6ADDA3}</b:Guid>
    <b:Author>
      <b:Author>
        <b:NameList>
          <b:Person>
            <b:Last>Salamey</b:Last>
            <b:First>Imad</b:First>
          </b:Person>
        </b:NameList>
      </b:Author>
    </b:Author>
    <b:Title>The Decline of Nation-States after the Arab Spring. The Rise of Communitocracy</b:Title>
    <b:Publisher>Routledge</b:Publisher>
    <b:Year>2017</b:Year>
    <b:RefOrder>2</b:RefOrder>
  </b:Source>
  <b:Source>
    <b:Tag>JSF18</b:Tag>
    <b:SourceType>Report</b:SourceType>
    <b:Guid>{B318A2BF-7180-49A6-9E14-B9C5348043FD}</b:Guid>
    <b:Title>The Economics of Jordanian Remittances: Some Issues We Should be Happy About &amp; Enhance.</b:Title>
    <b:Year>2018</b:Year>
    <b:City>Amman, Jordan</b:City>
    <b:Author>
      <b:Author>
        <b:NameList>
          <b:Person>
            <b:Last>JSF</b:Last>
            <b:First>Jordan</b:First>
            <b:Middle>Strategy Forum</b:Middle>
          </b:Person>
        </b:NameList>
      </b:Author>
    </b:Author>
    <b:RefOrder>3</b:RefOrder>
  </b:Source>
  <b:Source>
    <b:Tag>Wor22</b:Tag>
    <b:SourceType>InternetSite</b:SourceType>
    <b:Guid>{398E910E-9FDE-482F-A924-0134769FAF74}</b:Guid>
    <b:Title>Personal Remittances, received (% of GDP)-Jordan</b:Title>
    <b:Year>2022</b:Year>
    <b:Author>
      <b:Author>
        <b:NameList>
          <b:Person>
            <b:Last>WBG</b:Last>
            <b:First>World</b:First>
            <b:Middle>Bank Group</b:Middle>
          </b:Person>
        </b:NameList>
      </b:Author>
    </b:Author>
    <b:MonthAccessed>January</b:MonthAccessed>
    <b:DayAccessed>25</b:DayAccessed>
    <b:URL>https://data.worldbank.org/indicator/BX.TRF.PWKR.DT.GD.ZS?locations=JO</b:URL>
    <b:RefOrder>4</b:RefOrder>
  </b:Source>
  <b:Source>
    <b:Tag>Pau97</b:Tag>
    <b:SourceType>JournalArticle</b:SourceType>
    <b:Guid>{51CA4F9E-C159-43AF-9372-362DA10D8F20}</b:Guid>
    <b:Author>
      <b:Author>
        <b:NameList>
          <b:Person>
            <b:Last>Paul</b:Last>
            <b:First>Satya</b:First>
          </b:Person>
          <b:Person>
            <b:Last>Kearney</b:Last>
            <b:First>Colm</b:First>
          </b:Person>
          <b:Person>
            <b:Last>Chowdhury</b:Last>
            <b:First>Kabir</b:First>
          </b:Person>
        </b:NameList>
      </b:Author>
    </b:Author>
    <b:Title>Inflation and Economic Growth: a multi-country empirical analysis</b:Title>
    <b:JournalName>Applied Economics </b:JournalName>
    <b:Year>1997</b:Year>
    <b:Volume>29: 1387-1401</b:Volume>
    <b:RefOrder>30</b:RefOrder>
  </b:Source>
  <b:Source>
    <b:Tag>Asa15</b:Tag>
    <b:SourceType>JournalArticle</b:SourceType>
    <b:Guid>{3E8A8CF7-8868-49B9-B0A5-FAFED3709372}</b:Guid>
    <b:Author>
      <b:Author>
        <b:NameList>
          <b:Person>
            <b:Last>Asandului</b:Last>
            <b:First>Mircea</b:First>
          </b:Person>
          <b:Person>
            <b:Last>Lupu</b:Last>
            <b:First>Dan </b:First>
          </b:Person>
        </b:NameList>
      </b:Author>
    </b:Author>
    <b:Title>The Inflation and Economic Growth: Evidence from Romania</b:Title>
    <b:Year>2015</b:Year>
    <b:Publisher>Acta Universitatis Danubius. OEconomica, Danubius University of Galati</b:Publisher>
    <b:Issue>issue 11(3), pages 35-42</b:Issue>
    <b:LCID>en-US</b:LCID>
    <b:RefOrder>1</b:RefOrder>
  </b:Source>
  <b:Source>
    <b:Tag>Val03</b:Tag>
    <b:SourceType>JournalArticle</b:SourceType>
    <b:Guid>{25E62718-1B22-400B-98FD-2D9E0D2E0604}</b:Guid>
    <b:Title>Inflation and economic growth in the long run</b:Title>
    <b:Year>2003</b:Year>
    <b:Author>
      <b:Author>
        <b:NameList>
          <b:Person>
            <b:Last>Valdovinos</b:Last>
            <b:First>Carlos</b:First>
            <b:Middle>G. Ferna´ndez</b:Middle>
          </b:Person>
        </b:NameList>
      </b:Author>
    </b:Author>
    <b:JournalName>Economics Letters </b:JournalName>
    <b:Volume>vol. 80, pages 167-173</b:Volume>
    <b:Issue>issue 2</b:Issue>
    <b:RefOrder>5</b:RefOrder>
  </b:Source>
  <b:Source>
    <b:Tag>Hus11</b:Tag>
    <b:SourceType>JournalArticle</b:SourceType>
    <b:Guid>{27022C80-8AC7-4854-9E24-136804C76587}</b:Guid>
    <b:Author>
      <b:Author>
        <b:NameList>
          <b:Person>
            <b:Last>Hussain</b:Last>
            <b:First>Shahzad,</b:First>
          </b:Person>
          <b:Person>
            <b:Last>Malik</b:Last>
            <b:First>Shahnawaz</b:First>
          </b:Person>
        </b:NameList>
      </b:Author>
    </b:Author>
    <b:Title>Inflation and Economic Growth: Evidence from Pakistan</b:Title>
    <b:JournalName> International Journal of Economics and Finance </b:JournalName>
    <b:Year>2011</b:Year>
    <b:Volume>Vol. 3, No. 5:262-276</b:Volume>
    <b:RefOrder>6</b:RefOrder>
  </b:Source>
  <b:Source>
    <b:Tag>Gue06</b:Tag>
    <b:SourceType>JournalArticle</b:SourceType>
    <b:Guid>{C02788B6-E67F-496B-9F5E-1420A3552274}</b:Guid>
    <b:Author>
      <b:Author>
        <b:NameList>
          <b:Person>
            <b:Last>Guerrero</b:Last>
            <b:First>Federico</b:First>
          </b:Person>
        </b:NameList>
      </b:Author>
    </b:Author>
    <b:Title>Does inflation cause poor long-term growth performance? </b:Title>
    <b:JournalName>Japan and the World Economy </b:JournalName>
    <b:Year>2006</b:Year>
    <b:Pages>Pages 72-89</b:Pages>
    <b:Volume>Volume 18</b:Volume>
    <b:Issue>Issue 1</b:Issue>
    <b:RefOrder>7</b:RefOrder>
  </b:Source>
  <b:Source>
    <b:Tag>Nic04</b:Tag>
    <b:SourceType>JournalArticle</b:SourceType>
    <b:Guid>{2258B1CA-CA13-4147-9A68-341DB377AE2A}</b:Guid>
    <b:Author>
      <b:Author>
        <b:NameList>
          <b:Person>
            <b:Last>Apergis</b:Last>
            <b:First>Nicholas</b:First>
          </b:Person>
        </b:NameList>
      </b:Author>
    </b:Author>
    <b:Title>Inflation, output growth, volatility and causality: evidence from panel data and the G7 countries</b:Title>
    <b:JournalName>Economics Letters</b:JournalName>
    <b:Year>2004</b:Year>
    <b:Pages>185-191</b:Pages>
    <b:Volume>Vol. 83</b:Volume>
    <b:Issue>Issue 2</b:Issue>
    <b:RefOrder>8</b:RefOrder>
  </b:Source>
  <b:Source>
    <b:Tag>Bar13</b:Tag>
    <b:SourceType>JournalArticle</b:SourceType>
    <b:Guid>{4FB4872F-2BE0-4B4E-8F3D-F70BA8AAEE9B}</b:Guid>
    <b:Author>
      <b:Author>
        <b:NameList>
          <b:Person>
            <b:Last>Barro</b:Last>
            <b:First>Robert</b:First>
            <b:Middle>J.</b:Middle>
          </b:Person>
        </b:NameList>
      </b:Author>
    </b:Author>
    <b:Title>Inflation and Economic Growth</b:Title>
    <b:JournalName>Annals of Economics and Finance</b:JournalName>
    <b:Year>2013</b:Year>
    <b:Pages>121-144</b:Pages>
    <b:Volume>14  </b:Volume>
    <b:Issue>1 </b:Issue>
    <b:RefOrder>11</b:RefOrder>
  </b:Source>
  <b:Source>
    <b:Tag>Rob</b:Tag>
    <b:SourceType>JournalArticle</b:SourceType>
    <b:Guid>{D6C490CC-B594-46F2-9C06-28435864700A}</b:Guid>
    <b:Author>
      <b:Author>
        <b:NameList>
          <b:Person>
            <b:Last>Robert</b:Last>
            <b:First>W.</b:First>
          </b:Person>
          <b:Person>
            <b:Last>Alexander</b:Last>
            <b:First> J. </b:First>
          </b:Person>
        </b:NameList>
      </b:Author>
    </b:Author>
    <b:Title>Inflation and economic growth: evidence from a growth equation</b:Title>
    <b:JournalName>Applied Economics, Taylor &amp; Francis Journals,</b:JournalName>
    <b:Pages>Pages 233-238</b:Pages>
    <b:Volume>vol. 29</b:Volume>
    <b:Issue>2</b:Issue>
    <b:Year>1997</b:Year>
    <b:RefOrder>12</b:RefOrder>
  </b:Source>
  <b:Source>
    <b:Tag>Kou12</b:Tag>
    <b:SourceType>JournalArticle</b:SourceType>
    <b:Guid>{49737657-97F9-4CAD-94D7-7DA9758D98DD}</b:Guid>
    <b:Author>
      <b:Author>
        <b:NameList>
          <b:Person>
            <b:Last>Koulakiotis</b:Last>
            <b:First>Athanasios</b:First>
          </b:Person>
          <b:Person>
            <b:Last>Lyroudi</b:Last>
            <b:First>Katerina</b:First>
          </b:Person>
          <b:Person>
            <b:Last>Papasyriopoulos</b:Last>
            <b:First>Nicholas</b:First>
          </b:Person>
        </b:NameList>
      </b:Author>
    </b:Author>
    <b:Title>Inflation, GDP and Causality for European Countries</b:Title>
    <b:JournalName>International Advances in Economic Research </b:JournalName>
    <b:Year>2012</b:Year>
    <b:Pages>53-62</b:Pages>
    <b:Volume>18</b:Volume>
    <b:RefOrder>14</b:RefOrder>
  </b:Source>
  <b:Source>
    <b:Tag>Ahm05</b:Tag>
    <b:SourceType>Report</b:SourceType>
    <b:Guid>{4CC3EF5A-9BB9-47B5-A6A9-DF49E556019B}</b:Guid>
    <b:Title>Inflation and Economic Growth in Bangladesh: 1981-2005</b:Title>
    <b:JournalName>Policy Analysis Unit Working Paper Series</b:JournalName>
    <b:Year>2005</b:Year>
    <b:Publisher>Research Department, Bangladesh Bank. Working Paper Series: WP 0604</b:Publisher>
    <b:Author>
      <b:Author>
        <b:NameList>
          <b:Person>
            <b:Last>Ahmed</b:Last>
            <b:First>Shamim</b:First>
          </b:Person>
          <b:Person>
            <b:Last>Mortaza</b:Last>
            <b:First>Md. Golam</b:First>
          </b:Person>
        </b:NameList>
      </b:Author>
    </b:Author>
    <b:RefOrder>16</b:RefOrder>
  </b:Source>
  <b:Source>
    <b:Tag>Mal01</b:Tag>
    <b:SourceType>JournalArticle</b:SourceType>
    <b:Guid>{94DB39E6-AF4E-4AAA-B082-9985FDD72626}</b:Guid>
    <b:Author>
      <b:Author>
        <b:NameList>
          <b:Person>
            <b:Last>Mallik</b:Last>
            <b:First>Girijasankar</b:First>
          </b:Person>
          <b:Person>
            <b:Last>Chowdhury</b:Last>
            <b:First>Anis </b:First>
          </b:Person>
        </b:NameList>
      </b:Author>
    </b:Author>
    <b:Title>Inflation and Economic Growth Evidence from Four South Asian Countries</b:Title>
    <b:JournalName>Asia-Pacific Development Journal</b:JournalName>
    <b:Year>2001</b:Year>
    <b:Volume>Vol. 8, No. 1</b:Volume>
    <b:RefOrder>18</b:RefOrder>
  </b:Source>
  <b:Source>
    <b:Tag>Hwa07</b:Tag>
    <b:SourceType>JournalArticle</b:SourceType>
    <b:Guid>{299383A3-17B6-4FED-AB78-2042B2963493}</b:Guid>
    <b:Author>
      <b:Author>
        <b:NameList>
          <b:Person>
            <b:Last>Hwang</b:Last>
            <b:First>Y.</b:First>
          </b:Person>
        </b:NameList>
      </b:Author>
    </b:Author>
    <b:Title>Causality between inflation and real growth</b:Title>
    <b:JournalName>Economics Letters </b:JournalName>
    <b:Year>2007</b:Year>
    <b:Pages>146–153</b:Pages>
    <b:Volume>94</b:Volume>
    <b:RefOrder>19</b:RefOrder>
  </b:Source>
  <b:Source>
    <b:Tag>Swe04</b:Tag>
    <b:SourceType>JournalArticle</b:SourceType>
    <b:Guid>{D75D05A1-2293-485A-BD0A-4640E7107D93}</b:Guid>
    <b:Author>
      <b:Author>
        <b:NameList>
          <b:Person>
            <b:Last>Sweidan</b:Last>
            <b:First>Osama</b:First>
            <b:Middle>D.</b:Middle>
          </b:Person>
        </b:NameList>
      </b:Author>
    </b:Author>
    <b:Title>Does Inflation Harm Economic Growth in Jordan?  An Econometric Analysis for the Period 1970-2000</b:Title>
    <b:JournalName>International Journal of Applied Econometrics and Quantitative Studies</b:JournalName>
    <b:Year>2004</b:Year>
    <b:Pages>41-66</b:Pages>
    <b:Volume>1-2</b:Volume>
    <b:RefOrder>20</b:RefOrder>
  </b:Source>
  <b:Source>
    <b:Tag>Gil10</b:Tag>
    <b:SourceType>JournalArticle</b:SourceType>
    <b:Guid>{282DF34B-12F1-44BF-938E-29F871BC893E}</b:Guid>
    <b:Author>
      <b:Author>
        <b:NameList>
          <b:Person>
            <b:Last>Gillman</b:Last>
            <b:First>Max</b:First>
          </b:Person>
          <b:Person>
            <b:Last>Harris</b:Last>
            <b:First>Mark</b:First>
            <b:Middle>N.</b:Middle>
          </b:Person>
        </b:NameList>
      </b:Author>
    </b:Author>
    <b:Title>The effect of inflation on growth. Evidence from a panel of transition countries</b:Title>
    <b:JournalName>Economics of Transition</b:JournalName>
    <b:Year>2010</b:Year>
    <b:Pages>697-714</b:Pages>
    <b:Volume>18(4)</b:Volume>
    <b:RefOrder>22</b:RefOrder>
  </b:Source>
  <b:Source>
    <b:Tag>Odh13</b:Tag>
    <b:SourceType>JournalArticle</b:SourceType>
    <b:Guid>{5994CE14-F7F2-43D5-B370-71B6869842EE}</b:Guid>
    <b:Author>
      <b:Author>
        <b:NameList>
          <b:Person>
            <b:Last>Odhiambo</b:Last>
          </b:Person>
          <b:Person>
            <b:Last>M.</b:Last>
            <b:First>Nicholas</b:First>
          </b:Person>
        </b:NameList>
      </b:Author>
    </b:Author>
    <b:Title>Inflation and economic growth in South Africa: an empirical investigation </b:Title>
    <b:JournalName>Economics, Management, and Financial Markets</b:JournalName>
    <b:Year>2013</b:Year>
    <b:Pages>27-41</b:Pages>
    <b:Volume>8(4): </b:Volume>
    <b:RefOrder>23</b:RefOrder>
  </b:Source>
  <b:Source>
    <b:Tag>HeQ16</b:Tag>
    <b:SourceType>JournalArticle</b:SourceType>
    <b:Guid>{163502A5-45D0-4213-B885-619E158363F3}</b:Guid>
    <b:Author>
      <b:Author>
        <b:NameList>
          <b:Person>
            <b:Last>He</b:Last>
            <b:First>Qichun</b:First>
          </b:Person>
          <b:Person>
            <b:Last>Zou</b:Last>
            <b:First>Heng-fu</b:First>
          </b:Person>
        </b:NameList>
      </b:Author>
    </b:Author>
    <b:Title>Does inflation cause growth in the reform-era China? Theory and evidence</b:Title>
    <b:JournalName>International Review of Economics and Finance </b:JournalName>
    <b:Year>2016</b:Year>
    <b:Pages>470–484</b:Pages>
    <b:Volume>45: </b:Volume>
    <b:RefOrder>25</b:RefOrder>
  </b:Source>
  <b:Source>
    <b:Tag>Saa07</b:Tag>
    <b:SourceType>JournalArticle</b:SourceType>
    <b:Guid>{BF4B9754-2AC6-4F76-824D-EE8E58F4AD31}</b:Guid>
    <b:Author>
      <b:Author>
        <b:NameList>
          <b:Person>
            <b:Last>Saaed</b:Last>
            <b:First>Afaf</b:First>
            <b:Middle>A. J.</b:Middle>
          </b:Person>
        </b:NameList>
      </b:Author>
    </b:Author>
    <b:Title>Inflation and Economic Growth in Kuwait: 1985-2005 - Evidence from Co-Integration and Error Correction Model</b:Title>
    <b:JournalName>Applied Econometrics and International Development </b:JournalName>
    <b:Year>2007</b:Year>
    <b:Volume>7-1:143-155</b:Volume>
    <b:RefOrder>24</b:RefOrder>
  </b:Source>
  <b:Source>
    <b:Tag>Jay13</b:Tag>
    <b:SourceType>JournalArticle</b:SourceType>
    <b:Guid>{9B1E3A09-7368-41E2-A3C6-BD6792791721}</b:Guid>
    <b:Author>
      <b:Author>
        <b:NameList>
          <b:Person>
            <b:Last>Jayathileke</b:Last>
            <b:First>Pradana</b:First>
            <b:Middle>M. Bandula</b:Middle>
          </b:Person>
          <b:Person>
            <b:Last>Rathnayake</b:Last>
            <b:First>Rathnayaka</b:First>
            <b:Middle>M. Kapila Tharanga</b:Middle>
          </b:Person>
        </b:NameList>
      </b:Author>
    </b:Author>
    <b:Title>Testing the Link between Inflation and Economic Growth: Evidence from Asia </b:Title>
    <b:JournalName>Modern Economy</b:JournalName>
    <b:Year>2013</b:Year>
    <b:Volume>4, 87-92</b:Volume>
    <b:RefOrder>26</b:RefOrder>
  </b:Source>
  <b:Source>
    <b:Tag>Eki20</b:Tag>
    <b:SourceType>JournalArticle</b:SourceType>
    <b:Guid>{EB86CA93-DE7E-41B0-8198-72BD650B1DC7}</b:Guid>
    <b:Author>
      <b:Author>
        <b:NameList>
          <b:Person>
            <b:Last>Ekinci</b:Last>
            <b:First>Ramazan</b:First>
          </b:Person>
          <b:Person>
            <b:Last>Tüzün</b:Last>
            <b:First>Osman</b:First>
          </b:Person>
          <b:Person>
            <b:Last>Ceylan</b:Last>
            <b:First>Fatih</b:First>
          </b:Person>
        </b:NameList>
      </b:Author>
    </b:Author>
    <b:Title>The relationship between inflation and economic growth: Experiences of some inflation targeting countries</b:Title>
    <b:JournalName>Financial Studies </b:JournalName>
    <b:Year>2020</b:Year>
    <b:Volume>24 (1): 6-20</b:Volume>
    <b:RefOrder>28</b:RefOrder>
  </b:Source>
  <b:Source>
    <b:Tag>Man14</b:Tag>
    <b:SourceType>JournalArticle</b:SourceType>
    <b:Guid>{7A43D0D4-0AC3-435E-B1F2-D33DE26922DA}</b:Guid>
    <b:Author>
      <b:Author>
        <b:NameList>
          <b:Person>
            <b:Last>Manamperi</b:Last>
            <b:First>Nimantha</b:First>
          </b:Person>
        </b:NameList>
      </b:Author>
    </b:Author>
    <b:Title> The short and long-run dynamics between inflation and economic growth in BRICS</b:Title>
    <b:JournalName>Applied Economics Letters</b:JournalName>
    <b:Year>2014</b:Year>
    <b:Volume>21(2):140–145.</b:Volume>
    <b:RefOrder>33</b:RefOrder>
  </b:Source>
  <b:Source>
    <b:Tag>Bit15</b:Tag>
    <b:SourceType>JournalArticle</b:SourceType>
    <b:Guid>{33B6DDFC-9E89-4785-BA98-E3046A5D6019}</b:Guid>
    <b:Author>
      <b:Author>
        <b:NameList>
          <b:Person>
            <b:Last>Bittencourt</b:Last>
            <b:First>Manoel</b:First>
          </b:Person>
          <b:Person>
            <b:Last>Van Eyden</b:Last>
            <b:First>Renee</b:First>
          </b:Person>
          <b:Person>
            <b:Last>Seleteng</b:Last>
            <b:First>Monaheng</b:First>
          </b:Person>
        </b:NameList>
      </b:Author>
    </b:Author>
    <b:Title>Inflation and Economic Growth: Evidence from the Southern Africa Development Community</b:Title>
    <b:JournalName>South African Journal of Economics </b:JournalName>
    <b:Year>2015</b:Year>
    <b:Volume>83(3):411-424</b:Volume>
    <b:RefOrder>40</b:RefOrder>
  </b:Source>
  <b:Source>
    <b:Tag>Beh14</b:Tag>
    <b:SourceType>JournalArticle</b:SourceType>
    <b:Guid>{0105840A-9A95-4741-88D8-147105CFA8B9}</b:Guid>
    <b:Author>
      <b:Author>
        <b:NameList>
          <b:Person>
            <b:Last>Behera</b:Last>
            <b:First>Jaganath</b:First>
          </b:Person>
        </b:NameList>
      </b:Author>
    </b:Author>
    <b:Title>Inflation and its Impact on Economic Growth: Evidence from Six South Asian Countries</b:Title>
    <b:JournalName>Journal of Economics and Sustainable Development</b:JournalName>
    <b:Year>2014</b:Year>
    <b:Volume>Vol.5, No.7</b:Volume>
    <b:RefOrder>35</b:RefOrder>
  </b:Source>
  <b:Source>
    <b:Tag>Dog12</b:Tag>
    <b:SourceType>JournalArticle</b:SourceType>
    <b:Guid>{A6C11597-7E10-4FF1-AD72-06D6C1A3658C}</b:Guid>
    <b:Author>
      <b:Author>
        <b:NameList>
          <b:Person>
            <b:Last>Chimobi</b:Last>
            <b:First>Omoke</b:First>
            <b:Middle>Philip</b:Middle>
          </b:Person>
        </b:NameList>
      </b:Author>
    </b:Author>
    <b:Title>Inflation and Economic Growth in Nigeria.</b:Title>
    <b:Year>2010</b:Year>
    <b:JournalName>Journal   ofSustainable Development</b:JournalName>
    <b:Volume>Vol. 3 : No. 2</b:Volume>
    <b:Pages>159-166</b:Pages>
    <b:RefOrder>17</b:RefOrder>
  </b:Source>
  <b:Source>
    <b:Tag>Doa20</b:Tag>
    <b:SourceType>JournalArticle</b:SourceType>
    <b:Guid>{8B2281C9-F670-4F28-B048-167CB9E79F90}</b:Guid>
    <b:Author>
      <b:Author>
        <b:NameList>
          <b:Person>
            <b:Last>Dinh</b:Last>
            <b:First>Doan</b:First>
            <b:Middle>Van</b:Middle>
          </b:Person>
        </b:NameList>
      </b:Author>
    </b:Author>
    <b:Title>Impulse Response of Inflation to Economic Growth Dynamics: VAR Model Analysis</b:Title>
    <b:JournalName>Journal of Asian Finance, Economics and Business</b:JournalName>
    <b:Year>2020</b:Year>
    <b:Pages>219–228</b:Pages>
    <b:Volume>Vol.7, No.9</b:Volume>
    <b:RefOrder>27</b:RefOrder>
  </b:Source>
  <b:Source>
    <b:Tag>Mol11</b:Tag>
    <b:SourceType>JournalArticle</b:SourceType>
    <b:Guid>{794D0E28-B8A2-4FE6-BD1B-CF8C9D339CA5}</b:Guid>
    <b:Author>
      <b:Author>
        <b:NameList>
          <b:Person>
            <b:Last>Mollick</b:Last>
            <b:First>André</b:First>
            <b:Middle>Varella</b:Middle>
          </b:Person>
          <b:Person>
            <b:Last>Cabral b</b:Last>
            <b:First>René </b:First>
          </b:Person>
          <b:Person>
            <b:Last>Carneiro</b:Last>
            <b:First>Francisco G. </b:First>
          </b:Person>
        </b:NameList>
      </b:Author>
    </b:Author>
    <b:Title>Does inflation targeting matter for output growth? Evidence from industrial and emerging economies</b:Title>
    <b:JournalName>Journal of Policy Modeling</b:JournalName>
    <b:Year>2011</b:Year>
    <b:Pages>537–551</b:Pages>
    <b:Volume>Volume 33</b:Volume>
    <b:Issue>Issue 4</b:Issue>
    <b:RefOrder>29</b:RefOrder>
  </b:Source>
  <b:Source>
    <b:Tag>Bit151</b:Tag>
    <b:SourceType>JournalArticle</b:SourceType>
    <b:Guid>{059F0187-D5FF-4D13-90DB-B1E464E46724}</b:Guid>
    <b:Author>
      <b:Author>
        <b:NameList>
          <b:Person>
            <b:Last>Bittencourt</b:Last>
            <b:First>Manoel</b:First>
          </b:Person>
          <b:Person>
            <b:Last>van Eyden </b:Last>
            <b:First>Reneé </b:First>
          </b:Person>
          <b:Person>
            <b:Last>Seleteng</b:Last>
            <b:First>Monaheng </b:First>
          </b:Person>
        </b:NameList>
      </b:Author>
    </b:Author>
    <b:Title>Inflation and Economic Growth: Evidence from the Southern African Development Community</b:Title>
    <b:JournalName>South African Journal of Economics</b:JournalName>
    <b:Year>2015</b:Year>
    <b:Volume> Vol. 83:3</b:Volume>
    <b:RefOrder>38</b:RefOrder>
  </b:Source>
  <b:Source>
    <b:Tag>Car03</b:Tag>
    <b:SourceType>JournalArticle</b:SourceType>
    <b:Guid>{B394B776-1CF4-4FD7-B9ED-977385779267}</b:Guid>
    <b:Author>
      <b:Author>
        <b:NameList>
          <b:Person>
            <b:Last>Valdovinos</b:Last>
            <b:First>Carlos</b:First>
            <b:Middle>G. Ferna´ndez</b:Middle>
          </b:Person>
        </b:NameList>
      </b:Author>
    </b:Author>
    <b:Title>I nflation and economic growth in the long run</b:Title>
    <b:JournalName>Economics Letters</b:JournalName>
    <b:Year>2003</b:Year>
    <b:Pages>167–173</b:Pages>
    <b:Volume>80 </b:Volume>
    <b:RefOrder>41</b:RefOrder>
  </b:Source>
  <b:Source>
    <b:Tag>Inf</b:Tag>
    <b:SourceType>JournalArticle</b:SourceType>
    <b:Guid>{BF7F9043-8A1C-4413-BC46-49676C387C80}</b:Guid>
    <b:Title>Inflation Thresholds and Economic Growth: Evidence from Nigeria</b:Title>
    <b:Author>
      <b:Author>
        <b:NameList>
          <b:Person>
            <b:Last>Ajide</b:Last>
            <b:First>Kazeem</b:First>
            <b:Middle>Bello</b:Middle>
          </b:Person>
          <b:Person>
            <b:Last>Lawanson</b:Last>
            <b:First>Olukemi </b:First>
          </b:Person>
        </b:NameList>
      </b:Author>
    </b:Author>
    <b:JournalName>Asian Economic and Financial Review</b:JournalName>
    <b:Year>2011</b:Year>
    <b:Pages>876-901</b:Pages>
    <b:Volume>Vol.2, No.7</b:Volume>
    <b:RefOrder>31</b:RefOrder>
  </b:Source>
  <b:Source>
    <b:Tag>Shi141</b:Tag>
    <b:SourceType>JournalArticle</b:SourceType>
    <b:Guid>{455DDBC0-5D4D-47F7-9235-5543A25E94B2}</b:Guid>
    <b:Author>
      <b:Author>
        <b:NameList>
          <b:Person>
            <b:Last>Abu Shihab</b:Last>
            <b:First>Ruba</b:First>
          </b:Person>
        </b:NameList>
      </b:Author>
    </b:Author>
    <b:Title>The Causal Relationship between Fiscal Policy and Economic Growth in Jordan</b:Title>
    <b:JournalName>International Journal of Business and Social Science</b:JournalName>
    <b:Year>2014</b:Year>
    <b:Volume>5 (3)</b:Volume>
    <b:Pages>203-208</b:Pages>
    <b:RefOrder>21</b:RefOrder>
  </b:Source>
  <b:Source>
    <b:Tag>Ayd16</b:Tag>
    <b:SourceType>JournalArticle</b:SourceType>
    <b:Guid>{D3E26FD0-B1CA-41D7-B783-A7A93355A776}</b:Guid>
    <b:Author>
      <b:Author>
        <b:NameList>
          <b:Person>
            <b:Last>Aydına</b:Last>
            <b:First>Celil</b:First>
          </b:Person>
          <b:Person>
            <b:Last>Esenb </b:Last>
            <b:First>Ömer </b:First>
          </b:Person>
          <b:Person>
            <b:Last>Bayrakc</b:Last>
            <b:First>Metin </b:First>
          </b:Person>
        </b:NameList>
      </b:Author>
    </b:Author>
    <b:Title>Inflation and Economic Growth: A Dynamic Panel Threshold Analysis for Turkish Republics in Transition Process</b:Title>
    <b:JournalName>Procedia - Social and Behavioral Sciences </b:JournalName>
    <b:Year>2016 </b:Year>
    <b:Pages>196 – 205</b:Pages>
    <b:Volume>229  </b:Volume>
    <b:RefOrder>13</b:RefOrder>
  </b:Source>
  <b:Source>
    <b:Tag>Car15</b:Tag>
    <b:SourceType>JournalArticle</b:SourceType>
    <b:Guid>{B2A137CC-AB1B-4FE4-9699-0596255115C2}</b:Guid>
    <b:Author>
      <b:Author>
        <b:NameList>
          <b:Person>
            <b:Last>Baltar</b:Last>
            <b:First>Carolina</b:First>
            <b:Middle>Troncoso</b:Middle>
          </b:Person>
        </b:NameList>
      </b:Author>
    </b:Author>
    <b:Title>Inflation and economic growth in an open developing country: the case of Brazil</b:Title>
    <b:JournalName>Cambridge Journal of Economics, Published By: Oxford University Press</b:JournalName>
    <b:Year>2015</b:Year>
    <b:Pages>pp. 1263-1280 (18 pages)</b:Pages>
    <b:Volume>Vol. 39, No. 5</b:Volume>
    <b:RefOrder>37</b:RefOrder>
  </b:Source>
  <b:Source>
    <b:Tag>Has11</b:Tag>
    <b:SourceType>JournalArticle</b:SourceType>
    <b:Guid>{CE73A767-A274-4AA3-B00C-0702B1999D46}</b:Guid>
    <b:Author>
      <b:Author>
        <b:NameList>
          <b:Person>
            <b:Last>Hasanov</b:Last>
            <b:First>Mübariz</b:First>
          </b:Person>
          <b:Person>
            <b:Last>Omay</b:Last>
            <b:First>Tolga </b:First>
          </b:Person>
        </b:NameList>
      </b:Author>
    </b:Author>
    <b:Title>The Relationship Between Inflation, Output Growth, and Their Uncertainties: Evidence from Selected CEE Countries</b:Title>
    <b:JournalName>Emerging Markets Finance &amp; Trade. Published By: Taylor &amp; Francis, Ltd.</b:JournalName>
    <b:Year>2011</b:Year>
    <b:Pages>pp. 5-20 (16 pages)</b:Pages>
    <b:Volume>Vol. 47, Supplement 3</b:Volume>
    <b:RefOrder>32</b:RefOrder>
  </b:Source>
  <b:Source>
    <b:Tag>Jun86</b:Tag>
    <b:SourceType>JournalArticle</b:SourceType>
    <b:Guid>{9DD1AE46-8307-4BD7-A424-1361AC9119E3}</b:Guid>
    <b:Author>
      <b:Author>
        <b:NameList>
          <b:Person>
            <b:Last>Jung</b:Last>
            <b:First>Woo</b:First>
            <b:Middle>S.</b:Middle>
          </b:Person>
          <b:Person>
            <b:Last>Marshall</b:Last>
            <b:First>Peyton J. </b:First>
          </b:Person>
        </b:NameList>
      </b:Author>
    </b:Author>
    <b:Title>Inflation and Economic Growth: Some International Evidence on Structuralist and Distortionist Positions: Note</b:Title>
    <b:JournalName>ournal of Money, Credit and Banking. Published By: Ohio State University Press</b:JournalName>
    <b:Year>1986</b:Year>
    <b:Pages>pp. 227-232 (6 pages)</b:Pages>
    <b:Volume>Vol. 18, No. 2  </b:Volume>
    <b:RefOrder>39</b:RefOrder>
  </b:Source>
  <b:Source>
    <b:Tag>Cuk86</b:Tag>
    <b:SourceType>JournalArticle</b:SourceType>
    <b:Guid>{53913BD2-D45C-48D6-AFE5-AD4A037E696F}</b:Guid>
    <b:Author>
      <b:Author>
        <b:NameList>
          <b:Person>
            <b:Last>Cukierman</b:Last>
            <b:First>Alex</b:First>
          </b:Person>
          <b:Person>
            <b:Last>Meltzer</b:Last>
            <b:First>Allan H. </b:First>
          </b:Person>
        </b:NameList>
      </b:Author>
    </b:Author>
    <b:Title>A Theory of Ambiguity, Credibility, and Inflation under Discretion and Asymmetric Information</b:Title>
    <b:JournalName>Econometrica - Published By: The Econometric Society</b:JournalName>
    <b:Year>1986</b:Year>
    <b:Pages>pp. 1099-1128 (30 pages)</b:Pages>
    <b:Volume>Vol. 54, No. 5 </b:Volume>
    <b:RefOrder>10</b:RefOrder>
  </b:Source>
  <b:Source>
    <b:Tag>Fri77</b:Tag>
    <b:SourceType>JournalArticle</b:SourceType>
    <b:Guid>{DE3941EA-D378-43D5-BCA1-1F5C9B772F8F}</b:Guid>
    <b:Author>
      <b:Author>
        <b:NameList>
          <b:Person>
            <b:Last>Friedman</b:Last>
            <b:First>Milton</b:First>
          </b:Person>
        </b:NameList>
      </b:Author>
    </b:Author>
    <b:Title>Nobel lecture: inflation and unemployment.</b:Title>
    <b:JournalName>Journal of Political Economy </b:JournalName>
    <b:Year>1977</b:Year>
    <b:Pages>pp. 451-472 (22 pages)</b:Pages>
    <b:Volume>Vol. 85, No. 3</b:Volume>
    <b:RefOrder>9</b:RefOrder>
  </b:Source>
  <b:Source>
    <b:Tag>Hwa</b:Tag>
    <b:SourceType>JournalArticle</b:SourceType>
    <b:Guid>{B9C6E321-7D4C-479B-8896-C99F3C75D8BF}</b:Guid>
    <b:Author>
      <b:Author>
        <b:NameList>
          <b:Person>
            <b:Last>Hwang</b:Last>
            <b:First>Jen‐Te</b:First>
          </b:Person>
          <b:Person>
            <b:Last>Wu</b:Last>
            <b:First>Ming‐Jia</b:First>
          </b:Person>
        </b:NameList>
      </b:Author>
    </b:Author>
    <b:Title>Inflation and Economic Growth in China: An Empirical Analysis</b:Title>
    <b:JournalName>China &amp; World Economy</b:JournalName>
    <b:Pages>67-84</b:Pages>
    <b:Volume>19</b:Volume>
    <b:Issue>5</b:Issue>
    <b:Year>2011</b:Year>
    <b:RefOrder>15</b:RefOrder>
  </b:Source>
  <b:Source>
    <b:Tag>Hos12</b:Tag>
    <b:SourceType>JournalArticle</b:SourceType>
    <b:Guid>{D99EC2DE-AE86-4459-9651-49625968056D}</b:Guid>
    <b:Author>
      <b:Author>
        <b:NameList>
          <b:Person>
            <b:Last>Hossain</b:Last>
            <b:First>Elias</b:First>
          </b:Person>
          <b:Person>
            <b:Last>Ghosh</b:Last>
            <b:First>Bikash</b:First>
            <b:Middle>Chandra</b:Middle>
          </b:Person>
          <b:Person>
            <b:Last>Islam</b:Last>
            <b:First>Khairul</b:First>
          </b:Person>
        </b:NameList>
      </b:Author>
    </b:Author>
    <b:Title>Inflation and Economic Growth in Bangladesh</b:Title>
    <b:JournalName>Researchers World -Journal of Arts, Science &amp; Commerce</b:JournalName>
    <b:Year>2012</b:Year>
    <b:Pages>85-92</b:Pages>
    <b:Volume>Vol.3</b:Volume>
    <b:Issue>Iss.4</b:Issue>
    <b:RefOrder>34</b:RefOrder>
  </b:Source>
  <b:Source>
    <b:Tag>Jos93</b:Tag>
    <b:SourceType>JournalArticle</b:SourceType>
    <b:Guid>{FAC906B7-A9E9-4887-AAC2-0FA4E59C4299}</b:Guid>
    <b:Author>
      <b:Author>
        <b:NameList>
          <b:Person>
            <b:Last>Gregorio</b:Last>
            <b:First>JoséDe</b:First>
          </b:Person>
        </b:NameList>
      </b:Author>
    </b:Author>
    <b:Title>Inflation, taxation, and long-run growth</b:Title>
    <b:JournalName>Journal of Monetary Economics</b:JournalName>
    <b:Year>1993</b:Year>
    <b:Pages>Pages 271-298</b:Pages>
    <b:Volume>Volume 31</b:Volume>
    <b:Issue>Issue 3</b:Issue>
    <b:RefOrder>36</b:RefOrder>
  </b:Source>
</b:Sources>
</file>

<file path=customXml/itemProps1.xml><?xml version="1.0" encoding="utf-8"?>
<ds:datastoreItem xmlns:ds="http://schemas.openxmlformats.org/officeDocument/2006/customXml" ds:itemID="{903DEF3A-319D-4FB8-8841-6DDDF183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14</Pages>
  <Words>6147</Words>
  <Characters>40084</Characters>
  <Application>Microsoft Office Word</Application>
  <DocSecurity>0</DocSecurity>
  <Lines>890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Najem</dc:creator>
  <cp:keywords/>
  <dc:description/>
  <cp:lastModifiedBy>Dr.Rasha</cp:lastModifiedBy>
  <cp:revision>47</cp:revision>
  <dcterms:created xsi:type="dcterms:W3CDTF">2023-06-04T08:25:00Z</dcterms:created>
  <dcterms:modified xsi:type="dcterms:W3CDTF">2023-06-21T13:13:00Z</dcterms:modified>
</cp:coreProperties>
</file>