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4" w:rsidRDefault="00AF0244" w:rsidP="005947B4">
      <w:pPr>
        <w:spacing w:line="360" w:lineRule="auto"/>
        <w:rPr>
          <w:rFonts w:asciiTheme="majorBidi" w:hAnsiTheme="majorBidi" w:cstheme="majorBidi"/>
          <w:sz w:val="28"/>
          <w:szCs w:val="28"/>
        </w:rPr>
      </w:pPr>
    </w:p>
    <w:p w:rsidR="00B53741" w:rsidRDefault="00B53741" w:rsidP="005947B4">
      <w:pPr>
        <w:spacing w:line="360" w:lineRule="auto"/>
        <w:jc w:val="center"/>
        <w:rPr>
          <w:rFonts w:asciiTheme="majorBidi" w:hAnsiTheme="majorBidi" w:cstheme="majorBidi"/>
          <w:sz w:val="28"/>
          <w:szCs w:val="28"/>
        </w:rPr>
      </w:pPr>
    </w:p>
    <w:p w:rsidR="0036437D" w:rsidRDefault="0036437D" w:rsidP="005947B4">
      <w:pPr>
        <w:spacing w:line="360" w:lineRule="auto"/>
        <w:jc w:val="center"/>
        <w:rPr>
          <w:rFonts w:asciiTheme="majorBidi" w:hAnsiTheme="majorBidi" w:cstheme="majorBidi"/>
          <w:sz w:val="28"/>
          <w:szCs w:val="28"/>
        </w:rPr>
      </w:pPr>
    </w:p>
    <w:p w:rsidR="00A57D02" w:rsidRDefault="00A57D02" w:rsidP="005947B4">
      <w:pPr>
        <w:spacing w:line="360" w:lineRule="auto"/>
        <w:jc w:val="center"/>
        <w:rPr>
          <w:rFonts w:asciiTheme="majorBidi" w:hAnsiTheme="majorBidi" w:cstheme="majorBidi"/>
          <w:sz w:val="28"/>
          <w:szCs w:val="28"/>
        </w:rPr>
      </w:pPr>
    </w:p>
    <w:p w:rsidR="00A57D02" w:rsidRDefault="00A94269" w:rsidP="00A94269">
      <w:pPr>
        <w:spacing w:line="360" w:lineRule="auto"/>
        <w:jc w:val="center"/>
        <w:rPr>
          <w:rFonts w:asciiTheme="majorBidi" w:hAnsiTheme="majorBidi" w:cstheme="majorBidi"/>
          <w:sz w:val="28"/>
          <w:szCs w:val="28"/>
        </w:rPr>
      </w:pPr>
      <w:r>
        <w:rPr>
          <w:rFonts w:asciiTheme="majorBidi" w:hAnsiTheme="majorBidi" w:cstheme="majorBidi"/>
          <w:sz w:val="28"/>
          <w:szCs w:val="28"/>
        </w:rPr>
        <w:t>Technical efficiency of banks and t</w:t>
      </w:r>
      <w:r w:rsidR="00A57D02">
        <w:rPr>
          <w:rFonts w:asciiTheme="majorBidi" w:hAnsiTheme="majorBidi" w:cstheme="majorBidi"/>
          <w:sz w:val="28"/>
          <w:szCs w:val="28"/>
        </w:rPr>
        <w:t xml:space="preserve">he effects of </w:t>
      </w:r>
      <w:r>
        <w:rPr>
          <w:rFonts w:asciiTheme="majorBidi" w:hAnsiTheme="majorBidi" w:cstheme="majorBidi"/>
          <w:sz w:val="28"/>
          <w:szCs w:val="28"/>
        </w:rPr>
        <w:t>risk factors</w:t>
      </w:r>
      <w:r w:rsidR="00A57D02">
        <w:rPr>
          <w:rFonts w:asciiTheme="majorBidi" w:hAnsiTheme="majorBidi" w:cstheme="majorBidi"/>
          <w:sz w:val="28"/>
          <w:szCs w:val="28"/>
        </w:rPr>
        <w:t xml:space="preserve"> on the</w:t>
      </w:r>
      <w:r>
        <w:rPr>
          <w:rFonts w:asciiTheme="majorBidi" w:hAnsiTheme="majorBidi" w:cstheme="majorBidi"/>
          <w:sz w:val="28"/>
          <w:szCs w:val="28"/>
        </w:rPr>
        <w:t xml:space="preserve"> bank efficiency</w:t>
      </w:r>
      <w:r w:rsidR="00A57D02">
        <w:rPr>
          <w:rFonts w:asciiTheme="majorBidi" w:hAnsiTheme="majorBidi" w:cstheme="majorBidi"/>
          <w:sz w:val="28"/>
          <w:szCs w:val="28"/>
        </w:rPr>
        <w:t xml:space="preserve"> in Gulf Cooperation Council Countries</w:t>
      </w:r>
      <w:r w:rsidR="00D20745">
        <w:rPr>
          <w:rFonts w:asciiTheme="majorBidi" w:hAnsiTheme="majorBidi" w:cstheme="majorBidi"/>
          <w:sz w:val="28"/>
          <w:szCs w:val="28"/>
        </w:rPr>
        <w:t xml:space="preserve"> </w:t>
      </w:r>
    </w:p>
    <w:p w:rsidR="00A57D02" w:rsidRDefault="00A57D02" w:rsidP="005947B4">
      <w:pPr>
        <w:spacing w:line="360" w:lineRule="auto"/>
        <w:jc w:val="center"/>
        <w:rPr>
          <w:rFonts w:asciiTheme="majorBidi" w:hAnsiTheme="majorBidi" w:cstheme="majorBidi"/>
          <w:sz w:val="28"/>
          <w:szCs w:val="28"/>
        </w:rPr>
      </w:pPr>
    </w:p>
    <w:p w:rsidR="00A57D02" w:rsidRDefault="00A57D02" w:rsidP="005947B4">
      <w:pPr>
        <w:spacing w:line="360" w:lineRule="auto"/>
        <w:jc w:val="center"/>
        <w:rPr>
          <w:rFonts w:asciiTheme="majorBidi" w:hAnsiTheme="majorBidi" w:cstheme="majorBidi"/>
          <w:sz w:val="28"/>
          <w:szCs w:val="28"/>
        </w:rPr>
      </w:pPr>
    </w:p>
    <w:p w:rsidR="00A57D02" w:rsidRDefault="00A57D02" w:rsidP="005947B4">
      <w:pPr>
        <w:spacing w:line="360" w:lineRule="auto"/>
        <w:jc w:val="center"/>
        <w:rPr>
          <w:rFonts w:asciiTheme="majorBidi" w:hAnsiTheme="majorBidi" w:cstheme="majorBidi"/>
          <w:sz w:val="28"/>
          <w:szCs w:val="28"/>
        </w:rPr>
      </w:pPr>
    </w:p>
    <w:p w:rsidR="00A57D02" w:rsidRDefault="00A57D02" w:rsidP="005947B4">
      <w:pPr>
        <w:spacing w:line="360" w:lineRule="auto"/>
        <w:jc w:val="center"/>
        <w:rPr>
          <w:rFonts w:asciiTheme="majorBidi" w:hAnsiTheme="majorBidi" w:cstheme="majorBidi"/>
          <w:sz w:val="28"/>
          <w:szCs w:val="28"/>
        </w:rPr>
      </w:pPr>
    </w:p>
    <w:p w:rsidR="00A57D02" w:rsidRDefault="00A57D02" w:rsidP="005947B4">
      <w:pPr>
        <w:spacing w:line="360" w:lineRule="auto"/>
        <w:jc w:val="center"/>
        <w:rPr>
          <w:rFonts w:asciiTheme="majorBidi" w:hAnsiTheme="majorBidi" w:cstheme="majorBidi"/>
          <w:sz w:val="28"/>
          <w:szCs w:val="28"/>
        </w:rPr>
      </w:pPr>
    </w:p>
    <w:p w:rsidR="00A57D02" w:rsidRPr="00EB1996" w:rsidRDefault="00A57D02" w:rsidP="005947B4">
      <w:pPr>
        <w:spacing w:line="360" w:lineRule="auto"/>
        <w:jc w:val="center"/>
        <w:rPr>
          <w:rFonts w:asciiTheme="majorBidi" w:hAnsiTheme="majorBidi" w:cstheme="majorBidi"/>
          <w:sz w:val="28"/>
          <w:szCs w:val="28"/>
          <w:vertAlign w:val="superscript"/>
        </w:rPr>
      </w:pPr>
      <w:proofErr w:type="spellStart"/>
      <w:r>
        <w:rPr>
          <w:rFonts w:asciiTheme="majorBidi" w:hAnsiTheme="majorBidi" w:cstheme="majorBidi"/>
          <w:sz w:val="28"/>
          <w:szCs w:val="28"/>
        </w:rPr>
        <w:t>Bukhari</w:t>
      </w:r>
      <w:proofErr w:type="spellEnd"/>
      <w:r>
        <w:rPr>
          <w:rFonts w:asciiTheme="majorBidi" w:hAnsiTheme="majorBidi" w:cstheme="majorBidi"/>
          <w:sz w:val="28"/>
          <w:szCs w:val="28"/>
        </w:rPr>
        <w:t xml:space="preserve"> M. S. Sillah</w:t>
      </w:r>
      <w:r w:rsidR="00EB1996">
        <w:rPr>
          <w:rFonts w:asciiTheme="majorBidi" w:hAnsiTheme="majorBidi" w:cstheme="majorBidi"/>
          <w:sz w:val="28"/>
          <w:szCs w:val="28"/>
          <w:vertAlign w:val="superscript"/>
        </w:rPr>
        <w:t>1</w:t>
      </w:r>
      <w:r>
        <w:rPr>
          <w:rFonts w:asciiTheme="majorBidi" w:hAnsiTheme="majorBidi" w:cstheme="majorBidi"/>
          <w:sz w:val="28"/>
          <w:szCs w:val="28"/>
        </w:rPr>
        <w:t>, Imran khokhar</w:t>
      </w:r>
      <w:r w:rsidR="00EB1996">
        <w:rPr>
          <w:rFonts w:asciiTheme="majorBidi" w:hAnsiTheme="majorBidi" w:cstheme="majorBidi"/>
          <w:sz w:val="28"/>
          <w:szCs w:val="28"/>
          <w:vertAlign w:val="superscript"/>
        </w:rPr>
        <w:t>1</w:t>
      </w:r>
      <w:r>
        <w:rPr>
          <w:rFonts w:asciiTheme="majorBidi" w:hAnsiTheme="majorBidi" w:cstheme="majorBidi"/>
          <w:sz w:val="28"/>
          <w:szCs w:val="28"/>
        </w:rPr>
        <w:t xml:space="preserve">, Muhammad </w:t>
      </w:r>
      <w:proofErr w:type="spellStart"/>
      <w:r>
        <w:rPr>
          <w:rFonts w:asciiTheme="majorBidi" w:hAnsiTheme="majorBidi" w:cstheme="majorBidi"/>
          <w:sz w:val="28"/>
          <w:szCs w:val="28"/>
        </w:rPr>
        <w:t>Nauman</w:t>
      </w:r>
      <w:proofErr w:type="spellEnd"/>
      <w:r>
        <w:rPr>
          <w:rFonts w:asciiTheme="majorBidi" w:hAnsiTheme="majorBidi" w:cstheme="majorBidi"/>
          <w:sz w:val="28"/>
          <w:szCs w:val="28"/>
        </w:rPr>
        <w:t xml:space="preserve"> Khan</w:t>
      </w:r>
      <w:r w:rsidR="00EB1996">
        <w:rPr>
          <w:rFonts w:asciiTheme="majorBidi" w:hAnsiTheme="majorBidi" w:cstheme="majorBidi"/>
          <w:sz w:val="28"/>
          <w:szCs w:val="28"/>
          <w:vertAlign w:val="superscript"/>
        </w:rPr>
        <w:t>2</w:t>
      </w:r>
    </w:p>
    <w:p w:rsidR="00A57D02" w:rsidRDefault="00EB1996" w:rsidP="005947B4">
      <w:pPr>
        <w:spacing w:line="360" w:lineRule="auto"/>
        <w:jc w:val="center"/>
        <w:rPr>
          <w:rFonts w:asciiTheme="majorBidi" w:hAnsiTheme="majorBidi" w:cstheme="majorBidi"/>
          <w:sz w:val="28"/>
          <w:szCs w:val="28"/>
        </w:rPr>
      </w:pPr>
      <w:r w:rsidRPr="00EB1996">
        <w:rPr>
          <w:rFonts w:asciiTheme="majorBidi" w:hAnsiTheme="majorBidi" w:cstheme="majorBidi"/>
          <w:sz w:val="18"/>
          <w:szCs w:val="18"/>
        </w:rPr>
        <w:t>1</w:t>
      </w:r>
      <w:r>
        <w:rPr>
          <w:rFonts w:asciiTheme="majorBidi" w:hAnsiTheme="majorBidi" w:cstheme="majorBidi"/>
          <w:sz w:val="28"/>
          <w:szCs w:val="28"/>
        </w:rPr>
        <w:t xml:space="preserve"> </w:t>
      </w:r>
      <w:r w:rsidR="00A57D02">
        <w:rPr>
          <w:rFonts w:asciiTheme="majorBidi" w:hAnsiTheme="majorBidi" w:cstheme="majorBidi"/>
          <w:sz w:val="28"/>
          <w:szCs w:val="28"/>
        </w:rPr>
        <w:t>Department of Economics</w:t>
      </w:r>
    </w:p>
    <w:p w:rsidR="00EB1996" w:rsidRDefault="00EB1996" w:rsidP="005947B4">
      <w:pPr>
        <w:spacing w:line="360" w:lineRule="auto"/>
        <w:jc w:val="center"/>
        <w:rPr>
          <w:rFonts w:asciiTheme="majorBidi" w:hAnsiTheme="majorBidi" w:cstheme="majorBidi"/>
          <w:sz w:val="28"/>
          <w:szCs w:val="28"/>
        </w:rPr>
      </w:pPr>
      <w:r w:rsidRPr="00EB1996">
        <w:rPr>
          <w:rFonts w:asciiTheme="majorBidi" w:hAnsiTheme="majorBidi" w:cstheme="majorBidi"/>
          <w:sz w:val="18"/>
          <w:szCs w:val="18"/>
        </w:rPr>
        <w:t>2</w:t>
      </w:r>
      <w:r>
        <w:rPr>
          <w:rFonts w:asciiTheme="majorBidi" w:hAnsiTheme="majorBidi" w:cstheme="majorBidi"/>
          <w:sz w:val="28"/>
          <w:szCs w:val="28"/>
        </w:rPr>
        <w:t xml:space="preserve"> Department of Finance</w:t>
      </w:r>
    </w:p>
    <w:p w:rsidR="00A57D02" w:rsidRDefault="00A57D02" w:rsidP="005947B4">
      <w:pPr>
        <w:spacing w:line="360" w:lineRule="auto"/>
        <w:jc w:val="center"/>
        <w:rPr>
          <w:rFonts w:asciiTheme="majorBidi" w:hAnsiTheme="majorBidi" w:cstheme="majorBidi"/>
          <w:sz w:val="28"/>
          <w:szCs w:val="28"/>
        </w:rPr>
      </w:pPr>
      <w:r>
        <w:rPr>
          <w:rFonts w:asciiTheme="majorBidi" w:hAnsiTheme="majorBidi" w:cstheme="majorBidi"/>
          <w:sz w:val="28"/>
          <w:szCs w:val="28"/>
        </w:rPr>
        <w:t>College of Business Administration</w:t>
      </w:r>
    </w:p>
    <w:p w:rsidR="00A57D02" w:rsidRDefault="00A57D02" w:rsidP="005947B4">
      <w:pPr>
        <w:spacing w:line="360" w:lineRule="auto"/>
        <w:jc w:val="center"/>
        <w:rPr>
          <w:rFonts w:asciiTheme="majorBidi" w:hAnsiTheme="majorBidi" w:cstheme="majorBidi"/>
          <w:sz w:val="28"/>
          <w:szCs w:val="28"/>
        </w:rPr>
      </w:pPr>
      <w:r>
        <w:rPr>
          <w:rFonts w:asciiTheme="majorBidi" w:hAnsiTheme="majorBidi" w:cstheme="majorBidi"/>
          <w:sz w:val="28"/>
          <w:szCs w:val="28"/>
        </w:rPr>
        <w:t>King Saud University</w:t>
      </w:r>
    </w:p>
    <w:p w:rsidR="00A57D02" w:rsidRDefault="00A57D02" w:rsidP="005947B4">
      <w:pPr>
        <w:spacing w:line="360" w:lineRule="auto"/>
        <w:jc w:val="both"/>
        <w:rPr>
          <w:rFonts w:asciiTheme="majorBidi" w:hAnsiTheme="majorBidi" w:cstheme="majorBidi"/>
          <w:sz w:val="28"/>
          <w:szCs w:val="28"/>
        </w:rPr>
      </w:pPr>
    </w:p>
    <w:p w:rsidR="005947B4" w:rsidRDefault="005947B4" w:rsidP="005947B4">
      <w:pPr>
        <w:spacing w:line="360" w:lineRule="auto"/>
        <w:jc w:val="both"/>
        <w:rPr>
          <w:rFonts w:asciiTheme="majorBidi" w:hAnsiTheme="majorBidi" w:cstheme="majorBidi"/>
          <w:sz w:val="28"/>
          <w:szCs w:val="28"/>
        </w:rPr>
      </w:pPr>
    </w:p>
    <w:p w:rsidR="00A57D02" w:rsidRDefault="003A2EE9" w:rsidP="005947B4">
      <w:pPr>
        <w:spacing w:line="360" w:lineRule="auto"/>
        <w:jc w:val="center"/>
        <w:rPr>
          <w:rFonts w:asciiTheme="majorBidi" w:hAnsiTheme="majorBidi" w:cstheme="majorBidi"/>
          <w:sz w:val="28"/>
          <w:szCs w:val="28"/>
        </w:rPr>
      </w:pPr>
      <w:r>
        <w:rPr>
          <w:rFonts w:asciiTheme="majorBidi" w:hAnsiTheme="majorBidi" w:cstheme="majorBidi"/>
          <w:sz w:val="28"/>
          <w:szCs w:val="28"/>
        </w:rPr>
        <w:t>November</w:t>
      </w:r>
      <w:r w:rsidR="00A57D02">
        <w:rPr>
          <w:rFonts w:asciiTheme="majorBidi" w:hAnsiTheme="majorBidi" w:cstheme="majorBidi"/>
          <w:sz w:val="28"/>
          <w:szCs w:val="28"/>
        </w:rPr>
        <w:t xml:space="preserve"> 201</w:t>
      </w:r>
      <w:r>
        <w:rPr>
          <w:rFonts w:asciiTheme="majorBidi" w:hAnsiTheme="majorBidi" w:cstheme="majorBidi"/>
          <w:sz w:val="28"/>
          <w:szCs w:val="28"/>
        </w:rPr>
        <w:t>4</w:t>
      </w:r>
    </w:p>
    <w:p w:rsidR="005947B4" w:rsidRDefault="005947B4" w:rsidP="005947B4">
      <w:pPr>
        <w:spacing w:line="360" w:lineRule="auto"/>
        <w:rPr>
          <w:sz w:val="20"/>
          <w:szCs w:val="20"/>
        </w:rPr>
      </w:pPr>
    </w:p>
    <w:p w:rsidR="005D0217" w:rsidRPr="00A57D02" w:rsidRDefault="005D0217" w:rsidP="005947B4">
      <w:pPr>
        <w:spacing w:line="360" w:lineRule="auto"/>
        <w:rPr>
          <w:sz w:val="20"/>
          <w:szCs w:val="20"/>
        </w:rPr>
      </w:pPr>
    </w:p>
    <w:p w:rsidR="00A06DA9" w:rsidRPr="00A06DA9" w:rsidRDefault="00A06DA9" w:rsidP="005947B4">
      <w:pPr>
        <w:spacing w:line="360" w:lineRule="auto"/>
        <w:jc w:val="both"/>
        <w:rPr>
          <w:rFonts w:asciiTheme="majorBidi" w:hAnsiTheme="majorBidi" w:cstheme="majorBidi"/>
          <w:b/>
          <w:bCs/>
          <w:sz w:val="28"/>
          <w:szCs w:val="28"/>
        </w:rPr>
      </w:pPr>
      <w:r w:rsidRPr="00A06DA9">
        <w:rPr>
          <w:rFonts w:asciiTheme="majorBidi" w:hAnsiTheme="majorBidi" w:cstheme="majorBidi"/>
          <w:b/>
          <w:bCs/>
          <w:sz w:val="28"/>
          <w:szCs w:val="28"/>
        </w:rPr>
        <w:lastRenderedPageBreak/>
        <w:t>Abstract</w:t>
      </w:r>
    </w:p>
    <w:p w:rsidR="00A06DA9" w:rsidRDefault="00A06DA9" w:rsidP="005947B4">
      <w:pPr>
        <w:spacing w:line="360" w:lineRule="auto"/>
        <w:jc w:val="both"/>
        <w:rPr>
          <w:rFonts w:asciiTheme="majorBidi" w:hAnsiTheme="majorBidi" w:cstheme="majorBidi"/>
          <w:sz w:val="24"/>
          <w:szCs w:val="24"/>
        </w:rPr>
      </w:pPr>
      <w:r w:rsidRPr="00A06DA9">
        <w:rPr>
          <w:rFonts w:asciiTheme="majorBidi" w:hAnsiTheme="majorBidi" w:cstheme="majorBidi"/>
          <w:sz w:val="24"/>
          <w:szCs w:val="24"/>
        </w:rPr>
        <w:t xml:space="preserve">This paper uses production frontier model to generate and analyse the technical efficiency scores for the banks in Gulf Cooperation Council Countries. A sample of 52 banks is selected for the study. Three stages of analysis are adopted. </w:t>
      </w:r>
      <w:r w:rsidR="00C9550D">
        <w:rPr>
          <w:rFonts w:asciiTheme="majorBidi" w:hAnsiTheme="majorBidi" w:cstheme="majorBidi"/>
          <w:sz w:val="24"/>
          <w:szCs w:val="24"/>
        </w:rPr>
        <w:t xml:space="preserve">At </w:t>
      </w:r>
      <w:r w:rsidRPr="00A06DA9">
        <w:rPr>
          <w:rFonts w:asciiTheme="majorBidi" w:hAnsiTheme="majorBidi" w:cstheme="majorBidi"/>
          <w:sz w:val="24"/>
          <w:szCs w:val="24"/>
        </w:rPr>
        <w:t xml:space="preserve">the first stage, the technical efficiency is analysed between countries to derive variations of between banks from one country to another. It’s found that Kuwaiti and Emirati banks are regionally best performers. </w:t>
      </w:r>
      <w:r w:rsidR="00C9550D">
        <w:rPr>
          <w:rFonts w:asciiTheme="majorBidi" w:hAnsiTheme="majorBidi" w:cstheme="majorBidi"/>
          <w:sz w:val="24"/>
          <w:szCs w:val="24"/>
        </w:rPr>
        <w:t>At</w:t>
      </w:r>
      <w:r w:rsidRPr="00A06DA9">
        <w:rPr>
          <w:rFonts w:asciiTheme="majorBidi" w:hAnsiTheme="majorBidi" w:cstheme="majorBidi"/>
          <w:sz w:val="24"/>
          <w:szCs w:val="24"/>
        </w:rPr>
        <w:t xml:space="preserve"> the second stage of the analysis, banks are analysed within country. The within-country analysis shows that Saudi banks are the best performers and they face intense within-country competition,</w:t>
      </w:r>
      <w:r w:rsidR="00C9550D">
        <w:rPr>
          <w:rFonts w:asciiTheme="majorBidi" w:hAnsiTheme="majorBidi" w:cstheme="majorBidi"/>
          <w:sz w:val="24"/>
          <w:szCs w:val="24"/>
        </w:rPr>
        <w:t xml:space="preserve"> as their technical efficiency</w:t>
      </w:r>
      <w:r w:rsidRPr="00A06DA9">
        <w:rPr>
          <w:rFonts w:asciiTheme="majorBidi" w:hAnsiTheme="majorBidi" w:cstheme="majorBidi"/>
          <w:sz w:val="24"/>
          <w:szCs w:val="24"/>
        </w:rPr>
        <w:t xml:space="preserve"> gap</w:t>
      </w:r>
      <w:r w:rsidR="00C9550D">
        <w:rPr>
          <w:rFonts w:asciiTheme="majorBidi" w:hAnsiTheme="majorBidi" w:cstheme="majorBidi"/>
          <w:sz w:val="24"/>
          <w:szCs w:val="24"/>
        </w:rPr>
        <w:t>s from the country's best performer to others</w:t>
      </w:r>
      <w:r w:rsidRPr="00A06DA9">
        <w:rPr>
          <w:rFonts w:asciiTheme="majorBidi" w:hAnsiTheme="majorBidi" w:cstheme="majorBidi"/>
          <w:sz w:val="24"/>
          <w:szCs w:val="24"/>
        </w:rPr>
        <w:t xml:space="preserve"> are lowest compared to that of other countries. </w:t>
      </w:r>
      <w:r w:rsidR="00C9550D">
        <w:rPr>
          <w:rFonts w:asciiTheme="majorBidi" w:hAnsiTheme="majorBidi" w:cstheme="majorBidi"/>
          <w:sz w:val="24"/>
          <w:szCs w:val="24"/>
        </w:rPr>
        <w:t>At</w:t>
      </w:r>
      <w:r w:rsidRPr="00A06DA9">
        <w:rPr>
          <w:rFonts w:asciiTheme="majorBidi" w:hAnsiTheme="majorBidi" w:cstheme="majorBidi"/>
          <w:sz w:val="24"/>
          <w:szCs w:val="24"/>
        </w:rPr>
        <w:t xml:space="preserve"> the final stage of the analysis, </w:t>
      </w:r>
      <w:r w:rsidR="00C9550D">
        <w:rPr>
          <w:rFonts w:asciiTheme="majorBidi" w:hAnsiTheme="majorBidi" w:cstheme="majorBidi"/>
          <w:sz w:val="24"/>
          <w:szCs w:val="24"/>
        </w:rPr>
        <w:t xml:space="preserve">the papers </w:t>
      </w:r>
      <w:r w:rsidRPr="00A06DA9">
        <w:rPr>
          <w:rFonts w:asciiTheme="majorBidi" w:hAnsiTheme="majorBidi" w:cstheme="majorBidi"/>
          <w:sz w:val="24"/>
          <w:szCs w:val="24"/>
        </w:rPr>
        <w:t>investigate</w:t>
      </w:r>
      <w:r w:rsidR="00C9550D">
        <w:rPr>
          <w:rFonts w:asciiTheme="majorBidi" w:hAnsiTheme="majorBidi" w:cstheme="majorBidi"/>
          <w:sz w:val="24"/>
          <w:szCs w:val="24"/>
        </w:rPr>
        <w:t>s possible determinants of bank</w:t>
      </w:r>
      <w:r w:rsidRPr="00A06DA9">
        <w:rPr>
          <w:rFonts w:asciiTheme="majorBidi" w:hAnsiTheme="majorBidi" w:cstheme="majorBidi"/>
          <w:sz w:val="24"/>
          <w:szCs w:val="24"/>
        </w:rPr>
        <w:t xml:space="preserve"> technical efficiency, and it finds that unsystematic risks of the banks and the monetary policy uncertainty do influence the level of bank technical efficiency. </w:t>
      </w:r>
    </w:p>
    <w:p w:rsidR="00C9550D" w:rsidRPr="00A06DA9" w:rsidRDefault="00C9550D" w:rsidP="005947B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Keywords: technical efficiency, credit risk, monetary risk, </w:t>
      </w:r>
      <w:r w:rsidR="003E77C2">
        <w:rPr>
          <w:rFonts w:asciiTheme="majorBidi" w:hAnsiTheme="majorBidi" w:cstheme="majorBidi"/>
          <w:sz w:val="24"/>
          <w:szCs w:val="24"/>
        </w:rPr>
        <w:t xml:space="preserve">systematic and </w:t>
      </w:r>
      <w:r w:rsidR="00C50CB1">
        <w:rPr>
          <w:rFonts w:asciiTheme="majorBidi" w:hAnsiTheme="majorBidi" w:cstheme="majorBidi"/>
          <w:sz w:val="24"/>
          <w:szCs w:val="24"/>
        </w:rPr>
        <w:t>u</w:t>
      </w:r>
      <w:r>
        <w:rPr>
          <w:rFonts w:asciiTheme="majorBidi" w:hAnsiTheme="majorBidi" w:cstheme="majorBidi"/>
          <w:sz w:val="24"/>
          <w:szCs w:val="24"/>
        </w:rPr>
        <w:t>nsystem</w:t>
      </w:r>
      <w:r w:rsidR="003E77C2">
        <w:rPr>
          <w:rFonts w:asciiTheme="majorBidi" w:hAnsiTheme="majorBidi" w:cstheme="majorBidi"/>
          <w:sz w:val="24"/>
          <w:szCs w:val="24"/>
        </w:rPr>
        <w:t>at</w:t>
      </w:r>
      <w:r>
        <w:rPr>
          <w:rFonts w:asciiTheme="majorBidi" w:hAnsiTheme="majorBidi" w:cstheme="majorBidi"/>
          <w:sz w:val="24"/>
          <w:szCs w:val="24"/>
        </w:rPr>
        <w:t>ic risk</w:t>
      </w:r>
      <w:r w:rsidR="003E77C2">
        <w:rPr>
          <w:rFonts w:asciiTheme="majorBidi" w:hAnsiTheme="majorBidi" w:cstheme="majorBidi"/>
          <w:sz w:val="24"/>
          <w:szCs w:val="24"/>
        </w:rPr>
        <w:t>s</w:t>
      </w:r>
      <w:r>
        <w:rPr>
          <w:rFonts w:asciiTheme="majorBidi" w:hAnsiTheme="majorBidi" w:cstheme="majorBidi"/>
          <w:sz w:val="24"/>
          <w:szCs w:val="24"/>
        </w:rPr>
        <w:t xml:space="preserve">. </w:t>
      </w:r>
    </w:p>
    <w:p w:rsidR="00E40B2F" w:rsidRPr="00924D88" w:rsidRDefault="005F1E49" w:rsidP="005947B4">
      <w:pPr>
        <w:spacing w:line="360" w:lineRule="auto"/>
        <w:jc w:val="both"/>
        <w:rPr>
          <w:rFonts w:asciiTheme="majorBidi" w:hAnsiTheme="majorBidi" w:cstheme="majorBidi"/>
          <w:b/>
          <w:bCs/>
          <w:sz w:val="28"/>
          <w:szCs w:val="28"/>
        </w:rPr>
      </w:pPr>
      <w:r w:rsidRPr="00924D88">
        <w:rPr>
          <w:rFonts w:asciiTheme="majorBidi" w:hAnsiTheme="majorBidi" w:cstheme="majorBidi"/>
          <w:b/>
          <w:bCs/>
          <w:sz w:val="28"/>
          <w:szCs w:val="28"/>
        </w:rPr>
        <w:t>Introduction</w:t>
      </w:r>
    </w:p>
    <w:p w:rsidR="005F1E49" w:rsidRPr="009A2AC8" w:rsidRDefault="005F1E49" w:rsidP="005947B4">
      <w:pPr>
        <w:spacing w:line="360" w:lineRule="auto"/>
        <w:jc w:val="both"/>
        <w:rPr>
          <w:rFonts w:asciiTheme="majorBidi" w:hAnsiTheme="majorBidi" w:cstheme="majorBidi"/>
          <w:sz w:val="24"/>
          <w:szCs w:val="24"/>
        </w:rPr>
      </w:pPr>
      <w:r w:rsidRPr="009A2AC8">
        <w:rPr>
          <w:rFonts w:asciiTheme="majorBidi" w:hAnsiTheme="majorBidi" w:cstheme="majorBidi"/>
          <w:sz w:val="24"/>
          <w:szCs w:val="24"/>
        </w:rPr>
        <w:t>This pa</w:t>
      </w:r>
      <w:r w:rsidR="00871771" w:rsidRPr="009A2AC8">
        <w:rPr>
          <w:rFonts w:asciiTheme="majorBidi" w:hAnsiTheme="majorBidi" w:cstheme="majorBidi"/>
          <w:sz w:val="24"/>
          <w:szCs w:val="24"/>
        </w:rPr>
        <w:t>per attempts to analyse the effec</w:t>
      </w:r>
      <w:r w:rsidRPr="009A2AC8">
        <w:rPr>
          <w:rFonts w:asciiTheme="majorBidi" w:hAnsiTheme="majorBidi" w:cstheme="majorBidi"/>
          <w:sz w:val="24"/>
          <w:szCs w:val="24"/>
        </w:rPr>
        <w:t>ts of market</w:t>
      </w:r>
      <w:r w:rsidR="00871771" w:rsidRPr="009A2AC8">
        <w:rPr>
          <w:rFonts w:asciiTheme="majorBidi" w:hAnsiTheme="majorBidi" w:cstheme="majorBidi"/>
          <w:sz w:val="24"/>
          <w:szCs w:val="24"/>
        </w:rPr>
        <w:t>, credit, idiosyncratic</w:t>
      </w:r>
      <w:r w:rsidRPr="009A2AC8">
        <w:rPr>
          <w:rFonts w:asciiTheme="majorBidi" w:hAnsiTheme="majorBidi" w:cstheme="majorBidi"/>
          <w:sz w:val="24"/>
          <w:szCs w:val="24"/>
        </w:rPr>
        <w:t xml:space="preserve"> and monetary policy risks on the performance of the banks in the Gulf Cooperation Council countries. The bank performance is held here to be the measures of the bank technical efficiency in generating income from </w:t>
      </w:r>
      <w:r w:rsidR="008879D7">
        <w:rPr>
          <w:rFonts w:asciiTheme="majorBidi" w:hAnsiTheme="majorBidi" w:cstheme="majorBidi"/>
          <w:sz w:val="24"/>
          <w:szCs w:val="24"/>
        </w:rPr>
        <w:t xml:space="preserve">loans and </w:t>
      </w:r>
      <w:r w:rsidR="008879D7" w:rsidRPr="009A2AC8">
        <w:rPr>
          <w:rFonts w:asciiTheme="majorBidi" w:hAnsiTheme="majorBidi" w:cstheme="majorBidi"/>
          <w:sz w:val="24"/>
          <w:szCs w:val="24"/>
        </w:rPr>
        <w:t>investments</w:t>
      </w:r>
      <w:r w:rsidRPr="009A2AC8">
        <w:rPr>
          <w:rFonts w:asciiTheme="majorBidi" w:hAnsiTheme="majorBidi" w:cstheme="majorBidi"/>
          <w:sz w:val="24"/>
          <w:szCs w:val="24"/>
        </w:rPr>
        <w:t xml:space="preserve">. To </w:t>
      </w:r>
      <w:r w:rsidR="008879D7">
        <w:rPr>
          <w:rFonts w:asciiTheme="majorBidi" w:hAnsiTheme="majorBidi" w:cstheme="majorBidi"/>
          <w:sz w:val="24"/>
          <w:szCs w:val="24"/>
        </w:rPr>
        <w:t>generate</w:t>
      </w:r>
      <w:r w:rsidRPr="009A2AC8">
        <w:rPr>
          <w:rFonts w:asciiTheme="majorBidi" w:hAnsiTheme="majorBidi" w:cstheme="majorBidi"/>
          <w:sz w:val="24"/>
          <w:szCs w:val="24"/>
        </w:rPr>
        <w:t xml:space="preserve"> </w:t>
      </w:r>
      <w:r w:rsidR="008879D7">
        <w:rPr>
          <w:rFonts w:asciiTheme="majorBidi" w:hAnsiTheme="majorBidi" w:cstheme="majorBidi"/>
          <w:sz w:val="24"/>
          <w:szCs w:val="24"/>
        </w:rPr>
        <w:t>income or profits,</w:t>
      </w:r>
      <w:r w:rsidRPr="009A2AC8">
        <w:rPr>
          <w:rFonts w:asciiTheme="majorBidi" w:hAnsiTheme="majorBidi" w:cstheme="majorBidi"/>
          <w:sz w:val="24"/>
          <w:szCs w:val="24"/>
        </w:rPr>
        <w:t xml:space="preserve"> banks use capital and labour</w:t>
      </w:r>
      <w:r w:rsidR="008879D7">
        <w:rPr>
          <w:rFonts w:asciiTheme="majorBidi" w:hAnsiTheme="majorBidi" w:cstheme="majorBidi"/>
          <w:sz w:val="24"/>
          <w:szCs w:val="24"/>
        </w:rPr>
        <w:t xml:space="preserve"> as essential input values with loans and investments</w:t>
      </w:r>
      <w:r w:rsidRPr="009A2AC8">
        <w:rPr>
          <w:rFonts w:asciiTheme="majorBidi" w:hAnsiTheme="majorBidi" w:cstheme="majorBidi"/>
          <w:sz w:val="24"/>
          <w:szCs w:val="24"/>
        </w:rPr>
        <w:t xml:space="preserve"> </w:t>
      </w:r>
      <w:r w:rsidR="008879D7">
        <w:rPr>
          <w:rFonts w:asciiTheme="majorBidi" w:hAnsiTheme="majorBidi" w:cstheme="majorBidi"/>
          <w:sz w:val="24"/>
          <w:szCs w:val="24"/>
        </w:rPr>
        <w:t>as complementary inputs</w:t>
      </w:r>
      <w:r w:rsidRPr="009A2AC8">
        <w:rPr>
          <w:rFonts w:asciiTheme="majorBidi" w:hAnsiTheme="majorBidi" w:cstheme="majorBidi"/>
          <w:sz w:val="24"/>
          <w:szCs w:val="24"/>
        </w:rPr>
        <w:t xml:space="preserve"> to generate income.</w:t>
      </w:r>
    </w:p>
    <w:p w:rsidR="005F1E49" w:rsidRPr="009A2AC8" w:rsidRDefault="008879D7" w:rsidP="003E77C2">
      <w:pPr>
        <w:spacing w:line="360" w:lineRule="auto"/>
        <w:jc w:val="both"/>
        <w:rPr>
          <w:rFonts w:asciiTheme="majorBidi" w:hAnsiTheme="majorBidi" w:cstheme="majorBidi"/>
          <w:sz w:val="24"/>
          <w:szCs w:val="24"/>
        </w:rPr>
      </w:pPr>
      <w:r>
        <w:rPr>
          <w:rFonts w:asciiTheme="majorBidi" w:hAnsiTheme="majorBidi" w:cstheme="majorBidi"/>
          <w:sz w:val="24"/>
          <w:szCs w:val="24"/>
        </w:rPr>
        <w:t>The stochastic frontier analysis</w:t>
      </w:r>
      <w:r w:rsidR="005F1E49" w:rsidRPr="009A2AC8">
        <w:rPr>
          <w:rFonts w:asciiTheme="majorBidi" w:hAnsiTheme="majorBidi" w:cstheme="majorBidi"/>
          <w:sz w:val="24"/>
          <w:szCs w:val="24"/>
        </w:rPr>
        <w:t xml:space="preserve"> is employed to produce the inefficiency scores </w:t>
      </w:r>
      <w:r w:rsidR="00141E70" w:rsidRPr="009A2AC8">
        <w:rPr>
          <w:rFonts w:asciiTheme="majorBidi" w:hAnsiTheme="majorBidi" w:cstheme="majorBidi"/>
          <w:sz w:val="24"/>
          <w:szCs w:val="24"/>
        </w:rPr>
        <w:t xml:space="preserve">for the </w:t>
      </w:r>
      <w:r>
        <w:rPr>
          <w:rFonts w:asciiTheme="majorBidi" w:hAnsiTheme="majorBidi" w:cstheme="majorBidi"/>
          <w:sz w:val="24"/>
          <w:szCs w:val="24"/>
        </w:rPr>
        <w:t>bank</w:t>
      </w:r>
      <w:r w:rsidR="003E77C2">
        <w:rPr>
          <w:rFonts w:asciiTheme="majorBidi" w:hAnsiTheme="majorBidi" w:cstheme="majorBidi"/>
          <w:sz w:val="24"/>
          <w:szCs w:val="24"/>
        </w:rPr>
        <w:t>s</w:t>
      </w:r>
      <w:r>
        <w:rPr>
          <w:rFonts w:asciiTheme="majorBidi" w:hAnsiTheme="majorBidi" w:cstheme="majorBidi"/>
          <w:sz w:val="24"/>
          <w:szCs w:val="24"/>
        </w:rPr>
        <w:t xml:space="preserve"> </w:t>
      </w:r>
      <w:r w:rsidR="003E77C2">
        <w:rPr>
          <w:rFonts w:asciiTheme="majorBidi" w:hAnsiTheme="majorBidi" w:cstheme="majorBidi"/>
          <w:sz w:val="24"/>
          <w:szCs w:val="24"/>
        </w:rPr>
        <w:t xml:space="preserve">using the </w:t>
      </w:r>
      <w:r>
        <w:rPr>
          <w:rFonts w:asciiTheme="majorBidi" w:hAnsiTheme="majorBidi" w:cstheme="majorBidi"/>
          <w:sz w:val="24"/>
          <w:szCs w:val="24"/>
        </w:rPr>
        <w:t>profit function</w:t>
      </w:r>
      <w:r w:rsidR="00141E70" w:rsidRPr="009A2AC8">
        <w:rPr>
          <w:rFonts w:asciiTheme="majorBidi" w:hAnsiTheme="majorBidi" w:cstheme="majorBidi"/>
          <w:sz w:val="24"/>
          <w:szCs w:val="24"/>
        </w:rPr>
        <w:t xml:space="preserve">. These scores are analysed to assess the level of performance efficiencies within and between-country banks in the GCC. Then a </w:t>
      </w:r>
      <w:r w:rsidR="00871771" w:rsidRPr="009A2AC8">
        <w:rPr>
          <w:rFonts w:asciiTheme="majorBidi" w:hAnsiTheme="majorBidi" w:cstheme="majorBidi"/>
          <w:sz w:val="24"/>
          <w:szCs w:val="24"/>
        </w:rPr>
        <w:t>truncated</w:t>
      </w:r>
      <w:r w:rsidR="00141E70" w:rsidRPr="009A2AC8">
        <w:rPr>
          <w:rFonts w:asciiTheme="majorBidi" w:hAnsiTheme="majorBidi" w:cstheme="majorBidi"/>
          <w:sz w:val="24"/>
          <w:szCs w:val="24"/>
        </w:rPr>
        <w:t xml:space="preserve"> regression is estimated with the inefficiency scores as dependent variable to investigate the eff</w:t>
      </w:r>
      <w:r w:rsidR="00871771" w:rsidRPr="009A2AC8">
        <w:rPr>
          <w:rFonts w:asciiTheme="majorBidi" w:hAnsiTheme="majorBidi" w:cstheme="majorBidi"/>
          <w:sz w:val="24"/>
          <w:szCs w:val="24"/>
        </w:rPr>
        <w:t>ec</w:t>
      </w:r>
      <w:r w:rsidR="00141E70" w:rsidRPr="009A2AC8">
        <w:rPr>
          <w:rFonts w:asciiTheme="majorBidi" w:hAnsiTheme="majorBidi" w:cstheme="majorBidi"/>
          <w:sz w:val="24"/>
          <w:szCs w:val="24"/>
        </w:rPr>
        <w:t xml:space="preserve">ts </w:t>
      </w:r>
      <w:r w:rsidR="00871771" w:rsidRPr="009A2AC8">
        <w:rPr>
          <w:rFonts w:asciiTheme="majorBidi" w:hAnsiTheme="majorBidi" w:cstheme="majorBidi"/>
          <w:sz w:val="24"/>
          <w:szCs w:val="24"/>
        </w:rPr>
        <w:t>of risk factors</w:t>
      </w:r>
      <w:r w:rsidR="00141E70" w:rsidRPr="009A2AC8">
        <w:rPr>
          <w:rFonts w:asciiTheme="majorBidi" w:hAnsiTheme="majorBidi" w:cstheme="majorBidi"/>
          <w:sz w:val="24"/>
          <w:szCs w:val="24"/>
        </w:rPr>
        <w:t xml:space="preserve"> on bank efficiency. A dummy for a country is included in this model to ascertain the presence of a country specific effect on bank efficiencies. The rest of the paper is organised as follows. Section 2 discusses some relevant literature and </w:t>
      </w:r>
      <w:r w:rsidR="00AD5775" w:rsidRPr="009A2AC8">
        <w:rPr>
          <w:rFonts w:asciiTheme="majorBidi" w:hAnsiTheme="majorBidi" w:cstheme="majorBidi"/>
          <w:sz w:val="24"/>
          <w:szCs w:val="24"/>
        </w:rPr>
        <w:t>derives</w:t>
      </w:r>
      <w:r w:rsidR="00141E70" w:rsidRPr="009A2AC8">
        <w:rPr>
          <w:rFonts w:asciiTheme="majorBidi" w:hAnsiTheme="majorBidi" w:cstheme="majorBidi"/>
          <w:sz w:val="24"/>
          <w:szCs w:val="24"/>
        </w:rPr>
        <w:t xml:space="preserve"> the </w:t>
      </w:r>
      <w:r w:rsidR="00AD5775" w:rsidRPr="009A2AC8">
        <w:rPr>
          <w:rFonts w:asciiTheme="majorBidi" w:hAnsiTheme="majorBidi" w:cstheme="majorBidi"/>
          <w:sz w:val="24"/>
          <w:szCs w:val="24"/>
        </w:rPr>
        <w:t>expected</w:t>
      </w:r>
      <w:r w:rsidR="00141E70" w:rsidRPr="009A2AC8">
        <w:rPr>
          <w:rFonts w:asciiTheme="majorBidi" w:hAnsiTheme="majorBidi" w:cstheme="majorBidi"/>
          <w:sz w:val="24"/>
          <w:szCs w:val="24"/>
        </w:rPr>
        <w:t xml:space="preserve"> contribution</w:t>
      </w:r>
      <w:r w:rsidR="00871771" w:rsidRPr="009A2AC8">
        <w:rPr>
          <w:rFonts w:asciiTheme="majorBidi" w:hAnsiTheme="majorBidi" w:cstheme="majorBidi"/>
          <w:sz w:val="24"/>
          <w:szCs w:val="24"/>
        </w:rPr>
        <w:t>s</w:t>
      </w:r>
      <w:r w:rsidR="00141E70" w:rsidRPr="009A2AC8">
        <w:rPr>
          <w:rFonts w:asciiTheme="majorBidi" w:hAnsiTheme="majorBidi" w:cstheme="majorBidi"/>
          <w:sz w:val="24"/>
          <w:szCs w:val="24"/>
        </w:rPr>
        <w:t xml:space="preserve"> this paper adds to the existing literature. </w:t>
      </w:r>
      <w:r w:rsidR="00AD5775" w:rsidRPr="009A2AC8">
        <w:rPr>
          <w:rFonts w:asciiTheme="majorBidi" w:hAnsiTheme="majorBidi" w:cstheme="majorBidi"/>
          <w:sz w:val="24"/>
          <w:szCs w:val="24"/>
        </w:rPr>
        <w:t>Section 3 presents the model</w:t>
      </w:r>
      <w:r w:rsidR="00871771" w:rsidRPr="009A2AC8">
        <w:rPr>
          <w:rFonts w:asciiTheme="majorBidi" w:hAnsiTheme="majorBidi" w:cstheme="majorBidi"/>
          <w:sz w:val="24"/>
          <w:szCs w:val="24"/>
        </w:rPr>
        <w:t>, discusses</w:t>
      </w:r>
      <w:r w:rsidR="00AD5775" w:rsidRPr="009A2AC8">
        <w:rPr>
          <w:rFonts w:asciiTheme="majorBidi" w:hAnsiTheme="majorBidi" w:cstheme="majorBidi"/>
          <w:sz w:val="24"/>
          <w:szCs w:val="24"/>
        </w:rPr>
        <w:t xml:space="preserve"> its features, the variables and sources of the data. Section 4 analyses the results, and section 5 derives the conclusions and implications. </w:t>
      </w:r>
    </w:p>
    <w:p w:rsidR="0071362E" w:rsidRPr="00924D88" w:rsidRDefault="0071362E" w:rsidP="005947B4">
      <w:pPr>
        <w:spacing w:line="360" w:lineRule="auto"/>
        <w:rPr>
          <w:rFonts w:ascii="Times New Roman" w:eastAsia="Calibri" w:hAnsi="Times New Roman" w:cs="Times New Roman"/>
          <w:b/>
          <w:bCs/>
          <w:sz w:val="28"/>
          <w:szCs w:val="28"/>
        </w:rPr>
      </w:pPr>
      <w:r w:rsidRPr="00924D88">
        <w:rPr>
          <w:rFonts w:ascii="Times New Roman" w:eastAsia="Calibri" w:hAnsi="Times New Roman" w:cs="Times New Roman"/>
          <w:b/>
          <w:bCs/>
          <w:sz w:val="28"/>
          <w:szCs w:val="28"/>
        </w:rPr>
        <w:lastRenderedPageBreak/>
        <w:t>Literature</w:t>
      </w:r>
    </w:p>
    <w:p w:rsidR="004F67D1" w:rsidRDefault="004F67D1" w:rsidP="00A02BA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have been growing research interests in studying the banking efficiency and the factors responsible for this efficiency.  </w:t>
      </w:r>
      <w:r w:rsidR="00B121F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driving objective of this interest is the fact that banks play a key role in the monetary policy transmission and the allocation of the nation’s scarce savings resources among economic agent</w:t>
      </w:r>
      <w:r w:rsidR="00B121FD">
        <w:rPr>
          <w:rFonts w:ascii="Times New Roman" w:eastAsia="Calibri" w:hAnsi="Times New Roman" w:cs="Times New Roman"/>
          <w:sz w:val="24"/>
          <w:szCs w:val="24"/>
        </w:rPr>
        <w:t>s</w:t>
      </w:r>
      <w:r>
        <w:rPr>
          <w:rFonts w:ascii="Times New Roman" w:eastAsia="Calibri" w:hAnsi="Times New Roman" w:cs="Times New Roman"/>
          <w:sz w:val="24"/>
          <w:szCs w:val="24"/>
        </w:rPr>
        <w:t xml:space="preserve">. If the banks are rigid and inefficient, the monetary policy transmissions will </w:t>
      </w:r>
      <w:r w:rsidRPr="00960D4D">
        <w:rPr>
          <w:rFonts w:ascii="Times New Roman" w:eastAsia="Calibri" w:hAnsi="Times New Roman" w:cs="Times New Roman"/>
          <w:sz w:val="24"/>
          <w:szCs w:val="24"/>
        </w:rPr>
        <w:t>be ineffective, and hence the objectives of the poli</w:t>
      </w:r>
      <w:r w:rsidR="00B121FD" w:rsidRPr="00960D4D">
        <w:rPr>
          <w:rFonts w:ascii="Times New Roman" w:eastAsia="Calibri" w:hAnsi="Times New Roman" w:cs="Times New Roman"/>
          <w:sz w:val="24"/>
          <w:szCs w:val="24"/>
        </w:rPr>
        <w:t>cy will be defe</w:t>
      </w:r>
      <w:r w:rsidR="00FC18E4" w:rsidRPr="00960D4D">
        <w:rPr>
          <w:rFonts w:ascii="Times New Roman" w:eastAsia="Calibri" w:hAnsi="Times New Roman" w:cs="Times New Roman"/>
          <w:sz w:val="24"/>
          <w:szCs w:val="24"/>
        </w:rPr>
        <w:t>ated, as the findings of Gray (2012</w:t>
      </w:r>
      <w:r w:rsidR="00B121FD" w:rsidRPr="00960D4D">
        <w:rPr>
          <w:rFonts w:ascii="Times New Roman" w:eastAsia="Calibri" w:hAnsi="Times New Roman" w:cs="Times New Roman"/>
          <w:sz w:val="24"/>
          <w:szCs w:val="24"/>
        </w:rPr>
        <w:t>), Jonas and King (2008), and Al-</w:t>
      </w:r>
      <w:proofErr w:type="spellStart"/>
      <w:r w:rsidR="00B121FD" w:rsidRPr="00960D4D">
        <w:rPr>
          <w:rFonts w:ascii="Times New Roman" w:eastAsia="Calibri" w:hAnsi="Times New Roman" w:cs="Times New Roman"/>
          <w:sz w:val="24"/>
          <w:szCs w:val="24"/>
        </w:rPr>
        <w:t>Obadan</w:t>
      </w:r>
      <w:proofErr w:type="spellEnd"/>
      <w:r w:rsidR="00B121FD" w:rsidRPr="00960D4D">
        <w:rPr>
          <w:rFonts w:ascii="Times New Roman" w:eastAsia="Calibri" w:hAnsi="Times New Roman" w:cs="Times New Roman"/>
          <w:sz w:val="24"/>
          <w:szCs w:val="24"/>
        </w:rPr>
        <w:t xml:space="preserve"> (2009) have indicated. The relation is </w:t>
      </w:r>
      <w:r w:rsidR="00992D17" w:rsidRPr="00960D4D">
        <w:rPr>
          <w:rFonts w:ascii="Times New Roman" w:eastAsia="Calibri" w:hAnsi="Times New Roman" w:cs="Times New Roman"/>
          <w:sz w:val="24"/>
          <w:szCs w:val="24"/>
        </w:rPr>
        <w:t>however</w:t>
      </w:r>
      <w:r w:rsidR="00B121FD" w:rsidRPr="00960D4D">
        <w:rPr>
          <w:rFonts w:ascii="Times New Roman" w:eastAsia="Calibri" w:hAnsi="Times New Roman" w:cs="Times New Roman"/>
          <w:sz w:val="24"/>
          <w:szCs w:val="24"/>
        </w:rPr>
        <w:t xml:space="preserve"> found to be bi-directional. More monetary policy stability leads to more efficie</w:t>
      </w:r>
      <w:r w:rsidR="003E77C2">
        <w:rPr>
          <w:rFonts w:ascii="Times New Roman" w:eastAsia="Calibri" w:hAnsi="Times New Roman" w:cs="Times New Roman"/>
          <w:sz w:val="24"/>
          <w:szCs w:val="24"/>
        </w:rPr>
        <w:t>nt banks, Al-</w:t>
      </w:r>
      <w:proofErr w:type="spellStart"/>
      <w:r w:rsidR="003E77C2">
        <w:rPr>
          <w:rFonts w:ascii="Times New Roman" w:eastAsia="Calibri" w:hAnsi="Times New Roman" w:cs="Times New Roman"/>
          <w:sz w:val="24"/>
          <w:szCs w:val="24"/>
        </w:rPr>
        <w:t>Obadan</w:t>
      </w:r>
      <w:proofErr w:type="spellEnd"/>
      <w:r w:rsidR="003E77C2">
        <w:rPr>
          <w:rFonts w:ascii="Times New Roman" w:eastAsia="Calibri" w:hAnsi="Times New Roman" w:cs="Times New Roman"/>
          <w:sz w:val="24"/>
          <w:szCs w:val="24"/>
        </w:rPr>
        <w:t xml:space="preserve"> (2009); but </w:t>
      </w:r>
      <w:r w:rsidR="00B121FD" w:rsidRPr="00960D4D">
        <w:rPr>
          <w:rFonts w:ascii="Times New Roman" w:eastAsia="Calibri" w:hAnsi="Times New Roman" w:cs="Times New Roman"/>
          <w:sz w:val="24"/>
          <w:szCs w:val="24"/>
        </w:rPr>
        <w:t>only efficient banks are</w:t>
      </w:r>
      <w:r w:rsidR="003E77C2">
        <w:rPr>
          <w:rFonts w:ascii="Times New Roman" w:eastAsia="Calibri" w:hAnsi="Times New Roman" w:cs="Times New Roman"/>
          <w:sz w:val="24"/>
          <w:szCs w:val="24"/>
        </w:rPr>
        <w:t xml:space="preserve"> found to be</w:t>
      </w:r>
      <w:r w:rsidR="00B121FD" w:rsidRPr="00960D4D">
        <w:rPr>
          <w:rFonts w:ascii="Times New Roman" w:eastAsia="Calibri" w:hAnsi="Times New Roman" w:cs="Times New Roman"/>
          <w:sz w:val="24"/>
          <w:szCs w:val="24"/>
        </w:rPr>
        <w:t xml:space="preserve"> sensitive</w:t>
      </w:r>
      <w:r w:rsidR="003E77C2">
        <w:rPr>
          <w:rFonts w:ascii="Times New Roman" w:eastAsia="Calibri" w:hAnsi="Times New Roman" w:cs="Times New Roman"/>
          <w:sz w:val="24"/>
          <w:szCs w:val="24"/>
        </w:rPr>
        <w:t xml:space="preserve"> to</w:t>
      </w:r>
      <w:r w:rsidR="00B121FD" w:rsidRPr="00960D4D">
        <w:rPr>
          <w:rFonts w:ascii="Times New Roman" w:eastAsia="Calibri" w:hAnsi="Times New Roman" w:cs="Times New Roman"/>
          <w:sz w:val="24"/>
          <w:szCs w:val="24"/>
        </w:rPr>
        <w:t xml:space="preserve"> and can react to the monetary policy shocks, Jonas and King (2008)</w:t>
      </w:r>
      <w:r w:rsidR="00992D17" w:rsidRPr="00960D4D">
        <w:rPr>
          <w:rFonts w:ascii="Times New Roman" w:eastAsia="Calibri" w:hAnsi="Times New Roman" w:cs="Times New Roman"/>
          <w:sz w:val="24"/>
          <w:szCs w:val="24"/>
        </w:rPr>
        <w:t>. The presence of this</w:t>
      </w:r>
      <w:r w:rsidR="00992D17">
        <w:rPr>
          <w:rFonts w:ascii="Times New Roman" w:eastAsia="Calibri" w:hAnsi="Times New Roman" w:cs="Times New Roman"/>
          <w:sz w:val="24"/>
          <w:szCs w:val="24"/>
        </w:rPr>
        <w:t xml:space="preserve"> relation between banks and the monetary policy implies that the investigation and analysis of the banking </w:t>
      </w:r>
      <w:r w:rsidR="002526B9">
        <w:rPr>
          <w:rFonts w:ascii="Times New Roman" w:eastAsia="Calibri" w:hAnsi="Times New Roman" w:cs="Times New Roman"/>
          <w:sz w:val="24"/>
          <w:szCs w:val="24"/>
        </w:rPr>
        <w:t>efficiency</w:t>
      </w:r>
      <w:r w:rsidR="00992D17">
        <w:rPr>
          <w:rFonts w:ascii="Times New Roman" w:eastAsia="Calibri" w:hAnsi="Times New Roman" w:cs="Times New Roman"/>
          <w:sz w:val="24"/>
          <w:szCs w:val="24"/>
        </w:rPr>
        <w:t xml:space="preserve"> is an </w:t>
      </w:r>
      <w:r w:rsidR="002526B9">
        <w:rPr>
          <w:rFonts w:ascii="Times New Roman" w:eastAsia="Calibri" w:hAnsi="Times New Roman" w:cs="Times New Roman"/>
          <w:sz w:val="24"/>
          <w:szCs w:val="24"/>
        </w:rPr>
        <w:t xml:space="preserve">on-going activity for the researchers to provide up-to-date results and evidence for the policy makers. The researchers approach the banking efficiency study </w:t>
      </w:r>
      <w:r w:rsidR="003E77C2">
        <w:rPr>
          <w:rFonts w:ascii="Times New Roman" w:eastAsia="Calibri" w:hAnsi="Times New Roman" w:cs="Times New Roman"/>
          <w:sz w:val="24"/>
          <w:szCs w:val="24"/>
        </w:rPr>
        <w:t>at stages</w:t>
      </w:r>
      <w:r w:rsidR="002526B9">
        <w:rPr>
          <w:rFonts w:ascii="Times New Roman" w:eastAsia="Calibri" w:hAnsi="Times New Roman" w:cs="Times New Roman"/>
          <w:sz w:val="24"/>
          <w:szCs w:val="24"/>
        </w:rPr>
        <w:t xml:space="preserve">. The first stage is to provide information on the level and variability </w:t>
      </w:r>
      <w:r w:rsidR="00107B15">
        <w:rPr>
          <w:rFonts w:ascii="Times New Roman" w:eastAsia="Calibri" w:hAnsi="Times New Roman" w:cs="Times New Roman"/>
          <w:sz w:val="24"/>
          <w:szCs w:val="24"/>
        </w:rPr>
        <w:t>of the</w:t>
      </w:r>
      <w:r w:rsidR="002526B9">
        <w:rPr>
          <w:rFonts w:ascii="Times New Roman" w:eastAsia="Calibri" w:hAnsi="Times New Roman" w:cs="Times New Roman"/>
          <w:sz w:val="24"/>
          <w:szCs w:val="24"/>
        </w:rPr>
        <w:t xml:space="preserve"> technical efficiency within banking industry from </w:t>
      </w:r>
      <w:r w:rsidR="003E77C2">
        <w:rPr>
          <w:rFonts w:ascii="Times New Roman" w:eastAsia="Calibri" w:hAnsi="Times New Roman" w:cs="Times New Roman"/>
          <w:sz w:val="24"/>
          <w:szCs w:val="24"/>
        </w:rPr>
        <w:t>output</w:t>
      </w:r>
      <w:r w:rsidR="002526B9">
        <w:rPr>
          <w:rFonts w:ascii="Times New Roman" w:eastAsia="Calibri" w:hAnsi="Times New Roman" w:cs="Times New Roman"/>
          <w:sz w:val="24"/>
          <w:szCs w:val="24"/>
        </w:rPr>
        <w:t xml:space="preserve"> perspectives</w:t>
      </w:r>
      <w:r w:rsidR="003E77C2">
        <w:rPr>
          <w:rFonts w:ascii="Times New Roman" w:eastAsia="Calibri" w:hAnsi="Times New Roman" w:cs="Times New Roman"/>
          <w:sz w:val="24"/>
          <w:szCs w:val="24"/>
        </w:rPr>
        <w:t>, which attempts to determine optimal mix of input resources to produce the given level of output.</w:t>
      </w:r>
      <w:r w:rsidR="002526B9">
        <w:rPr>
          <w:rFonts w:ascii="Times New Roman" w:eastAsia="Calibri" w:hAnsi="Times New Roman" w:cs="Times New Roman"/>
          <w:sz w:val="24"/>
          <w:szCs w:val="24"/>
        </w:rPr>
        <w:t xml:space="preserve"> </w:t>
      </w:r>
      <w:r w:rsidR="003E77C2">
        <w:rPr>
          <w:rFonts w:ascii="Times New Roman" w:eastAsia="Calibri" w:hAnsi="Times New Roman" w:cs="Times New Roman"/>
          <w:sz w:val="24"/>
          <w:szCs w:val="24"/>
        </w:rPr>
        <w:t>W</w:t>
      </w:r>
      <w:r w:rsidR="002526B9">
        <w:rPr>
          <w:rFonts w:ascii="Times New Roman" w:eastAsia="Calibri" w:hAnsi="Times New Roman" w:cs="Times New Roman"/>
          <w:sz w:val="24"/>
          <w:szCs w:val="24"/>
        </w:rPr>
        <w:t>ith banks having multiple outputs</w:t>
      </w:r>
      <w:r w:rsidR="00A02BA6">
        <w:rPr>
          <w:rFonts w:ascii="Times New Roman" w:eastAsia="Calibri" w:hAnsi="Times New Roman" w:cs="Times New Roman"/>
          <w:sz w:val="24"/>
          <w:szCs w:val="24"/>
        </w:rPr>
        <w:t>, such as profit, loans, and deposits; the paper uses the profit as the output variable, and bank capital and administrative expenses as capital and labour input variables</w:t>
      </w:r>
      <w:r w:rsidR="00107B15">
        <w:rPr>
          <w:rFonts w:ascii="Times New Roman" w:eastAsia="Calibri" w:hAnsi="Times New Roman" w:cs="Times New Roman"/>
          <w:sz w:val="24"/>
          <w:szCs w:val="24"/>
        </w:rPr>
        <w:t xml:space="preserve">. The other stage of the bank efficiency study is to investigate the linkages between bank efficiency and </w:t>
      </w:r>
      <w:r w:rsidR="00A02BA6">
        <w:rPr>
          <w:rFonts w:ascii="Times New Roman" w:eastAsia="Calibri" w:hAnsi="Times New Roman" w:cs="Times New Roman"/>
          <w:sz w:val="24"/>
          <w:szCs w:val="24"/>
        </w:rPr>
        <w:t>bank risk factors</w:t>
      </w:r>
      <w:r w:rsidR="0009461C">
        <w:rPr>
          <w:rFonts w:ascii="Times New Roman" w:eastAsia="Calibri" w:hAnsi="Times New Roman" w:cs="Times New Roman"/>
          <w:sz w:val="24"/>
          <w:szCs w:val="24"/>
        </w:rPr>
        <w:t xml:space="preserve">. </w:t>
      </w:r>
      <w:r w:rsidR="00A02BA6">
        <w:rPr>
          <w:rFonts w:ascii="Times New Roman" w:eastAsia="Calibri" w:hAnsi="Times New Roman" w:cs="Times New Roman"/>
          <w:sz w:val="24"/>
          <w:szCs w:val="24"/>
        </w:rPr>
        <w:t xml:space="preserve">This stage investigates </w:t>
      </w:r>
      <w:r w:rsidR="0009461C">
        <w:rPr>
          <w:rFonts w:ascii="Times New Roman" w:eastAsia="Calibri" w:hAnsi="Times New Roman" w:cs="Times New Roman"/>
          <w:sz w:val="24"/>
          <w:szCs w:val="24"/>
        </w:rPr>
        <w:t>the link between bank efficiency and the monetary policy</w:t>
      </w:r>
      <w:r w:rsidR="00A02BA6">
        <w:rPr>
          <w:rFonts w:ascii="Times New Roman" w:eastAsia="Calibri" w:hAnsi="Times New Roman" w:cs="Times New Roman"/>
          <w:sz w:val="24"/>
          <w:szCs w:val="24"/>
        </w:rPr>
        <w:t xml:space="preserve"> risk</w:t>
      </w:r>
      <w:r w:rsidR="0009461C">
        <w:rPr>
          <w:rFonts w:ascii="Times New Roman" w:eastAsia="Calibri" w:hAnsi="Times New Roman" w:cs="Times New Roman"/>
          <w:sz w:val="24"/>
          <w:szCs w:val="24"/>
        </w:rPr>
        <w:t xml:space="preserve">, </w:t>
      </w:r>
      <w:r w:rsidR="00A02BA6">
        <w:rPr>
          <w:rFonts w:ascii="Times New Roman" w:eastAsia="Calibri" w:hAnsi="Times New Roman" w:cs="Times New Roman"/>
          <w:sz w:val="24"/>
          <w:szCs w:val="24"/>
        </w:rPr>
        <w:t>credit risk, systematic and unsystematic risks</w:t>
      </w:r>
      <w:r w:rsidR="0009461C">
        <w:rPr>
          <w:rFonts w:ascii="Times New Roman" w:eastAsia="Calibri" w:hAnsi="Times New Roman" w:cs="Times New Roman"/>
          <w:sz w:val="24"/>
          <w:szCs w:val="24"/>
        </w:rPr>
        <w:t xml:space="preserve">.  This current paper discusses some of this literature and then indicates the gap it intends to fill in. </w:t>
      </w:r>
      <w:r w:rsidR="00107B15">
        <w:rPr>
          <w:rFonts w:ascii="Times New Roman" w:eastAsia="Calibri" w:hAnsi="Times New Roman" w:cs="Times New Roman"/>
          <w:sz w:val="24"/>
          <w:szCs w:val="24"/>
        </w:rPr>
        <w:t xml:space="preserve"> </w:t>
      </w:r>
    </w:p>
    <w:p w:rsidR="0071362E" w:rsidRPr="00960D4D" w:rsidRDefault="00BA0BC3" w:rsidP="008B0C42">
      <w:pPr>
        <w:spacing w:line="360" w:lineRule="auto"/>
        <w:jc w:val="both"/>
        <w:rPr>
          <w:rFonts w:ascii="Times New Roman" w:eastAsia="Calibri" w:hAnsi="Times New Roman" w:cs="Times New Roman"/>
          <w:sz w:val="24"/>
          <w:szCs w:val="24"/>
        </w:rPr>
      </w:pPr>
      <w:r w:rsidRPr="00960D4D">
        <w:rPr>
          <w:rFonts w:ascii="Times New Roman" w:eastAsia="Calibri" w:hAnsi="Times New Roman" w:cs="Times New Roman"/>
          <w:sz w:val="24"/>
          <w:szCs w:val="24"/>
        </w:rPr>
        <w:t xml:space="preserve">For the first stage study of bank efficiency, </w:t>
      </w:r>
      <w:proofErr w:type="spellStart"/>
      <w:r w:rsidR="0071362E" w:rsidRPr="00960D4D">
        <w:rPr>
          <w:rFonts w:ascii="Times New Roman" w:eastAsia="Calibri" w:hAnsi="Times New Roman" w:cs="Times New Roman"/>
          <w:sz w:val="24"/>
          <w:szCs w:val="24"/>
        </w:rPr>
        <w:t>Frimpong</w:t>
      </w:r>
      <w:proofErr w:type="spellEnd"/>
      <w:r w:rsidR="0071362E" w:rsidRPr="00960D4D">
        <w:rPr>
          <w:rFonts w:ascii="Times New Roman" w:eastAsia="Calibri" w:hAnsi="Times New Roman" w:cs="Times New Roman"/>
          <w:sz w:val="24"/>
          <w:szCs w:val="24"/>
        </w:rPr>
        <w:t xml:space="preserve"> (2010) conducts comparative study of efficiency across domestic private banks, state bank, and foreign banks in Ghana. He finds that domestic private banks top the list </w:t>
      </w:r>
      <w:r w:rsidR="008B0C42">
        <w:rPr>
          <w:rFonts w:ascii="Times New Roman" w:eastAsia="Calibri" w:hAnsi="Times New Roman" w:cs="Times New Roman"/>
          <w:sz w:val="24"/>
          <w:szCs w:val="24"/>
        </w:rPr>
        <w:t xml:space="preserve">of efficient banks </w:t>
      </w:r>
      <w:r w:rsidR="0071362E" w:rsidRPr="00960D4D">
        <w:rPr>
          <w:rFonts w:ascii="Times New Roman" w:eastAsia="Calibri" w:hAnsi="Times New Roman" w:cs="Times New Roman"/>
          <w:sz w:val="24"/>
          <w:szCs w:val="24"/>
        </w:rPr>
        <w:t xml:space="preserve">followed by foreign banks. Comparing domestic banks with foreign banks, </w:t>
      </w:r>
      <w:proofErr w:type="spellStart"/>
      <w:r w:rsidR="0071362E" w:rsidRPr="00960D4D">
        <w:rPr>
          <w:rFonts w:ascii="Times New Roman" w:eastAsia="Calibri" w:hAnsi="Times New Roman" w:cs="Times New Roman"/>
          <w:sz w:val="24"/>
          <w:szCs w:val="24"/>
        </w:rPr>
        <w:t>Matousek</w:t>
      </w:r>
      <w:proofErr w:type="spellEnd"/>
      <w:r w:rsidR="0071362E" w:rsidRPr="00960D4D">
        <w:rPr>
          <w:rFonts w:ascii="Times New Roman" w:eastAsia="Calibri" w:hAnsi="Times New Roman" w:cs="Times New Roman"/>
          <w:sz w:val="24"/>
          <w:szCs w:val="24"/>
        </w:rPr>
        <w:t xml:space="preserve"> and </w:t>
      </w:r>
      <w:proofErr w:type="spellStart"/>
      <w:r w:rsidR="0071362E" w:rsidRPr="00960D4D">
        <w:rPr>
          <w:rFonts w:ascii="Times New Roman" w:eastAsia="Calibri" w:hAnsi="Times New Roman" w:cs="Times New Roman"/>
          <w:sz w:val="24"/>
          <w:szCs w:val="24"/>
        </w:rPr>
        <w:t>Taci</w:t>
      </w:r>
      <w:proofErr w:type="spellEnd"/>
      <w:r w:rsidR="0071362E" w:rsidRPr="00960D4D">
        <w:rPr>
          <w:rFonts w:ascii="Times New Roman" w:eastAsia="Calibri" w:hAnsi="Times New Roman" w:cs="Times New Roman"/>
          <w:sz w:val="24"/>
          <w:szCs w:val="24"/>
        </w:rPr>
        <w:t xml:space="preserve"> (2004) find that the foreign banks have an edge over their domestic counterparts in Czech Republic. Thus, it was recommended to open up the domestic banking industry for foreign banks to boost the competition and efficiency in the banking industry. Comparing large banks with small banks, Wu et al (2008) conclude that large-sized banks are more efficient than the small-sized banks, the large-sized banks benefit from scale effects, and hence derive increasing returns to scale. This was earlier conformed in</w:t>
      </w:r>
      <w:r w:rsidR="0071362E" w:rsidRPr="0071362E">
        <w:rPr>
          <w:rFonts w:ascii="Times New Roman" w:eastAsia="Calibri" w:hAnsi="Times New Roman" w:cs="Times New Roman"/>
          <w:sz w:val="24"/>
          <w:szCs w:val="24"/>
        </w:rPr>
        <w:t xml:space="preserve"> the study of </w:t>
      </w:r>
      <w:proofErr w:type="spellStart"/>
      <w:r w:rsidR="0071362E" w:rsidRPr="00960D4D">
        <w:rPr>
          <w:rFonts w:ascii="Times New Roman" w:eastAsia="Calibri" w:hAnsi="Times New Roman" w:cs="Times New Roman"/>
          <w:sz w:val="24"/>
          <w:szCs w:val="24"/>
        </w:rPr>
        <w:t>Rosly</w:t>
      </w:r>
      <w:proofErr w:type="spellEnd"/>
      <w:r w:rsidR="0071362E" w:rsidRPr="00960D4D">
        <w:rPr>
          <w:rFonts w:ascii="Times New Roman" w:eastAsia="Calibri" w:hAnsi="Times New Roman" w:cs="Times New Roman"/>
          <w:sz w:val="24"/>
          <w:szCs w:val="24"/>
        </w:rPr>
        <w:t xml:space="preserve"> and Abu Baker (2003</w:t>
      </w:r>
      <w:r w:rsidR="0071362E" w:rsidRPr="00CA7B6E">
        <w:rPr>
          <w:rFonts w:ascii="Times New Roman" w:eastAsia="Calibri" w:hAnsi="Times New Roman" w:cs="Times New Roman"/>
          <w:sz w:val="24"/>
          <w:szCs w:val="24"/>
        </w:rPr>
        <w:t xml:space="preserve">), </w:t>
      </w:r>
      <w:proofErr w:type="spellStart"/>
      <w:r w:rsidR="0071362E" w:rsidRPr="00CA7B6E">
        <w:rPr>
          <w:rFonts w:ascii="Times New Roman" w:eastAsia="Calibri" w:hAnsi="Times New Roman" w:cs="Times New Roman"/>
          <w:sz w:val="24"/>
          <w:szCs w:val="24"/>
        </w:rPr>
        <w:t>Matousek</w:t>
      </w:r>
      <w:proofErr w:type="spellEnd"/>
      <w:r w:rsidR="0071362E" w:rsidRPr="00CA7B6E">
        <w:rPr>
          <w:rFonts w:ascii="Times New Roman" w:eastAsia="Calibri" w:hAnsi="Times New Roman" w:cs="Times New Roman"/>
          <w:sz w:val="24"/>
          <w:szCs w:val="24"/>
        </w:rPr>
        <w:t xml:space="preserve"> and </w:t>
      </w:r>
      <w:proofErr w:type="spellStart"/>
      <w:r w:rsidR="0071362E" w:rsidRPr="00CA7B6E">
        <w:rPr>
          <w:rFonts w:ascii="Times New Roman" w:eastAsia="Calibri" w:hAnsi="Times New Roman" w:cs="Times New Roman"/>
          <w:sz w:val="24"/>
          <w:szCs w:val="24"/>
        </w:rPr>
        <w:t>Taci</w:t>
      </w:r>
      <w:proofErr w:type="spellEnd"/>
      <w:r w:rsidR="0071362E" w:rsidRPr="00CA7B6E">
        <w:rPr>
          <w:rFonts w:ascii="Times New Roman" w:eastAsia="Calibri" w:hAnsi="Times New Roman" w:cs="Times New Roman"/>
          <w:sz w:val="24"/>
          <w:szCs w:val="24"/>
        </w:rPr>
        <w:t xml:space="preserve"> </w:t>
      </w:r>
      <w:r w:rsidR="0071362E" w:rsidRPr="00CA7B6E">
        <w:rPr>
          <w:rFonts w:ascii="Times New Roman" w:eastAsia="Calibri" w:hAnsi="Times New Roman" w:cs="Times New Roman"/>
          <w:sz w:val="24"/>
          <w:szCs w:val="24"/>
        </w:rPr>
        <w:lastRenderedPageBreak/>
        <w:t>(2004),</w:t>
      </w:r>
      <w:r w:rsidR="0071362E" w:rsidRPr="0071362E">
        <w:rPr>
          <w:rFonts w:ascii="Times New Roman" w:eastAsia="Calibri" w:hAnsi="Times New Roman" w:cs="Times New Roman"/>
          <w:sz w:val="24"/>
          <w:szCs w:val="24"/>
        </w:rPr>
        <w:t xml:space="preserve"> and recently </w:t>
      </w:r>
      <w:r w:rsidR="0071362E" w:rsidRPr="00960D4D">
        <w:rPr>
          <w:rFonts w:ascii="Times New Roman" w:eastAsia="Calibri" w:hAnsi="Times New Roman" w:cs="Times New Roman"/>
          <w:sz w:val="24"/>
          <w:szCs w:val="24"/>
        </w:rPr>
        <w:t xml:space="preserve">by </w:t>
      </w:r>
      <w:proofErr w:type="spellStart"/>
      <w:r w:rsidR="0071362E" w:rsidRPr="00960D4D">
        <w:rPr>
          <w:rFonts w:ascii="Times New Roman" w:eastAsia="Calibri" w:hAnsi="Times New Roman" w:cs="Times New Roman"/>
          <w:sz w:val="24"/>
          <w:szCs w:val="24"/>
        </w:rPr>
        <w:t>Zreika</w:t>
      </w:r>
      <w:proofErr w:type="spellEnd"/>
      <w:r w:rsidR="0071362E" w:rsidRPr="00960D4D">
        <w:rPr>
          <w:rFonts w:ascii="Times New Roman" w:eastAsia="Calibri" w:hAnsi="Times New Roman" w:cs="Times New Roman"/>
          <w:sz w:val="24"/>
          <w:szCs w:val="24"/>
        </w:rPr>
        <w:t xml:space="preserve"> and </w:t>
      </w:r>
      <w:proofErr w:type="spellStart"/>
      <w:r w:rsidR="0071362E" w:rsidRPr="00960D4D">
        <w:rPr>
          <w:rFonts w:ascii="Times New Roman" w:eastAsia="Calibri" w:hAnsi="Times New Roman" w:cs="Times New Roman"/>
          <w:sz w:val="24"/>
          <w:szCs w:val="24"/>
        </w:rPr>
        <w:t>Elkanj</w:t>
      </w:r>
      <w:proofErr w:type="spellEnd"/>
      <w:r w:rsidR="0071362E" w:rsidRPr="00960D4D">
        <w:rPr>
          <w:rFonts w:ascii="Times New Roman" w:eastAsia="Calibri" w:hAnsi="Times New Roman" w:cs="Times New Roman"/>
          <w:sz w:val="24"/>
          <w:szCs w:val="24"/>
        </w:rPr>
        <w:t xml:space="preserve"> (2011). These finding does not hold for Japanese banking industry, where small-niche forecasted banks are more efficient and enjoy significant economies of scale than large-sized banks, Drake and Hall (2003). Comparing Islamic banks and conventional banks </w:t>
      </w:r>
      <w:proofErr w:type="spellStart"/>
      <w:r w:rsidR="0071362E" w:rsidRPr="00960D4D">
        <w:rPr>
          <w:rFonts w:ascii="Times New Roman" w:eastAsia="Calibri" w:hAnsi="Times New Roman" w:cs="Times New Roman"/>
          <w:sz w:val="24"/>
          <w:szCs w:val="24"/>
        </w:rPr>
        <w:t>Rosly</w:t>
      </w:r>
      <w:proofErr w:type="spellEnd"/>
      <w:r w:rsidR="0071362E" w:rsidRPr="00960D4D">
        <w:rPr>
          <w:rFonts w:ascii="Times New Roman" w:eastAsia="Calibri" w:hAnsi="Times New Roman" w:cs="Times New Roman"/>
          <w:sz w:val="24"/>
          <w:szCs w:val="24"/>
        </w:rPr>
        <w:t xml:space="preserve"> and </w:t>
      </w:r>
      <w:proofErr w:type="spellStart"/>
      <w:r w:rsidR="0071362E" w:rsidRPr="00960D4D">
        <w:rPr>
          <w:rFonts w:ascii="Times New Roman" w:eastAsia="Calibri" w:hAnsi="Times New Roman" w:cs="Times New Roman"/>
          <w:sz w:val="24"/>
          <w:szCs w:val="24"/>
        </w:rPr>
        <w:t>Abubaker</w:t>
      </w:r>
      <w:proofErr w:type="spellEnd"/>
      <w:r w:rsidR="0071362E" w:rsidRPr="00960D4D">
        <w:rPr>
          <w:rFonts w:ascii="Times New Roman" w:eastAsia="Calibri" w:hAnsi="Times New Roman" w:cs="Times New Roman"/>
          <w:sz w:val="24"/>
          <w:szCs w:val="24"/>
        </w:rPr>
        <w:t xml:space="preserve"> (2003) find the Islamic banks </w:t>
      </w:r>
      <w:r w:rsidR="008B0C42">
        <w:rPr>
          <w:rFonts w:ascii="Times New Roman" w:eastAsia="Calibri" w:hAnsi="Times New Roman" w:cs="Times New Roman"/>
          <w:sz w:val="24"/>
          <w:szCs w:val="24"/>
        </w:rPr>
        <w:t xml:space="preserve">to be </w:t>
      </w:r>
      <w:r w:rsidR="0071362E" w:rsidRPr="00960D4D">
        <w:rPr>
          <w:rFonts w:ascii="Times New Roman" w:eastAsia="Calibri" w:hAnsi="Times New Roman" w:cs="Times New Roman"/>
          <w:sz w:val="24"/>
          <w:szCs w:val="24"/>
        </w:rPr>
        <w:t xml:space="preserve">less efficient than the conventional banks due to large scale effect enjoyed by the conventional banks. But this cannot be robust reason as evidenced in the case of </w:t>
      </w:r>
      <w:r w:rsidR="008B0C42">
        <w:rPr>
          <w:rFonts w:ascii="Times New Roman" w:eastAsia="Calibri" w:hAnsi="Times New Roman" w:cs="Times New Roman"/>
          <w:sz w:val="24"/>
          <w:szCs w:val="24"/>
        </w:rPr>
        <w:t>J</w:t>
      </w:r>
      <w:r w:rsidR="0071362E" w:rsidRPr="00960D4D">
        <w:rPr>
          <w:rFonts w:ascii="Times New Roman" w:eastAsia="Calibri" w:hAnsi="Times New Roman" w:cs="Times New Roman"/>
          <w:sz w:val="24"/>
          <w:szCs w:val="24"/>
        </w:rPr>
        <w:t>apan where small-sized banks fare better</w:t>
      </w:r>
      <w:r w:rsidR="008B0C42">
        <w:rPr>
          <w:rFonts w:ascii="Times New Roman" w:eastAsia="Calibri" w:hAnsi="Times New Roman" w:cs="Times New Roman"/>
          <w:sz w:val="24"/>
          <w:szCs w:val="24"/>
        </w:rPr>
        <w:t xml:space="preserve"> than</w:t>
      </w:r>
      <w:r w:rsidR="0071362E" w:rsidRPr="00960D4D">
        <w:rPr>
          <w:rFonts w:ascii="Times New Roman" w:eastAsia="Calibri" w:hAnsi="Times New Roman" w:cs="Times New Roman"/>
          <w:sz w:val="24"/>
          <w:szCs w:val="24"/>
        </w:rPr>
        <w:t xml:space="preserve"> the large-sized ones. </w:t>
      </w:r>
      <w:proofErr w:type="spellStart"/>
      <w:r w:rsidR="0071362E" w:rsidRPr="00960D4D">
        <w:rPr>
          <w:rFonts w:ascii="Times New Roman" w:eastAsia="Calibri" w:hAnsi="Times New Roman" w:cs="Times New Roman"/>
          <w:sz w:val="24"/>
          <w:szCs w:val="24"/>
        </w:rPr>
        <w:t>Mokhtar</w:t>
      </w:r>
      <w:proofErr w:type="spellEnd"/>
      <w:r w:rsidR="0071362E" w:rsidRPr="00960D4D">
        <w:rPr>
          <w:rFonts w:ascii="Times New Roman" w:eastAsia="Calibri" w:hAnsi="Times New Roman" w:cs="Times New Roman"/>
          <w:sz w:val="24"/>
          <w:szCs w:val="24"/>
        </w:rPr>
        <w:t xml:space="preserve"> et al (2008) have reached similar conclusion</w:t>
      </w:r>
      <w:r w:rsidR="008B0C42">
        <w:rPr>
          <w:rFonts w:ascii="Times New Roman" w:eastAsia="Calibri" w:hAnsi="Times New Roman" w:cs="Times New Roman"/>
          <w:sz w:val="24"/>
          <w:szCs w:val="24"/>
        </w:rPr>
        <w:t>s</w:t>
      </w:r>
      <w:r w:rsidR="0071362E" w:rsidRPr="00960D4D">
        <w:rPr>
          <w:rFonts w:ascii="Times New Roman" w:eastAsia="Calibri" w:hAnsi="Times New Roman" w:cs="Times New Roman"/>
          <w:sz w:val="24"/>
          <w:szCs w:val="24"/>
        </w:rPr>
        <w:t xml:space="preserve"> that Islamic b</w:t>
      </w:r>
      <w:r w:rsidR="00B27783" w:rsidRPr="00960D4D">
        <w:rPr>
          <w:rFonts w:ascii="Times New Roman" w:eastAsia="Calibri" w:hAnsi="Times New Roman" w:cs="Times New Roman"/>
          <w:sz w:val="24"/>
          <w:szCs w:val="24"/>
        </w:rPr>
        <w:t>ank are less efficient</w:t>
      </w:r>
      <w:r w:rsidR="008B0C42">
        <w:rPr>
          <w:rFonts w:ascii="Times New Roman" w:eastAsia="Calibri" w:hAnsi="Times New Roman" w:cs="Times New Roman"/>
          <w:sz w:val="24"/>
          <w:szCs w:val="24"/>
        </w:rPr>
        <w:t>; wherever,</w:t>
      </w:r>
      <w:r w:rsidR="00B27783" w:rsidRPr="00960D4D">
        <w:rPr>
          <w:rFonts w:ascii="Times New Roman" w:eastAsia="Calibri" w:hAnsi="Times New Roman" w:cs="Times New Roman"/>
          <w:sz w:val="24"/>
          <w:szCs w:val="24"/>
        </w:rPr>
        <w:t xml:space="preserve"> </w:t>
      </w:r>
      <w:proofErr w:type="spellStart"/>
      <w:r w:rsidR="00B27783" w:rsidRPr="00960D4D">
        <w:rPr>
          <w:rFonts w:ascii="Times New Roman" w:eastAsia="Calibri" w:hAnsi="Times New Roman" w:cs="Times New Roman"/>
          <w:sz w:val="24"/>
          <w:szCs w:val="24"/>
        </w:rPr>
        <w:t>Shahid</w:t>
      </w:r>
      <w:proofErr w:type="spellEnd"/>
      <w:r w:rsidR="00B27783" w:rsidRPr="00960D4D">
        <w:rPr>
          <w:rFonts w:ascii="Times New Roman" w:eastAsia="Calibri" w:hAnsi="Times New Roman" w:cs="Times New Roman"/>
          <w:sz w:val="24"/>
          <w:szCs w:val="24"/>
        </w:rPr>
        <w:t xml:space="preserve"> et al</w:t>
      </w:r>
      <w:r w:rsidR="0071362E" w:rsidRPr="00960D4D">
        <w:rPr>
          <w:rFonts w:ascii="Times New Roman" w:eastAsia="Calibri" w:hAnsi="Times New Roman" w:cs="Times New Roman"/>
          <w:sz w:val="24"/>
          <w:szCs w:val="24"/>
        </w:rPr>
        <w:t xml:space="preserve"> (2010) and Akhter et al (2011) find no significant difference between the types of banks. For international comparison, </w:t>
      </w:r>
      <w:proofErr w:type="spellStart"/>
      <w:r w:rsidR="0071362E" w:rsidRPr="00960D4D">
        <w:rPr>
          <w:rFonts w:ascii="Times New Roman" w:eastAsia="Calibri" w:hAnsi="Times New Roman" w:cs="Times New Roman"/>
          <w:sz w:val="24"/>
          <w:szCs w:val="24"/>
        </w:rPr>
        <w:t>Maudo</w:t>
      </w:r>
      <w:proofErr w:type="spellEnd"/>
      <w:r w:rsidR="0071362E" w:rsidRPr="00960D4D">
        <w:rPr>
          <w:rFonts w:ascii="Times New Roman" w:eastAsia="Calibri" w:hAnsi="Times New Roman" w:cs="Times New Roman"/>
          <w:sz w:val="24"/>
          <w:szCs w:val="24"/>
        </w:rPr>
        <w:t xml:space="preserve"> and </w:t>
      </w:r>
      <w:r w:rsidR="008B0C42">
        <w:rPr>
          <w:rFonts w:ascii="Times New Roman" w:eastAsia="Calibri" w:hAnsi="Times New Roman" w:cs="Times New Roman"/>
          <w:sz w:val="24"/>
          <w:szCs w:val="24"/>
        </w:rPr>
        <w:t>P</w:t>
      </w:r>
      <w:r w:rsidR="0071362E" w:rsidRPr="00960D4D">
        <w:rPr>
          <w:rFonts w:ascii="Times New Roman" w:eastAsia="Calibri" w:hAnsi="Times New Roman" w:cs="Times New Roman"/>
          <w:sz w:val="24"/>
          <w:szCs w:val="24"/>
        </w:rPr>
        <w:t>astor (1999) find that European and American banks</w:t>
      </w:r>
      <w:r w:rsidR="008B0C42">
        <w:rPr>
          <w:rFonts w:ascii="Times New Roman" w:eastAsia="Calibri" w:hAnsi="Times New Roman" w:cs="Times New Roman"/>
          <w:sz w:val="24"/>
          <w:szCs w:val="24"/>
        </w:rPr>
        <w:t xml:space="preserve"> enjoy</w:t>
      </w:r>
      <w:r w:rsidR="0071362E" w:rsidRPr="00960D4D">
        <w:rPr>
          <w:rFonts w:ascii="Times New Roman" w:eastAsia="Calibri" w:hAnsi="Times New Roman" w:cs="Times New Roman"/>
          <w:sz w:val="24"/>
          <w:szCs w:val="24"/>
        </w:rPr>
        <w:t xml:space="preserve"> better performance as cost and profit efficiencies are concerned, and hence European and Americans banks are generally more profitable than the Japanese counterparts due to the presence of efficiency inequalities between them in the Japanese banks. </w:t>
      </w:r>
    </w:p>
    <w:p w:rsidR="0071362E" w:rsidRPr="0071362E" w:rsidRDefault="00BA0BC3" w:rsidP="00107982">
      <w:pPr>
        <w:spacing w:line="360" w:lineRule="auto"/>
        <w:jc w:val="both"/>
        <w:rPr>
          <w:rFonts w:ascii="Times New Roman" w:eastAsia="Calibri" w:hAnsi="Times New Roman" w:cs="Times New Roman"/>
          <w:sz w:val="24"/>
          <w:szCs w:val="24"/>
        </w:rPr>
      </w:pPr>
      <w:r w:rsidRPr="00960D4D">
        <w:rPr>
          <w:rFonts w:ascii="Times New Roman" w:eastAsia="Calibri" w:hAnsi="Times New Roman" w:cs="Times New Roman"/>
          <w:sz w:val="24"/>
          <w:szCs w:val="24"/>
        </w:rPr>
        <w:t xml:space="preserve">For the second stage of efficiency study that investigates the linkage between bank efficiency and other factors, </w:t>
      </w:r>
      <w:proofErr w:type="spellStart"/>
      <w:r w:rsidR="0071362E" w:rsidRPr="00960D4D">
        <w:rPr>
          <w:rFonts w:ascii="Times New Roman" w:eastAsia="Calibri" w:hAnsi="Times New Roman" w:cs="Times New Roman"/>
          <w:sz w:val="24"/>
          <w:szCs w:val="24"/>
        </w:rPr>
        <w:t>Maudo</w:t>
      </w:r>
      <w:proofErr w:type="spellEnd"/>
      <w:r w:rsidR="0071362E" w:rsidRPr="00960D4D">
        <w:rPr>
          <w:rFonts w:ascii="Times New Roman" w:eastAsia="Calibri" w:hAnsi="Times New Roman" w:cs="Times New Roman"/>
          <w:sz w:val="24"/>
          <w:szCs w:val="24"/>
        </w:rPr>
        <w:t xml:space="preserve"> and Pastor (1999) find that </w:t>
      </w:r>
      <w:r w:rsidRPr="00960D4D">
        <w:rPr>
          <w:rFonts w:ascii="Times New Roman" w:eastAsia="Calibri" w:hAnsi="Times New Roman" w:cs="Times New Roman"/>
          <w:sz w:val="24"/>
          <w:szCs w:val="24"/>
        </w:rPr>
        <w:t>as the</w:t>
      </w:r>
      <w:r w:rsidR="0071362E" w:rsidRPr="00960D4D">
        <w:rPr>
          <w:rFonts w:ascii="Times New Roman" w:eastAsia="Calibri" w:hAnsi="Times New Roman" w:cs="Times New Roman"/>
          <w:sz w:val="24"/>
          <w:szCs w:val="24"/>
        </w:rPr>
        <w:t xml:space="preserve"> level of competition increases, European banks and American banks gain more in profit efficiency than their Japanese counterparts</w:t>
      </w:r>
      <w:r w:rsidR="008B0C42">
        <w:rPr>
          <w:rFonts w:ascii="Times New Roman" w:eastAsia="Calibri" w:hAnsi="Times New Roman" w:cs="Times New Roman"/>
          <w:sz w:val="24"/>
          <w:szCs w:val="24"/>
        </w:rPr>
        <w:t>. I</w:t>
      </w:r>
      <w:r w:rsidR="0071362E" w:rsidRPr="00960D4D">
        <w:rPr>
          <w:rFonts w:ascii="Times New Roman" w:eastAsia="Calibri" w:hAnsi="Times New Roman" w:cs="Times New Roman"/>
          <w:sz w:val="24"/>
          <w:szCs w:val="24"/>
        </w:rPr>
        <w:t>ncreased competition by allowing more banks into the industry</w:t>
      </w:r>
      <w:r w:rsidR="00107982">
        <w:rPr>
          <w:rFonts w:ascii="Times New Roman" w:eastAsia="Calibri" w:hAnsi="Times New Roman" w:cs="Times New Roman"/>
          <w:sz w:val="24"/>
          <w:szCs w:val="24"/>
        </w:rPr>
        <w:t xml:space="preserve"> is found to</w:t>
      </w:r>
      <w:r w:rsidR="0071362E" w:rsidRPr="00960D4D">
        <w:rPr>
          <w:rFonts w:ascii="Times New Roman" w:eastAsia="Calibri" w:hAnsi="Times New Roman" w:cs="Times New Roman"/>
          <w:sz w:val="24"/>
          <w:szCs w:val="24"/>
        </w:rPr>
        <w:t xml:space="preserve"> improve the</w:t>
      </w:r>
      <w:r w:rsidR="0071362E" w:rsidRPr="0071362E">
        <w:rPr>
          <w:rFonts w:ascii="Times New Roman" w:eastAsia="Calibri" w:hAnsi="Times New Roman" w:cs="Times New Roman"/>
          <w:sz w:val="24"/>
          <w:szCs w:val="24"/>
        </w:rPr>
        <w:t xml:space="preserve"> performance and overall efficiency of the </w:t>
      </w:r>
      <w:r w:rsidR="00107982">
        <w:rPr>
          <w:rFonts w:ascii="Times New Roman" w:eastAsia="Calibri" w:hAnsi="Times New Roman" w:cs="Times New Roman"/>
          <w:sz w:val="24"/>
          <w:szCs w:val="24"/>
        </w:rPr>
        <w:t xml:space="preserve">banking </w:t>
      </w:r>
      <w:r w:rsidR="0071362E" w:rsidRPr="0071362E">
        <w:rPr>
          <w:rFonts w:ascii="Times New Roman" w:eastAsia="Calibri" w:hAnsi="Times New Roman" w:cs="Times New Roman"/>
          <w:sz w:val="24"/>
          <w:szCs w:val="24"/>
        </w:rPr>
        <w:t xml:space="preserve">industry, </w:t>
      </w:r>
      <w:proofErr w:type="spellStart"/>
      <w:r w:rsidR="0071362E" w:rsidRPr="007E2FEA">
        <w:rPr>
          <w:rFonts w:ascii="Times New Roman" w:eastAsia="Calibri" w:hAnsi="Times New Roman" w:cs="Times New Roman"/>
          <w:sz w:val="24"/>
          <w:szCs w:val="24"/>
        </w:rPr>
        <w:t>Matousek</w:t>
      </w:r>
      <w:proofErr w:type="spellEnd"/>
      <w:r w:rsidR="0071362E" w:rsidRPr="007E2FEA">
        <w:rPr>
          <w:rFonts w:ascii="Times New Roman" w:eastAsia="Calibri" w:hAnsi="Times New Roman" w:cs="Times New Roman"/>
          <w:sz w:val="24"/>
          <w:szCs w:val="24"/>
        </w:rPr>
        <w:t xml:space="preserve"> and </w:t>
      </w:r>
      <w:proofErr w:type="spellStart"/>
      <w:r w:rsidR="0071362E" w:rsidRPr="007E2FEA">
        <w:rPr>
          <w:rFonts w:ascii="Times New Roman" w:eastAsia="Calibri" w:hAnsi="Times New Roman" w:cs="Times New Roman"/>
          <w:sz w:val="24"/>
          <w:szCs w:val="24"/>
        </w:rPr>
        <w:t>Taci</w:t>
      </w:r>
      <w:proofErr w:type="spellEnd"/>
      <w:r w:rsidR="0071362E" w:rsidRPr="007E2FEA">
        <w:rPr>
          <w:rFonts w:ascii="Times New Roman" w:eastAsia="Calibri" w:hAnsi="Times New Roman" w:cs="Times New Roman"/>
          <w:sz w:val="24"/>
          <w:szCs w:val="24"/>
        </w:rPr>
        <w:t xml:space="preserve"> (2004)</w:t>
      </w:r>
      <w:r w:rsidR="00107982">
        <w:rPr>
          <w:rFonts w:ascii="Times New Roman" w:eastAsia="Calibri" w:hAnsi="Times New Roman" w:cs="Times New Roman"/>
          <w:sz w:val="24"/>
          <w:szCs w:val="24"/>
        </w:rPr>
        <w:t>, whereas the</w:t>
      </w:r>
      <w:r w:rsidR="0071362E" w:rsidRPr="0071362E">
        <w:rPr>
          <w:rFonts w:ascii="Times New Roman" w:eastAsia="Calibri" w:hAnsi="Times New Roman" w:cs="Times New Roman"/>
          <w:sz w:val="24"/>
          <w:szCs w:val="24"/>
        </w:rPr>
        <w:t xml:space="preserve"> event</w:t>
      </w:r>
      <w:r w:rsidR="00107982">
        <w:rPr>
          <w:rFonts w:ascii="Times New Roman" w:eastAsia="Calibri" w:hAnsi="Times New Roman" w:cs="Times New Roman"/>
          <w:sz w:val="24"/>
          <w:szCs w:val="24"/>
        </w:rPr>
        <w:t>s</w:t>
      </w:r>
      <w:r w:rsidR="0071362E" w:rsidRPr="0071362E">
        <w:rPr>
          <w:rFonts w:ascii="Times New Roman" w:eastAsia="Calibri" w:hAnsi="Times New Roman" w:cs="Times New Roman"/>
          <w:sz w:val="24"/>
          <w:szCs w:val="24"/>
        </w:rPr>
        <w:t xml:space="preserve"> </w:t>
      </w:r>
      <w:r w:rsidR="00107982">
        <w:rPr>
          <w:rFonts w:ascii="Times New Roman" w:eastAsia="Calibri" w:hAnsi="Times New Roman" w:cs="Times New Roman"/>
          <w:sz w:val="24"/>
          <w:szCs w:val="24"/>
        </w:rPr>
        <w:t>of financial crises impact</w:t>
      </w:r>
      <w:r w:rsidR="0071362E" w:rsidRPr="00960D4D">
        <w:rPr>
          <w:rFonts w:ascii="Times New Roman" w:eastAsia="Calibri" w:hAnsi="Times New Roman" w:cs="Times New Roman"/>
          <w:sz w:val="24"/>
          <w:szCs w:val="24"/>
        </w:rPr>
        <w:t xml:space="preserve"> less</w:t>
      </w:r>
      <w:r w:rsidR="00107982">
        <w:rPr>
          <w:rFonts w:ascii="Times New Roman" w:eastAsia="Calibri" w:hAnsi="Times New Roman" w:cs="Times New Roman"/>
          <w:sz w:val="24"/>
          <w:szCs w:val="24"/>
        </w:rPr>
        <w:t xml:space="preserve"> significantly</w:t>
      </w:r>
      <w:r w:rsidR="0071362E" w:rsidRPr="00960D4D">
        <w:rPr>
          <w:rFonts w:ascii="Times New Roman" w:eastAsia="Calibri" w:hAnsi="Times New Roman" w:cs="Times New Roman"/>
          <w:sz w:val="24"/>
          <w:szCs w:val="24"/>
        </w:rPr>
        <w:t xml:space="preserve"> on the efficiency and performance of Islamic Banks than that </w:t>
      </w:r>
      <w:r w:rsidR="00CC27C5" w:rsidRPr="00960D4D">
        <w:rPr>
          <w:rFonts w:ascii="Times New Roman" w:eastAsia="Calibri" w:hAnsi="Times New Roman" w:cs="Times New Roman"/>
          <w:sz w:val="24"/>
          <w:szCs w:val="24"/>
        </w:rPr>
        <w:t>of conventional banks</w:t>
      </w:r>
      <w:r w:rsidR="00107982">
        <w:rPr>
          <w:rFonts w:ascii="Times New Roman" w:eastAsia="Calibri" w:hAnsi="Times New Roman" w:cs="Times New Roman"/>
          <w:sz w:val="24"/>
          <w:szCs w:val="24"/>
        </w:rPr>
        <w:t>,</w:t>
      </w:r>
      <w:r w:rsidR="00CC27C5" w:rsidRPr="00960D4D">
        <w:rPr>
          <w:rFonts w:ascii="Times New Roman" w:eastAsia="Calibri" w:hAnsi="Times New Roman" w:cs="Times New Roman"/>
          <w:sz w:val="24"/>
          <w:szCs w:val="24"/>
        </w:rPr>
        <w:t xml:space="preserve"> </w:t>
      </w:r>
      <w:proofErr w:type="spellStart"/>
      <w:r w:rsidR="0071362E" w:rsidRPr="00960D4D">
        <w:rPr>
          <w:rFonts w:ascii="Times New Roman" w:eastAsia="Calibri" w:hAnsi="Times New Roman" w:cs="Times New Roman"/>
          <w:sz w:val="24"/>
          <w:szCs w:val="24"/>
        </w:rPr>
        <w:t>Hadi</w:t>
      </w:r>
      <w:proofErr w:type="spellEnd"/>
      <w:r w:rsidR="0071362E" w:rsidRPr="00960D4D">
        <w:rPr>
          <w:rFonts w:ascii="Times New Roman" w:eastAsia="Calibri" w:hAnsi="Times New Roman" w:cs="Times New Roman"/>
          <w:sz w:val="24"/>
          <w:szCs w:val="24"/>
        </w:rPr>
        <w:t xml:space="preserve"> and </w:t>
      </w:r>
      <w:proofErr w:type="spellStart"/>
      <w:r w:rsidR="0071362E" w:rsidRPr="00960D4D">
        <w:rPr>
          <w:rFonts w:ascii="Times New Roman" w:eastAsia="Calibri" w:hAnsi="Times New Roman" w:cs="Times New Roman"/>
          <w:sz w:val="24"/>
          <w:szCs w:val="24"/>
        </w:rPr>
        <w:t>Saad</w:t>
      </w:r>
      <w:proofErr w:type="spellEnd"/>
      <w:r w:rsidR="0071362E" w:rsidRPr="00960D4D">
        <w:rPr>
          <w:rFonts w:ascii="Times New Roman" w:eastAsia="Calibri" w:hAnsi="Times New Roman" w:cs="Times New Roman"/>
          <w:sz w:val="24"/>
          <w:szCs w:val="24"/>
        </w:rPr>
        <w:t xml:space="preserve"> (2010)</w:t>
      </w:r>
      <w:r w:rsidR="00107982">
        <w:rPr>
          <w:rFonts w:ascii="Times New Roman" w:eastAsia="Calibri" w:hAnsi="Times New Roman" w:cs="Times New Roman"/>
          <w:sz w:val="24"/>
          <w:szCs w:val="24"/>
        </w:rPr>
        <w:t>,</w:t>
      </w:r>
      <w:r w:rsidR="0071362E" w:rsidRPr="00960D4D">
        <w:rPr>
          <w:rFonts w:ascii="Times New Roman" w:eastAsia="Calibri" w:hAnsi="Times New Roman" w:cs="Times New Roman"/>
          <w:sz w:val="24"/>
          <w:szCs w:val="24"/>
        </w:rPr>
        <w:t xml:space="preserve"> Said (2012a)</w:t>
      </w:r>
      <w:r w:rsidR="00107982">
        <w:rPr>
          <w:rFonts w:ascii="Times New Roman" w:eastAsia="Calibri" w:hAnsi="Times New Roman" w:cs="Times New Roman"/>
          <w:sz w:val="24"/>
          <w:szCs w:val="24"/>
        </w:rPr>
        <w:t>,</w:t>
      </w:r>
      <w:r w:rsidR="0071362E" w:rsidRPr="00960D4D">
        <w:rPr>
          <w:rFonts w:ascii="Times New Roman" w:eastAsia="Calibri" w:hAnsi="Times New Roman" w:cs="Times New Roman"/>
          <w:sz w:val="24"/>
          <w:szCs w:val="24"/>
        </w:rPr>
        <w:t xml:space="preserve"> and Said (2012b). Studying the determinants of bank efficiency in a sample of banks in China, Mathews and Zhang (2010) find that cost reduction and technical diversification of revenue away from interest earnings are significant contributors to improving bank efficiency. The environments in which the banks operate are also important factors of bank efficiency</w:t>
      </w:r>
      <w:r w:rsidR="00BA35D4" w:rsidRPr="00960D4D">
        <w:rPr>
          <w:rFonts w:ascii="Times New Roman" w:eastAsia="Calibri" w:hAnsi="Times New Roman" w:cs="Times New Roman"/>
          <w:sz w:val="24"/>
          <w:szCs w:val="24"/>
        </w:rPr>
        <w:t xml:space="preserve"> as highlighted by </w:t>
      </w:r>
      <w:proofErr w:type="spellStart"/>
      <w:r w:rsidR="00BA35D4" w:rsidRPr="00960D4D">
        <w:rPr>
          <w:rFonts w:ascii="Times New Roman" w:eastAsia="Calibri" w:hAnsi="Times New Roman" w:cs="Times New Roman"/>
          <w:sz w:val="24"/>
          <w:szCs w:val="24"/>
        </w:rPr>
        <w:t>Chortareas</w:t>
      </w:r>
      <w:proofErr w:type="spellEnd"/>
      <w:r w:rsidR="00BA35D4" w:rsidRPr="00960D4D">
        <w:rPr>
          <w:rFonts w:ascii="Times New Roman" w:eastAsia="Calibri" w:hAnsi="Times New Roman" w:cs="Times New Roman"/>
          <w:sz w:val="24"/>
          <w:szCs w:val="24"/>
        </w:rPr>
        <w:t xml:space="preserve"> et al</w:t>
      </w:r>
      <w:r w:rsidR="0071362E" w:rsidRPr="00960D4D">
        <w:rPr>
          <w:rFonts w:ascii="Times New Roman" w:eastAsia="Calibri" w:hAnsi="Times New Roman" w:cs="Times New Roman"/>
          <w:sz w:val="24"/>
          <w:szCs w:val="24"/>
        </w:rPr>
        <w:t xml:space="preserve"> (2012). They find that banks operating in freer economic and political environments gain better cost advantages and overall efficiency than their counterparts in less free economic political environments. Analysing bank efficiency across eight Asian countries, Sun and Chang (2011) conclude that risk measures, such as credit risk, operational risk and market risk, are significant determinants of the variations in the level and variability of bank efficiency; and the results tend to be different across the countries and over time.</w:t>
      </w:r>
      <w:r w:rsidR="006D4AEF" w:rsidRPr="00960D4D">
        <w:rPr>
          <w:rFonts w:ascii="Times New Roman" w:eastAsia="Calibri" w:hAnsi="Times New Roman" w:cs="Times New Roman"/>
          <w:sz w:val="24"/>
          <w:szCs w:val="24"/>
        </w:rPr>
        <w:t xml:space="preserve"> Al-</w:t>
      </w:r>
      <w:proofErr w:type="spellStart"/>
      <w:r w:rsidR="006D4AEF" w:rsidRPr="00960D4D">
        <w:rPr>
          <w:rFonts w:ascii="Times New Roman" w:eastAsia="Calibri" w:hAnsi="Times New Roman" w:cs="Times New Roman"/>
          <w:sz w:val="24"/>
          <w:szCs w:val="24"/>
        </w:rPr>
        <w:t>Jarrah</w:t>
      </w:r>
      <w:proofErr w:type="spellEnd"/>
      <w:r w:rsidR="006D4AEF" w:rsidRPr="00960D4D">
        <w:rPr>
          <w:rFonts w:ascii="Times New Roman" w:eastAsia="Calibri" w:hAnsi="Times New Roman" w:cs="Times New Roman"/>
          <w:sz w:val="24"/>
          <w:szCs w:val="24"/>
        </w:rPr>
        <w:t xml:space="preserve"> (2012) finds that in Jordan systematic risks dominate non-systematic risks in explaining</w:t>
      </w:r>
      <w:r w:rsidR="006D4AEF">
        <w:rPr>
          <w:rFonts w:ascii="Times New Roman" w:eastAsia="Calibri" w:hAnsi="Times New Roman" w:cs="Times New Roman"/>
          <w:sz w:val="24"/>
          <w:szCs w:val="24"/>
        </w:rPr>
        <w:t xml:space="preserve"> banking efficiency</w:t>
      </w:r>
      <w:r w:rsidR="00C4203D">
        <w:rPr>
          <w:rFonts w:ascii="Times New Roman" w:eastAsia="Calibri" w:hAnsi="Times New Roman" w:cs="Times New Roman"/>
          <w:sz w:val="24"/>
          <w:szCs w:val="24"/>
        </w:rPr>
        <w:t xml:space="preserve">. </w:t>
      </w:r>
      <w:r w:rsidR="00107982">
        <w:rPr>
          <w:rFonts w:ascii="Times New Roman" w:eastAsia="Calibri" w:hAnsi="Times New Roman" w:cs="Times New Roman"/>
          <w:sz w:val="24"/>
          <w:szCs w:val="24"/>
        </w:rPr>
        <w:t>Some</w:t>
      </w:r>
      <w:r w:rsidR="00C4203D">
        <w:rPr>
          <w:rFonts w:ascii="Times New Roman" w:eastAsia="Calibri" w:hAnsi="Times New Roman" w:cs="Times New Roman"/>
          <w:sz w:val="24"/>
          <w:szCs w:val="24"/>
        </w:rPr>
        <w:t xml:space="preserve"> researchers</w:t>
      </w:r>
      <w:r w:rsidR="005947B4">
        <w:rPr>
          <w:rFonts w:ascii="Times New Roman" w:eastAsia="Calibri" w:hAnsi="Times New Roman" w:cs="Times New Roman"/>
          <w:sz w:val="24"/>
          <w:szCs w:val="24"/>
        </w:rPr>
        <w:t xml:space="preserve">, </w:t>
      </w:r>
      <w:r w:rsidR="00C4203D">
        <w:rPr>
          <w:rFonts w:ascii="Times New Roman" w:eastAsia="Calibri" w:hAnsi="Times New Roman" w:cs="Times New Roman"/>
          <w:sz w:val="24"/>
          <w:szCs w:val="24"/>
        </w:rPr>
        <w:t xml:space="preserve">such </w:t>
      </w:r>
      <w:r w:rsidR="00107982">
        <w:rPr>
          <w:rFonts w:ascii="Times New Roman" w:eastAsia="Calibri" w:hAnsi="Times New Roman" w:cs="Times New Roman"/>
          <w:sz w:val="24"/>
          <w:szCs w:val="24"/>
        </w:rPr>
        <w:t xml:space="preserve">as </w:t>
      </w:r>
      <w:proofErr w:type="spellStart"/>
      <w:r w:rsidR="00107982">
        <w:rPr>
          <w:rFonts w:ascii="Times New Roman" w:eastAsia="Calibri" w:hAnsi="Times New Roman" w:cs="Times New Roman"/>
          <w:sz w:val="24"/>
          <w:szCs w:val="24"/>
        </w:rPr>
        <w:t>knaup</w:t>
      </w:r>
      <w:proofErr w:type="spellEnd"/>
      <w:r w:rsidR="00107982">
        <w:rPr>
          <w:rFonts w:ascii="Times New Roman" w:eastAsia="Calibri" w:hAnsi="Times New Roman" w:cs="Times New Roman"/>
          <w:sz w:val="24"/>
          <w:szCs w:val="24"/>
        </w:rPr>
        <w:t xml:space="preserve"> and Wagner (2012);</w:t>
      </w:r>
      <w:r w:rsidR="00C4203D" w:rsidRPr="00CA7B6E">
        <w:rPr>
          <w:rFonts w:ascii="Times New Roman" w:eastAsia="Calibri" w:hAnsi="Times New Roman" w:cs="Times New Roman"/>
          <w:sz w:val="24"/>
          <w:szCs w:val="24"/>
        </w:rPr>
        <w:t xml:space="preserve"> Lu and Wang (2012)</w:t>
      </w:r>
      <w:r w:rsidR="00107982">
        <w:rPr>
          <w:rFonts w:ascii="Times New Roman" w:eastAsia="Calibri" w:hAnsi="Times New Roman" w:cs="Times New Roman"/>
          <w:sz w:val="24"/>
          <w:szCs w:val="24"/>
        </w:rPr>
        <w:t xml:space="preserve"> and</w:t>
      </w:r>
      <w:r w:rsidR="00107982" w:rsidRPr="00CA7B6E">
        <w:rPr>
          <w:rFonts w:ascii="Times New Roman" w:eastAsia="Calibri" w:hAnsi="Times New Roman" w:cs="Times New Roman"/>
          <w:sz w:val="24"/>
          <w:szCs w:val="24"/>
        </w:rPr>
        <w:t xml:space="preserve"> </w:t>
      </w:r>
      <w:hyperlink r:id="rId9" w:history="1">
        <w:r w:rsidR="000625BD" w:rsidRPr="00CA7B6E">
          <w:rPr>
            <w:rFonts w:asciiTheme="majorBidi" w:hAnsiTheme="majorBidi" w:cstheme="majorBidi"/>
            <w:sz w:val="24"/>
            <w:szCs w:val="24"/>
          </w:rPr>
          <w:t>Chen</w:t>
        </w:r>
      </w:hyperlink>
      <w:r w:rsidR="000625BD" w:rsidRPr="00CA7B6E">
        <w:rPr>
          <w:rFonts w:asciiTheme="majorBidi" w:hAnsiTheme="majorBidi" w:cstheme="majorBidi"/>
          <w:sz w:val="24"/>
          <w:szCs w:val="24"/>
        </w:rPr>
        <w:t xml:space="preserve"> and </w:t>
      </w:r>
      <w:hyperlink r:id="rId10" w:history="1">
        <w:r w:rsidR="000625BD" w:rsidRPr="00CA7B6E">
          <w:rPr>
            <w:rFonts w:asciiTheme="majorBidi" w:hAnsiTheme="majorBidi" w:cstheme="majorBidi"/>
            <w:sz w:val="24"/>
            <w:szCs w:val="24"/>
          </w:rPr>
          <w:t>Liao</w:t>
        </w:r>
      </w:hyperlink>
      <w:r w:rsidR="000625BD" w:rsidRPr="00CA7B6E">
        <w:rPr>
          <w:rFonts w:asciiTheme="majorBidi" w:hAnsiTheme="majorBidi" w:cstheme="majorBidi"/>
          <w:sz w:val="24"/>
          <w:szCs w:val="24"/>
        </w:rPr>
        <w:t xml:space="preserve"> </w:t>
      </w:r>
      <w:r w:rsidR="00C4203D" w:rsidRPr="00CA7B6E">
        <w:rPr>
          <w:rFonts w:ascii="Times New Roman" w:eastAsia="Calibri" w:hAnsi="Times New Roman" w:cs="Times New Roman"/>
          <w:sz w:val="24"/>
          <w:szCs w:val="24"/>
        </w:rPr>
        <w:t xml:space="preserve">(2011), focus on the effects of the </w:t>
      </w:r>
      <w:r w:rsidR="00C4203D" w:rsidRPr="00CA7B6E">
        <w:rPr>
          <w:rFonts w:ascii="Times New Roman" w:eastAsia="Calibri" w:hAnsi="Times New Roman" w:cs="Times New Roman"/>
          <w:sz w:val="24"/>
          <w:szCs w:val="24"/>
        </w:rPr>
        <w:lastRenderedPageBreak/>
        <w:t xml:space="preserve">non-systemic risk measures on the bank efficiency. </w:t>
      </w:r>
      <w:r w:rsidR="001516D9" w:rsidRPr="00CA7B6E">
        <w:rPr>
          <w:rFonts w:ascii="Times New Roman" w:eastAsia="Calibri" w:hAnsi="Times New Roman" w:cs="Times New Roman"/>
          <w:sz w:val="24"/>
          <w:szCs w:val="24"/>
        </w:rPr>
        <w:t>M</w:t>
      </w:r>
      <w:r w:rsidR="00C4203D" w:rsidRPr="00CA7B6E">
        <w:rPr>
          <w:rFonts w:ascii="Times New Roman" w:eastAsia="Calibri" w:hAnsi="Times New Roman" w:cs="Times New Roman"/>
          <w:sz w:val="24"/>
          <w:szCs w:val="24"/>
        </w:rPr>
        <w:t xml:space="preserve">easures </w:t>
      </w:r>
      <w:r w:rsidR="003C5CD7" w:rsidRPr="00CA7B6E">
        <w:rPr>
          <w:rFonts w:ascii="Times New Roman" w:eastAsia="Calibri" w:hAnsi="Times New Roman" w:cs="Times New Roman"/>
          <w:sz w:val="24"/>
          <w:szCs w:val="24"/>
        </w:rPr>
        <w:t xml:space="preserve">such </w:t>
      </w:r>
      <w:r w:rsidR="00C4203D" w:rsidRPr="00CA7B6E">
        <w:rPr>
          <w:rFonts w:ascii="Times New Roman" w:eastAsia="Calibri" w:hAnsi="Times New Roman" w:cs="Times New Roman"/>
          <w:sz w:val="24"/>
          <w:szCs w:val="24"/>
        </w:rPr>
        <w:t>as loan loss provision</w:t>
      </w:r>
      <w:r w:rsidR="001516D9" w:rsidRPr="00CA7B6E">
        <w:rPr>
          <w:rFonts w:ascii="Times New Roman" w:eastAsia="Calibri" w:hAnsi="Times New Roman" w:cs="Times New Roman"/>
          <w:sz w:val="24"/>
          <w:szCs w:val="24"/>
        </w:rPr>
        <w:t>s</w:t>
      </w:r>
      <w:r w:rsidR="00C4203D" w:rsidRPr="00CA7B6E">
        <w:rPr>
          <w:rFonts w:ascii="Times New Roman" w:eastAsia="Calibri" w:hAnsi="Times New Roman" w:cs="Times New Roman"/>
          <w:sz w:val="24"/>
          <w:szCs w:val="24"/>
        </w:rPr>
        <w:t>, net charge offs, problem loans, debt to equity ratio, unsecured loans</w:t>
      </w:r>
      <w:r w:rsidR="001516D9" w:rsidRPr="00CA7B6E">
        <w:rPr>
          <w:rFonts w:ascii="Times New Roman" w:eastAsia="Calibri" w:hAnsi="Times New Roman" w:cs="Times New Roman"/>
          <w:sz w:val="24"/>
          <w:szCs w:val="24"/>
        </w:rPr>
        <w:t>, and sum squared error</w:t>
      </w:r>
      <w:r w:rsidR="00107982">
        <w:rPr>
          <w:rFonts w:ascii="Times New Roman" w:eastAsia="Calibri" w:hAnsi="Times New Roman" w:cs="Times New Roman"/>
          <w:sz w:val="24"/>
          <w:szCs w:val="24"/>
        </w:rPr>
        <w:t>s</w:t>
      </w:r>
      <w:r w:rsidR="001516D9" w:rsidRPr="00CA7B6E">
        <w:rPr>
          <w:rFonts w:ascii="Times New Roman" w:eastAsia="Calibri" w:hAnsi="Times New Roman" w:cs="Times New Roman"/>
          <w:sz w:val="24"/>
          <w:szCs w:val="24"/>
        </w:rPr>
        <w:t xml:space="preserve"> of the capital asset pricing model (CAPM) regression, are </w:t>
      </w:r>
      <w:r w:rsidR="003C5CD7" w:rsidRPr="00CA7B6E">
        <w:rPr>
          <w:rFonts w:ascii="Times New Roman" w:eastAsia="Calibri" w:hAnsi="Times New Roman" w:cs="Times New Roman"/>
          <w:sz w:val="24"/>
          <w:szCs w:val="24"/>
        </w:rPr>
        <w:t xml:space="preserve">often </w:t>
      </w:r>
      <w:r w:rsidR="001516D9" w:rsidRPr="00CA7B6E">
        <w:rPr>
          <w:rFonts w:ascii="Times New Roman" w:eastAsia="Calibri" w:hAnsi="Times New Roman" w:cs="Times New Roman"/>
          <w:sz w:val="24"/>
          <w:szCs w:val="24"/>
        </w:rPr>
        <w:t xml:space="preserve">used to represent the unsystematic risks.  </w:t>
      </w:r>
      <w:proofErr w:type="spellStart"/>
      <w:r w:rsidR="001516D9" w:rsidRPr="00CA7B6E">
        <w:rPr>
          <w:rFonts w:ascii="Times New Roman" w:eastAsia="Calibri" w:hAnsi="Times New Roman" w:cs="Times New Roman"/>
          <w:sz w:val="24"/>
          <w:szCs w:val="24"/>
        </w:rPr>
        <w:t>Knaup</w:t>
      </w:r>
      <w:proofErr w:type="spellEnd"/>
      <w:r w:rsidR="001516D9" w:rsidRPr="00CA7B6E">
        <w:rPr>
          <w:rFonts w:ascii="Times New Roman" w:eastAsia="Calibri" w:hAnsi="Times New Roman" w:cs="Times New Roman"/>
          <w:sz w:val="24"/>
          <w:szCs w:val="24"/>
        </w:rPr>
        <w:t xml:space="preserve"> and Wagner (2012) find that loan loss provisions significantly influence the bank </w:t>
      </w:r>
      <w:r w:rsidR="00590B1C" w:rsidRPr="00CA7B6E">
        <w:rPr>
          <w:rFonts w:ascii="Times New Roman" w:eastAsia="Calibri" w:hAnsi="Times New Roman" w:cs="Times New Roman"/>
          <w:sz w:val="24"/>
          <w:szCs w:val="24"/>
        </w:rPr>
        <w:t>efficiency</w:t>
      </w:r>
      <w:r w:rsidR="001516D9" w:rsidRPr="00CA7B6E">
        <w:rPr>
          <w:rFonts w:ascii="Times New Roman" w:eastAsia="Calibri" w:hAnsi="Times New Roman" w:cs="Times New Roman"/>
          <w:sz w:val="24"/>
          <w:szCs w:val="24"/>
        </w:rPr>
        <w:t>; and banks</w:t>
      </w:r>
      <w:r w:rsidR="001516D9">
        <w:rPr>
          <w:rFonts w:ascii="Times New Roman" w:eastAsia="Calibri" w:hAnsi="Times New Roman" w:cs="Times New Roman"/>
          <w:sz w:val="24"/>
          <w:szCs w:val="24"/>
        </w:rPr>
        <w:t xml:space="preserve"> with higher problem loans </w:t>
      </w:r>
      <w:r w:rsidR="001516D9" w:rsidRPr="00960D4D">
        <w:rPr>
          <w:rFonts w:ascii="Times New Roman" w:eastAsia="Calibri" w:hAnsi="Times New Roman" w:cs="Times New Roman"/>
          <w:sz w:val="24"/>
          <w:szCs w:val="24"/>
        </w:rPr>
        <w:t xml:space="preserve">as percentage of total loans see their inefficiency scores soar up as identified by the findings of </w:t>
      </w:r>
      <w:hyperlink r:id="rId11" w:history="1">
        <w:r w:rsidR="000625BD" w:rsidRPr="00960D4D">
          <w:rPr>
            <w:rFonts w:asciiTheme="majorBidi" w:hAnsiTheme="majorBidi" w:cstheme="majorBidi"/>
            <w:sz w:val="24"/>
            <w:szCs w:val="24"/>
          </w:rPr>
          <w:t>Chen</w:t>
        </w:r>
      </w:hyperlink>
      <w:r w:rsidR="000625BD" w:rsidRPr="00960D4D">
        <w:rPr>
          <w:rFonts w:asciiTheme="majorBidi" w:hAnsiTheme="majorBidi" w:cstheme="majorBidi"/>
          <w:sz w:val="24"/>
          <w:szCs w:val="24"/>
        </w:rPr>
        <w:t xml:space="preserve"> and </w:t>
      </w:r>
      <w:hyperlink r:id="rId12" w:history="1">
        <w:r w:rsidR="000625BD" w:rsidRPr="00960D4D">
          <w:rPr>
            <w:rFonts w:asciiTheme="majorBidi" w:hAnsiTheme="majorBidi" w:cstheme="majorBidi"/>
            <w:sz w:val="24"/>
            <w:szCs w:val="24"/>
          </w:rPr>
          <w:t>Liao</w:t>
        </w:r>
      </w:hyperlink>
      <w:r w:rsidR="000625BD" w:rsidRPr="00960D4D">
        <w:rPr>
          <w:rFonts w:ascii="Times New Roman" w:eastAsia="Calibri" w:hAnsi="Times New Roman" w:cs="Times New Roman"/>
          <w:sz w:val="24"/>
          <w:szCs w:val="24"/>
        </w:rPr>
        <w:t xml:space="preserve"> </w:t>
      </w:r>
      <w:r w:rsidR="001516D9" w:rsidRPr="00960D4D">
        <w:rPr>
          <w:rFonts w:ascii="Times New Roman" w:eastAsia="Calibri" w:hAnsi="Times New Roman" w:cs="Times New Roman"/>
          <w:sz w:val="24"/>
          <w:szCs w:val="24"/>
        </w:rPr>
        <w:t>(2011). Studying the effects of risk measures on the Taiwanese Banks, Lu and Wang (2012) conclude that unsecured loans and nonperforming loans are the most explanatory variables</w:t>
      </w:r>
      <w:r w:rsidR="00107982">
        <w:rPr>
          <w:rFonts w:ascii="Times New Roman" w:eastAsia="Calibri" w:hAnsi="Times New Roman" w:cs="Times New Roman"/>
          <w:sz w:val="24"/>
          <w:szCs w:val="24"/>
        </w:rPr>
        <w:t xml:space="preserve"> for bank efficiency</w:t>
      </w:r>
      <w:r w:rsidR="001516D9" w:rsidRPr="00960D4D">
        <w:rPr>
          <w:rFonts w:ascii="Times New Roman" w:eastAsia="Calibri" w:hAnsi="Times New Roman" w:cs="Times New Roman"/>
          <w:sz w:val="24"/>
          <w:szCs w:val="24"/>
        </w:rPr>
        <w:t>.</w:t>
      </w:r>
      <w:r w:rsidR="003C5CD7" w:rsidRPr="00960D4D">
        <w:rPr>
          <w:rFonts w:ascii="Times New Roman" w:eastAsia="Calibri" w:hAnsi="Times New Roman" w:cs="Times New Roman"/>
          <w:sz w:val="24"/>
          <w:szCs w:val="24"/>
        </w:rPr>
        <w:t xml:space="preserve"> The loan loss provisions and net charge offs do not only explain the efficiency of a bank, but they are also “significant for predicting bank failures for US banks in 2009”, Samad (2012).  </w:t>
      </w:r>
      <w:r w:rsidR="0071362E" w:rsidRPr="00960D4D">
        <w:rPr>
          <w:rFonts w:ascii="Times New Roman" w:eastAsia="Calibri" w:hAnsi="Times New Roman" w:cs="Times New Roman"/>
          <w:sz w:val="24"/>
          <w:szCs w:val="24"/>
        </w:rPr>
        <w:t>Instead of asking what explain</w:t>
      </w:r>
      <w:r w:rsidR="00107982">
        <w:rPr>
          <w:rFonts w:ascii="Times New Roman" w:eastAsia="Calibri" w:hAnsi="Times New Roman" w:cs="Times New Roman"/>
          <w:sz w:val="24"/>
          <w:szCs w:val="24"/>
        </w:rPr>
        <w:t>s</w:t>
      </w:r>
      <w:r w:rsidR="0071362E" w:rsidRPr="00960D4D">
        <w:rPr>
          <w:rFonts w:ascii="Times New Roman" w:eastAsia="Calibri" w:hAnsi="Times New Roman" w:cs="Times New Roman"/>
          <w:sz w:val="24"/>
          <w:szCs w:val="24"/>
        </w:rPr>
        <w:t xml:space="preserve"> efficiency, </w:t>
      </w:r>
      <w:proofErr w:type="spellStart"/>
      <w:r w:rsidR="0071362E" w:rsidRPr="00960D4D">
        <w:rPr>
          <w:rFonts w:ascii="Times New Roman" w:eastAsia="Calibri" w:hAnsi="Times New Roman" w:cs="Times New Roman"/>
          <w:sz w:val="24"/>
          <w:szCs w:val="24"/>
        </w:rPr>
        <w:t>Avkiran</w:t>
      </w:r>
      <w:proofErr w:type="spellEnd"/>
      <w:r w:rsidR="0071362E" w:rsidRPr="00960D4D">
        <w:rPr>
          <w:rFonts w:ascii="Times New Roman" w:eastAsia="Calibri" w:hAnsi="Times New Roman" w:cs="Times New Roman"/>
          <w:sz w:val="24"/>
          <w:szCs w:val="24"/>
        </w:rPr>
        <w:t xml:space="preserve"> (201</w:t>
      </w:r>
      <w:r w:rsidR="00D0418D" w:rsidRPr="00960D4D">
        <w:rPr>
          <w:rFonts w:ascii="Times New Roman" w:eastAsia="Calibri" w:hAnsi="Times New Roman" w:cs="Times New Roman"/>
          <w:sz w:val="24"/>
          <w:szCs w:val="24"/>
        </w:rPr>
        <w:t>1</w:t>
      </w:r>
      <w:r w:rsidR="0071362E" w:rsidRPr="00960D4D">
        <w:rPr>
          <w:rFonts w:ascii="Times New Roman" w:eastAsia="Calibri" w:hAnsi="Times New Roman" w:cs="Times New Roman"/>
          <w:sz w:val="24"/>
          <w:szCs w:val="24"/>
        </w:rPr>
        <w:t xml:space="preserve">) asks inversely: what does efficiency explain? And he finds that efficiency does explain significant variations in ratio of post-tax profit/ average total assets, and ratio of returns on average equity. It implies that if a firm is efficient, it should expect its profitability ratios to improve. </w:t>
      </w:r>
      <w:r w:rsidRPr="00960D4D">
        <w:rPr>
          <w:rFonts w:ascii="Times New Roman" w:eastAsia="Calibri" w:hAnsi="Times New Roman" w:cs="Times New Roman"/>
          <w:sz w:val="24"/>
          <w:szCs w:val="24"/>
        </w:rPr>
        <w:t>The GCC banks</w:t>
      </w:r>
      <w:r w:rsidR="009A2AC8" w:rsidRPr="00960D4D">
        <w:rPr>
          <w:rFonts w:ascii="Times New Roman" w:eastAsia="Calibri" w:hAnsi="Times New Roman" w:cs="Times New Roman"/>
          <w:sz w:val="24"/>
          <w:szCs w:val="24"/>
        </w:rPr>
        <w:t xml:space="preserve"> have enjoyed stable economic growth and environment, and they have so far weathered off the recent world banking and financial crises. Could it be that these banks are highly efficient? Or could it be that their risk factors are substantially low and hence have no meaningful effects on their performance efficiencies</w:t>
      </w:r>
      <w:r w:rsidR="009A2AC8">
        <w:rPr>
          <w:rFonts w:ascii="Times New Roman" w:eastAsia="Calibri" w:hAnsi="Times New Roman" w:cs="Times New Roman"/>
          <w:sz w:val="24"/>
          <w:szCs w:val="24"/>
        </w:rPr>
        <w:t xml:space="preserve">? In reviewing the current literature on banking efficiency, this paper </w:t>
      </w:r>
      <w:r w:rsidR="00107982">
        <w:rPr>
          <w:rFonts w:ascii="Times New Roman" w:eastAsia="Calibri" w:hAnsi="Times New Roman" w:cs="Times New Roman"/>
          <w:sz w:val="24"/>
          <w:szCs w:val="24"/>
        </w:rPr>
        <w:t>attempts to offer some</w:t>
      </w:r>
      <w:r w:rsidR="009A2AC8">
        <w:rPr>
          <w:rFonts w:ascii="Times New Roman" w:eastAsia="Calibri" w:hAnsi="Times New Roman" w:cs="Times New Roman"/>
          <w:sz w:val="24"/>
          <w:szCs w:val="24"/>
        </w:rPr>
        <w:t xml:space="preserve"> answers </w:t>
      </w:r>
      <w:r w:rsidR="00107982">
        <w:rPr>
          <w:rFonts w:ascii="Times New Roman" w:eastAsia="Calibri" w:hAnsi="Times New Roman" w:cs="Times New Roman"/>
          <w:sz w:val="24"/>
          <w:szCs w:val="24"/>
        </w:rPr>
        <w:t>to</w:t>
      </w:r>
      <w:r w:rsidR="009A2AC8">
        <w:rPr>
          <w:rFonts w:ascii="Times New Roman" w:eastAsia="Calibri" w:hAnsi="Times New Roman" w:cs="Times New Roman"/>
          <w:sz w:val="24"/>
          <w:szCs w:val="24"/>
        </w:rPr>
        <w:t xml:space="preserve"> the aforementioned questions. Thus</w:t>
      </w:r>
      <w:r w:rsidR="00A95FF1">
        <w:rPr>
          <w:rFonts w:ascii="Times New Roman" w:eastAsia="Calibri" w:hAnsi="Times New Roman" w:cs="Times New Roman"/>
          <w:sz w:val="24"/>
          <w:szCs w:val="24"/>
        </w:rPr>
        <w:t>,</w:t>
      </w:r>
      <w:r w:rsidR="009A2AC8">
        <w:rPr>
          <w:rFonts w:ascii="Times New Roman" w:eastAsia="Calibri" w:hAnsi="Times New Roman" w:cs="Times New Roman"/>
          <w:sz w:val="24"/>
          <w:szCs w:val="24"/>
        </w:rPr>
        <w:t xml:space="preserve"> it is imperative to bring to light some current</w:t>
      </w:r>
      <w:r w:rsidR="00A95FF1">
        <w:rPr>
          <w:rFonts w:ascii="Times New Roman" w:eastAsia="Calibri" w:hAnsi="Times New Roman" w:cs="Times New Roman"/>
          <w:sz w:val="24"/>
          <w:szCs w:val="24"/>
        </w:rPr>
        <w:t xml:space="preserve"> and relevant</w:t>
      </w:r>
      <w:r w:rsidR="009A2AC8">
        <w:rPr>
          <w:rFonts w:ascii="Times New Roman" w:eastAsia="Calibri" w:hAnsi="Times New Roman" w:cs="Times New Roman"/>
          <w:sz w:val="24"/>
          <w:szCs w:val="24"/>
        </w:rPr>
        <w:t xml:space="preserve"> </w:t>
      </w:r>
      <w:r w:rsidR="00A95FF1">
        <w:rPr>
          <w:rFonts w:ascii="Times New Roman" w:eastAsia="Calibri" w:hAnsi="Times New Roman" w:cs="Times New Roman"/>
          <w:sz w:val="24"/>
          <w:szCs w:val="24"/>
        </w:rPr>
        <w:t>evidence and answers to these questions for the bank managers and monetary policy authorities. They need to know what the current bank performance is, and what factors influence this performance.</w:t>
      </w:r>
      <w:r w:rsidR="0071362E" w:rsidRPr="0071362E">
        <w:rPr>
          <w:rFonts w:ascii="Times New Roman" w:eastAsia="Calibri" w:hAnsi="Times New Roman" w:cs="Times New Roman"/>
          <w:sz w:val="24"/>
          <w:szCs w:val="24"/>
        </w:rPr>
        <w:t xml:space="preserve"> The current paper </w:t>
      </w:r>
      <w:r>
        <w:rPr>
          <w:rFonts w:ascii="Times New Roman" w:eastAsia="Calibri" w:hAnsi="Times New Roman" w:cs="Times New Roman"/>
          <w:sz w:val="24"/>
          <w:szCs w:val="24"/>
        </w:rPr>
        <w:t>intends</w:t>
      </w:r>
      <w:r w:rsidR="00A95FF1">
        <w:rPr>
          <w:rFonts w:ascii="Times New Roman" w:eastAsia="Calibri" w:hAnsi="Times New Roman" w:cs="Times New Roman"/>
          <w:sz w:val="24"/>
          <w:szCs w:val="24"/>
        </w:rPr>
        <w:t xml:space="preserve"> to provide this information by carrying out </w:t>
      </w:r>
      <w:r>
        <w:rPr>
          <w:rFonts w:ascii="Times New Roman" w:eastAsia="Calibri" w:hAnsi="Times New Roman" w:cs="Times New Roman"/>
          <w:sz w:val="24"/>
          <w:szCs w:val="24"/>
        </w:rPr>
        <w:t>following</w:t>
      </w:r>
      <w:r w:rsidR="00A95FF1">
        <w:rPr>
          <w:rFonts w:ascii="Times New Roman" w:eastAsia="Calibri" w:hAnsi="Times New Roman" w:cs="Times New Roman"/>
          <w:sz w:val="24"/>
          <w:szCs w:val="24"/>
        </w:rPr>
        <w:t>s</w:t>
      </w:r>
      <w:r>
        <w:rPr>
          <w:rFonts w:ascii="Times New Roman" w:eastAsia="Calibri" w:hAnsi="Times New Roman" w:cs="Times New Roman"/>
          <w:sz w:val="24"/>
          <w:szCs w:val="24"/>
        </w:rPr>
        <w:t>:</w:t>
      </w:r>
    </w:p>
    <w:p w:rsidR="0071362E" w:rsidRPr="0071362E" w:rsidRDefault="00BA0BC3" w:rsidP="00107982">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c</w:t>
      </w:r>
      <w:r w:rsidR="0071362E" w:rsidRPr="0071362E">
        <w:rPr>
          <w:rFonts w:ascii="Times New Roman" w:eastAsia="Calibri" w:hAnsi="Times New Roman" w:cs="Times New Roman"/>
          <w:sz w:val="24"/>
          <w:szCs w:val="24"/>
        </w:rPr>
        <w:t xml:space="preserve">onduct </w:t>
      </w:r>
      <w:r w:rsidR="0071362E">
        <w:rPr>
          <w:rFonts w:ascii="Times New Roman" w:eastAsia="Calibri" w:hAnsi="Times New Roman" w:cs="Times New Roman"/>
          <w:sz w:val="24"/>
          <w:szCs w:val="24"/>
        </w:rPr>
        <w:t>output</w:t>
      </w:r>
      <w:r w:rsidR="0071362E" w:rsidRPr="0071362E">
        <w:rPr>
          <w:rFonts w:ascii="Times New Roman" w:eastAsia="Calibri" w:hAnsi="Times New Roman" w:cs="Times New Roman"/>
          <w:sz w:val="24"/>
          <w:szCs w:val="24"/>
        </w:rPr>
        <w:t xml:space="preserve"> efficiency</w:t>
      </w:r>
      <w:r>
        <w:rPr>
          <w:rFonts w:ascii="Times New Roman" w:eastAsia="Calibri" w:hAnsi="Times New Roman" w:cs="Times New Roman"/>
          <w:sz w:val="24"/>
          <w:szCs w:val="24"/>
        </w:rPr>
        <w:t xml:space="preserve"> of GCC banks. The output measures in this paper</w:t>
      </w:r>
      <w:r w:rsidR="0071362E">
        <w:rPr>
          <w:rFonts w:ascii="Times New Roman" w:eastAsia="Calibri" w:hAnsi="Times New Roman" w:cs="Times New Roman"/>
          <w:sz w:val="24"/>
          <w:szCs w:val="24"/>
        </w:rPr>
        <w:t xml:space="preserve"> are income</w:t>
      </w:r>
      <w:r w:rsidR="00107982">
        <w:rPr>
          <w:rFonts w:ascii="Times New Roman" w:eastAsia="Calibri" w:hAnsi="Times New Roman" w:cs="Times New Roman"/>
          <w:sz w:val="24"/>
          <w:szCs w:val="24"/>
        </w:rPr>
        <w:t xml:space="preserve"> (profit)</w:t>
      </w:r>
      <w:r w:rsidR="0071362E">
        <w:rPr>
          <w:rFonts w:ascii="Times New Roman" w:eastAsia="Calibri" w:hAnsi="Times New Roman" w:cs="Times New Roman"/>
          <w:sz w:val="24"/>
          <w:szCs w:val="24"/>
        </w:rPr>
        <w:t xml:space="preserve"> generated</w:t>
      </w:r>
      <w:r>
        <w:rPr>
          <w:rFonts w:ascii="Times New Roman" w:eastAsia="Calibri" w:hAnsi="Times New Roman" w:cs="Times New Roman"/>
          <w:sz w:val="24"/>
          <w:szCs w:val="24"/>
        </w:rPr>
        <w:t xml:space="preserve"> by the banks</w:t>
      </w:r>
      <w:r w:rsidR="0071362E">
        <w:rPr>
          <w:rFonts w:ascii="Times New Roman" w:eastAsia="Calibri" w:hAnsi="Times New Roman" w:cs="Times New Roman"/>
          <w:sz w:val="24"/>
          <w:szCs w:val="24"/>
        </w:rPr>
        <w:t>.</w:t>
      </w:r>
    </w:p>
    <w:p w:rsidR="0071362E" w:rsidRDefault="00BA0BC3" w:rsidP="00107982">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a</w:t>
      </w:r>
      <w:r w:rsidR="0071362E">
        <w:rPr>
          <w:rFonts w:ascii="Times New Roman" w:eastAsia="Calibri" w:hAnsi="Times New Roman" w:cs="Times New Roman"/>
          <w:sz w:val="24"/>
          <w:szCs w:val="24"/>
        </w:rPr>
        <w:t xml:space="preserve">nalyse the effects of </w:t>
      </w:r>
      <w:r w:rsidR="00107982">
        <w:rPr>
          <w:rFonts w:ascii="Times New Roman" w:eastAsia="Calibri" w:hAnsi="Times New Roman" w:cs="Times New Roman"/>
          <w:sz w:val="24"/>
          <w:szCs w:val="24"/>
        </w:rPr>
        <w:t>risk factors</w:t>
      </w:r>
      <w:r w:rsidR="0071362E">
        <w:rPr>
          <w:rFonts w:ascii="Times New Roman" w:eastAsia="Calibri" w:hAnsi="Times New Roman" w:cs="Times New Roman"/>
          <w:sz w:val="24"/>
          <w:szCs w:val="24"/>
        </w:rPr>
        <w:t xml:space="preserve"> on bank </w:t>
      </w:r>
      <w:r>
        <w:rPr>
          <w:rFonts w:ascii="Times New Roman" w:eastAsia="Calibri" w:hAnsi="Times New Roman" w:cs="Times New Roman"/>
          <w:sz w:val="24"/>
          <w:szCs w:val="24"/>
        </w:rPr>
        <w:t>in</w:t>
      </w:r>
      <w:r w:rsidR="0071362E">
        <w:rPr>
          <w:rFonts w:ascii="Times New Roman" w:eastAsia="Calibri" w:hAnsi="Times New Roman" w:cs="Times New Roman"/>
          <w:sz w:val="24"/>
          <w:szCs w:val="24"/>
        </w:rPr>
        <w:t>efficiencies</w:t>
      </w:r>
    </w:p>
    <w:p w:rsidR="0071362E" w:rsidRPr="0071362E" w:rsidRDefault="00BA0BC3" w:rsidP="005947B4">
      <w:pPr>
        <w:numPr>
          <w:ilvl w:val="0"/>
          <w:numId w:val="1"/>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i</w:t>
      </w:r>
      <w:r w:rsidR="0071362E">
        <w:rPr>
          <w:rFonts w:ascii="Times New Roman" w:eastAsia="Calibri" w:hAnsi="Times New Roman" w:cs="Times New Roman"/>
          <w:sz w:val="24"/>
          <w:szCs w:val="24"/>
        </w:rPr>
        <w:t xml:space="preserve">nvestigate the presence (if any) of country specific effects on bank </w:t>
      </w:r>
      <w:r>
        <w:rPr>
          <w:rFonts w:ascii="Times New Roman" w:eastAsia="Calibri" w:hAnsi="Times New Roman" w:cs="Times New Roman"/>
          <w:sz w:val="24"/>
          <w:szCs w:val="24"/>
        </w:rPr>
        <w:t>in</w:t>
      </w:r>
      <w:r w:rsidR="0071362E">
        <w:rPr>
          <w:rFonts w:ascii="Times New Roman" w:eastAsia="Calibri" w:hAnsi="Times New Roman" w:cs="Times New Roman"/>
          <w:sz w:val="24"/>
          <w:szCs w:val="24"/>
        </w:rPr>
        <w:t>efficiencies</w:t>
      </w:r>
    </w:p>
    <w:p w:rsidR="005F1E49" w:rsidRDefault="005F1E49" w:rsidP="005947B4">
      <w:pPr>
        <w:spacing w:line="360" w:lineRule="auto"/>
      </w:pPr>
      <w:r>
        <w:t xml:space="preserve"> </w:t>
      </w:r>
    </w:p>
    <w:p w:rsidR="005947B4" w:rsidRDefault="005947B4" w:rsidP="005947B4">
      <w:pPr>
        <w:spacing w:line="360" w:lineRule="auto"/>
      </w:pPr>
    </w:p>
    <w:p w:rsidR="005947B4" w:rsidRDefault="005947B4" w:rsidP="005947B4">
      <w:pPr>
        <w:spacing w:line="360" w:lineRule="auto"/>
      </w:pPr>
    </w:p>
    <w:p w:rsidR="00107982" w:rsidRDefault="00107982" w:rsidP="005947B4">
      <w:pPr>
        <w:spacing w:line="360" w:lineRule="auto"/>
      </w:pPr>
    </w:p>
    <w:p w:rsidR="00AF4736" w:rsidRPr="00924D88" w:rsidRDefault="00AF4736" w:rsidP="005947B4">
      <w:pPr>
        <w:spacing w:line="360" w:lineRule="auto"/>
        <w:jc w:val="both"/>
        <w:rPr>
          <w:rFonts w:asciiTheme="majorBidi" w:hAnsiTheme="majorBidi" w:cstheme="majorBidi"/>
          <w:b/>
          <w:bCs/>
          <w:sz w:val="28"/>
          <w:szCs w:val="28"/>
        </w:rPr>
      </w:pPr>
      <w:r w:rsidRPr="00924D88">
        <w:rPr>
          <w:rFonts w:asciiTheme="majorBidi" w:hAnsiTheme="majorBidi" w:cstheme="majorBidi"/>
          <w:b/>
          <w:bCs/>
          <w:sz w:val="28"/>
          <w:szCs w:val="28"/>
        </w:rPr>
        <w:lastRenderedPageBreak/>
        <w:t>Methodology</w:t>
      </w:r>
    </w:p>
    <w:p w:rsidR="00AF4736" w:rsidRPr="007A1686" w:rsidRDefault="00AF4736" w:rsidP="00107982">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 xml:space="preserve">Assuming profit is the single output of the banking industry </w:t>
      </w:r>
      <w:r w:rsidR="00107982">
        <w:rPr>
          <w:rFonts w:asciiTheme="majorBidi" w:hAnsiTheme="majorBidi" w:cstheme="majorBidi"/>
          <w:sz w:val="24"/>
          <w:szCs w:val="24"/>
        </w:rPr>
        <w:t>and its</w:t>
      </w:r>
      <w:r w:rsidRPr="007A1686">
        <w:rPr>
          <w:rFonts w:asciiTheme="majorBidi" w:hAnsiTheme="majorBidi" w:cstheme="majorBidi"/>
          <w:sz w:val="24"/>
          <w:szCs w:val="24"/>
        </w:rPr>
        <w:t xml:space="preserve"> production function is defined by properties of </w:t>
      </w:r>
      <w:r w:rsidR="00355164">
        <w:rPr>
          <w:rFonts w:asciiTheme="majorBidi" w:hAnsiTheme="majorBidi" w:cstheme="majorBidi"/>
          <w:sz w:val="24"/>
          <w:szCs w:val="24"/>
        </w:rPr>
        <w:t xml:space="preserve">non-negativity, </w:t>
      </w:r>
      <w:r w:rsidRPr="007A1686">
        <w:rPr>
          <w:rFonts w:asciiTheme="majorBidi" w:hAnsiTheme="majorBidi" w:cstheme="majorBidi"/>
          <w:sz w:val="24"/>
          <w:szCs w:val="24"/>
        </w:rPr>
        <w:t xml:space="preserve">weak </w:t>
      </w:r>
      <w:r w:rsidR="00355164" w:rsidRPr="007A1686">
        <w:rPr>
          <w:rFonts w:asciiTheme="majorBidi" w:hAnsiTheme="majorBidi" w:cstheme="majorBidi"/>
          <w:sz w:val="24"/>
          <w:szCs w:val="24"/>
        </w:rPr>
        <w:t>essential</w:t>
      </w:r>
      <w:r w:rsidR="00355164">
        <w:rPr>
          <w:rFonts w:asciiTheme="majorBidi" w:hAnsiTheme="majorBidi" w:cstheme="majorBidi"/>
          <w:sz w:val="24"/>
          <w:szCs w:val="24"/>
        </w:rPr>
        <w:t>ity</w:t>
      </w:r>
      <w:r w:rsidRPr="007A1686">
        <w:rPr>
          <w:rFonts w:asciiTheme="majorBidi" w:hAnsiTheme="majorBidi" w:cstheme="majorBidi"/>
          <w:sz w:val="24"/>
          <w:szCs w:val="24"/>
        </w:rPr>
        <w:t>, monotoni</w:t>
      </w:r>
      <w:r w:rsidR="00355164">
        <w:rPr>
          <w:rFonts w:asciiTheme="majorBidi" w:hAnsiTheme="majorBidi" w:cstheme="majorBidi"/>
          <w:sz w:val="24"/>
          <w:szCs w:val="24"/>
        </w:rPr>
        <w:t>city</w:t>
      </w:r>
      <w:r w:rsidRPr="007A1686">
        <w:rPr>
          <w:rFonts w:asciiTheme="majorBidi" w:hAnsiTheme="majorBidi" w:cstheme="majorBidi"/>
          <w:sz w:val="24"/>
          <w:szCs w:val="24"/>
        </w:rPr>
        <w:t xml:space="preserve"> and </w:t>
      </w:r>
      <w:r w:rsidR="00355164">
        <w:rPr>
          <w:rFonts w:asciiTheme="majorBidi" w:hAnsiTheme="majorBidi" w:cstheme="majorBidi"/>
          <w:sz w:val="24"/>
          <w:szCs w:val="24"/>
        </w:rPr>
        <w:t>concavity</w:t>
      </w:r>
      <w:r w:rsidRPr="007A1686">
        <w:rPr>
          <w:rFonts w:asciiTheme="majorBidi" w:hAnsiTheme="majorBidi" w:cstheme="majorBidi"/>
          <w:sz w:val="24"/>
          <w:szCs w:val="24"/>
        </w:rPr>
        <w:t xml:space="preserve"> in the input variables of capital and administrative expenses, and assuming further that this profit production function follow</w:t>
      </w:r>
      <w:r w:rsidR="00107982">
        <w:rPr>
          <w:rFonts w:asciiTheme="majorBidi" w:hAnsiTheme="majorBidi" w:cstheme="majorBidi"/>
          <w:sz w:val="24"/>
          <w:szCs w:val="24"/>
        </w:rPr>
        <w:t xml:space="preserve">s a Cobb-Douglas function form; </w:t>
      </w:r>
      <w:r w:rsidR="005079E5" w:rsidRPr="007A1686">
        <w:rPr>
          <w:rFonts w:asciiTheme="majorBidi" w:hAnsiTheme="majorBidi" w:cstheme="majorBidi"/>
          <w:sz w:val="24"/>
          <w:szCs w:val="24"/>
        </w:rPr>
        <w:t>then</w:t>
      </w:r>
      <w:r w:rsidR="00107982">
        <w:rPr>
          <w:rFonts w:asciiTheme="majorBidi" w:hAnsiTheme="majorBidi" w:cstheme="majorBidi"/>
          <w:sz w:val="24"/>
          <w:szCs w:val="24"/>
        </w:rPr>
        <w:t>,</w:t>
      </w:r>
      <w:r w:rsidRPr="007A1686">
        <w:rPr>
          <w:rFonts w:asciiTheme="majorBidi" w:hAnsiTheme="majorBidi" w:cstheme="majorBidi"/>
          <w:sz w:val="24"/>
          <w:szCs w:val="24"/>
        </w:rPr>
        <w:t xml:space="preserve"> we </w:t>
      </w:r>
      <w:r w:rsidR="00107982">
        <w:rPr>
          <w:rFonts w:asciiTheme="majorBidi" w:hAnsiTheme="majorBidi" w:cstheme="majorBidi"/>
          <w:sz w:val="24"/>
          <w:szCs w:val="24"/>
        </w:rPr>
        <w:t xml:space="preserve">can </w:t>
      </w:r>
      <w:r w:rsidRPr="007A1686">
        <w:rPr>
          <w:rFonts w:asciiTheme="majorBidi" w:hAnsiTheme="majorBidi" w:cstheme="majorBidi"/>
          <w:sz w:val="24"/>
          <w:szCs w:val="24"/>
        </w:rPr>
        <w:t>spec</w:t>
      </w:r>
      <w:r w:rsidR="00107982">
        <w:rPr>
          <w:rFonts w:asciiTheme="majorBidi" w:hAnsiTheme="majorBidi" w:cstheme="majorBidi"/>
          <w:sz w:val="24"/>
          <w:szCs w:val="24"/>
        </w:rPr>
        <w:t>ific</w:t>
      </w:r>
      <w:r w:rsidRPr="007A1686">
        <w:rPr>
          <w:rFonts w:asciiTheme="majorBidi" w:hAnsiTheme="majorBidi" w:cstheme="majorBidi"/>
          <w:sz w:val="24"/>
          <w:szCs w:val="24"/>
        </w:rPr>
        <w:t xml:space="preserve">ally write this function as </w:t>
      </w:r>
    </w:p>
    <w:p w:rsidR="00AF4736" w:rsidRPr="007A1686" w:rsidRDefault="00E913FA" w:rsidP="00107982">
      <w:pPr>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it</m:t>
            </m:r>
          </m:sub>
        </m:sSub>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AK</m:t>
            </m:r>
          </m:e>
          <m:sub>
            <m:r>
              <w:rPr>
                <w:rFonts w:ascii="Cambria Math" w:hAnsi="Cambria Math" w:cstheme="majorBidi"/>
                <w:sz w:val="24"/>
                <w:szCs w:val="24"/>
              </w:rPr>
              <m:t>it</m:t>
            </m:r>
          </m:sub>
          <m:sup>
            <m:r>
              <w:rPr>
                <w:rFonts w:ascii="Cambria Math" w:hAnsi="Cambria Math" w:cstheme="majorBidi"/>
                <w:sz w:val="24"/>
                <w:szCs w:val="24"/>
              </w:rPr>
              <m:t>b1</m:t>
            </m:r>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r>
              <w:rPr>
                <w:rFonts w:ascii="Cambria Math" w:hAnsi="Cambria Math" w:cstheme="majorBidi"/>
                <w:sz w:val="24"/>
                <w:szCs w:val="24"/>
              </w:rPr>
              <m:t>L</m:t>
            </m:r>
          </m:e>
          <m:sub>
            <m:r>
              <w:rPr>
                <w:rFonts w:ascii="Cambria Math" w:hAnsi="Cambria Math" w:cstheme="majorBidi"/>
                <w:sz w:val="24"/>
                <w:szCs w:val="24"/>
              </w:rPr>
              <m:t>it</m:t>
            </m:r>
          </m:sub>
          <m:sup>
            <m:r>
              <w:rPr>
                <w:rFonts w:ascii="Cambria Math" w:hAnsi="Cambria Math" w:cstheme="majorBidi"/>
                <w:sz w:val="24"/>
                <w:szCs w:val="24"/>
              </w:rPr>
              <m:t>b2</m:t>
            </m:r>
          </m:sup>
        </m:sSub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e</m:t>
            </m:r>
          </m:e>
          <m:sup>
            <m:r>
              <w:rPr>
                <w:rFonts w:ascii="Cambria Math" w:hAnsi="Cambria Math" w:cstheme="majorBidi"/>
                <w:sz w:val="24"/>
                <w:szCs w:val="24"/>
              </w:rPr>
              <m:t>Ԑit</m:t>
            </m:r>
          </m:sup>
        </m:sSup>
      </m:oMath>
      <w:r w:rsidR="00AF4736" w:rsidRPr="007A1686">
        <w:rPr>
          <w:rFonts w:asciiTheme="majorBidi" w:hAnsiTheme="majorBidi" w:cstheme="majorBidi"/>
          <w:sz w:val="24"/>
          <w:szCs w:val="24"/>
        </w:rPr>
        <w:t xml:space="preserve">  </w:t>
      </w:r>
    </w:p>
    <w:p w:rsidR="00944797" w:rsidRPr="007A1686" w:rsidRDefault="00542B1E"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Where</w:t>
      </w:r>
    </w:p>
    <w:p w:rsidR="00542B1E" w:rsidRPr="007A1686" w:rsidRDefault="00542B1E" w:rsidP="005947B4">
      <w:pPr>
        <w:spacing w:line="360" w:lineRule="auto"/>
        <w:jc w:val="both"/>
        <w:rPr>
          <w:rFonts w:asciiTheme="majorBidi" w:hAnsiTheme="majorBidi" w:cstheme="majorBidi"/>
          <w:i/>
          <w:iCs/>
          <w:sz w:val="24"/>
          <w:szCs w:val="24"/>
        </w:rPr>
      </w:pPr>
      <w:r w:rsidRPr="007A1686">
        <w:rPr>
          <w:rFonts w:asciiTheme="majorBidi" w:hAnsiTheme="majorBidi" w:cstheme="majorBidi"/>
          <w:sz w:val="24"/>
          <w:szCs w:val="24"/>
        </w:rPr>
        <w:t xml:space="preserve">P = profit of bank </w:t>
      </w:r>
      <w:r w:rsidRPr="007A1686">
        <w:rPr>
          <w:rFonts w:asciiTheme="majorBidi" w:hAnsiTheme="majorBidi" w:cstheme="majorBidi"/>
          <w:i/>
          <w:iCs/>
          <w:sz w:val="24"/>
          <w:szCs w:val="24"/>
        </w:rPr>
        <w:t>i</w:t>
      </w:r>
    </w:p>
    <w:p w:rsidR="00542B1E" w:rsidRPr="007A1686" w:rsidRDefault="00542B1E"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A = Technology</w:t>
      </w:r>
    </w:p>
    <w:p w:rsidR="00542B1E" w:rsidRPr="007A1686" w:rsidRDefault="00542B1E"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 xml:space="preserve">K = Capital of bank </w:t>
      </w:r>
      <w:r w:rsidRPr="007A1686">
        <w:rPr>
          <w:rFonts w:asciiTheme="majorBidi" w:hAnsiTheme="majorBidi" w:cstheme="majorBidi"/>
          <w:i/>
          <w:iCs/>
          <w:sz w:val="24"/>
          <w:szCs w:val="24"/>
        </w:rPr>
        <w:t>i</w:t>
      </w:r>
    </w:p>
    <w:p w:rsidR="00542B1E" w:rsidRPr="007A1686" w:rsidRDefault="00542B1E"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 xml:space="preserve">L = Labour of bank </w:t>
      </w:r>
      <w:r w:rsidR="00EB1E26">
        <w:rPr>
          <w:rFonts w:asciiTheme="majorBidi" w:hAnsiTheme="majorBidi" w:cstheme="majorBidi"/>
          <w:sz w:val="24"/>
          <w:szCs w:val="24"/>
        </w:rPr>
        <w:t>i</w:t>
      </w:r>
      <w:r w:rsidR="00EB1E26">
        <w:rPr>
          <w:rFonts w:asciiTheme="majorBidi" w:hAnsiTheme="majorBidi" w:cstheme="majorBidi"/>
          <w:i/>
          <w:iCs/>
          <w:sz w:val="24"/>
          <w:szCs w:val="24"/>
        </w:rPr>
        <w:t>,</w:t>
      </w:r>
      <w:r w:rsidRPr="007A1686">
        <w:rPr>
          <w:rFonts w:asciiTheme="majorBidi" w:hAnsiTheme="majorBidi" w:cstheme="majorBidi"/>
          <w:sz w:val="24"/>
          <w:szCs w:val="24"/>
        </w:rPr>
        <w:t xml:space="preserve"> </w:t>
      </w:r>
      <w:r w:rsidR="00EB1E26">
        <w:rPr>
          <w:rFonts w:asciiTheme="majorBidi" w:hAnsiTheme="majorBidi" w:cstheme="majorBidi"/>
          <w:sz w:val="24"/>
          <w:szCs w:val="24"/>
        </w:rPr>
        <w:t xml:space="preserve">the </w:t>
      </w:r>
      <w:r w:rsidRPr="007A1686">
        <w:rPr>
          <w:rFonts w:asciiTheme="majorBidi" w:hAnsiTheme="majorBidi" w:cstheme="majorBidi"/>
          <w:sz w:val="24"/>
          <w:szCs w:val="24"/>
        </w:rPr>
        <w:t>administrative expenses</w:t>
      </w:r>
      <w:r w:rsidR="00EB1E26">
        <w:rPr>
          <w:rFonts w:asciiTheme="majorBidi" w:hAnsiTheme="majorBidi" w:cstheme="majorBidi"/>
          <w:sz w:val="24"/>
          <w:szCs w:val="24"/>
        </w:rPr>
        <w:t xml:space="preserve"> are used as a proxy for the labour.</w:t>
      </w:r>
    </w:p>
    <w:p w:rsidR="00542B1E" w:rsidRPr="007A1686" w:rsidRDefault="00542B1E"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Ԑit = residuals</w:t>
      </w:r>
    </w:p>
    <w:p w:rsidR="00542B1E" w:rsidRPr="007A1686" w:rsidRDefault="00171ED7" w:rsidP="005947B4">
      <w:pPr>
        <w:spacing w:line="360" w:lineRule="auto"/>
        <w:jc w:val="both"/>
        <w:rPr>
          <w:rFonts w:asciiTheme="majorBidi" w:hAnsiTheme="majorBidi" w:cstheme="majorBidi"/>
          <w:sz w:val="24"/>
          <w:szCs w:val="24"/>
        </w:rPr>
      </w:pPr>
      <w:r w:rsidRPr="007A1686">
        <w:rPr>
          <w:rFonts w:asciiTheme="majorBidi" w:hAnsiTheme="majorBidi" w:cstheme="majorBidi"/>
          <w:sz w:val="24"/>
          <w:szCs w:val="24"/>
        </w:rPr>
        <w:t>By taking the natural log of the function, we get</w:t>
      </w:r>
    </w:p>
    <w:p w:rsidR="00171ED7" w:rsidRPr="007A1686" w:rsidRDefault="00E913FA" w:rsidP="00107982">
      <w:pPr>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lnP</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lnA+b1lnK</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b2lnL</m:t>
            </m:r>
          </m:e>
          <m:sub>
            <m:r>
              <w:rPr>
                <w:rFonts w:ascii="Cambria Math" w:hAnsi="Cambria Math" w:cstheme="majorBidi"/>
                <w:sz w:val="24"/>
                <w:szCs w:val="24"/>
              </w:rPr>
              <m:t>it</m:t>
            </m:r>
          </m:sub>
        </m:sSub>
        <m:r>
          <w:rPr>
            <w:rFonts w:ascii="Cambria Math" w:hAnsi="Cambria Math" w:cstheme="majorBidi"/>
            <w:sz w:val="24"/>
            <w:szCs w:val="24"/>
          </w:rPr>
          <m:t xml:space="preserve">  + Ԑ</m:t>
        </m:r>
      </m:oMath>
      <w:r w:rsidR="00171ED7" w:rsidRPr="007A1686">
        <w:rPr>
          <w:rFonts w:asciiTheme="majorBidi" w:hAnsiTheme="majorBidi" w:cstheme="majorBidi"/>
          <w:sz w:val="24"/>
          <w:szCs w:val="24"/>
        </w:rPr>
        <w:t xml:space="preserve">  </w:t>
      </w:r>
    </w:p>
    <w:p w:rsidR="009D0CA3" w:rsidRPr="007A1686" w:rsidRDefault="00171ED7" w:rsidP="00C50D74">
      <w:pPr>
        <w:spacing w:line="360" w:lineRule="auto"/>
        <w:jc w:val="both"/>
        <w:rPr>
          <w:rFonts w:asciiTheme="majorBidi" w:eastAsiaTheme="minorEastAsia" w:hAnsiTheme="majorBidi" w:cstheme="majorBidi"/>
          <w:sz w:val="24"/>
          <w:szCs w:val="24"/>
        </w:rPr>
      </w:pPr>
      <w:r w:rsidRPr="007A1686">
        <w:rPr>
          <w:rFonts w:asciiTheme="majorBidi" w:hAnsiTheme="majorBidi" w:cstheme="majorBidi"/>
          <w:sz w:val="24"/>
          <w:szCs w:val="24"/>
        </w:rPr>
        <w:t xml:space="preserve">For the </w:t>
      </w:r>
      <w:r w:rsidR="00355164">
        <w:rPr>
          <w:rFonts w:asciiTheme="majorBidi" w:hAnsiTheme="majorBidi" w:cstheme="majorBidi"/>
          <w:sz w:val="24"/>
          <w:szCs w:val="24"/>
        </w:rPr>
        <w:t xml:space="preserve">simplicity </w:t>
      </w:r>
      <w:r w:rsidR="00355164" w:rsidRPr="007A1686">
        <w:rPr>
          <w:rFonts w:asciiTheme="majorBidi" w:hAnsiTheme="majorBidi" w:cstheme="majorBidi"/>
          <w:sz w:val="24"/>
          <w:szCs w:val="24"/>
        </w:rPr>
        <w:t>let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w:rPr>
                <w:rFonts w:ascii="Cambria Math" w:hAnsi="Cambria Math" w:cstheme="majorBidi"/>
                <w:sz w:val="24"/>
                <w:szCs w:val="24"/>
              </w:rPr>
              <m:t>0</m:t>
            </m:r>
          </m:sub>
        </m:sSub>
        <m:r>
          <w:rPr>
            <w:rFonts w:ascii="Cambria Math" w:hAnsi="Cambria Math" w:cstheme="majorBidi"/>
            <w:sz w:val="24"/>
            <w:szCs w:val="24"/>
          </w:rPr>
          <m:t>=lnA</m:t>
        </m:r>
      </m:oMath>
      <w:r w:rsidR="00355164">
        <w:rPr>
          <w:rFonts w:asciiTheme="majorBidi" w:eastAsiaTheme="minorEastAsia" w:hAnsiTheme="majorBidi" w:cstheme="majorBidi"/>
          <w:sz w:val="24"/>
          <w:szCs w:val="24"/>
        </w:rPr>
        <w:t>,</w:t>
      </w:r>
      <w:r w:rsidR="009D0CA3" w:rsidRPr="007A1686">
        <w:rPr>
          <w:rFonts w:asciiTheme="majorBidi" w:eastAsiaTheme="minorEastAsia" w:hAnsiTheme="majorBidi" w:cstheme="majorBidi"/>
          <w:sz w:val="24"/>
          <w:szCs w:val="24"/>
        </w:rPr>
        <w:t xml:space="preserve"> and </w:t>
      </w:r>
      <m:oMath>
        <m:r>
          <w:rPr>
            <w:rFonts w:ascii="Cambria Math" w:hAnsi="Cambria Math" w:cstheme="majorBidi"/>
            <w:sz w:val="24"/>
            <w:szCs w:val="24"/>
          </w:rPr>
          <m:t>B=</m:t>
        </m:r>
      </m:oMath>
      <w:r w:rsidR="009D0CA3" w:rsidRPr="007A1686">
        <w:rPr>
          <w:rFonts w:asciiTheme="majorBidi" w:eastAsiaTheme="minorEastAsia" w:hAnsiTheme="majorBidi" w:cstheme="majorBidi"/>
          <w:sz w:val="24"/>
          <w:szCs w:val="24"/>
        </w:rPr>
        <w:t xml:space="preserve"> </w:t>
      </w:r>
      <w:r w:rsidR="00355164">
        <w:rPr>
          <w:rFonts w:asciiTheme="majorBidi" w:eastAsiaTheme="minorEastAsia" w:hAnsiTheme="majorBidi" w:cstheme="majorBidi"/>
          <w:sz w:val="24"/>
          <w:szCs w:val="24"/>
        </w:rPr>
        <w:t>r</w:t>
      </w:r>
      <w:r w:rsidR="009D0CA3" w:rsidRPr="007A1686">
        <w:rPr>
          <w:rFonts w:asciiTheme="majorBidi" w:eastAsiaTheme="minorEastAsia" w:hAnsiTheme="majorBidi" w:cstheme="majorBidi"/>
          <w:sz w:val="24"/>
          <w:szCs w:val="24"/>
        </w:rPr>
        <w:t>ow rector of the coefficients</w:t>
      </w:r>
      <w:r w:rsidR="00355164">
        <w:rPr>
          <w:rFonts w:asciiTheme="majorBidi" w:eastAsiaTheme="minorEastAsia" w:hAnsiTheme="majorBidi" w:cstheme="majorBidi"/>
          <w:sz w:val="24"/>
          <w:szCs w:val="24"/>
        </w:rPr>
        <w:t xml:space="preserve"> of</w:t>
      </w:r>
      <w:r w:rsidR="00C50D74">
        <w:rPr>
          <w:rFonts w:asciiTheme="majorBidi" w:eastAsiaTheme="minorEastAsia" w:hAnsiTheme="majorBidi" w:cstheme="majorBidi"/>
          <w:sz w:val="24"/>
          <w:szCs w:val="24"/>
        </w:rPr>
        <w:t xml:space="preserve"> b1 and</w:t>
      </w:r>
      <w:bookmarkStart w:id="0" w:name="_GoBack"/>
      <w:bookmarkEnd w:id="0"/>
      <w:r w:rsidR="009D0CA3" w:rsidRPr="007A1686">
        <w:rPr>
          <w:rFonts w:asciiTheme="majorBidi" w:eastAsiaTheme="minorEastAsia" w:hAnsiTheme="majorBidi" w:cstheme="majorBidi"/>
          <w:sz w:val="24"/>
          <w:szCs w:val="24"/>
        </w:rPr>
        <w:t xml:space="preserve"> b2, </w:t>
      </w:r>
    </w:p>
    <w:p w:rsidR="009D0CA3" w:rsidRPr="007A1686" w:rsidRDefault="00355164" w:rsidP="005947B4">
      <w:pPr>
        <w:spacing w:line="36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and</w:t>
      </w:r>
      <w:proofErr w:type="gramEnd"/>
      <w:r>
        <w:rPr>
          <w:rFonts w:asciiTheme="majorBidi" w:eastAsiaTheme="minorEastAsia" w:hAnsiTheme="majorBidi" w:cstheme="majorBidi"/>
          <w:sz w:val="24"/>
          <w:szCs w:val="24"/>
        </w:rPr>
        <w:t xml:space="preserve"> </w:t>
      </w:r>
      <w:r w:rsidRPr="007A1686">
        <w:rPr>
          <w:rFonts w:asciiTheme="majorBidi" w:eastAsiaTheme="minorEastAsia" w:hAnsiTheme="majorBidi" w:cstheme="majorBidi"/>
          <w:sz w:val="24"/>
          <w:szCs w:val="24"/>
        </w:rPr>
        <w:t>X</w:t>
      </w:r>
      <w:r w:rsidR="009D0CA3" w:rsidRPr="007A1686">
        <w:rPr>
          <w:rFonts w:asciiTheme="majorBidi" w:eastAsiaTheme="minorEastAsia" w:hAnsiTheme="majorBidi" w:cstheme="majorBidi"/>
          <w:sz w:val="24"/>
          <w:szCs w:val="24"/>
        </w:rPr>
        <w:t xml:space="preserve"> = column vector of the input variables</w:t>
      </w:r>
      <w:r>
        <w:rPr>
          <w:rFonts w:asciiTheme="majorBidi" w:eastAsiaTheme="minorEastAsia" w:hAnsiTheme="majorBidi" w:cstheme="majorBidi"/>
          <w:sz w:val="24"/>
          <w:szCs w:val="24"/>
        </w:rPr>
        <w:t>.</w:t>
      </w:r>
    </w:p>
    <w:p w:rsidR="009D0CA3" w:rsidRPr="007A1686" w:rsidRDefault="00355164" w:rsidP="005947B4">
      <w:pPr>
        <w:spacing w:line="36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w:t>
      </w:r>
      <w:r w:rsidR="009D0CA3" w:rsidRPr="007A1686">
        <w:rPr>
          <w:rFonts w:asciiTheme="majorBidi" w:eastAsiaTheme="minorEastAsia" w:hAnsiTheme="majorBidi" w:cstheme="majorBidi"/>
          <w:sz w:val="24"/>
          <w:szCs w:val="24"/>
        </w:rPr>
        <w:t xml:space="preserve">he production function can be reduced to </w:t>
      </w:r>
    </w:p>
    <w:p w:rsidR="009D0CA3" w:rsidRPr="007A1686" w:rsidRDefault="009D0CA3" w:rsidP="005947B4">
      <w:pPr>
        <w:spacing w:line="360" w:lineRule="auto"/>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lnP</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m:rPr>
                    <m:sty m:val="p"/>
                  </m:rPr>
                  <w:rPr>
                    <w:rFonts w:ascii="Cambria Math" w:hAnsi="Cambria Math" w:cstheme="majorBidi"/>
                    <w:sz w:val="24"/>
                    <w:szCs w:val="24"/>
                  </w:rPr>
                  <m:t>λ</m:t>
                </m:r>
              </m:e>
              <m:sub>
                <m:r>
                  <w:rPr>
                    <w:rFonts w:ascii="Cambria Math" w:hAnsi="Cambria Math" w:cstheme="majorBidi"/>
                    <w:sz w:val="24"/>
                    <w:szCs w:val="24"/>
                  </w:rPr>
                  <m:t>0</m:t>
                </m:r>
              </m:sub>
            </m:sSub>
            <m:r>
              <w:rPr>
                <w:rFonts w:ascii="Cambria Math" w:hAnsi="Cambria Math" w:cstheme="majorBidi"/>
                <w:sz w:val="24"/>
                <w:szCs w:val="24"/>
              </w:rPr>
              <m:t>+BlnX</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Ԑ</m:t>
            </m:r>
          </m:e>
          <m:sub>
            <m:r>
              <w:rPr>
                <w:rFonts w:ascii="Cambria Math" w:hAnsi="Cambria Math" w:cstheme="majorBidi"/>
                <w:sz w:val="24"/>
                <w:szCs w:val="24"/>
              </w:rPr>
              <m:t>it</m:t>
            </m:r>
          </m:sub>
        </m:sSub>
      </m:oMath>
      <w:r w:rsidR="00D5483C">
        <w:rPr>
          <w:rFonts w:asciiTheme="majorBidi" w:eastAsiaTheme="minorEastAsia" w:hAnsiTheme="majorBidi" w:cstheme="majorBidi"/>
          <w:sz w:val="24"/>
          <w:szCs w:val="24"/>
        </w:rPr>
        <w:t xml:space="preserve">                                                       (1)</w:t>
      </w:r>
    </w:p>
    <w:p w:rsidR="009D0CA3" w:rsidRPr="007A1686" w:rsidRDefault="009D0CA3" w:rsidP="005947B4">
      <w:pPr>
        <w:spacing w:line="360" w:lineRule="auto"/>
        <w:jc w:val="both"/>
        <w:rPr>
          <w:rFonts w:asciiTheme="majorBidi" w:eastAsiaTheme="minorEastAsia" w:hAnsiTheme="majorBidi" w:cstheme="majorBidi"/>
          <w:sz w:val="24"/>
          <w:szCs w:val="24"/>
        </w:rPr>
      </w:pPr>
      <w:r w:rsidRPr="007A1686">
        <w:rPr>
          <w:rFonts w:asciiTheme="majorBidi" w:hAnsiTheme="majorBidi" w:cstheme="majorBidi"/>
          <w:sz w:val="24"/>
          <w:szCs w:val="24"/>
        </w:rPr>
        <w:t>This function is estimated using the stochastic frontier model that decomposes the residual</w:t>
      </w:r>
      <w:r w:rsidR="00355164">
        <w:rPr>
          <w:rFonts w:asciiTheme="majorBidi" w:hAnsiTheme="majorBidi" w:cstheme="majorBidi"/>
          <w:sz w:val="24"/>
          <w:szCs w:val="24"/>
        </w:rPr>
        <w:t>s</w:t>
      </w:r>
      <w:r w:rsidRPr="007A168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Ԑ</m:t>
            </m:r>
          </m:e>
          <m:sub>
            <m:r>
              <w:rPr>
                <w:rFonts w:ascii="Cambria Math" w:hAnsi="Cambria Math" w:cstheme="majorBidi"/>
                <w:sz w:val="24"/>
                <w:szCs w:val="24"/>
              </w:rPr>
              <m:t>it</m:t>
            </m:r>
          </m:sub>
        </m:sSub>
      </m:oMath>
      <w:r w:rsidRPr="007A1686">
        <w:rPr>
          <w:rFonts w:asciiTheme="majorBidi" w:eastAsiaTheme="minorEastAsia" w:hAnsiTheme="majorBidi" w:cstheme="majorBidi"/>
          <w:sz w:val="24"/>
          <w:szCs w:val="24"/>
        </w:rPr>
        <w:t xml:space="preserve"> into </w:t>
      </w:r>
      <m:oMath>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it</m:t>
            </m:r>
          </m:sub>
        </m:sSub>
      </m:oMath>
      <w:r w:rsidRPr="007A1686">
        <w:rPr>
          <w:rFonts w:asciiTheme="majorBidi" w:eastAsiaTheme="minorEastAsia" w:hAnsiTheme="majorBidi" w:cstheme="majorBidi"/>
          <w:sz w:val="24"/>
          <w:szCs w:val="24"/>
        </w:rPr>
        <w:t xml:space="preserve"> </w:t>
      </w:r>
    </w:p>
    <w:p w:rsidR="00355164" w:rsidRDefault="00E913FA" w:rsidP="005947B4">
      <w:pPr>
        <w:spacing w:line="360" w:lineRule="auto"/>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V</m:t>
            </m:r>
          </m:e>
          <m:sub>
            <m:r>
              <w:rPr>
                <w:rFonts w:ascii="Cambria Math" w:hAnsi="Cambria Math" w:cstheme="majorBidi"/>
                <w:sz w:val="24"/>
                <w:szCs w:val="24"/>
              </w:rPr>
              <m:t>it</m:t>
            </m:r>
          </m:sub>
        </m:sSub>
      </m:oMath>
      <w:r w:rsidR="009D0CA3" w:rsidRPr="007A1686">
        <w:rPr>
          <w:rFonts w:asciiTheme="majorBidi" w:eastAsiaTheme="minorEastAsia" w:hAnsiTheme="majorBidi" w:cstheme="majorBidi"/>
          <w:sz w:val="24"/>
          <w:szCs w:val="24"/>
        </w:rPr>
        <w:t xml:space="preserve"> </w:t>
      </w:r>
      <w:proofErr w:type="gramStart"/>
      <w:r w:rsidR="009D0CA3" w:rsidRPr="007A1686">
        <w:rPr>
          <w:rFonts w:asciiTheme="majorBidi" w:eastAsiaTheme="minorEastAsia" w:hAnsiTheme="majorBidi" w:cstheme="majorBidi"/>
          <w:sz w:val="24"/>
          <w:szCs w:val="24"/>
        </w:rPr>
        <w:t>is</w:t>
      </w:r>
      <w:proofErr w:type="gramEnd"/>
      <w:r w:rsidR="009D0CA3" w:rsidRPr="007A1686">
        <w:rPr>
          <w:rFonts w:asciiTheme="majorBidi" w:eastAsiaTheme="minorEastAsia" w:hAnsiTheme="majorBidi" w:cstheme="majorBidi"/>
          <w:sz w:val="24"/>
          <w:szCs w:val="24"/>
        </w:rPr>
        <w:t xml:space="preserve"> the conventional error term that captures the </w:t>
      </w:r>
      <w:r w:rsidR="009956C1" w:rsidRPr="007A1686">
        <w:rPr>
          <w:rFonts w:asciiTheme="majorBidi" w:eastAsiaTheme="minorEastAsia" w:hAnsiTheme="majorBidi" w:cstheme="majorBidi"/>
          <w:sz w:val="24"/>
          <w:szCs w:val="24"/>
        </w:rPr>
        <w:t xml:space="preserve">randomness effect, measurement errors, etc. where as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it</m:t>
            </m:r>
          </m:sub>
        </m:sSub>
      </m:oMath>
      <w:r w:rsidR="009956C1" w:rsidRPr="007A1686">
        <w:rPr>
          <w:rFonts w:asciiTheme="majorBidi" w:eastAsiaTheme="minorEastAsia" w:hAnsiTheme="majorBidi" w:cstheme="majorBidi"/>
          <w:sz w:val="24"/>
          <w:szCs w:val="24"/>
        </w:rPr>
        <w:t xml:space="preserve"> is the inefficiency term. It is one sided error</w:t>
      </w:r>
      <w:r w:rsidR="00355164">
        <w:rPr>
          <w:rFonts w:asciiTheme="majorBidi" w:eastAsiaTheme="minorEastAsia" w:hAnsiTheme="majorBidi" w:cstheme="majorBidi"/>
          <w:sz w:val="24"/>
          <w:szCs w:val="24"/>
        </w:rPr>
        <w:t xml:space="preserve"> term t</w:t>
      </w:r>
      <w:r w:rsidR="009956C1" w:rsidRPr="007A1686">
        <w:rPr>
          <w:rFonts w:asciiTheme="majorBidi" w:eastAsiaTheme="minorEastAsia" w:hAnsiTheme="majorBidi" w:cstheme="majorBidi"/>
          <w:sz w:val="24"/>
          <w:szCs w:val="24"/>
        </w:rPr>
        <w:t xml:space="preserve">hat takes values from 0 to 1. Thus, its distribution can be exponential, half-normal </w:t>
      </w:r>
      <w:r w:rsidR="00355164" w:rsidRPr="007A1686">
        <w:rPr>
          <w:rFonts w:asciiTheme="majorBidi" w:eastAsiaTheme="minorEastAsia" w:hAnsiTheme="majorBidi" w:cstheme="majorBidi"/>
          <w:sz w:val="24"/>
          <w:szCs w:val="24"/>
        </w:rPr>
        <w:t xml:space="preserve">or </w:t>
      </w:r>
      <w:r w:rsidR="00355164">
        <w:rPr>
          <w:rFonts w:asciiTheme="majorBidi" w:eastAsiaTheme="minorEastAsia" w:hAnsiTheme="majorBidi" w:cstheme="majorBidi"/>
          <w:sz w:val="24"/>
          <w:szCs w:val="24"/>
        </w:rPr>
        <w:t>truncated</w:t>
      </w:r>
      <w:r w:rsidR="009956C1" w:rsidRPr="007A1686">
        <w:rPr>
          <w:rFonts w:asciiTheme="majorBidi" w:eastAsiaTheme="minorEastAsia" w:hAnsiTheme="majorBidi" w:cstheme="majorBidi"/>
          <w:sz w:val="24"/>
          <w:szCs w:val="24"/>
        </w:rPr>
        <w:t xml:space="preserve">. In this paper, we employ the half-normal distributions to compute the inefficiency residuals using the LIMDEP </w:t>
      </w:r>
      <w:r w:rsidR="009956C1" w:rsidRPr="007A1686">
        <w:rPr>
          <w:rFonts w:asciiTheme="majorBidi" w:eastAsiaTheme="minorEastAsia" w:hAnsiTheme="majorBidi" w:cstheme="majorBidi"/>
          <w:sz w:val="24"/>
          <w:szCs w:val="24"/>
        </w:rPr>
        <w:lastRenderedPageBreak/>
        <w:t xml:space="preserve">software. The stochastic frontier is fit into the data using the maximum likelihood procedure to estimate the residuals. Given the estimated </w:t>
      </w:r>
      <w:r w:rsidR="002526C1" w:rsidRPr="007A1686">
        <w:rPr>
          <w:rFonts w:asciiTheme="majorBidi" w:eastAsiaTheme="minorEastAsia" w:hAnsiTheme="majorBidi" w:cstheme="majorBidi"/>
          <w:sz w:val="24"/>
          <w:szCs w:val="24"/>
        </w:rPr>
        <w:t>residuals</w:t>
      </w:r>
      <w:r w:rsidR="009956C1" w:rsidRPr="007A1686">
        <w:rPr>
          <w:rFonts w:asciiTheme="majorBidi" w:eastAsiaTheme="minorEastAsia" w:hAnsiTheme="majorBidi" w:cstheme="majorBidi"/>
          <w:sz w:val="24"/>
          <w:szCs w:val="24"/>
        </w:rPr>
        <w:t xml:space="preserve">, the inefficiency score is calculated. </w:t>
      </w:r>
      <w:r w:rsidR="00355164">
        <w:rPr>
          <w:rFonts w:asciiTheme="majorBidi" w:eastAsiaTheme="minorEastAsia" w:hAnsiTheme="majorBidi" w:cstheme="majorBidi"/>
          <w:sz w:val="24"/>
          <w:szCs w:val="24"/>
        </w:rPr>
        <w:t>The</w:t>
      </w:r>
      <w:r w:rsidR="009956C1" w:rsidRPr="007A1686">
        <w:rPr>
          <w:rFonts w:asciiTheme="majorBidi" w:eastAsiaTheme="minorEastAsia" w:hAnsiTheme="majorBidi" w:cstheme="majorBidi"/>
          <w:sz w:val="24"/>
          <w:szCs w:val="24"/>
        </w:rPr>
        <w:t xml:space="preserve"> ineff</w:t>
      </w:r>
      <w:r w:rsidR="00560DDA" w:rsidRPr="007A1686">
        <w:rPr>
          <w:rFonts w:asciiTheme="majorBidi" w:eastAsiaTheme="minorEastAsia" w:hAnsiTheme="majorBidi" w:cstheme="majorBidi"/>
          <w:sz w:val="24"/>
          <w:szCs w:val="24"/>
        </w:rPr>
        <w:t xml:space="preserve">iciency scores have non-zero mean and its variance is </w:t>
      </w:r>
      <m:oMath>
        <m:r>
          <w:rPr>
            <w:rFonts w:ascii="Cambria Math" w:eastAsiaTheme="minorEastAsia" w:hAnsi="Cambria Math" w:cstheme="majorBidi"/>
            <w:sz w:val="24"/>
            <w:szCs w:val="24"/>
          </w:rPr>
          <m:t xml:space="preserve">Ȇ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 xml:space="preserve"> Ui</m:t>
            </m:r>
          </m:e>
        </m:d>
        <m:r>
          <w:rPr>
            <w:rFonts w:ascii="Cambria Math" w:eastAsiaTheme="minorEastAsia" w:hAnsi="Cambria Math" w:cstheme="majorBidi"/>
            <w:sz w:val="24"/>
            <w:szCs w:val="24"/>
          </w:rPr>
          <m:t xml:space="preserve">= </m:t>
        </m:r>
        <m:rad>
          <m:radPr>
            <m:degHide m:val="1"/>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2</m:t>
                </m:r>
              </m:num>
              <m:den>
                <m:r>
                  <w:rPr>
                    <w:rFonts w:ascii="Cambria Math" w:eastAsiaTheme="minorEastAsia" w:hAnsi="Cambria Math" w:cstheme="majorBidi"/>
                    <w:sz w:val="24"/>
                    <w:szCs w:val="24"/>
                  </w:rPr>
                  <m:t>π</m:t>
                </m:r>
              </m:den>
            </m:f>
          </m:e>
        </m:rad>
        <m:sSup>
          <m:sSupPr>
            <m:ctrlPr>
              <w:rPr>
                <w:rFonts w:ascii="Cambria Math" w:hAnsi="Cambria Math" w:cstheme="majorBidi"/>
                <w:i/>
                <w:sz w:val="24"/>
                <w:szCs w:val="24"/>
              </w:rPr>
            </m:ctrlPr>
          </m:sSupPr>
          <m:e>
            <m:r>
              <w:rPr>
                <w:rFonts w:ascii="Cambria Math" w:eastAsiaTheme="minorEastAsia" w:hAnsi="Cambria Math" w:cstheme="majorBidi"/>
                <w:sz w:val="24"/>
                <w:szCs w:val="24"/>
              </w:rPr>
              <m:t xml:space="preserve">  δ</m:t>
            </m:r>
          </m:e>
          <m:sup>
            <m:r>
              <w:rPr>
                <w:rFonts w:ascii="Cambria Math" w:hAnsi="Cambria Math" w:cstheme="majorBidi"/>
                <w:sz w:val="24"/>
                <w:szCs w:val="24"/>
              </w:rPr>
              <m:t>2</m:t>
            </m:r>
          </m:sup>
        </m:sSup>
      </m:oMath>
      <w:r w:rsidR="009956C1" w:rsidRPr="007A1686">
        <w:rPr>
          <w:rFonts w:asciiTheme="majorBidi" w:eastAsiaTheme="minorEastAsia" w:hAnsiTheme="majorBidi" w:cstheme="majorBidi"/>
          <w:sz w:val="24"/>
          <w:szCs w:val="24"/>
        </w:rPr>
        <w:t xml:space="preserve"> </w:t>
      </w:r>
      <w:r w:rsidR="002526C1" w:rsidRPr="007A1686">
        <w:rPr>
          <w:rFonts w:asciiTheme="majorBidi" w:eastAsiaTheme="minorEastAsia" w:hAnsiTheme="majorBidi" w:cstheme="majorBidi"/>
          <w:sz w:val="24"/>
          <w:szCs w:val="24"/>
        </w:rPr>
        <w:t xml:space="preserve"> </w:t>
      </w:r>
      <w:r w:rsidR="00355164">
        <w:rPr>
          <w:rFonts w:asciiTheme="majorBidi" w:eastAsiaTheme="minorEastAsia" w:hAnsiTheme="majorBidi" w:cstheme="majorBidi"/>
          <w:sz w:val="24"/>
          <w:szCs w:val="24"/>
        </w:rPr>
        <w:t xml:space="preserve">, </w:t>
      </w:r>
      <w:r w:rsidR="002526C1" w:rsidRPr="007A1686">
        <w:rPr>
          <w:rFonts w:asciiTheme="majorBidi" w:eastAsiaTheme="minorEastAsia" w:hAnsiTheme="majorBidi" w:cstheme="majorBidi"/>
          <w:sz w:val="24"/>
          <w:szCs w:val="24"/>
        </w:rPr>
        <w:t xml:space="preserve">where </w:t>
      </w:r>
      <m:oMath>
        <m:sSup>
          <m:sSupPr>
            <m:ctrlPr>
              <w:rPr>
                <w:rFonts w:ascii="Cambria Math" w:hAnsi="Cambria Math" w:cstheme="majorBidi"/>
                <w:i/>
                <w:sz w:val="24"/>
                <w:szCs w:val="24"/>
              </w:rPr>
            </m:ctrlPr>
          </m:sSupPr>
          <m:e>
            <m:r>
              <w:rPr>
                <w:rFonts w:ascii="Cambria Math" w:eastAsiaTheme="minorEastAsia" w:hAnsi="Cambria Math" w:cstheme="majorBidi"/>
                <w:sz w:val="24"/>
                <w:szCs w:val="24"/>
              </w:rPr>
              <m:t xml:space="preserve">  δ</m:t>
            </m:r>
          </m:e>
          <m:sup>
            <m:r>
              <w:rPr>
                <w:rFonts w:ascii="Cambria Math" w:hAnsi="Cambria Math" w:cstheme="majorBidi"/>
                <w:sz w:val="24"/>
                <w:szCs w:val="24"/>
              </w:rPr>
              <m:t>2</m:t>
            </m:r>
          </m:sup>
        </m:sSup>
      </m:oMath>
      <w:r w:rsidR="002526C1" w:rsidRPr="007A1686">
        <w:rPr>
          <w:rFonts w:asciiTheme="majorBidi" w:eastAsiaTheme="minorEastAsia" w:hAnsiTheme="majorBidi" w:cstheme="majorBidi"/>
          <w:sz w:val="24"/>
          <w:szCs w:val="24"/>
        </w:rPr>
        <w:t xml:space="preserve"> is the variance of the random error term, which has a zero mean.</w:t>
      </w:r>
    </w:p>
    <w:p w:rsidR="009956C1" w:rsidRPr="007A1686" w:rsidRDefault="0027471F" w:rsidP="005947B4">
      <w:pPr>
        <w:spacing w:line="360" w:lineRule="auto"/>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 xml:space="preserve">The risk factors that we hypothesise can </w:t>
      </w:r>
      <w:r w:rsidR="00355164">
        <w:rPr>
          <w:rFonts w:asciiTheme="majorBidi" w:eastAsiaTheme="minorEastAsia" w:hAnsiTheme="majorBidi" w:cstheme="majorBidi"/>
          <w:sz w:val="24"/>
          <w:szCs w:val="24"/>
        </w:rPr>
        <w:t>affect</w:t>
      </w:r>
      <w:r w:rsidRPr="007A1686">
        <w:rPr>
          <w:rFonts w:asciiTheme="majorBidi" w:eastAsiaTheme="minorEastAsia" w:hAnsiTheme="majorBidi" w:cstheme="majorBidi"/>
          <w:sz w:val="24"/>
          <w:szCs w:val="24"/>
        </w:rPr>
        <w:t xml:space="preserve"> the efficiency scores of the ba</w:t>
      </w:r>
      <w:r w:rsidR="005079E5">
        <w:rPr>
          <w:rFonts w:asciiTheme="majorBidi" w:eastAsiaTheme="minorEastAsia" w:hAnsiTheme="majorBidi" w:cstheme="majorBidi"/>
          <w:sz w:val="24"/>
          <w:szCs w:val="24"/>
        </w:rPr>
        <w:t>n</w:t>
      </w:r>
      <w:r w:rsidRPr="007A1686">
        <w:rPr>
          <w:rFonts w:asciiTheme="majorBidi" w:eastAsiaTheme="minorEastAsia" w:hAnsiTheme="majorBidi" w:cstheme="majorBidi"/>
          <w:sz w:val="24"/>
          <w:szCs w:val="24"/>
        </w:rPr>
        <w:t>k are</w:t>
      </w:r>
      <w:r w:rsidR="00355164">
        <w:rPr>
          <w:rFonts w:asciiTheme="majorBidi" w:eastAsiaTheme="minorEastAsia" w:hAnsiTheme="majorBidi" w:cstheme="majorBidi"/>
          <w:sz w:val="24"/>
          <w:szCs w:val="24"/>
        </w:rPr>
        <w:t>,</w:t>
      </w:r>
    </w:p>
    <w:p w:rsidR="0027471F" w:rsidRPr="00DA736B" w:rsidRDefault="0027471F" w:rsidP="005947B4">
      <w:pPr>
        <w:spacing w:line="360" w:lineRule="auto"/>
        <w:ind w:hanging="284"/>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B = Systematic risk, which measures the linkages and co-m</w:t>
      </w:r>
      <w:r w:rsidR="00355164">
        <w:rPr>
          <w:rFonts w:asciiTheme="majorBidi" w:eastAsiaTheme="minorEastAsia" w:hAnsiTheme="majorBidi" w:cstheme="majorBidi"/>
          <w:sz w:val="24"/>
          <w:szCs w:val="24"/>
        </w:rPr>
        <w:t>ovements</w:t>
      </w:r>
      <w:r w:rsidRPr="007A1686">
        <w:rPr>
          <w:rFonts w:asciiTheme="majorBidi" w:eastAsiaTheme="minorEastAsia" w:hAnsiTheme="majorBidi" w:cstheme="majorBidi"/>
          <w:sz w:val="24"/>
          <w:szCs w:val="24"/>
        </w:rPr>
        <w:t xml:space="preserve"> of the bank</w:t>
      </w:r>
      <w:r w:rsidR="00F50D8E">
        <w:rPr>
          <w:rFonts w:asciiTheme="majorBidi" w:eastAsiaTheme="minorEastAsia" w:hAnsiTheme="majorBidi" w:cstheme="majorBidi"/>
          <w:sz w:val="24"/>
          <w:szCs w:val="24"/>
        </w:rPr>
        <w:t xml:space="preserve"> performance </w:t>
      </w:r>
      <w:r w:rsidRPr="007A1686">
        <w:rPr>
          <w:rFonts w:asciiTheme="majorBidi" w:eastAsiaTheme="minorEastAsia" w:hAnsiTheme="majorBidi" w:cstheme="majorBidi"/>
          <w:sz w:val="24"/>
          <w:szCs w:val="24"/>
        </w:rPr>
        <w:t>with the total market f</w:t>
      </w:r>
      <w:r w:rsidR="00F50D8E">
        <w:rPr>
          <w:rFonts w:asciiTheme="majorBidi" w:eastAsiaTheme="minorEastAsia" w:hAnsiTheme="majorBidi" w:cstheme="majorBidi"/>
          <w:sz w:val="24"/>
          <w:szCs w:val="24"/>
        </w:rPr>
        <w:t>l</w:t>
      </w:r>
      <w:r w:rsidRPr="007A1686">
        <w:rPr>
          <w:rFonts w:asciiTheme="majorBidi" w:eastAsiaTheme="minorEastAsia" w:hAnsiTheme="majorBidi" w:cstheme="majorBidi"/>
          <w:sz w:val="24"/>
          <w:szCs w:val="24"/>
        </w:rPr>
        <w:t>u</w:t>
      </w:r>
      <w:r w:rsidR="00F50D8E">
        <w:rPr>
          <w:rFonts w:asciiTheme="majorBidi" w:eastAsiaTheme="minorEastAsia" w:hAnsiTheme="majorBidi" w:cstheme="majorBidi"/>
          <w:sz w:val="24"/>
          <w:szCs w:val="24"/>
        </w:rPr>
        <w:t>ctua</w:t>
      </w:r>
      <w:r w:rsidRPr="007A1686">
        <w:rPr>
          <w:rFonts w:asciiTheme="majorBidi" w:eastAsiaTheme="minorEastAsia" w:hAnsiTheme="majorBidi" w:cstheme="majorBidi"/>
          <w:sz w:val="24"/>
          <w:szCs w:val="24"/>
        </w:rPr>
        <w:t>tions. It</w:t>
      </w:r>
      <w:r w:rsidR="00F50D8E">
        <w:rPr>
          <w:rFonts w:asciiTheme="majorBidi" w:eastAsiaTheme="minorEastAsia" w:hAnsiTheme="majorBidi" w:cstheme="majorBidi"/>
          <w:sz w:val="24"/>
          <w:szCs w:val="24"/>
        </w:rPr>
        <w:t xml:space="preserve"> i</w:t>
      </w:r>
      <w:r w:rsidRPr="007A1686">
        <w:rPr>
          <w:rFonts w:asciiTheme="majorBidi" w:eastAsiaTheme="minorEastAsia" w:hAnsiTheme="majorBidi" w:cstheme="majorBidi"/>
          <w:sz w:val="24"/>
          <w:szCs w:val="24"/>
        </w:rPr>
        <w:t xml:space="preserve">s expected that the higher the market risk, the higher </w:t>
      </w:r>
      <w:r w:rsidR="00F50D8E">
        <w:rPr>
          <w:rFonts w:asciiTheme="majorBidi" w:eastAsiaTheme="minorEastAsia" w:hAnsiTheme="majorBidi" w:cstheme="majorBidi"/>
          <w:sz w:val="24"/>
          <w:szCs w:val="24"/>
        </w:rPr>
        <w:t xml:space="preserve">the </w:t>
      </w:r>
      <w:r w:rsidRPr="007A1686">
        <w:rPr>
          <w:rFonts w:asciiTheme="majorBidi" w:eastAsiaTheme="minorEastAsia" w:hAnsiTheme="majorBidi" w:cstheme="majorBidi"/>
          <w:sz w:val="24"/>
          <w:szCs w:val="24"/>
        </w:rPr>
        <w:t xml:space="preserve">uncertainty the bank faces in managing its resources efficiently and hence the higher bank </w:t>
      </w:r>
      <w:r w:rsidR="00F50D8E">
        <w:rPr>
          <w:rFonts w:asciiTheme="majorBidi" w:eastAsiaTheme="minorEastAsia" w:hAnsiTheme="majorBidi" w:cstheme="majorBidi"/>
          <w:sz w:val="24"/>
          <w:szCs w:val="24"/>
        </w:rPr>
        <w:t>in</w:t>
      </w:r>
      <w:r w:rsidRPr="007A1686">
        <w:rPr>
          <w:rFonts w:asciiTheme="majorBidi" w:eastAsiaTheme="minorEastAsia" w:hAnsiTheme="majorBidi" w:cstheme="majorBidi"/>
          <w:sz w:val="24"/>
          <w:szCs w:val="24"/>
        </w:rPr>
        <w:t>efficiency.</w:t>
      </w:r>
      <w:r w:rsidR="00DA736B">
        <w:rPr>
          <w:rFonts w:asciiTheme="majorBidi" w:eastAsiaTheme="minorEastAsia" w:hAnsiTheme="majorBidi" w:cstheme="majorBidi"/>
          <w:sz w:val="24"/>
          <w:szCs w:val="24"/>
        </w:rPr>
        <w:t xml:space="preserve"> It is calculated as</w:t>
      </w:r>
      <w:r w:rsidR="009A6670">
        <w:rPr>
          <w:rFonts w:asciiTheme="majorBidi" w:eastAsiaTheme="minorEastAsia" w:hAnsiTheme="majorBidi" w:cstheme="majorBidi"/>
          <w:sz w:val="24"/>
          <w:szCs w:val="24"/>
        </w:rPr>
        <w:t xml:space="preserve"> (Ross et al., 2012)</w:t>
      </w:r>
      <w:r w:rsidR="00DA736B" w:rsidRPr="00DA736B">
        <w:rPr>
          <w:rFonts w:asciiTheme="majorBidi" w:eastAsiaTheme="minorEastAsia" w:hAnsiTheme="majorBidi" w:cstheme="majorBidi"/>
          <w:position w:val="-30"/>
          <w:sz w:val="24"/>
          <w:szCs w:val="24"/>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33.9pt" o:ole="">
            <v:imagedata r:id="rId13" o:title=""/>
          </v:shape>
          <o:OLEObject Type="Embed" ProgID="Equation.3" ShapeID="_x0000_i1025" DrawAspect="Content" ObjectID="_1476613683" r:id="rId14"/>
        </w:object>
      </w:r>
      <w:r w:rsidR="00DA736B">
        <w:rPr>
          <w:rFonts w:asciiTheme="majorBidi" w:eastAsiaTheme="minorEastAsia" w:hAnsiTheme="majorBidi" w:cstheme="majorBidi"/>
          <w:sz w:val="24"/>
          <w:szCs w:val="24"/>
        </w:rPr>
        <w:t xml:space="preserve">, where </w:t>
      </w:r>
      <w:proofErr w:type="spellStart"/>
      <w:proofErr w:type="gramStart"/>
      <w:r w:rsidR="00DA736B">
        <w:rPr>
          <w:rFonts w:asciiTheme="majorBidi" w:eastAsiaTheme="minorEastAsia" w:hAnsiTheme="majorBidi" w:cstheme="majorBidi"/>
          <w:sz w:val="24"/>
          <w:szCs w:val="24"/>
        </w:rPr>
        <w:t>R</w:t>
      </w:r>
      <w:r w:rsidR="00DA736B">
        <w:rPr>
          <w:rFonts w:asciiTheme="majorBidi" w:eastAsiaTheme="minorEastAsia" w:hAnsiTheme="majorBidi" w:cstheme="majorBidi"/>
          <w:sz w:val="24"/>
          <w:szCs w:val="24"/>
          <w:vertAlign w:val="subscript"/>
        </w:rPr>
        <w:t>i</w:t>
      </w:r>
      <w:proofErr w:type="spellEnd"/>
      <w:proofErr w:type="gramEnd"/>
      <w:r w:rsidR="00DA736B">
        <w:rPr>
          <w:rFonts w:asciiTheme="majorBidi" w:eastAsiaTheme="minorEastAsia" w:hAnsiTheme="majorBidi" w:cstheme="majorBidi"/>
          <w:sz w:val="24"/>
          <w:szCs w:val="24"/>
        </w:rPr>
        <w:t xml:space="preserve"> is the stock return of the bank, and R</w:t>
      </w:r>
      <w:r w:rsidR="00DA736B">
        <w:rPr>
          <w:rFonts w:asciiTheme="majorBidi" w:eastAsiaTheme="minorEastAsia" w:hAnsiTheme="majorBidi" w:cstheme="majorBidi"/>
          <w:sz w:val="24"/>
          <w:szCs w:val="24"/>
          <w:vertAlign w:val="subscript"/>
        </w:rPr>
        <w:t>m</w:t>
      </w:r>
      <w:r w:rsidR="00DA736B">
        <w:rPr>
          <w:rFonts w:asciiTheme="majorBidi" w:eastAsiaTheme="minorEastAsia" w:hAnsiTheme="majorBidi" w:cstheme="majorBidi"/>
          <w:sz w:val="24"/>
          <w:szCs w:val="24"/>
        </w:rPr>
        <w:t xml:space="preserve"> is the market return. The stock index (all listed stocks on the market) in each country is considered the market for the purpose of calculation.</w:t>
      </w:r>
    </w:p>
    <w:p w:rsidR="00A535E2" w:rsidRPr="007A1686" w:rsidRDefault="0027471F" w:rsidP="00A41CA6">
      <w:pPr>
        <w:spacing w:line="360" w:lineRule="auto"/>
        <w:ind w:hanging="284"/>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 xml:space="preserve">U = Unsystematic risk, which measures the risks unique to the bank. It illustrates how much bank specific risks weigh in on the bank. </w:t>
      </w:r>
      <w:r w:rsidR="00A535E2" w:rsidRPr="007A1686">
        <w:rPr>
          <w:rFonts w:asciiTheme="majorBidi" w:eastAsiaTheme="minorEastAsia" w:hAnsiTheme="majorBidi" w:cstheme="majorBidi"/>
          <w:sz w:val="24"/>
          <w:szCs w:val="24"/>
        </w:rPr>
        <w:t>The bank has control on its specific risks; the higher the unsystematic risk, the higher the inability of the bank to manage its resources efficiently.</w:t>
      </w:r>
      <w:r w:rsidR="00DA736B">
        <w:rPr>
          <w:rFonts w:asciiTheme="majorBidi" w:eastAsiaTheme="minorEastAsia" w:hAnsiTheme="majorBidi" w:cstheme="majorBidi"/>
          <w:sz w:val="24"/>
          <w:szCs w:val="24"/>
        </w:rPr>
        <w:t xml:space="preserve"> The unsystematic risk is derived from th</w:t>
      </w:r>
      <w:r w:rsidR="00A41CA6">
        <w:rPr>
          <w:rFonts w:asciiTheme="majorBidi" w:eastAsiaTheme="minorEastAsia" w:hAnsiTheme="majorBidi" w:cstheme="majorBidi"/>
          <w:sz w:val="24"/>
          <w:szCs w:val="24"/>
        </w:rPr>
        <w:t>e</w:t>
      </w:r>
      <w:r w:rsidR="00DA736B">
        <w:rPr>
          <w:rFonts w:asciiTheme="majorBidi" w:eastAsiaTheme="minorEastAsia" w:hAnsiTheme="majorBidi" w:cstheme="majorBidi"/>
          <w:sz w:val="24"/>
          <w:szCs w:val="24"/>
        </w:rPr>
        <w:t xml:space="preserve"> relation</w:t>
      </w:r>
      <w:r w:rsidR="00A41CA6">
        <w:rPr>
          <w:rFonts w:asciiTheme="majorBidi" w:eastAsiaTheme="minorEastAsia" w:hAnsiTheme="majorBidi" w:cstheme="majorBidi"/>
          <w:sz w:val="24"/>
          <w:szCs w:val="24"/>
        </w:rPr>
        <w:t xml:space="preserve"> that</w:t>
      </w:r>
      <w:r w:rsidR="009A6670">
        <w:rPr>
          <w:rFonts w:asciiTheme="majorBidi" w:eastAsiaTheme="minorEastAsia" w:hAnsiTheme="majorBidi" w:cstheme="majorBidi"/>
          <w:sz w:val="24"/>
          <w:szCs w:val="24"/>
        </w:rPr>
        <w:t xml:space="preserve"> (Ross et al., 2012)</w:t>
      </w:r>
      <w:r w:rsidR="00A41CA6" w:rsidRPr="00DA736B">
        <w:rPr>
          <w:rFonts w:asciiTheme="majorBidi" w:eastAsiaTheme="minorEastAsia" w:hAnsiTheme="majorBidi" w:cstheme="majorBidi"/>
          <w:position w:val="-12"/>
          <w:sz w:val="24"/>
          <w:szCs w:val="24"/>
        </w:rPr>
        <w:object w:dxaOrig="1660" w:dyaOrig="380">
          <v:shape id="_x0000_i1026" type="#_x0000_t75" style="width:82.9pt;height:18.75pt" o:ole="">
            <v:imagedata r:id="rId15" o:title=""/>
          </v:shape>
          <o:OLEObject Type="Embed" ProgID="Equation.3" ShapeID="_x0000_i1026" DrawAspect="Content" ObjectID="_1476613684" r:id="rId16"/>
        </w:object>
      </w:r>
      <w:r w:rsidR="00DA736B">
        <w:rPr>
          <w:rFonts w:asciiTheme="majorBidi" w:eastAsiaTheme="minorEastAsia" w:hAnsiTheme="majorBidi" w:cstheme="majorBidi"/>
          <w:sz w:val="24"/>
          <w:szCs w:val="24"/>
        </w:rPr>
        <w:t xml:space="preserve">, where </w:t>
      </w:r>
      <w:r w:rsidR="00A41CA6" w:rsidRPr="00DA736B">
        <w:rPr>
          <w:rFonts w:asciiTheme="majorBidi" w:eastAsiaTheme="minorEastAsia" w:hAnsiTheme="majorBidi" w:cstheme="majorBidi"/>
          <w:position w:val="-12"/>
          <w:sz w:val="24"/>
          <w:szCs w:val="24"/>
        </w:rPr>
        <w:object w:dxaOrig="320" w:dyaOrig="380">
          <v:shape id="_x0000_i1027" type="#_x0000_t75" style="width:15.75pt;height:18.75pt" o:ole="">
            <v:imagedata r:id="rId17" o:title=""/>
          </v:shape>
          <o:OLEObject Type="Embed" ProgID="Equation.3" ShapeID="_x0000_i1027" DrawAspect="Content" ObjectID="_1476613685" r:id="rId18"/>
        </w:object>
      </w:r>
      <w:r w:rsidR="00DA736B">
        <w:rPr>
          <w:rFonts w:asciiTheme="majorBidi" w:eastAsiaTheme="minorEastAsia" w:hAnsiTheme="majorBidi" w:cstheme="majorBidi"/>
          <w:sz w:val="24"/>
          <w:szCs w:val="24"/>
        </w:rPr>
        <w:t xml:space="preserve">is </w:t>
      </w:r>
      <w:r w:rsidR="00A41CA6">
        <w:rPr>
          <w:rFonts w:asciiTheme="majorBidi" w:eastAsiaTheme="minorEastAsia" w:hAnsiTheme="majorBidi" w:cstheme="majorBidi"/>
          <w:sz w:val="24"/>
          <w:szCs w:val="24"/>
        </w:rPr>
        <w:t>return variance (</w:t>
      </w:r>
      <w:r w:rsidR="00DA736B">
        <w:rPr>
          <w:rFonts w:asciiTheme="majorBidi" w:eastAsiaTheme="minorEastAsia" w:hAnsiTheme="majorBidi" w:cstheme="majorBidi"/>
          <w:sz w:val="24"/>
          <w:szCs w:val="24"/>
        </w:rPr>
        <w:t>the total risk</w:t>
      </w:r>
      <w:r w:rsidR="00A41CA6">
        <w:rPr>
          <w:rFonts w:asciiTheme="majorBidi" w:eastAsiaTheme="minorEastAsia" w:hAnsiTheme="majorBidi" w:cstheme="majorBidi"/>
          <w:sz w:val="24"/>
          <w:szCs w:val="24"/>
        </w:rPr>
        <w:t xml:space="preserve"> for the returns of bank </w:t>
      </w:r>
      <w:proofErr w:type="spellStart"/>
      <w:r w:rsidR="00A41CA6">
        <w:rPr>
          <w:rFonts w:asciiTheme="majorBidi" w:eastAsiaTheme="minorEastAsia" w:hAnsiTheme="majorBidi" w:cstheme="majorBidi"/>
          <w:sz w:val="24"/>
          <w:szCs w:val="24"/>
        </w:rPr>
        <w:t>i</w:t>
      </w:r>
      <w:proofErr w:type="spellEnd"/>
      <w:r w:rsidR="00A41CA6">
        <w:rPr>
          <w:rFonts w:asciiTheme="majorBidi" w:eastAsiaTheme="minorEastAsia" w:hAnsiTheme="majorBidi" w:cstheme="majorBidi"/>
          <w:sz w:val="24"/>
          <w:szCs w:val="24"/>
        </w:rPr>
        <w:t xml:space="preserve">), </w:t>
      </w:r>
      <w:r w:rsidR="00A41CA6" w:rsidRPr="00A41CA6">
        <w:rPr>
          <w:rFonts w:asciiTheme="majorBidi" w:eastAsiaTheme="minorEastAsia" w:hAnsiTheme="majorBidi" w:cstheme="majorBidi"/>
          <w:position w:val="-12"/>
          <w:sz w:val="24"/>
          <w:szCs w:val="24"/>
        </w:rPr>
        <w:object w:dxaOrig="340" w:dyaOrig="380">
          <v:shape id="_x0000_i1028" type="#_x0000_t75" style="width:16.95pt;height:18.75pt" o:ole="">
            <v:imagedata r:id="rId19" o:title=""/>
          </v:shape>
          <o:OLEObject Type="Embed" ProgID="Equation.3" ShapeID="_x0000_i1028" DrawAspect="Content" ObjectID="_1476613686" r:id="rId20"/>
        </w:object>
      </w:r>
      <w:r w:rsidR="00A41CA6">
        <w:rPr>
          <w:rFonts w:asciiTheme="majorBidi" w:eastAsiaTheme="minorEastAsia" w:hAnsiTheme="majorBidi" w:cstheme="majorBidi"/>
          <w:sz w:val="24"/>
          <w:szCs w:val="24"/>
        </w:rPr>
        <w:t xml:space="preserve"> is the return variance of the market, and </w:t>
      </w:r>
      <w:r w:rsidR="00A41CA6" w:rsidRPr="00A41CA6">
        <w:rPr>
          <w:rFonts w:asciiTheme="majorBidi" w:eastAsiaTheme="minorEastAsia" w:hAnsiTheme="majorBidi" w:cstheme="majorBidi"/>
          <w:position w:val="-12"/>
          <w:sz w:val="24"/>
          <w:szCs w:val="24"/>
        </w:rPr>
        <w:object w:dxaOrig="340" w:dyaOrig="380">
          <v:shape id="_x0000_i1029" type="#_x0000_t75" style="width:16.95pt;height:18.75pt" o:ole="">
            <v:imagedata r:id="rId21" o:title=""/>
          </v:shape>
          <o:OLEObject Type="Embed" ProgID="Equation.3" ShapeID="_x0000_i1029" DrawAspect="Content" ObjectID="_1476613687" r:id="rId22"/>
        </w:object>
      </w:r>
      <w:r w:rsidR="00A41CA6">
        <w:rPr>
          <w:rFonts w:asciiTheme="majorBidi" w:eastAsiaTheme="minorEastAsia" w:hAnsiTheme="majorBidi" w:cstheme="majorBidi"/>
          <w:sz w:val="24"/>
          <w:szCs w:val="24"/>
        </w:rPr>
        <w:t xml:space="preserve"> represents the unsystematic risks (risks not counted by the market)</w:t>
      </w:r>
    </w:p>
    <w:p w:rsidR="00E4485E" w:rsidRPr="007A1686" w:rsidRDefault="00A535E2" w:rsidP="005947B4">
      <w:pPr>
        <w:spacing w:line="360" w:lineRule="auto"/>
        <w:ind w:hanging="284"/>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C = Credit risk, which relates to probability of the bank partners not fulfilling their responsibilities towards the bank in the financial contracts. It</w:t>
      </w:r>
      <w:r w:rsidR="00F50D8E">
        <w:rPr>
          <w:rFonts w:asciiTheme="majorBidi" w:eastAsiaTheme="minorEastAsia" w:hAnsiTheme="majorBidi" w:cstheme="majorBidi"/>
          <w:sz w:val="24"/>
          <w:szCs w:val="24"/>
        </w:rPr>
        <w:t xml:space="preserve"> </w:t>
      </w:r>
      <w:r w:rsidRPr="007A1686">
        <w:rPr>
          <w:rFonts w:asciiTheme="majorBidi" w:eastAsiaTheme="minorEastAsia" w:hAnsiTheme="majorBidi" w:cstheme="majorBidi"/>
          <w:sz w:val="24"/>
          <w:szCs w:val="24"/>
        </w:rPr>
        <w:t>also means the probability of the bank not being able to execute its responsibilities towards its creditors. We assu</w:t>
      </w:r>
      <w:r w:rsidR="00F50D8E">
        <w:rPr>
          <w:rFonts w:asciiTheme="majorBidi" w:eastAsiaTheme="minorEastAsia" w:hAnsiTheme="majorBidi" w:cstheme="majorBidi"/>
          <w:sz w:val="24"/>
          <w:szCs w:val="24"/>
        </w:rPr>
        <w:t>m</w:t>
      </w:r>
      <w:r w:rsidRPr="007A1686">
        <w:rPr>
          <w:rFonts w:asciiTheme="majorBidi" w:eastAsiaTheme="minorEastAsia" w:hAnsiTheme="majorBidi" w:cstheme="majorBidi"/>
          <w:sz w:val="24"/>
          <w:szCs w:val="24"/>
        </w:rPr>
        <w:t>e the bank leverage, or debt to equity ratio to measure the l</w:t>
      </w:r>
      <w:r w:rsidR="00F50D8E">
        <w:rPr>
          <w:rFonts w:asciiTheme="majorBidi" w:eastAsiaTheme="minorEastAsia" w:hAnsiTheme="majorBidi" w:cstheme="majorBidi"/>
          <w:sz w:val="24"/>
          <w:szCs w:val="24"/>
        </w:rPr>
        <w:t>a</w:t>
      </w:r>
      <w:r w:rsidRPr="007A1686">
        <w:rPr>
          <w:rFonts w:asciiTheme="majorBidi" w:eastAsiaTheme="minorEastAsia" w:hAnsiTheme="majorBidi" w:cstheme="majorBidi"/>
          <w:sz w:val="24"/>
          <w:szCs w:val="24"/>
        </w:rPr>
        <w:t xml:space="preserve">tter type of the credit </w:t>
      </w:r>
      <w:r w:rsidR="00E4485E" w:rsidRPr="007A1686">
        <w:rPr>
          <w:rFonts w:asciiTheme="majorBidi" w:eastAsiaTheme="minorEastAsia" w:hAnsiTheme="majorBidi" w:cstheme="majorBidi"/>
          <w:sz w:val="24"/>
          <w:szCs w:val="24"/>
        </w:rPr>
        <w:t xml:space="preserve">risk, and the bad loans to total loans ratio to measure the </w:t>
      </w:r>
      <w:r w:rsidR="00F50D8E">
        <w:rPr>
          <w:rFonts w:asciiTheme="majorBidi" w:eastAsiaTheme="minorEastAsia" w:hAnsiTheme="majorBidi" w:cstheme="majorBidi"/>
          <w:sz w:val="24"/>
          <w:szCs w:val="24"/>
        </w:rPr>
        <w:t xml:space="preserve">former </w:t>
      </w:r>
      <w:r w:rsidR="00E4485E" w:rsidRPr="007A1686">
        <w:rPr>
          <w:rFonts w:asciiTheme="majorBidi" w:eastAsiaTheme="minorEastAsia" w:hAnsiTheme="majorBidi" w:cstheme="majorBidi"/>
          <w:sz w:val="24"/>
          <w:szCs w:val="24"/>
        </w:rPr>
        <w:t>type of the</w:t>
      </w:r>
      <w:r w:rsidR="00F50D8E">
        <w:rPr>
          <w:rFonts w:asciiTheme="majorBidi" w:eastAsiaTheme="minorEastAsia" w:hAnsiTheme="majorBidi" w:cstheme="majorBidi"/>
          <w:sz w:val="24"/>
          <w:szCs w:val="24"/>
        </w:rPr>
        <w:t xml:space="preserve"> credit</w:t>
      </w:r>
      <w:r w:rsidR="00E4485E" w:rsidRPr="007A1686">
        <w:rPr>
          <w:rFonts w:asciiTheme="majorBidi" w:eastAsiaTheme="minorEastAsia" w:hAnsiTheme="majorBidi" w:cstheme="majorBidi"/>
          <w:sz w:val="24"/>
          <w:szCs w:val="24"/>
        </w:rPr>
        <w:t xml:space="preserve"> risk.</w:t>
      </w:r>
      <w:r w:rsidR="00EB1E26">
        <w:rPr>
          <w:rFonts w:asciiTheme="majorBidi" w:eastAsiaTheme="minorEastAsia" w:hAnsiTheme="majorBidi" w:cstheme="majorBidi"/>
          <w:sz w:val="24"/>
          <w:szCs w:val="24"/>
        </w:rPr>
        <w:t xml:space="preserve"> But due to data limitations on bank bad loans, we use the bank leverage as a measure of credit risk.</w:t>
      </w:r>
    </w:p>
    <w:p w:rsidR="003044D0" w:rsidRPr="007A1686" w:rsidRDefault="00E4485E" w:rsidP="005947B4">
      <w:pPr>
        <w:spacing w:line="360" w:lineRule="auto"/>
        <w:ind w:hanging="284"/>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M = Monetary policy risk. It</w:t>
      </w:r>
      <w:r w:rsidR="00F50D8E">
        <w:rPr>
          <w:rFonts w:asciiTheme="majorBidi" w:eastAsiaTheme="minorEastAsia" w:hAnsiTheme="majorBidi" w:cstheme="majorBidi"/>
          <w:sz w:val="24"/>
          <w:szCs w:val="24"/>
        </w:rPr>
        <w:t xml:space="preserve"> i</w:t>
      </w:r>
      <w:r w:rsidRPr="007A1686">
        <w:rPr>
          <w:rFonts w:asciiTheme="majorBidi" w:eastAsiaTheme="minorEastAsia" w:hAnsiTheme="majorBidi" w:cstheme="majorBidi"/>
          <w:sz w:val="24"/>
          <w:szCs w:val="24"/>
        </w:rPr>
        <w:t xml:space="preserve">s calculated as the co-efficient </w:t>
      </w:r>
      <w:r w:rsidR="00D0388A" w:rsidRPr="007A1686">
        <w:rPr>
          <w:rFonts w:asciiTheme="majorBidi" w:eastAsiaTheme="minorEastAsia" w:hAnsiTheme="majorBidi" w:cstheme="majorBidi"/>
          <w:sz w:val="24"/>
          <w:szCs w:val="24"/>
        </w:rPr>
        <w:t xml:space="preserve">of variation of the recent ten year observation of money supply, M1. Banks are the </w:t>
      </w:r>
      <w:r w:rsidR="00F50D8E">
        <w:rPr>
          <w:rFonts w:asciiTheme="majorBidi" w:eastAsiaTheme="minorEastAsia" w:hAnsiTheme="majorBidi" w:cstheme="majorBidi"/>
          <w:sz w:val="24"/>
          <w:szCs w:val="24"/>
        </w:rPr>
        <w:t>conduit</w:t>
      </w:r>
      <w:r w:rsidR="00D0388A" w:rsidRPr="007A1686">
        <w:rPr>
          <w:rFonts w:asciiTheme="majorBidi" w:eastAsiaTheme="minorEastAsia" w:hAnsiTheme="majorBidi" w:cstheme="majorBidi"/>
          <w:sz w:val="24"/>
          <w:szCs w:val="24"/>
        </w:rPr>
        <w:t xml:space="preserve"> of the monetary policy. Banks channel and translate the monetary policy changes to the general economic activities. The unstable and risky behaviour of the monetary authorities is expected to </w:t>
      </w:r>
      <w:r w:rsidR="003044D0" w:rsidRPr="007A1686">
        <w:rPr>
          <w:rFonts w:asciiTheme="majorBidi" w:eastAsiaTheme="minorEastAsia" w:hAnsiTheme="majorBidi" w:cstheme="majorBidi"/>
          <w:sz w:val="24"/>
          <w:szCs w:val="24"/>
        </w:rPr>
        <w:t xml:space="preserve">impair the performance of the banks. The banks’ efforts in mobilizing deposits with some promised returns </w:t>
      </w:r>
      <w:r w:rsidR="00F21A8D" w:rsidRPr="007A1686">
        <w:rPr>
          <w:rFonts w:asciiTheme="majorBidi" w:eastAsiaTheme="minorEastAsia" w:hAnsiTheme="majorBidi" w:cstheme="majorBidi"/>
          <w:sz w:val="24"/>
          <w:szCs w:val="24"/>
        </w:rPr>
        <w:t>will</w:t>
      </w:r>
      <w:r w:rsidR="003044D0" w:rsidRPr="007A1686">
        <w:rPr>
          <w:rFonts w:asciiTheme="majorBidi" w:eastAsiaTheme="minorEastAsia" w:hAnsiTheme="majorBidi" w:cstheme="majorBidi"/>
          <w:sz w:val="24"/>
          <w:szCs w:val="24"/>
        </w:rPr>
        <w:t xml:space="preserve"> be weak</w:t>
      </w:r>
      <w:r w:rsidR="00F50D8E">
        <w:rPr>
          <w:rFonts w:asciiTheme="majorBidi" w:eastAsiaTheme="minorEastAsia" w:hAnsiTheme="majorBidi" w:cstheme="majorBidi"/>
          <w:sz w:val="24"/>
          <w:szCs w:val="24"/>
        </w:rPr>
        <w:t>ened</w:t>
      </w:r>
      <w:r w:rsidR="003044D0" w:rsidRPr="007A1686">
        <w:rPr>
          <w:rFonts w:asciiTheme="majorBidi" w:eastAsiaTheme="minorEastAsia" w:hAnsiTheme="majorBidi" w:cstheme="majorBidi"/>
          <w:sz w:val="24"/>
          <w:szCs w:val="24"/>
        </w:rPr>
        <w:t xml:space="preserve"> in the </w:t>
      </w:r>
      <w:r w:rsidR="00F50D8E">
        <w:rPr>
          <w:rFonts w:asciiTheme="majorBidi" w:eastAsiaTheme="minorEastAsia" w:hAnsiTheme="majorBidi" w:cstheme="majorBidi"/>
          <w:sz w:val="24"/>
          <w:szCs w:val="24"/>
        </w:rPr>
        <w:t xml:space="preserve">face </w:t>
      </w:r>
      <w:r w:rsidR="003044D0" w:rsidRPr="007A1686">
        <w:rPr>
          <w:rFonts w:asciiTheme="majorBidi" w:eastAsiaTheme="minorEastAsia" w:hAnsiTheme="majorBidi" w:cstheme="majorBidi"/>
          <w:sz w:val="24"/>
          <w:szCs w:val="24"/>
        </w:rPr>
        <w:t xml:space="preserve">of </w:t>
      </w:r>
      <w:r w:rsidR="00F50D8E" w:rsidRPr="007A1686">
        <w:rPr>
          <w:rFonts w:asciiTheme="majorBidi" w:eastAsiaTheme="minorEastAsia" w:hAnsiTheme="majorBidi" w:cstheme="majorBidi"/>
          <w:sz w:val="24"/>
          <w:szCs w:val="24"/>
        </w:rPr>
        <w:t>un</w:t>
      </w:r>
      <w:r w:rsidR="00F50D8E">
        <w:rPr>
          <w:rFonts w:asciiTheme="majorBidi" w:eastAsiaTheme="minorEastAsia" w:hAnsiTheme="majorBidi" w:cstheme="majorBidi"/>
          <w:sz w:val="24"/>
          <w:szCs w:val="24"/>
        </w:rPr>
        <w:t>s</w:t>
      </w:r>
      <w:r w:rsidR="00F50D8E" w:rsidRPr="007A1686">
        <w:rPr>
          <w:rFonts w:asciiTheme="majorBidi" w:eastAsiaTheme="minorEastAsia" w:hAnsiTheme="majorBidi" w:cstheme="majorBidi"/>
          <w:sz w:val="24"/>
          <w:szCs w:val="24"/>
        </w:rPr>
        <w:t>table</w:t>
      </w:r>
      <w:r w:rsidR="003044D0" w:rsidRPr="007A1686">
        <w:rPr>
          <w:rFonts w:asciiTheme="majorBidi" w:eastAsiaTheme="minorEastAsia" w:hAnsiTheme="majorBidi" w:cstheme="majorBidi"/>
          <w:sz w:val="24"/>
          <w:szCs w:val="24"/>
        </w:rPr>
        <w:t xml:space="preserve"> and risky monetary policy that</w:t>
      </w:r>
      <w:r w:rsidR="00F50D8E">
        <w:rPr>
          <w:rFonts w:asciiTheme="majorBidi" w:eastAsiaTheme="minorEastAsia" w:hAnsiTheme="majorBidi" w:cstheme="majorBidi"/>
          <w:sz w:val="24"/>
          <w:szCs w:val="24"/>
        </w:rPr>
        <w:t xml:space="preserve"> will work to </w:t>
      </w:r>
      <w:r w:rsidR="003044D0" w:rsidRPr="007A1686">
        <w:rPr>
          <w:rFonts w:asciiTheme="majorBidi" w:eastAsiaTheme="minorEastAsia" w:hAnsiTheme="majorBidi" w:cstheme="majorBidi"/>
          <w:sz w:val="24"/>
          <w:szCs w:val="24"/>
        </w:rPr>
        <w:lastRenderedPageBreak/>
        <w:t xml:space="preserve">disrupt the consistency and stability of deposit mobilization. The disruption and un-stability of resources mobilization of the banks will expectedly impair the </w:t>
      </w:r>
      <w:r w:rsidR="00F50D8E">
        <w:rPr>
          <w:rFonts w:asciiTheme="majorBidi" w:eastAsiaTheme="minorEastAsia" w:hAnsiTheme="majorBidi" w:cstheme="majorBidi"/>
          <w:sz w:val="24"/>
          <w:szCs w:val="24"/>
        </w:rPr>
        <w:t>creation</w:t>
      </w:r>
      <w:r w:rsidR="003044D0" w:rsidRPr="007A1686">
        <w:rPr>
          <w:rFonts w:asciiTheme="majorBidi" w:eastAsiaTheme="minorEastAsia" w:hAnsiTheme="majorBidi" w:cstheme="majorBidi"/>
          <w:sz w:val="24"/>
          <w:szCs w:val="24"/>
        </w:rPr>
        <w:t xml:space="preserve"> of loans and investments by the banks. Thus, risky monetary policy can lead to having inefficient banks.</w:t>
      </w:r>
    </w:p>
    <w:p w:rsidR="00F21A8D" w:rsidRPr="007A1686" w:rsidRDefault="003044D0" w:rsidP="005947B4">
      <w:pPr>
        <w:spacing w:line="360" w:lineRule="auto"/>
        <w:jc w:val="both"/>
        <w:rPr>
          <w:rFonts w:asciiTheme="majorBidi" w:eastAsiaTheme="minorEastAsia" w:hAnsiTheme="majorBidi" w:cstheme="majorBidi"/>
          <w:sz w:val="24"/>
          <w:szCs w:val="24"/>
        </w:rPr>
      </w:pPr>
      <w:r w:rsidRPr="007A1686">
        <w:rPr>
          <w:rFonts w:asciiTheme="majorBidi" w:eastAsiaTheme="minorEastAsia" w:hAnsiTheme="majorBidi" w:cstheme="majorBidi"/>
          <w:sz w:val="24"/>
          <w:szCs w:val="24"/>
        </w:rPr>
        <w:t xml:space="preserve">To investigate </w:t>
      </w:r>
      <w:r w:rsidR="00F42594">
        <w:rPr>
          <w:rFonts w:asciiTheme="majorBidi" w:eastAsiaTheme="minorEastAsia" w:hAnsiTheme="majorBidi" w:cstheme="majorBidi"/>
          <w:sz w:val="24"/>
          <w:szCs w:val="24"/>
        </w:rPr>
        <w:t>the</w:t>
      </w:r>
      <w:r w:rsidRPr="007A1686">
        <w:rPr>
          <w:rFonts w:asciiTheme="majorBidi" w:eastAsiaTheme="minorEastAsia" w:hAnsiTheme="majorBidi" w:cstheme="majorBidi"/>
          <w:sz w:val="24"/>
          <w:szCs w:val="24"/>
        </w:rPr>
        <w:t xml:space="preserve"> eff</w:t>
      </w:r>
      <w:r w:rsidR="00F42594">
        <w:rPr>
          <w:rFonts w:asciiTheme="majorBidi" w:eastAsiaTheme="minorEastAsia" w:hAnsiTheme="majorBidi" w:cstheme="majorBidi"/>
          <w:sz w:val="24"/>
          <w:szCs w:val="24"/>
        </w:rPr>
        <w:t>ec</w:t>
      </w:r>
      <w:r w:rsidRPr="007A1686">
        <w:rPr>
          <w:rFonts w:asciiTheme="majorBidi" w:eastAsiaTheme="minorEastAsia" w:hAnsiTheme="majorBidi" w:cstheme="majorBidi"/>
          <w:sz w:val="24"/>
          <w:szCs w:val="24"/>
        </w:rPr>
        <w:t>ts o</w:t>
      </w:r>
      <w:r w:rsidR="00F42594">
        <w:rPr>
          <w:rFonts w:asciiTheme="majorBidi" w:eastAsiaTheme="minorEastAsia" w:hAnsiTheme="majorBidi" w:cstheme="majorBidi"/>
          <w:sz w:val="24"/>
          <w:szCs w:val="24"/>
        </w:rPr>
        <w:t>f</w:t>
      </w:r>
      <w:r w:rsidRPr="007A1686">
        <w:rPr>
          <w:rFonts w:asciiTheme="majorBidi" w:eastAsiaTheme="minorEastAsia" w:hAnsiTheme="majorBidi" w:cstheme="majorBidi"/>
          <w:sz w:val="24"/>
          <w:szCs w:val="24"/>
        </w:rPr>
        <w:t xml:space="preserve"> risk factors on the inefficiency scores, we employ log-linear model</w:t>
      </w:r>
      <w:r w:rsidR="00F21A8D" w:rsidRPr="007A1686">
        <w:rPr>
          <w:rFonts w:asciiTheme="majorBidi" w:eastAsiaTheme="minorEastAsia" w:hAnsiTheme="majorBidi" w:cstheme="majorBidi"/>
          <w:sz w:val="24"/>
          <w:szCs w:val="24"/>
        </w:rPr>
        <w:t>,</w:t>
      </w:r>
      <w:r w:rsidRPr="007A1686">
        <w:rPr>
          <w:rFonts w:asciiTheme="majorBidi" w:eastAsiaTheme="minorEastAsia" w:hAnsiTheme="majorBidi" w:cstheme="majorBidi"/>
          <w:sz w:val="24"/>
          <w:szCs w:val="24"/>
        </w:rPr>
        <w:t xml:space="preserve"> </w:t>
      </w:r>
      <w:r w:rsidR="00F21A8D" w:rsidRPr="007A1686">
        <w:rPr>
          <w:rFonts w:asciiTheme="majorBidi" w:eastAsiaTheme="minorEastAsia" w:hAnsiTheme="majorBidi" w:cstheme="majorBidi"/>
          <w:sz w:val="24"/>
          <w:szCs w:val="24"/>
        </w:rPr>
        <w:t>which is derived from the behav</w:t>
      </w:r>
      <w:r w:rsidR="00F42594">
        <w:rPr>
          <w:rFonts w:asciiTheme="majorBidi" w:eastAsiaTheme="minorEastAsia" w:hAnsiTheme="majorBidi" w:cstheme="majorBidi"/>
          <w:sz w:val="24"/>
          <w:szCs w:val="24"/>
        </w:rPr>
        <w:t>iour of the dependent variable -</w:t>
      </w:r>
      <w:r w:rsidR="00F21A8D" w:rsidRPr="007A1686">
        <w:rPr>
          <w:rFonts w:asciiTheme="majorBidi" w:eastAsiaTheme="minorEastAsia" w:hAnsiTheme="majorBidi" w:cstheme="majorBidi"/>
          <w:sz w:val="24"/>
          <w:szCs w:val="24"/>
        </w:rPr>
        <w:t xml:space="preserve"> inefficiency score. This variable takes values from zero mean</w:t>
      </w:r>
      <w:r w:rsidR="00F42594">
        <w:rPr>
          <w:rFonts w:asciiTheme="majorBidi" w:eastAsiaTheme="minorEastAsia" w:hAnsiTheme="majorBidi" w:cstheme="majorBidi"/>
          <w:sz w:val="24"/>
          <w:szCs w:val="24"/>
        </w:rPr>
        <w:t>ing</w:t>
      </w:r>
      <w:r w:rsidR="00F21A8D" w:rsidRPr="007A1686">
        <w:rPr>
          <w:rFonts w:asciiTheme="majorBidi" w:eastAsiaTheme="minorEastAsia" w:hAnsiTheme="majorBidi" w:cstheme="majorBidi"/>
          <w:sz w:val="24"/>
          <w:szCs w:val="24"/>
        </w:rPr>
        <w:t xml:space="preserve"> the </w:t>
      </w:r>
      <w:r w:rsidR="007A1686" w:rsidRPr="007A1686">
        <w:rPr>
          <w:rFonts w:asciiTheme="majorBidi" w:eastAsiaTheme="minorEastAsia" w:hAnsiTheme="majorBidi" w:cstheme="majorBidi"/>
          <w:sz w:val="24"/>
          <w:szCs w:val="24"/>
        </w:rPr>
        <w:t>de</w:t>
      </w:r>
      <w:r w:rsidR="007A1686">
        <w:rPr>
          <w:rFonts w:asciiTheme="majorBidi" w:eastAsiaTheme="minorEastAsia" w:hAnsiTheme="majorBidi" w:cstheme="majorBidi"/>
          <w:sz w:val="24"/>
          <w:szCs w:val="24"/>
        </w:rPr>
        <w:t>cis</w:t>
      </w:r>
      <w:r w:rsidR="007A1686" w:rsidRPr="007A1686">
        <w:rPr>
          <w:rFonts w:asciiTheme="majorBidi" w:eastAsiaTheme="minorEastAsia" w:hAnsiTheme="majorBidi" w:cstheme="majorBidi"/>
          <w:sz w:val="24"/>
          <w:szCs w:val="24"/>
        </w:rPr>
        <w:t>ion</w:t>
      </w:r>
      <w:r w:rsidR="00F21A8D" w:rsidRPr="007A1686">
        <w:rPr>
          <w:rFonts w:asciiTheme="majorBidi" w:eastAsiaTheme="minorEastAsia" w:hAnsiTheme="majorBidi" w:cstheme="majorBidi"/>
          <w:sz w:val="24"/>
          <w:szCs w:val="24"/>
        </w:rPr>
        <w:t xml:space="preserve"> making unit is least inefficient, and </w:t>
      </w:r>
      <w:r w:rsidR="00F42594">
        <w:rPr>
          <w:rFonts w:asciiTheme="majorBidi" w:eastAsiaTheme="minorEastAsia" w:hAnsiTheme="majorBidi" w:cstheme="majorBidi"/>
          <w:sz w:val="24"/>
          <w:szCs w:val="24"/>
        </w:rPr>
        <w:t>to one meaning</w:t>
      </w:r>
      <w:r w:rsidR="00F21A8D" w:rsidRPr="007A1686">
        <w:rPr>
          <w:rFonts w:asciiTheme="majorBidi" w:eastAsiaTheme="minorEastAsia" w:hAnsiTheme="majorBidi" w:cstheme="majorBidi"/>
          <w:sz w:val="24"/>
          <w:szCs w:val="24"/>
        </w:rPr>
        <w:t xml:space="preserve"> the decision making unit is most inefficient. This </w:t>
      </w:r>
      <w:r w:rsidR="00D5483C">
        <w:rPr>
          <w:rFonts w:asciiTheme="majorBidi" w:eastAsiaTheme="minorEastAsia" w:hAnsiTheme="majorBidi" w:cstheme="majorBidi"/>
          <w:sz w:val="24"/>
          <w:szCs w:val="24"/>
        </w:rPr>
        <w:t xml:space="preserve">behaviour of the dependent variable can be described by an exponential function </w:t>
      </w:r>
      <w:r w:rsidR="00F21A8D" w:rsidRPr="007A1686">
        <w:rPr>
          <w:rFonts w:asciiTheme="majorBidi" w:eastAsiaTheme="minorEastAsia" w:hAnsiTheme="majorBidi" w:cstheme="majorBidi"/>
          <w:sz w:val="24"/>
          <w:szCs w:val="24"/>
        </w:rPr>
        <w:t>as</w:t>
      </w:r>
      <w:r w:rsidR="00D5483C">
        <w:rPr>
          <w:rFonts w:asciiTheme="majorBidi" w:eastAsiaTheme="minorEastAsia" w:hAnsiTheme="majorBidi" w:cstheme="majorBidi"/>
          <w:sz w:val="24"/>
          <w:szCs w:val="24"/>
        </w:rPr>
        <w:t>,</w:t>
      </w:r>
    </w:p>
    <w:p w:rsidR="00F21A8D" w:rsidRPr="007A1686" w:rsidRDefault="00F21A8D" w:rsidP="005947B4">
      <w:pPr>
        <w:spacing w:line="360" w:lineRule="auto"/>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ie=f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B, U, M, C</m:t>
              </m:r>
            </m:e>
          </m:d>
          <m:r>
            <w:rPr>
              <w:rFonts w:ascii="Cambria Math" w:eastAsiaTheme="minorEastAsia" w:hAnsi="Cambria Math" w:cstheme="majorBidi"/>
              <w:sz w:val="24"/>
              <w:szCs w:val="24"/>
            </w:rPr>
            <m:t>=1-</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e</m:t>
              </m:r>
            </m:e>
            <m:sup>
              <m:r>
                <w:rPr>
                  <w:rFonts w:ascii="Cambria Math" w:eastAsiaTheme="minorEastAsia" w:hAnsi="Cambria Math" w:cstheme="majorBidi"/>
                  <w:sz w:val="24"/>
                  <w:szCs w:val="24"/>
                </w:rPr>
                <m:t>-(b0+b1B+b2U+b3M+b4C+eit)</m:t>
              </m:r>
            </m:sup>
          </m:sSup>
        </m:oMath>
      </m:oMathPara>
    </w:p>
    <w:p w:rsidR="009D0CA3" w:rsidRPr="007A1686" w:rsidRDefault="0027471F" w:rsidP="005947B4">
      <w:pPr>
        <w:spacing w:line="360" w:lineRule="auto"/>
        <w:jc w:val="both"/>
        <w:rPr>
          <w:rFonts w:asciiTheme="majorBidi" w:hAnsiTheme="majorBidi" w:cstheme="majorBidi"/>
          <w:sz w:val="24"/>
          <w:szCs w:val="24"/>
        </w:rPr>
      </w:pPr>
      <w:r w:rsidRPr="007A1686">
        <w:rPr>
          <w:rFonts w:asciiTheme="majorBidi" w:eastAsiaTheme="minorEastAsia" w:hAnsiTheme="majorBidi" w:cstheme="majorBidi"/>
          <w:sz w:val="24"/>
          <w:szCs w:val="24"/>
        </w:rPr>
        <w:t xml:space="preserve"> </w:t>
      </w:r>
      <w:r w:rsidR="00F21A8D" w:rsidRPr="007A1686">
        <w:rPr>
          <w:rFonts w:asciiTheme="majorBidi" w:hAnsiTheme="majorBidi" w:cstheme="majorBidi"/>
          <w:sz w:val="24"/>
          <w:szCs w:val="24"/>
        </w:rPr>
        <w:t xml:space="preserve">After taking the natural logarithm of both sides, we get </w:t>
      </w:r>
    </w:p>
    <w:p w:rsidR="00F21A8D" w:rsidRPr="007A1686" w:rsidRDefault="00E913FA" w:rsidP="005947B4">
      <w:pPr>
        <w:tabs>
          <w:tab w:val="left" w:pos="1573"/>
        </w:tabs>
        <w:spacing w:line="360" w:lineRule="auto"/>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lnie</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a0+a1B</m:t>
            </m:r>
          </m:e>
          <m:sub>
            <m:r>
              <w:rPr>
                <w:rFonts w:ascii="Cambria Math" w:hAnsi="Cambria Math" w:cstheme="majorBidi"/>
                <w:sz w:val="24"/>
                <w:szCs w:val="24"/>
              </w:rPr>
              <m:t>it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a2U</m:t>
            </m:r>
          </m:e>
          <m:sub>
            <m:r>
              <w:rPr>
                <w:rFonts w:ascii="Cambria Math" w:hAnsi="Cambria Math" w:cstheme="majorBidi"/>
                <w:sz w:val="24"/>
                <w:szCs w:val="24"/>
              </w:rPr>
              <m:t>it</m:t>
            </m:r>
          </m:sub>
        </m:sSub>
        <m:r>
          <w:rPr>
            <w:rFonts w:ascii="Cambria Math" w:hAnsi="Cambria Math" w:cstheme="majorBidi"/>
            <w:sz w:val="24"/>
            <w:szCs w:val="24"/>
          </w:rPr>
          <m:t xml:space="preserve"> +a3</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r>
              <w:rPr>
                <w:rFonts w:ascii="Cambria Math" w:hAnsi="Cambria Math" w:cstheme="majorBidi"/>
                <w:sz w:val="24"/>
                <w:szCs w:val="24"/>
              </w:rPr>
              <m:t>t</m:t>
            </m:r>
          </m:sub>
        </m:sSub>
        <m:r>
          <w:rPr>
            <w:rFonts w:ascii="Cambria Math" w:hAnsi="Cambria Math" w:cstheme="majorBidi"/>
            <w:sz w:val="24"/>
            <w:szCs w:val="24"/>
          </w:rPr>
          <m:t xml:space="preserve"> +a4</m:t>
        </m:r>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it</m:t>
            </m:r>
          </m:sub>
        </m:sSub>
        <m:r>
          <w:rPr>
            <w:rFonts w:ascii="Cambria Math" w:hAnsi="Cambria Math" w:cstheme="majorBidi"/>
            <w:sz w:val="24"/>
            <w:szCs w:val="24"/>
          </w:rPr>
          <m:t xml:space="preserve"> + </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oMath>
      <w:r w:rsidR="00F21A8D" w:rsidRPr="007A1686">
        <w:rPr>
          <w:rFonts w:asciiTheme="majorBidi" w:hAnsiTheme="majorBidi" w:cstheme="majorBidi"/>
          <w:sz w:val="24"/>
          <w:szCs w:val="24"/>
        </w:rPr>
        <w:t xml:space="preserve">  </w:t>
      </w:r>
      <w:r w:rsidR="00D5483C">
        <w:rPr>
          <w:rFonts w:asciiTheme="majorBidi" w:hAnsiTheme="majorBidi" w:cstheme="majorBidi"/>
          <w:sz w:val="24"/>
          <w:szCs w:val="24"/>
        </w:rPr>
        <w:t xml:space="preserve">                       (2)</w:t>
      </w:r>
    </w:p>
    <w:p w:rsidR="00F21A8D" w:rsidRPr="007A1686" w:rsidRDefault="00025177" w:rsidP="005947B4">
      <w:pPr>
        <w:spacing w:line="360" w:lineRule="auto"/>
        <w:jc w:val="both"/>
        <w:rPr>
          <w:rFonts w:asciiTheme="majorBidi" w:hAnsiTheme="majorBidi" w:cstheme="majorBidi"/>
          <w:sz w:val="24"/>
          <w:szCs w:val="24"/>
        </w:rPr>
      </w:pPr>
      <w:proofErr w:type="gramStart"/>
      <w:r w:rsidRPr="007A1686">
        <w:rPr>
          <w:rFonts w:asciiTheme="majorBidi" w:hAnsiTheme="majorBidi" w:cstheme="majorBidi"/>
          <w:sz w:val="24"/>
          <w:szCs w:val="24"/>
        </w:rPr>
        <w:t>and</w:t>
      </w:r>
      <w:proofErr w:type="gramEnd"/>
      <w:r w:rsidRPr="007A1686">
        <w:rPr>
          <w:rFonts w:asciiTheme="majorBidi" w:hAnsiTheme="majorBidi" w:cstheme="majorBidi"/>
          <w:sz w:val="24"/>
          <w:szCs w:val="24"/>
        </w:rPr>
        <w:t xml:space="preserve"> this produces </w:t>
      </w:r>
      <w:r w:rsidR="00D5483C">
        <w:rPr>
          <w:rFonts w:asciiTheme="majorBidi" w:hAnsiTheme="majorBidi" w:cstheme="majorBidi"/>
          <w:sz w:val="24"/>
          <w:szCs w:val="24"/>
        </w:rPr>
        <w:t xml:space="preserve">a model with </w:t>
      </w:r>
      <w:r w:rsidRPr="007A1686">
        <w:rPr>
          <w:rFonts w:asciiTheme="majorBidi" w:hAnsiTheme="majorBidi" w:cstheme="majorBidi"/>
          <w:sz w:val="24"/>
          <w:szCs w:val="24"/>
        </w:rPr>
        <w:t xml:space="preserve">the </w:t>
      </w:r>
      <w:r w:rsidR="00D5483C">
        <w:rPr>
          <w:rFonts w:asciiTheme="majorBidi" w:hAnsiTheme="majorBidi" w:cstheme="majorBidi"/>
          <w:sz w:val="24"/>
          <w:szCs w:val="24"/>
        </w:rPr>
        <w:t>dependent variable</w:t>
      </w:r>
      <w:r w:rsidRPr="007A1686">
        <w:rPr>
          <w:rFonts w:asciiTheme="majorBidi" w:hAnsiTheme="majorBidi" w:cstheme="majorBidi"/>
          <w:sz w:val="24"/>
          <w:szCs w:val="24"/>
        </w:rPr>
        <w:t xml:space="preserve"> in log f</w:t>
      </w:r>
      <w:r w:rsidR="00D5483C">
        <w:rPr>
          <w:rFonts w:asciiTheme="majorBidi" w:hAnsiTheme="majorBidi" w:cstheme="majorBidi"/>
          <w:sz w:val="24"/>
          <w:szCs w:val="24"/>
        </w:rPr>
        <w:t>orm</w:t>
      </w:r>
      <w:r w:rsidRPr="007A1686">
        <w:rPr>
          <w:rFonts w:asciiTheme="majorBidi" w:hAnsiTheme="majorBidi" w:cstheme="majorBidi"/>
          <w:sz w:val="24"/>
          <w:szCs w:val="24"/>
        </w:rPr>
        <w:t xml:space="preserve"> and the right side</w:t>
      </w:r>
      <w:r w:rsidR="00D5483C">
        <w:rPr>
          <w:rFonts w:asciiTheme="majorBidi" w:hAnsiTheme="majorBidi" w:cstheme="majorBidi"/>
          <w:sz w:val="24"/>
          <w:szCs w:val="24"/>
        </w:rPr>
        <w:t xml:space="preserve"> variables</w:t>
      </w:r>
      <w:r w:rsidRPr="007A1686">
        <w:rPr>
          <w:rFonts w:asciiTheme="majorBidi" w:hAnsiTheme="majorBidi" w:cstheme="majorBidi"/>
          <w:sz w:val="24"/>
          <w:szCs w:val="24"/>
        </w:rPr>
        <w:t xml:space="preserve"> in linear form.</w:t>
      </w:r>
    </w:p>
    <w:p w:rsidR="00F21A8D" w:rsidRPr="00924D88" w:rsidRDefault="00712325" w:rsidP="005947B4">
      <w:pPr>
        <w:spacing w:line="360" w:lineRule="auto"/>
        <w:jc w:val="both"/>
        <w:rPr>
          <w:rFonts w:asciiTheme="majorBidi" w:hAnsiTheme="majorBidi" w:cstheme="majorBidi"/>
          <w:b/>
          <w:bCs/>
          <w:sz w:val="28"/>
          <w:szCs w:val="28"/>
        </w:rPr>
      </w:pPr>
      <w:r w:rsidRPr="00924D88">
        <w:rPr>
          <w:rFonts w:asciiTheme="majorBidi" w:hAnsiTheme="majorBidi" w:cstheme="majorBidi"/>
          <w:b/>
          <w:bCs/>
          <w:sz w:val="28"/>
          <w:szCs w:val="28"/>
        </w:rPr>
        <w:t>Results and Analysis</w:t>
      </w:r>
    </w:p>
    <w:p w:rsidR="00C57B32" w:rsidRDefault="008A26E0" w:rsidP="005947B4">
      <w:pPr>
        <w:spacing w:line="360" w:lineRule="auto"/>
        <w:jc w:val="both"/>
        <w:rPr>
          <w:rFonts w:asciiTheme="majorBidi" w:hAnsiTheme="majorBidi" w:cstheme="majorBidi"/>
          <w:sz w:val="24"/>
          <w:szCs w:val="24"/>
        </w:rPr>
      </w:pPr>
      <w:r w:rsidRPr="00924D88">
        <w:rPr>
          <w:rFonts w:asciiTheme="majorBidi" w:hAnsiTheme="majorBidi" w:cstheme="majorBidi"/>
          <w:sz w:val="24"/>
          <w:szCs w:val="24"/>
        </w:rPr>
        <w:t xml:space="preserve">The technical efficiency study of the banking industry of the gulf cooperation council countries companies 52 banks. The table 1 presents the representative banks in each country. As shown by the table the </w:t>
      </w:r>
      <w:r w:rsidR="00892FA6">
        <w:rPr>
          <w:rFonts w:asciiTheme="majorBidi" w:hAnsiTheme="majorBidi" w:cstheme="majorBidi"/>
          <w:sz w:val="24"/>
          <w:szCs w:val="24"/>
        </w:rPr>
        <w:t xml:space="preserve">total assets of the </w:t>
      </w:r>
      <w:r w:rsidRPr="00924D88">
        <w:rPr>
          <w:rFonts w:asciiTheme="majorBidi" w:hAnsiTheme="majorBidi" w:cstheme="majorBidi"/>
          <w:sz w:val="24"/>
          <w:szCs w:val="24"/>
        </w:rPr>
        <w:t>sample banks</w:t>
      </w:r>
      <w:r w:rsidR="00892FA6">
        <w:rPr>
          <w:rFonts w:asciiTheme="majorBidi" w:hAnsiTheme="majorBidi" w:cstheme="majorBidi"/>
          <w:sz w:val="24"/>
          <w:szCs w:val="24"/>
        </w:rPr>
        <w:t xml:space="preserve"> selected in the study</w:t>
      </w:r>
      <w:r w:rsidRPr="00924D88">
        <w:rPr>
          <w:rFonts w:asciiTheme="majorBidi" w:hAnsiTheme="majorBidi" w:cstheme="majorBidi"/>
          <w:sz w:val="24"/>
          <w:szCs w:val="24"/>
        </w:rPr>
        <w:t xml:space="preserve"> represent </w:t>
      </w:r>
      <w:r w:rsidR="00892FA6">
        <w:rPr>
          <w:rFonts w:asciiTheme="majorBidi" w:hAnsiTheme="majorBidi" w:cstheme="majorBidi"/>
          <w:sz w:val="24"/>
          <w:szCs w:val="24"/>
        </w:rPr>
        <w:t>an average</w:t>
      </w:r>
      <w:r w:rsidRPr="00924D88">
        <w:rPr>
          <w:rFonts w:asciiTheme="majorBidi" w:hAnsiTheme="majorBidi" w:cstheme="majorBidi"/>
          <w:sz w:val="24"/>
          <w:szCs w:val="24"/>
        </w:rPr>
        <w:t xml:space="preserve"> of </w:t>
      </w:r>
      <w:r w:rsidR="00892FA6">
        <w:rPr>
          <w:rFonts w:asciiTheme="majorBidi" w:hAnsiTheme="majorBidi" w:cstheme="majorBidi"/>
          <w:sz w:val="24"/>
          <w:szCs w:val="24"/>
        </w:rPr>
        <w:t>90% the banking industry</w:t>
      </w:r>
      <w:r w:rsidRPr="00924D88">
        <w:rPr>
          <w:rFonts w:asciiTheme="majorBidi" w:hAnsiTheme="majorBidi" w:cstheme="majorBidi"/>
          <w:sz w:val="24"/>
          <w:szCs w:val="24"/>
        </w:rPr>
        <w:t>.</w:t>
      </w:r>
      <w:r w:rsidR="00892FA6">
        <w:rPr>
          <w:rFonts w:asciiTheme="majorBidi" w:hAnsiTheme="majorBidi" w:cstheme="majorBidi"/>
          <w:sz w:val="24"/>
          <w:szCs w:val="24"/>
        </w:rPr>
        <w:t xml:space="preserve"> Thus, relevant and valid inferential analyses can</w:t>
      </w:r>
      <w:r w:rsidR="00CE0A3F">
        <w:rPr>
          <w:rFonts w:asciiTheme="majorBidi" w:hAnsiTheme="majorBidi" w:cstheme="majorBidi"/>
          <w:sz w:val="24"/>
          <w:szCs w:val="24"/>
        </w:rPr>
        <w:t xml:space="preserve"> be</w:t>
      </w:r>
    </w:p>
    <w:p w:rsidR="00892FA6" w:rsidRDefault="00892FA6" w:rsidP="005947B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based</w:t>
      </w:r>
      <w:proofErr w:type="gramEnd"/>
      <w:r>
        <w:rPr>
          <w:rFonts w:asciiTheme="majorBidi" w:hAnsiTheme="majorBidi" w:cstheme="majorBidi"/>
          <w:sz w:val="24"/>
          <w:szCs w:val="24"/>
        </w:rPr>
        <w:t xml:space="preserve"> on the study.</w:t>
      </w:r>
    </w:p>
    <w:tbl>
      <w:tblPr>
        <w:tblW w:w="5060" w:type="dxa"/>
        <w:tblInd w:w="93" w:type="dxa"/>
        <w:tblLook w:val="04A0" w:firstRow="1" w:lastRow="0" w:firstColumn="1" w:lastColumn="0" w:noHBand="0" w:noVBand="1"/>
      </w:tblPr>
      <w:tblGrid>
        <w:gridCol w:w="1740"/>
        <w:gridCol w:w="1660"/>
        <w:gridCol w:w="1660"/>
      </w:tblGrid>
      <w:tr w:rsidR="00892FA6" w:rsidRPr="00574B60" w:rsidTr="00892FA6">
        <w:trPr>
          <w:trHeight w:val="315"/>
        </w:trPr>
        <w:tc>
          <w:tcPr>
            <w:tcW w:w="5060" w:type="dxa"/>
            <w:gridSpan w:val="3"/>
            <w:tcBorders>
              <w:top w:val="single" w:sz="4" w:space="0" w:color="auto"/>
              <w:left w:val="single" w:sz="4" w:space="0" w:color="auto"/>
              <w:bottom w:val="single" w:sz="4" w:space="0" w:color="auto"/>
              <w:right w:val="single" w:sz="4" w:space="0" w:color="auto"/>
            </w:tcBorders>
            <w:shd w:val="pct10" w:color="auto" w:fill="auto"/>
            <w:noWrap/>
            <w:vAlign w:val="bottom"/>
          </w:tcPr>
          <w:p w:rsidR="00892FA6"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hAnsiTheme="majorBidi" w:cstheme="majorBidi"/>
                <w:sz w:val="24"/>
                <w:szCs w:val="24"/>
              </w:rPr>
              <w:t xml:space="preserve">Table 1: </w:t>
            </w:r>
            <w:r w:rsidR="00892FA6" w:rsidRPr="00574B60">
              <w:rPr>
                <w:rFonts w:asciiTheme="majorBidi" w:hAnsiTheme="majorBidi" w:cstheme="majorBidi"/>
                <w:sz w:val="24"/>
                <w:szCs w:val="24"/>
              </w:rPr>
              <w:t>Sample size  of the study</w:t>
            </w:r>
          </w:p>
        </w:tc>
      </w:tr>
      <w:tr w:rsidR="00892FA6" w:rsidRPr="00574B60" w:rsidTr="00F91092">
        <w:trPr>
          <w:trHeight w:val="315"/>
        </w:trPr>
        <w:tc>
          <w:tcPr>
            <w:tcW w:w="174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892FA6" w:rsidRPr="00574B60" w:rsidRDefault="00892FA6" w:rsidP="005947B4">
            <w:pPr>
              <w:spacing w:after="0" w:line="360" w:lineRule="auto"/>
              <w:jc w:val="center"/>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Country</w:t>
            </w:r>
          </w:p>
        </w:tc>
        <w:tc>
          <w:tcPr>
            <w:tcW w:w="1660" w:type="dxa"/>
            <w:tcBorders>
              <w:top w:val="single" w:sz="4" w:space="0" w:color="auto"/>
              <w:left w:val="nil"/>
              <w:bottom w:val="single" w:sz="4" w:space="0" w:color="auto"/>
              <w:right w:val="single" w:sz="4" w:space="0" w:color="auto"/>
            </w:tcBorders>
            <w:shd w:val="pct10" w:color="auto" w:fill="auto"/>
            <w:noWrap/>
            <w:vAlign w:val="center"/>
            <w:hideMark/>
          </w:tcPr>
          <w:p w:rsidR="00892FA6" w:rsidRPr="00574B60" w:rsidRDefault="00892FA6" w:rsidP="005947B4">
            <w:pPr>
              <w:spacing w:after="0" w:line="360" w:lineRule="auto"/>
              <w:jc w:val="center"/>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Numbers of Banks</w:t>
            </w:r>
          </w:p>
        </w:tc>
        <w:tc>
          <w:tcPr>
            <w:tcW w:w="1660" w:type="dxa"/>
            <w:tcBorders>
              <w:top w:val="single" w:sz="4" w:space="0" w:color="auto"/>
              <w:left w:val="nil"/>
              <w:bottom w:val="single" w:sz="4" w:space="0" w:color="auto"/>
              <w:right w:val="single" w:sz="4" w:space="0" w:color="auto"/>
            </w:tcBorders>
            <w:shd w:val="pct10" w:color="auto" w:fill="auto"/>
            <w:vAlign w:val="center"/>
          </w:tcPr>
          <w:p w:rsidR="00892FA6" w:rsidRPr="00574B60" w:rsidRDefault="00892FA6" w:rsidP="005947B4">
            <w:pPr>
              <w:spacing w:after="0" w:line="360" w:lineRule="auto"/>
              <w:jc w:val="center"/>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Asset percentage of the banking industry</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KSA</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75.71</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UAE</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14</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88.52</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QATAR</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7</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97.08</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BAHRAIN</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7</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97.09</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OMAN</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6</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93.10</w:t>
            </w:r>
          </w:p>
        </w:tc>
      </w:tr>
      <w:tr w:rsidR="00892FA6" w:rsidRPr="00574B60" w:rsidTr="00892FA6">
        <w:trPr>
          <w:trHeight w:val="315"/>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lastRenderedPageBreak/>
              <w:t>KUWAIT</w:t>
            </w:r>
          </w:p>
        </w:tc>
        <w:tc>
          <w:tcPr>
            <w:tcW w:w="1660" w:type="dxa"/>
            <w:tcBorders>
              <w:top w:val="nil"/>
              <w:left w:val="nil"/>
              <w:bottom w:val="single" w:sz="4" w:space="0" w:color="auto"/>
              <w:right w:val="single" w:sz="4" w:space="0" w:color="auto"/>
            </w:tcBorders>
            <w:shd w:val="clear" w:color="auto" w:fill="auto"/>
            <w:noWrap/>
            <w:vAlign w:val="bottom"/>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w:t>
            </w:r>
          </w:p>
        </w:tc>
        <w:tc>
          <w:tcPr>
            <w:tcW w:w="1660" w:type="dxa"/>
            <w:tcBorders>
              <w:top w:val="nil"/>
              <w:left w:val="nil"/>
              <w:bottom w:val="single" w:sz="4" w:space="0" w:color="auto"/>
              <w:right w:val="single" w:sz="4" w:space="0" w:color="auto"/>
            </w:tcBorders>
          </w:tcPr>
          <w:p w:rsidR="00892FA6" w:rsidRPr="00574B60" w:rsidRDefault="00892FA6" w:rsidP="005947B4">
            <w:pPr>
              <w:spacing w:after="0" w:line="360" w:lineRule="auto"/>
              <w:jc w:val="center"/>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92.96</w:t>
            </w:r>
          </w:p>
        </w:tc>
      </w:tr>
    </w:tbl>
    <w:p w:rsidR="00C72C6E" w:rsidRDefault="00892FA6" w:rsidP="00A41CA6">
      <w:pPr>
        <w:spacing w:line="360" w:lineRule="auto"/>
        <w:jc w:val="both"/>
        <w:rPr>
          <w:rFonts w:asciiTheme="majorBidi" w:hAnsiTheme="majorBidi" w:cstheme="majorBidi"/>
          <w:sz w:val="24"/>
          <w:szCs w:val="24"/>
        </w:rPr>
      </w:pPr>
      <w:r>
        <w:rPr>
          <w:rFonts w:asciiTheme="majorBidi" w:hAnsiTheme="majorBidi" w:cstheme="majorBidi"/>
          <w:sz w:val="24"/>
          <w:szCs w:val="24"/>
        </w:rPr>
        <w:t>The study is of two folds. It first analyses t</w:t>
      </w:r>
      <w:r w:rsidR="00AD62C2" w:rsidRPr="00924D88">
        <w:rPr>
          <w:rFonts w:asciiTheme="majorBidi" w:hAnsiTheme="majorBidi" w:cstheme="majorBidi"/>
          <w:sz w:val="24"/>
          <w:szCs w:val="24"/>
        </w:rPr>
        <w:t xml:space="preserve">he </w:t>
      </w:r>
      <w:r>
        <w:rPr>
          <w:rFonts w:asciiTheme="majorBidi" w:hAnsiTheme="majorBidi" w:cstheme="majorBidi"/>
          <w:sz w:val="24"/>
          <w:szCs w:val="24"/>
        </w:rPr>
        <w:t xml:space="preserve">technical </w:t>
      </w:r>
      <w:r w:rsidR="00AD62C2" w:rsidRPr="00924D88">
        <w:rPr>
          <w:rFonts w:asciiTheme="majorBidi" w:hAnsiTheme="majorBidi" w:cstheme="majorBidi"/>
          <w:sz w:val="24"/>
          <w:szCs w:val="24"/>
        </w:rPr>
        <w:t>efficiency</w:t>
      </w:r>
      <w:r>
        <w:rPr>
          <w:rFonts w:asciiTheme="majorBidi" w:hAnsiTheme="majorBidi" w:cstheme="majorBidi"/>
          <w:sz w:val="24"/>
          <w:szCs w:val="24"/>
        </w:rPr>
        <w:t xml:space="preserve"> of the banks in a cross sectional pooled data. In the second fold, the </w:t>
      </w:r>
      <w:r w:rsidR="00C72C6E">
        <w:rPr>
          <w:rFonts w:asciiTheme="majorBidi" w:hAnsiTheme="majorBidi" w:cstheme="majorBidi"/>
          <w:sz w:val="24"/>
          <w:szCs w:val="24"/>
        </w:rPr>
        <w:t>study assumes that the technical efficiency of the banks is influenced by both internal and external risk factors</w:t>
      </w:r>
      <w:r w:rsidR="007E081A">
        <w:rPr>
          <w:rFonts w:asciiTheme="majorBidi" w:hAnsiTheme="majorBidi" w:cstheme="majorBidi"/>
          <w:sz w:val="24"/>
          <w:szCs w:val="24"/>
        </w:rPr>
        <w:t>, and this assumption is investigated</w:t>
      </w:r>
      <w:r w:rsidR="00C72C6E">
        <w:rPr>
          <w:rFonts w:asciiTheme="majorBidi" w:hAnsiTheme="majorBidi" w:cstheme="majorBidi"/>
          <w:sz w:val="24"/>
          <w:szCs w:val="24"/>
        </w:rPr>
        <w:t>. The technical efficiency analysis</w:t>
      </w:r>
      <w:r w:rsidR="00AD62C2" w:rsidRPr="00924D88">
        <w:rPr>
          <w:rFonts w:asciiTheme="majorBidi" w:hAnsiTheme="majorBidi" w:cstheme="majorBidi"/>
          <w:sz w:val="24"/>
          <w:szCs w:val="24"/>
        </w:rPr>
        <w:t xml:space="preserve"> aims </w:t>
      </w:r>
      <w:r w:rsidR="00C72C6E">
        <w:rPr>
          <w:rFonts w:asciiTheme="majorBidi" w:hAnsiTheme="majorBidi" w:cstheme="majorBidi"/>
          <w:sz w:val="24"/>
          <w:szCs w:val="24"/>
        </w:rPr>
        <w:t xml:space="preserve">at </w:t>
      </w:r>
      <w:r w:rsidR="00AD62C2" w:rsidRPr="00924D88">
        <w:rPr>
          <w:rFonts w:asciiTheme="majorBidi" w:hAnsiTheme="majorBidi" w:cstheme="majorBidi"/>
          <w:sz w:val="24"/>
          <w:szCs w:val="24"/>
        </w:rPr>
        <w:t xml:space="preserve">ranking the banks on the basis of decision making of the bank in employing labour and capital resources to generate profit. </w:t>
      </w:r>
      <w:r w:rsidR="00C72C6E">
        <w:rPr>
          <w:rFonts w:asciiTheme="majorBidi" w:hAnsiTheme="majorBidi" w:cstheme="majorBidi"/>
          <w:sz w:val="24"/>
          <w:szCs w:val="24"/>
        </w:rPr>
        <w:t xml:space="preserve">That is, it attempts to ascertain which banks generate better profits from the given labour and capital resources, and which banks generate worse profits from their given labour and capital resources, in the GCC as a whole and within each member country. </w:t>
      </w:r>
      <w:r w:rsidR="00AD62C2" w:rsidRPr="00924D88">
        <w:rPr>
          <w:rFonts w:asciiTheme="majorBidi" w:hAnsiTheme="majorBidi" w:cstheme="majorBidi"/>
          <w:sz w:val="24"/>
          <w:szCs w:val="24"/>
        </w:rPr>
        <w:t>Table 2 presents the overall efficiency of GCC banks</w:t>
      </w:r>
      <w:r w:rsidR="00C72C6E">
        <w:rPr>
          <w:rFonts w:asciiTheme="majorBidi" w:hAnsiTheme="majorBidi" w:cstheme="majorBidi"/>
          <w:sz w:val="24"/>
          <w:szCs w:val="24"/>
        </w:rPr>
        <w:t>. It shows</w:t>
      </w:r>
      <w:r w:rsidR="00AD62C2" w:rsidRPr="00924D88">
        <w:rPr>
          <w:rFonts w:asciiTheme="majorBidi" w:hAnsiTheme="majorBidi" w:cstheme="majorBidi"/>
          <w:sz w:val="24"/>
          <w:szCs w:val="24"/>
        </w:rPr>
        <w:t xml:space="preserve"> out of the 52 banks, the top 10 banks and the bottom 10 banks. </w:t>
      </w:r>
      <w:r w:rsidR="00146CB7" w:rsidRPr="00924D88">
        <w:rPr>
          <w:rFonts w:asciiTheme="majorBidi" w:hAnsiTheme="majorBidi" w:cstheme="majorBidi"/>
          <w:sz w:val="24"/>
          <w:szCs w:val="24"/>
        </w:rPr>
        <w:t xml:space="preserve">Kuwait has four banks in the top ten best GCC banks, with Commercial Bank of Kuwait coming on the top followed by Kuwait finance house. United Arab Emirates has </w:t>
      </w:r>
      <w:r w:rsidR="00A41CA6">
        <w:rPr>
          <w:rFonts w:asciiTheme="majorBidi" w:hAnsiTheme="majorBidi" w:cstheme="majorBidi"/>
          <w:sz w:val="24"/>
          <w:szCs w:val="24"/>
        </w:rPr>
        <w:t>four</w:t>
      </w:r>
      <w:r w:rsidR="00146CB7" w:rsidRPr="00924D88">
        <w:rPr>
          <w:rFonts w:asciiTheme="majorBidi" w:hAnsiTheme="majorBidi" w:cstheme="majorBidi"/>
          <w:sz w:val="24"/>
          <w:szCs w:val="24"/>
        </w:rPr>
        <w:t xml:space="preserve"> banks in the top ten performing GCC banks with Abu Dhabi Islamic Bank coming as the third top performing GCC bank. Qatar has </w:t>
      </w:r>
      <w:r w:rsidR="00A41CA6">
        <w:rPr>
          <w:rFonts w:asciiTheme="majorBidi" w:hAnsiTheme="majorBidi" w:cstheme="majorBidi"/>
          <w:sz w:val="24"/>
          <w:szCs w:val="24"/>
        </w:rPr>
        <w:t>two</w:t>
      </w:r>
      <w:r w:rsidR="00146CB7" w:rsidRPr="00924D88">
        <w:rPr>
          <w:rFonts w:asciiTheme="majorBidi" w:hAnsiTheme="majorBidi" w:cstheme="majorBidi"/>
          <w:sz w:val="24"/>
          <w:szCs w:val="24"/>
        </w:rPr>
        <w:t xml:space="preserve"> bank</w:t>
      </w:r>
      <w:r w:rsidR="00A41CA6">
        <w:rPr>
          <w:rFonts w:asciiTheme="majorBidi" w:hAnsiTheme="majorBidi" w:cstheme="majorBidi"/>
          <w:sz w:val="24"/>
          <w:szCs w:val="24"/>
        </w:rPr>
        <w:t>s</w:t>
      </w:r>
      <w:r w:rsidR="00146CB7" w:rsidRPr="00924D88">
        <w:rPr>
          <w:rFonts w:asciiTheme="majorBidi" w:hAnsiTheme="majorBidi" w:cstheme="majorBidi"/>
          <w:sz w:val="24"/>
          <w:szCs w:val="24"/>
        </w:rPr>
        <w:t xml:space="preserve"> in the top ten GCC performing banks, </w:t>
      </w:r>
      <w:r w:rsidR="00A41CA6">
        <w:rPr>
          <w:rFonts w:asciiTheme="majorBidi" w:hAnsiTheme="majorBidi" w:cstheme="majorBidi"/>
          <w:sz w:val="24"/>
          <w:szCs w:val="24"/>
        </w:rPr>
        <w:t>with</w:t>
      </w:r>
      <w:r w:rsidR="00146CB7" w:rsidRPr="00924D88">
        <w:rPr>
          <w:rFonts w:asciiTheme="majorBidi" w:hAnsiTheme="majorBidi" w:cstheme="majorBidi"/>
          <w:sz w:val="24"/>
          <w:szCs w:val="24"/>
        </w:rPr>
        <w:t xml:space="preserve"> Qatar National Bank </w:t>
      </w:r>
      <w:r w:rsidR="00A41CA6">
        <w:rPr>
          <w:rFonts w:asciiTheme="majorBidi" w:hAnsiTheme="majorBidi" w:cstheme="majorBidi"/>
          <w:sz w:val="24"/>
          <w:szCs w:val="24"/>
        </w:rPr>
        <w:t>in</w:t>
      </w:r>
      <w:r w:rsidR="00146CB7" w:rsidRPr="00924D88">
        <w:rPr>
          <w:rFonts w:asciiTheme="majorBidi" w:hAnsiTheme="majorBidi" w:cstheme="majorBidi"/>
          <w:sz w:val="24"/>
          <w:szCs w:val="24"/>
        </w:rPr>
        <w:t xml:space="preserve"> the sixth position. No bank from Oman, Bahrain and Saudi Arabi</w:t>
      </w:r>
      <w:r w:rsidR="00A51533" w:rsidRPr="00924D88">
        <w:rPr>
          <w:rFonts w:asciiTheme="majorBidi" w:hAnsiTheme="majorBidi" w:cstheme="majorBidi"/>
          <w:sz w:val="24"/>
          <w:szCs w:val="24"/>
        </w:rPr>
        <w:t>a</w:t>
      </w:r>
      <w:r w:rsidR="00146CB7" w:rsidRPr="00924D88">
        <w:rPr>
          <w:rFonts w:asciiTheme="majorBidi" w:hAnsiTheme="majorBidi" w:cstheme="majorBidi"/>
          <w:sz w:val="24"/>
          <w:szCs w:val="24"/>
        </w:rPr>
        <w:t>, has</w:t>
      </w:r>
      <w:r w:rsidR="00A51533" w:rsidRPr="00924D88">
        <w:rPr>
          <w:rFonts w:asciiTheme="majorBidi" w:hAnsiTheme="majorBidi" w:cstheme="majorBidi"/>
          <w:sz w:val="24"/>
          <w:szCs w:val="24"/>
        </w:rPr>
        <w:t xml:space="preserve"> appeared in the top ten GCC performing banks. </w:t>
      </w:r>
      <w:r w:rsidR="00924D88" w:rsidRPr="00924D88">
        <w:rPr>
          <w:rFonts w:asciiTheme="majorBidi" w:hAnsiTheme="majorBidi" w:cstheme="majorBidi"/>
          <w:sz w:val="24"/>
          <w:szCs w:val="24"/>
        </w:rPr>
        <w:t>The bottom ten includes one bank from United Arab Emirates, one bank</w:t>
      </w:r>
      <w:r w:rsidR="00C72C6E">
        <w:rPr>
          <w:rFonts w:asciiTheme="majorBidi" w:hAnsiTheme="majorBidi" w:cstheme="majorBidi"/>
          <w:sz w:val="24"/>
          <w:szCs w:val="24"/>
        </w:rPr>
        <w:t xml:space="preserve"> from Qatar, one bank from Oman;</w:t>
      </w:r>
      <w:r w:rsidR="00924D88" w:rsidRPr="00924D88">
        <w:rPr>
          <w:rFonts w:asciiTheme="majorBidi" w:hAnsiTheme="majorBidi" w:cstheme="majorBidi"/>
          <w:sz w:val="24"/>
          <w:szCs w:val="24"/>
        </w:rPr>
        <w:t xml:space="preserve"> Saudi has four banks and Bahrain has three banks in the bottom ten GCC performing banks.</w:t>
      </w:r>
    </w:p>
    <w:tbl>
      <w:tblPr>
        <w:tblW w:w="9276" w:type="dxa"/>
        <w:tblInd w:w="-34" w:type="dxa"/>
        <w:tblLook w:val="04A0" w:firstRow="1" w:lastRow="0" w:firstColumn="1" w:lastColumn="0" w:noHBand="0" w:noVBand="1"/>
      </w:tblPr>
      <w:tblGrid>
        <w:gridCol w:w="851"/>
        <w:gridCol w:w="2410"/>
        <w:gridCol w:w="1417"/>
        <w:gridCol w:w="895"/>
        <w:gridCol w:w="2218"/>
        <w:gridCol w:w="1485"/>
      </w:tblGrid>
      <w:tr w:rsidR="00CF4530" w:rsidRPr="00574B60" w:rsidTr="005712B3">
        <w:trPr>
          <w:trHeight w:val="297"/>
        </w:trPr>
        <w:tc>
          <w:tcPr>
            <w:tcW w:w="9276"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Table 2: Technical efficiency ranking and efficiency gap percentages</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Rank</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Top Ten Banks</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Efficiency Gape %</w:t>
            </w:r>
          </w:p>
        </w:tc>
        <w:tc>
          <w:tcPr>
            <w:tcW w:w="895" w:type="dxa"/>
            <w:tcBorders>
              <w:top w:val="single" w:sz="4" w:space="0" w:color="auto"/>
              <w:left w:val="nil"/>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Rank</w:t>
            </w:r>
          </w:p>
        </w:tc>
        <w:tc>
          <w:tcPr>
            <w:tcW w:w="2218" w:type="dxa"/>
            <w:tcBorders>
              <w:top w:val="single" w:sz="4" w:space="0" w:color="auto"/>
              <w:left w:val="nil"/>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Bottom Ten Banks</w:t>
            </w:r>
          </w:p>
        </w:tc>
        <w:tc>
          <w:tcPr>
            <w:tcW w:w="1485" w:type="dxa"/>
            <w:tcBorders>
              <w:top w:val="single" w:sz="4" w:space="0" w:color="auto"/>
              <w:left w:val="nil"/>
              <w:bottom w:val="single" w:sz="4" w:space="0" w:color="auto"/>
              <w:right w:val="single" w:sz="4" w:space="0" w:color="auto"/>
            </w:tcBorders>
            <w:shd w:val="clear" w:color="000000" w:fill="D9D9D9"/>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Efficiency Gape %</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1</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Commercial Bank of Kuwait</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0</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43</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 xml:space="preserve">Al </w:t>
            </w:r>
            <w:proofErr w:type="spellStart"/>
            <w:r w:rsidRPr="00574B60">
              <w:rPr>
                <w:rFonts w:asciiTheme="majorBidi" w:eastAsia="Times New Roman" w:hAnsiTheme="majorBidi" w:cstheme="majorBidi"/>
                <w:color w:val="000000"/>
                <w:lang w:eastAsia="en-GB"/>
              </w:rPr>
              <w:t>Khalij</w:t>
            </w:r>
            <w:proofErr w:type="spellEnd"/>
            <w:r w:rsidRPr="00574B60">
              <w:rPr>
                <w:rFonts w:asciiTheme="majorBidi" w:eastAsia="Times New Roman" w:hAnsiTheme="majorBidi" w:cstheme="majorBidi"/>
                <w:color w:val="000000"/>
                <w:lang w:eastAsia="en-GB"/>
              </w:rPr>
              <w:t xml:space="preserve"> Commercial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205.59</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2</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Kuwait Finance House</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5.00</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44</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Arab National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208.30</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3</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Abu Dhabi Islamic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5.42</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45</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Bahrain Islamic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220.65</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National Bank of Kuwait</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8.93</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46</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The Saudi Investment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227.42</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5</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Dubai Islamic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15.30</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47</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proofErr w:type="spellStart"/>
            <w:r w:rsidRPr="00574B60">
              <w:rPr>
                <w:rFonts w:asciiTheme="majorBidi" w:eastAsia="Times New Roman" w:hAnsiTheme="majorBidi" w:cstheme="majorBidi"/>
                <w:color w:val="000000"/>
                <w:lang w:eastAsia="en-GB"/>
              </w:rPr>
              <w:t>Riyad</w:t>
            </w:r>
            <w:proofErr w:type="spellEnd"/>
            <w:r w:rsidRPr="00574B60">
              <w:rPr>
                <w:rFonts w:asciiTheme="majorBidi" w:eastAsia="Times New Roman" w:hAnsiTheme="majorBidi" w:cstheme="majorBidi"/>
                <w:color w:val="000000"/>
                <w:lang w:eastAsia="en-GB"/>
              </w:rPr>
              <w:t xml:space="preserve">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228.34</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6</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Qatar National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31.33</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48</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Sharjah Islamic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229.30</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7</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First Gulf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31.86</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49</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HSBC BANK OMAN</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309.93</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8</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Kuwait International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35.67</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50</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Bank Al-</w:t>
            </w:r>
            <w:proofErr w:type="spellStart"/>
            <w:r w:rsidRPr="00574B60">
              <w:rPr>
                <w:rFonts w:asciiTheme="majorBidi" w:eastAsia="Times New Roman" w:hAnsiTheme="majorBidi" w:cstheme="majorBidi"/>
                <w:color w:val="000000"/>
                <w:lang w:eastAsia="en-GB"/>
              </w:rPr>
              <w:t>Jazira</w:t>
            </w:r>
            <w:proofErr w:type="spellEnd"/>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321.81</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9</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Union National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48.77</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51</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Al Salam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351.85</w:t>
            </w:r>
          </w:p>
        </w:tc>
      </w:tr>
      <w:tr w:rsidR="00CF4530" w:rsidRPr="00574B60" w:rsidTr="005712B3">
        <w:trPr>
          <w:trHeight w:val="297"/>
        </w:trPr>
        <w:tc>
          <w:tcPr>
            <w:tcW w:w="85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10</w:t>
            </w:r>
          </w:p>
        </w:tc>
        <w:tc>
          <w:tcPr>
            <w:tcW w:w="2410"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 xml:space="preserve">Qatar International </w:t>
            </w:r>
            <w:r w:rsidRPr="00574B60">
              <w:rPr>
                <w:rFonts w:asciiTheme="majorBidi" w:eastAsia="Times New Roman" w:hAnsiTheme="majorBidi" w:cstheme="majorBidi"/>
                <w:color w:val="000000"/>
                <w:lang w:eastAsia="en-GB"/>
              </w:rPr>
              <w:lastRenderedPageBreak/>
              <w:t>Islamic Bank</w:t>
            </w:r>
          </w:p>
        </w:tc>
        <w:tc>
          <w:tcPr>
            <w:tcW w:w="1417"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lastRenderedPageBreak/>
              <w:t>50.63</w:t>
            </w:r>
          </w:p>
        </w:tc>
        <w:tc>
          <w:tcPr>
            <w:tcW w:w="895" w:type="dxa"/>
            <w:tcBorders>
              <w:top w:val="single" w:sz="4" w:space="0" w:color="auto"/>
              <w:left w:val="nil"/>
              <w:bottom w:val="single" w:sz="4" w:space="0" w:color="auto"/>
              <w:right w:val="single" w:sz="4" w:space="0" w:color="auto"/>
            </w:tcBorders>
            <w:shd w:val="pct10"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b/>
                <w:bCs/>
                <w:color w:val="000000"/>
                <w:lang w:eastAsia="en-GB"/>
              </w:rPr>
            </w:pPr>
            <w:r w:rsidRPr="00574B60">
              <w:rPr>
                <w:rFonts w:asciiTheme="majorBidi" w:eastAsia="Times New Roman" w:hAnsiTheme="majorBidi" w:cstheme="majorBidi"/>
                <w:b/>
                <w:bCs/>
                <w:color w:val="000000"/>
                <w:lang w:eastAsia="en-GB"/>
              </w:rPr>
              <w:t>52</w:t>
            </w:r>
          </w:p>
        </w:tc>
        <w:tc>
          <w:tcPr>
            <w:tcW w:w="2218"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proofErr w:type="spellStart"/>
            <w:r w:rsidRPr="00574B60">
              <w:rPr>
                <w:rFonts w:asciiTheme="majorBidi" w:eastAsia="Times New Roman" w:hAnsiTheme="majorBidi" w:cstheme="majorBidi"/>
                <w:color w:val="000000"/>
                <w:lang w:eastAsia="en-GB"/>
              </w:rPr>
              <w:t>Ithmaar</w:t>
            </w:r>
            <w:proofErr w:type="spellEnd"/>
            <w:r w:rsidRPr="00574B60">
              <w:rPr>
                <w:rFonts w:asciiTheme="majorBidi" w:eastAsia="Times New Roman" w:hAnsiTheme="majorBidi" w:cstheme="majorBidi"/>
                <w:color w:val="000000"/>
                <w:lang w:eastAsia="en-GB"/>
              </w:rPr>
              <w:t xml:space="preserve"> Bank</w:t>
            </w:r>
          </w:p>
        </w:tc>
        <w:tc>
          <w:tcPr>
            <w:tcW w:w="1485" w:type="dxa"/>
            <w:tcBorders>
              <w:top w:val="nil"/>
              <w:left w:val="nil"/>
              <w:bottom w:val="single" w:sz="4" w:space="0" w:color="auto"/>
              <w:right w:val="single" w:sz="4" w:space="0" w:color="auto"/>
            </w:tcBorders>
            <w:shd w:val="clear" w:color="auto" w:fill="auto"/>
            <w:noWrap/>
            <w:vAlign w:val="center"/>
            <w:hideMark/>
          </w:tcPr>
          <w:p w:rsidR="00CF4530" w:rsidRPr="00574B60" w:rsidRDefault="00CF4530" w:rsidP="005947B4">
            <w:pPr>
              <w:spacing w:after="0" w:line="360" w:lineRule="auto"/>
              <w:rPr>
                <w:rFonts w:asciiTheme="majorBidi" w:eastAsia="Times New Roman" w:hAnsiTheme="majorBidi" w:cstheme="majorBidi"/>
                <w:color w:val="000000"/>
                <w:lang w:eastAsia="en-GB"/>
              </w:rPr>
            </w:pPr>
            <w:r w:rsidRPr="00574B60">
              <w:rPr>
                <w:rFonts w:asciiTheme="majorBidi" w:eastAsia="Times New Roman" w:hAnsiTheme="majorBidi" w:cstheme="majorBidi"/>
                <w:color w:val="000000"/>
                <w:lang w:eastAsia="en-GB"/>
              </w:rPr>
              <w:t>506.05</w:t>
            </w:r>
          </w:p>
        </w:tc>
      </w:tr>
    </w:tbl>
    <w:p w:rsidR="00CF4530" w:rsidRDefault="00CF4530" w:rsidP="005947B4">
      <w:pPr>
        <w:spacing w:line="360" w:lineRule="auto"/>
        <w:jc w:val="both"/>
        <w:rPr>
          <w:rFonts w:asciiTheme="majorBidi" w:hAnsiTheme="majorBidi" w:cstheme="majorBidi"/>
          <w:sz w:val="24"/>
          <w:szCs w:val="24"/>
        </w:rPr>
      </w:pPr>
    </w:p>
    <w:p w:rsidR="00CF4530" w:rsidRDefault="00CF4530" w:rsidP="005947B4">
      <w:pPr>
        <w:spacing w:line="360" w:lineRule="auto"/>
        <w:jc w:val="both"/>
        <w:rPr>
          <w:rFonts w:asciiTheme="majorBidi" w:hAnsiTheme="majorBidi" w:cstheme="majorBidi"/>
          <w:sz w:val="24"/>
          <w:szCs w:val="24"/>
        </w:rPr>
      </w:pPr>
      <w:r>
        <w:rPr>
          <w:rFonts w:asciiTheme="majorBidi" w:hAnsiTheme="majorBidi" w:cstheme="majorBidi"/>
          <w:sz w:val="24"/>
          <w:szCs w:val="24"/>
        </w:rPr>
        <w:t>The efficiency gap percentage in table 2 is calculated as the percentage difference of efficiency score between a bank and the top performing bank in the GCC. The top ten banks are not far apart</w:t>
      </w:r>
      <w:r w:rsidR="00A41CA6">
        <w:rPr>
          <w:rFonts w:asciiTheme="majorBidi" w:hAnsiTheme="majorBidi" w:cstheme="majorBidi"/>
          <w:sz w:val="24"/>
          <w:szCs w:val="24"/>
        </w:rPr>
        <w:t xml:space="preserve"> from one another</w:t>
      </w:r>
      <w:r>
        <w:rPr>
          <w:rFonts w:asciiTheme="majorBidi" w:hAnsiTheme="majorBidi" w:cstheme="majorBidi"/>
          <w:sz w:val="24"/>
          <w:szCs w:val="24"/>
        </w:rPr>
        <w:t xml:space="preserve"> in term of efficiency as the efficiency gap percentage fall within 50%. On the other hand, the bottom ten banks are significantly different from the top ten banks as the</w:t>
      </w:r>
      <w:r w:rsidR="00162599">
        <w:rPr>
          <w:rFonts w:asciiTheme="majorBidi" w:hAnsiTheme="majorBidi" w:cstheme="majorBidi"/>
          <w:sz w:val="24"/>
          <w:szCs w:val="24"/>
        </w:rPr>
        <w:t xml:space="preserve"> efficiency gap widened to more than 200%.</w:t>
      </w:r>
    </w:p>
    <w:p w:rsidR="000C257B" w:rsidRPr="000C257B" w:rsidRDefault="00F969BE" w:rsidP="00A41CA6">
      <w:pPr>
        <w:spacing w:line="360" w:lineRule="auto"/>
        <w:jc w:val="both"/>
        <w:rPr>
          <w:rFonts w:asciiTheme="majorBidi" w:hAnsiTheme="majorBidi" w:cstheme="majorBidi"/>
          <w:sz w:val="24"/>
          <w:szCs w:val="24"/>
        </w:rPr>
      </w:pPr>
      <w:r w:rsidRPr="000C257B">
        <w:rPr>
          <w:rFonts w:asciiTheme="majorBidi" w:hAnsiTheme="majorBidi" w:cstheme="majorBidi"/>
          <w:sz w:val="24"/>
          <w:szCs w:val="24"/>
        </w:rPr>
        <w:t>Appendix (a) presents</w:t>
      </w:r>
      <w:r w:rsidR="00924D88" w:rsidRPr="000C257B">
        <w:rPr>
          <w:rFonts w:asciiTheme="majorBidi" w:hAnsiTheme="majorBidi" w:cstheme="majorBidi"/>
          <w:sz w:val="24"/>
          <w:szCs w:val="24"/>
        </w:rPr>
        <w:t xml:space="preserve"> the country bank ranking and inefficiency gap percentages from the top bank in the country and from </w:t>
      </w:r>
      <w:r w:rsidR="007E081A">
        <w:rPr>
          <w:rFonts w:asciiTheme="majorBidi" w:hAnsiTheme="majorBidi" w:cstheme="majorBidi"/>
          <w:sz w:val="24"/>
          <w:szCs w:val="24"/>
        </w:rPr>
        <w:t xml:space="preserve">the </w:t>
      </w:r>
      <w:r w:rsidR="00924D88" w:rsidRPr="000C257B">
        <w:rPr>
          <w:rFonts w:asciiTheme="majorBidi" w:hAnsiTheme="majorBidi" w:cstheme="majorBidi"/>
          <w:sz w:val="24"/>
          <w:szCs w:val="24"/>
        </w:rPr>
        <w:t>top bank in the GCC.</w:t>
      </w:r>
      <w:r w:rsidR="000C257B">
        <w:rPr>
          <w:rFonts w:asciiTheme="majorBidi" w:hAnsiTheme="majorBidi" w:cstheme="majorBidi"/>
          <w:sz w:val="24"/>
          <w:szCs w:val="24"/>
        </w:rPr>
        <w:t xml:space="preserve"> </w:t>
      </w:r>
      <w:r w:rsidR="000C257B" w:rsidRPr="000C257B">
        <w:rPr>
          <w:rFonts w:asciiTheme="majorBidi" w:hAnsiTheme="majorBidi" w:cstheme="majorBidi"/>
          <w:sz w:val="24"/>
          <w:szCs w:val="24"/>
        </w:rPr>
        <w:t>That is, it illustrates the within-country bank technical efficiency disparities, and between-country bank technical efficiency disparit</w:t>
      </w:r>
      <w:r w:rsidR="007E081A">
        <w:rPr>
          <w:rFonts w:asciiTheme="majorBidi" w:hAnsiTheme="majorBidi" w:cstheme="majorBidi"/>
          <w:sz w:val="24"/>
          <w:szCs w:val="24"/>
        </w:rPr>
        <w:t>ies</w:t>
      </w:r>
      <w:r w:rsidR="000C257B" w:rsidRPr="000C257B">
        <w:rPr>
          <w:rFonts w:asciiTheme="majorBidi" w:hAnsiTheme="majorBidi" w:cstheme="majorBidi"/>
          <w:sz w:val="24"/>
          <w:szCs w:val="24"/>
        </w:rPr>
        <w:t xml:space="preserve">. Within-country bank performance shows that Saudi Arabian banks are closely knitted and their performances are not so substantially </w:t>
      </w:r>
      <w:r w:rsidR="007E081A">
        <w:rPr>
          <w:rFonts w:asciiTheme="majorBidi" w:hAnsiTheme="majorBidi" w:cstheme="majorBidi"/>
          <w:sz w:val="24"/>
          <w:szCs w:val="24"/>
        </w:rPr>
        <w:t xml:space="preserve">far </w:t>
      </w:r>
      <w:r w:rsidR="000C257B" w:rsidRPr="000C257B">
        <w:rPr>
          <w:rFonts w:asciiTheme="majorBidi" w:hAnsiTheme="majorBidi" w:cstheme="majorBidi"/>
          <w:sz w:val="24"/>
          <w:szCs w:val="24"/>
        </w:rPr>
        <w:t xml:space="preserve">apart from one another. An average of 31% efficiency gap exists from one bank to another in Saudi Arabia. But between-country efficiency disparity, Saudi banking Industry performs poorly in the GCC, as its banking industry scores on average of 198% efficiency gap from the top GCC bank. </w:t>
      </w:r>
    </w:p>
    <w:p w:rsidR="000C257B" w:rsidRPr="000C257B" w:rsidRDefault="000C257B" w:rsidP="005947B4">
      <w:pPr>
        <w:spacing w:line="360" w:lineRule="auto"/>
        <w:jc w:val="both"/>
        <w:rPr>
          <w:rFonts w:asciiTheme="majorBidi" w:hAnsiTheme="majorBidi" w:cstheme="majorBidi"/>
          <w:sz w:val="24"/>
          <w:szCs w:val="24"/>
        </w:rPr>
      </w:pPr>
      <w:r w:rsidRPr="000C257B">
        <w:rPr>
          <w:rFonts w:asciiTheme="majorBidi" w:hAnsiTheme="majorBidi" w:cstheme="majorBidi"/>
          <w:sz w:val="24"/>
          <w:szCs w:val="24"/>
        </w:rPr>
        <w:t xml:space="preserve">Kuwait banking industry follows the Saudi banking industry in terms of within-country bank efficiency. Its banks are on average 49% efficiency gap from one another. The Kuwait banking industry also tops all other member country banking industries in terms of between-country bank performance, as its banking industry is on average 49% efficiency gap from the top GCC bank. </w:t>
      </w:r>
    </w:p>
    <w:p w:rsidR="000C257B" w:rsidRPr="000C257B" w:rsidRDefault="000C257B" w:rsidP="005947B4">
      <w:pPr>
        <w:spacing w:line="360" w:lineRule="auto"/>
        <w:jc w:val="both"/>
        <w:rPr>
          <w:rFonts w:asciiTheme="majorBidi" w:hAnsiTheme="majorBidi" w:cstheme="majorBidi"/>
          <w:sz w:val="24"/>
          <w:szCs w:val="24"/>
        </w:rPr>
      </w:pPr>
      <w:r w:rsidRPr="000C257B">
        <w:rPr>
          <w:rFonts w:asciiTheme="majorBidi" w:hAnsiTheme="majorBidi" w:cstheme="majorBidi"/>
          <w:sz w:val="24"/>
          <w:szCs w:val="24"/>
        </w:rPr>
        <w:t>Bahrain banking industry performs the worst in terms of between-country bank efficiency as its banking industry scores an average of 214 % efficiency gap from the top GCC bank. Its within-country efficiency gap is the second highest after that of United Arab Emirates. The implications of these within-country and between-country efficiency gaps are two folds.</w:t>
      </w:r>
    </w:p>
    <w:p w:rsidR="00AD62C2" w:rsidRPr="000C257B" w:rsidRDefault="000C257B" w:rsidP="005947B4">
      <w:pPr>
        <w:spacing w:line="360" w:lineRule="auto"/>
        <w:jc w:val="both"/>
        <w:rPr>
          <w:rFonts w:asciiTheme="majorBidi" w:hAnsiTheme="majorBidi" w:cstheme="majorBidi"/>
          <w:sz w:val="24"/>
          <w:szCs w:val="24"/>
        </w:rPr>
      </w:pPr>
      <w:r w:rsidRPr="000C257B">
        <w:rPr>
          <w:rFonts w:asciiTheme="majorBidi" w:hAnsiTheme="majorBidi" w:cstheme="majorBidi"/>
          <w:sz w:val="24"/>
          <w:szCs w:val="24"/>
        </w:rPr>
        <w:t>A low within-country efficiency gap implies that banks in that particular country are par with one another in the terms of performance, and hence the competition will be high in that banking industry. On the other hand, when a high between-country efficiency gap is observed for a country, it implies that its banking industry is relatively low and poor on regional competition.  That is</w:t>
      </w:r>
      <w:r w:rsidR="007E081A">
        <w:rPr>
          <w:rFonts w:asciiTheme="majorBidi" w:hAnsiTheme="majorBidi" w:cstheme="majorBidi"/>
          <w:sz w:val="24"/>
          <w:szCs w:val="24"/>
        </w:rPr>
        <w:t>,</w:t>
      </w:r>
      <w:r w:rsidRPr="000C257B">
        <w:rPr>
          <w:rFonts w:asciiTheme="majorBidi" w:hAnsiTheme="majorBidi" w:cstheme="majorBidi"/>
          <w:sz w:val="24"/>
          <w:szCs w:val="24"/>
        </w:rPr>
        <w:t xml:space="preserve"> the banking industry with high between country efficiency </w:t>
      </w:r>
      <w:r w:rsidR="007E081A" w:rsidRPr="000C257B">
        <w:rPr>
          <w:rFonts w:asciiTheme="majorBidi" w:hAnsiTheme="majorBidi" w:cstheme="majorBidi"/>
          <w:sz w:val="24"/>
          <w:szCs w:val="24"/>
        </w:rPr>
        <w:t>gaps</w:t>
      </w:r>
      <w:r w:rsidRPr="000C257B">
        <w:rPr>
          <w:rFonts w:asciiTheme="majorBidi" w:hAnsiTheme="majorBidi" w:cstheme="majorBidi"/>
          <w:sz w:val="24"/>
          <w:szCs w:val="24"/>
        </w:rPr>
        <w:t xml:space="preserve"> has a lot to do in order to catch up with the rest of the regional industry. As the results illustrate, Bahrain, Oman, Qatar and Saudi Arabia banking sectors have to increase their efforts towards </w:t>
      </w:r>
      <w:r w:rsidRPr="000C257B">
        <w:rPr>
          <w:rFonts w:asciiTheme="majorBidi" w:hAnsiTheme="majorBidi" w:cstheme="majorBidi"/>
          <w:sz w:val="24"/>
          <w:szCs w:val="24"/>
        </w:rPr>
        <w:lastRenderedPageBreak/>
        <w:t>regional</w:t>
      </w:r>
      <w:r w:rsidR="00A41CA6">
        <w:rPr>
          <w:rFonts w:asciiTheme="majorBidi" w:hAnsiTheme="majorBidi" w:cstheme="majorBidi"/>
          <w:sz w:val="24"/>
          <w:szCs w:val="24"/>
        </w:rPr>
        <w:t xml:space="preserve"> competitiveness and efficiency; whereas, t</w:t>
      </w:r>
      <w:r w:rsidRPr="000C257B">
        <w:rPr>
          <w:rFonts w:asciiTheme="majorBidi" w:hAnsiTheme="majorBidi" w:cstheme="majorBidi"/>
          <w:sz w:val="24"/>
          <w:szCs w:val="24"/>
        </w:rPr>
        <w:t>he banks in United Arab Emirates, Bahrain and Oman have to increase their efforts in closing up the domestic efficiency gaps.</w:t>
      </w:r>
      <w:r w:rsidR="00146CB7" w:rsidRPr="000C257B">
        <w:rPr>
          <w:rFonts w:asciiTheme="majorBidi" w:hAnsiTheme="majorBidi" w:cstheme="majorBidi"/>
          <w:sz w:val="24"/>
          <w:szCs w:val="24"/>
        </w:rPr>
        <w:t xml:space="preserve"> </w:t>
      </w:r>
    </w:p>
    <w:p w:rsidR="00F969BE" w:rsidRPr="00F969BE" w:rsidRDefault="00F969BE" w:rsidP="00F56EA2">
      <w:pPr>
        <w:spacing w:line="360" w:lineRule="auto"/>
        <w:jc w:val="both"/>
        <w:rPr>
          <w:rFonts w:asciiTheme="majorBidi" w:hAnsiTheme="majorBidi" w:cstheme="majorBidi"/>
          <w:sz w:val="24"/>
          <w:szCs w:val="24"/>
        </w:rPr>
      </w:pPr>
      <w:r w:rsidRPr="00F969BE">
        <w:rPr>
          <w:rFonts w:asciiTheme="majorBidi" w:hAnsiTheme="majorBidi" w:cstheme="majorBidi"/>
          <w:sz w:val="24"/>
          <w:szCs w:val="24"/>
        </w:rPr>
        <w:t xml:space="preserve">The </w:t>
      </w:r>
      <w:r>
        <w:rPr>
          <w:rFonts w:asciiTheme="majorBidi" w:hAnsiTheme="majorBidi" w:cstheme="majorBidi"/>
          <w:sz w:val="24"/>
          <w:szCs w:val="24"/>
        </w:rPr>
        <w:t>estimation results</w:t>
      </w:r>
      <w:r w:rsidR="007E081A">
        <w:rPr>
          <w:rFonts w:asciiTheme="majorBidi" w:hAnsiTheme="majorBidi" w:cstheme="majorBidi"/>
          <w:sz w:val="24"/>
          <w:szCs w:val="24"/>
        </w:rPr>
        <w:t xml:space="preserve"> for </w:t>
      </w:r>
      <w:r w:rsidR="001E5D11">
        <w:rPr>
          <w:rFonts w:asciiTheme="majorBidi" w:hAnsiTheme="majorBidi" w:cstheme="majorBidi"/>
          <w:sz w:val="24"/>
          <w:szCs w:val="24"/>
        </w:rPr>
        <w:t xml:space="preserve">the </w:t>
      </w:r>
      <w:r w:rsidR="007E081A">
        <w:rPr>
          <w:rFonts w:asciiTheme="majorBidi" w:hAnsiTheme="majorBidi" w:cstheme="majorBidi"/>
          <w:sz w:val="24"/>
          <w:szCs w:val="24"/>
        </w:rPr>
        <w:t>factors influencing bank technical efficiency</w:t>
      </w:r>
      <w:r>
        <w:rPr>
          <w:rFonts w:asciiTheme="majorBidi" w:hAnsiTheme="majorBidi" w:cstheme="majorBidi"/>
          <w:sz w:val="24"/>
          <w:szCs w:val="24"/>
        </w:rPr>
        <w:t xml:space="preserve"> are presented in table</w:t>
      </w:r>
      <w:r w:rsidR="001E5D11">
        <w:rPr>
          <w:rFonts w:asciiTheme="majorBidi" w:hAnsiTheme="majorBidi" w:cstheme="majorBidi"/>
          <w:sz w:val="24"/>
          <w:szCs w:val="24"/>
        </w:rPr>
        <w:t xml:space="preserve"> </w:t>
      </w:r>
      <w:r>
        <w:rPr>
          <w:rFonts w:asciiTheme="majorBidi" w:hAnsiTheme="majorBidi" w:cstheme="majorBidi"/>
          <w:sz w:val="24"/>
          <w:szCs w:val="24"/>
        </w:rPr>
        <w:t>3. It is estimated in two models. In model 1, no squared values of unsystematic risk, monetary risk and leverage risk are included, and model 2 includes them. Model 1 performs poor</w:t>
      </w:r>
      <w:r w:rsidR="001E5D11">
        <w:rPr>
          <w:rFonts w:asciiTheme="majorBidi" w:hAnsiTheme="majorBidi" w:cstheme="majorBidi"/>
          <w:sz w:val="24"/>
          <w:szCs w:val="24"/>
        </w:rPr>
        <w:t>er</w:t>
      </w:r>
      <w:r>
        <w:rPr>
          <w:rFonts w:asciiTheme="majorBidi" w:hAnsiTheme="majorBidi" w:cstheme="majorBidi"/>
          <w:sz w:val="24"/>
          <w:szCs w:val="24"/>
        </w:rPr>
        <w:t xml:space="preserve"> than model 2 in </w:t>
      </w:r>
      <w:r w:rsidR="00F56EA2">
        <w:rPr>
          <w:rFonts w:asciiTheme="majorBidi" w:hAnsiTheme="majorBidi" w:cstheme="majorBidi"/>
          <w:sz w:val="24"/>
          <w:szCs w:val="24"/>
        </w:rPr>
        <w:t>identifying the</w:t>
      </w:r>
      <w:r w:rsidR="00B53741">
        <w:rPr>
          <w:rFonts w:asciiTheme="majorBidi" w:hAnsiTheme="majorBidi" w:cstheme="majorBidi"/>
          <w:sz w:val="24"/>
          <w:szCs w:val="24"/>
        </w:rPr>
        <w:t xml:space="preserve"> relevant risk factors </w:t>
      </w:r>
      <w:r w:rsidR="00F56EA2">
        <w:rPr>
          <w:rFonts w:asciiTheme="majorBidi" w:hAnsiTheme="majorBidi" w:cstheme="majorBidi"/>
          <w:sz w:val="24"/>
          <w:szCs w:val="24"/>
        </w:rPr>
        <w:t>that</w:t>
      </w:r>
      <w:r w:rsidR="00B53741">
        <w:rPr>
          <w:rFonts w:asciiTheme="majorBidi" w:hAnsiTheme="majorBidi" w:cstheme="majorBidi"/>
          <w:sz w:val="24"/>
          <w:szCs w:val="24"/>
        </w:rPr>
        <w:t xml:space="preserve"> impact on banks’ technical efficiency. The F-statistic that </w:t>
      </w:r>
      <w:r w:rsidR="001E5D11">
        <w:rPr>
          <w:rFonts w:asciiTheme="majorBidi" w:hAnsiTheme="majorBidi" w:cstheme="majorBidi"/>
          <w:sz w:val="24"/>
          <w:szCs w:val="24"/>
        </w:rPr>
        <w:t>diagnoses</w:t>
      </w:r>
      <w:r w:rsidR="00B53741">
        <w:rPr>
          <w:rFonts w:asciiTheme="majorBidi" w:hAnsiTheme="majorBidi" w:cstheme="majorBidi"/>
          <w:sz w:val="24"/>
          <w:szCs w:val="24"/>
        </w:rPr>
        <w:t xml:space="preserve"> the overall reliability of the model shows that model 1 </w:t>
      </w:r>
      <w:r w:rsidR="001E5D11">
        <w:rPr>
          <w:rFonts w:asciiTheme="majorBidi" w:hAnsiTheme="majorBidi" w:cstheme="majorBidi"/>
          <w:sz w:val="24"/>
          <w:szCs w:val="24"/>
        </w:rPr>
        <w:t xml:space="preserve">fails to </w:t>
      </w:r>
      <w:r w:rsidR="00B53741">
        <w:rPr>
          <w:rFonts w:asciiTheme="majorBidi" w:hAnsiTheme="majorBidi" w:cstheme="majorBidi"/>
          <w:sz w:val="24"/>
          <w:szCs w:val="24"/>
        </w:rPr>
        <w:t>produce explanation for the changes in bank technical inefficiency. Though</w:t>
      </w:r>
      <w:r w:rsidR="001E5D11">
        <w:rPr>
          <w:rFonts w:asciiTheme="majorBidi" w:hAnsiTheme="majorBidi" w:cstheme="majorBidi"/>
          <w:sz w:val="24"/>
          <w:szCs w:val="24"/>
        </w:rPr>
        <w:t>,</w:t>
      </w:r>
      <w:r w:rsidR="00B53741">
        <w:rPr>
          <w:rFonts w:asciiTheme="majorBidi" w:hAnsiTheme="majorBidi" w:cstheme="majorBidi"/>
          <w:sz w:val="24"/>
          <w:szCs w:val="24"/>
        </w:rPr>
        <w:t xml:space="preserve"> model 1 has two significant coefficients, its F-statistic is insignificant. Model 2’s F-statistic is significant at 1%. In model</w:t>
      </w:r>
      <w:r w:rsidR="00F56EA2">
        <w:rPr>
          <w:rFonts w:asciiTheme="majorBidi" w:hAnsiTheme="majorBidi" w:cstheme="majorBidi"/>
          <w:sz w:val="24"/>
          <w:szCs w:val="24"/>
        </w:rPr>
        <w:t xml:space="preserve"> 2</w:t>
      </w:r>
      <w:r w:rsidR="00B53741">
        <w:rPr>
          <w:rFonts w:asciiTheme="majorBidi" w:hAnsiTheme="majorBidi" w:cstheme="majorBidi"/>
          <w:sz w:val="24"/>
          <w:szCs w:val="24"/>
        </w:rPr>
        <w:t xml:space="preserve">, three risk factors are found to significantly impact on the bank technical inefficiency. They are unsystematic risk, squared unsystematic risk and squared monetary risk. Bank leverage and market risk (systematic risk) are found to </w:t>
      </w:r>
      <w:r w:rsidR="001E5D11">
        <w:rPr>
          <w:rFonts w:asciiTheme="majorBidi" w:hAnsiTheme="majorBidi" w:cstheme="majorBidi"/>
          <w:sz w:val="24"/>
          <w:szCs w:val="24"/>
        </w:rPr>
        <w:t xml:space="preserve">be </w:t>
      </w:r>
      <w:r w:rsidR="00B53741">
        <w:rPr>
          <w:rFonts w:asciiTheme="majorBidi" w:hAnsiTheme="majorBidi" w:cstheme="majorBidi"/>
          <w:sz w:val="24"/>
          <w:szCs w:val="24"/>
        </w:rPr>
        <w:t xml:space="preserve">insignificant in both model 1 and model 2. Low level of unsystematic risk appears to improve the bank efficiency, as </w:t>
      </w:r>
      <w:r w:rsidR="00A5054F">
        <w:rPr>
          <w:rFonts w:asciiTheme="majorBidi" w:hAnsiTheme="majorBidi" w:cstheme="majorBidi"/>
          <w:sz w:val="24"/>
          <w:szCs w:val="24"/>
        </w:rPr>
        <w:t>unsystematic</w:t>
      </w:r>
      <w:r w:rsidR="00B53741">
        <w:rPr>
          <w:rFonts w:asciiTheme="majorBidi" w:hAnsiTheme="majorBidi" w:cstheme="majorBidi"/>
          <w:sz w:val="24"/>
          <w:szCs w:val="24"/>
        </w:rPr>
        <w:t xml:space="preserve"> risk is found to be </w:t>
      </w:r>
      <w:r w:rsidR="00A5054F">
        <w:rPr>
          <w:rFonts w:asciiTheme="majorBidi" w:hAnsiTheme="majorBidi" w:cstheme="majorBidi"/>
          <w:sz w:val="24"/>
          <w:szCs w:val="24"/>
        </w:rPr>
        <w:t xml:space="preserve">significantly and negatively associated with bank technical </w:t>
      </w:r>
      <w:r w:rsidR="001E5D11">
        <w:rPr>
          <w:rFonts w:asciiTheme="majorBidi" w:hAnsiTheme="majorBidi" w:cstheme="majorBidi"/>
          <w:sz w:val="24"/>
          <w:szCs w:val="24"/>
        </w:rPr>
        <w:t>in</w:t>
      </w:r>
      <w:r w:rsidR="00A5054F">
        <w:rPr>
          <w:rFonts w:asciiTheme="majorBidi" w:hAnsiTheme="majorBidi" w:cstheme="majorBidi"/>
          <w:sz w:val="24"/>
          <w:szCs w:val="24"/>
        </w:rPr>
        <w:t xml:space="preserve">efficiency. It </w:t>
      </w:r>
      <w:r w:rsidR="001E5D11">
        <w:rPr>
          <w:rFonts w:asciiTheme="majorBidi" w:hAnsiTheme="majorBidi" w:cstheme="majorBidi"/>
          <w:sz w:val="24"/>
          <w:szCs w:val="24"/>
        </w:rPr>
        <w:t>implies that banks need to assume</w:t>
      </w:r>
      <w:r w:rsidR="00A5054F">
        <w:rPr>
          <w:rFonts w:asciiTheme="majorBidi" w:hAnsiTheme="majorBidi" w:cstheme="majorBidi"/>
          <w:sz w:val="24"/>
          <w:szCs w:val="24"/>
        </w:rPr>
        <w:t xml:space="preserve"> some low level of unsystematic risk to improve its decision making in using Labor and capital resources to produce profit. But </w:t>
      </w:r>
      <w:r w:rsidR="001E5D11">
        <w:rPr>
          <w:rFonts w:asciiTheme="majorBidi" w:hAnsiTheme="majorBidi" w:cstheme="majorBidi"/>
          <w:sz w:val="24"/>
          <w:szCs w:val="24"/>
        </w:rPr>
        <w:t xml:space="preserve">excessive risk taking behaviour represented here in </w:t>
      </w:r>
      <w:r w:rsidR="00A5054F">
        <w:rPr>
          <w:rFonts w:asciiTheme="majorBidi" w:hAnsiTheme="majorBidi" w:cstheme="majorBidi"/>
          <w:sz w:val="24"/>
          <w:szCs w:val="24"/>
        </w:rPr>
        <w:t xml:space="preserve">model 2 by squared unsystematic </w:t>
      </w:r>
      <w:r w:rsidR="001E5D11">
        <w:rPr>
          <w:rFonts w:asciiTheme="majorBidi" w:hAnsiTheme="majorBidi" w:cstheme="majorBidi"/>
          <w:sz w:val="24"/>
          <w:szCs w:val="24"/>
        </w:rPr>
        <w:t xml:space="preserve">risk </w:t>
      </w:r>
      <w:r w:rsidR="00A5054F">
        <w:rPr>
          <w:rFonts w:asciiTheme="majorBidi" w:hAnsiTheme="majorBidi" w:cstheme="majorBidi"/>
          <w:sz w:val="24"/>
          <w:szCs w:val="24"/>
        </w:rPr>
        <w:t xml:space="preserve">significantly and </w:t>
      </w:r>
      <w:r w:rsidR="001E5D11">
        <w:rPr>
          <w:rFonts w:asciiTheme="majorBidi" w:hAnsiTheme="majorBidi" w:cstheme="majorBidi"/>
          <w:sz w:val="24"/>
          <w:szCs w:val="24"/>
        </w:rPr>
        <w:t>substantially</w:t>
      </w:r>
      <w:r w:rsidR="00A5054F">
        <w:rPr>
          <w:rFonts w:asciiTheme="majorBidi" w:hAnsiTheme="majorBidi" w:cstheme="majorBidi"/>
          <w:sz w:val="24"/>
          <w:szCs w:val="24"/>
        </w:rPr>
        <w:t xml:space="preserve"> increases the bank technical inefficiency. This result is consistent with the portfolio theory that those who want to have a return </w:t>
      </w:r>
      <w:r w:rsidR="001E5D11">
        <w:rPr>
          <w:rFonts w:asciiTheme="majorBidi" w:hAnsiTheme="majorBidi" w:cstheme="majorBidi"/>
          <w:sz w:val="24"/>
          <w:szCs w:val="24"/>
        </w:rPr>
        <w:t>beyond the risk-free return;</w:t>
      </w:r>
      <w:r w:rsidR="00A5054F">
        <w:rPr>
          <w:rFonts w:asciiTheme="majorBidi" w:hAnsiTheme="majorBidi" w:cstheme="majorBidi"/>
          <w:sz w:val="24"/>
          <w:szCs w:val="24"/>
        </w:rPr>
        <w:t xml:space="preserve"> </w:t>
      </w:r>
      <w:r w:rsidR="001E5D11">
        <w:rPr>
          <w:rFonts w:asciiTheme="majorBidi" w:hAnsiTheme="majorBidi" w:cstheme="majorBidi"/>
          <w:sz w:val="24"/>
          <w:szCs w:val="24"/>
        </w:rPr>
        <w:t>t</w:t>
      </w:r>
      <w:r w:rsidR="00A5054F">
        <w:rPr>
          <w:rFonts w:asciiTheme="majorBidi" w:hAnsiTheme="majorBidi" w:cstheme="majorBidi"/>
          <w:sz w:val="24"/>
          <w:szCs w:val="24"/>
        </w:rPr>
        <w:t xml:space="preserve">hey must accept some level of risk commensurate with the risky portfolio. Leveraging or excessive risk taking behaviour can multiply the profits, but </w:t>
      </w:r>
      <w:r w:rsidR="00007D1B">
        <w:rPr>
          <w:rFonts w:asciiTheme="majorBidi" w:hAnsiTheme="majorBidi" w:cstheme="majorBidi"/>
          <w:sz w:val="24"/>
          <w:szCs w:val="24"/>
        </w:rPr>
        <w:t>i</w:t>
      </w:r>
      <w:r w:rsidR="001E5D11">
        <w:rPr>
          <w:rFonts w:asciiTheme="majorBidi" w:hAnsiTheme="majorBidi" w:cstheme="majorBidi"/>
          <w:sz w:val="24"/>
          <w:szCs w:val="24"/>
        </w:rPr>
        <w:t>t</w:t>
      </w:r>
      <w:r w:rsidR="00007D1B">
        <w:rPr>
          <w:rFonts w:asciiTheme="majorBidi" w:hAnsiTheme="majorBidi" w:cstheme="majorBidi"/>
          <w:sz w:val="24"/>
          <w:szCs w:val="24"/>
        </w:rPr>
        <w:t xml:space="preserve"> </w:t>
      </w:r>
      <w:r w:rsidR="00F56EA2">
        <w:rPr>
          <w:rFonts w:asciiTheme="majorBidi" w:hAnsiTheme="majorBidi" w:cstheme="majorBidi"/>
          <w:sz w:val="24"/>
          <w:szCs w:val="24"/>
        </w:rPr>
        <w:t>also</w:t>
      </w:r>
      <w:r w:rsidR="00007D1B">
        <w:rPr>
          <w:rFonts w:asciiTheme="majorBidi" w:hAnsiTheme="majorBidi" w:cstheme="majorBidi"/>
          <w:sz w:val="24"/>
          <w:szCs w:val="24"/>
        </w:rPr>
        <w:t xml:space="preserve"> multiplies the losses when they </w:t>
      </w:r>
      <w:r w:rsidR="00F56EA2">
        <w:rPr>
          <w:rFonts w:asciiTheme="majorBidi" w:hAnsiTheme="majorBidi" w:cstheme="majorBidi"/>
          <w:sz w:val="24"/>
          <w:szCs w:val="24"/>
        </w:rPr>
        <w:t>occur</w:t>
      </w:r>
      <w:r w:rsidR="00007D1B">
        <w:rPr>
          <w:rFonts w:asciiTheme="majorBidi" w:hAnsiTheme="majorBidi" w:cstheme="majorBidi"/>
          <w:sz w:val="24"/>
          <w:szCs w:val="24"/>
        </w:rPr>
        <w:t>. Thus, given the fact that banks are trust institutions</w:t>
      </w:r>
      <w:r w:rsidR="001E5D11">
        <w:rPr>
          <w:rFonts w:asciiTheme="majorBidi" w:hAnsiTheme="majorBidi" w:cstheme="majorBidi"/>
          <w:sz w:val="24"/>
          <w:szCs w:val="24"/>
        </w:rPr>
        <w:t>,</w:t>
      </w:r>
      <w:r w:rsidR="00007D1B">
        <w:rPr>
          <w:rFonts w:asciiTheme="majorBidi" w:hAnsiTheme="majorBidi" w:cstheme="majorBidi"/>
          <w:sz w:val="24"/>
          <w:szCs w:val="24"/>
        </w:rPr>
        <w:t xml:space="preserve"> excessive risk taking behaviour in their decision making will seriously multiply their inefficiencies and substantially </w:t>
      </w:r>
      <w:r w:rsidR="001E5D11">
        <w:rPr>
          <w:rFonts w:asciiTheme="majorBidi" w:hAnsiTheme="majorBidi" w:cstheme="majorBidi"/>
          <w:sz w:val="24"/>
          <w:szCs w:val="24"/>
        </w:rPr>
        <w:t>reduce</w:t>
      </w:r>
      <w:r w:rsidR="00007D1B">
        <w:rPr>
          <w:rFonts w:asciiTheme="majorBidi" w:hAnsiTheme="majorBidi" w:cstheme="majorBidi"/>
          <w:sz w:val="24"/>
          <w:szCs w:val="24"/>
        </w:rPr>
        <w:t xml:space="preserve"> the trust the people have in them.</w:t>
      </w:r>
      <w:r w:rsidR="00A5054F">
        <w:rPr>
          <w:rFonts w:asciiTheme="majorBidi" w:hAnsiTheme="majorBidi" w:cstheme="majorBidi"/>
          <w:sz w:val="24"/>
          <w:szCs w:val="24"/>
        </w:rPr>
        <w:t xml:space="preserve">   </w:t>
      </w:r>
      <w:r w:rsidR="00B53741">
        <w:rPr>
          <w:rFonts w:asciiTheme="majorBidi" w:hAnsiTheme="majorBidi" w:cstheme="majorBidi"/>
          <w:sz w:val="24"/>
          <w:szCs w:val="24"/>
        </w:rPr>
        <w:t xml:space="preserve">   </w:t>
      </w:r>
    </w:p>
    <w:tbl>
      <w:tblPr>
        <w:tblStyle w:val="LightShading"/>
        <w:tblW w:w="0" w:type="auto"/>
        <w:tblLook w:val="04A0" w:firstRow="1" w:lastRow="0" w:firstColumn="1" w:lastColumn="0" w:noHBand="0" w:noVBand="1"/>
      </w:tblPr>
      <w:tblGrid>
        <w:gridCol w:w="2943"/>
        <w:gridCol w:w="1276"/>
        <w:gridCol w:w="1371"/>
        <w:gridCol w:w="1606"/>
      </w:tblGrid>
      <w:tr w:rsidR="004D1790" w:rsidRPr="00574B60" w:rsidTr="00453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4"/>
            <w:tcBorders>
              <w:top w:val="single" w:sz="4" w:space="0" w:color="auto"/>
              <w:left w:val="single" w:sz="4" w:space="0" w:color="auto"/>
              <w:right w:val="single" w:sz="4" w:space="0" w:color="auto"/>
            </w:tcBorders>
          </w:tcPr>
          <w:p w:rsidR="004D1790" w:rsidRPr="00574B60" w:rsidRDefault="00DB0233" w:rsidP="005947B4">
            <w:pPr>
              <w:spacing w:line="360" w:lineRule="auto"/>
              <w:rPr>
                <w:rFonts w:asciiTheme="majorBidi" w:hAnsiTheme="majorBidi" w:cstheme="majorBidi"/>
                <w:color w:val="000000"/>
              </w:rPr>
            </w:pPr>
            <w:r>
              <w:rPr>
                <w:rFonts w:asciiTheme="majorBidi" w:hAnsiTheme="majorBidi" w:cstheme="majorBidi"/>
                <w:color w:val="000000"/>
              </w:rPr>
              <w:t>Table 3: Factors explaining technical inefficiency in the banking industry</w:t>
            </w:r>
          </w:p>
        </w:tc>
      </w:tr>
      <w:tr w:rsidR="004D1790"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4"/>
            <w:tcBorders>
              <w:left w:val="single" w:sz="4" w:space="0" w:color="auto"/>
              <w:right w:val="single" w:sz="4" w:space="0" w:color="auto"/>
            </w:tcBorders>
          </w:tcPr>
          <w:p w:rsidR="00DB0233" w:rsidRPr="00C50CB1" w:rsidRDefault="004D1790" w:rsidP="00C50CB1">
            <w:pPr>
              <w:spacing w:line="360" w:lineRule="auto"/>
              <w:rPr>
                <w:rFonts w:asciiTheme="majorBidi" w:hAnsiTheme="majorBidi" w:cstheme="majorBidi"/>
                <w:color w:val="000000"/>
              </w:rPr>
            </w:pPr>
            <w:r w:rsidRPr="00574B60">
              <w:rPr>
                <w:rFonts w:asciiTheme="majorBidi" w:hAnsiTheme="majorBidi" w:cstheme="majorBidi"/>
                <w:color w:val="000000"/>
              </w:rPr>
              <w:t>Sample: 52 Banks</w:t>
            </w:r>
          </w:p>
        </w:tc>
      </w:tr>
      <w:tr w:rsidR="004D1790" w:rsidRPr="00574B60" w:rsidTr="00453B64">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tcBorders>
          </w:tcPr>
          <w:p w:rsidR="004D1790" w:rsidRPr="00574B60" w:rsidRDefault="004D1790" w:rsidP="005947B4">
            <w:pPr>
              <w:spacing w:line="360" w:lineRule="auto"/>
              <w:jc w:val="both"/>
              <w:rPr>
                <w:rFonts w:asciiTheme="majorBidi" w:hAnsiTheme="majorBidi" w:cstheme="majorBidi"/>
              </w:rPr>
            </w:pPr>
            <w:r w:rsidRPr="00574B60">
              <w:rPr>
                <w:rFonts w:asciiTheme="majorBidi" w:hAnsiTheme="majorBidi" w:cstheme="majorBidi"/>
              </w:rPr>
              <w:t>Variable</w:t>
            </w:r>
          </w:p>
        </w:tc>
        <w:tc>
          <w:tcPr>
            <w:tcW w:w="1371" w:type="dxa"/>
          </w:tcPr>
          <w:p w:rsidR="004D1790" w:rsidRPr="00574B60" w:rsidRDefault="004D1790"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Model 1</w:t>
            </w:r>
          </w:p>
        </w:tc>
        <w:tc>
          <w:tcPr>
            <w:tcW w:w="1606" w:type="dxa"/>
            <w:tcBorders>
              <w:right w:val="single" w:sz="4" w:space="0" w:color="auto"/>
            </w:tcBorders>
          </w:tcPr>
          <w:p w:rsidR="00DB0233" w:rsidRPr="00574B60" w:rsidRDefault="004D1790" w:rsidP="00C50CB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Model 2</w:t>
            </w:r>
          </w:p>
        </w:tc>
      </w:tr>
      <w:tr w:rsidR="006F7EAC"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6F7EAC" w:rsidP="005947B4">
            <w:pPr>
              <w:spacing w:line="360" w:lineRule="auto"/>
              <w:rPr>
                <w:rFonts w:asciiTheme="majorBidi" w:hAnsiTheme="majorBidi" w:cstheme="majorBidi"/>
              </w:rPr>
            </w:pPr>
            <w:r w:rsidRPr="00574B60">
              <w:rPr>
                <w:rFonts w:asciiTheme="majorBidi" w:hAnsiTheme="majorBidi" w:cstheme="majorBidi"/>
              </w:rPr>
              <w:t>Constant</w:t>
            </w:r>
          </w:p>
          <w:p w:rsidR="006F7EAC" w:rsidRPr="00574B60" w:rsidRDefault="006F7EAC" w:rsidP="005947B4">
            <w:pPr>
              <w:spacing w:line="360" w:lineRule="auto"/>
              <w:jc w:val="both"/>
              <w:rPr>
                <w:rFonts w:asciiTheme="majorBidi" w:hAnsiTheme="majorBidi" w:cstheme="majorBidi"/>
              </w:rPr>
            </w:pPr>
          </w:p>
          <w:p w:rsidR="006F7EAC" w:rsidRPr="00574B60" w:rsidRDefault="006F7EAC" w:rsidP="005947B4">
            <w:pPr>
              <w:spacing w:line="360" w:lineRule="auto"/>
              <w:jc w:val="both"/>
              <w:rPr>
                <w:rFonts w:asciiTheme="majorBidi" w:hAnsiTheme="majorBidi" w:cstheme="majorBidi"/>
              </w:rPr>
            </w:pPr>
          </w:p>
        </w:tc>
        <w:tc>
          <w:tcPr>
            <w:tcW w:w="1276"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0.364406</w:t>
            </w:r>
            <w:r w:rsidR="00453B64">
              <w:rPr>
                <w:rFonts w:asciiTheme="majorBidi" w:hAnsiTheme="majorBidi" w:cstheme="majorBidi"/>
              </w:rPr>
              <w:t>**</w:t>
            </w:r>
          </w:p>
          <w:p w:rsidR="006F7EAC" w:rsidRPr="00574B60" w:rsidRDefault="009E58AC" w:rsidP="005947B4">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0.136262</w:t>
            </w:r>
            <w:r>
              <w:rPr>
                <w:rFonts w:asciiTheme="majorBidi" w:hAnsiTheme="majorBidi" w:cstheme="majorBidi"/>
              </w:rPr>
              <w:t>)</w:t>
            </w:r>
          </w:p>
          <w:p w:rsidR="006F7EAC" w:rsidRPr="00574B60" w:rsidRDefault="009E58AC" w:rsidP="005947B4">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0.0103</w:t>
            </w:r>
            <w:r>
              <w:rPr>
                <w:rFonts w:asciiTheme="majorBidi" w:hAnsiTheme="majorBidi" w:cstheme="majorBidi"/>
              </w:rPr>
              <w:t>]</w:t>
            </w:r>
          </w:p>
        </w:tc>
        <w:tc>
          <w:tcPr>
            <w:tcW w:w="1606" w:type="dxa"/>
            <w:tcBorders>
              <w:right w:val="single" w:sz="4" w:space="0" w:color="auto"/>
            </w:tcBorders>
          </w:tcPr>
          <w:p w:rsidR="006F7EAC" w:rsidRPr="00574B60" w:rsidRDefault="00181706"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0.031116</w:t>
            </w:r>
          </w:p>
          <w:p w:rsidR="00181706" w:rsidRPr="00574B60" w:rsidRDefault="009E58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0.072341</w:t>
            </w:r>
            <w:r>
              <w:rPr>
                <w:rFonts w:asciiTheme="majorBidi" w:hAnsiTheme="majorBidi" w:cstheme="majorBidi"/>
              </w:rPr>
              <w:t>)</w:t>
            </w:r>
          </w:p>
          <w:p w:rsidR="009E58AC" w:rsidRPr="00574B60" w:rsidRDefault="009E58AC" w:rsidP="00C50CB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0.9427</w:t>
            </w:r>
            <w:r>
              <w:rPr>
                <w:rFonts w:asciiTheme="majorBidi" w:hAnsiTheme="majorBidi" w:cstheme="majorBidi"/>
              </w:rPr>
              <w:t>]</w:t>
            </w:r>
          </w:p>
        </w:tc>
      </w:tr>
      <w:tr w:rsidR="006F7EAC" w:rsidRPr="00574B60" w:rsidTr="00453B64">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6F7EAC" w:rsidP="005947B4">
            <w:pPr>
              <w:spacing w:line="360" w:lineRule="auto"/>
              <w:rPr>
                <w:rFonts w:asciiTheme="majorBidi" w:hAnsiTheme="majorBidi" w:cstheme="majorBidi"/>
              </w:rPr>
            </w:pPr>
            <w:r w:rsidRPr="00574B60">
              <w:rPr>
                <w:rFonts w:asciiTheme="majorBidi" w:hAnsiTheme="majorBidi" w:cstheme="majorBidi"/>
              </w:rPr>
              <w:t>Leverage</w:t>
            </w:r>
          </w:p>
          <w:p w:rsidR="006F7EAC" w:rsidRPr="00574B60" w:rsidRDefault="006F7EAC" w:rsidP="005947B4">
            <w:pPr>
              <w:spacing w:line="360" w:lineRule="auto"/>
              <w:jc w:val="both"/>
              <w:rPr>
                <w:rFonts w:asciiTheme="majorBidi" w:hAnsiTheme="majorBidi" w:cstheme="majorBidi"/>
              </w:rPr>
            </w:pPr>
          </w:p>
          <w:p w:rsidR="006F7EAC" w:rsidRPr="00574B60" w:rsidRDefault="006F7EAC" w:rsidP="005947B4">
            <w:pPr>
              <w:spacing w:line="360" w:lineRule="auto"/>
              <w:jc w:val="both"/>
              <w:rPr>
                <w:rFonts w:asciiTheme="majorBidi" w:hAnsiTheme="majorBidi" w:cstheme="majorBidi"/>
              </w:rPr>
            </w:pPr>
          </w:p>
        </w:tc>
        <w:tc>
          <w:tcPr>
            <w:tcW w:w="1276"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-0.00615</w:t>
            </w:r>
          </w:p>
          <w:p w:rsidR="006F7EAC" w:rsidRPr="00574B60" w:rsidRDefault="009E58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0.00834</w:t>
            </w:r>
            <w:r>
              <w:rPr>
                <w:rFonts w:asciiTheme="majorBidi" w:hAnsiTheme="majorBidi" w:cstheme="majorBidi"/>
              </w:rPr>
              <w:t>)</w:t>
            </w:r>
          </w:p>
          <w:p w:rsidR="006F7EAC" w:rsidRPr="00574B60" w:rsidRDefault="009E58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0.4644</w:t>
            </w:r>
            <w:r>
              <w:rPr>
                <w:rFonts w:asciiTheme="majorBidi" w:hAnsiTheme="majorBidi" w:cstheme="majorBidi"/>
              </w:rPr>
              <w:t>]</w:t>
            </w:r>
          </w:p>
        </w:tc>
        <w:tc>
          <w:tcPr>
            <w:tcW w:w="1606" w:type="dxa"/>
            <w:tcBorders>
              <w:right w:val="single" w:sz="4" w:space="0" w:color="auto"/>
            </w:tcBorders>
          </w:tcPr>
          <w:p w:rsidR="006F7EAC" w:rsidRPr="00574B60" w:rsidRDefault="00181706"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-0.00023</w:t>
            </w:r>
          </w:p>
          <w:p w:rsidR="00181706" w:rsidRPr="00574B60" w:rsidRDefault="009E58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-0.00959</w:t>
            </w:r>
            <w:r>
              <w:rPr>
                <w:rFonts w:asciiTheme="majorBidi" w:hAnsiTheme="majorBidi" w:cstheme="majorBidi"/>
              </w:rPr>
              <w:t>)</w:t>
            </w:r>
          </w:p>
          <w:p w:rsidR="009E58AC" w:rsidRPr="00574B60" w:rsidRDefault="009E58AC" w:rsidP="00C50CB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0.9924</w:t>
            </w:r>
            <w:r>
              <w:rPr>
                <w:rFonts w:asciiTheme="majorBidi" w:hAnsiTheme="majorBidi" w:cstheme="majorBidi"/>
              </w:rPr>
              <w:t>]</w:t>
            </w:r>
          </w:p>
        </w:tc>
      </w:tr>
      <w:tr w:rsidR="006F7EAC"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6F7EAC" w:rsidP="005947B4">
            <w:pPr>
              <w:spacing w:line="360" w:lineRule="auto"/>
              <w:rPr>
                <w:rFonts w:asciiTheme="majorBidi" w:hAnsiTheme="majorBidi" w:cstheme="majorBidi"/>
              </w:rPr>
            </w:pPr>
            <w:r w:rsidRPr="00574B60">
              <w:rPr>
                <w:rFonts w:asciiTheme="majorBidi" w:hAnsiTheme="majorBidi" w:cstheme="majorBidi"/>
              </w:rPr>
              <w:lastRenderedPageBreak/>
              <w:t xml:space="preserve">Monetary </w:t>
            </w:r>
            <w:r w:rsidR="00DB0233">
              <w:rPr>
                <w:rFonts w:asciiTheme="majorBidi" w:hAnsiTheme="majorBidi" w:cstheme="majorBidi"/>
              </w:rPr>
              <w:t>r</w:t>
            </w:r>
            <w:r w:rsidRPr="00574B60">
              <w:rPr>
                <w:rFonts w:asciiTheme="majorBidi" w:hAnsiTheme="majorBidi" w:cstheme="majorBidi"/>
              </w:rPr>
              <w:t>isk</w:t>
            </w:r>
          </w:p>
          <w:p w:rsidR="006F7EAC" w:rsidRPr="00574B60" w:rsidRDefault="006F7EAC" w:rsidP="005947B4">
            <w:pPr>
              <w:spacing w:line="360" w:lineRule="auto"/>
              <w:jc w:val="both"/>
              <w:rPr>
                <w:rFonts w:asciiTheme="majorBidi" w:hAnsiTheme="majorBidi" w:cstheme="majorBidi"/>
              </w:rPr>
            </w:pPr>
          </w:p>
          <w:p w:rsidR="006F7EAC" w:rsidRPr="00574B60" w:rsidRDefault="006F7EAC" w:rsidP="005947B4">
            <w:pPr>
              <w:spacing w:line="360" w:lineRule="auto"/>
              <w:jc w:val="both"/>
              <w:rPr>
                <w:rFonts w:asciiTheme="majorBidi" w:hAnsiTheme="majorBidi" w:cstheme="majorBidi"/>
              </w:rPr>
            </w:pPr>
          </w:p>
        </w:tc>
        <w:tc>
          <w:tcPr>
            <w:tcW w:w="1276"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-0.083546</w:t>
            </w:r>
          </w:p>
          <w:p w:rsidR="006F7EAC"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0.0853</w:t>
            </w:r>
            <w:r>
              <w:rPr>
                <w:rFonts w:asciiTheme="majorBidi" w:hAnsiTheme="majorBidi" w:cstheme="majorBidi"/>
              </w:rPr>
              <w:t>1)</w:t>
            </w:r>
          </w:p>
          <w:p w:rsidR="006F7EAC"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0.3324</w:t>
            </w:r>
            <w:r>
              <w:rPr>
                <w:rFonts w:asciiTheme="majorBidi" w:hAnsiTheme="majorBidi" w:cstheme="majorBidi"/>
              </w:rPr>
              <w:t>]</w:t>
            </w:r>
          </w:p>
        </w:tc>
        <w:tc>
          <w:tcPr>
            <w:tcW w:w="1606" w:type="dxa"/>
            <w:tcBorders>
              <w:right w:val="single" w:sz="4" w:space="0" w:color="auto"/>
            </w:tcBorders>
          </w:tcPr>
          <w:p w:rsidR="006F7EAC" w:rsidRPr="00574B60" w:rsidRDefault="00181706"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1.163245</w:t>
            </w:r>
          </w:p>
          <w:p w:rsidR="00181706"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1.5358</w:t>
            </w:r>
            <w:r>
              <w:rPr>
                <w:rFonts w:asciiTheme="majorBidi" w:hAnsiTheme="majorBidi" w:cstheme="majorBidi"/>
              </w:rPr>
              <w:t>5)</w:t>
            </w:r>
          </w:p>
          <w:p w:rsidR="00DB0233" w:rsidRPr="00574B60" w:rsidRDefault="00DB0233" w:rsidP="00C50CB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0.1317</w:t>
            </w:r>
            <w:r>
              <w:rPr>
                <w:rFonts w:asciiTheme="majorBidi" w:hAnsiTheme="majorBidi" w:cstheme="majorBidi"/>
              </w:rPr>
              <w:t>]</w:t>
            </w:r>
          </w:p>
        </w:tc>
      </w:tr>
      <w:tr w:rsidR="006F7EAC" w:rsidRPr="00574B60" w:rsidTr="00453B64">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6F7EAC" w:rsidP="005947B4">
            <w:pPr>
              <w:spacing w:line="360" w:lineRule="auto"/>
              <w:rPr>
                <w:rFonts w:asciiTheme="majorBidi" w:hAnsiTheme="majorBidi" w:cstheme="majorBidi"/>
              </w:rPr>
            </w:pPr>
            <w:r w:rsidRPr="00574B60">
              <w:rPr>
                <w:rFonts w:asciiTheme="majorBidi" w:hAnsiTheme="majorBidi" w:cstheme="majorBidi"/>
              </w:rPr>
              <w:t>Beta</w:t>
            </w:r>
          </w:p>
          <w:p w:rsidR="006F7EAC" w:rsidRPr="00574B60" w:rsidRDefault="006F7EAC" w:rsidP="005947B4">
            <w:pPr>
              <w:spacing w:line="360" w:lineRule="auto"/>
              <w:jc w:val="both"/>
              <w:rPr>
                <w:rFonts w:asciiTheme="majorBidi" w:hAnsiTheme="majorBidi" w:cstheme="majorBidi"/>
              </w:rPr>
            </w:pPr>
          </w:p>
          <w:p w:rsidR="006F7EAC" w:rsidRPr="00574B60" w:rsidRDefault="006F7EAC" w:rsidP="005947B4">
            <w:pPr>
              <w:spacing w:line="360" w:lineRule="auto"/>
              <w:jc w:val="both"/>
              <w:rPr>
                <w:rFonts w:asciiTheme="majorBidi" w:hAnsiTheme="majorBidi" w:cstheme="majorBidi"/>
              </w:rPr>
            </w:pPr>
          </w:p>
        </w:tc>
        <w:tc>
          <w:tcPr>
            <w:tcW w:w="1276"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0.011404</w:t>
            </w:r>
          </w:p>
          <w:p w:rsidR="006F7EAC" w:rsidRPr="00574B60" w:rsidRDefault="00DB0233"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0.03216</w:t>
            </w:r>
            <w:r>
              <w:rPr>
                <w:rFonts w:asciiTheme="majorBidi" w:hAnsiTheme="majorBidi" w:cstheme="majorBidi"/>
              </w:rPr>
              <w:t>)</w:t>
            </w:r>
          </w:p>
          <w:p w:rsidR="006F7EAC" w:rsidRPr="00574B60" w:rsidRDefault="00DB0233"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6F7EAC" w:rsidRPr="00574B60">
              <w:rPr>
                <w:rFonts w:asciiTheme="majorBidi" w:hAnsiTheme="majorBidi" w:cstheme="majorBidi"/>
              </w:rPr>
              <w:t>0.7245</w:t>
            </w:r>
            <w:r>
              <w:rPr>
                <w:rFonts w:asciiTheme="majorBidi" w:hAnsiTheme="majorBidi" w:cstheme="majorBidi"/>
              </w:rPr>
              <w:t>]</w:t>
            </w:r>
          </w:p>
        </w:tc>
        <w:tc>
          <w:tcPr>
            <w:tcW w:w="1606" w:type="dxa"/>
            <w:tcBorders>
              <w:right w:val="single" w:sz="4" w:space="0" w:color="auto"/>
            </w:tcBorders>
          </w:tcPr>
          <w:p w:rsidR="006F7EAC" w:rsidRPr="00574B60" w:rsidRDefault="00181706"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0.034531</w:t>
            </w:r>
          </w:p>
          <w:p w:rsidR="00181706" w:rsidRPr="00574B60" w:rsidRDefault="00DB0233"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1.23974</w:t>
            </w:r>
            <w:r>
              <w:rPr>
                <w:rFonts w:asciiTheme="majorBidi" w:hAnsiTheme="majorBidi" w:cstheme="majorBidi"/>
              </w:rPr>
              <w:t>)</w:t>
            </w:r>
          </w:p>
          <w:p w:rsidR="00DB0233" w:rsidRPr="00574B60" w:rsidRDefault="00DB0233" w:rsidP="00C50CB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0.2216</w:t>
            </w:r>
            <w:r>
              <w:rPr>
                <w:rFonts w:asciiTheme="majorBidi" w:hAnsiTheme="majorBidi" w:cstheme="majorBidi"/>
              </w:rPr>
              <w:t>]</w:t>
            </w:r>
          </w:p>
        </w:tc>
      </w:tr>
      <w:tr w:rsidR="006F7EAC"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6F7EAC" w:rsidP="005947B4">
            <w:pPr>
              <w:spacing w:line="360" w:lineRule="auto"/>
              <w:rPr>
                <w:rFonts w:asciiTheme="majorBidi" w:hAnsiTheme="majorBidi" w:cstheme="majorBidi"/>
              </w:rPr>
            </w:pPr>
            <w:r w:rsidRPr="00574B60">
              <w:rPr>
                <w:rFonts w:asciiTheme="majorBidi" w:hAnsiTheme="majorBidi" w:cstheme="majorBidi"/>
              </w:rPr>
              <w:t xml:space="preserve">Unsystematic </w:t>
            </w:r>
            <w:r w:rsidR="00DB0233">
              <w:rPr>
                <w:rFonts w:asciiTheme="majorBidi" w:hAnsiTheme="majorBidi" w:cstheme="majorBidi"/>
              </w:rPr>
              <w:t>r</w:t>
            </w:r>
            <w:r w:rsidRPr="00574B60">
              <w:rPr>
                <w:rFonts w:asciiTheme="majorBidi" w:hAnsiTheme="majorBidi" w:cstheme="majorBidi"/>
              </w:rPr>
              <w:t>isk</w:t>
            </w:r>
          </w:p>
          <w:p w:rsidR="006F7EAC" w:rsidRPr="00574B60" w:rsidRDefault="006F7EAC" w:rsidP="005947B4">
            <w:pPr>
              <w:spacing w:line="360" w:lineRule="auto"/>
              <w:jc w:val="both"/>
              <w:rPr>
                <w:rFonts w:asciiTheme="majorBidi" w:hAnsiTheme="majorBidi" w:cstheme="majorBidi"/>
              </w:rPr>
            </w:pPr>
          </w:p>
          <w:p w:rsidR="006F7EAC" w:rsidRPr="00574B60" w:rsidRDefault="006F7EAC" w:rsidP="005947B4">
            <w:pPr>
              <w:spacing w:line="360" w:lineRule="auto"/>
              <w:jc w:val="both"/>
              <w:rPr>
                <w:rFonts w:asciiTheme="majorBidi" w:hAnsiTheme="majorBidi" w:cstheme="majorBidi"/>
              </w:rPr>
            </w:pPr>
          </w:p>
        </w:tc>
        <w:tc>
          <w:tcPr>
            <w:tcW w:w="1276"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371" w:type="dxa"/>
          </w:tcPr>
          <w:p w:rsidR="006F7EAC" w:rsidRPr="00574B60" w:rsidRDefault="00AF431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2.385917</w:t>
            </w:r>
            <w:r w:rsidR="00453B64">
              <w:rPr>
                <w:rFonts w:asciiTheme="majorBidi" w:hAnsiTheme="majorBidi" w:cstheme="majorBidi"/>
              </w:rPr>
              <w:t>***</w:t>
            </w:r>
          </w:p>
          <w:p w:rsidR="00AF431C"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AF431C" w:rsidRPr="00574B60">
              <w:rPr>
                <w:rFonts w:asciiTheme="majorBidi" w:hAnsiTheme="majorBidi" w:cstheme="majorBidi"/>
              </w:rPr>
              <w:t>1.2677</w:t>
            </w:r>
            <w:r>
              <w:rPr>
                <w:rFonts w:asciiTheme="majorBidi" w:hAnsiTheme="majorBidi" w:cstheme="majorBidi"/>
              </w:rPr>
              <w:t>2)</w:t>
            </w:r>
          </w:p>
          <w:p w:rsidR="00AF431C"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AF431C" w:rsidRPr="00574B60">
              <w:rPr>
                <w:rFonts w:asciiTheme="majorBidi" w:hAnsiTheme="majorBidi" w:cstheme="majorBidi"/>
              </w:rPr>
              <w:t>0.0660</w:t>
            </w:r>
            <w:r>
              <w:rPr>
                <w:rFonts w:asciiTheme="majorBidi" w:hAnsiTheme="majorBidi" w:cstheme="majorBidi"/>
              </w:rPr>
              <w:t>]</w:t>
            </w:r>
          </w:p>
        </w:tc>
        <w:tc>
          <w:tcPr>
            <w:tcW w:w="1606" w:type="dxa"/>
            <w:tcBorders>
              <w:right w:val="single" w:sz="4" w:space="0" w:color="auto"/>
            </w:tcBorders>
          </w:tcPr>
          <w:p w:rsidR="006F7EAC" w:rsidRPr="00574B60" w:rsidRDefault="00181706"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-14.78408</w:t>
            </w:r>
            <w:r w:rsidR="00453B64">
              <w:rPr>
                <w:rFonts w:asciiTheme="majorBidi" w:hAnsiTheme="majorBidi" w:cstheme="majorBidi"/>
              </w:rPr>
              <w:t>*</w:t>
            </w:r>
          </w:p>
          <w:p w:rsidR="00181706"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-3.8379</w:t>
            </w:r>
            <w:r>
              <w:rPr>
                <w:rFonts w:asciiTheme="majorBidi" w:hAnsiTheme="majorBidi" w:cstheme="majorBidi"/>
              </w:rPr>
              <w:t>4)</w:t>
            </w:r>
          </w:p>
          <w:p w:rsidR="00DB0233" w:rsidRPr="00574B60" w:rsidRDefault="00DB0233" w:rsidP="00C50CB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181706" w:rsidRPr="00574B60">
              <w:rPr>
                <w:rFonts w:asciiTheme="majorBidi" w:hAnsiTheme="majorBidi" w:cstheme="majorBidi"/>
              </w:rPr>
              <w:t>0.0004</w:t>
            </w:r>
            <w:r>
              <w:rPr>
                <w:rFonts w:asciiTheme="majorBidi" w:hAnsiTheme="majorBidi" w:cstheme="majorBidi"/>
              </w:rPr>
              <w:t>]</w:t>
            </w:r>
          </w:p>
        </w:tc>
      </w:tr>
      <w:tr w:rsidR="006F7EAC" w:rsidRPr="00574B60" w:rsidTr="00453B64">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DB0233" w:rsidP="005947B4">
            <w:pPr>
              <w:spacing w:line="360" w:lineRule="auto"/>
              <w:rPr>
                <w:rFonts w:asciiTheme="majorBidi" w:hAnsiTheme="majorBidi" w:cstheme="majorBidi"/>
              </w:rPr>
            </w:pPr>
            <w:r>
              <w:rPr>
                <w:rFonts w:asciiTheme="majorBidi" w:hAnsiTheme="majorBidi" w:cstheme="majorBidi"/>
              </w:rPr>
              <w:t>Squared Unsystematic risk</w:t>
            </w:r>
          </w:p>
          <w:p w:rsidR="006F7EAC" w:rsidRPr="00574B60" w:rsidRDefault="006F7EAC" w:rsidP="005947B4">
            <w:pPr>
              <w:spacing w:line="360" w:lineRule="auto"/>
              <w:rPr>
                <w:rFonts w:asciiTheme="majorBidi" w:hAnsiTheme="majorBidi" w:cstheme="majorBidi"/>
              </w:rPr>
            </w:pPr>
          </w:p>
          <w:p w:rsidR="006F7EAC" w:rsidRPr="00574B60" w:rsidRDefault="006F7EAC" w:rsidP="005947B4">
            <w:pPr>
              <w:spacing w:line="360" w:lineRule="auto"/>
              <w:rPr>
                <w:rFonts w:asciiTheme="majorBidi" w:hAnsiTheme="majorBidi" w:cstheme="majorBidi"/>
              </w:rPr>
            </w:pPr>
          </w:p>
        </w:tc>
        <w:tc>
          <w:tcPr>
            <w:tcW w:w="1276"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606" w:type="dxa"/>
            <w:tcBorders>
              <w:right w:val="single" w:sz="4" w:space="0" w:color="auto"/>
            </w:tcBorders>
          </w:tcPr>
          <w:p w:rsidR="006F7EAC"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191.1647</w:t>
            </w:r>
            <w:r w:rsidR="00453B64">
              <w:rPr>
                <w:rFonts w:asciiTheme="majorBidi" w:hAnsiTheme="majorBidi" w:cstheme="majorBidi"/>
              </w:rPr>
              <w:t>*</w:t>
            </w:r>
          </w:p>
          <w:p w:rsidR="00E073B2" w:rsidRPr="00574B60" w:rsidRDefault="00DB0233"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4.38214</w:t>
            </w:r>
            <w:r>
              <w:rPr>
                <w:rFonts w:asciiTheme="majorBidi" w:hAnsiTheme="majorBidi" w:cstheme="majorBidi"/>
              </w:rPr>
              <w:t>)</w:t>
            </w:r>
          </w:p>
          <w:p w:rsidR="00453B64" w:rsidRPr="00574B60" w:rsidRDefault="00DB0233" w:rsidP="00C50CB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0.0001</w:t>
            </w:r>
            <w:r>
              <w:rPr>
                <w:rFonts w:asciiTheme="majorBidi" w:hAnsiTheme="majorBidi" w:cstheme="majorBidi"/>
              </w:rPr>
              <w:t>]</w:t>
            </w:r>
          </w:p>
        </w:tc>
      </w:tr>
      <w:tr w:rsidR="006F7EAC"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DB0233" w:rsidP="005947B4">
            <w:pPr>
              <w:spacing w:line="360" w:lineRule="auto"/>
              <w:rPr>
                <w:rFonts w:asciiTheme="majorBidi" w:hAnsiTheme="majorBidi" w:cstheme="majorBidi"/>
              </w:rPr>
            </w:pPr>
            <w:r>
              <w:rPr>
                <w:rFonts w:asciiTheme="majorBidi" w:hAnsiTheme="majorBidi" w:cstheme="majorBidi"/>
              </w:rPr>
              <w:t>Squared monetary risk</w:t>
            </w:r>
          </w:p>
          <w:p w:rsidR="006F7EAC" w:rsidRPr="00574B60" w:rsidRDefault="006F7EAC" w:rsidP="005947B4">
            <w:pPr>
              <w:spacing w:line="360" w:lineRule="auto"/>
              <w:rPr>
                <w:rFonts w:asciiTheme="majorBidi" w:hAnsiTheme="majorBidi" w:cstheme="majorBidi"/>
              </w:rPr>
            </w:pPr>
          </w:p>
          <w:p w:rsidR="006F7EAC" w:rsidRPr="00574B60" w:rsidRDefault="006F7EAC" w:rsidP="005947B4">
            <w:pPr>
              <w:spacing w:line="360" w:lineRule="auto"/>
              <w:rPr>
                <w:rFonts w:asciiTheme="majorBidi" w:hAnsiTheme="majorBidi" w:cstheme="majorBidi"/>
              </w:rPr>
            </w:pPr>
          </w:p>
        </w:tc>
        <w:tc>
          <w:tcPr>
            <w:tcW w:w="1276"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1606" w:type="dxa"/>
            <w:tcBorders>
              <w:right w:val="single" w:sz="4" w:space="0" w:color="auto"/>
            </w:tcBorders>
          </w:tcPr>
          <w:p w:rsidR="006F7EAC" w:rsidRPr="00574B60"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-0.566261</w:t>
            </w:r>
            <w:r w:rsidR="00453B64">
              <w:rPr>
                <w:rFonts w:asciiTheme="majorBidi" w:hAnsiTheme="majorBidi" w:cstheme="majorBidi"/>
              </w:rPr>
              <w:t>***</w:t>
            </w:r>
          </w:p>
          <w:p w:rsidR="00E073B2" w:rsidRPr="00574B60" w:rsidRDefault="00DB0233"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-1.6982</w:t>
            </w:r>
            <w:r>
              <w:rPr>
                <w:rFonts w:asciiTheme="majorBidi" w:hAnsiTheme="majorBidi" w:cstheme="majorBidi"/>
              </w:rPr>
              <w:t>)</w:t>
            </w:r>
          </w:p>
          <w:p w:rsidR="00DB0233" w:rsidRPr="00574B60" w:rsidRDefault="00DB0233" w:rsidP="00C50CB1">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0.0965</w:t>
            </w:r>
            <w:r>
              <w:rPr>
                <w:rFonts w:asciiTheme="majorBidi" w:hAnsiTheme="majorBidi" w:cstheme="majorBidi"/>
              </w:rPr>
              <w:t>]</w:t>
            </w:r>
          </w:p>
        </w:tc>
      </w:tr>
      <w:tr w:rsidR="006F7EAC" w:rsidRPr="00574B60" w:rsidTr="00453B64">
        <w:tc>
          <w:tcPr>
            <w:cnfStyle w:val="001000000000" w:firstRow="0" w:lastRow="0" w:firstColumn="1" w:lastColumn="0" w:oddVBand="0" w:evenVBand="0" w:oddHBand="0" w:evenHBand="0" w:firstRowFirstColumn="0" w:firstRowLastColumn="0" w:lastRowFirstColumn="0" w:lastRowLastColumn="0"/>
            <w:tcW w:w="2943" w:type="dxa"/>
            <w:tcBorders>
              <w:left w:val="single" w:sz="4" w:space="0" w:color="auto"/>
            </w:tcBorders>
          </w:tcPr>
          <w:p w:rsidR="006F7EAC" w:rsidRPr="00574B60" w:rsidRDefault="00DB0233" w:rsidP="005947B4">
            <w:pPr>
              <w:spacing w:line="360" w:lineRule="auto"/>
              <w:rPr>
                <w:rFonts w:asciiTheme="majorBidi" w:hAnsiTheme="majorBidi" w:cstheme="majorBidi"/>
              </w:rPr>
            </w:pPr>
            <w:r>
              <w:rPr>
                <w:rFonts w:asciiTheme="majorBidi" w:hAnsiTheme="majorBidi" w:cstheme="majorBidi"/>
              </w:rPr>
              <w:t>Squared leverage</w:t>
            </w:r>
          </w:p>
          <w:p w:rsidR="006F7EAC" w:rsidRPr="00574B60" w:rsidRDefault="006F7EAC" w:rsidP="005947B4">
            <w:pPr>
              <w:spacing w:line="360" w:lineRule="auto"/>
              <w:rPr>
                <w:rFonts w:asciiTheme="majorBidi" w:hAnsiTheme="majorBidi" w:cstheme="majorBidi"/>
              </w:rPr>
            </w:pPr>
          </w:p>
          <w:p w:rsidR="006F7EAC" w:rsidRPr="00574B60" w:rsidRDefault="006F7EAC" w:rsidP="005947B4">
            <w:pPr>
              <w:spacing w:line="360" w:lineRule="auto"/>
              <w:rPr>
                <w:rFonts w:asciiTheme="majorBidi" w:hAnsiTheme="majorBidi" w:cstheme="majorBidi"/>
              </w:rPr>
            </w:pPr>
          </w:p>
        </w:tc>
        <w:tc>
          <w:tcPr>
            <w:tcW w:w="1276"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371" w:type="dxa"/>
          </w:tcPr>
          <w:p w:rsidR="006F7EAC" w:rsidRPr="00574B60" w:rsidRDefault="006F7EAC"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c>
          <w:tcPr>
            <w:tcW w:w="1606" w:type="dxa"/>
            <w:tcBorders>
              <w:right w:val="single" w:sz="4" w:space="0" w:color="auto"/>
            </w:tcBorders>
          </w:tcPr>
          <w:p w:rsidR="006F7EAC"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-0.001373</w:t>
            </w:r>
          </w:p>
          <w:p w:rsidR="00E073B2" w:rsidRPr="00574B60" w:rsidRDefault="00DB0233"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-0.6833</w:t>
            </w:r>
            <w:r>
              <w:rPr>
                <w:rFonts w:asciiTheme="majorBidi" w:hAnsiTheme="majorBidi" w:cstheme="majorBidi"/>
              </w:rPr>
              <w:t>)</w:t>
            </w:r>
          </w:p>
          <w:p w:rsidR="00DB0233" w:rsidRPr="00574B60" w:rsidRDefault="00DB0233" w:rsidP="00C50CB1">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w:t>
            </w:r>
            <w:r w:rsidR="00E073B2" w:rsidRPr="00574B60">
              <w:rPr>
                <w:rFonts w:asciiTheme="majorBidi" w:hAnsiTheme="majorBidi" w:cstheme="majorBidi"/>
              </w:rPr>
              <w:t>0.4980</w:t>
            </w:r>
            <w:r>
              <w:rPr>
                <w:rFonts w:asciiTheme="majorBidi" w:hAnsiTheme="majorBidi" w:cstheme="majorBidi"/>
              </w:rPr>
              <w:t>]</w:t>
            </w:r>
          </w:p>
        </w:tc>
      </w:tr>
      <w:tr w:rsidR="004D1790"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tcBorders>
          </w:tcPr>
          <w:p w:rsidR="004D1790" w:rsidRPr="00574B60" w:rsidRDefault="004D1790" w:rsidP="005947B4">
            <w:pPr>
              <w:spacing w:line="360" w:lineRule="auto"/>
              <w:rPr>
                <w:rFonts w:asciiTheme="majorBidi" w:hAnsiTheme="majorBidi" w:cstheme="majorBidi"/>
                <w:vertAlign w:val="superscript"/>
              </w:rPr>
            </w:pPr>
            <w:r w:rsidRPr="00574B60">
              <w:rPr>
                <w:rFonts w:asciiTheme="majorBidi" w:hAnsiTheme="majorBidi" w:cstheme="majorBidi"/>
              </w:rPr>
              <w:t>R</w:t>
            </w:r>
            <w:r w:rsidRPr="00574B60">
              <w:rPr>
                <w:rFonts w:asciiTheme="majorBidi" w:hAnsiTheme="majorBidi" w:cstheme="majorBidi"/>
                <w:vertAlign w:val="superscript"/>
              </w:rPr>
              <w:t>2</w:t>
            </w:r>
          </w:p>
        </w:tc>
        <w:tc>
          <w:tcPr>
            <w:tcW w:w="1371" w:type="dxa"/>
          </w:tcPr>
          <w:p w:rsidR="004D1790" w:rsidRPr="00574B60" w:rsidRDefault="00AF431C"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0.129022</w:t>
            </w:r>
          </w:p>
        </w:tc>
        <w:tc>
          <w:tcPr>
            <w:tcW w:w="1606" w:type="dxa"/>
            <w:tcBorders>
              <w:right w:val="single" w:sz="4" w:space="0" w:color="auto"/>
            </w:tcBorders>
          </w:tcPr>
          <w:p w:rsidR="004D1790" w:rsidRPr="00574B60"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0.456435</w:t>
            </w:r>
          </w:p>
        </w:tc>
      </w:tr>
      <w:tr w:rsidR="00E073B2" w:rsidRPr="00574B60" w:rsidTr="00453B64">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tcBorders>
          </w:tcPr>
          <w:p w:rsidR="00E073B2" w:rsidRPr="00574B60" w:rsidRDefault="00E073B2" w:rsidP="005947B4">
            <w:pPr>
              <w:spacing w:line="360" w:lineRule="auto"/>
              <w:rPr>
                <w:rFonts w:asciiTheme="majorBidi" w:hAnsiTheme="majorBidi" w:cstheme="majorBidi"/>
                <w:vertAlign w:val="superscript"/>
              </w:rPr>
            </w:pPr>
            <w:proofErr w:type="spellStart"/>
            <w:r w:rsidRPr="00574B60">
              <w:rPr>
                <w:rFonts w:asciiTheme="majorBidi" w:hAnsiTheme="majorBidi" w:cstheme="majorBidi"/>
              </w:rPr>
              <w:t>Adj</w:t>
            </w:r>
            <w:proofErr w:type="spellEnd"/>
            <w:r w:rsidRPr="00574B60">
              <w:rPr>
                <w:rFonts w:asciiTheme="majorBidi" w:hAnsiTheme="majorBidi" w:cstheme="majorBidi"/>
              </w:rPr>
              <w:t xml:space="preserve"> - R</w:t>
            </w:r>
            <w:r w:rsidRPr="00574B60">
              <w:rPr>
                <w:rFonts w:asciiTheme="majorBidi" w:hAnsiTheme="majorBidi" w:cstheme="majorBidi"/>
                <w:vertAlign w:val="superscript"/>
              </w:rPr>
              <w:t>2</w:t>
            </w:r>
          </w:p>
        </w:tc>
        <w:tc>
          <w:tcPr>
            <w:tcW w:w="1371" w:type="dxa"/>
          </w:tcPr>
          <w:p w:rsidR="00E073B2"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0.054896</w:t>
            </w:r>
          </w:p>
        </w:tc>
        <w:tc>
          <w:tcPr>
            <w:tcW w:w="1606" w:type="dxa"/>
            <w:tcBorders>
              <w:right w:val="single" w:sz="4" w:space="0" w:color="auto"/>
            </w:tcBorders>
          </w:tcPr>
          <w:p w:rsidR="00E073B2"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0.369959</w:t>
            </w:r>
          </w:p>
        </w:tc>
      </w:tr>
      <w:tr w:rsidR="00E073B2"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tcBorders>
          </w:tcPr>
          <w:p w:rsidR="00E073B2" w:rsidRPr="00574B60" w:rsidRDefault="00E073B2" w:rsidP="005947B4">
            <w:pPr>
              <w:spacing w:line="360" w:lineRule="auto"/>
              <w:rPr>
                <w:rFonts w:asciiTheme="majorBidi" w:hAnsiTheme="majorBidi" w:cstheme="majorBidi"/>
              </w:rPr>
            </w:pPr>
            <w:r w:rsidRPr="00574B60">
              <w:rPr>
                <w:rFonts w:asciiTheme="majorBidi" w:hAnsiTheme="majorBidi" w:cstheme="majorBidi"/>
              </w:rPr>
              <w:t>F-statistic</w:t>
            </w:r>
          </w:p>
        </w:tc>
        <w:tc>
          <w:tcPr>
            <w:tcW w:w="1371" w:type="dxa"/>
          </w:tcPr>
          <w:p w:rsidR="00E073B2" w:rsidRPr="00574B60"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1.740584</w:t>
            </w:r>
          </w:p>
        </w:tc>
        <w:tc>
          <w:tcPr>
            <w:tcW w:w="1606" w:type="dxa"/>
            <w:tcBorders>
              <w:right w:val="single" w:sz="4" w:space="0" w:color="auto"/>
            </w:tcBorders>
          </w:tcPr>
          <w:p w:rsidR="00E073B2" w:rsidRPr="00574B60"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5.278157</w:t>
            </w:r>
            <w:r w:rsidR="00453B64">
              <w:rPr>
                <w:rFonts w:asciiTheme="majorBidi" w:hAnsiTheme="majorBidi" w:cstheme="majorBidi"/>
              </w:rPr>
              <w:t>*</w:t>
            </w:r>
          </w:p>
        </w:tc>
      </w:tr>
      <w:tr w:rsidR="00E073B2" w:rsidRPr="00574B60" w:rsidTr="00453B64">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tcBorders>
          </w:tcPr>
          <w:p w:rsidR="00E073B2" w:rsidRPr="00574B60" w:rsidRDefault="00E073B2" w:rsidP="005947B4">
            <w:pPr>
              <w:spacing w:line="360" w:lineRule="auto"/>
              <w:rPr>
                <w:rFonts w:asciiTheme="majorBidi" w:hAnsiTheme="majorBidi" w:cstheme="majorBidi"/>
              </w:rPr>
            </w:pPr>
            <w:proofErr w:type="spellStart"/>
            <w:r w:rsidRPr="00574B60">
              <w:rPr>
                <w:rFonts w:asciiTheme="majorBidi" w:hAnsiTheme="majorBidi" w:cstheme="majorBidi"/>
              </w:rPr>
              <w:t>Prob</w:t>
            </w:r>
            <w:proofErr w:type="spellEnd"/>
            <w:r w:rsidRPr="00574B60">
              <w:rPr>
                <w:rFonts w:asciiTheme="majorBidi" w:hAnsiTheme="majorBidi" w:cstheme="majorBidi"/>
              </w:rPr>
              <w:t>(F-statistic)</w:t>
            </w:r>
          </w:p>
        </w:tc>
        <w:tc>
          <w:tcPr>
            <w:tcW w:w="1371" w:type="dxa"/>
          </w:tcPr>
          <w:p w:rsidR="00E073B2"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0.156924</w:t>
            </w:r>
          </w:p>
        </w:tc>
        <w:tc>
          <w:tcPr>
            <w:tcW w:w="1606" w:type="dxa"/>
            <w:tcBorders>
              <w:right w:val="single" w:sz="4" w:space="0" w:color="auto"/>
            </w:tcBorders>
          </w:tcPr>
          <w:p w:rsidR="00E073B2" w:rsidRPr="00574B60" w:rsidRDefault="00E073B2" w:rsidP="005947B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0.000199</w:t>
            </w:r>
          </w:p>
        </w:tc>
      </w:tr>
      <w:tr w:rsidR="00E073B2" w:rsidRPr="00574B60" w:rsidTr="00453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gridSpan w:val="2"/>
            <w:tcBorders>
              <w:left w:val="single" w:sz="4" w:space="0" w:color="auto"/>
              <w:bottom w:val="single" w:sz="4" w:space="0" w:color="auto"/>
            </w:tcBorders>
          </w:tcPr>
          <w:p w:rsidR="00E073B2" w:rsidRDefault="00E073B2" w:rsidP="005947B4">
            <w:pPr>
              <w:spacing w:line="360" w:lineRule="auto"/>
              <w:rPr>
                <w:rFonts w:asciiTheme="majorBidi" w:hAnsiTheme="majorBidi" w:cstheme="majorBidi"/>
              </w:rPr>
            </w:pPr>
            <w:r w:rsidRPr="00574B60">
              <w:rPr>
                <w:rFonts w:asciiTheme="majorBidi" w:hAnsiTheme="majorBidi" w:cstheme="majorBidi"/>
              </w:rPr>
              <w:t>D – W</w:t>
            </w:r>
          </w:p>
          <w:p w:rsidR="00A44D26" w:rsidRDefault="00453B64" w:rsidP="005947B4">
            <w:pPr>
              <w:spacing w:line="360" w:lineRule="auto"/>
              <w:rPr>
                <w:rFonts w:asciiTheme="majorBidi" w:hAnsiTheme="majorBidi" w:cstheme="majorBidi"/>
              </w:rPr>
            </w:pPr>
            <w:r>
              <w:rPr>
                <w:rFonts w:asciiTheme="majorBidi" w:hAnsiTheme="majorBidi" w:cstheme="majorBidi"/>
              </w:rPr>
              <w:t xml:space="preserve">T-statistics in (   ) and </w:t>
            </w:r>
            <w:r w:rsidR="00A44D26">
              <w:rPr>
                <w:rFonts w:asciiTheme="majorBidi" w:hAnsiTheme="majorBidi" w:cstheme="majorBidi"/>
              </w:rPr>
              <w:t xml:space="preserve">                                </w:t>
            </w:r>
            <w:r>
              <w:rPr>
                <w:rFonts w:asciiTheme="majorBidi" w:hAnsiTheme="majorBidi" w:cstheme="majorBidi"/>
              </w:rPr>
              <w:t xml:space="preserve">p-values of </w:t>
            </w:r>
            <w:r w:rsidR="00A44D26">
              <w:rPr>
                <w:rFonts w:asciiTheme="majorBidi" w:hAnsiTheme="majorBidi" w:cstheme="majorBidi"/>
              </w:rPr>
              <w:t xml:space="preserve"> </w:t>
            </w:r>
            <w:r>
              <w:rPr>
                <w:rFonts w:asciiTheme="majorBidi" w:hAnsiTheme="majorBidi" w:cstheme="majorBidi"/>
              </w:rPr>
              <w:t xml:space="preserve">T-statistics in [    ] </w:t>
            </w:r>
            <w:r w:rsidR="00B346B8">
              <w:rPr>
                <w:rFonts w:asciiTheme="majorBidi" w:hAnsiTheme="majorBidi" w:cstheme="majorBidi"/>
              </w:rPr>
              <w:t>,</w:t>
            </w:r>
            <w:r w:rsidR="00A44D26">
              <w:rPr>
                <w:rFonts w:asciiTheme="majorBidi" w:hAnsiTheme="majorBidi" w:cstheme="majorBidi"/>
              </w:rPr>
              <w:t xml:space="preserve">                  </w:t>
            </w:r>
            <w:r w:rsidR="00B346B8">
              <w:rPr>
                <w:rFonts w:asciiTheme="majorBidi" w:hAnsiTheme="majorBidi" w:cstheme="majorBidi"/>
              </w:rPr>
              <w:t xml:space="preserve"> *</w:t>
            </w:r>
            <w:r w:rsidR="00A44D26">
              <w:rPr>
                <w:rFonts w:asciiTheme="majorBidi" w:hAnsiTheme="majorBidi" w:cstheme="majorBidi"/>
              </w:rPr>
              <w:t xml:space="preserve"> </w:t>
            </w:r>
            <w:r w:rsidR="00B346B8">
              <w:rPr>
                <w:rFonts w:asciiTheme="majorBidi" w:hAnsiTheme="majorBidi" w:cstheme="majorBidi"/>
              </w:rPr>
              <w:t xml:space="preserve"> =&gt;</w:t>
            </w:r>
            <w:r w:rsidR="00A44D26">
              <w:rPr>
                <w:rFonts w:asciiTheme="majorBidi" w:hAnsiTheme="majorBidi" w:cstheme="majorBidi"/>
              </w:rPr>
              <w:t xml:space="preserve"> </w:t>
            </w:r>
            <w:r w:rsidR="00B346B8">
              <w:rPr>
                <w:rFonts w:asciiTheme="majorBidi" w:hAnsiTheme="majorBidi" w:cstheme="majorBidi"/>
              </w:rPr>
              <w:t xml:space="preserve"> significant at 1%, </w:t>
            </w:r>
          </w:p>
          <w:p w:rsidR="00453B64" w:rsidRPr="00574B60" w:rsidRDefault="00B346B8" w:rsidP="00C50CB1">
            <w:pPr>
              <w:spacing w:line="360" w:lineRule="auto"/>
              <w:rPr>
                <w:rFonts w:asciiTheme="majorBidi" w:hAnsiTheme="majorBidi" w:cstheme="majorBidi"/>
              </w:rPr>
            </w:pPr>
            <w:r>
              <w:rPr>
                <w:rFonts w:asciiTheme="majorBidi" w:hAnsiTheme="majorBidi" w:cstheme="majorBidi"/>
              </w:rPr>
              <w:t xml:space="preserve">** </w:t>
            </w:r>
            <w:r w:rsidR="00A44D26">
              <w:rPr>
                <w:rFonts w:asciiTheme="majorBidi" w:hAnsiTheme="majorBidi" w:cstheme="majorBidi"/>
              </w:rPr>
              <w:t xml:space="preserve"> </w:t>
            </w:r>
            <w:r>
              <w:rPr>
                <w:rFonts w:asciiTheme="majorBidi" w:hAnsiTheme="majorBidi" w:cstheme="majorBidi"/>
              </w:rPr>
              <w:t>=&gt;</w:t>
            </w:r>
            <w:r w:rsidR="00A44D26">
              <w:rPr>
                <w:rFonts w:asciiTheme="majorBidi" w:hAnsiTheme="majorBidi" w:cstheme="majorBidi"/>
              </w:rPr>
              <w:t xml:space="preserve"> </w:t>
            </w:r>
            <w:r>
              <w:rPr>
                <w:rFonts w:asciiTheme="majorBidi" w:hAnsiTheme="majorBidi" w:cstheme="majorBidi"/>
              </w:rPr>
              <w:t xml:space="preserve"> significant at 5%, and                      *** </w:t>
            </w:r>
            <w:r w:rsidR="00A44D26">
              <w:rPr>
                <w:rFonts w:asciiTheme="majorBidi" w:hAnsiTheme="majorBidi" w:cstheme="majorBidi"/>
              </w:rPr>
              <w:t xml:space="preserve"> </w:t>
            </w:r>
            <w:r>
              <w:rPr>
                <w:rFonts w:asciiTheme="majorBidi" w:hAnsiTheme="majorBidi" w:cstheme="majorBidi"/>
              </w:rPr>
              <w:t xml:space="preserve">=&gt; </w:t>
            </w:r>
            <w:r w:rsidR="00A44D26">
              <w:rPr>
                <w:rFonts w:asciiTheme="majorBidi" w:hAnsiTheme="majorBidi" w:cstheme="majorBidi"/>
              </w:rPr>
              <w:t xml:space="preserve"> </w:t>
            </w:r>
            <w:r>
              <w:rPr>
                <w:rFonts w:asciiTheme="majorBidi" w:hAnsiTheme="majorBidi" w:cstheme="majorBidi"/>
              </w:rPr>
              <w:t>significant at 10%</w:t>
            </w:r>
          </w:p>
        </w:tc>
        <w:tc>
          <w:tcPr>
            <w:tcW w:w="1371" w:type="dxa"/>
            <w:tcBorders>
              <w:bottom w:val="single" w:sz="4" w:space="0" w:color="auto"/>
            </w:tcBorders>
          </w:tcPr>
          <w:p w:rsidR="00E073B2" w:rsidRPr="00574B60"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1.749448</w:t>
            </w:r>
          </w:p>
        </w:tc>
        <w:tc>
          <w:tcPr>
            <w:tcW w:w="1606" w:type="dxa"/>
            <w:tcBorders>
              <w:bottom w:val="single" w:sz="4" w:space="0" w:color="auto"/>
              <w:right w:val="single" w:sz="4" w:space="0" w:color="auto"/>
            </w:tcBorders>
          </w:tcPr>
          <w:p w:rsidR="00E073B2" w:rsidRDefault="00E073B2"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574B60">
              <w:rPr>
                <w:rFonts w:asciiTheme="majorBidi" w:hAnsiTheme="majorBidi" w:cstheme="majorBidi"/>
              </w:rPr>
              <w:t>1.876800</w:t>
            </w:r>
          </w:p>
          <w:p w:rsidR="00453B64" w:rsidRPr="00574B60" w:rsidRDefault="00453B64" w:rsidP="005947B4">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bl>
    <w:p w:rsidR="000C3C1D" w:rsidRDefault="000C3C1D" w:rsidP="005947B4">
      <w:pPr>
        <w:spacing w:line="360" w:lineRule="auto"/>
        <w:jc w:val="both"/>
        <w:rPr>
          <w:rFonts w:asciiTheme="majorBidi" w:hAnsiTheme="majorBidi" w:cstheme="majorBidi"/>
          <w:sz w:val="28"/>
          <w:szCs w:val="28"/>
        </w:rPr>
      </w:pPr>
    </w:p>
    <w:p w:rsidR="009D0CA3" w:rsidRDefault="00007D1B" w:rsidP="00F56EA2">
      <w:pPr>
        <w:spacing w:line="360" w:lineRule="auto"/>
        <w:jc w:val="both"/>
        <w:rPr>
          <w:rFonts w:asciiTheme="majorBidi" w:hAnsiTheme="majorBidi" w:cstheme="majorBidi"/>
          <w:sz w:val="24"/>
          <w:szCs w:val="24"/>
        </w:rPr>
      </w:pPr>
      <w:r w:rsidRPr="00007D1B">
        <w:rPr>
          <w:rFonts w:asciiTheme="majorBidi" w:hAnsiTheme="majorBidi" w:cstheme="majorBidi"/>
          <w:sz w:val="24"/>
          <w:szCs w:val="24"/>
        </w:rPr>
        <w:t xml:space="preserve">The monetary policy risk (uncertainty about the </w:t>
      </w:r>
      <w:r>
        <w:rPr>
          <w:rFonts w:asciiTheme="majorBidi" w:hAnsiTheme="majorBidi" w:cstheme="majorBidi"/>
          <w:sz w:val="24"/>
          <w:szCs w:val="24"/>
        </w:rPr>
        <w:t xml:space="preserve">monetary policy directions) has also two different impacts on the bank technical inefficiency. Low monetary policy </w:t>
      </w:r>
      <w:r w:rsidR="009529AD">
        <w:rPr>
          <w:rFonts w:asciiTheme="majorBidi" w:hAnsiTheme="majorBidi" w:cstheme="majorBidi"/>
          <w:sz w:val="24"/>
          <w:szCs w:val="24"/>
        </w:rPr>
        <w:t>risk worsens</w:t>
      </w:r>
      <w:r>
        <w:rPr>
          <w:rFonts w:asciiTheme="majorBidi" w:hAnsiTheme="majorBidi" w:cstheme="majorBidi"/>
          <w:sz w:val="24"/>
          <w:szCs w:val="24"/>
        </w:rPr>
        <w:t xml:space="preserve"> the technical </w:t>
      </w:r>
      <w:r w:rsidR="009529AD">
        <w:rPr>
          <w:rFonts w:asciiTheme="majorBidi" w:hAnsiTheme="majorBidi" w:cstheme="majorBidi"/>
          <w:sz w:val="24"/>
          <w:szCs w:val="24"/>
        </w:rPr>
        <w:t>inefficiency</w:t>
      </w:r>
      <w:r>
        <w:rPr>
          <w:rFonts w:asciiTheme="majorBidi" w:hAnsiTheme="majorBidi" w:cstheme="majorBidi"/>
          <w:sz w:val="24"/>
          <w:szCs w:val="24"/>
        </w:rPr>
        <w:t xml:space="preserve"> and high monetary policy risk </w:t>
      </w:r>
      <w:r w:rsidR="009529AD">
        <w:rPr>
          <w:rFonts w:asciiTheme="majorBidi" w:hAnsiTheme="majorBidi" w:cstheme="majorBidi"/>
          <w:sz w:val="24"/>
          <w:szCs w:val="24"/>
        </w:rPr>
        <w:t>(squared monetary risk as proxy) i</w:t>
      </w:r>
      <w:r w:rsidR="001E5D11">
        <w:rPr>
          <w:rFonts w:asciiTheme="majorBidi" w:hAnsiTheme="majorBidi" w:cstheme="majorBidi"/>
          <w:sz w:val="24"/>
          <w:szCs w:val="24"/>
        </w:rPr>
        <w:t xml:space="preserve">s </w:t>
      </w:r>
      <w:r w:rsidR="009529AD">
        <w:rPr>
          <w:rFonts w:asciiTheme="majorBidi" w:hAnsiTheme="majorBidi" w:cstheme="majorBidi"/>
          <w:sz w:val="24"/>
          <w:szCs w:val="24"/>
        </w:rPr>
        <w:t xml:space="preserve">found to significantly improve the bank efficiency. This result </w:t>
      </w:r>
      <w:r w:rsidR="001E5D11">
        <w:rPr>
          <w:rFonts w:asciiTheme="majorBidi" w:hAnsiTheme="majorBidi" w:cstheme="majorBidi"/>
          <w:sz w:val="24"/>
          <w:szCs w:val="24"/>
        </w:rPr>
        <w:t>confirms</w:t>
      </w:r>
      <w:r w:rsidR="009529AD">
        <w:rPr>
          <w:rFonts w:asciiTheme="majorBidi" w:hAnsiTheme="majorBidi" w:cstheme="majorBidi"/>
          <w:sz w:val="24"/>
          <w:szCs w:val="24"/>
        </w:rPr>
        <w:t xml:space="preserve"> the rational expectations theory. That is, the expected monetary policy change </w:t>
      </w:r>
      <w:r w:rsidR="00F56EA2">
        <w:rPr>
          <w:rFonts w:asciiTheme="majorBidi" w:hAnsiTheme="majorBidi" w:cstheme="majorBidi"/>
          <w:sz w:val="24"/>
          <w:szCs w:val="24"/>
        </w:rPr>
        <w:t>would</w:t>
      </w:r>
      <w:r w:rsidR="009529AD">
        <w:rPr>
          <w:rFonts w:asciiTheme="majorBidi" w:hAnsiTheme="majorBidi" w:cstheme="majorBidi"/>
          <w:sz w:val="24"/>
          <w:szCs w:val="24"/>
        </w:rPr>
        <w:t xml:space="preserve"> have little or no significant effects on the behaviours of the economic </w:t>
      </w:r>
      <w:r w:rsidR="00F56EA2">
        <w:rPr>
          <w:rFonts w:asciiTheme="majorBidi" w:hAnsiTheme="majorBidi" w:cstheme="majorBidi"/>
          <w:sz w:val="24"/>
          <w:szCs w:val="24"/>
        </w:rPr>
        <w:t>agents because</w:t>
      </w:r>
      <w:r w:rsidR="009529AD">
        <w:rPr>
          <w:rFonts w:asciiTheme="majorBidi" w:hAnsiTheme="majorBidi" w:cstheme="majorBidi"/>
          <w:sz w:val="24"/>
          <w:szCs w:val="24"/>
        </w:rPr>
        <w:t xml:space="preserve"> they</w:t>
      </w:r>
      <w:r w:rsidR="00F56EA2">
        <w:rPr>
          <w:rFonts w:asciiTheme="majorBidi" w:hAnsiTheme="majorBidi" w:cstheme="majorBidi"/>
          <w:sz w:val="24"/>
          <w:szCs w:val="24"/>
        </w:rPr>
        <w:t xml:space="preserve"> would</w:t>
      </w:r>
      <w:r w:rsidR="009529AD">
        <w:rPr>
          <w:rFonts w:asciiTheme="majorBidi" w:hAnsiTheme="majorBidi" w:cstheme="majorBidi"/>
          <w:sz w:val="24"/>
          <w:szCs w:val="24"/>
        </w:rPr>
        <w:t xml:space="preserve"> have already </w:t>
      </w:r>
      <w:r w:rsidR="001E5D11">
        <w:rPr>
          <w:rFonts w:asciiTheme="majorBidi" w:hAnsiTheme="majorBidi" w:cstheme="majorBidi"/>
          <w:sz w:val="24"/>
          <w:szCs w:val="24"/>
        </w:rPr>
        <w:lastRenderedPageBreak/>
        <w:t>incorporated</w:t>
      </w:r>
      <w:r w:rsidR="009529AD">
        <w:rPr>
          <w:rFonts w:asciiTheme="majorBidi" w:hAnsiTheme="majorBidi" w:cstheme="majorBidi"/>
          <w:sz w:val="24"/>
          <w:szCs w:val="24"/>
        </w:rPr>
        <w:t xml:space="preserve"> the changes in their current behaviour. But unexpected monetary policy changes will affect the behaviours of the economic agents. Similarly, low monetary risk will not cause the banks to make adjustments</w:t>
      </w:r>
      <w:r w:rsidR="000C257B">
        <w:rPr>
          <w:rFonts w:asciiTheme="majorBidi" w:hAnsiTheme="majorBidi" w:cstheme="majorBidi"/>
          <w:sz w:val="24"/>
          <w:szCs w:val="24"/>
        </w:rPr>
        <w:t xml:space="preserve"> in their decision making in order to improve their performance; and consequently their technical inefficiency increases.  On the other hand, high monetary risk (high uncertainty about the monetary policy directions and ma</w:t>
      </w:r>
      <w:r w:rsidR="001E5D11">
        <w:rPr>
          <w:rFonts w:asciiTheme="majorBidi" w:hAnsiTheme="majorBidi" w:cstheme="majorBidi"/>
          <w:sz w:val="24"/>
          <w:szCs w:val="24"/>
        </w:rPr>
        <w:t>gnitudes) will eventually force</w:t>
      </w:r>
      <w:r w:rsidR="000C257B">
        <w:rPr>
          <w:rFonts w:asciiTheme="majorBidi" w:hAnsiTheme="majorBidi" w:cstheme="majorBidi"/>
          <w:sz w:val="24"/>
          <w:szCs w:val="24"/>
        </w:rPr>
        <w:t xml:space="preserve"> banks to change their complacent behaviours </w:t>
      </w:r>
      <w:r w:rsidR="001E5D11">
        <w:rPr>
          <w:rFonts w:asciiTheme="majorBidi" w:hAnsiTheme="majorBidi" w:cstheme="majorBidi"/>
          <w:sz w:val="24"/>
          <w:szCs w:val="24"/>
        </w:rPr>
        <w:t>and work to</w:t>
      </w:r>
      <w:r w:rsidR="000C257B">
        <w:rPr>
          <w:rFonts w:asciiTheme="majorBidi" w:hAnsiTheme="majorBidi" w:cstheme="majorBidi"/>
          <w:sz w:val="24"/>
          <w:szCs w:val="24"/>
        </w:rPr>
        <w:t xml:space="preserve"> improve the way they combine Labor and capital recourses to generate profits.</w:t>
      </w:r>
    </w:p>
    <w:p w:rsidR="005947B4" w:rsidRDefault="005947B4" w:rsidP="005947B4">
      <w:pPr>
        <w:spacing w:line="360" w:lineRule="auto"/>
        <w:jc w:val="both"/>
        <w:rPr>
          <w:rFonts w:asciiTheme="majorBidi" w:hAnsiTheme="majorBidi" w:cstheme="majorBidi"/>
          <w:sz w:val="24"/>
          <w:szCs w:val="24"/>
        </w:rPr>
      </w:pPr>
    </w:p>
    <w:p w:rsidR="00A06DA9" w:rsidRPr="00A06DA9" w:rsidRDefault="00A06DA9" w:rsidP="005947B4">
      <w:pPr>
        <w:spacing w:line="360" w:lineRule="auto"/>
        <w:rPr>
          <w:rFonts w:asciiTheme="majorBidi" w:hAnsiTheme="majorBidi" w:cstheme="majorBidi"/>
          <w:b/>
          <w:bCs/>
          <w:sz w:val="24"/>
          <w:szCs w:val="24"/>
        </w:rPr>
      </w:pPr>
      <w:r w:rsidRPr="00A06DA9">
        <w:rPr>
          <w:rFonts w:asciiTheme="majorBidi" w:hAnsiTheme="majorBidi" w:cstheme="majorBidi"/>
          <w:b/>
          <w:bCs/>
          <w:sz w:val="24"/>
          <w:szCs w:val="24"/>
        </w:rPr>
        <w:t>Conclusions and Limitations</w:t>
      </w:r>
    </w:p>
    <w:p w:rsidR="005D0217" w:rsidRDefault="00A06DA9" w:rsidP="005D0217">
      <w:pPr>
        <w:spacing w:line="360" w:lineRule="auto"/>
        <w:jc w:val="both"/>
        <w:rPr>
          <w:rFonts w:asciiTheme="majorBidi" w:hAnsiTheme="majorBidi" w:cstheme="majorBidi"/>
          <w:sz w:val="24"/>
          <w:szCs w:val="24"/>
        </w:rPr>
      </w:pPr>
      <w:r w:rsidRPr="00A06DA9">
        <w:rPr>
          <w:rFonts w:asciiTheme="majorBidi" w:hAnsiTheme="majorBidi" w:cstheme="majorBidi"/>
          <w:sz w:val="24"/>
          <w:szCs w:val="24"/>
        </w:rPr>
        <w:t>The paper investigates and analyses the technical efficiency of 52 banks across the Gulf Cooperation Council Countries. The selected banks from each country have significantly represented the banking industry of that country in terms of assets, as the assets of the sample banks constitute from 76% to 97% of the total assets of banking industries across the countries. The efficiency of the banks analysed between the countries and within the country. Between countries</w:t>
      </w:r>
      <w:r w:rsidR="00AA48E2">
        <w:rPr>
          <w:rFonts w:asciiTheme="majorBidi" w:hAnsiTheme="majorBidi" w:cstheme="majorBidi"/>
          <w:sz w:val="24"/>
          <w:szCs w:val="24"/>
        </w:rPr>
        <w:t>,</w:t>
      </w:r>
      <w:r w:rsidRPr="00A06DA9">
        <w:rPr>
          <w:rFonts w:asciiTheme="majorBidi" w:hAnsiTheme="majorBidi" w:cstheme="majorBidi"/>
          <w:sz w:val="24"/>
          <w:szCs w:val="24"/>
        </w:rPr>
        <w:t xml:space="preserve"> it is found that banks from United Arab Emirates and Kuwait</w:t>
      </w:r>
      <w:r w:rsidR="00AA48E2">
        <w:rPr>
          <w:rFonts w:asciiTheme="majorBidi" w:hAnsiTheme="majorBidi" w:cstheme="majorBidi"/>
          <w:sz w:val="24"/>
          <w:szCs w:val="24"/>
        </w:rPr>
        <w:t xml:space="preserve"> dominate the top performers</w:t>
      </w:r>
      <w:r w:rsidRPr="00A06DA9">
        <w:rPr>
          <w:rFonts w:asciiTheme="majorBidi" w:hAnsiTheme="majorBidi" w:cstheme="majorBidi"/>
          <w:sz w:val="24"/>
          <w:szCs w:val="24"/>
        </w:rPr>
        <w:t>, with each country having 4 banks in</w:t>
      </w:r>
      <w:r w:rsidR="00AA48E2">
        <w:rPr>
          <w:rFonts w:asciiTheme="majorBidi" w:hAnsiTheme="majorBidi" w:cstheme="majorBidi"/>
          <w:sz w:val="24"/>
          <w:szCs w:val="24"/>
        </w:rPr>
        <w:t xml:space="preserve"> the</w:t>
      </w:r>
      <w:r w:rsidRPr="00A06DA9">
        <w:rPr>
          <w:rFonts w:asciiTheme="majorBidi" w:hAnsiTheme="majorBidi" w:cstheme="majorBidi"/>
          <w:sz w:val="24"/>
          <w:szCs w:val="24"/>
        </w:rPr>
        <w:t xml:space="preserve"> top ten perform</w:t>
      </w:r>
      <w:r w:rsidR="00AA48E2">
        <w:rPr>
          <w:rFonts w:asciiTheme="majorBidi" w:hAnsiTheme="majorBidi" w:cstheme="majorBidi"/>
          <w:sz w:val="24"/>
          <w:szCs w:val="24"/>
        </w:rPr>
        <w:t>ing</w:t>
      </w:r>
      <w:r w:rsidRPr="00A06DA9">
        <w:rPr>
          <w:rFonts w:asciiTheme="majorBidi" w:hAnsiTheme="majorBidi" w:cstheme="majorBidi"/>
          <w:sz w:val="24"/>
          <w:szCs w:val="24"/>
        </w:rPr>
        <w:t xml:space="preserve"> banks, and Qatar has t</w:t>
      </w:r>
      <w:r w:rsidR="00AA48E2">
        <w:rPr>
          <w:rFonts w:asciiTheme="majorBidi" w:hAnsiTheme="majorBidi" w:cstheme="majorBidi"/>
          <w:sz w:val="24"/>
          <w:szCs w:val="24"/>
        </w:rPr>
        <w:t>wo banks in the top ten performing</w:t>
      </w:r>
      <w:r w:rsidRPr="00A06DA9">
        <w:rPr>
          <w:rFonts w:asciiTheme="majorBidi" w:hAnsiTheme="majorBidi" w:cstheme="majorBidi"/>
          <w:sz w:val="24"/>
          <w:szCs w:val="24"/>
        </w:rPr>
        <w:t xml:space="preserve"> banks in </w:t>
      </w:r>
      <w:r w:rsidR="00AA48E2">
        <w:rPr>
          <w:rFonts w:asciiTheme="majorBidi" w:hAnsiTheme="majorBidi" w:cstheme="majorBidi"/>
          <w:sz w:val="24"/>
          <w:szCs w:val="24"/>
        </w:rPr>
        <w:t xml:space="preserve">terms of </w:t>
      </w:r>
      <w:r w:rsidRPr="00A06DA9">
        <w:rPr>
          <w:rFonts w:asciiTheme="majorBidi" w:hAnsiTheme="majorBidi" w:cstheme="majorBidi"/>
          <w:sz w:val="24"/>
          <w:szCs w:val="24"/>
        </w:rPr>
        <w:t xml:space="preserve">technical efficiency. The top banks in </w:t>
      </w:r>
      <w:r w:rsidR="00AA48E2">
        <w:rPr>
          <w:rFonts w:asciiTheme="majorBidi" w:hAnsiTheme="majorBidi" w:cstheme="majorBidi"/>
          <w:sz w:val="24"/>
          <w:szCs w:val="24"/>
        </w:rPr>
        <w:t xml:space="preserve">terms of </w:t>
      </w:r>
      <w:r w:rsidRPr="00A06DA9">
        <w:rPr>
          <w:rFonts w:asciiTheme="majorBidi" w:hAnsiTheme="majorBidi" w:cstheme="majorBidi"/>
          <w:sz w:val="24"/>
          <w:szCs w:val="24"/>
        </w:rPr>
        <w:t xml:space="preserve">technical efficiency </w:t>
      </w:r>
      <w:r w:rsidR="00AA48E2">
        <w:rPr>
          <w:rFonts w:asciiTheme="majorBidi" w:hAnsiTheme="majorBidi" w:cstheme="majorBidi"/>
          <w:sz w:val="24"/>
          <w:szCs w:val="24"/>
        </w:rPr>
        <w:t>are found</w:t>
      </w:r>
      <w:r w:rsidRPr="00A06DA9">
        <w:rPr>
          <w:rFonts w:asciiTheme="majorBidi" w:hAnsiTheme="majorBidi" w:cstheme="majorBidi"/>
          <w:sz w:val="24"/>
          <w:szCs w:val="24"/>
        </w:rPr>
        <w:t xml:space="preserve"> not widely different from one another, as the technical efficiency gap from on</w:t>
      </w:r>
      <w:r w:rsidR="00AA48E2">
        <w:rPr>
          <w:rFonts w:asciiTheme="majorBidi" w:hAnsiTheme="majorBidi" w:cstheme="majorBidi"/>
          <w:sz w:val="24"/>
          <w:szCs w:val="24"/>
        </w:rPr>
        <w:t>e</w:t>
      </w:r>
      <w:r w:rsidRPr="00A06DA9">
        <w:rPr>
          <w:rFonts w:asciiTheme="majorBidi" w:hAnsiTheme="majorBidi" w:cstheme="majorBidi"/>
          <w:sz w:val="24"/>
          <w:szCs w:val="24"/>
        </w:rPr>
        <w:t xml:space="preserve"> bank to </w:t>
      </w:r>
      <w:r w:rsidR="00AA48E2" w:rsidRPr="00A06DA9">
        <w:rPr>
          <w:rFonts w:asciiTheme="majorBidi" w:hAnsiTheme="majorBidi" w:cstheme="majorBidi"/>
          <w:sz w:val="24"/>
          <w:szCs w:val="24"/>
        </w:rPr>
        <w:t xml:space="preserve">another </w:t>
      </w:r>
      <w:r w:rsidR="00AA48E2">
        <w:rPr>
          <w:rFonts w:asciiTheme="majorBidi" w:hAnsiTheme="majorBidi" w:cstheme="majorBidi"/>
          <w:sz w:val="24"/>
          <w:szCs w:val="24"/>
        </w:rPr>
        <w:t>averages</w:t>
      </w:r>
      <w:r w:rsidRPr="00A06DA9">
        <w:rPr>
          <w:rFonts w:asciiTheme="majorBidi" w:hAnsiTheme="majorBidi" w:cstheme="majorBidi"/>
          <w:sz w:val="24"/>
          <w:szCs w:val="24"/>
        </w:rPr>
        <w:t xml:space="preserve"> 50%. On the other hands</w:t>
      </w:r>
      <w:r w:rsidR="009660E5">
        <w:rPr>
          <w:rFonts w:asciiTheme="majorBidi" w:hAnsiTheme="majorBidi" w:cstheme="majorBidi"/>
          <w:sz w:val="24"/>
          <w:szCs w:val="24"/>
        </w:rPr>
        <w:t>,</w:t>
      </w:r>
      <w:r w:rsidRPr="00A06DA9">
        <w:rPr>
          <w:rFonts w:asciiTheme="majorBidi" w:hAnsiTheme="majorBidi" w:cstheme="majorBidi"/>
          <w:sz w:val="24"/>
          <w:szCs w:val="24"/>
        </w:rPr>
        <w:t xml:space="preserve"> the ten bottom banks in terms of technical efficiency are substantially far apart. The efficiency gap among these bottom banks averages 200%. The efficiency performance within a specific banking industry shows that Saudi banks are not substa</w:t>
      </w:r>
      <w:r w:rsidR="009660E5">
        <w:rPr>
          <w:rFonts w:asciiTheme="majorBidi" w:hAnsiTheme="majorBidi" w:cstheme="majorBidi"/>
          <w:sz w:val="24"/>
          <w:szCs w:val="24"/>
        </w:rPr>
        <w:t>n</w:t>
      </w:r>
      <w:r w:rsidRPr="00A06DA9">
        <w:rPr>
          <w:rFonts w:asciiTheme="majorBidi" w:hAnsiTheme="majorBidi" w:cstheme="majorBidi"/>
          <w:sz w:val="24"/>
          <w:szCs w:val="24"/>
        </w:rPr>
        <w:t>tially different from one another. They have the lowest within-country efficiency gap averaging 31%. Ban</w:t>
      </w:r>
      <w:r w:rsidR="009660E5">
        <w:rPr>
          <w:rFonts w:asciiTheme="majorBidi" w:hAnsiTheme="majorBidi" w:cstheme="majorBidi"/>
          <w:sz w:val="24"/>
          <w:szCs w:val="24"/>
        </w:rPr>
        <w:t>ks in United Arab Emirates show</w:t>
      </w:r>
      <w:r w:rsidRPr="00A06DA9">
        <w:rPr>
          <w:rFonts w:asciiTheme="majorBidi" w:hAnsiTheme="majorBidi" w:cstheme="majorBidi"/>
          <w:sz w:val="24"/>
          <w:szCs w:val="24"/>
        </w:rPr>
        <w:t xml:space="preserve"> the highest within-country efficiency disparity followed by banks in Bahrain. The implications from between and within-country technical efficiency are that the lower the between-country efficiency gap, the better the regional performance of the banking industry. In this case Kuwait banking industry is</w:t>
      </w:r>
      <w:r w:rsidR="009660E5">
        <w:rPr>
          <w:rFonts w:asciiTheme="majorBidi" w:hAnsiTheme="majorBidi" w:cstheme="majorBidi"/>
          <w:sz w:val="24"/>
          <w:szCs w:val="24"/>
        </w:rPr>
        <w:t xml:space="preserve"> a</w:t>
      </w:r>
      <w:r w:rsidRPr="00A06DA9">
        <w:rPr>
          <w:rFonts w:asciiTheme="majorBidi" w:hAnsiTheme="majorBidi" w:cstheme="majorBidi"/>
          <w:sz w:val="24"/>
          <w:szCs w:val="24"/>
        </w:rPr>
        <w:t xml:space="preserve"> benchmark for regional banking performance. On the other hand, the </w:t>
      </w:r>
      <w:r w:rsidR="009660E5">
        <w:rPr>
          <w:rFonts w:asciiTheme="majorBidi" w:hAnsiTheme="majorBidi" w:cstheme="majorBidi"/>
          <w:sz w:val="24"/>
          <w:szCs w:val="24"/>
        </w:rPr>
        <w:t xml:space="preserve">lower </w:t>
      </w:r>
      <w:r w:rsidRPr="00A06DA9">
        <w:rPr>
          <w:rFonts w:asciiTheme="majorBidi" w:hAnsiTheme="majorBidi" w:cstheme="majorBidi"/>
          <w:sz w:val="24"/>
          <w:szCs w:val="24"/>
        </w:rPr>
        <w:t>the within-country efficiency gap</w:t>
      </w:r>
      <w:r w:rsidR="009660E5">
        <w:rPr>
          <w:rFonts w:asciiTheme="majorBidi" w:hAnsiTheme="majorBidi" w:cstheme="majorBidi"/>
          <w:sz w:val="24"/>
          <w:szCs w:val="24"/>
        </w:rPr>
        <w:t xml:space="preserve"> is</w:t>
      </w:r>
      <w:r w:rsidRPr="00A06DA9">
        <w:rPr>
          <w:rFonts w:asciiTheme="majorBidi" w:hAnsiTheme="majorBidi" w:cstheme="majorBidi"/>
          <w:sz w:val="24"/>
          <w:szCs w:val="24"/>
        </w:rPr>
        <w:t>, the higher competition of the banking industry</w:t>
      </w:r>
      <w:r w:rsidR="009660E5">
        <w:rPr>
          <w:rFonts w:asciiTheme="majorBidi" w:hAnsiTheme="majorBidi" w:cstheme="majorBidi"/>
          <w:sz w:val="24"/>
          <w:szCs w:val="24"/>
        </w:rPr>
        <w:t xml:space="preserve"> is;</w:t>
      </w:r>
      <w:r w:rsidRPr="00A06DA9">
        <w:rPr>
          <w:rFonts w:asciiTheme="majorBidi" w:hAnsiTheme="majorBidi" w:cstheme="majorBidi"/>
          <w:sz w:val="24"/>
          <w:szCs w:val="24"/>
        </w:rPr>
        <w:t xml:space="preserve"> and </w:t>
      </w:r>
      <w:r w:rsidR="009660E5">
        <w:rPr>
          <w:rFonts w:asciiTheme="majorBidi" w:hAnsiTheme="majorBidi" w:cstheme="majorBidi"/>
          <w:sz w:val="24"/>
          <w:szCs w:val="24"/>
        </w:rPr>
        <w:t xml:space="preserve">the </w:t>
      </w:r>
      <w:r w:rsidRPr="00A06DA9">
        <w:rPr>
          <w:rFonts w:asciiTheme="majorBidi" w:hAnsiTheme="majorBidi" w:cstheme="majorBidi"/>
          <w:sz w:val="24"/>
          <w:szCs w:val="24"/>
        </w:rPr>
        <w:t xml:space="preserve">banking industry of Saudi Arabia is a benchmark for domestic </w:t>
      </w:r>
      <w:r w:rsidR="009660E5">
        <w:rPr>
          <w:rFonts w:asciiTheme="majorBidi" w:hAnsiTheme="majorBidi" w:cstheme="majorBidi"/>
          <w:sz w:val="24"/>
          <w:szCs w:val="24"/>
        </w:rPr>
        <w:t>banking</w:t>
      </w:r>
      <w:r w:rsidRPr="00A06DA9">
        <w:rPr>
          <w:rFonts w:asciiTheme="majorBidi" w:hAnsiTheme="majorBidi" w:cstheme="majorBidi"/>
          <w:sz w:val="24"/>
          <w:szCs w:val="24"/>
        </w:rPr>
        <w:t xml:space="preserve"> competition followed by </w:t>
      </w:r>
      <w:r w:rsidR="009660E5">
        <w:rPr>
          <w:rFonts w:asciiTheme="majorBidi" w:hAnsiTheme="majorBidi" w:cstheme="majorBidi"/>
          <w:sz w:val="24"/>
          <w:szCs w:val="24"/>
        </w:rPr>
        <w:t>Kuwaiti banking industry</w:t>
      </w:r>
      <w:r w:rsidRPr="00A06DA9">
        <w:rPr>
          <w:rFonts w:asciiTheme="majorBidi" w:hAnsiTheme="majorBidi" w:cstheme="majorBidi"/>
          <w:sz w:val="24"/>
          <w:szCs w:val="24"/>
        </w:rPr>
        <w:t xml:space="preserve">. In </w:t>
      </w:r>
      <w:r w:rsidR="009660E5">
        <w:rPr>
          <w:rFonts w:asciiTheme="majorBidi" w:hAnsiTheme="majorBidi" w:cstheme="majorBidi"/>
          <w:sz w:val="24"/>
          <w:szCs w:val="24"/>
        </w:rPr>
        <w:t>analyzing</w:t>
      </w:r>
      <w:r w:rsidRPr="00A06DA9">
        <w:rPr>
          <w:rFonts w:asciiTheme="majorBidi" w:hAnsiTheme="majorBidi" w:cstheme="majorBidi"/>
          <w:sz w:val="24"/>
          <w:szCs w:val="24"/>
        </w:rPr>
        <w:t xml:space="preserve"> the factors that </w:t>
      </w:r>
      <w:r w:rsidR="009660E5">
        <w:rPr>
          <w:rFonts w:asciiTheme="majorBidi" w:hAnsiTheme="majorBidi" w:cstheme="majorBidi"/>
          <w:sz w:val="24"/>
          <w:szCs w:val="24"/>
        </w:rPr>
        <w:t>are hypothesized to</w:t>
      </w:r>
      <w:r w:rsidRPr="00A06DA9">
        <w:rPr>
          <w:rFonts w:asciiTheme="majorBidi" w:hAnsiTheme="majorBidi" w:cstheme="majorBidi"/>
          <w:sz w:val="24"/>
          <w:szCs w:val="24"/>
        </w:rPr>
        <w:t xml:space="preserve"> determine and influence the efficiency variable of the banks, </w:t>
      </w:r>
      <w:r w:rsidR="009660E5">
        <w:rPr>
          <w:rFonts w:asciiTheme="majorBidi" w:hAnsiTheme="majorBidi" w:cstheme="majorBidi"/>
          <w:sz w:val="24"/>
          <w:szCs w:val="24"/>
        </w:rPr>
        <w:t>the</w:t>
      </w:r>
      <w:r w:rsidRPr="00A06DA9">
        <w:rPr>
          <w:rFonts w:asciiTheme="majorBidi" w:hAnsiTheme="majorBidi" w:cstheme="majorBidi"/>
          <w:sz w:val="24"/>
          <w:szCs w:val="24"/>
        </w:rPr>
        <w:t xml:space="preserve"> paper find</w:t>
      </w:r>
      <w:r w:rsidR="009660E5">
        <w:rPr>
          <w:rFonts w:asciiTheme="majorBidi" w:hAnsiTheme="majorBidi" w:cstheme="majorBidi"/>
          <w:sz w:val="24"/>
          <w:szCs w:val="24"/>
        </w:rPr>
        <w:t>s</w:t>
      </w:r>
      <w:r w:rsidRPr="00A06DA9">
        <w:rPr>
          <w:rFonts w:asciiTheme="majorBidi" w:hAnsiTheme="majorBidi" w:cstheme="majorBidi"/>
          <w:sz w:val="24"/>
          <w:szCs w:val="24"/>
        </w:rPr>
        <w:t xml:space="preserve"> unsystematic factors and monetary policy risks to be primary determinants of the banking </w:t>
      </w:r>
      <w:r w:rsidRPr="00A06DA9">
        <w:rPr>
          <w:rFonts w:asciiTheme="majorBidi" w:hAnsiTheme="majorBidi" w:cstheme="majorBidi"/>
          <w:sz w:val="24"/>
          <w:szCs w:val="24"/>
        </w:rPr>
        <w:lastRenderedPageBreak/>
        <w:t xml:space="preserve">technical efficiency. High monetary policy uncertainty forces banks to be highly efficient in mobilizing input resources to generate income, whereas high unsystematic risks are found to be associated with high levels of bank inefficiency. It implies that banks need some moderate levels, both monetary policy uncertainty and unsystematic risks to boost their technical efficiency. These risks </w:t>
      </w:r>
      <w:r w:rsidR="009660E5">
        <w:rPr>
          <w:rFonts w:asciiTheme="majorBidi" w:hAnsiTheme="majorBidi" w:cstheme="majorBidi"/>
          <w:sz w:val="24"/>
          <w:szCs w:val="24"/>
        </w:rPr>
        <w:t xml:space="preserve">work as pressure sources that </w:t>
      </w:r>
      <w:r w:rsidRPr="00A06DA9">
        <w:rPr>
          <w:rFonts w:asciiTheme="majorBidi" w:hAnsiTheme="majorBidi" w:cstheme="majorBidi"/>
          <w:sz w:val="24"/>
          <w:szCs w:val="24"/>
        </w:rPr>
        <w:t xml:space="preserve">force the bank arrangement to optimize </w:t>
      </w:r>
      <w:r w:rsidR="009660E5">
        <w:rPr>
          <w:rFonts w:asciiTheme="majorBidi" w:hAnsiTheme="majorBidi" w:cstheme="majorBidi"/>
          <w:sz w:val="24"/>
          <w:szCs w:val="24"/>
        </w:rPr>
        <w:t xml:space="preserve">their </w:t>
      </w:r>
      <w:r w:rsidRPr="00A06DA9">
        <w:rPr>
          <w:rFonts w:asciiTheme="majorBidi" w:hAnsiTheme="majorBidi" w:cstheme="majorBidi"/>
          <w:sz w:val="24"/>
          <w:szCs w:val="24"/>
        </w:rPr>
        <w:t>decision making process</w:t>
      </w:r>
      <w:r w:rsidR="009660E5">
        <w:rPr>
          <w:rFonts w:asciiTheme="majorBidi" w:hAnsiTheme="majorBidi" w:cstheme="majorBidi"/>
          <w:sz w:val="24"/>
          <w:szCs w:val="24"/>
        </w:rPr>
        <w:t>es and not to be complacent</w:t>
      </w:r>
      <w:r w:rsidRPr="00A06DA9">
        <w:rPr>
          <w:rFonts w:asciiTheme="majorBidi" w:hAnsiTheme="majorBidi" w:cstheme="majorBidi"/>
          <w:sz w:val="24"/>
          <w:szCs w:val="24"/>
        </w:rPr>
        <w:t xml:space="preserve"> with </w:t>
      </w:r>
      <w:r w:rsidR="005947B4">
        <w:rPr>
          <w:rFonts w:asciiTheme="majorBidi" w:hAnsiTheme="majorBidi" w:cstheme="majorBidi"/>
          <w:sz w:val="24"/>
          <w:szCs w:val="24"/>
        </w:rPr>
        <w:t>unsystemic and monetary policy risks</w:t>
      </w:r>
      <w:r w:rsidRPr="00A06DA9">
        <w:rPr>
          <w:rFonts w:asciiTheme="majorBidi" w:hAnsiTheme="majorBidi" w:cstheme="majorBidi"/>
          <w:sz w:val="24"/>
          <w:szCs w:val="24"/>
        </w:rPr>
        <w:t>.</w:t>
      </w:r>
    </w:p>
    <w:p w:rsidR="005D0217" w:rsidRPr="005D0217" w:rsidRDefault="005D0217" w:rsidP="005D0217">
      <w:pPr>
        <w:spacing w:line="360" w:lineRule="auto"/>
        <w:jc w:val="both"/>
        <w:rPr>
          <w:rFonts w:asciiTheme="majorBidi" w:hAnsiTheme="majorBidi" w:cstheme="majorBidi"/>
          <w:b/>
          <w:bCs/>
          <w:sz w:val="28"/>
          <w:szCs w:val="28"/>
        </w:rPr>
      </w:pPr>
      <w:r w:rsidRPr="005D0217">
        <w:rPr>
          <w:rFonts w:asciiTheme="majorBidi" w:hAnsiTheme="majorBidi" w:cstheme="majorBidi"/>
          <w:b/>
          <w:bCs/>
          <w:sz w:val="28"/>
          <w:szCs w:val="28"/>
        </w:rPr>
        <w:t>Acknowledgement</w:t>
      </w:r>
    </w:p>
    <w:p w:rsidR="00A06DA9" w:rsidRPr="00A06DA9" w:rsidRDefault="005D0217" w:rsidP="005D0217">
      <w:pPr>
        <w:spacing w:line="360" w:lineRule="auto"/>
        <w:rPr>
          <w:rFonts w:asciiTheme="majorBidi" w:hAnsiTheme="majorBidi" w:cstheme="majorBidi"/>
          <w:sz w:val="24"/>
          <w:szCs w:val="24"/>
        </w:rPr>
      </w:pPr>
      <w:r w:rsidRPr="005D0217">
        <w:rPr>
          <w:rFonts w:asciiTheme="majorBidi" w:hAnsiTheme="majorBidi" w:cstheme="majorBidi"/>
          <w:sz w:val="24"/>
          <w:szCs w:val="24"/>
        </w:rPr>
        <w:t>The researchers would like to thank the Deanship of Scientific Research at King Saud University represented by the Research Centre at CBA for supporting this research.</w:t>
      </w:r>
      <w:r w:rsidR="00A06DA9" w:rsidRPr="00A06DA9">
        <w:rPr>
          <w:rFonts w:asciiTheme="majorBidi" w:hAnsiTheme="majorBidi" w:cstheme="majorBidi"/>
          <w:sz w:val="24"/>
          <w:szCs w:val="24"/>
        </w:rPr>
        <w:t xml:space="preserve">      </w:t>
      </w:r>
    </w:p>
    <w:p w:rsidR="005947B4" w:rsidRDefault="005947B4" w:rsidP="005947B4">
      <w:pPr>
        <w:spacing w:line="360" w:lineRule="auto"/>
        <w:rPr>
          <w:rFonts w:asciiTheme="majorBidi" w:hAnsiTheme="majorBidi" w:cstheme="majorBidi"/>
          <w:sz w:val="24"/>
          <w:szCs w:val="24"/>
        </w:rPr>
      </w:pPr>
    </w:p>
    <w:p w:rsidR="00944797" w:rsidRPr="007A1686" w:rsidRDefault="00944797" w:rsidP="005947B4">
      <w:pPr>
        <w:spacing w:line="360" w:lineRule="auto"/>
        <w:rPr>
          <w:rFonts w:asciiTheme="majorBidi" w:hAnsiTheme="majorBidi" w:cstheme="majorBidi"/>
          <w:b/>
          <w:bCs/>
          <w:sz w:val="24"/>
          <w:szCs w:val="24"/>
        </w:rPr>
      </w:pPr>
      <w:r w:rsidRPr="007A1686">
        <w:rPr>
          <w:rFonts w:asciiTheme="majorBidi" w:hAnsiTheme="majorBidi" w:cstheme="majorBidi"/>
          <w:b/>
          <w:bCs/>
          <w:sz w:val="24"/>
          <w:szCs w:val="24"/>
        </w:rPr>
        <w:t>References</w:t>
      </w:r>
    </w:p>
    <w:p w:rsidR="006957D6" w:rsidRPr="00960D4D" w:rsidRDefault="006957D6" w:rsidP="005947B4">
      <w:pPr>
        <w:spacing w:line="360" w:lineRule="auto"/>
        <w:jc w:val="both"/>
        <w:rPr>
          <w:rFonts w:asciiTheme="majorBidi" w:hAnsiTheme="majorBidi" w:cstheme="majorBidi"/>
          <w:sz w:val="24"/>
          <w:szCs w:val="24"/>
        </w:rPr>
      </w:pPr>
      <w:r w:rsidRPr="00960D4D">
        <w:rPr>
          <w:rFonts w:asciiTheme="majorBidi" w:hAnsiTheme="majorBidi" w:cstheme="majorBidi"/>
          <w:sz w:val="24"/>
          <w:szCs w:val="24"/>
        </w:rPr>
        <w:t xml:space="preserve">Akhter, W., Raza, A., </w:t>
      </w:r>
      <w:proofErr w:type="spellStart"/>
      <w:proofErr w:type="gramStart"/>
      <w:r w:rsidRPr="00960D4D">
        <w:rPr>
          <w:rFonts w:asciiTheme="majorBidi" w:hAnsiTheme="majorBidi" w:cstheme="majorBidi"/>
          <w:sz w:val="24"/>
          <w:szCs w:val="24"/>
        </w:rPr>
        <w:t>Orangzab</w:t>
      </w:r>
      <w:proofErr w:type="spellEnd"/>
      <w:r w:rsidRPr="00960D4D">
        <w:rPr>
          <w:rFonts w:asciiTheme="majorBidi" w:hAnsiTheme="majorBidi" w:cstheme="majorBidi"/>
          <w:sz w:val="24"/>
          <w:szCs w:val="24"/>
        </w:rPr>
        <w:t>.,</w:t>
      </w:r>
      <w:proofErr w:type="gramEnd"/>
      <w:r w:rsidRPr="00960D4D">
        <w:rPr>
          <w:rFonts w:asciiTheme="majorBidi" w:hAnsiTheme="majorBidi" w:cstheme="majorBidi"/>
          <w:sz w:val="24"/>
          <w:szCs w:val="24"/>
        </w:rPr>
        <w:t xml:space="preserve"> </w:t>
      </w:r>
      <w:proofErr w:type="spellStart"/>
      <w:r w:rsidRPr="00960D4D">
        <w:rPr>
          <w:rFonts w:asciiTheme="majorBidi" w:hAnsiTheme="majorBidi" w:cstheme="majorBidi"/>
          <w:sz w:val="24"/>
          <w:szCs w:val="24"/>
        </w:rPr>
        <w:t>Akram</w:t>
      </w:r>
      <w:proofErr w:type="spellEnd"/>
      <w:r w:rsidRPr="00960D4D">
        <w:rPr>
          <w:rFonts w:asciiTheme="majorBidi" w:hAnsiTheme="majorBidi" w:cstheme="majorBidi"/>
          <w:sz w:val="24"/>
          <w:szCs w:val="24"/>
        </w:rPr>
        <w:t>, M., 2011. Efficiency and Performance of Islamic Banking: The Case of Pakistan. Far East Journal of Psychology and Business Vol. 2 No 2, February 2011</w:t>
      </w:r>
    </w:p>
    <w:p w:rsidR="006957D6" w:rsidRPr="00960D4D" w:rsidRDefault="006957D6" w:rsidP="005947B4">
      <w:pPr>
        <w:spacing w:line="360" w:lineRule="auto"/>
        <w:jc w:val="both"/>
        <w:rPr>
          <w:rFonts w:asciiTheme="majorBidi" w:hAnsiTheme="majorBidi" w:cstheme="majorBidi"/>
          <w:sz w:val="24"/>
          <w:szCs w:val="24"/>
        </w:rPr>
      </w:pPr>
      <w:proofErr w:type="gramStart"/>
      <w:r w:rsidRPr="00960D4D">
        <w:rPr>
          <w:rFonts w:asciiTheme="majorBidi" w:hAnsiTheme="majorBidi" w:cstheme="majorBidi"/>
          <w:sz w:val="24"/>
          <w:szCs w:val="24"/>
        </w:rPr>
        <w:t>Al-</w:t>
      </w:r>
      <w:proofErr w:type="spellStart"/>
      <w:r w:rsidRPr="00960D4D">
        <w:rPr>
          <w:rFonts w:asciiTheme="majorBidi" w:hAnsiTheme="majorBidi" w:cstheme="majorBidi"/>
          <w:sz w:val="24"/>
          <w:szCs w:val="24"/>
        </w:rPr>
        <w:t>Jarrah</w:t>
      </w:r>
      <w:proofErr w:type="spellEnd"/>
      <w:r w:rsidRPr="00960D4D">
        <w:rPr>
          <w:rFonts w:asciiTheme="majorBidi" w:hAnsiTheme="majorBidi" w:cstheme="majorBidi"/>
          <w:sz w:val="24"/>
          <w:szCs w:val="24"/>
        </w:rPr>
        <w:t>, I. M., 2012.</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Evaluating the Riskiness of the Banking Sector of Jordan.</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European Journal of Economics, Finance and Administrative Sciences ISSN 1450-2275 Issue 48.</w:t>
      </w:r>
      <w:proofErr w:type="gramEnd"/>
    </w:p>
    <w:p w:rsidR="002B250F" w:rsidRPr="00960D4D" w:rsidRDefault="002B250F" w:rsidP="005947B4">
      <w:pPr>
        <w:autoSpaceDE w:val="0"/>
        <w:autoSpaceDN w:val="0"/>
        <w:adjustRightInd w:val="0"/>
        <w:spacing w:after="0" w:line="360" w:lineRule="auto"/>
        <w:rPr>
          <w:rFonts w:asciiTheme="majorBidi" w:hAnsiTheme="majorBidi" w:cstheme="majorBidi"/>
          <w:sz w:val="24"/>
          <w:szCs w:val="24"/>
        </w:rPr>
      </w:pPr>
      <w:r w:rsidRPr="00960D4D">
        <w:rPr>
          <w:rFonts w:asciiTheme="majorBidi" w:hAnsiTheme="majorBidi" w:cstheme="majorBidi"/>
          <w:sz w:val="24"/>
          <w:szCs w:val="24"/>
        </w:rPr>
        <w:t>Al-</w:t>
      </w:r>
      <w:proofErr w:type="spellStart"/>
      <w:r w:rsidRPr="00960D4D">
        <w:rPr>
          <w:rFonts w:asciiTheme="majorBidi" w:hAnsiTheme="majorBidi" w:cstheme="majorBidi"/>
          <w:sz w:val="24"/>
          <w:szCs w:val="24"/>
        </w:rPr>
        <w:t>Obaidan</w:t>
      </w:r>
      <w:proofErr w:type="spellEnd"/>
      <w:r w:rsidRPr="00960D4D">
        <w:rPr>
          <w:rFonts w:asciiTheme="majorBidi" w:hAnsiTheme="majorBidi" w:cstheme="majorBidi"/>
          <w:sz w:val="24"/>
          <w:szCs w:val="24"/>
        </w:rPr>
        <w:t>, A. M., 2009. Monetary Stability and Performance in the Commercial</w:t>
      </w:r>
    </w:p>
    <w:p w:rsidR="002B250F" w:rsidRPr="00960D4D" w:rsidRDefault="002B250F" w:rsidP="005947B4">
      <w:pPr>
        <w:autoSpaceDE w:val="0"/>
        <w:autoSpaceDN w:val="0"/>
        <w:adjustRightInd w:val="0"/>
        <w:spacing w:after="0" w:line="360" w:lineRule="auto"/>
        <w:rPr>
          <w:rFonts w:asciiTheme="majorBidi" w:hAnsiTheme="majorBidi" w:cstheme="majorBidi"/>
          <w:sz w:val="24"/>
          <w:szCs w:val="24"/>
        </w:rPr>
      </w:pPr>
      <w:proofErr w:type="gramStart"/>
      <w:r w:rsidRPr="00960D4D">
        <w:rPr>
          <w:rFonts w:asciiTheme="majorBidi" w:hAnsiTheme="majorBidi" w:cstheme="majorBidi"/>
          <w:sz w:val="24"/>
          <w:szCs w:val="24"/>
        </w:rPr>
        <w:t>Banking Industry of Emerging Markets.</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International Research Journal of Finance and Economics ISSN 1450-2887 Issue 26.</w:t>
      </w:r>
      <w:proofErr w:type="gramEnd"/>
    </w:p>
    <w:p w:rsidR="006957D6" w:rsidRPr="00960D4D" w:rsidRDefault="006957D6" w:rsidP="005947B4">
      <w:pPr>
        <w:spacing w:line="360" w:lineRule="auto"/>
        <w:jc w:val="both"/>
        <w:rPr>
          <w:rFonts w:asciiTheme="majorBidi" w:hAnsiTheme="majorBidi" w:cstheme="majorBidi"/>
          <w:sz w:val="24"/>
          <w:szCs w:val="24"/>
        </w:rPr>
      </w:pPr>
      <w:proofErr w:type="spellStart"/>
      <w:r w:rsidRPr="00960D4D">
        <w:rPr>
          <w:rFonts w:asciiTheme="majorBidi" w:hAnsiTheme="majorBidi" w:cstheme="majorBidi"/>
          <w:sz w:val="24"/>
          <w:szCs w:val="24"/>
        </w:rPr>
        <w:t>Avkiran</w:t>
      </w:r>
      <w:proofErr w:type="spellEnd"/>
      <w:r w:rsidRPr="00960D4D">
        <w:rPr>
          <w:rFonts w:asciiTheme="majorBidi" w:hAnsiTheme="majorBidi" w:cstheme="majorBidi"/>
          <w:sz w:val="24"/>
          <w:szCs w:val="24"/>
        </w:rPr>
        <w:t>, N. K., 2011. Association of DEA super-efﬁciency estimates with ﬁnancial ratios: Investigating the case for Chinese banks. Omega 39, 323–334.</w:t>
      </w:r>
    </w:p>
    <w:p w:rsidR="004526C7" w:rsidRPr="00960D4D" w:rsidRDefault="00E913FA" w:rsidP="005947B4">
      <w:pPr>
        <w:spacing w:line="360" w:lineRule="auto"/>
        <w:jc w:val="both"/>
        <w:textAlignment w:val="baseline"/>
        <w:rPr>
          <w:rFonts w:asciiTheme="majorBidi" w:hAnsiTheme="majorBidi" w:cstheme="majorBidi"/>
          <w:sz w:val="24"/>
          <w:szCs w:val="24"/>
        </w:rPr>
      </w:pPr>
      <w:hyperlink r:id="rId23" w:history="1">
        <w:r w:rsidR="004526C7" w:rsidRPr="00960D4D">
          <w:rPr>
            <w:rFonts w:asciiTheme="majorBidi" w:hAnsiTheme="majorBidi" w:cstheme="majorBidi"/>
            <w:sz w:val="24"/>
            <w:szCs w:val="24"/>
          </w:rPr>
          <w:t>Chen</w:t>
        </w:r>
      </w:hyperlink>
      <w:r w:rsidR="004526C7" w:rsidRPr="00960D4D">
        <w:rPr>
          <w:rFonts w:asciiTheme="majorBidi" w:hAnsiTheme="majorBidi" w:cstheme="majorBidi"/>
          <w:sz w:val="24"/>
          <w:szCs w:val="24"/>
        </w:rPr>
        <w:t>, S. H., </w:t>
      </w:r>
      <w:hyperlink r:id="rId24" w:history="1">
        <w:r w:rsidR="004526C7" w:rsidRPr="00960D4D">
          <w:rPr>
            <w:rFonts w:asciiTheme="majorBidi" w:hAnsiTheme="majorBidi" w:cstheme="majorBidi"/>
            <w:sz w:val="24"/>
            <w:szCs w:val="24"/>
          </w:rPr>
          <w:t>Liao</w:t>
        </w:r>
      </w:hyperlink>
      <w:r w:rsidR="004526C7" w:rsidRPr="00960D4D">
        <w:rPr>
          <w:rFonts w:asciiTheme="majorBidi" w:hAnsiTheme="majorBidi" w:cstheme="majorBidi"/>
          <w:sz w:val="24"/>
          <w:szCs w:val="24"/>
        </w:rPr>
        <w:t xml:space="preserve">, C. C., 2011. Are foreign banks more profitable than domestic banks? Home- and host-country effects of banking market structure, governance, and supervision. </w:t>
      </w:r>
      <w:hyperlink r:id="rId25" w:tooltip="Go to Journal of Banking &amp; Finance on SciVerse ScienceDirect" w:history="1">
        <w:r w:rsidR="004526C7" w:rsidRPr="00960D4D">
          <w:rPr>
            <w:rFonts w:asciiTheme="majorBidi" w:hAnsiTheme="majorBidi" w:cstheme="majorBidi"/>
            <w:sz w:val="24"/>
            <w:szCs w:val="24"/>
          </w:rPr>
          <w:t>Journal of Banking &amp; Finance</w:t>
        </w:r>
      </w:hyperlink>
      <w:r w:rsidR="004526C7" w:rsidRPr="00960D4D">
        <w:rPr>
          <w:rFonts w:asciiTheme="majorBidi" w:hAnsiTheme="majorBidi" w:cstheme="majorBidi"/>
          <w:sz w:val="24"/>
          <w:szCs w:val="24"/>
        </w:rPr>
        <w:t xml:space="preserve"> </w:t>
      </w:r>
      <w:hyperlink r:id="rId26" w:tooltip="Go to table of contents for this volume/issue" w:history="1">
        <w:r w:rsidR="004526C7" w:rsidRPr="00960D4D">
          <w:rPr>
            <w:rFonts w:asciiTheme="majorBidi" w:hAnsiTheme="majorBidi" w:cstheme="majorBidi"/>
            <w:sz w:val="24"/>
            <w:szCs w:val="24"/>
          </w:rPr>
          <w:t>Volume 35, Issue 4</w:t>
        </w:r>
      </w:hyperlink>
      <w:r w:rsidR="004526C7" w:rsidRPr="00960D4D">
        <w:rPr>
          <w:rFonts w:asciiTheme="majorBidi" w:hAnsiTheme="majorBidi" w:cstheme="majorBidi"/>
          <w:sz w:val="24"/>
          <w:szCs w:val="24"/>
        </w:rPr>
        <w:t>, April 2011, Pages 819–839</w:t>
      </w:r>
    </w:p>
    <w:p w:rsidR="006957D6" w:rsidRPr="00960D4D" w:rsidRDefault="006957D6" w:rsidP="005947B4">
      <w:pPr>
        <w:spacing w:line="360" w:lineRule="auto"/>
        <w:jc w:val="both"/>
        <w:rPr>
          <w:rFonts w:asciiTheme="majorBidi" w:hAnsiTheme="majorBidi" w:cstheme="majorBidi"/>
          <w:sz w:val="24"/>
          <w:szCs w:val="24"/>
        </w:rPr>
      </w:pPr>
      <w:proofErr w:type="spellStart"/>
      <w:r w:rsidRPr="00960D4D">
        <w:rPr>
          <w:rFonts w:asciiTheme="majorBidi" w:hAnsiTheme="majorBidi" w:cstheme="majorBidi"/>
          <w:sz w:val="24"/>
          <w:szCs w:val="24"/>
        </w:rPr>
        <w:t>Chortareas</w:t>
      </w:r>
      <w:proofErr w:type="spellEnd"/>
      <w:r w:rsidRPr="00960D4D">
        <w:rPr>
          <w:rFonts w:asciiTheme="majorBidi" w:hAnsiTheme="majorBidi" w:cstheme="majorBidi"/>
          <w:sz w:val="24"/>
          <w:szCs w:val="24"/>
        </w:rPr>
        <w:t xml:space="preserve">, G. E., </w:t>
      </w:r>
      <w:proofErr w:type="spellStart"/>
      <w:r w:rsidRPr="00960D4D">
        <w:rPr>
          <w:rFonts w:asciiTheme="majorBidi" w:hAnsiTheme="majorBidi" w:cstheme="majorBidi"/>
          <w:sz w:val="24"/>
          <w:szCs w:val="24"/>
        </w:rPr>
        <w:t>Girardone</w:t>
      </w:r>
      <w:proofErr w:type="spellEnd"/>
      <w:r w:rsidRPr="00960D4D">
        <w:rPr>
          <w:rFonts w:asciiTheme="majorBidi" w:hAnsiTheme="majorBidi" w:cstheme="majorBidi"/>
          <w:sz w:val="24"/>
          <w:szCs w:val="24"/>
        </w:rPr>
        <w:t xml:space="preserve">, C., </w:t>
      </w:r>
      <w:proofErr w:type="spellStart"/>
      <w:r w:rsidRPr="00960D4D">
        <w:rPr>
          <w:rFonts w:asciiTheme="majorBidi" w:hAnsiTheme="majorBidi" w:cstheme="majorBidi"/>
          <w:sz w:val="24"/>
          <w:szCs w:val="24"/>
        </w:rPr>
        <w:t>Ventouri</w:t>
      </w:r>
      <w:proofErr w:type="spellEnd"/>
      <w:r w:rsidRPr="00960D4D">
        <w:rPr>
          <w:rFonts w:asciiTheme="majorBidi" w:hAnsiTheme="majorBidi" w:cstheme="majorBidi"/>
          <w:sz w:val="24"/>
          <w:szCs w:val="24"/>
        </w:rPr>
        <w:t xml:space="preserve">, A., 2012. Financial freedom and bank efficiency: Evidence from the European Union. </w:t>
      </w:r>
      <w:proofErr w:type="gramStart"/>
      <w:r w:rsidRPr="00960D4D">
        <w:rPr>
          <w:rFonts w:asciiTheme="majorBidi" w:hAnsiTheme="majorBidi" w:cstheme="majorBidi"/>
          <w:sz w:val="24"/>
          <w:szCs w:val="24"/>
        </w:rPr>
        <w:t>Journal of Banking &amp; Finance.</w:t>
      </w:r>
      <w:proofErr w:type="gramEnd"/>
    </w:p>
    <w:p w:rsidR="00944797" w:rsidRPr="00960D4D" w:rsidRDefault="00944797" w:rsidP="005947B4">
      <w:pPr>
        <w:spacing w:line="360" w:lineRule="auto"/>
        <w:rPr>
          <w:rFonts w:asciiTheme="majorBidi" w:hAnsiTheme="majorBidi" w:cstheme="majorBidi"/>
          <w:sz w:val="24"/>
          <w:szCs w:val="24"/>
        </w:rPr>
      </w:pPr>
      <w:r w:rsidRPr="00960D4D">
        <w:rPr>
          <w:rFonts w:asciiTheme="majorBidi" w:hAnsiTheme="majorBidi" w:cstheme="majorBidi"/>
          <w:sz w:val="24"/>
          <w:szCs w:val="24"/>
        </w:rPr>
        <w:t>Drake, L., Hall, M. J. B., 2003. Efficiency in Japanese banking: An empirical analysis. Journal of Banking &amp; Finance 27, 891–917.</w:t>
      </w:r>
    </w:p>
    <w:p w:rsidR="006957D6" w:rsidRPr="00960D4D" w:rsidRDefault="006957D6" w:rsidP="005947B4">
      <w:pPr>
        <w:shd w:val="clear" w:color="auto" w:fill="FFFFFF"/>
        <w:spacing w:line="360" w:lineRule="auto"/>
        <w:rPr>
          <w:rFonts w:asciiTheme="majorBidi" w:hAnsiTheme="majorBidi" w:cstheme="majorBidi"/>
          <w:sz w:val="24"/>
          <w:szCs w:val="24"/>
        </w:rPr>
      </w:pPr>
      <w:proofErr w:type="spellStart"/>
      <w:r w:rsidRPr="00960D4D">
        <w:rPr>
          <w:rFonts w:asciiTheme="majorBidi" w:hAnsiTheme="majorBidi" w:cstheme="majorBidi"/>
          <w:sz w:val="24"/>
          <w:szCs w:val="24"/>
        </w:rPr>
        <w:lastRenderedPageBreak/>
        <w:t>Frimpong</w:t>
      </w:r>
      <w:proofErr w:type="spellEnd"/>
      <w:r w:rsidRPr="00960D4D">
        <w:rPr>
          <w:rFonts w:asciiTheme="majorBidi" w:hAnsiTheme="majorBidi" w:cstheme="majorBidi"/>
          <w:sz w:val="24"/>
          <w:szCs w:val="24"/>
        </w:rPr>
        <w:t xml:space="preserve"> J. M., 2010. </w:t>
      </w:r>
      <w:proofErr w:type="gramStart"/>
      <w:r w:rsidRPr="00960D4D">
        <w:rPr>
          <w:rFonts w:asciiTheme="majorBidi" w:hAnsiTheme="majorBidi" w:cstheme="majorBidi"/>
          <w:sz w:val="24"/>
          <w:szCs w:val="24"/>
        </w:rPr>
        <w:t>Investigating Efficiency of Ghana Banks: A Non Parametric Approach.</w:t>
      </w:r>
      <w:proofErr w:type="gramEnd"/>
      <w:r w:rsidRPr="00960D4D">
        <w:rPr>
          <w:rFonts w:asciiTheme="majorBidi" w:hAnsiTheme="majorBidi" w:cstheme="majorBidi"/>
          <w:sz w:val="24"/>
          <w:szCs w:val="24"/>
        </w:rPr>
        <w:t xml:space="preserve">  American Journal of Scientific Research 7, 64-76.</w:t>
      </w:r>
    </w:p>
    <w:p w:rsidR="00960D4D" w:rsidRDefault="004526C7" w:rsidP="005947B4">
      <w:pPr>
        <w:spacing w:before="100" w:beforeAutospacing="1" w:after="100" w:afterAutospacing="1" w:line="360" w:lineRule="auto"/>
        <w:rPr>
          <w:rFonts w:ascii="Times New Roman" w:eastAsia="Times New Roman" w:hAnsi="Times New Roman" w:cs="Times New Roman"/>
          <w:sz w:val="24"/>
          <w:szCs w:val="24"/>
          <w:lang w:eastAsia="en-GB"/>
        </w:rPr>
      </w:pPr>
      <w:r w:rsidRPr="00960D4D">
        <w:rPr>
          <w:rFonts w:asciiTheme="majorBidi" w:hAnsiTheme="majorBidi" w:cstheme="majorBidi"/>
          <w:sz w:val="24"/>
          <w:szCs w:val="24"/>
        </w:rPr>
        <w:t xml:space="preserve">Gray, H. P., 2012. </w:t>
      </w:r>
      <w:proofErr w:type="gramStart"/>
      <w:r w:rsidRPr="00960D4D">
        <w:rPr>
          <w:rFonts w:asciiTheme="majorBidi" w:hAnsiTheme="majorBidi" w:cstheme="majorBidi"/>
          <w:sz w:val="24"/>
          <w:szCs w:val="24"/>
        </w:rPr>
        <w:t>The effects on monetary policy of rising Costs in commercial banks.</w:t>
      </w:r>
      <w:proofErr w:type="gramEnd"/>
      <w:r w:rsidRPr="00960D4D">
        <w:rPr>
          <w:rFonts w:asciiTheme="majorBidi" w:hAnsiTheme="majorBidi" w:cstheme="majorBidi"/>
          <w:sz w:val="24"/>
          <w:szCs w:val="24"/>
        </w:rPr>
        <w:t xml:space="preserve"> The Journal of Finance </w:t>
      </w:r>
      <w:r w:rsidRPr="00960D4D">
        <w:rPr>
          <w:rFonts w:ascii="Times New Roman" w:eastAsia="Times New Roman" w:hAnsi="Times New Roman" w:cs="Times New Roman"/>
          <w:sz w:val="24"/>
          <w:szCs w:val="24"/>
          <w:lang w:eastAsia="en-GB"/>
        </w:rPr>
        <w:t>Volume 18, Issue 1, pp. 29–48</w:t>
      </w:r>
    </w:p>
    <w:p w:rsidR="006957D6" w:rsidRPr="00960D4D" w:rsidRDefault="006957D6" w:rsidP="005947B4">
      <w:pPr>
        <w:spacing w:before="100" w:beforeAutospacing="1" w:after="100" w:afterAutospacing="1" w:line="360" w:lineRule="auto"/>
        <w:rPr>
          <w:rFonts w:ascii="Times New Roman" w:eastAsia="Times New Roman" w:hAnsi="Times New Roman" w:cs="Times New Roman"/>
          <w:sz w:val="24"/>
          <w:szCs w:val="24"/>
          <w:lang w:eastAsia="en-GB"/>
        </w:rPr>
      </w:pPr>
      <w:proofErr w:type="spellStart"/>
      <w:r w:rsidRPr="00960D4D">
        <w:rPr>
          <w:rFonts w:asciiTheme="majorBidi" w:hAnsiTheme="majorBidi" w:cstheme="majorBidi"/>
          <w:sz w:val="24"/>
          <w:szCs w:val="24"/>
        </w:rPr>
        <w:t>Hadi</w:t>
      </w:r>
      <w:proofErr w:type="spellEnd"/>
      <w:r w:rsidRPr="00960D4D">
        <w:rPr>
          <w:rFonts w:asciiTheme="majorBidi" w:hAnsiTheme="majorBidi" w:cstheme="majorBidi"/>
          <w:sz w:val="24"/>
          <w:szCs w:val="24"/>
        </w:rPr>
        <w:t>, A.</w:t>
      </w:r>
      <w:proofErr w:type="gramStart"/>
      <w:r w:rsidRPr="00960D4D">
        <w:rPr>
          <w:rFonts w:asciiTheme="majorBidi" w:hAnsiTheme="majorBidi" w:cstheme="majorBidi"/>
          <w:sz w:val="24"/>
          <w:szCs w:val="24"/>
        </w:rPr>
        <w:t xml:space="preserve">,  </w:t>
      </w:r>
      <w:proofErr w:type="spellStart"/>
      <w:r w:rsidRPr="00960D4D">
        <w:rPr>
          <w:rFonts w:asciiTheme="majorBidi" w:hAnsiTheme="majorBidi" w:cstheme="majorBidi"/>
          <w:sz w:val="24"/>
          <w:szCs w:val="24"/>
        </w:rPr>
        <w:t>Saad</w:t>
      </w:r>
      <w:proofErr w:type="spellEnd"/>
      <w:proofErr w:type="gramEnd"/>
      <w:r w:rsidRPr="00960D4D">
        <w:rPr>
          <w:rFonts w:asciiTheme="majorBidi" w:hAnsiTheme="majorBidi" w:cstheme="majorBidi"/>
          <w:sz w:val="24"/>
          <w:szCs w:val="24"/>
        </w:rPr>
        <w:t xml:space="preserve">, M., 2010. An Analysis on the Efficiency of the Malaysian Islamic Banking Industry: Domestic vs. Foreign. </w:t>
      </w:r>
      <w:proofErr w:type="gramStart"/>
      <w:r w:rsidRPr="00960D4D">
        <w:rPr>
          <w:rFonts w:asciiTheme="majorBidi" w:hAnsiTheme="majorBidi" w:cstheme="majorBidi"/>
          <w:sz w:val="24"/>
          <w:szCs w:val="24"/>
        </w:rPr>
        <w:t>International association for Islamic economics Review of Islamic Economics 14, 27–47.</w:t>
      </w:r>
      <w:proofErr w:type="gramEnd"/>
    </w:p>
    <w:p w:rsidR="004526C7" w:rsidRDefault="004526C7" w:rsidP="005947B4">
      <w:pPr>
        <w:autoSpaceDE w:val="0"/>
        <w:autoSpaceDN w:val="0"/>
        <w:adjustRightInd w:val="0"/>
        <w:spacing w:after="0" w:line="360" w:lineRule="auto"/>
        <w:rPr>
          <w:rFonts w:asciiTheme="majorBidi" w:hAnsiTheme="majorBidi" w:cstheme="majorBidi"/>
          <w:sz w:val="24"/>
          <w:szCs w:val="24"/>
        </w:rPr>
      </w:pPr>
      <w:r w:rsidRPr="00960D4D">
        <w:rPr>
          <w:rFonts w:asciiTheme="majorBidi" w:hAnsiTheme="majorBidi" w:cstheme="majorBidi"/>
          <w:sz w:val="24"/>
          <w:szCs w:val="24"/>
        </w:rPr>
        <w:t xml:space="preserve">Jonas, M. R., King, S. K., 2008. Bank efficiency and the effectiveness of </w:t>
      </w:r>
      <w:proofErr w:type="gramStart"/>
      <w:r w:rsidRPr="00960D4D">
        <w:rPr>
          <w:rFonts w:asciiTheme="majorBidi" w:hAnsiTheme="majorBidi" w:cstheme="majorBidi"/>
          <w:sz w:val="24"/>
          <w:szCs w:val="24"/>
        </w:rPr>
        <w:t>Monetary</w:t>
      </w:r>
      <w:proofErr w:type="gramEnd"/>
      <w:r w:rsidRPr="00960D4D">
        <w:rPr>
          <w:rFonts w:asciiTheme="majorBidi" w:hAnsiTheme="majorBidi" w:cstheme="majorBidi"/>
          <w:sz w:val="24"/>
          <w:szCs w:val="24"/>
        </w:rPr>
        <w:t xml:space="preserve"> policy. Contemporary Economic Policy (ISSN 1074-3529) Vol. 26, No. 4, October 2008, 579-589 Online Early publication April 17, 2008</w:t>
      </w:r>
    </w:p>
    <w:p w:rsidR="0048451E" w:rsidRDefault="0048451E" w:rsidP="005947B4">
      <w:pPr>
        <w:autoSpaceDE w:val="0"/>
        <w:autoSpaceDN w:val="0"/>
        <w:adjustRightInd w:val="0"/>
        <w:spacing w:after="0" w:line="360" w:lineRule="auto"/>
        <w:rPr>
          <w:rFonts w:asciiTheme="majorBidi" w:hAnsiTheme="majorBidi" w:cstheme="majorBidi"/>
          <w:sz w:val="24"/>
          <w:szCs w:val="24"/>
        </w:rPr>
      </w:pPr>
    </w:p>
    <w:p w:rsidR="0048451E" w:rsidRPr="0048451E" w:rsidRDefault="0048451E" w:rsidP="005947B4">
      <w:pPr>
        <w:autoSpaceDE w:val="0"/>
        <w:autoSpaceDN w:val="0"/>
        <w:adjustRightInd w:val="0"/>
        <w:spacing w:after="0" w:line="360" w:lineRule="auto"/>
        <w:rPr>
          <w:rFonts w:asciiTheme="majorBidi" w:hAnsiTheme="majorBidi" w:cstheme="majorBidi"/>
          <w:sz w:val="24"/>
          <w:szCs w:val="24"/>
        </w:rPr>
      </w:pPr>
      <w:proofErr w:type="spellStart"/>
      <w:proofErr w:type="gramStart"/>
      <w:r w:rsidRPr="0048451E">
        <w:rPr>
          <w:rFonts w:asciiTheme="majorBidi" w:hAnsiTheme="majorBidi" w:cstheme="majorBidi"/>
          <w:sz w:val="24"/>
          <w:szCs w:val="24"/>
        </w:rPr>
        <w:t>Knaup</w:t>
      </w:r>
      <w:proofErr w:type="spellEnd"/>
      <w:r w:rsidRPr="0048451E">
        <w:rPr>
          <w:rFonts w:asciiTheme="majorBidi" w:hAnsiTheme="majorBidi" w:cstheme="majorBidi"/>
          <w:sz w:val="24"/>
          <w:szCs w:val="24"/>
        </w:rPr>
        <w:t>, M. &amp; Wagner, W. B. 2012.</w:t>
      </w:r>
      <w:proofErr w:type="gramEnd"/>
      <w:r w:rsidRPr="0048451E">
        <w:rPr>
          <w:rFonts w:asciiTheme="majorBidi" w:hAnsiTheme="majorBidi" w:cstheme="majorBidi"/>
          <w:sz w:val="24"/>
          <w:szCs w:val="24"/>
        </w:rPr>
        <w:t xml:space="preserve"> </w:t>
      </w:r>
      <w:proofErr w:type="gramStart"/>
      <w:r w:rsidRPr="0048451E">
        <w:rPr>
          <w:rFonts w:asciiTheme="majorBidi" w:hAnsiTheme="majorBidi" w:cstheme="majorBidi"/>
          <w:sz w:val="24"/>
          <w:szCs w:val="24"/>
        </w:rPr>
        <w:t>A market-based measure of credit quality and bank performance during the subprime crisis.</w:t>
      </w:r>
      <w:proofErr w:type="gramEnd"/>
      <w:r w:rsidRPr="0048451E">
        <w:rPr>
          <w:rFonts w:asciiTheme="majorBidi" w:hAnsiTheme="majorBidi" w:cstheme="majorBidi"/>
          <w:sz w:val="24"/>
          <w:szCs w:val="24"/>
        </w:rPr>
        <w:t xml:space="preserve"> </w:t>
      </w:r>
      <w:proofErr w:type="gramStart"/>
      <w:r w:rsidRPr="0048451E">
        <w:rPr>
          <w:rFonts w:asciiTheme="majorBidi" w:hAnsiTheme="majorBidi" w:cstheme="majorBidi"/>
          <w:sz w:val="24"/>
          <w:szCs w:val="24"/>
        </w:rPr>
        <w:t>Management Science.</w:t>
      </w:r>
      <w:proofErr w:type="gramEnd"/>
      <w:r w:rsidRPr="0048451E">
        <w:rPr>
          <w:rFonts w:asciiTheme="majorBidi" w:hAnsiTheme="majorBidi" w:cstheme="majorBidi"/>
          <w:sz w:val="24"/>
          <w:szCs w:val="24"/>
        </w:rPr>
        <w:t xml:space="preserve"> 58, 8, p. 1423-1437</w:t>
      </w:r>
    </w:p>
    <w:p w:rsidR="004526C7" w:rsidRPr="00960D4D" w:rsidRDefault="004526C7" w:rsidP="005947B4">
      <w:pPr>
        <w:autoSpaceDE w:val="0"/>
        <w:autoSpaceDN w:val="0"/>
        <w:adjustRightInd w:val="0"/>
        <w:spacing w:after="0" w:line="360" w:lineRule="auto"/>
        <w:rPr>
          <w:rFonts w:asciiTheme="majorBidi" w:hAnsiTheme="majorBidi" w:cstheme="majorBidi"/>
          <w:sz w:val="24"/>
          <w:szCs w:val="24"/>
        </w:rPr>
      </w:pPr>
    </w:p>
    <w:p w:rsidR="004526C7" w:rsidRPr="00960D4D" w:rsidRDefault="004526C7" w:rsidP="005947B4">
      <w:pPr>
        <w:autoSpaceDE w:val="0"/>
        <w:autoSpaceDN w:val="0"/>
        <w:adjustRightInd w:val="0"/>
        <w:spacing w:after="0" w:line="360" w:lineRule="auto"/>
        <w:rPr>
          <w:rFonts w:asciiTheme="majorBidi" w:hAnsiTheme="majorBidi" w:cstheme="majorBidi"/>
          <w:sz w:val="24"/>
          <w:szCs w:val="24"/>
        </w:rPr>
      </w:pPr>
      <w:proofErr w:type="gramStart"/>
      <w:r w:rsidRPr="00960D4D">
        <w:rPr>
          <w:rFonts w:asciiTheme="majorBidi" w:hAnsiTheme="majorBidi" w:cstheme="majorBidi"/>
          <w:sz w:val="24"/>
          <w:szCs w:val="24"/>
        </w:rPr>
        <w:t>Lu, S., Wang, M., 2012.</w:t>
      </w:r>
      <w:proofErr w:type="gramEnd"/>
      <w:r w:rsidRPr="00960D4D">
        <w:rPr>
          <w:rFonts w:asciiTheme="majorBidi" w:hAnsiTheme="majorBidi" w:cstheme="majorBidi"/>
          <w:sz w:val="24"/>
          <w:szCs w:val="24"/>
        </w:rPr>
        <w:t xml:space="preserve"> How to Measure the Credit Risk of Housing Loans: Evidence from a Taiwanese Bank. Emerging Markets Finance &amp; Trade / July–August 2012, Vol. 48, Supplement 2, pp. 122–138.</w:t>
      </w:r>
    </w:p>
    <w:p w:rsidR="004526C7" w:rsidRPr="00960D4D" w:rsidRDefault="004526C7" w:rsidP="005947B4">
      <w:pPr>
        <w:autoSpaceDE w:val="0"/>
        <w:autoSpaceDN w:val="0"/>
        <w:adjustRightInd w:val="0"/>
        <w:spacing w:after="0" w:line="360" w:lineRule="auto"/>
        <w:rPr>
          <w:rFonts w:asciiTheme="majorBidi" w:hAnsiTheme="majorBidi" w:cstheme="majorBidi"/>
          <w:sz w:val="24"/>
          <w:szCs w:val="24"/>
        </w:rPr>
      </w:pPr>
    </w:p>
    <w:p w:rsidR="006957D6" w:rsidRPr="00960D4D" w:rsidRDefault="006957D6" w:rsidP="005947B4">
      <w:pPr>
        <w:spacing w:line="360" w:lineRule="auto"/>
        <w:jc w:val="both"/>
        <w:rPr>
          <w:rFonts w:asciiTheme="majorBidi" w:hAnsiTheme="majorBidi" w:cstheme="majorBidi"/>
          <w:sz w:val="24"/>
          <w:szCs w:val="24"/>
        </w:rPr>
      </w:pPr>
      <w:proofErr w:type="spellStart"/>
      <w:r w:rsidRPr="00960D4D">
        <w:rPr>
          <w:rFonts w:asciiTheme="majorBidi" w:hAnsiTheme="majorBidi" w:cstheme="majorBidi"/>
          <w:sz w:val="24"/>
          <w:szCs w:val="24"/>
        </w:rPr>
        <w:t>Matousek</w:t>
      </w:r>
      <w:proofErr w:type="spellEnd"/>
      <w:r w:rsidRPr="00960D4D">
        <w:rPr>
          <w:rFonts w:asciiTheme="majorBidi" w:hAnsiTheme="majorBidi" w:cstheme="majorBidi"/>
          <w:sz w:val="24"/>
          <w:szCs w:val="24"/>
        </w:rPr>
        <w:t xml:space="preserve">, R., </w:t>
      </w:r>
      <w:proofErr w:type="spellStart"/>
      <w:r w:rsidRPr="00960D4D">
        <w:rPr>
          <w:rFonts w:asciiTheme="majorBidi" w:hAnsiTheme="majorBidi" w:cstheme="majorBidi"/>
          <w:sz w:val="24"/>
          <w:szCs w:val="24"/>
        </w:rPr>
        <w:t>Taci</w:t>
      </w:r>
      <w:proofErr w:type="spellEnd"/>
      <w:r w:rsidRPr="00960D4D">
        <w:rPr>
          <w:rFonts w:asciiTheme="majorBidi" w:hAnsiTheme="majorBidi" w:cstheme="majorBidi"/>
          <w:sz w:val="24"/>
          <w:szCs w:val="24"/>
        </w:rPr>
        <w:t xml:space="preserve">, A., 2004. Efficiency in Banking: Empirical Evidence from the Czech Republic. </w:t>
      </w:r>
      <w:proofErr w:type="gramStart"/>
      <w:r w:rsidRPr="00960D4D">
        <w:rPr>
          <w:rFonts w:asciiTheme="majorBidi" w:hAnsiTheme="majorBidi" w:cstheme="majorBidi"/>
          <w:sz w:val="24"/>
          <w:szCs w:val="24"/>
        </w:rPr>
        <w:t>Economics of Planning 37, 225–244.</w:t>
      </w:r>
      <w:proofErr w:type="gramEnd"/>
    </w:p>
    <w:p w:rsidR="006957D6" w:rsidRPr="00960D4D" w:rsidRDefault="006957D6" w:rsidP="005947B4">
      <w:pPr>
        <w:spacing w:line="360" w:lineRule="auto"/>
        <w:jc w:val="both"/>
        <w:rPr>
          <w:rFonts w:asciiTheme="majorBidi" w:hAnsiTheme="majorBidi" w:cstheme="majorBidi"/>
          <w:sz w:val="24"/>
          <w:szCs w:val="24"/>
        </w:rPr>
      </w:pPr>
      <w:r w:rsidRPr="00960D4D">
        <w:rPr>
          <w:rFonts w:asciiTheme="majorBidi" w:hAnsiTheme="majorBidi" w:cstheme="majorBidi"/>
          <w:sz w:val="24"/>
          <w:szCs w:val="24"/>
        </w:rPr>
        <w:t>MATTHEWS, K., ZHANG, N., 2010. Bank productivity in China 1997–2007: Measurement and convergence. China Economic Review 21, 617–628.</w:t>
      </w:r>
    </w:p>
    <w:p w:rsidR="006957D6" w:rsidRPr="00960D4D" w:rsidRDefault="006957D6" w:rsidP="005947B4">
      <w:pPr>
        <w:spacing w:line="360" w:lineRule="auto"/>
        <w:jc w:val="both"/>
        <w:rPr>
          <w:rFonts w:asciiTheme="majorBidi" w:hAnsiTheme="majorBidi" w:cstheme="majorBidi"/>
          <w:sz w:val="24"/>
          <w:szCs w:val="24"/>
        </w:rPr>
      </w:pPr>
      <w:proofErr w:type="spellStart"/>
      <w:r w:rsidRPr="00960D4D">
        <w:rPr>
          <w:rFonts w:asciiTheme="majorBidi" w:hAnsiTheme="majorBidi" w:cstheme="majorBidi"/>
          <w:sz w:val="24"/>
          <w:szCs w:val="24"/>
        </w:rPr>
        <w:t>Maudos</w:t>
      </w:r>
      <w:proofErr w:type="spellEnd"/>
      <w:r w:rsidRPr="00960D4D">
        <w:rPr>
          <w:rFonts w:asciiTheme="majorBidi" w:hAnsiTheme="majorBidi" w:cstheme="majorBidi"/>
          <w:sz w:val="24"/>
          <w:szCs w:val="24"/>
        </w:rPr>
        <w:t xml:space="preserve">, J., Pastor J. M., 1999. Cost and profit efficiency in banking: an international comparison of Europe, Japan and USA. </w:t>
      </w:r>
      <w:proofErr w:type="spellStart"/>
      <w:r w:rsidRPr="00960D4D">
        <w:rPr>
          <w:rFonts w:asciiTheme="majorBidi" w:hAnsiTheme="majorBidi" w:cstheme="majorBidi"/>
          <w:sz w:val="24"/>
          <w:szCs w:val="24"/>
        </w:rPr>
        <w:t>Instituto</w:t>
      </w:r>
      <w:proofErr w:type="spellEnd"/>
      <w:r w:rsidRPr="00960D4D">
        <w:rPr>
          <w:rFonts w:asciiTheme="majorBidi" w:hAnsiTheme="majorBidi" w:cstheme="majorBidi"/>
          <w:sz w:val="24"/>
          <w:szCs w:val="24"/>
        </w:rPr>
        <w:t xml:space="preserve"> </w:t>
      </w:r>
      <w:proofErr w:type="spellStart"/>
      <w:r w:rsidRPr="00960D4D">
        <w:rPr>
          <w:rFonts w:asciiTheme="majorBidi" w:hAnsiTheme="majorBidi" w:cstheme="majorBidi"/>
          <w:sz w:val="24"/>
          <w:szCs w:val="24"/>
        </w:rPr>
        <w:t>Valenciano</w:t>
      </w:r>
      <w:proofErr w:type="spellEnd"/>
      <w:r w:rsidRPr="00960D4D">
        <w:rPr>
          <w:rFonts w:asciiTheme="majorBidi" w:hAnsiTheme="majorBidi" w:cstheme="majorBidi"/>
          <w:sz w:val="24"/>
          <w:szCs w:val="24"/>
        </w:rPr>
        <w:t xml:space="preserve"> de </w:t>
      </w:r>
      <w:proofErr w:type="spellStart"/>
      <w:r w:rsidRPr="00960D4D">
        <w:rPr>
          <w:rFonts w:asciiTheme="majorBidi" w:hAnsiTheme="majorBidi" w:cstheme="majorBidi"/>
          <w:sz w:val="24"/>
          <w:szCs w:val="24"/>
        </w:rPr>
        <w:t>Investigaciones</w:t>
      </w:r>
      <w:proofErr w:type="spellEnd"/>
      <w:r w:rsidRPr="00960D4D">
        <w:rPr>
          <w:rFonts w:asciiTheme="majorBidi" w:hAnsiTheme="majorBidi" w:cstheme="majorBidi"/>
          <w:sz w:val="24"/>
          <w:szCs w:val="24"/>
        </w:rPr>
        <w:t xml:space="preserve"> </w:t>
      </w:r>
      <w:proofErr w:type="spellStart"/>
      <w:r w:rsidRPr="00960D4D">
        <w:rPr>
          <w:rFonts w:asciiTheme="majorBidi" w:hAnsiTheme="majorBidi" w:cstheme="majorBidi"/>
          <w:sz w:val="24"/>
          <w:szCs w:val="24"/>
        </w:rPr>
        <w:t>Económicas</w:t>
      </w:r>
      <w:proofErr w:type="spellEnd"/>
      <w:r w:rsidRPr="00960D4D">
        <w:rPr>
          <w:rFonts w:asciiTheme="majorBidi" w:hAnsiTheme="majorBidi" w:cstheme="majorBidi"/>
          <w:sz w:val="24"/>
          <w:szCs w:val="24"/>
        </w:rPr>
        <w:t xml:space="preserve"> (IVIE); c/ Guardia civil 22, Esc 2, 1ª; Valencia-46020- (SPAIN) 1999</w:t>
      </w:r>
    </w:p>
    <w:p w:rsidR="00944797" w:rsidRPr="00960D4D" w:rsidRDefault="00944797" w:rsidP="005947B4">
      <w:pPr>
        <w:spacing w:line="360" w:lineRule="auto"/>
        <w:rPr>
          <w:rFonts w:asciiTheme="majorBidi" w:hAnsiTheme="majorBidi" w:cstheme="majorBidi"/>
          <w:sz w:val="24"/>
          <w:szCs w:val="24"/>
        </w:rPr>
      </w:pPr>
      <w:proofErr w:type="spellStart"/>
      <w:r w:rsidRPr="00960D4D">
        <w:rPr>
          <w:rFonts w:asciiTheme="majorBidi" w:hAnsiTheme="majorBidi" w:cstheme="majorBidi"/>
          <w:sz w:val="24"/>
          <w:szCs w:val="24"/>
        </w:rPr>
        <w:t>Mokhtar</w:t>
      </w:r>
      <w:proofErr w:type="spellEnd"/>
      <w:r w:rsidRPr="00960D4D">
        <w:rPr>
          <w:rFonts w:asciiTheme="majorBidi" w:hAnsiTheme="majorBidi" w:cstheme="majorBidi"/>
          <w:sz w:val="24"/>
          <w:szCs w:val="24"/>
        </w:rPr>
        <w:t xml:space="preserve">, H. S. A., Abdullah, N., </w:t>
      </w:r>
      <w:proofErr w:type="spellStart"/>
      <w:r w:rsidRPr="00960D4D">
        <w:rPr>
          <w:rFonts w:asciiTheme="majorBidi" w:hAnsiTheme="majorBidi" w:cstheme="majorBidi"/>
          <w:sz w:val="24"/>
          <w:szCs w:val="24"/>
        </w:rPr>
        <w:t>Alhabshi</w:t>
      </w:r>
      <w:proofErr w:type="spellEnd"/>
      <w:r w:rsidRPr="00960D4D">
        <w:rPr>
          <w:rFonts w:asciiTheme="majorBidi" w:hAnsiTheme="majorBidi" w:cstheme="majorBidi"/>
          <w:sz w:val="24"/>
          <w:szCs w:val="24"/>
        </w:rPr>
        <w:t xml:space="preserve">, S. M. 2008. </w:t>
      </w:r>
      <w:proofErr w:type="gramStart"/>
      <w:r w:rsidRPr="00960D4D">
        <w:rPr>
          <w:rFonts w:asciiTheme="majorBidi" w:hAnsiTheme="majorBidi" w:cstheme="majorBidi"/>
          <w:sz w:val="24"/>
          <w:szCs w:val="24"/>
        </w:rPr>
        <w:t>Efficiency and Competition of Islamic Banking in Malaysia.</w:t>
      </w:r>
      <w:proofErr w:type="gramEnd"/>
      <w:r w:rsidRPr="00960D4D">
        <w:rPr>
          <w:rFonts w:asciiTheme="majorBidi" w:hAnsiTheme="majorBidi" w:cstheme="majorBidi"/>
          <w:sz w:val="24"/>
          <w:szCs w:val="24"/>
        </w:rPr>
        <w:t xml:space="preserve">  </w:t>
      </w:r>
      <w:proofErr w:type="spellStart"/>
      <w:proofErr w:type="gramStart"/>
      <w:r w:rsidRPr="00960D4D">
        <w:rPr>
          <w:rFonts w:asciiTheme="majorBidi" w:hAnsiTheme="majorBidi" w:cstheme="majorBidi"/>
          <w:sz w:val="24"/>
          <w:szCs w:val="24"/>
        </w:rPr>
        <w:t>Humanomics</w:t>
      </w:r>
      <w:proofErr w:type="spellEnd"/>
      <w:r w:rsidRPr="00960D4D">
        <w:rPr>
          <w:rFonts w:asciiTheme="majorBidi" w:hAnsiTheme="majorBidi" w:cstheme="majorBidi"/>
          <w:sz w:val="24"/>
          <w:szCs w:val="24"/>
        </w:rPr>
        <w:t xml:space="preserve">  24</w:t>
      </w:r>
      <w:proofErr w:type="gramEnd"/>
      <w:r w:rsidRPr="00960D4D">
        <w:rPr>
          <w:rFonts w:asciiTheme="majorBidi" w:hAnsiTheme="majorBidi" w:cstheme="majorBidi"/>
          <w:sz w:val="24"/>
          <w:szCs w:val="24"/>
        </w:rPr>
        <w:t>, 28-48.</w:t>
      </w:r>
    </w:p>
    <w:p w:rsidR="006957D6" w:rsidRDefault="006957D6" w:rsidP="005947B4">
      <w:pPr>
        <w:shd w:val="clear" w:color="auto" w:fill="FFFFFF"/>
        <w:spacing w:line="360" w:lineRule="auto"/>
        <w:rPr>
          <w:rFonts w:asciiTheme="majorBidi" w:hAnsiTheme="majorBidi" w:cstheme="majorBidi"/>
          <w:sz w:val="24"/>
          <w:szCs w:val="24"/>
        </w:rPr>
      </w:pPr>
      <w:proofErr w:type="spellStart"/>
      <w:r w:rsidRPr="00960D4D">
        <w:rPr>
          <w:rFonts w:asciiTheme="majorBidi" w:hAnsiTheme="majorBidi" w:cstheme="majorBidi"/>
          <w:sz w:val="24"/>
          <w:szCs w:val="24"/>
        </w:rPr>
        <w:t>Rosly</w:t>
      </w:r>
      <w:proofErr w:type="spellEnd"/>
      <w:r w:rsidRPr="00960D4D">
        <w:rPr>
          <w:rFonts w:asciiTheme="majorBidi" w:hAnsiTheme="majorBidi" w:cstheme="majorBidi"/>
          <w:sz w:val="24"/>
          <w:szCs w:val="24"/>
        </w:rPr>
        <w:t xml:space="preserve">, S.A., Abu </w:t>
      </w:r>
      <w:proofErr w:type="spellStart"/>
      <w:r w:rsidRPr="00960D4D">
        <w:rPr>
          <w:rFonts w:asciiTheme="majorBidi" w:hAnsiTheme="majorBidi" w:cstheme="majorBidi"/>
          <w:sz w:val="24"/>
          <w:szCs w:val="24"/>
        </w:rPr>
        <w:t>Bakar</w:t>
      </w:r>
      <w:proofErr w:type="spellEnd"/>
      <w:r w:rsidRPr="00960D4D">
        <w:rPr>
          <w:rFonts w:asciiTheme="majorBidi" w:hAnsiTheme="majorBidi" w:cstheme="majorBidi"/>
          <w:sz w:val="24"/>
          <w:szCs w:val="24"/>
        </w:rPr>
        <w:t xml:space="preserve">, M. A., 2003. </w:t>
      </w:r>
      <w:proofErr w:type="gramStart"/>
      <w:r w:rsidRPr="00960D4D">
        <w:rPr>
          <w:rFonts w:asciiTheme="majorBidi" w:hAnsiTheme="majorBidi" w:cstheme="majorBidi"/>
          <w:sz w:val="24"/>
          <w:szCs w:val="24"/>
        </w:rPr>
        <w:t>Performance of Islamic and mainstream banks in Malaysia.</w:t>
      </w:r>
      <w:proofErr w:type="gramEnd"/>
      <w:r w:rsidRPr="00960D4D">
        <w:rPr>
          <w:rFonts w:asciiTheme="majorBidi" w:hAnsiTheme="majorBidi" w:cstheme="majorBidi"/>
          <w:sz w:val="24"/>
          <w:szCs w:val="24"/>
        </w:rPr>
        <w:t xml:space="preserve">  International Journal of Social Economics 30, 1249-1265.</w:t>
      </w:r>
    </w:p>
    <w:p w:rsidR="009A6670" w:rsidRPr="009A6670" w:rsidRDefault="009A6670" w:rsidP="009A6670">
      <w:pPr>
        <w:shd w:val="clear" w:color="auto" w:fill="FFFFFF"/>
        <w:spacing w:line="360" w:lineRule="auto"/>
        <w:rPr>
          <w:rFonts w:asciiTheme="majorBidi" w:hAnsiTheme="majorBidi" w:cstheme="majorBidi"/>
          <w:sz w:val="24"/>
          <w:szCs w:val="24"/>
        </w:rPr>
      </w:pPr>
      <w:r w:rsidRPr="009A6670">
        <w:rPr>
          <w:rFonts w:asciiTheme="majorBidi" w:hAnsiTheme="majorBidi" w:cstheme="majorBidi"/>
          <w:sz w:val="24"/>
          <w:szCs w:val="24"/>
        </w:rPr>
        <w:lastRenderedPageBreak/>
        <w:t xml:space="preserve">Ross, S.A.; </w:t>
      </w:r>
      <w:proofErr w:type="spellStart"/>
      <w:r w:rsidRPr="009A6670">
        <w:rPr>
          <w:rFonts w:asciiTheme="majorBidi" w:hAnsiTheme="majorBidi" w:cstheme="majorBidi"/>
          <w:sz w:val="24"/>
          <w:szCs w:val="24"/>
        </w:rPr>
        <w:t>Wasterfield</w:t>
      </w:r>
      <w:proofErr w:type="spellEnd"/>
      <w:r w:rsidRPr="009A6670">
        <w:rPr>
          <w:rFonts w:asciiTheme="majorBidi" w:hAnsiTheme="majorBidi" w:cstheme="majorBidi"/>
          <w:sz w:val="24"/>
          <w:szCs w:val="24"/>
        </w:rPr>
        <w:t xml:space="preserve">, R.W.; Jordan, B.D.; </w:t>
      </w:r>
      <w:proofErr w:type="spellStart"/>
      <w:r w:rsidRPr="009A6670">
        <w:rPr>
          <w:rFonts w:asciiTheme="majorBidi" w:hAnsiTheme="majorBidi" w:cstheme="majorBidi"/>
          <w:sz w:val="24"/>
          <w:szCs w:val="24"/>
        </w:rPr>
        <w:t>Bley</w:t>
      </w:r>
      <w:proofErr w:type="spellEnd"/>
      <w:r w:rsidRPr="009A6670">
        <w:rPr>
          <w:rFonts w:asciiTheme="majorBidi" w:hAnsiTheme="majorBidi" w:cstheme="majorBidi"/>
          <w:sz w:val="24"/>
          <w:szCs w:val="24"/>
        </w:rPr>
        <w:t>, j. (2012) Fundamentals of Corporate Finance, Middle East Edition, Page 438 - 445 </w:t>
      </w:r>
    </w:p>
    <w:p w:rsidR="00944797" w:rsidRPr="00960D4D" w:rsidRDefault="00944797" w:rsidP="005947B4">
      <w:pPr>
        <w:shd w:val="clear" w:color="auto" w:fill="FFFFFF"/>
        <w:spacing w:line="360" w:lineRule="auto"/>
        <w:rPr>
          <w:rFonts w:asciiTheme="majorBidi" w:hAnsiTheme="majorBidi" w:cstheme="majorBidi"/>
          <w:sz w:val="24"/>
          <w:szCs w:val="24"/>
        </w:rPr>
      </w:pPr>
      <w:proofErr w:type="gramStart"/>
      <w:r w:rsidRPr="00960D4D">
        <w:rPr>
          <w:rFonts w:asciiTheme="majorBidi" w:hAnsiTheme="majorBidi" w:cstheme="majorBidi"/>
          <w:sz w:val="24"/>
          <w:szCs w:val="24"/>
        </w:rPr>
        <w:t>Said, A., 2012a.</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Comparing the Change in Efficiency of the Western and Islamic Banking Systems.</w:t>
      </w:r>
      <w:proofErr w:type="gramEnd"/>
      <w:r w:rsidRPr="00960D4D">
        <w:rPr>
          <w:rFonts w:asciiTheme="majorBidi" w:hAnsiTheme="majorBidi" w:cstheme="majorBidi"/>
          <w:sz w:val="24"/>
          <w:szCs w:val="24"/>
        </w:rPr>
        <w:t xml:space="preserve">  Journal of Money, Investment and </w:t>
      </w:r>
      <w:proofErr w:type="gramStart"/>
      <w:r w:rsidRPr="00960D4D">
        <w:rPr>
          <w:rFonts w:asciiTheme="majorBidi" w:hAnsiTheme="majorBidi" w:cstheme="majorBidi"/>
          <w:sz w:val="24"/>
          <w:szCs w:val="24"/>
        </w:rPr>
        <w:t>Banking  23</w:t>
      </w:r>
      <w:proofErr w:type="gramEnd"/>
      <w:r w:rsidRPr="00960D4D">
        <w:rPr>
          <w:rFonts w:asciiTheme="majorBidi" w:hAnsiTheme="majorBidi" w:cstheme="majorBidi"/>
          <w:sz w:val="24"/>
          <w:szCs w:val="24"/>
        </w:rPr>
        <w:t>, 149-180</w:t>
      </w:r>
    </w:p>
    <w:p w:rsidR="00944797" w:rsidRPr="00960D4D" w:rsidRDefault="00944797" w:rsidP="005947B4">
      <w:pPr>
        <w:shd w:val="clear" w:color="auto" w:fill="FFFFFF"/>
        <w:spacing w:line="360" w:lineRule="auto"/>
        <w:rPr>
          <w:rFonts w:asciiTheme="majorBidi" w:hAnsiTheme="majorBidi" w:cstheme="majorBidi"/>
          <w:sz w:val="24"/>
          <w:szCs w:val="24"/>
        </w:rPr>
      </w:pPr>
      <w:proofErr w:type="gramStart"/>
      <w:r w:rsidRPr="00960D4D">
        <w:rPr>
          <w:rFonts w:asciiTheme="majorBidi" w:hAnsiTheme="majorBidi" w:cstheme="majorBidi"/>
          <w:sz w:val="24"/>
          <w:szCs w:val="24"/>
        </w:rPr>
        <w:t>Said, A., 2012b.</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Efficiency in Islamic Banking during a Financial Crisis-an Empirical Analysis of Forty-Seven Banks.</w:t>
      </w:r>
      <w:proofErr w:type="gramEnd"/>
      <w:r w:rsidRPr="00960D4D">
        <w:rPr>
          <w:rFonts w:asciiTheme="majorBidi" w:hAnsiTheme="majorBidi" w:cstheme="majorBidi"/>
          <w:sz w:val="24"/>
          <w:szCs w:val="24"/>
        </w:rPr>
        <w:t xml:space="preserve">  Journal of Applied Finance &amp; Banking 2, 163-197.</w:t>
      </w:r>
    </w:p>
    <w:p w:rsidR="004526C7" w:rsidRPr="00960D4D" w:rsidRDefault="004526C7" w:rsidP="005947B4">
      <w:pPr>
        <w:autoSpaceDE w:val="0"/>
        <w:autoSpaceDN w:val="0"/>
        <w:adjustRightInd w:val="0"/>
        <w:spacing w:after="0" w:line="360" w:lineRule="auto"/>
        <w:rPr>
          <w:rFonts w:asciiTheme="majorBidi" w:hAnsiTheme="majorBidi" w:cstheme="majorBidi"/>
          <w:sz w:val="24"/>
          <w:szCs w:val="24"/>
        </w:rPr>
      </w:pPr>
      <w:proofErr w:type="spellStart"/>
      <w:r w:rsidRPr="00960D4D">
        <w:rPr>
          <w:rFonts w:asciiTheme="majorBidi" w:hAnsiTheme="majorBidi" w:cstheme="majorBidi"/>
          <w:sz w:val="24"/>
          <w:szCs w:val="24"/>
        </w:rPr>
        <w:t>Samad</w:t>
      </w:r>
      <w:proofErr w:type="spellEnd"/>
      <w:r w:rsidRPr="00960D4D">
        <w:rPr>
          <w:rFonts w:asciiTheme="majorBidi" w:hAnsiTheme="majorBidi" w:cstheme="majorBidi"/>
          <w:sz w:val="24"/>
          <w:szCs w:val="24"/>
        </w:rPr>
        <w:t>, A., 2012. Credit Risk Determinants of Bank Failure: Evidence from US Bank Failure. International Business Research; Vol. 5, No. 9; 2012 ISSN 1913-9004 E-ISSN 1913-9012 Published by Canadian Centre of Science and Education</w:t>
      </w:r>
    </w:p>
    <w:p w:rsidR="00960D4D" w:rsidRDefault="00960D4D" w:rsidP="005947B4">
      <w:pPr>
        <w:spacing w:line="360" w:lineRule="auto"/>
        <w:jc w:val="both"/>
        <w:rPr>
          <w:rFonts w:asciiTheme="majorBidi" w:hAnsiTheme="majorBidi" w:cstheme="majorBidi"/>
          <w:sz w:val="24"/>
          <w:szCs w:val="24"/>
        </w:rPr>
      </w:pPr>
    </w:p>
    <w:p w:rsidR="004526C7" w:rsidRPr="00960D4D" w:rsidRDefault="004526C7" w:rsidP="005947B4">
      <w:pPr>
        <w:spacing w:line="360" w:lineRule="auto"/>
        <w:jc w:val="both"/>
        <w:rPr>
          <w:rFonts w:asciiTheme="majorBidi" w:hAnsiTheme="majorBidi" w:cstheme="majorBidi"/>
          <w:sz w:val="24"/>
          <w:szCs w:val="24"/>
        </w:rPr>
      </w:pPr>
      <w:proofErr w:type="spellStart"/>
      <w:r w:rsidRPr="00960D4D">
        <w:rPr>
          <w:rFonts w:asciiTheme="majorBidi" w:hAnsiTheme="majorBidi" w:cstheme="majorBidi"/>
          <w:sz w:val="24"/>
          <w:szCs w:val="24"/>
        </w:rPr>
        <w:t>Shahid</w:t>
      </w:r>
      <w:proofErr w:type="spellEnd"/>
      <w:r w:rsidRPr="00960D4D">
        <w:rPr>
          <w:rFonts w:asciiTheme="majorBidi" w:hAnsiTheme="majorBidi" w:cstheme="majorBidi"/>
          <w:sz w:val="24"/>
          <w:szCs w:val="24"/>
        </w:rPr>
        <w:t xml:space="preserve">, H., </w:t>
      </w:r>
      <w:proofErr w:type="spellStart"/>
      <w:r w:rsidRPr="00960D4D">
        <w:rPr>
          <w:rFonts w:asciiTheme="majorBidi" w:hAnsiTheme="majorBidi" w:cstheme="majorBidi"/>
          <w:sz w:val="24"/>
          <w:szCs w:val="24"/>
        </w:rPr>
        <w:t>Rehman</w:t>
      </w:r>
      <w:proofErr w:type="spellEnd"/>
      <w:r w:rsidRPr="00960D4D">
        <w:rPr>
          <w:rFonts w:asciiTheme="majorBidi" w:hAnsiTheme="majorBidi" w:cstheme="majorBidi"/>
          <w:sz w:val="24"/>
          <w:szCs w:val="24"/>
        </w:rPr>
        <w:t xml:space="preserve">, R., </w:t>
      </w:r>
      <w:proofErr w:type="spellStart"/>
      <w:r w:rsidRPr="00960D4D">
        <w:rPr>
          <w:rFonts w:asciiTheme="majorBidi" w:hAnsiTheme="majorBidi" w:cstheme="majorBidi"/>
          <w:sz w:val="24"/>
          <w:szCs w:val="24"/>
        </w:rPr>
        <w:t>Niazi</w:t>
      </w:r>
      <w:proofErr w:type="spellEnd"/>
      <w:r w:rsidRPr="00960D4D">
        <w:rPr>
          <w:rFonts w:asciiTheme="majorBidi" w:hAnsiTheme="majorBidi" w:cstheme="majorBidi"/>
          <w:sz w:val="24"/>
          <w:szCs w:val="24"/>
        </w:rPr>
        <w:t xml:space="preserve">, G. S. K., </w:t>
      </w:r>
      <w:proofErr w:type="spellStart"/>
      <w:r w:rsidRPr="00960D4D">
        <w:rPr>
          <w:rFonts w:asciiTheme="majorBidi" w:hAnsiTheme="majorBidi" w:cstheme="majorBidi"/>
          <w:sz w:val="24"/>
          <w:szCs w:val="24"/>
        </w:rPr>
        <w:t>Raoof</w:t>
      </w:r>
      <w:proofErr w:type="spellEnd"/>
      <w:r w:rsidRPr="00960D4D">
        <w:rPr>
          <w:rFonts w:asciiTheme="majorBidi" w:hAnsiTheme="majorBidi" w:cstheme="majorBidi"/>
          <w:sz w:val="24"/>
          <w:szCs w:val="24"/>
        </w:rPr>
        <w:t xml:space="preserve">, A., 2010. </w:t>
      </w:r>
      <w:proofErr w:type="gramStart"/>
      <w:r w:rsidRPr="00960D4D">
        <w:rPr>
          <w:rFonts w:asciiTheme="majorBidi" w:hAnsiTheme="majorBidi" w:cstheme="majorBidi"/>
          <w:sz w:val="24"/>
          <w:szCs w:val="24"/>
        </w:rPr>
        <w:t>Efficiencies Comparison of Islamic and Conventional Banks of Pakistan.</w:t>
      </w:r>
      <w:proofErr w:type="gramEnd"/>
      <w:r w:rsidRPr="00960D4D">
        <w:rPr>
          <w:rFonts w:asciiTheme="majorBidi" w:hAnsiTheme="majorBidi" w:cstheme="majorBidi"/>
          <w:sz w:val="24"/>
          <w:szCs w:val="24"/>
        </w:rPr>
        <w:t xml:space="preserve"> International Research Journal of Finance and Economics 49, 24-42.</w:t>
      </w:r>
    </w:p>
    <w:p w:rsidR="00944797" w:rsidRPr="00960D4D" w:rsidRDefault="00944797" w:rsidP="005947B4">
      <w:pPr>
        <w:spacing w:line="360" w:lineRule="auto"/>
        <w:jc w:val="both"/>
        <w:rPr>
          <w:rFonts w:asciiTheme="majorBidi" w:hAnsiTheme="majorBidi" w:cstheme="majorBidi"/>
          <w:sz w:val="24"/>
          <w:szCs w:val="24"/>
        </w:rPr>
      </w:pPr>
      <w:r w:rsidRPr="00960D4D">
        <w:rPr>
          <w:rFonts w:asciiTheme="majorBidi" w:hAnsiTheme="majorBidi" w:cstheme="majorBidi"/>
          <w:sz w:val="24"/>
          <w:szCs w:val="24"/>
        </w:rPr>
        <w:t xml:space="preserve">Sun, L., Chang, T. P., 2011. </w:t>
      </w:r>
      <w:proofErr w:type="gramStart"/>
      <w:r w:rsidRPr="00960D4D">
        <w:rPr>
          <w:rFonts w:asciiTheme="majorBidi" w:hAnsiTheme="majorBidi" w:cstheme="majorBidi"/>
          <w:sz w:val="24"/>
          <w:szCs w:val="24"/>
        </w:rPr>
        <w:t xml:space="preserve">A comprehensive analysis of the effects of risk measures on bank efﬁciency: Evidence from emerging Asian countries” Journal of Banking &amp; Finance </w:t>
      </w:r>
      <w:hyperlink r:id="rId27" w:tooltip="Go to table of contents for this volume/issue" w:history="1">
        <w:r w:rsidRPr="00960D4D">
          <w:rPr>
            <w:rFonts w:asciiTheme="majorBidi" w:hAnsiTheme="majorBidi" w:cstheme="majorBidi" w:hint="eastAsia"/>
            <w:sz w:val="24"/>
            <w:szCs w:val="24"/>
          </w:rPr>
          <w:t xml:space="preserve">35, </w:t>
        </w:r>
      </w:hyperlink>
      <w:r w:rsidRPr="00960D4D">
        <w:rPr>
          <w:rFonts w:asciiTheme="majorBidi" w:hAnsiTheme="majorBidi" w:cstheme="majorBidi" w:hint="eastAsia"/>
          <w:sz w:val="24"/>
          <w:szCs w:val="24"/>
        </w:rPr>
        <w:t>1727</w:t>
      </w:r>
      <w:r w:rsidRPr="00960D4D">
        <w:rPr>
          <w:rFonts w:asciiTheme="majorBidi" w:hAnsiTheme="majorBidi" w:cstheme="majorBidi" w:hint="eastAsia"/>
          <w:sz w:val="24"/>
          <w:szCs w:val="24"/>
        </w:rPr>
        <w:t>–</w:t>
      </w:r>
      <w:r w:rsidRPr="00960D4D">
        <w:rPr>
          <w:rFonts w:asciiTheme="majorBidi" w:hAnsiTheme="majorBidi" w:cstheme="majorBidi" w:hint="eastAsia"/>
          <w:sz w:val="24"/>
          <w:szCs w:val="24"/>
        </w:rPr>
        <w:t>1735</w:t>
      </w:r>
      <w:r w:rsidRPr="00960D4D">
        <w:rPr>
          <w:rFonts w:asciiTheme="majorBidi" w:hAnsiTheme="majorBidi" w:cstheme="majorBidi"/>
          <w:sz w:val="24"/>
          <w:szCs w:val="24"/>
        </w:rPr>
        <w:t>.</w:t>
      </w:r>
      <w:proofErr w:type="gramEnd"/>
    </w:p>
    <w:p w:rsidR="002B250F" w:rsidRPr="00960D4D" w:rsidRDefault="002B250F" w:rsidP="005947B4">
      <w:pPr>
        <w:shd w:val="clear" w:color="auto" w:fill="FFFFFF"/>
        <w:spacing w:line="360" w:lineRule="auto"/>
        <w:rPr>
          <w:rFonts w:asciiTheme="majorBidi" w:hAnsiTheme="majorBidi" w:cstheme="majorBidi"/>
          <w:sz w:val="24"/>
          <w:szCs w:val="24"/>
        </w:rPr>
      </w:pPr>
      <w:r w:rsidRPr="00960D4D">
        <w:rPr>
          <w:rFonts w:asciiTheme="majorBidi" w:hAnsiTheme="majorBidi" w:cstheme="majorBidi"/>
          <w:sz w:val="24"/>
          <w:szCs w:val="24"/>
        </w:rPr>
        <w:t>Wu, C.R., Tsai, H.Y., Wang, Y. M., 2008. Efficiency Comparison of Operational and Profitability: A Case of Hong Kong Commercial Banks. Journal of Social Sciences 4, 280-287.</w:t>
      </w:r>
    </w:p>
    <w:p w:rsidR="001A51CC" w:rsidRPr="00D808BA" w:rsidRDefault="009A0C23" w:rsidP="005947B4">
      <w:pPr>
        <w:autoSpaceDE w:val="0"/>
        <w:autoSpaceDN w:val="0"/>
        <w:adjustRightInd w:val="0"/>
        <w:spacing w:after="0" w:line="360" w:lineRule="auto"/>
        <w:rPr>
          <w:rFonts w:asciiTheme="majorBidi" w:hAnsiTheme="majorBidi" w:cstheme="majorBidi"/>
          <w:sz w:val="24"/>
          <w:szCs w:val="24"/>
        </w:rPr>
      </w:pPr>
      <w:proofErr w:type="spellStart"/>
      <w:proofErr w:type="gramStart"/>
      <w:r w:rsidRPr="00960D4D">
        <w:rPr>
          <w:rFonts w:asciiTheme="majorBidi" w:hAnsiTheme="majorBidi" w:cstheme="majorBidi"/>
          <w:sz w:val="24"/>
          <w:szCs w:val="24"/>
        </w:rPr>
        <w:t>Zreika</w:t>
      </w:r>
      <w:proofErr w:type="spellEnd"/>
      <w:r w:rsidRPr="00960D4D">
        <w:rPr>
          <w:rFonts w:asciiTheme="majorBidi" w:hAnsiTheme="majorBidi" w:cstheme="majorBidi"/>
          <w:sz w:val="24"/>
          <w:szCs w:val="24"/>
        </w:rPr>
        <w:t xml:space="preserve">, M., </w:t>
      </w:r>
      <w:proofErr w:type="spellStart"/>
      <w:r w:rsidRPr="00960D4D">
        <w:rPr>
          <w:rFonts w:asciiTheme="majorBidi" w:hAnsiTheme="majorBidi" w:cstheme="majorBidi"/>
          <w:sz w:val="24"/>
          <w:szCs w:val="24"/>
        </w:rPr>
        <w:t>Elkanj</w:t>
      </w:r>
      <w:proofErr w:type="spellEnd"/>
      <w:r w:rsidRPr="00960D4D">
        <w:rPr>
          <w:rFonts w:asciiTheme="majorBidi" w:hAnsiTheme="majorBidi" w:cstheme="majorBidi"/>
          <w:sz w:val="24"/>
          <w:szCs w:val="24"/>
        </w:rPr>
        <w:t>, N., 2011.</w:t>
      </w:r>
      <w:proofErr w:type="gramEnd"/>
      <w:r w:rsidRPr="00960D4D">
        <w:rPr>
          <w:rFonts w:asciiTheme="majorBidi" w:hAnsiTheme="majorBidi" w:cstheme="majorBidi"/>
          <w:sz w:val="24"/>
          <w:szCs w:val="24"/>
        </w:rPr>
        <w:t xml:space="preserve"> </w:t>
      </w:r>
      <w:proofErr w:type="gramStart"/>
      <w:r w:rsidRPr="00960D4D">
        <w:rPr>
          <w:rFonts w:asciiTheme="majorBidi" w:hAnsiTheme="majorBidi" w:cstheme="majorBidi"/>
          <w:sz w:val="24"/>
          <w:szCs w:val="24"/>
        </w:rPr>
        <w:t>Banking Efficiency in Lebanon: An Empirical Investigation.</w:t>
      </w:r>
      <w:proofErr w:type="gramEnd"/>
      <w:r w:rsidRPr="00960D4D">
        <w:rPr>
          <w:rFonts w:asciiTheme="majorBidi" w:hAnsiTheme="majorBidi" w:cstheme="majorBidi"/>
          <w:sz w:val="24"/>
          <w:szCs w:val="24"/>
        </w:rPr>
        <w:t xml:space="preserve"> Journal of Social Sciences 7 (2): 199-208, 2011 ISSN 1549-3652</w:t>
      </w:r>
    </w:p>
    <w:p w:rsidR="005D398C" w:rsidRDefault="005D398C" w:rsidP="005947B4">
      <w:pPr>
        <w:autoSpaceDE w:val="0"/>
        <w:autoSpaceDN w:val="0"/>
        <w:adjustRightInd w:val="0"/>
        <w:spacing w:after="0" w:line="360" w:lineRule="auto"/>
        <w:rPr>
          <w:rFonts w:asciiTheme="majorBidi" w:hAnsiTheme="majorBidi" w:cstheme="majorBidi"/>
          <w:sz w:val="24"/>
          <w:szCs w:val="24"/>
        </w:rPr>
      </w:pPr>
    </w:p>
    <w:p w:rsidR="005947B4" w:rsidRDefault="005947B4" w:rsidP="005947B4">
      <w:pPr>
        <w:autoSpaceDE w:val="0"/>
        <w:autoSpaceDN w:val="0"/>
        <w:adjustRightInd w:val="0"/>
        <w:spacing w:after="0" w:line="360" w:lineRule="auto"/>
        <w:rPr>
          <w:rFonts w:asciiTheme="majorBidi" w:hAnsiTheme="majorBidi" w:cstheme="majorBidi"/>
          <w:sz w:val="24"/>
          <w:szCs w:val="24"/>
        </w:rPr>
      </w:pPr>
    </w:p>
    <w:p w:rsidR="005947B4" w:rsidRPr="00D808BA" w:rsidRDefault="005947B4" w:rsidP="005947B4">
      <w:pPr>
        <w:autoSpaceDE w:val="0"/>
        <w:autoSpaceDN w:val="0"/>
        <w:adjustRightInd w:val="0"/>
        <w:spacing w:after="0" w:line="360" w:lineRule="auto"/>
        <w:rPr>
          <w:rFonts w:asciiTheme="majorBidi" w:hAnsiTheme="majorBidi" w:cstheme="majorBidi"/>
          <w:sz w:val="24"/>
          <w:szCs w:val="24"/>
        </w:rPr>
      </w:pPr>
    </w:p>
    <w:p w:rsidR="00B675E8" w:rsidRPr="000C257B" w:rsidRDefault="005D0217" w:rsidP="005947B4">
      <w:pPr>
        <w:spacing w:line="360" w:lineRule="auto"/>
        <w:jc w:val="both"/>
        <w:rPr>
          <w:rFonts w:asciiTheme="majorBidi" w:hAnsiTheme="majorBidi" w:cstheme="majorBidi"/>
          <w:b/>
          <w:bCs/>
          <w:sz w:val="28"/>
          <w:szCs w:val="28"/>
        </w:rPr>
      </w:pPr>
      <w:r>
        <w:rPr>
          <w:rFonts w:asciiTheme="majorBidi" w:hAnsiTheme="majorBidi" w:cstheme="majorBidi"/>
          <w:sz w:val="24"/>
          <w:szCs w:val="24"/>
        </w:rPr>
        <w:t>Appendix</w:t>
      </w:r>
    </w:p>
    <w:tbl>
      <w:tblPr>
        <w:tblW w:w="9170" w:type="dxa"/>
        <w:tblInd w:w="-34" w:type="dxa"/>
        <w:tblLook w:val="04A0" w:firstRow="1" w:lastRow="0" w:firstColumn="1" w:lastColumn="0" w:noHBand="0" w:noVBand="1"/>
      </w:tblPr>
      <w:tblGrid>
        <w:gridCol w:w="550"/>
        <w:gridCol w:w="2988"/>
        <w:gridCol w:w="2952"/>
        <w:gridCol w:w="2680"/>
      </w:tblGrid>
      <w:tr w:rsidR="00B675E8" w:rsidRPr="000C257B" w:rsidTr="00892FA6">
        <w:trPr>
          <w:trHeight w:val="389"/>
        </w:trPr>
        <w:tc>
          <w:tcPr>
            <w:tcW w:w="5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No</w:t>
            </w:r>
          </w:p>
        </w:tc>
        <w:tc>
          <w:tcPr>
            <w:tcW w:w="2988" w:type="dxa"/>
            <w:tcBorders>
              <w:top w:val="single" w:sz="4" w:space="0" w:color="auto"/>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Saudi Arabia</w:t>
            </w:r>
          </w:p>
        </w:tc>
        <w:tc>
          <w:tcPr>
            <w:tcW w:w="2952" w:type="dxa"/>
            <w:tcBorders>
              <w:top w:val="single" w:sz="4" w:space="0" w:color="auto"/>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single" w:sz="4" w:space="0" w:color="auto"/>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Al Rajhi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127.2546897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Samba Financial Group</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9.094473518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147.9223073</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lastRenderedPageBreak/>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Banque</w:t>
            </w:r>
            <w:proofErr w:type="spellEnd"/>
            <w:r w:rsidRPr="000C257B">
              <w:rPr>
                <w:rFonts w:asciiTheme="majorBidi" w:eastAsia="Times New Roman" w:hAnsiTheme="majorBidi" w:cstheme="majorBidi"/>
                <w:color w:val="000000"/>
                <w:lang w:eastAsia="en-GB"/>
              </w:rPr>
              <w:t xml:space="preserve"> Saudi </w:t>
            </w:r>
            <w:proofErr w:type="spellStart"/>
            <w:r w:rsidRPr="000C257B">
              <w:rPr>
                <w:rFonts w:asciiTheme="majorBidi" w:eastAsia="Times New Roman" w:hAnsiTheme="majorBidi" w:cstheme="majorBidi"/>
                <w:color w:val="000000"/>
                <w:lang w:eastAsia="en-GB"/>
              </w:rPr>
              <w:t>Fransi</w:t>
            </w:r>
            <w:proofErr w:type="spellEnd"/>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14.72746711</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160.7235494</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SAAB </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18.98670516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170.4028676</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Saudi </w:t>
            </w:r>
            <w:proofErr w:type="spellStart"/>
            <w:r w:rsidRPr="000C257B">
              <w:rPr>
                <w:rFonts w:asciiTheme="majorBidi" w:eastAsia="Times New Roman" w:hAnsiTheme="majorBidi" w:cstheme="majorBidi"/>
                <w:color w:val="000000"/>
                <w:lang w:eastAsia="en-GB"/>
              </w:rPr>
              <w:t>Holandi</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26.60594361</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187.7179443</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Arab National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35.66324604</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208.3010888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7</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The Saudi Investment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44.07561166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227.4185842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8</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Riyad</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44.48230159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228.3428061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9</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Bank Al-</w:t>
            </w:r>
            <w:proofErr w:type="spellStart"/>
            <w:r w:rsidRPr="000C257B">
              <w:rPr>
                <w:rFonts w:asciiTheme="majorBidi" w:eastAsia="Times New Roman" w:hAnsiTheme="majorBidi" w:cstheme="majorBidi"/>
                <w:color w:val="000000"/>
                <w:lang w:eastAsia="en-GB"/>
              </w:rPr>
              <w:t>Jazira</w:t>
            </w:r>
            <w:proofErr w:type="spellEnd"/>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85.61287675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321.8139671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No</w:t>
            </w:r>
          </w:p>
        </w:tc>
        <w:tc>
          <w:tcPr>
            <w:tcW w:w="2988"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United Arab Emirates</w:t>
            </w:r>
          </w:p>
        </w:tc>
        <w:tc>
          <w:tcPr>
            <w:tcW w:w="2952"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Abu Dhabi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5.415464879</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Dubai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9.375611483</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15.29880931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First Gulf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25.08648953</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31.86050444</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Union National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41.13068006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48.77356247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National Bank Of </w:t>
            </w:r>
            <w:proofErr w:type="spellStart"/>
            <w:r w:rsidRPr="000C257B">
              <w:rPr>
                <w:rFonts w:asciiTheme="majorBidi" w:eastAsia="Times New Roman" w:hAnsiTheme="majorBidi" w:cstheme="majorBidi"/>
                <w:color w:val="000000"/>
                <w:lang w:eastAsia="en-GB"/>
              </w:rPr>
              <w:t>Ras</w:t>
            </w:r>
            <w:proofErr w:type="spellEnd"/>
            <w:r w:rsidRPr="000C257B">
              <w:rPr>
                <w:rFonts w:asciiTheme="majorBidi" w:eastAsia="Times New Roman" w:hAnsiTheme="majorBidi" w:cstheme="majorBidi"/>
                <w:color w:val="000000"/>
                <w:lang w:eastAsia="en-GB"/>
              </w:rPr>
              <w:t xml:space="preserve"> Al </w:t>
            </w:r>
            <w:proofErr w:type="spellStart"/>
            <w:r w:rsidRPr="000C257B">
              <w:rPr>
                <w:rFonts w:asciiTheme="majorBidi" w:eastAsia="Times New Roman" w:hAnsiTheme="majorBidi" w:cstheme="majorBidi"/>
                <w:color w:val="000000"/>
                <w:lang w:eastAsia="en-GB"/>
              </w:rPr>
              <w:t>Khaimah</w:t>
            </w:r>
            <w:proofErr w:type="spellEnd"/>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48.40072573</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56.43731491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Abu Dhabi Commercial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56.90538531</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65.40254135</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7</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National Bank of Umm Al </w:t>
            </w:r>
            <w:proofErr w:type="spellStart"/>
            <w:r w:rsidRPr="000C257B">
              <w:rPr>
                <w:rFonts w:asciiTheme="majorBidi" w:eastAsia="Times New Roman" w:hAnsiTheme="majorBidi" w:cstheme="majorBidi"/>
                <w:color w:val="000000"/>
                <w:lang w:eastAsia="en-GB"/>
              </w:rPr>
              <w:t>Qaiwain</w:t>
            </w:r>
            <w:proofErr w:type="spellEnd"/>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57.21360618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65.7274538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8</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National Bank of Abu Dhabi</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103.5715284</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114.595873</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9</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Commercial Bank of Dubai</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105.6500059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116.7869098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10</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National Bank of Fujairah</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120.2364202</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132.1632462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Ajman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130.7258465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143.2207237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Emirates NBD</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139.8199261</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152.8072899</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Bank of Sharjah</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147.2614866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160.6518455</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Sharjah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212.3864055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229.3035816</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No</w:t>
            </w:r>
          </w:p>
        </w:tc>
        <w:tc>
          <w:tcPr>
            <w:tcW w:w="2988"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QATER</w:t>
            </w:r>
          </w:p>
        </w:tc>
        <w:tc>
          <w:tcPr>
            <w:tcW w:w="2952"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Qatar National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31.3321972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Qatar International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14.6953315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50.63189895</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Masraf</w:t>
            </w:r>
            <w:proofErr w:type="spellEnd"/>
            <w:r w:rsidRPr="000C257B">
              <w:rPr>
                <w:rFonts w:asciiTheme="majorBidi" w:eastAsia="Times New Roman" w:hAnsiTheme="majorBidi" w:cstheme="majorBidi"/>
                <w:color w:val="000000"/>
                <w:lang w:eastAsia="en-GB"/>
              </w:rPr>
              <w:t xml:space="preserve"> Al Rayan</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16.73573245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53.31160234</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Qatar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57.18940299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106.4402967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Commercial Bank of Qatar</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59.18786764</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109.0649243</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Doha Bank </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80.24533532</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136.7201592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7</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Al </w:t>
            </w:r>
            <w:proofErr w:type="spellStart"/>
            <w:r w:rsidRPr="000C257B">
              <w:rPr>
                <w:rFonts w:asciiTheme="majorBidi" w:eastAsia="Times New Roman" w:hAnsiTheme="majorBidi" w:cstheme="majorBidi"/>
                <w:color w:val="000000"/>
                <w:lang w:eastAsia="en-GB"/>
              </w:rPr>
              <w:t>Khalij</w:t>
            </w:r>
            <w:proofErr w:type="spellEnd"/>
            <w:r w:rsidRPr="000C257B">
              <w:rPr>
                <w:rFonts w:asciiTheme="majorBidi" w:eastAsia="Times New Roman" w:hAnsiTheme="majorBidi" w:cstheme="majorBidi"/>
                <w:color w:val="000000"/>
                <w:lang w:eastAsia="en-GB"/>
              </w:rPr>
              <w:t xml:space="preserve"> Commercial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132.6884582</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205.5948648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lastRenderedPageBreak/>
              <w:t>No</w:t>
            </w:r>
          </w:p>
        </w:tc>
        <w:tc>
          <w:tcPr>
            <w:tcW w:w="2988"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BAHRAIN</w:t>
            </w:r>
          </w:p>
        </w:tc>
        <w:tc>
          <w:tcPr>
            <w:tcW w:w="2952"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Al </w:t>
            </w:r>
            <w:proofErr w:type="spellStart"/>
            <w:r w:rsidRPr="000C257B">
              <w:rPr>
                <w:rFonts w:asciiTheme="majorBidi" w:eastAsia="Times New Roman" w:hAnsiTheme="majorBidi" w:cstheme="majorBidi"/>
                <w:color w:val="000000"/>
                <w:lang w:eastAsia="en-GB"/>
              </w:rPr>
              <w:t>Ahli</w:t>
            </w:r>
            <w:proofErr w:type="spellEnd"/>
            <w:r w:rsidRPr="000C257B">
              <w:rPr>
                <w:rFonts w:asciiTheme="majorBidi" w:eastAsia="Times New Roman" w:hAnsiTheme="majorBidi" w:cstheme="majorBidi"/>
                <w:color w:val="000000"/>
                <w:lang w:eastAsia="en-GB"/>
              </w:rPr>
              <w:t xml:space="preserve"> United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73.40018677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National Bank of Bahrain</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9.124150056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89.22148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BBK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16.20721955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101.5035357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Khaleeji</w:t>
            </w:r>
            <w:proofErr w:type="spellEnd"/>
            <w:r w:rsidRPr="000C257B">
              <w:rPr>
                <w:rFonts w:asciiTheme="majorBidi" w:eastAsia="Times New Roman" w:hAnsiTheme="majorBidi" w:cstheme="majorBidi"/>
                <w:color w:val="000000"/>
                <w:lang w:eastAsia="en-GB"/>
              </w:rPr>
              <w:t xml:space="preserve"> </w:t>
            </w:r>
            <w:proofErr w:type="spellStart"/>
            <w:r w:rsidRPr="000C257B">
              <w:rPr>
                <w:rFonts w:asciiTheme="majorBidi" w:eastAsia="Times New Roman" w:hAnsiTheme="majorBidi" w:cstheme="majorBidi"/>
                <w:color w:val="000000"/>
                <w:lang w:eastAsia="en-GB"/>
              </w:rPr>
              <w:t>Comercial</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46.9865688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154.8749848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Bahrain Islamic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84.91761026</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220.6474816</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Al Salam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160.5850329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351.8549337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7</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Ithmaar</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249.5070373</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506.0458554</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No</w:t>
            </w:r>
          </w:p>
        </w:tc>
        <w:tc>
          <w:tcPr>
            <w:tcW w:w="2988"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OMAN</w:t>
            </w:r>
          </w:p>
        </w:tc>
        <w:tc>
          <w:tcPr>
            <w:tcW w:w="2952"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Ahli</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58.55271882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National Bank Of Oman</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33.27732699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111.3148255</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Bank Muscat</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53.36119933</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143.1583511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Sohar</w:t>
            </w:r>
            <w:proofErr w:type="spellEnd"/>
            <w:r w:rsidRPr="000C257B">
              <w:rPr>
                <w:rFonts w:asciiTheme="majorBidi" w:eastAsia="Times New Roman" w:hAnsiTheme="majorBidi" w:cstheme="majorBidi"/>
                <w:color w:val="000000"/>
                <w:lang w:eastAsia="en-GB"/>
              </w:rPr>
              <w:t xml:space="preserve">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70.27355198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169.9733461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Bank </w:t>
            </w:r>
            <w:proofErr w:type="spellStart"/>
            <w:r w:rsidRPr="000C257B">
              <w:rPr>
                <w:rFonts w:asciiTheme="majorBidi" w:eastAsia="Times New Roman" w:hAnsiTheme="majorBidi" w:cstheme="majorBidi"/>
                <w:color w:val="000000"/>
                <w:lang w:eastAsia="en-GB"/>
              </w:rPr>
              <w:t>Dhofar</w:t>
            </w:r>
            <w:proofErr w:type="spellEnd"/>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74.41601548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176.5413346</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HSBC BANK OMAN</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158.5471332</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309.9335091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No</w:t>
            </w:r>
          </w:p>
        </w:tc>
        <w:tc>
          <w:tcPr>
            <w:tcW w:w="2988"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KUWAIT</w:t>
            </w:r>
          </w:p>
        </w:tc>
        <w:tc>
          <w:tcPr>
            <w:tcW w:w="2952"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within Country</w:t>
            </w:r>
          </w:p>
        </w:tc>
        <w:tc>
          <w:tcPr>
            <w:tcW w:w="2680" w:type="dxa"/>
            <w:tcBorders>
              <w:top w:val="nil"/>
              <w:left w:val="nil"/>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Efficiency Gape % by Top Bank</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1</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Commercial Bank of Kuwait</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0</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2</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Kuwait Finance House</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5.005307628</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5.005307628</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3</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National Bank of Kuwait</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8.926147139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8.926147139</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4</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Kuwait International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35.67420914</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35.67420914</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5</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Burgan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50.83578485</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50.83578485</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6</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Al </w:t>
            </w:r>
            <w:proofErr w:type="spellStart"/>
            <w:r w:rsidRPr="000C257B">
              <w:rPr>
                <w:rFonts w:asciiTheme="majorBidi" w:eastAsia="Times New Roman" w:hAnsiTheme="majorBidi" w:cstheme="majorBidi"/>
                <w:color w:val="000000"/>
                <w:lang w:eastAsia="en-GB"/>
              </w:rPr>
              <w:t>Ahli</w:t>
            </w:r>
            <w:proofErr w:type="spellEnd"/>
            <w:r w:rsidRPr="000C257B">
              <w:rPr>
                <w:rFonts w:asciiTheme="majorBidi" w:eastAsia="Times New Roman" w:hAnsiTheme="majorBidi" w:cstheme="majorBidi"/>
                <w:color w:val="000000"/>
                <w:lang w:eastAsia="en-GB"/>
              </w:rPr>
              <w:t xml:space="preserve"> United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73.30708402</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73.30708402</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7</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 xml:space="preserve">Al </w:t>
            </w:r>
            <w:proofErr w:type="spellStart"/>
            <w:r w:rsidRPr="000C257B">
              <w:rPr>
                <w:rFonts w:asciiTheme="majorBidi" w:eastAsia="Times New Roman" w:hAnsiTheme="majorBidi" w:cstheme="majorBidi"/>
                <w:color w:val="000000"/>
                <w:lang w:eastAsia="en-GB"/>
              </w:rPr>
              <w:t>Ahli</w:t>
            </w:r>
            <w:proofErr w:type="spellEnd"/>
            <w:r w:rsidRPr="000C257B">
              <w:rPr>
                <w:rFonts w:asciiTheme="majorBidi" w:eastAsia="Times New Roman" w:hAnsiTheme="majorBidi" w:cstheme="majorBidi"/>
                <w:color w:val="000000"/>
                <w:lang w:eastAsia="en-GB"/>
              </w:rPr>
              <w:t xml:space="preserve"> Bank of Kuwait</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77.57205991</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77.57205991</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8</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Gulf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93.31568567</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93.31568567</w:t>
            </w:r>
          </w:p>
        </w:tc>
      </w:tr>
      <w:tr w:rsidR="00B675E8" w:rsidRPr="000C257B" w:rsidTr="00892FA6">
        <w:trPr>
          <w:trHeight w:val="389"/>
        </w:trPr>
        <w:tc>
          <w:tcPr>
            <w:tcW w:w="550" w:type="dxa"/>
            <w:tcBorders>
              <w:top w:val="nil"/>
              <w:left w:val="single" w:sz="4" w:space="0" w:color="auto"/>
              <w:bottom w:val="single" w:sz="4" w:space="0" w:color="auto"/>
              <w:right w:val="single" w:sz="4" w:space="0" w:color="auto"/>
            </w:tcBorders>
            <w:shd w:val="clear" w:color="000000" w:fill="D9D9D9"/>
            <w:noWrap/>
            <w:vAlign w:val="center"/>
            <w:hideMark/>
          </w:tcPr>
          <w:p w:rsidR="00B675E8" w:rsidRPr="000C257B" w:rsidRDefault="00B675E8" w:rsidP="005947B4">
            <w:pPr>
              <w:spacing w:after="0" w:line="360" w:lineRule="auto"/>
              <w:rPr>
                <w:rFonts w:asciiTheme="majorBidi" w:eastAsia="Times New Roman" w:hAnsiTheme="majorBidi" w:cstheme="majorBidi"/>
                <w:b/>
                <w:bCs/>
                <w:color w:val="000000"/>
                <w:lang w:eastAsia="en-GB"/>
              </w:rPr>
            </w:pPr>
            <w:r w:rsidRPr="000C257B">
              <w:rPr>
                <w:rFonts w:asciiTheme="majorBidi" w:eastAsia="Times New Roman" w:hAnsiTheme="majorBidi" w:cstheme="majorBidi"/>
                <w:b/>
                <w:bCs/>
                <w:color w:val="000000"/>
                <w:lang w:eastAsia="en-GB"/>
              </w:rPr>
              <w:t>9</w:t>
            </w:r>
          </w:p>
        </w:tc>
        <w:tc>
          <w:tcPr>
            <w:tcW w:w="2988"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proofErr w:type="spellStart"/>
            <w:r w:rsidRPr="000C257B">
              <w:rPr>
                <w:rFonts w:asciiTheme="majorBidi" w:eastAsia="Times New Roman" w:hAnsiTheme="majorBidi" w:cstheme="majorBidi"/>
                <w:color w:val="000000"/>
                <w:lang w:eastAsia="en-GB"/>
              </w:rPr>
              <w:t>Ahli</w:t>
            </w:r>
            <w:proofErr w:type="spellEnd"/>
            <w:r w:rsidRPr="000C257B">
              <w:rPr>
                <w:rFonts w:asciiTheme="majorBidi" w:eastAsia="Times New Roman" w:hAnsiTheme="majorBidi" w:cstheme="majorBidi"/>
                <w:color w:val="000000"/>
                <w:lang w:eastAsia="en-GB"/>
              </w:rPr>
              <w:t xml:space="preserve"> United Bank</w:t>
            </w:r>
          </w:p>
        </w:tc>
        <w:tc>
          <w:tcPr>
            <w:tcW w:w="2952"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96.04415049</w:t>
            </w:r>
          </w:p>
        </w:tc>
        <w:tc>
          <w:tcPr>
            <w:tcW w:w="2680" w:type="dxa"/>
            <w:tcBorders>
              <w:top w:val="nil"/>
              <w:left w:val="nil"/>
              <w:bottom w:val="single" w:sz="4" w:space="0" w:color="auto"/>
              <w:right w:val="single" w:sz="4" w:space="0" w:color="auto"/>
            </w:tcBorders>
            <w:shd w:val="clear" w:color="auto" w:fill="auto"/>
            <w:noWrap/>
            <w:vAlign w:val="center"/>
            <w:hideMark/>
          </w:tcPr>
          <w:p w:rsidR="00B675E8" w:rsidRPr="000C257B" w:rsidRDefault="00B675E8" w:rsidP="005947B4">
            <w:pPr>
              <w:spacing w:after="0" w:line="360" w:lineRule="auto"/>
              <w:rPr>
                <w:rFonts w:asciiTheme="majorBidi" w:eastAsia="Times New Roman" w:hAnsiTheme="majorBidi" w:cstheme="majorBidi"/>
                <w:color w:val="000000"/>
                <w:lang w:eastAsia="en-GB"/>
              </w:rPr>
            </w:pPr>
            <w:r w:rsidRPr="000C257B">
              <w:rPr>
                <w:rFonts w:asciiTheme="majorBidi" w:eastAsia="Times New Roman" w:hAnsiTheme="majorBidi" w:cstheme="majorBidi"/>
                <w:color w:val="000000"/>
                <w:lang w:eastAsia="en-GB"/>
              </w:rPr>
              <w:t>96.04415049</w:t>
            </w:r>
          </w:p>
        </w:tc>
      </w:tr>
    </w:tbl>
    <w:p w:rsidR="00E2638E" w:rsidRPr="00EB0CAE" w:rsidRDefault="00E2638E" w:rsidP="005947B4">
      <w:pPr>
        <w:spacing w:before="100" w:beforeAutospacing="1" w:after="100" w:afterAutospacing="1" w:line="360" w:lineRule="auto"/>
        <w:rPr>
          <w:rFonts w:asciiTheme="majorBidi" w:hAnsiTheme="majorBidi" w:cstheme="majorBidi"/>
          <w:sz w:val="24"/>
          <w:szCs w:val="24"/>
        </w:rPr>
      </w:pPr>
    </w:p>
    <w:sectPr w:rsidR="00E2638E" w:rsidRPr="00EB0CAE" w:rsidSect="00AE3C11">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FA" w:rsidRDefault="00E913FA" w:rsidP="00A57D02">
      <w:pPr>
        <w:spacing w:after="0" w:line="240" w:lineRule="auto"/>
      </w:pPr>
      <w:r>
        <w:separator/>
      </w:r>
    </w:p>
  </w:endnote>
  <w:endnote w:type="continuationSeparator" w:id="0">
    <w:p w:rsidR="00E913FA" w:rsidRDefault="00E913FA" w:rsidP="00A5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20260"/>
      <w:docPartObj>
        <w:docPartGallery w:val="Page Numbers (Bottom of Page)"/>
        <w:docPartUnique/>
      </w:docPartObj>
    </w:sdtPr>
    <w:sdtEndPr>
      <w:rPr>
        <w:noProof/>
      </w:rPr>
    </w:sdtEndPr>
    <w:sdtContent>
      <w:p w:rsidR="003E77C2" w:rsidRDefault="003E77C2">
        <w:pPr>
          <w:pStyle w:val="Footer"/>
          <w:jc w:val="center"/>
        </w:pPr>
        <w:r>
          <w:fldChar w:fldCharType="begin"/>
        </w:r>
        <w:r>
          <w:instrText xml:space="preserve"> PAGE   \* MERGEFORMAT </w:instrText>
        </w:r>
        <w:r>
          <w:fldChar w:fldCharType="separate"/>
        </w:r>
        <w:r w:rsidR="00C50D74">
          <w:rPr>
            <w:noProof/>
          </w:rPr>
          <w:t>6</w:t>
        </w:r>
        <w:r>
          <w:rPr>
            <w:noProof/>
          </w:rPr>
          <w:fldChar w:fldCharType="end"/>
        </w:r>
      </w:p>
    </w:sdtContent>
  </w:sdt>
  <w:p w:rsidR="003E77C2" w:rsidRDefault="003E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FA" w:rsidRDefault="00E913FA" w:rsidP="00A57D02">
      <w:pPr>
        <w:spacing w:after="0" w:line="240" w:lineRule="auto"/>
      </w:pPr>
      <w:r>
        <w:separator/>
      </w:r>
    </w:p>
  </w:footnote>
  <w:footnote w:type="continuationSeparator" w:id="0">
    <w:p w:rsidR="00E913FA" w:rsidRDefault="00E913FA" w:rsidP="00A5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C2" w:rsidRDefault="003E77C2" w:rsidP="00032F52">
    <w:pPr>
      <w:pStyle w:val="Header"/>
      <w:jc w:val="center"/>
    </w:pPr>
  </w:p>
  <w:p w:rsidR="003E77C2" w:rsidRDefault="003E7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114"/>
    <w:multiLevelType w:val="hybridMultilevel"/>
    <w:tmpl w:val="B6BAA0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63707EBE"/>
    <w:multiLevelType w:val="multilevel"/>
    <w:tmpl w:val="258E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D8"/>
    <w:rsid w:val="0000104D"/>
    <w:rsid w:val="00007D1B"/>
    <w:rsid w:val="000209BF"/>
    <w:rsid w:val="00025177"/>
    <w:rsid w:val="00032F52"/>
    <w:rsid w:val="0004046F"/>
    <w:rsid w:val="000503B7"/>
    <w:rsid w:val="000625BD"/>
    <w:rsid w:val="0009461C"/>
    <w:rsid w:val="000C257B"/>
    <w:rsid w:val="000C3C1D"/>
    <w:rsid w:val="000E08A1"/>
    <w:rsid w:val="000E161E"/>
    <w:rsid w:val="000E7DF4"/>
    <w:rsid w:val="00107982"/>
    <w:rsid w:val="00107B15"/>
    <w:rsid w:val="0011472E"/>
    <w:rsid w:val="0013138E"/>
    <w:rsid w:val="00141E70"/>
    <w:rsid w:val="00146CB7"/>
    <w:rsid w:val="001516D9"/>
    <w:rsid w:val="001606B6"/>
    <w:rsid w:val="00162599"/>
    <w:rsid w:val="00171ED7"/>
    <w:rsid w:val="00181706"/>
    <w:rsid w:val="0019276C"/>
    <w:rsid w:val="001A51CC"/>
    <w:rsid w:val="001B3035"/>
    <w:rsid w:val="001E5D11"/>
    <w:rsid w:val="001F399A"/>
    <w:rsid w:val="001F7D60"/>
    <w:rsid w:val="00203BD8"/>
    <w:rsid w:val="002526B9"/>
    <w:rsid w:val="002526C1"/>
    <w:rsid w:val="002533D9"/>
    <w:rsid w:val="0027471F"/>
    <w:rsid w:val="00285360"/>
    <w:rsid w:val="002A751E"/>
    <w:rsid w:val="002B250F"/>
    <w:rsid w:val="002B7EE3"/>
    <w:rsid w:val="00301CFB"/>
    <w:rsid w:val="003044D0"/>
    <w:rsid w:val="00331681"/>
    <w:rsid w:val="003342B3"/>
    <w:rsid w:val="00346E08"/>
    <w:rsid w:val="00355164"/>
    <w:rsid w:val="0036437D"/>
    <w:rsid w:val="003A2EE9"/>
    <w:rsid w:val="003B3469"/>
    <w:rsid w:val="003C5CD7"/>
    <w:rsid w:val="003E77C2"/>
    <w:rsid w:val="0042648F"/>
    <w:rsid w:val="004435E8"/>
    <w:rsid w:val="004526C7"/>
    <w:rsid w:val="00453B64"/>
    <w:rsid w:val="0048451E"/>
    <w:rsid w:val="004D1790"/>
    <w:rsid w:val="004D55D7"/>
    <w:rsid w:val="004D56C5"/>
    <w:rsid w:val="004F67D1"/>
    <w:rsid w:val="005079E5"/>
    <w:rsid w:val="00542B1E"/>
    <w:rsid w:val="00545939"/>
    <w:rsid w:val="00560DDA"/>
    <w:rsid w:val="00560E73"/>
    <w:rsid w:val="005661A0"/>
    <w:rsid w:val="005712B3"/>
    <w:rsid w:val="00574B60"/>
    <w:rsid w:val="0059082C"/>
    <w:rsid w:val="00590B1C"/>
    <w:rsid w:val="005947B4"/>
    <w:rsid w:val="005A1F38"/>
    <w:rsid w:val="005B50D6"/>
    <w:rsid w:val="005C41BE"/>
    <w:rsid w:val="005D0217"/>
    <w:rsid w:val="005D1403"/>
    <w:rsid w:val="005D398C"/>
    <w:rsid w:val="005F0E9B"/>
    <w:rsid w:val="005F11AF"/>
    <w:rsid w:val="005F1CA8"/>
    <w:rsid w:val="005F1E49"/>
    <w:rsid w:val="0060368B"/>
    <w:rsid w:val="006054EE"/>
    <w:rsid w:val="00624D86"/>
    <w:rsid w:val="00693E85"/>
    <w:rsid w:val="006957D6"/>
    <w:rsid w:val="006966D0"/>
    <w:rsid w:val="006D4AEF"/>
    <w:rsid w:val="006E0112"/>
    <w:rsid w:val="006F7EAC"/>
    <w:rsid w:val="00712325"/>
    <w:rsid w:val="0071362E"/>
    <w:rsid w:val="00790838"/>
    <w:rsid w:val="007A1686"/>
    <w:rsid w:val="007E081A"/>
    <w:rsid w:val="007E2FEA"/>
    <w:rsid w:val="00820DEF"/>
    <w:rsid w:val="00852437"/>
    <w:rsid w:val="00852A71"/>
    <w:rsid w:val="00871771"/>
    <w:rsid w:val="008879D7"/>
    <w:rsid w:val="00892FA6"/>
    <w:rsid w:val="008A26E0"/>
    <w:rsid w:val="008B0C42"/>
    <w:rsid w:val="008E38E2"/>
    <w:rsid w:val="008E3D50"/>
    <w:rsid w:val="00924D88"/>
    <w:rsid w:val="00944797"/>
    <w:rsid w:val="009529AD"/>
    <w:rsid w:val="00960D4D"/>
    <w:rsid w:val="00964E57"/>
    <w:rsid w:val="009660E5"/>
    <w:rsid w:val="009912B0"/>
    <w:rsid w:val="00992D17"/>
    <w:rsid w:val="009956C1"/>
    <w:rsid w:val="009A0C23"/>
    <w:rsid w:val="009A2AC8"/>
    <w:rsid w:val="009A6670"/>
    <w:rsid w:val="009A794C"/>
    <w:rsid w:val="009B0627"/>
    <w:rsid w:val="009D0CA3"/>
    <w:rsid w:val="009E58AC"/>
    <w:rsid w:val="00A02BA6"/>
    <w:rsid w:val="00A06DA9"/>
    <w:rsid w:val="00A12E9F"/>
    <w:rsid w:val="00A22669"/>
    <w:rsid w:val="00A41CA6"/>
    <w:rsid w:val="00A44D26"/>
    <w:rsid w:val="00A5054F"/>
    <w:rsid w:val="00A51533"/>
    <w:rsid w:val="00A535E2"/>
    <w:rsid w:val="00A57ABF"/>
    <w:rsid w:val="00A57D02"/>
    <w:rsid w:val="00A94269"/>
    <w:rsid w:val="00A95109"/>
    <w:rsid w:val="00A95FF1"/>
    <w:rsid w:val="00AA0E00"/>
    <w:rsid w:val="00AA48E2"/>
    <w:rsid w:val="00AB1EAA"/>
    <w:rsid w:val="00AD5775"/>
    <w:rsid w:val="00AD62C2"/>
    <w:rsid w:val="00AE3C11"/>
    <w:rsid w:val="00AF0244"/>
    <w:rsid w:val="00AF431C"/>
    <w:rsid w:val="00AF4736"/>
    <w:rsid w:val="00B121FD"/>
    <w:rsid w:val="00B26DA7"/>
    <w:rsid w:val="00B27783"/>
    <w:rsid w:val="00B346B8"/>
    <w:rsid w:val="00B433F3"/>
    <w:rsid w:val="00B53741"/>
    <w:rsid w:val="00B5578B"/>
    <w:rsid w:val="00B675E8"/>
    <w:rsid w:val="00BA0BC3"/>
    <w:rsid w:val="00BA35D4"/>
    <w:rsid w:val="00BA5FE1"/>
    <w:rsid w:val="00BC7FE3"/>
    <w:rsid w:val="00C1612E"/>
    <w:rsid w:val="00C4203D"/>
    <w:rsid w:val="00C50CB1"/>
    <w:rsid w:val="00C50D74"/>
    <w:rsid w:val="00C57B32"/>
    <w:rsid w:val="00C72C6E"/>
    <w:rsid w:val="00C8564E"/>
    <w:rsid w:val="00C9550D"/>
    <w:rsid w:val="00CA7B6E"/>
    <w:rsid w:val="00CC1C35"/>
    <w:rsid w:val="00CC27C5"/>
    <w:rsid w:val="00CE0A3F"/>
    <w:rsid w:val="00CF4530"/>
    <w:rsid w:val="00D00B60"/>
    <w:rsid w:val="00D0388A"/>
    <w:rsid w:val="00D0418D"/>
    <w:rsid w:val="00D20745"/>
    <w:rsid w:val="00D218E8"/>
    <w:rsid w:val="00D5483C"/>
    <w:rsid w:val="00D7562E"/>
    <w:rsid w:val="00D808BA"/>
    <w:rsid w:val="00DA736B"/>
    <w:rsid w:val="00DB0233"/>
    <w:rsid w:val="00DE7AB4"/>
    <w:rsid w:val="00E073B2"/>
    <w:rsid w:val="00E21F26"/>
    <w:rsid w:val="00E22870"/>
    <w:rsid w:val="00E2638E"/>
    <w:rsid w:val="00E40B2F"/>
    <w:rsid w:val="00E41A01"/>
    <w:rsid w:val="00E4485E"/>
    <w:rsid w:val="00E67D10"/>
    <w:rsid w:val="00E913FA"/>
    <w:rsid w:val="00EB0CAE"/>
    <w:rsid w:val="00EB1996"/>
    <w:rsid w:val="00EB1E26"/>
    <w:rsid w:val="00EE7084"/>
    <w:rsid w:val="00F21A8D"/>
    <w:rsid w:val="00F42594"/>
    <w:rsid w:val="00F50D8E"/>
    <w:rsid w:val="00F56EA2"/>
    <w:rsid w:val="00F82453"/>
    <w:rsid w:val="00F90747"/>
    <w:rsid w:val="00F91092"/>
    <w:rsid w:val="00F918E9"/>
    <w:rsid w:val="00F969BE"/>
    <w:rsid w:val="00FA6643"/>
    <w:rsid w:val="00FC18E4"/>
    <w:rsid w:val="00FC4E92"/>
    <w:rsid w:val="00FE3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63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D02"/>
    <w:rPr>
      <w:sz w:val="20"/>
      <w:szCs w:val="20"/>
    </w:rPr>
  </w:style>
  <w:style w:type="character" w:styleId="EndnoteReference">
    <w:name w:val="endnote reference"/>
    <w:basedOn w:val="DefaultParagraphFont"/>
    <w:uiPriority w:val="99"/>
    <w:semiHidden/>
    <w:unhideWhenUsed/>
    <w:rsid w:val="00A57D02"/>
    <w:rPr>
      <w:vertAlign w:val="superscript"/>
    </w:rPr>
  </w:style>
  <w:style w:type="paragraph" w:styleId="Header">
    <w:name w:val="header"/>
    <w:basedOn w:val="Normal"/>
    <w:link w:val="HeaderChar"/>
    <w:uiPriority w:val="99"/>
    <w:unhideWhenUsed/>
    <w:rsid w:val="0003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52"/>
  </w:style>
  <w:style w:type="paragraph" w:styleId="Footer">
    <w:name w:val="footer"/>
    <w:basedOn w:val="Normal"/>
    <w:link w:val="FooterChar"/>
    <w:uiPriority w:val="99"/>
    <w:unhideWhenUsed/>
    <w:rsid w:val="0003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52"/>
  </w:style>
  <w:style w:type="paragraph" w:styleId="NoSpacing">
    <w:name w:val="No Spacing"/>
    <w:uiPriority w:val="1"/>
    <w:qFormat/>
    <w:rsid w:val="001F399A"/>
    <w:pPr>
      <w:spacing w:after="0" w:line="240" w:lineRule="auto"/>
    </w:pPr>
  </w:style>
  <w:style w:type="character" w:customStyle="1" w:styleId="Heading2Char">
    <w:name w:val="Heading 2 Char"/>
    <w:basedOn w:val="DefaultParagraphFont"/>
    <w:link w:val="Heading2"/>
    <w:uiPriority w:val="9"/>
    <w:rsid w:val="00E263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638E"/>
    <w:rPr>
      <w:color w:val="0000FF"/>
      <w:u w:val="single"/>
    </w:rPr>
  </w:style>
  <w:style w:type="paragraph" w:customStyle="1" w:styleId="articledetails">
    <w:name w:val="articledetails"/>
    <w:basedOn w:val="Normal"/>
    <w:rsid w:val="00E26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794C"/>
  </w:style>
  <w:style w:type="paragraph" w:customStyle="1" w:styleId="volissue">
    <w:name w:val="volissue"/>
    <w:basedOn w:val="Normal"/>
    <w:rsid w:val="00FC4E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F4736"/>
    <w:rPr>
      <w:color w:val="808080"/>
    </w:rPr>
  </w:style>
  <w:style w:type="paragraph" w:styleId="BalloonText">
    <w:name w:val="Balloon Text"/>
    <w:basedOn w:val="Normal"/>
    <w:link w:val="BalloonTextChar"/>
    <w:uiPriority w:val="99"/>
    <w:semiHidden/>
    <w:unhideWhenUsed/>
    <w:rsid w:val="00AF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36"/>
    <w:rPr>
      <w:rFonts w:ascii="Tahoma" w:hAnsi="Tahoma" w:cs="Tahoma"/>
      <w:sz w:val="16"/>
      <w:szCs w:val="16"/>
    </w:rPr>
  </w:style>
  <w:style w:type="table" w:styleId="LightShading">
    <w:name w:val="Light Shading"/>
    <w:basedOn w:val="TableNormal"/>
    <w:uiPriority w:val="60"/>
    <w:rsid w:val="00712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74B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63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57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D02"/>
    <w:rPr>
      <w:sz w:val="20"/>
      <w:szCs w:val="20"/>
    </w:rPr>
  </w:style>
  <w:style w:type="character" w:styleId="EndnoteReference">
    <w:name w:val="endnote reference"/>
    <w:basedOn w:val="DefaultParagraphFont"/>
    <w:uiPriority w:val="99"/>
    <w:semiHidden/>
    <w:unhideWhenUsed/>
    <w:rsid w:val="00A57D02"/>
    <w:rPr>
      <w:vertAlign w:val="superscript"/>
    </w:rPr>
  </w:style>
  <w:style w:type="paragraph" w:styleId="Header">
    <w:name w:val="header"/>
    <w:basedOn w:val="Normal"/>
    <w:link w:val="HeaderChar"/>
    <w:uiPriority w:val="99"/>
    <w:unhideWhenUsed/>
    <w:rsid w:val="0003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52"/>
  </w:style>
  <w:style w:type="paragraph" w:styleId="Footer">
    <w:name w:val="footer"/>
    <w:basedOn w:val="Normal"/>
    <w:link w:val="FooterChar"/>
    <w:uiPriority w:val="99"/>
    <w:unhideWhenUsed/>
    <w:rsid w:val="0003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52"/>
  </w:style>
  <w:style w:type="paragraph" w:styleId="NoSpacing">
    <w:name w:val="No Spacing"/>
    <w:uiPriority w:val="1"/>
    <w:qFormat/>
    <w:rsid w:val="001F399A"/>
    <w:pPr>
      <w:spacing w:after="0" w:line="240" w:lineRule="auto"/>
    </w:pPr>
  </w:style>
  <w:style w:type="character" w:customStyle="1" w:styleId="Heading2Char">
    <w:name w:val="Heading 2 Char"/>
    <w:basedOn w:val="DefaultParagraphFont"/>
    <w:link w:val="Heading2"/>
    <w:uiPriority w:val="9"/>
    <w:rsid w:val="00E2638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638E"/>
    <w:rPr>
      <w:color w:val="0000FF"/>
      <w:u w:val="single"/>
    </w:rPr>
  </w:style>
  <w:style w:type="paragraph" w:customStyle="1" w:styleId="articledetails">
    <w:name w:val="articledetails"/>
    <w:basedOn w:val="Normal"/>
    <w:rsid w:val="00E263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A794C"/>
  </w:style>
  <w:style w:type="paragraph" w:customStyle="1" w:styleId="volissue">
    <w:name w:val="volissue"/>
    <w:basedOn w:val="Normal"/>
    <w:rsid w:val="00FC4E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F4736"/>
    <w:rPr>
      <w:color w:val="808080"/>
    </w:rPr>
  </w:style>
  <w:style w:type="paragraph" w:styleId="BalloonText">
    <w:name w:val="Balloon Text"/>
    <w:basedOn w:val="Normal"/>
    <w:link w:val="BalloonTextChar"/>
    <w:uiPriority w:val="99"/>
    <w:semiHidden/>
    <w:unhideWhenUsed/>
    <w:rsid w:val="00AF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36"/>
    <w:rPr>
      <w:rFonts w:ascii="Tahoma" w:hAnsi="Tahoma" w:cs="Tahoma"/>
      <w:sz w:val="16"/>
      <w:szCs w:val="16"/>
    </w:rPr>
  </w:style>
  <w:style w:type="table" w:styleId="LightShading">
    <w:name w:val="Light Shading"/>
    <w:basedOn w:val="TableNormal"/>
    <w:uiPriority w:val="60"/>
    <w:rsid w:val="00712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D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74B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8832">
      <w:bodyDiv w:val="1"/>
      <w:marLeft w:val="0"/>
      <w:marRight w:val="0"/>
      <w:marTop w:val="0"/>
      <w:marBottom w:val="0"/>
      <w:divBdr>
        <w:top w:val="none" w:sz="0" w:space="0" w:color="auto"/>
        <w:left w:val="none" w:sz="0" w:space="0" w:color="auto"/>
        <w:bottom w:val="none" w:sz="0" w:space="0" w:color="auto"/>
        <w:right w:val="none" w:sz="0" w:space="0" w:color="auto"/>
      </w:divBdr>
    </w:div>
    <w:div w:id="456147219">
      <w:bodyDiv w:val="1"/>
      <w:marLeft w:val="0"/>
      <w:marRight w:val="0"/>
      <w:marTop w:val="0"/>
      <w:marBottom w:val="0"/>
      <w:divBdr>
        <w:top w:val="none" w:sz="0" w:space="0" w:color="auto"/>
        <w:left w:val="none" w:sz="0" w:space="0" w:color="auto"/>
        <w:bottom w:val="none" w:sz="0" w:space="0" w:color="auto"/>
        <w:right w:val="none" w:sz="0" w:space="0" w:color="auto"/>
      </w:divBdr>
      <w:divsChild>
        <w:div w:id="2124416695">
          <w:marLeft w:val="0"/>
          <w:marRight w:val="0"/>
          <w:marTop w:val="0"/>
          <w:marBottom w:val="0"/>
          <w:divBdr>
            <w:top w:val="none" w:sz="0" w:space="0" w:color="auto"/>
            <w:left w:val="none" w:sz="0" w:space="0" w:color="auto"/>
            <w:bottom w:val="none" w:sz="0" w:space="0" w:color="auto"/>
            <w:right w:val="none" w:sz="0" w:space="0" w:color="auto"/>
          </w:divBdr>
          <w:divsChild>
            <w:div w:id="1837305140">
              <w:marLeft w:val="0"/>
              <w:marRight w:val="0"/>
              <w:marTop w:val="0"/>
              <w:marBottom w:val="0"/>
              <w:divBdr>
                <w:top w:val="none" w:sz="0" w:space="0" w:color="auto"/>
                <w:left w:val="none" w:sz="0" w:space="0" w:color="auto"/>
                <w:bottom w:val="none" w:sz="0" w:space="0" w:color="auto"/>
                <w:right w:val="none" w:sz="0" w:space="0" w:color="auto"/>
              </w:divBdr>
              <w:divsChild>
                <w:div w:id="2022967409">
                  <w:marLeft w:val="0"/>
                  <w:marRight w:val="0"/>
                  <w:marTop w:val="0"/>
                  <w:marBottom w:val="0"/>
                  <w:divBdr>
                    <w:top w:val="none" w:sz="0" w:space="0" w:color="auto"/>
                    <w:left w:val="none" w:sz="0" w:space="0" w:color="auto"/>
                    <w:bottom w:val="none" w:sz="0" w:space="0" w:color="auto"/>
                    <w:right w:val="none" w:sz="0" w:space="0" w:color="auto"/>
                  </w:divBdr>
                  <w:divsChild>
                    <w:div w:id="437720862">
                      <w:marLeft w:val="0"/>
                      <w:marRight w:val="0"/>
                      <w:marTop w:val="0"/>
                      <w:marBottom w:val="0"/>
                      <w:divBdr>
                        <w:top w:val="none" w:sz="0" w:space="0" w:color="auto"/>
                        <w:left w:val="none" w:sz="0" w:space="0" w:color="auto"/>
                        <w:bottom w:val="none" w:sz="0" w:space="0" w:color="auto"/>
                        <w:right w:val="none" w:sz="0" w:space="0" w:color="auto"/>
                      </w:divBdr>
                      <w:divsChild>
                        <w:div w:id="423963321">
                          <w:marLeft w:val="0"/>
                          <w:marRight w:val="0"/>
                          <w:marTop w:val="0"/>
                          <w:marBottom w:val="0"/>
                          <w:divBdr>
                            <w:top w:val="none" w:sz="0" w:space="0" w:color="auto"/>
                            <w:left w:val="none" w:sz="0" w:space="0" w:color="auto"/>
                            <w:bottom w:val="none" w:sz="0" w:space="0" w:color="auto"/>
                            <w:right w:val="none" w:sz="0" w:space="0" w:color="auto"/>
                          </w:divBdr>
                          <w:divsChild>
                            <w:div w:id="2089229581">
                              <w:marLeft w:val="0"/>
                              <w:marRight w:val="0"/>
                              <w:marTop w:val="0"/>
                              <w:marBottom w:val="0"/>
                              <w:divBdr>
                                <w:top w:val="none" w:sz="0" w:space="0" w:color="auto"/>
                                <w:left w:val="none" w:sz="0" w:space="0" w:color="auto"/>
                                <w:bottom w:val="none" w:sz="0" w:space="0" w:color="auto"/>
                                <w:right w:val="none" w:sz="0" w:space="0" w:color="auto"/>
                              </w:divBdr>
                              <w:divsChild>
                                <w:div w:id="672680041">
                                  <w:marLeft w:val="0"/>
                                  <w:marRight w:val="0"/>
                                  <w:marTop w:val="0"/>
                                  <w:marBottom w:val="0"/>
                                  <w:divBdr>
                                    <w:top w:val="none" w:sz="0" w:space="0" w:color="auto"/>
                                    <w:left w:val="none" w:sz="0" w:space="0" w:color="auto"/>
                                    <w:bottom w:val="none" w:sz="0" w:space="0" w:color="auto"/>
                                    <w:right w:val="none" w:sz="0" w:space="0" w:color="auto"/>
                                  </w:divBdr>
                                  <w:divsChild>
                                    <w:div w:id="1222517717">
                                      <w:marLeft w:val="0"/>
                                      <w:marRight w:val="0"/>
                                      <w:marTop w:val="0"/>
                                      <w:marBottom w:val="0"/>
                                      <w:divBdr>
                                        <w:top w:val="none" w:sz="0" w:space="0" w:color="auto"/>
                                        <w:left w:val="none" w:sz="0" w:space="0" w:color="auto"/>
                                        <w:bottom w:val="none" w:sz="0" w:space="0" w:color="auto"/>
                                        <w:right w:val="none" w:sz="0" w:space="0" w:color="auto"/>
                                      </w:divBdr>
                                      <w:divsChild>
                                        <w:div w:id="2012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1548">
      <w:bodyDiv w:val="1"/>
      <w:marLeft w:val="0"/>
      <w:marRight w:val="0"/>
      <w:marTop w:val="0"/>
      <w:marBottom w:val="0"/>
      <w:divBdr>
        <w:top w:val="none" w:sz="0" w:space="0" w:color="auto"/>
        <w:left w:val="none" w:sz="0" w:space="0" w:color="auto"/>
        <w:bottom w:val="none" w:sz="0" w:space="0" w:color="auto"/>
        <w:right w:val="none" w:sz="0" w:space="0" w:color="auto"/>
      </w:divBdr>
    </w:div>
    <w:div w:id="1067802330">
      <w:bodyDiv w:val="1"/>
      <w:marLeft w:val="0"/>
      <w:marRight w:val="0"/>
      <w:marTop w:val="0"/>
      <w:marBottom w:val="0"/>
      <w:divBdr>
        <w:top w:val="none" w:sz="0" w:space="0" w:color="auto"/>
        <w:left w:val="none" w:sz="0" w:space="0" w:color="auto"/>
        <w:bottom w:val="none" w:sz="0" w:space="0" w:color="auto"/>
        <w:right w:val="none" w:sz="0" w:space="0" w:color="auto"/>
      </w:divBdr>
    </w:div>
    <w:div w:id="1311902776">
      <w:bodyDiv w:val="1"/>
      <w:marLeft w:val="0"/>
      <w:marRight w:val="0"/>
      <w:marTop w:val="0"/>
      <w:marBottom w:val="0"/>
      <w:divBdr>
        <w:top w:val="none" w:sz="0" w:space="0" w:color="auto"/>
        <w:left w:val="none" w:sz="0" w:space="0" w:color="auto"/>
        <w:bottom w:val="none" w:sz="0" w:space="0" w:color="auto"/>
        <w:right w:val="none" w:sz="0" w:space="0" w:color="auto"/>
      </w:divBdr>
    </w:div>
    <w:div w:id="1313488772">
      <w:bodyDiv w:val="1"/>
      <w:marLeft w:val="0"/>
      <w:marRight w:val="0"/>
      <w:marTop w:val="0"/>
      <w:marBottom w:val="0"/>
      <w:divBdr>
        <w:top w:val="none" w:sz="0" w:space="0" w:color="auto"/>
        <w:left w:val="none" w:sz="0" w:space="0" w:color="auto"/>
        <w:bottom w:val="none" w:sz="0" w:space="0" w:color="auto"/>
        <w:right w:val="none" w:sz="0" w:space="0" w:color="auto"/>
      </w:divBdr>
    </w:div>
    <w:div w:id="1335646273">
      <w:bodyDiv w:val="1"/>
      <w:marLeft w:val="0"/>
      <w:marRight w:val="0"/>
      <w:marTop w:val="0"/>
      <w:marBottom w:val="0"/>
      <w:divBdr>
        <w:top w:val="none" w:sz="0" w:space="0" w:color="auto"/>
        <w:left w:val="none" w:sz="0" w:space="0" w:color="auto"/>
        <w:bottom w:val="none" w:sz="0" w:space="0" w:color="auto"/>
        <w:right w:val="none" w:sz="0" w:space="0" w:color="auto"/>
      </w:divBdr>
    </w:div>
    <w:div w:id="1464494962">
      <w:bodyDiv w:val="1"/>
      <w:marLeft w:val="0"/>
      <w:marRight w:val="0"/>
      <w:marTop w:val="0"/>
      <w:marBottom w:val="0"/>
      <w:divBdr>
        <w:top w:val="none" w:sz="0" w:space="0" w:color="auto"/>
        <w:left w:val="none" w:sz="0" w:space="0" w:color="auto"/>
        <w:bottom w:val="none" w:sz="0" w:space="0" w:color="auto"/>
        <w:right w:val="none" w:sz="0" w:space="0" w:color="auto"/>
      </w:divBdr>
    </w:div>
    <w:div w:id="1583224687">
      <w:bodyDiv w:val="1"/>
      <w:marLeft w:val="0"/>
      <w:marRight w:val="0"/>
      <w:marTop w:val="0"/>
      <w:marBottom w:val="0"/>
      <w:divBdr>
        <w:top w:val="none" w:sz="0" w:space="0" w:color="auto"/>
        <w:left w:val="none" w:sz="0" w:space="0" w:color="auto"/>
        <w:bottom w:val="none" w:sz="0" w:space="0" w:color="auto"/>
        <w:right w:val="none" w:sz="0" w:space="0" w:color="auto"/>
      </w:divBdr>
    </w:div>
    <w:div w:id="2027900918">
      <w:bodyDiv w:val="1"/>
      <w:marLeft w:val="0"/>
      <w:marRight w:val="0"/>
      <w:marTop w:val="0"/>
      <w:marBottom w:val="0"/>
      <w:divBdr>
        <w:top w:val="none" w:sz="0" w:space="0" w:color="auto"/>
        <w:left w:val="none" w:sz="0" w:space="0" w:color="auto"/>
        <w:bottom w:val="none" w:sz="0" w:space="0" w:color="auto"/>
        <w:right w:val="none" w:sz="0" w:space="0" w:color="auto"/>
      </w:divBdr>
      <w:divsChild>
        <w:div w:id="847451427">
          <w:marLeft w:val="0"/>
          <w:marRight w:val="0"/>
          <w:marTop w:val="0"/>
          <w:marBottom w:val="0"/>
          <w:divBdr>
            <w:top w:val="none" w:sz="0" w:space="0" w:color="auto"/>
            <w:left w:val="none" w:sz="0" w:space="0" w:color="auto"/>
            <w:bottom w:val="none" w:sz="0" w:space="0" w:color="auto"/>
            <w:right w:val="none" w:sz="0" w:space="0" w:color="auto"/>
          </w:divBdr>
          <w:divsChild>
            <w:div w:id="538592345">
              <w:marLeft w:val="0"/>
              <w:marRight w:val="0"/>
              <w:marTop w:val="0"/>
              <w:marBottom w:val="0"/>
              <w:divBdr>
                <w:top w:val="none" w:sz="0" w:space="0" w:color="auto"/>
                <w:left w:val="none" w:sz="0" w:space="0" w:color="auto"/>
                <w:bottom w:val="none" w:sz="0" w:space="0" w:color="auto"/>
                <w:right w:val="none" w:sz="0" w:space="0" w:color="auto"/>
              </w:divBdr>
              <w:divsChild>
                <w:div w:id="1031417310">
                  <w:marLeft w:val="0"/>
                  <w:marRight w:val="0"/>
                  <w:marTop w:val="0"/>
                  <w:marBottom w:val="0"/>
                  <w:divBdr>
                    <w:top w:val="none" w:sz="0" w:space="0" w:color="auto"/>
                    <w:left w:val="none" w:sz="0" w:space="0" w:color="auto"/>
                    <w:bottom w:val="none" w:sz="0" w:space="0" w:color="auto"/>
                    <w:right w:val="none" w:sz="0" w:space="0" w:color="auto"/>
                  </w:divBdr>
                  <w:divsChild>
                    <w:div w:id="1146705073">
                      <w:marLeft w:val="0"/>
                      <w:marRight w:val="0"/>
                      <w:marTop w:val="0"/>
                      <w:marBottom w:val="0"/>
                      <w:divBdr>
                        <w:top w:val="none" w:sz="0" w:space="0" w:color="auto"/>
                        <w:left w:val="none" w:sz="0" w:space="0" w:color="auto"/>
                        <w:bottom w:val="none" w:sz="0" w:space="0" w:color="auto"/>
                        <w:right w:val="none" w:sz="0" w:space="0" w:color="auto"/>
                      </w:divBdr>
                      <w:divsChild>
                        <w:div w:id="1343699427">
                          <w:marLeft w:val="0"/>
                          <w:marRight w:val="0"/>
                          <w:marTop w:val="0"/>
                          <w:marBottom w:val="0"/>
                          <w:divBdr>
                            <w:top w:val="none" w:sz="0" w:space="0" w:color="auto"/>
                            <w:left w:val="none" w:sz="0" w:space="0" w:color="auto"/>
                            <w:bottom w:val="none" w:sz="0" w:space="0" w:color="auto"/>
                            <w:right w:val="none" w:sz="0" w:space="0" w:color="auto"/>
                          </w:divBdr>
                          <w:divsChild>
                            <w:div w:id="2044087624">
                              <w:marLeft w:val="0"/>
                              <w:marRight w:val="0"/>
                              <w:marTop w:val="0"/>
                              <w:marBottom w:val="0"/>
                              <w:divBdr>
                                <w:top w:val="none" w:sz="0" w:space="0" w:color="auto"/>
                                <w:left w:val="none" w:sz="0" w:space="0" w:color="auto"/>
                                <w:bottom w:val="none" w:sz="0" w:space="0" w:color="auto"/>
                                <w:right w:val="none" w:sz="0" w:space="0" w:color="auto"/>
                              </w:divBdr>
                              <w:divsChild>
                                <w:div w:id="1320384557">
                                  <w:marLeft w:val="0"/>
                                  <w:marRight w:val="0"/>
                                  <w:marTop w:val="0"/>
                                  <w:marBottom w:val="0"/>
                                  <w:divBdr>
                                    <w:top w:val="none" w:sz="0" w:space="0" w:color="auto"/>
                                    <w:left w:val="none" w:sz="0" w:space="0" w:color="auto"/>
                                    <w:bottom w:val="none" w:sz="0" w:space="0" w:color="auto"/>
                                    <w:right w:val="none" w:sz="0" w:space="0" w:color="auto"/>
                                  </w:divBdr>
                                  <w:divsChild>
                                    <w:div w:id="65080907">
                                      <w:marLeft w:val="0"/>
                                      <w:marRight w:val="0"/>
                                      <w:marTop w:val="0"/>
                                      <w:marBottom w:val="0"/>
                                      <w:divBdr>
                                        <w:top w:val="none" w:sz="0" w:space="0" w:color="auto"/>
                                        <w:left w:val="none" w:sz="0" w:space="0" w:color="auto"/>
                                        <w:bottom w:val="none" w:sz="0" w:space="0" w:color="auto"/>
                                        <w:right w:val="none" w:sz="0" w:space="0" w:color="auto"/>
                                      </w:divBdr>
                                      <w:divsChild>
                                        <w:div w:id="10759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www.sciencedirect.com/science/journal/03784266/35/4" TargetMode="Externa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file:///C:\Users\Nauman\Desktop\Operational%20Risk\Are%20foreign%20banks%20more%20pro%EF%AC%81table%20than%20domestic%20banks.htm" TargetMode="External"/><Relationship Id="rId17" Type="http://schemas.openxmlformats.org/officeDocument/2006/relationships/image" Target="media/image3.wmf"/><Relationship Id="rId25" Type="http://schemas.openxmlformats.org/officeDocument/2006/relationships/hyperlink" Target="http://www.sciencedirect.com/science/journal/03784266"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uman\Desktop\Operational%20Risk\Are%20foreign%20banks%20more%20pro%EF%AC%81table%20than%20domestic%20banks.htm" TargetMode="External"/><Relationship Id="rId24" Type="http://schemas.openxmlformats.org/officeDocument/2006/relationships/hyperlink" Target="file:///C:\Users\Nauman\Desktop\Operational%20Risk\Are%20foreign%20banks%20more%20pro%EF%AC%81table%20than%20domestic%20banks.htm"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file:///C:\Users\Nauman\Desktop\Operational%20Risk\Are%20foreign%20banks%20more%20pro%EF%AC%81table%20than%20domestic%20banks.htm" TargetMode="External"/><Relationship Id="rId28" Type="http://schemas.openxmlformats.org/officeDocument/2006/relationships/header" Target="header1.xml"/><Relationship Id="rId10" Type="http://schemas.openxmlformats.org/officeDocument/2006/relationships/hyperlink" Target="file:///C:\Users\Nauman\Desktop\Operational%20Risk\Are%20foreign%20banks%20more%20pro%EF%AC%81table%20than%20domestic%20banks.htm" TargetMode="External"/><Relationship Id="rId19" Type="http://schemas.openxmlformats.org/officeDocument/2006/relationships/image" Target="media/image4.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Nauman\Desktop\Operational%20Risk\Are%20foreign%20banks%20more%20pro%EF%AC%81table%20than%20domestic%20bank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www.sciencedirect.com/science/journal/03784266/35/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DDF3-7FE6-4BFA-89AD-6979684D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Sillah</cp:lastModifiedBy>
  <cp:revision>2</cp:revision>
  <dcterms:created xsi:type="dcterms:W3CDTF">2014-11-04T10:42:00Z</dcterms:created>
  <dcterms:modified xsi:type="dcterms:W3CDTF">2014-11-04T10:42:00Z</dcterms:modified>
</cp:coreProperties>
</file>