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0B5BE" w14:textId="77777777" w:rsidR="003F372F" w:rsidRPr="003C0FB1" w:rsidRDefault="003F372F" w:rsidP="00016E64">
      <w:pPr>
        <w:jc w:val="both"/>
        <w:rPr>
          <w:rFonts w:ascii="Times New Roman" w:hAnsi="Times New Roman" w:cs="Times New Roman"/>
          <w:sz w:val="24"/>
          <w:szCs w:val="24"/>
        </w:rPr>
      </w:pPr>
    </w:p>
    <w:p w14:paraId="31891969" w14:textId="77777777" w:rsidR="003F372F" w:rsidRPr="003C0FB1" w:rsidRDefault="003F372F" w:rsidP="00016E64">
      <w:pPr>
        <w:jc w:val="both"/>
        <w:rPr>
          <w:rFonts w:ascii="Times New Roman" w:hAnsi="Times New Roman" w:cs="Times New Roman"/>
          <w:sz w:val="24"/>
          <w:szCs w:val="24"/>
        </w:rPr>
      </w:pPr>
    </w:p>
    <w:p w14:paraId="73A08D62" w14:textId="77777777" w:rsidR="003F372F" w:rsidRPr="003C0FB1" w:rsidRDefault="003F372F" w:rsidP="00016E64">
      <w:pPr>
        <w:jc w:val="both"/>
        <w:rPr>
          <w:rFonts w:ascii="Times New Roman" w:hAnsi="Times New Roman" w:cs="Times New Roman"/>
          <w:sz w:val="24"/>
          <w:szCs w:val="24"/>
        </w:rPr>
      </w:pPr>
    </w:p>
    <w:p w14:paraId="715CEA4D" w14:textId="77777777" w:rsidR="003F372F" w:rsidRPr="003C0FB1" w:rsidRDefault="003F372F" w:rsidP="00016E64">
      <w:pPr>
        <w:jc w:val="both"/>
        <w:rPr>
          <w:rFonts w:ascii="Times New Roman" w:hAnsi="Times New Roman" w:cs="Times New Roman"/>
          <w:sz w:val="24"/>
          <w:szCs w:val="24"/>
        </w:rPr>
      </w:pPr>
    </w:p>
    <w:p w14:paraId="14957600" w14:textId="77777777" w:rsidR="003F372F" w:rsidRPr="003C0FB1" w:rsidRDefault="003F372F" w:rsidP="00016E64">
      <w:pPr>
        <w:jc w:val="both"/>
        <w:rPr>
          <w:rFonts w:ascii="Times New Roman" w:hAnsi="Times New Roman" w:cs="Times New Roman"/>
          <w:sz w:val="24"/>
          <w:szCs w:val="24"/>
        </w:rPr>
      </w:pPr>
    </w:p>
    <w:p w14:paraId="44DC9260" w14:textId="77777777" w:rsidR="003F372F" w:rsidRPr="003C0FB1" w:rsidRDefault="003F372F" w:rsidP="00016E64">
      <w:pPr>
        <w:jc w:val="both"/>
        <w:rPr>
          <w:rFonts w:ascii="Times New Roman" w:hAnsi="Times New Roman" w:cs="Times New Roman"/>
          <w:sz w:val="24"/>
          <w:szCs w:val="24"/>
        </w:rPr>
      </w:pPr>
    </w:p>
    <w:p w14:paraId="5CE84570" w14:textId="77777777" w:rsidR="003F372F" w:rsidRPr="003C0FB1" w:rsidRDefault="003F372F" w:rsidP="00016E64">
      <w:pPr>
        <w:jc w:val="center"/>
        <w:rPr>
          <w:rFonts w:ascii="Times New Roman" w:hAnsi="Times New Roman" w:cs="Times New Roman"/>
          <w:sz w:val="24"/>
          <w:szCs w:val="24"/>
        </w:rPr>
      </w:pPr>
    </w:p>
    <w:p w14:paraId="647A6220" w14:textId="46134E86" w:rsidR="00795023" w:rsidRDefault="001559AD" w:rsidP="00016E64">
      <w:pPr>
        <w:jc w:val="center"/>
        <w:rPr>
          <w:rFonts w:ascii="Times New Roman" w:hAnsi="Times New Roman" w:cs="Times New Roman"/>
          <w:b/>
          <w:sz w:val="24"/>
          <w:szCs w:val="24"/>
        </w:rPr>
      </w:pPr>
      <w:r w:rsidRPr="001559AD">
        <w:rPr>
          <w:rFonts w:ascii="Times New Roman" w:hAnsi="Times New Roman" w:cs="Times New Roman"/>
          <w:b/>
          <w:sz w:val="24"/>
          <w:szCs w:val="24"/>
        </w:rPr>
        <w:t>Fraud Examination of the Enron Corp Company</w:t>
      </w:r>
    </w:p>
    <w:p w14:paraId="55BCCE5A" w14:textId="77777777" w:rsidR="003F372F" w:rsidRDefault="003F372F" w:rsidP="00016E64">
      <w:pPr>
        <w:jc w:val="center"/>
        <w:rPr>
          <w:rFonts w:ascii="Times New Roman" w:hAnsi="Times New Roman" w:cs="Times New Roman"/>
          <w:b/>
          <w:sz w:val="24"/>
          <w:szCs w:val="24"/>
        </w:rPr>
      </w:pPr>
    </w:p>
    <w:p w14:paraId="52DE6054" w14:textId="77777777" w:rsidR="00795023" w:rsidRDefault="00795023" w:rsidP="00016E64">
      <w:pPr>
        <w:jc w:val="center"/>
        <w:rPr>
          <w:rFonts w:ascii="Times New Roman" w:hAnsi="Times New Roman" w:cs="Times New Roman"/>
          <w:b/>
          <w:sz w:val="24"/>
          <w:szCs w:val="24"/>
        </w:rPr>
      </w:pPr>
    </w:p>
    <w:p w14:paraId="5545F7B9" w14:textId="77777777" w:rsidR="003F372F" w:rsidRPr="003C0FB1" w:rsidRDefault="003F372F" w:rsidP="00016E64">
      <w:pPr>
        <w:jc w:val="center"/>
        <w:rPr>
          <w:rFonts w:ascii="Times New Roman" w:hAnsi="Times New Roman" w:cs="Times New Roman"/>
          <w:b/>
          <w:sz w:val="24"/>
          <w:szCs w:val="24"/>
        </w:rPr>
      </w:pPr>
      <w:bookmarkStart w:id="0" w:name="_GoBack"/>
      <w:bookmarkEnd w:id="0"/>
      <w:r w:rsidRPr="003C0FB1">
        <w:rPr>
          <w:rFonts w:ascii="Times New Roman" w:hAnsi="Times New Roman" w:cs="Times New Roman"/>
          <w:b/>
          <w:sz w:val="24"/>
          <w:szCs w:val="24"/>
        </w:rPr>
        <w:br w:type="page"/>
      </w:r>
    </w:p>
    <w:p w14:paraId="6609EFF3" w14:textId="5EBEB584" w:rsidR="003F372F" w:rsidRPr="005117FE" w:rsidRDefault="005117FE" w:rsidP="00016E64">
      <w:pPr>
        <w:spacing w:line="480" w:lineRule="auto"/>
        <w:jc w:val="center"/>
        <w:rPr>
          <w:rFonts w:ascii="Times New Roman" w:hAnsi="Times New Roman" w:cs="Times New Roman"/>
          <w:b/>
          <w:sz w:val="24"/>
          <w:szCs w:val="24"/>
        </w:rPr>
      </w:pPr>
      <w:r w:rsidRPr="005117FE">
        <w:rPr>
          <w:rFonts w:ascii="Times New Roman" w:hAnsi="Times New Roman" w:cs="Times New Roman"/>
          <w:b/>
          <w:sz w:val="24"/>
          <w:szCs w:val="24"/>
        </w:rPr>
        <w:lastRenderedPageBreak/>
        <w:t>Abstract</w:t>
      </w:r>
    </w:p>
    <w:p w14:paraId="45EBC21B" w14:textId="00826712" w:rsidR="004457CE" w:rsidRDefault="003F372F" w:rsidP="00016E64">
      <w:pPr>
        <w:spacing w:line="480" w:lineRule="auto"/>
        <w:jc w:val="both"/>
        <w:rPr>
          <w:rFonts w:ascii="Times New Roman" w:hAnsi="Times New Roman" w:cs="Times New Roman"/>
          <w:sz w:val="24"/>
          <w:szCs w:val="24"/>
        </w:rPr>
      </w:pPr>
      <w:r w:rsidRPr="003C0FB1">
        <w:rPr>
          <w:rFonts w:ascii="Times New Roman" w:hAnsi="Times New Roman" w:cs="Times New Roman"/>
          <w:sz w:val="24"/>
          <w:szCs w:val="24"/>
        </w:rPr>
        <w:t>This research paper takes into consideration the tools that are availed by Modified Altman, Chanos, Beneish, among others, to evaluate Enron Corp yearly 10k financial report as filed with SEC for the years beginning 1997 to 2001 mainly to identify the financial fraud that the company committed and how it could have been prevented before it escalated beyond control. The reported base its primary data source on the SEC Edgar Database, which has information on financial statements for all publicly listed companies. After successfully applying analytical tools such as Altman's Bankruptcy Predictor, Fraud Statement Index, and  Analytical tools, this research paper concludes that the company's fraud could have been detected early on between the years 1999- 2000 period</w:t>
      </w:r>
      <w:r w:rsidR="00D640CA">
        <w:rPr>
          <w:rFonts w:ascii="Times New Roman" w:hAnsi="Times New Roman" w:cs="Times New Roman"/>
          <w:sz w:val="24"/>
          <w:szCs w:val="24"/>
        </w:rPr>
        <w:t xml:space="preserve"> </w:t>
      </w:r>
      <w:r w:rsidR="00D640CA" w:rsidRPr="003C0FB1">
        <w:rPr>
          <w:rFonts w:ascii="Times New Roman" w:hAnsi="Times New Roman" w:cs="Times New Roman"/>
          <w:color w:val="333333"/>
          <w:sz w:val="24"/>
          <w:szCs w:val="24"/>
          <w:shd w:val="clear" w:color="auto" w:fill="FFFFFF"/>
        </w:rPr>
        <w:t>(Lucas &amp; Koerwer, 2004)</w:t>
      </w:r>
      <w:r w:rsidRPr="003C0FB1">
        <w:rPr>
          <w:rFonts w:ascii="Times New Roman" w:hAnsi="Times New Roman" w:cs="Times New Roman"/>
          <w:sz w:val="24"/>
          <w:szCs w:val="24"/>
        </w:rPr>
        <w:t>.</w:t>
      </w:r>
    </w:p>
    <w:p w14:paraId="111E5078" w14:textId="1A00EBEA" w:rsidR="004457CE" w:rsidRPr="004457CE" w:rsidRDefault="004457CE" w:rsidP="00016E64">
      <w:pPr>
        <w:spacing w:line="480" w:lineRule="auto"/>
        <w:jc w:val="both"/>
        <w:rPr>
          <w:rFonts w:ascii="Times New Roman" w:hAnsi="Times New Roman" w:cs="Times New Roman"/>
          <w:i/>
          <w:sz w:val="24"/>
          <w:szCs w:val="24"/>
        </w:rPr>
      </w:pPr>
      <w:r w:rsidRPr="004457CE">
        <w:rPr>
          <w:rFonts w:ascii="Times New Roman" w:hAnsi="Times New Roman" w:cs="Times New Roman"/>
          <w:i/>
          <w:sz w:val="24"/>
          <w:szCs w:val="24"/>
        </w:rPr>
        <w:t>Keywords</w:t>
      </w:r>
      <w:r>
        <w:rPr>
          <w:rFonts w:ascii="Times New Roman" w:hAnsi="Times New Roman" w:cs="Times New Roman"/>
          <w:i/>
          <w:sz w:val="24"/>
          <w:szCs w:val="24"/>
        </w:rPr>
        <w:t xml:space="preserve">: </w:t>
      </w:r>
      <w:r>
        <w:rPr>
          <w:rFonts w:ascii="Times New Roman" w:hAnsi="Times New Roman" w:cs="Times New Roman"/>
          <w:sz w:val="24"/>
          <w:szCs w:val="24"/>
        </w:rPr>
        <w:t>Bankruptcy, financial ratios, fraud, Beneish model</w:t>
      </w:r>
    </w:p>
    <w:p w14:paraId="106B6A48" w14:textId="7841302B" w:rsidR="003F372F" w:rsidRPr="00411470" w:rsidRDefault="003F372F" w:rsidP="00016E64">
      <w:pPr>
        <w:pStyle w:val="ListParagraph"/>
        <w:numPr>
          <w:ilvl w:val="0"/>
          <w:numId w:val="4"/>
        </w:numPr>
        <w:spacing w:line="480" w:lineRule="auto"/>
        <w:ind w:left="360"/>
        <w:jc w:val="both"/>
        <w:rPr>
          <w:rFonts w:ascii="Times New Roman" w:hAnsi="Times New Roman" w:cs="Times New Roman"/>
          <w:b/>
          <w:sz w:val="24"/>
          <w:szCs w:val="24"/>
        </w:rPr>
      </w:pPr>
      <w:r w:rsidRPr="00411470">
        <w:rPr>
          <w:rFonts w:ascii="Times New Roman" w:hAnsi="Times New Roman" w:cs="Times New Roman"/>
          <w:b/>
          <w:sz w:val="24"/>
          <w:szCs w:val="24"/>
        </w:rPr>
        <w:t>Introduction</w:t>
      </w:r>
    </w:p>
    <w:p w14:paraId="03D8FC57" w14:textId="34376E01"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Fraud among corporate entities can have significant repercussions on the company involved. To a more considerable extent the public confidence in capital markets also declines, one of the cases that attracted the public eye involved the Enron Company</w:t>
      </w:r>
      <w:r w:rsidR="00D640CA">
        <w:rPr>
          <w:rFonts w:ascii="Times New Roman" w:hAnsi="Times New Roman" w:cs="Times New Roman"/>
          <w:sz w:val="24"/>
          <w:szCs w:val="24"/>
        </w:rPr>
        <w:t xml:space="preserve"> </w:t>
      </w:r>
      <w:r w:rsidR="00D640CA" w:rsidRPr="003C0FB1">
        <w:rPr>
          <w:rFonts w:ascii="Times New Roman" w:hAnsi="Times New Roman" w:cs="Times New Roman"/>
          <w:color w:val="333333"/>
          <w:sz w:val="24"/>
          <w:szCs w:val="24"/>
          <w:shd w:val="clear" w:color="auto" w:fill="FFFFFF"/>
        </w:rPr>
        <w:t>(Lucas &amp; Koerwer, 2004)</w:t>
      </w:r>
      <w:r w:rsidRPr="003C0FB1">
        <w:rPr>
          <w:rFonts w:ascii="Times New Roman" w:hAnsi="Times New Roman" w:cs="Times New Roman"/>
          <w:sz w:val="24"/>
          <w:szCs w:val="24"/>
        </w:rPr>
        <w:t>. In Satyam India or the US, a case of financial fraud in a   corporate entity entirely raise questions on the credibility of auditors, financial analysts, the regulators, the reporting process and the government to an extent. The fall of the Enron Company led to very many questions emerging on the soundness of the financial reporting and accounting system. Enron Corporation was one of the highest-rated companies based on a Fortune rating. It was accorded the Most Innovative Company in America title within the period 1997 to 2001</w:t>
      </w:r>
      <w:r w:rsidR="00CA6162" w:rsidRPr="003C0FB1">
        <w:rPr>
          <w:rFonts w:ascii="Times New Roman" w:hAnsi="Times New Roman" w:cs="Times New Roman"/>
          <w:color w:val="333333"/>
          <w:sz w:val="24"/>
          <w:szCs w:val="24"/>
          <w:shd w:val="clear" w:color="auto" w:fill="FFFFFF"/>
        </w:rPr>
        <w:t>(Selanda &amp; Hasanah, 2020)</w:t>
      </w:r>
      <w:r w:rsidRPr="003C0FB1">
        <w:rPr>
          <w:rFonts w:ascii="Times New Roman" w:hAnsi="Times New Roman" w:cs="Times New Roman"/>
          <w:sz w:val="24"/>
          <w:szCs w:val="24"/>
        </w:rPr>
        <w:t>.</w:t>
      </w:r>
    </w:p>
    <w:p w14:paraId="36554137" w14:textId="72D3EA64"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lastRenderedPageBreak/>
        <w:t>The company mainly provided services and products related to electricity, natural gas, and communications to retail and wholesale customers through their network of affiliates and subsidiaries. Their business specialization was segmented into five main categories: wholesale services; transportation and distribution; broadband services, retail energy services, etc. The company had spread to several countries but mainly operated in Europe, Canada US, Australia, India, South America, and Japan. In 2000, their wholesale services accounted for about 93% of the company's total revenue; 3% accounted for broadband, 4% accounted for distribution and transportation, while other services accounted for less than 1%</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(Hariri et al., 2017)</w:t>
      </w:r>
      <w:r w:rsidRPr="003C0FB1">
        <w:rPr>
          <w:rFonts w:ascii="Times New Roman" w:hAnsi="Times New Roman" w:cs="Times New Roman"/>
          <w:sz w:val="24"/>
          <w:szCs w:val="24"/>
        </w:rPr>
        <w:t>.</w:t>
      </w:r>
    </w:p>
    <w:p w14:paraId="7FB3A9E0" w14:textId="77777777"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In the crumble of Enron Corporation, its employees lost about $1.3 billion, which was in 401(k) accounts, and its investors lost to a tune of $61 billion. The company had successfully fooled and misled most institutions such as government regulators, auditors, private security analysts, criminal prosecutors and board of directors. The fraud mastermind was an external company known as Arthur Anderson, whose accountants helped Enron Corporation achieve fraud instead of advising the company against it. The following section explores more about the history of Enron Company and the strategies that they applied in deceiving unsuspecting investors around the globe.</w:t>
      </w:r>
    </w:p>
    <w:p w14:paraId="2A8900D8" w14:textId="32B476FD" w:rsidR="003F372F" w:rsidRPr="00415817" w:rsidRDefault="00640825" w:rsidP="00016E64">
      <w:pPr>
        <w:tabs>
          <w:tab w:val="left" w:pos="360"/>
        </w:tabs>
        <w:spacing w:line="480" w:lineRule="auto"/>
        <w:jc w:val="both"/>
        <w:rPr>
          <w:rFonts w:ascii="Times New Roman" w:hAnsi="Times New Roman" w:cs="Times New Roman"/>
          <w:i/>
          <w:sz w:val="24"/>
          <w:szCs w:val="24"/>
        </w:rPr>
      </w:pPr>
      <w:r w:rsidRPr="00415817">
        <w:rPr>
          <w:rFonts w:ascii="Times New Roman" w:hAnsi="Times New Roman" w:cs="Times New Roman"/>
          <w:i/>
          <w:sz w:val="24"/>
          <w:szCs w:val="24"/>
        </w:rPr>
        <w:t>1.1</w:t>
      </w:r>
      <w:r w:rsidRPr="00415817">
        <w:rPr>
          <w:rFonts w:ascii="Times New Roman" w:hAnsi="Times New Roman" w:cs="Times New Roman"/>
          <w:i/>
          <w:sz w:val="24"/>
          <w:szCs w:val="24"/>
        </w:rPr>
        <w:tab/>
      </w:r>
      <w:r w:rsidRPr="00415817">
        <w:rPr>
          <w:rFonts w:ascii="Times New Roman" w:hAnsi="Times New Roman" w:cs="Times New Roman"/>
          <w:i/>
          <w:sz w:val="24"/>
          <w:szCs w:val="24"/>
        </w:rPr>
        <w:tab/>
      </w:r>
      <w:r w:rsidR="003F372F" w:rsidRPr="00415817">
        <w:rPr>
          <w:rFonts w:ascii="Times New Roman" w:hAnsi="Times New Roman" w:cs="Times New Roman"/>
          <w:i/>
          <w:sz w:val="24"/>
          <w:szCs w:val="24"/>
        </w:rPr>
        <w:t>History</w:t>
      </w:r>
      <w:r w:rsidR="00EF184C" w:rsidRPr="00415817">
        <w:rPr>
          <w:rFonts w:ascii="Times New Roman" w:hAnsi="Times New Roman" w:cs="Times New Roman"/>
          <w:i/>
          <w:sz w:val="24"/>
          <w:szCs w:val="24"/>
        </w:rPr>
        <w:t xml:space="preserve"> of Enron Company</w:t>
      </w:r>
    </w:p>
    <w:p w14:paraId="4B59155C" w14:textId="77777777" w:rsidR="005117FE"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 xml:space="preserve">During the Reagan administration in the 1980s, price control mechanisms were eliminated, giving pipeline companies and gas producers the ability to contract efficiently. As a result, the market becomes highly deregulated. Before this initiative by the Reagan administration, the Federal government played a crucial role in regulating the market. In 1985, InterNorth merged with Houston Natural Gas to form Enron. At the time, InterNorth Company was based in Nebraska. </w:t>
      </w:r>
      <w:r w:rsidRPr="003C0FB1">
        <w:rPr>
          <w:rFonts w:ascii="Times New Roman" w:hAnsi="Times New Roman" w:cs="Times New Roman"/>
          <w:sz w:val="24"/>
          <w:szCs w:val="24"/>
        </w:rPr>
        <w:lastRenderedPageBreak/>
        <w:t>Thus</w:t>
      </w:r>
      <w:r w:rsidR="005117FE">
        <w:rPr>
          <w:rFonts w:ascii="Times New Roman" w:hAnsi="Times New Roman" w:cs="Times New Roman"/>
          <w:sz w:val="24"/>
          <w:szCs w:val="24"/>
        </w:rPr>
        <w:t xml:space="preserve">, </w:t>
      </w:r>
      <w:r w:rsidRPr="003C0FB1">
        <w:rPr>
          <w:rFonts w:ascii="Times New Roman" w:hAnsi="Times New Roman" w:cs="Times New Roman"/>
          <w:sz w:val="24"/>
          <w:szCs w:val="24"/>
        </w:rPr>
        <w:t xml:space="preserve">Enron </w:t>
      </w:r>
      <w:r w:rsidR="00640825" w:rsidRPr="003C0FB1">
        <w:rPr>
          <w:rFonts w:ascii="Times New Roman" w:hAnsi="Times New Roman" w:cs="Times New Roman"/>
          <w:sz w:val="24"/>
          <w:szCs w:val="24"/>
        </w:rPr>
        <w:t>Corporation</w:t>
      </w:r>
      <w:r w:rsidRPr="003C0FB1">
        <w:rPr>
          <w:rFonts w:ascii="Times New Roman" w:hAnsi="Times New Roman" w:cs="Times New Roman"/>
          <w:sz w:val="24"/>
          <w:szCs w:val="24"/>
        </w:rPr>
        <w:t xml:space="preserve"> was established, a natural gas company with about 37,500 miles of pipe</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(Akra &amp; Chaya, 2020)</w:t>
      </w:r>
      <w:r w:rsidRPr="003C0FB1">
        <w:rPr>
          <w:rFonts w:ascii="Times New Roman" w:hAnsi="Times New Roman" w:cs="Times New Roman"/>
          <w:sz w:val="24"/>
          <w:szCs w:val="24"/>
        </w:rPr>
        <w:t xml:space="preserve">. </w:t>
      </w:r>
    </w:p>
    <w:p w14:paraId="64F22BB8" w14:textId="3395368D"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The company manipulated the whole market by taking advantage of deregulation, thus rationalizing the entire market. In 1987, the company played a significant role in exposing oil traders based in the New York office, who had diverted the company funds to their accounts for personal gain. Thus, the Enron Corporation executive manager bluffed the market by reducing the company loss from $1 billion to $ 140 million. The company has actively begun trading in Natural gas in 1989, thus becoming the leading natural gas merchant in the United Kingdom and North America.</w:t>
      </w:r>
    </w:p>
    <w:p w14:paraId="39841619" w14:textId="4F850F32"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The US SEC advised the company in 1991 to seek mark-to-market accounting approval, which was subsequently granted in 1992. The company got into a partnership with Maharashtra in India to build a power plant that would cost a total of $2.5 billion.  In 1996 the company agreed with Uzbekistan to explore some 11 gas field in the region for $1.3 billion. Based on this new deal, the government of Maharashtra and Enron renewed their contractual commitment to shifting the construction costs and thus reduce electricity tariffs. In the same year, the company got into another deal where the Dabhol deal was announced. In 1996, the COO of the company at the time, Richard Kinder, left and subsequently was replaced by Jeff Skilling</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(Hariri et al., 2017)</w:t>
      </w:r>
      <w:r w:rsidRPr="003C0FB1">
        <w:rPr>
          <w:rFonts w:ascii="Times New Roman" w:hAnsi="Times New Roman" w:cs="Times New Roman"/>
          <w:sz w:val="24"/>
          <w:szCs w:val="24"/>
        </w:rPr>
        <w:t>.</w:t>
      </w:r>
    </w:p>
    <w:p w14:paraId="1B509846" w14:textId="24D95034"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In 1999, the CFO of the company did an experimental run on whether he could exploit the governing rules of California's deregulated energy market. In the same year, the Board of Directors exempted the company's CFO from organizing a private equity fund that was meant to raise capital for the company deals. In the same year, Merrill Lynch, a company in the US, released a placement memo for LJM2</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(Akra &amp; Chaya, 2020)</w:t>
      </w:r>
      <w:r w:rsidRPr="003C0FB1">
        <w:rPr>
          <w:rFonts w:ascii="Times New Roman" w:hAnsi="Times New Roman" w:cs="Times New Roman"/>
          <w:sz w:val="24"/>
          <w:szCs w:val="24"/>
        </w:rPr>
        <w:t xml:space="preserve">. In the subsequent year, 2000, the company stock rose by </w:t>
      </w:r>
      <w:r w:rsidRPr="003C0FB1">
        <w:rPr>
          <w:rFonts w:ascii="Times New Roman" w:hAnsi="Times New Roman" w:cs="Times New Roman"/>
          <w:sz w:val="24"/>
          <w:szCs w:val="24"/>
        </w:rPr>
        <w:lastRenderedPageBreak/>
        <w:t xml:space="preserve">26%, it recorded a new high of $67.25 per stock. It led to the launch of a new strategy named "Death Star" in the California market. In the preceding months, a warning was issued by the California ISO due to low power reserves. </w:t>
      </w:r>
    </w:p>
    <w:p w14:paraId="7DEE6B13" w14:textId="73D3E2AF"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The Enron Corporation announced at the same time that its broadband branch had merged with Blockbuster supply video-on-demand. Thus, pushing the company's stock to an all high of $90.56 and a market valuation of the company to $70 billion. By 2000, November, the FERC investigation officers had pardoned Enron Corporation for any wrongdoing which the company had committed in California. The company had made a deliberate accounting error by financing a collapsing deal that had not brought any revenue at the close of the 2000 financial year</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(Rosoff, 2007)</w:t>
      </w:r>
      <w:r w:rsidRPr="003C0FB1">
        <w:rPr>
          <w:rFonts w:ascii="Times New Roman" w:hAnsi="Times New Roman" w:cs="Times New Roman"/>
          <w:sz w:val="24"/>
          <w:szCs w:val="24"/>
        </w:rPr>
        <w:t>.</w:t>
      </w:r>
    </w:p>
    <w:p w14:paraId="3E8EBA34" w14:textId="44FE5CF1"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In 2001, a company known as Belden West Coast made a considerable profit of about $254 million in a month. It convinced some stock analysts that the performance of broadband was could be significant. Thus they raised the value of the company and cashed in on $53 million shares and options. After Skilling became the company's CEO, the Enron Corporation transferred a very I portion of EES business to wholesale, and it was meant to hide the losses the company had incurred In EES</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(Akra &amp; Chaya, 2020)</w:t>
      </w:r>
      <w:r w:rsidRPr="003C0FB1">
        <w:rPr>
          <w:rFonts w:ascii="Times New Roman" w:hAnsi="Times New Roman" w:cs="Times New Roman"/>
          <w:sz w:val="24"/>
          <w:szCs w:val="24"/>
        </w:rPr>
        <w:t>. The company then scheduled an impromptu analyst conference call to try and boost its stock. In mid-2001, FERC began price caps in various western states to control the California oil crisis. The Enron Corporation CEO made particularly a very bullish speech that led to the laying off of about 300 employees. The company subsequently replaced its CEO, resulting in Lay taking over from Skilling</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(Hariri et al., 2017)</w:t>
      </w:r>
      <w:r w:rsidRPr="003C0FB1">
        <w:rPr>
          <w:rFonts w:ascii="Times New Roman" w:hAnsi="Times New Roman" w:cs="Times New Roman"/>
          <w:sz w:val="24"/>
          <w:szCs w:val="24"/>
        </w:rPr>
        <w:t>.</w:t>
      </w:r>
    </w:p>
    <w:p w14:paraId="048A31F0" w14:textId="0687E8F4"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 xml:space="preserve">Jim Chanos predicted with complete certainty that the Enron corporation stock would decline, and subsequently, the 10-Q announced Enron's cash flow to be a negative of $1.3 billion. </w:t>
      </w:r>
      <w:r w:rsidRPr="003C0FB1">
        <w:rPr>
          <w:rFonts w:ascii="Times New Roman" w:hAnsi="Times New Roman" w:cs="Times New Roman"/>
          <w:sz w:val="24"/>
          <w:szCs w:val="24"/>
        </w:rPr>
        <w:lastRenderedPageBreak/>
        <w:t>Skilling, the former CEO, sold some $15.5 million worth of stock to help raise sales over $70. In 2001, the company recorded a loss of $618 million in the third quarter, thus declaring a non-recurrent of $1.01 billion charge against its balance sheet, partly related to some structured finance operation within the company.  The company CEO Lay announced a $1.2 billion reduction on shareholders equity</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(Rosoff, 2007)</w:t>
      </w:r>
      <w:r w:rsidRPr="003C0FB1">
        <w:rPr>
          <w:rFonts w:ascii="Times New Roman" w:hAnsi="Times New Roman" w:cs="Times New Roman"/>
          <w:sz w:val="24"/>
          <w:szCs w:val="24"/>
        </w:rPr>
        <w:t>. An external company, Arthur Anderson, helped destroy a ton of Enron Corporation's documents in a massive shredding activity performed in October 2001. The shredding activity was triggered by an announcement by SEC to investigate the company.</w:t>
      </w:r>
    </w:p>
    <w:p w14:paraId="44AA7DE2" w14:textId="0A3EF9D1"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In the subsequent months, the company frustrated the investigation process. In November 2001, it filed documents with the SEC, where it had revised its five-year period financial statements to explain the $586 million in losses. A company known as Dynegy accepted to buy out the company at about $9 billion in cash and stock, given that Enron had previously announced a restructuring formula for the $690 million obligations. The company's shares went below $1. Subsequently, Dynegy withdrew from the deal. In 2001 December, the company filed for Chapter 11 protection against bankruptcy. It was followed by a criminal investigation into the company deals in 2002</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(Hariri et al., 2017)</w:t>
      </w:r>
      <w:r w:rsidRPr="003C0FB1">
        <w:rPr>
          <w:rFonts w:ascii="Times New Roman" w:hAnsi="Times New Roman" w:cs="Times New Roman"/>
          <w:sz w:val="24"/>
          <w:szCs w:val="24"/>
        </w:rPr>
        <w:t>.</w:t>
      </w:r>
    </w:p>
    <w:p w14:paraId="5BAC1BB2" w14:textId="4D29070C" w:rsidR="003F372F" w:rsidRPr="00415817" w:rsidRDefault="00640825" w:rsidP="00016E64">
      <w:pPr>
        <w:spacing w:line="480" w:lineRule="auto"/>
        <w:jc w:val="both"/>
        <w:rPr>
          <w:rFonts w:ascii="Times New Roman" w:hAnsi="Times New Roman" w:cs="Times New Roman"/>
          <w:i/>
          <w:sz w:val="24"/>
          <w:szCs w:val="24"/>
        </w:rPr>
      </w:pPr>
      <w:r w:rsidRPr="00415817">
        <w:rPr>
          <w:rFonts w:ascii="Times New Roman" w:hAnsi="Times New Roman" w:cs="Times New Roman"/>
          <w:i/>
          <w:sz w:val="24"/>
          <w:szCs w:val="24"/>
        </w:rPr>
        <w:t>1.2</w:t>
      </w:r>
      <w:r w:rsidRPr="00415817">
        <w:rPr>
          <w:rFonts w:ascii="Times New Roman" w:hAnsi="Times New Roman" w:cs="Times New Roman"/>
          <w:i/>
          <w:sz w:val="24"/>
          <w:szCs w:val="24"/>
        </w:rPr>
        <w:tab/>
      </w:r>
      <w:r w:rsidR="003F372F" w:rsidRPr="00415817">
        <w:rPr>
          <w:rFonts w:ascii="Times New Roman" w:hAnsi="Times New Roman" w:cs="Times New Roman"/>
          <w:i/>
          <w:sz w:val="24"/>
          <w:szCs w:val="24"/>
        </w:rPr>
        <w:t>Enron Deception Strategies</w:t>
      </w:r>
    </w:p>
    <w:p w14:paraId="74AF5846" w14:textId="559D4187"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 xml:space="preserve">The company engaged in buying natural gas from producers at very high and unreasonable discounts. They then sold the same gas to wholesalers customers via the company's pipeline system. It elevated the company to be leading in the US natural gas market, given that it could reach the majority of market players (Boddy, 2019). This system mainly worked for the company when the market was deregulated during the Reagan administration. However, when the market systems began working correctly, they become pretty complicated, and the competition equally </w:t>
      </w:r>
      <w:r w:rsidRPr="003C0FB1">
        <w:rPr>
          <w:rFonts w:ascii="Times New Roman" w:hAnsi="Times New Roman" w:cs="Times New Roman"/>
          <w:sz w:val="24"/>
          <w:szCs w:val="24"/>
        </w:rPr>
        <w:lastRenderedPageBreak/>
        <w:t>stiffened, thus leading to a shrink in its profit margin in 1993</w:t>
      </w:r>
      <w:r w:rsidR="00CA6162">
        <w:rPr>
          <w:rFonts w:ascii="Times New Roman" w:hAnsi="Times New Roman" w:cs="Times New Roman"/>
          <w:sz w:val="24"/>
          <w:szCs w:val="24"/>
        </w:rPr>
        <w:t xml:space="preserve"> </w:t>
      </w:r>
      <w:r w:rsidR="00CA6162" w:rsidRPr="003C0FB1">
        <w:rPr>
          <w:rFonts w:ascii="Times New Roman" w:hAnsi="Times New Roman" w:cs="Times New Roman"/>
          <w:color w:val="333333"/>
          <w:sz w:val="24"/>
          <w:szCs w:val="24"/>
          <w:shd w:val="clear" w:color="auto" w:fill="FFFFFF"/>
        </w:rPr>
        <w:t>(Rosoff, 2007)</w:t>
      </w:r>
      <w:r w:rsidRPr="003C0FB1">
        <w:rPr>
          <w:rFonts w:ascii="Times New Roman" w:hAnsi="Times New Roman" w:cs="Times New Roman"/>
          <w:sz w:val="24"/>
          <w:szCs w:val="24"/>
        </w:rPr>
        <w:t>. The company employed a new method of surviving. It diversified into other sectors of the economy through investing billions of dollars in trying and replicating the success it had in natural gas. The management did not understand that the strategy that worked in the Natural gas sector could not work in other sectors. The pillars they had in the natural gas sector included a wealth of experience in the natural gas business. However, in different sectors, they had minimal experience or knowledge; thus, the company failed to generate revenues despite considerable investments in those sectors</w:t>
      </w:r>
      <w:r w:rsidR="00CA6162">
        <w:rPr>
          <w:rFonts w:ascii="Times New Roman" w:hAnsi="Times New Roman" w:cs="Times New Roman"/>
          <w:sz w:val="24"/>
          <w:szCs w:val="24"/>
        </w:rPr>
        <w:t xml:space="preserve"> </w:t>
      </w:r>
      <w:r w:rsidR="00CA6162" w:rsidRPr="003C0FB1">
        <w:rPr>
          <w:rFonts w:ascii="Times New Roman" w:hAnsi="Times New Roman" w:cs="Times New Roman"/>
          <w:sz w:val="24"/>
          <w:szCs w:val="24"/>
        </w:rPr>
        <w:t>(Boddy, 2019)</w:t>
      </w:r>
      <w:r w:rsidRPr="003C0FB1">
        <w:rPr>
          <w:rFonts w:ascii="Times New Roman" w:hAnsi="Times New Roman" w:cs="Times New Roman"/>
          <w:sz w:val="24"/>
          <w:szCs w:val="24"/>
        </w:rPr>
        <w:t>.</w:t>
      </w:r>
    </w:p>
    <w:p w14:paraId="21E96E99" w14:textId="77777777" w:rsidR="00640825"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The company's success in the energy sector also attracted some particular losses. The power plant built in India using billions in dollars failed to operate, thus leading to accumulated losses. The cost structure of the company had been completely paralyzed with no significant repairs or growth in employment. The company was damaged because of greed and poor management. They borrowed about $30 billion to manage its costs without any particular damage to its reputation. However, this information was never revealed to the public. The investors in the company had no idea that the company was losing money rampantly and had no control mechanism over it</w:t>
      </w:r>
      <w:r w:rsidRPr="003C0FB1">
        <w:rPr>
          <w:rFonts w:ascii="Times New Roman" w:hAnsi="Times New Roman" w:cs="Times New Roman"/>
          <w:color w:val="333333"/>
          <w:sz w:val="24"/>
          <w:szCs w:val="24"/>
          <w:shd w:val="clear" w:color="auto" w:fill="FFFFFF"/>
        </w:rPr>
        <w:t xml:space="preserve"> (Selanda &amp; Hasanah, 2020)</w:t>
      </w:r>
      <w:r w:rsidRPr="003C0FB1">
        <w:rPr>
          <w:rFonts w:ascii="Times New Roman" w:hAnsi="Times New Roman" w:cs="Times New Roman"/>
          <w:sz w:val="24"/>
          <w:szCs w:val="24"/>
        </w:rPr>
        <w:t>.</w:t>
      </w:r>
    </w:p>
    <w:p w14:paraId="0B3FE442" w14:textId="01EBFE7F" w:rsidR="00DF60B6" w:rsidRDefault="00DF60B6" w:rsidP="00016E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rest of this paper is structured as follows: section two </w:t>
      </w:r>
      <w:r w:rsidR="00B531B8">
        <w:rPr>
          <w:rFonts w:ascii="Times New Roman" w:hAnsi="Times New Roman" w:cs="Times New Roman"/>
          <w:sz w:val="24"/>
          <w:szCs w:val="24"/>
        </w:rPr>
        <w:t>introduces</w:t>
      </w:r>
      <w:r>
        <w:rPr>
          <w:rFonts w:ascii="Times New Roman" w:hAnsi="Times New Roman" w:cs="Times New Roman"/>
          <w:sz w:val="24"/>
          <w:szCs w:val="24"/>
        </w:rPr>
        <w:t xml:space="preserve"> the tools used to detect fraud </w:t>
      </w:r>
      <w:r w:rsidR="00233D8A">
        <w:rPr>
          <w:rFonts w:ascii="Times New Roman" w:hAnsi="Times New Roman" w:cs="Times New Roman"/>
          <w:sz w:val="24"/>
          <w:szCs w:val="24"/>
        </w:rPr>
        <w:t>and how they were used and in</w:t>
      </w:r>
      <w:r w:rsidR="00B531B8">
        <w:rPr>
          <w:rFonts w:ascii="Times New Roman" w:hAnsi="Times New Roman" w:cs="Times New Roman"/>
          <w:sz w:val="24"/>
          <w:szCs w:val="24"/>
        </w:rPr>
        <w:t xml:space="preserve"> section three describes analytical tools used in </w:t>
      </w:r>
      <w:r w:rsidR="008A14BA">
        <w:rPr>
          <w:rFonts w:ascii="Times New Roman" w:hAnsi="Times New Roman" w:cs="Times New Roman"/>
          <w:sz w:val="24"/>
          <w:szCs w:val="24"/>
        </w:rPr>
        <w:t>unearthing instances for investigation and detecting</w:t>
      </w:r>
      <w:r w:rsidR="00B531B8">
        <w:rPr>
          <w:rFonts w:ascii="Times New Roman" w:hAnsi="Times New Roman" w:cs="Times New Roman"/>
          <w:sz w:val="24"/>
          <w:szCs w:val="24"/>
        </w:rPr>
        <w:t xml:space="preserve"> bankruptcy</w:t>
      </w:r>
      <w:r w:rsidR="00233D8A">
        <w:rPr>
          <w:rFonts w:ascii="Times New Roman" w:hAnsi="Times New Roman" w:cs="Times New Roman"/>
          <w:sz w:val="24"/>
          <w:szCs w:val="24"/>
        </w:rPr>
        <w:t>. Section four is the discussion of results and finally section five concludes.</w:t>
      </w:r>
      <w:r w:rsidR="00B531B8">
        <w:rPr>
          <w:rFonts w:ascii="Times New Roman" w:hAnsi="Times New Roman" w:cs="Times New Roman"/>
          <w:sz w:val="24"/>
          <w:szCs w:val="24"/>
        </w:rPr>
        <w:t xml:space="preserve"> </w:t>
      </w:r>
    </w:p>
    <w:p w14:paraId="260B3A31" w14:textId="2FE9CC26" w:rsidR="003F372F" w:rsidRPr="001F06DF" w:rsidRDefault="001F06DF" w:rsidP="00016E64">
      <w:pPr>
        <w:spacing w:line="480" w:lineRule="auto"/>
        <w:jc w:val="both"/>
        <w:rPr>
          <w:rFonts w:ascii="Times New Roman" w:hAnsi="Times New Roman" w:cs="Times New Roman"/>
          <w:b/>
          <w:sz w:val="24"/>
          <w:szCs w:val="24"/>
        </w:rPr>
      </w:pPr>
      <w:r w:rsidRPr="001F06DF">
        <w:rPr>
          <w:rFonts w:ascii="Times New Roman" w:hAnsi="Times New Roman" w:cs="Times New Roman"/>
          <w:b/>
          <w:sz w:val="24"/>
          <w:szCs w:val="24"/>
        </w:rPr>
        <w:t>2.</w:t>
      </w:r>
      <w:r w:rsidR="00640825" w:rsidRPr="001F06DF">
        <w:rPr>
          <w:rFonts w:ascii="Times New Roman" w:hAnsi="Times New Roman" w:cs="Times New Roman"/>
          <w:b/>
          <w:sz w:val="24"/>
          <w:szCs w:val="24"/>
        </w:rPr>
        <w:tab/>
      </w:r>
      <w:r w:rsidR="003F372F" w:rsidRPr="001F06DF">
        <w:rPr>
          <w:rFonts w:ascii="Times New Roman" w:hAnsi="Times New Roman" w:cs="Times New Roman"/>
          <w:b/>
          <w:sz w:val="24"/>
          <w:szCs w:val="24"/>
        </w:rPr>
        <w:t>Tools Used to Detect Fraud</w:t>
      </w:r>
    </w:p>
    <w:p w14:paraId="17C4267F" w14:textId="2ED90E04"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lastRenderedPageBreak/>
        <w:t>The data that was used in the examination of this particular fraud case was obtained from several sources. The company's financial statements were identified using the US SEC Edgar database. The economic data includes balance sheet statement, cash flow statement and Income statement</w:t>
      </w:r>
      <w:r w:rsidR="00CA6162">
        <w:rPr>
          <w:rFonts w:ascii="Times New Roman" w:hAnsi="Times New Roman" w:cs="Times New Roman"/>
          <w:sz w:val="24"/>
          <w:szCs w:val="24"/>
        </w:rPr>
        <w:t xml:space="preserve"> </w:t>
      </w:r>
      <w:r w:rsidR="00CA6162" w:rsidRPr="003C0FB1">
        <w:rPr>
          <w:rFonts w:ascii="Times New Roman" w:hAnsi="Times New Roman" w:cs="Times New Roman"/>
          <w:sz w:val="24"/>
          <w:szCs w:val="24"/>
        </w:rPr>
        <w:t>(Boddy, 2019)</w:t>
      </w:r>
      <w:r w:rsidRPr="003C0FB1">
        <w:rPr>
          <w:rFonts w:ascii="Times New Roman" w:hAnsi="Times New Roman" w:cs="Times New Roman"/>
          <w:sz w:val="24"/>
          <w:szCs w:val="24"/>
        </w:rPr>
        <w:t>. An analysis of the financial statements, financial fraud is evident in the event the numbers in the consolidated three financial statements are not properly related. Based on the appropriate guidelines by Beneish, Altman, etc., a determination of fraud would be established on whether or not the information from Enron's financial statements make sense or suggest cases of fraud and imminent bankruptcy. The fraud case analysis would also provide a clue as to the earliest period when the said fraud might have occurred. The tools which were used in this report to assess Enron Corporation Fraud are given below</w:t>
      </w:r>
      <w:r w:rsidRPr="003C0FB1">
        <w:rPr>
          <w:rFonts w:ascii="Times New Roman" w:hAnsi="Times New Roman" w:cs="Times New Roman"/>
          <w:color w:val="333333"/>
          <w:sz w:val="24"/>
          <w:szCs w:val="24"/>
          <w:shd w:val="clear" w:color="auto" w:fill="FFFFFF"/>
        </w:rPr>
        <w:t xml:space="preserve"> (Lucas &amp; Koerwer, 2004)</w:t>
      </w:r>
      <w:r w:rsidRPr="003C0FB1">
        <w:rPr>
          <w:rFonts w:ascii="Times New Roman" w:hAnsi="Times New Roman" w:cs="Times New Roman"/>
          <w:sz w:val="24"/>
          <w:szCs w:val="24"/>
        </w:rPr>
        <w:t>.</w:t>
      </w:r>
    </w:p>
    <w:p w14:paraId="5B058E8E" w14:textId="3749955D" w:rsidR="003F372F" w:rsidRPr="00415817" w:rsidRDefault="001F06DF" w:rsidP="00016E64">
      <w:pPr>
        <w:spacing w:line="480" w:lineRule="auto"/>
        <w:jc w:val="both"/>
        <w:rPr>
          <w:rFonts w:ascii="Times New Roman" w:hAnsi="Times New Roman" w:cs="Times New Roman"/>
          <w:i/>
          <w:sz w:val="24"/>
          <w:szCs w:val="24"/>
        </w:rPr>
      </w:pPr>
      <w:r w:rsidRPr="00415817">
        <w:rPr>
          <w:rFonts w:ascii="Times New Roman" w:hAnsi="Times New Roman" w:cs="Times New Roman"/>
          <w:i/>
          <w:sz w:val="24"/>
          <w:szCs w:val="24"/>
        </w:rPr>
        <w:t>2.1</w:t>
      </w:r>
      <w:r w:rsidRPr="00415817">
        <w:rPr>
          <w:rFonts w:ascii="Times New Roman" w:hAnsi="Times New Roman" w:cs="Times New Roman"/>
          <w:i/>
          <w:sz w:val="24"/>
          <w:szCs w:val="24"/>
        </w:rPr>
        <w:tab/>
      </w:r>
      <w:r w:rsidR="003F372F" w:rsidRPr="00415817">
        <w:rPr>
          <w:rFonts w:ascii="Times New Roman" w:hAnsi="Times New Roman" w:cs="Times New Roman"/>
          <w:i/>
          <w:sz w:val="24"/>
          <w:szCs w:val="24"/>
        </w:rPr>
        <w:t>Beneish: Fraud Statement Index</w:t>
      </w:r>
    </w:p>
    <w:p w14:paraId="7F3AD52B" w14:textId="65173952"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Professor Messod Beneish formulated the Beneish fraud statement analysis index. It applies an M-Score to detect fraud in 8 financial ratios on whether a company may have manipulated its prospective earnings. The variables involved in the analysis are obtained from the company's financial statement and sets a score to explore the extent to which the earning of the company may have been interfered with. The M-score is mainly focused on company revenue manipulation</w:t>
      </w:r>
      <w:r w:rsidRPr="003C0FB1">
        <w:rPr>
          <w:rFonts w:ascii="Times New Roman" w:hAnsi="Times New Roman" w:cs="Times New Roman"/>
          <w:color w:val="333333"/>
          <w:sz w:val="24"/>
          <w:szCs w:val="24"/>
          <w:shd w:val="clear" w:color="auto" w:fill="FFFFFF"/>
        </w:rPr>
        <w:t xml:space="preserve"> (Lucas &amp; Koerwer, 2004)</w:t>
      </w:r>
      <w:r w:rsidRPr="003C0FB1">
        <w:rPr>
          <w:rFonts w:ascii="Times New Roman" w:hAnsi="Times New Roman" w:cs="Times New Roman"/>
          <w:sz w:val="24"/>
          <w:szCs w:val="24"/>
        </w:rPr>
        <w:t xml:space="preserve">. If the M-score is greater than -2.22, it indicates that the company maneuvered with its revenue earnings. The eight variables used in coming up with the M-score include the following: </w:t>
      </w:r>
      <w:r w:rsidRPr="00AB598E">
        <w:rPr>
          <w:rFonts w:ascii="Times New Roman" w:hAnsi="Times New Roman" w:cs="Times New Roman"/>
          <w:i/>
          <w:sz w:val="24"/>
          <w:szCs w:val="24"/>
        </w:rPr>
        <w:t>DSRI</w:t>
      </w:r>
      <w:r w:rsidRPr="003C0FB1">
        <w:rPr>
          <w:rFonts w:ascii="Times New Roman" w:hAnsi="Times New Roman" w:cs="Times New Roman"/>
          <w:sz w:val="24"/>
          <w:szCs w:val="24"/>
        </w:rPr>
        <w:t xml:space="preserve">, this refers to the Day's sales in the receivable index; </w:t>
      </w:r>
      <w:r w:rsidRPr="00AB598E">
        <w:rPr>
          <w:rFonts w:ascii="Times New Roman" w:hAnsi="Times New Roman" w:cs="Times New Roman"/>
          <w:i/>
          <w:sz w:val="24"/>
          <w:szCs w:val="24"/>
        </w:rPr>
        <w:t>GMI</w:t>
      </w:r>
      <w:r w:rsidRPr="003C0FB1">
        <w:rPr>
          <w:rFonts w:ascii="Times New Roman" w:hAnsi="Times New Roman" w:cs="Times New Roman"/>
          <w:sz w:val="24"/>
          <w:szCs w:val="24"/>
        </w:rPr>
        <w:t xml:space="preserve"> refers to Gross margin index; </w:t>
      </w:r>
      <w:r w:rsidRPr="00AB598E">
        <w:rPr>
          <w:rFonts w:ascii="Times New Roman" w:hAnsi="Times New Roman" w:cs="Times New Roman"/>
          <w:i/>
          <w:sz w:val="24"/>
          <w:szCs w:val="24"/>
        </w:rPr>
        <w:t>AQI</w:t>
      </w:r>
      <w:r w:rsidRPr="003C0FB1">
        <w:rPr>
          <w:rFonts w:ascii="Times New Roman" w:hAnsi="Times New Roman" w:cs="Times New Roman"/>
          <w:sz w:val="24"/>
          <w:szCs w:val="24"/>
        </w:rPr>
        <w:t xml:space="preserve"> refers to asset quality index; </w:t>
      </w:r>
      <w:r w:rsidRPr="00AB598E">
        <w:rPr>
          <w:rFonts w:ascii="Times New Roman" w:hAnsi="Times New Roman" w:cs="Times New Roman"/>
          <w:i/>
          <w:sz w:val="24"/>
          <w:szCs w:val="24"/>
        </w:rPr>
        <w:t>SGI</w:t>
      </w:r>
      <w:r w:rsidRPr="003C0FB1">
        <w:rPr>
          <w:rFonts w:ascii="Times New Roman" w:hAnsi="Times New Roman" w:cs="Times New Roman"/>
          <w:sz w:val="24"/>
          <w:szCs w:val="24"/>
        </w:rPr>
        <w:t xml:space="preserve"> refers to sales growth index; </w:t>
      </w:r>
      <w:r w:rsidRPr="00AB598E">
        <w:rPr>
          <w:rFonts w:ascii="Times New Roman" w:hAnsi="Times New Roman" w:cs="Times New Roman"/>
          <w:i/>
          <w:sz w:val="24"/>
          <w:szCs w:val="24"/>
        </w:rPr>
        <w:t>SEPI</w:t>
      </w:r>
      <w:r w:rsidRPr="003C0FB1">
        <w:rPr>
          <w:rFonts w:ascii="Times New Roman" w:hAnsi="Times New Roman" w:cs="Times New Roman"/>
          <w:sz w:val="24"/>
          <w:szCs w:val="24"/>
        </w:rPr>
        <w:t xml:space="preserve"> refers to depreciation index; </w:t>
      </w:r>
      <w:r w:rsidRPr="00AB598E">
        <w:rPr>
          <w:rFonts w:ascii="Times New Roman" w:hAnsi="Times New Roman" w:cs="Times New Roman"/>
          <w:i/>
          <w:sz w:val="24"/>
          <w:szCs w:val="24"/>
        </w:rPr>
        <w:t>SGAI</w:t>
      </w:r>
      <w:r w:rsidRPr="003C0FB1">
        <w:rPr>
          <w:rFonts w:ascii="Times New Roman" w:hAnsi="Times New Roman" w:cs="Times New Roman"/>
          <w:sz w:val="24"/>
          <w:szCs w:val="24"/>
        </w:rPr>
        <w:t xml:space="preserve"> relates to sales and general and administrative index; </w:t>
      </w:r>
      <w:r w:rsidRPr="00AB598E">
        <w:rPr>
          <w:rFonts w:ascii="Times New Roman" w:hAnsi="Times New Roman" w:cs="Times New Roman"/>
          <w:i/>
          <w:sz w:val="24"/>
          <w:szCs w:val="24"/>
        </w:rPr>
        <w:t>LVGI</w:t>
      </w:r>
      <w:r w:rsidRPr="003C0FB1">
        <w:rPr>
          <w:rFonts w:ascii="Times New Roman" w:hAnsi="Times New Roman" w:cs="Times New Roman"/>
          <w:sz w:val="24"/>
          <w:szCs w:val="24"/>
        </w:rPr>
        <w:t xml:space="preserve"> refers to leverage index and finally </w:t>
      </w:r>
      <w:r w:rsidRPr="00AB598E">
        <w:rPr>
          <w:rFonts w:ascii="Times New Roman" w:hAnsi="Times New Roman" w:cs="Times New Roman"/>
          <w:i/>
          <w:sz w:val="24"/>
          <w:szCs w:val="24"/>
        </w:rPr>
        <w:t>TATA</w:t>
      </w:r>
      <w:r w:rsidRPr="003C0FB1">
        <w:rPr>
          <w:rFonts w:ascii="Times New Roman" w:hAnsi="Times New Roman" w:cs="Times New Roman"/>
          <w:sz w:val="24"/>
          <w:szCs w:val="24"/>
        </w:rPr>
        <w:t xml:space="preserve"> which refers to total accruals to total assets. The following formula gives the M-score</w:t>
      </w:r>
      <w:r w:rsidR="00CA6162">
        <w:rPr>
          <w:rFonts w:ascii="Times New Roman" w:hAnsi="Times New Roman" w:cs="Times New Roman"/>
          <w:sz w:val="24"/>
          <w:szCs w:val="24"/>
        </w:rPr>
        <w:t xml:space="preserve"> </w:t>
      </w:r>
      <w:r w:rsidR="00CA6162" w:rsidRPr="003C0FB1">
        <w:rPr>
          <w:rFonts w:ascii="Times New Roman" w:hAnsi="Times New Roman" w:cs="Times New Roman"/>
          <w:sz w:val="24"/>
          <w:szCs w:val="24"/>
        </w:rPr>
        <w:t>(Boddy, 2019)</w:t>
      </w:r>
      <w:r w:rsidRPr="003C0FB1">
        <w:rPr>
          <w:rFonts w:ascii="Times New Roman" w:hAnsi="Times New Roman" w:cs="Times New Roman"/>
          <w:sz w:val="24"/>
          <w:szCs w:val="24"/>
        </w:rPr>
        <w:t>:</w:t>
      </w:r>
    </w:p>
    <w:p w14:paraId="19D2391A" w14:textId="6A5DD6F5" w:rsidR="003F372F" w:rsidRPr="00233D8A" w:rsidRDefault="003F372F" w:rsidP="00016E64">
      <w:pPr>
        <w:spacing w:line="480" w:lineRule="auto"/>
        <w:jc w:val="both"/>
        <w:rPr>
          <w:rFonts w:ascii="Times New Roman" w:hAnsi="Times New Roman" w:cs="Times New Roman"/>
          <w:sz w:val="24"/>
          <w:szCs w:val="24"/>
        </w:rPr>
      </w:pPr>
      <w:r w:rsidRPr="00BB5892">
        <w:rPr>
          <w:rFonts w:ascii="Times New Roman" w:hAnsi="Times New Roman" w:cs="Times New Roman"/>
          <w:i/>
          <w:sz w:val="24"/>
          <w:szCs w:val="24"/>
        </w:rPr>
        <w:lastRenderedPageBreak/>
        <w:t xml:space="preserve">M = </w:t>
      </w:r>
      <w:r w:rsidRPr="00D93489">
        <w:rPr>
          <w:rFonts w:ascii="Times New Roman" w:hAnsi="Times New Roman" w:cs="Times New Roman"/>
          <w:sz w:val="24"/>
          <w:szCs w:val="24"/>
        </w:rPr>
        <w:t>-4.84</w:t>
      </w:r>
      <w:r w:rsidRPr="00BB5892">
        <w:rPr>
          <w:rFonts w:ascii="Times New Roman" w:hAnsi="Times New Roman" w:cs="Times New Roman"/>
          <w:i/>
          <w:sz w:val="24"/>
          <w:szCs w:val="24"/>
        </w:rPr>
        <w:t xml:space="preserve"> + </w:t>
      </w:r>
      <w:r w:rsidRPr="00D93489">
        <w:rPr>
          <w:rFonts w:ascii="Times New Roman" w:hAnsi="Times New Roman" w:cs="Times New Roman"/>
          <w:sz w:val="24"/>
          <w:szCs w:val="24"/>
        </w:rPr>
        <w:t>0.92</w:t>
      </w:r>
      <w:r w:rsidRPr="00BB5892">
        <w:rPr>
          <w:rFonts w:ascii="Times New Roman" w:hAnsi="Times New Roman" w:cs="Times New Roman"/>
          <w:i/>
          <w:sz w:val="24"/>
          <w:szCs w:val="24"/>
        </w:rPr>
        <w:t xml:space="preserve">×DSRI + </w:t>
      </w:r>
      <w:r w:rsidRPr="00D93489">
        <w:rPr>
          <w:rFonts w:ascii="Times New Roman" w:hAnsi="Times New Roman" w:cs="Times New Roman"/>
          <w:sz w:val="24"/>
          <w:szCs w:val="24"/>
        </w:rPr>
        <w:t>0.528</w:t>
      </w:r>
      <w:r w:rsidRPr="00BB5892">
        <w:rPr>
          <w:rFonts w:ascii="Times New Roman" w:hAnsi="Times New Roman" w:cs="Times New Roman"/>
          <w:i/>
          <w:sz w:val="24"/>
          <w:szCs w:val="24"/>
        </w:rPr>
        <w:t xml:space="preserve">×GMI + </w:t>
      </w:r>
      <w:r w:rsidRPr="00D93489">
        <w:rPr>
          <w:rFonts w:ascii="Times New Roman" w:hAnsi="Times New Roman" w:cs="Times New Roman"/>
          <w:sz w:val="24"/>
          <w:szCs w:val="24"/>
        </w:rPr>
        <w:t>0.404</w:t>
      </w:r>
      <w:r w:rsidRPr="00BB5892">
        <w:rPr>
          <w:rFonts w:ascii="Times New Roman" w:hAnsi="Times New Roman" w:cs="Times New Roman"/>
          <w:i/>
          <w:sz w:val="24"/>
          <w:szCs w:val="24"/>
        </w:rPr>
        <w:t xml:space="preserve">×AQI + </w:t>
      </w:r>
      <w:r w:rsidRPr="00D93489">
        <w:rPr>
          <w:rFonts w:ascii="Times New Roman" w:hAnsi="Times New Roman" w:cs="Times New Roman"/>
          <w:sz w:val="24"/>
          <w:szCs w:val="24"/>
        </w:rPr>
        <w:t>0.892</w:t>
      </w:r>
      <w:r w:rsidRPr="00BB5892">
        <w:rPr>
          <w:rFonts w:ascii="Times New Roman" w:hAnsi="Times New Roman" w:cs="Times New Roman"/>
          <w:i/>
          <w:sz w:val="24"/>
          <w:szCs w:val="24"/>
        </w:rPr>
        <w:t xml:space="preserve">×SGI + </w:t>
      </w:r>
      <w:r w:rsidRPr="00D93489">
        <w:rPr>
          <w:rFonts w:ascii="Times New Roman" w:hAnsi="Times New Roman" w:cs="Times New Roman"/>
          <w:sz w:val="24"/>
          <w:szCs w:val="24"/>
        </w:rPr>
        <w:t>0.115</w:t>
      </w:r>
      <w:r w:rsidRPr="00BB5892">
        <w:rPr>
          <w:rFonts w:ascii="Times New Roman" w:hAnsi="Times New Roman" w:cs="Times New Roman"/>
          <w:i/>
          <w:sz w:val="24"/>
          <w:szCs w:val="24"/>
        </w:rPr>
        <w:t xml:space="preserve">×DEPI – </w:t>
      </w:r>
      <w:r w:rsidRPr="00D93489">
        <w:rPr>
          <w:rFonts w:ascii="Times New Roman" w:hAnsi="Times New Roman" w:cs="Times New Roman"/>
          <w:sz w:val="24"/>
          <w:szCs w:val="24"/>
        </w:rPr>
        <w:t>0.172</w:t>
      </w:r>
      <w:r w:rsidRPr="00BB5892">
        <w:rPr>
          <w:rFonts w:ascii="Times New Roman" w:hAnsi="Times New Roman" w:cs="Times New Roman"/>
          <w:i/>
          <w:sz w:val="24"/>
          <w:szCs w:val="24"/>
        </w:rPr>
        <w:t xml:space="preserve">×SGAI + </w:t>
      </w:r>
      <w:r w:rsidRPr="00D93489">
        <w:rPr>
          <w:rFonts w:ascii="Times New Roman" w:hAnsi="Times New Roman" w:cs="Times New Roman"/>
          <w:sz w:val="24"/>
          <w:szCs w:val="24"/>
        </w:rPr>
        <w:t>4.679</w:t>
      </w:r>
      <w:r w:rsidRPr="00BB5892">
        <w:rPr>
          <w:rFonts w:ascii="Times New Roman" w:hAnsi="Times New Roman" w:cs="Times New Roman"/>
          <w:i/>
          <w:sz w:val="24"/>
          <w:szCs w:val="24"/>
        </w:rPr>
        <w:t xml:space="preserve">×TATA – </w:t>
      </w:r>
      <w:r w:rsidRPr="00D93489">
        <w:rPr>
          <w:rFonts w:ascii="Times New Roman" w:hAnsi="Times New Roman" w:cs="Times New Roman"/>
          <w:sz w:val="24"/>
          <w:szCs w:val="24"/>
        </w:rPr>
        <w:t>0.327</w:t>
      </w:r>
      <w:r w:rsidRPr="00BB5892">
        <w:rPr>
          <w:rFonts w:ascii="Times New Roman" w:hAnsi="Times New Roman" w:cs="Times New Roman"/>
          <w:i/>
          <w:sz w:val="24"/>
          <w:szCs w:val="24"/>
        </w:rPr>
        <w:t>×LVG</w:t>
      </w:r>
      <w:r w:rsidR="00415817">
        <w:rPr>
          <w:rFonts w:ascii="Times New Roman" w:hAnsi="Times New Roman" w:cs="Times New Roman"/>
          <w:sz w:val="24"/>
          <w:szCs w:val="24"/>
        </w:rPr>
        <w:tab/>
      </w:r>
      <w:r w:rsidR="00415817">
        <w:rPr>
          <w:rFonts w:ascii="Times New Roman" w:hAnsi="Times New Roman" w:cs="Times New Roman"/>
          <w:sz w:val="24"/>
          <w:szCs w:val="24"/>
        </w:rPr>
        <w:tab/>
      </w:r>
      <w:r w:rsidR="00415817">
        <w:rPr>
          <w:rFonts w:ascii="Times New Roman" w:hAnsi="Times New Roman" w:cs="Times New Roman"/>
          <w:sz w:val="24"/>
          <w:szCs w:val="24"/>
        </w:rPr>
        <w:tab/>
      </w:r>
      <w:r w:rsidR="00415817">
        <w:rPr>
          <w:rFonts w:ascii="Times New Roman" w:hAnsi="Times New Roman" w:cs="Times New Roman"/>
          <w:sz w:val="24"/>
          <w:szCs w:val="24"/>
        </w:rPr>
        <w:tab/>
      </w:r>
      <w:r w:rsidR="00415817">
        <w:rPr>
          <w:rFonts w:ascii="Times New Roman" w:hAnsi="Times New Roman" w:cs="Times New Roman"/>
          <w:sz w:val="24"/>
          <w:szCs w:val="24"/>
        </w:rPr>
        <w:tab/>
      </w:r>
      <w:r w:rsidR="00415817">
        <w:rPr>
          <w:rFonts w:ascii="Times New Roman" w:hAnsi="Times New Roman" w:cs="Times New Roman"/>
          <w:sz w:val="24"/>
          <w:szCs w:val="24"/>
        </w:rPr>
        <w:tab/>
      </w:r>
      <w:r w:rsidR="00415817">
        <w:rPr>
          <w:rFonts w:ascii="Times New Roman" w:hAnsi="Times New Roman" w:cs="Times New Roman"/>
          <w:sz w:val="24"/>
          <w:szCs w:val="24"/>
        </w:rPr>
        <w:tab/>
      </w:r>
      <w:r w:rsidR="00BB5892">
        <w:rPr>
          <w:rFonts w:ascii="Times New Roman" w:hAnsi="Times New Roman" w:cs="Times New Roman"/>
          <w:sz w:val="24"/>
          <w:szCs w:val="24"/>
        </w:rPr>
        <w:t xml:space="preserve">       (1)</w:t>
      </w:r>
      <w:r w:rsidR="00415817">
        <w:rPr>
          <w:rFonts w:ascii="Times New Roman" w:hAnsi="Times New Roman" w:cs="Times New Roman"/>
          <w:sz w:val="24"/>
          <w:szCs w:val="24"/>
        </w:rPr>
        <w:tab/>
      </w:r>
      <w:r w:rsidR="00BB5892">
        <w:rPr>
          <w:rFonts w:ascii="Times New Roman" w:hAnsi="Times New Roman" w:cs="Times New Roman"/>
          <w:sz w:val="24"/>
          <w:szCs w:val="24"/>
        </w:rPr>
        <w:t xml:space="preserve"> </w:t>
      </w:r>
      <w:r w:rsidRPr="003C0FB1">
        <w:rPr>
          <w:rFonts w:ascii="Times New Roman" w:hAnsi="Times New Roman" w:cs="Times New Roman"/>
          <w:sz w:val="24"/>
          <w:szCs w:val="24"/>
        </w:rPr>
        <w:t>From the data obtained from financial statement analysis, th</w:t>
      </w:r>
      <w:r w:rsidR="00415817">
        <w:rPr>
          <w:rFonts w:ascii="Times New Roman" w:hAnsi="Times New Roman" w:cs="Times New Roman"/>
          <w:sz w:val="24"/>
          <w:szCs w:val="24"/>
        </w:rPr>
        <w:t>e M-score is calculated as indicated</w:t>
      </w:r>
      <w:r w:rsidR="000346C0">
        <w:rPr>
          <w:rFonts w:ascii="Times New Roman" w:hAnsi="Times New Roman" w:cs="Times New Roman"/>
          <w:sz w:val="24"/>
          <w:szCs w:val="24"/>
        </w:rPr>
        <w:t xml:space="preserve"> below</w:t>
      </w:r>
      <w:r w:rsidR="00415817">
        <w:rPr>
          <w:rFonts w:ascii="Times New Roman" w:hAnsi="Times New Roman" w:cs="Times New Roman"/>
          <w:sz w:val="24"/>
          <w:szCs w:val="24"/>
        </w:rPr>
        <w:t xml:space="preserve">. </w:t>
      </w:r>
      <w:r w:rsidR="00233D8A" w:rsidRPr="00233D8A">
        <w:rPr>
          <w:rFonts w:ascii="Times New Roman" w:hAnsi="Times New Roman" w:cs="Times New Roman"/>
          <w:b/>
          <w:sz w:val="24"/>
          <w:szCs w:val="24"/>
        </w:rPr>
        <w:t>Table 1</w:t>
      </w:r>
      <w:r w:rsidR="00233D8A">
        <w:rPr>
          <w:rFonts w:ascii="Times New Roman" w:hAnsi="Times New Roman" w:cs="Times New Roman"/>
          <w:b/>
          <w:sz w:val="24"/>
          <w:szCs w:val="24"/>
        </w:rPr>
        <w:t xml:space="preserve"> </w:t>
      </w:r>
      <w:r w:rsidR="00233D8A" w:rsidRPr="00233D8A">
        <w:rPr>
          <w:rFonts w:ascii="Times New Roman" w:hAnsi="Times New Roman" w:cs="Times New Roman"/>
          <w:sz w:val="24"/>
          <w:szCs w:val="24"/>
        </w:rPr>
        <w:t xml:space="preserve">indicates </w:t>
      </w:r>
      <w:r w:rsidR="00233D8A">
        <w:rPr>
          <w:rFonts w:ascii="Times New Roman" w:hAnsi="Times New Roman" w:cs="Times New Roman"/>
          <w:sz w:val="24"/>
          <w:szCs w:val="24"/>
        </w:rPr>
        <w:t xml:space="preserve">the indices obtained from the </w:t>
      </w:r>
      <w:r w:rsidR="00233D8A" w:rsidRPr="00233D8A">
        <w:rPr>
          <w:rFonts w:ascii="Times New Roman" w:hAnsi="Times New Roman" w:cs="Times New Roman"/>
          <w:sz w:val="24"/>
          <w:szCs w:val="24"/>
        </w:rPr>
        <w:t>financial statement</w:t>
      </w:r>
      <w:r w:rsidR="00233D8A">
        <w:rPr>
          <w:rFonts w:ascii="Times New Roman" w:hAnsi="Times New Roman" w:cs="Times New Roman"/>
          <w:b/>
          <w:sz w:val="24"/>
          <w:szCs w:val="24"/>
        </w:rPr>
        <w:t xml:space="preserve"> </w:t>
      </w:r>
      <w:r w:rsidR="00233D8A">
        <w:rPr>
          <w:rFonts w:ascii="Times New Roman" w:hAnsi="Times New Roman" w:cs="Times New Roman"/>
          <w:sz w:val="24"/>
          <w:szCs w:val="24"/>
        </w:rPr>
        <w:t>analysis.</w:t>
      </w:r>
    </w:p>
    <w:p w14:paraId="4FD57C7B" w14:textId="6A7ED611" w:rsidR="00FF1904" w:rsidRDefault="00C35FD0" w:rsidP="00016E64">
      <w:pPr>
        <w:spacing w:line="240" w:lineRule="auto"/>
        <w:jc w:val="both"/>
        <w:rPr>
          <w:rFonts w:ascii="Times New Roman" w:hAnsi="Times New Roman" w:cs="Times New Roman"/>
          <w:b/>
          <w:sz w:val="24"/>
          <w:szCs w:val="24"/>
        </w:rPr>
      </w:pPr>
      <w:r w:rsidRPr="00C35FD0">
        <w:rPr>
          <w:rFonts w:ascii="Times New Roman" w:hAnsi="Times New Roman" w:cs="Times New Roman"/>
          <w:b/>
          <w:sz w:val="24"/>
          <w:szCs w:val="24"/>
        </w:rPr>
        <w:t>Table 1</w:t>
      </w:r>
    </w:p>
    <w:p w14:paraId="74A9E90D" w14:textId="0A0844A3" w:rsidR="00415817" w:rsidRPr="00415817" w:rsidRDefault="00415817" w:rsidP="00016E64">
      <w:pPr>
        <w:spacing w:line="240" w:lineRule="auto"/>
        <w:jc w:val="both"/>
        <w:rPr>
          <w:rFonts w:ascii="Times New Roman" w:hAnsi="Times New Roman" w:cs="Times New Roman"/>
          <w:sz w:val="24"/>
          <w:szCs w:val="24"/>
        </w:rPr>
      </w:pPr>
      <w:r w:rsidRPr="003C0FB1">
        <w:rPr>
          <w:rFonts w:ascii="Times New Roman" w:hAnsi="Times New Roman" w:cs="Times New Roman"/>
          <w:sz w:val="24"/>
          <w:szCs w:val="24"/>
        </w:rPr>
        <w:t>The Beneish: Fraud Statement Index</w:t>
      </w:r>
    </w:p>
    <w:tbl>
      <w:tblPr>
        <w:tblW w:w="10500" w:type="dxa"/>
        <w:tblInd w:w="-450" w:type="dxa"/>
        <w:tblLayout w:type="fixed"/>
        <w:tblCellMar>
          <w:left w:w="0" w:type="dxa"/>
          <w:right w:w="0" w:type="dxa"/>
        </w:tblCellMar>
        <w:tblLook w:val="0000" w:firstRow="0" w:lastRow="0" w:firstColumn="0" w:lastColumn="0" w:noHBand="0" w:noVBand="0"/>
      </w:tblPr>
      <w:tblGrid>
        <w:gridCol w:w="2420"/>
        <w:gridCol w:w="4100"/>
        <w:gridCol w:w="800"/>
        <w:gridCol w:w="800"/>
        <w:gridCol w:w="800"/>
        <w:gridCol w:w="780"/>
        <w:gridCol w:w="800"/>
      </w:tblGrid>
      <w:tr w:rsidR="003F372F" w:rsidRPr="003C0FB1" w14:paraId="52499981" w14:textId="77777777" w:rsidTr="009303C8">
        <w:trPr>
          <w:trHeight w:val="540"/>
        </w:trPr>
        <w:tc>
          <w:tcPr>
            <w:tcW w:w="2420" w:type="dxa"/>
            <w:tcBorders>
              <w:top w:val="single" w:sz="4" w:space="0" w:color="auto"/>
              <w:bottom w:val="single" w:sz="4" w:space="0" w:color="auto"/>
            </w:tcBorders>
            <w:shd w:val="clear" w:color="auto" w:fill="auto"/>
            <w:vAlign w:val="bottom"/>
          </w:tcPr>
          <w:p w14:paraId="2FE1C0AE" w14:textId="77777777" w:rsidR="003F372F" w:rsidRDefault="006163EE" w:rsidP="00016E64">
            <w:pPr>
              <w:spacing w:after="0" w:line="0" w:lineRule="atLeast"/>
              <w:jc w:val="both"/>
              <w:rPr>
                <w:rFonts w:ascii="Times New Roman" w:eastAsia="Times New Roman" w:hAnsi="Times New Roman" w:cs="Times New Roman"/>
                <w:b/>
                <w:sz w:val="24"/>
                <w:szCs w:val="24"/>
              </w:rPr>
            </w:pPr>
            <w:r w:rsidRPr="006163EE">
              <w:rPr>
                <w:rFonts w:ascii="Times New Roman" w:eastAsia="Times New Roman" w:hAnsi="Times New Roman" w:cs="Times New Roman"/>
                <w:b/>
                <w:sz w:val="24"/>
                <w:szCs w:val="24"/>
              </w:rPr>
              <w:t>Index</w:t>
            </w:r>
          </w:p>
          <w:p w14:paraId="6863E2F9" w14:textId="025271BB" w:rsidR="006163EE" w:rsidRPr="006163EE" w:rsidRDefault="006163EE" w:rsidP="00016E64">
            <w:pPr>
              <w:spacing w:after="0" w:line="0" w:lineRule="atLeast"/>
              <w:jc w:val="both"/>
              <w:rPr>
                <w:rFonts w:ascii="Times New Roman" w:eastAsia="Times New Roman" w:hAnsi="Times New Roman" w:cs="Times New Roman"/>
                <w:b/>
                <w:sz w:val="24"/>
                <w:szCs w:val="24"/>
              </w:rPr>
            </w:pPr>
          </w:p>
        </w:tc>
        <w:tc>
          <w:tcPr>
            <w:tcW w:w="4100" w:type="dxa"/>
            <w:tcBorders>
              <w:top w:val="single" w:sz="4" w:space="0" w:color="auto"/>
              <w:bottom w:val="single" w:sz="4" w:space="0" w:color="auto"/>
            </w:tcBorders>
            <w:shd w:val="clear" w:color="auto" w:fill="auto"/>
            <w:vAlign w:val="bottom"/>
          </w:tcPr>
          <w:p w14:paraId="0A58071A" w14:textId="77777777" w:rsidR="003F372F" w:rsidRDefault="006163EE" w:rsidP="00016E64">
            <w:pPr>
              <w:spacing w:after="0" w:line="0" w:lineRule="atLeast"/>
              <w:jc w:val="both"/>
              <w:rPr>
                <w:rFonts w:ascii="Times New Roman" w:eastAsia="Times New Roman" w:hAnsi="Times New Roman" w:cs="Times New Roman"/>
                <w:b/>
                <w:sz w:val="24"/>
                <w:szCs w:val="24"/>
              </w:rPr>
            </w:pPr>
            <w:r w:rsidRPr="006163EE">
              <w:rPr>
                <w:rFonts w:ascii="Times New Roman" w:eastAsia="Times New Roman" w:hAnsi="Times New Roman" w:cs="Times New Roman"/>
                <w:b/>
                <w:sz w:val="24"/>
                <w:szCs w:val="24"/>
              </w:rPr>
              <w:t>Formulae</w:t>
            </w:r>
          </w:p>
          <w:p w14:paraId="5B075694" w14:textId="0C2BE0B4" w:rsidR="006163EE" w:rsidRPr="006163EE" w:rsidRDefault="006163EE" w:rsidP="00016E64">
            <w:pPr>
              <w:spacing w:after="0" w:line="0" w:lineRule="atLeast"/>
              <w:jc w:val="both"/>
              <w:rPr>
                <w:rFonts w:ascii="Times New Roman" w:eastAsia="Times New Roman" w:hAnsi="Times New Roman" w:cs="Times New Roman"/>
                <w:b/>
                <w:sz w:val="24"/>
                <w:szCs w:val="24"/>
              </w:rPr>
            </w:pPr>
          </w:p>
        </w:tc>
        <w:tc>
          <w:tcPr>
            <w:tcW w:w="800" w:type="dxa"/>
            <w:tcBorders>
              <w:top w:val="single" w:sz="4" w:space="0" w:color="auto"/>
              <w:bottom w:val="single" w:sz="4" w:space="0" w:color="auto"/>
            </w:tcBorders>
            <w:shd w:val="clear" w:color="auto" w:fill="auto"/>
            <w:vAlign w:val="bottom"/>
          </w:tcPr>
          <w:p w14:paraId="32E58BDA" w14:textId="77777777" w:rsidR="003F372F" w:rsidRDefault="003F372F" w:rsidP="00016E64">
            <w:pPr>
              <w:spacing w:after="0" w:line="0" w:lineRule="atLeast"/>
              <w:jc w:val="both"/>
              <w:rPr>
                <w:rFonts w:ascii="Times New Roman" w:eastAsia="Arial" w:hAnsi="Times New Roman" w:cs="Times New Roman"/>
                <w:b/>
                <w:w w:val="96"/>
                <w:sz w:val="24"/>
                <w:szCs w:val="24"/>
              </w:rPr>
            </w:pPr>
            <w:r w:rsidRPr="006163EE">
              <w:rPr>
                <w:rFonts w:ascii="Times New Roman" w:eastAsia="Arial" w:hAnsi="Times New Roman" w:cs="Times New Roman"/>
                <w:b/>
                <w:w w:val="96"/>
                <w:sz w:val="24"/>
                <w:szCs w:val="24"/>
              </w:rPr>
              <w:t>2001</w:t>
            </w:r>
          </w:p>
          <w:p w14:paraId="439149BA" w14:textId="2A5FA910" w:rsidR="006163EE" w:rsidRPr="006163EE" w:rsidRDefault="006163EE" w:rsidP="00016E64">
            <w:pPr>
              <w:spacing w:after="0" w:line="0" w:lineRule="atLeast"/>
              <w:jc w:val="both"/>
              <w:rPr>
                <w:rFonts w:ascii="Times New Roman" w:eastAsia="Arial" w:hAnsi="Times New Roman" w:cs="Times New Roman"/>
                <w:b/>
                <w:w w:val="96"/>
                <w:sz w:val="24"/>
                <w:szCs w:val="24"/>
              </w:rPr>
            </w:pPr>
          </w:p>
        </w:tc>
        <w:tc>
          <w:tcPr>
            <w:tcW w:w="800" w:type="dxa"/>
            <w:tcBorders>
              <w:top w:val="single" w:sz="4" w:space="0" w:color="auto"/>
              <w:bottom w:val="single" w:sz="4" w:space="0" w:color="auto"/>
            </w:tcBorders>
            <w:shd w:val="clear" w:color="auto" w:fill="auto"/>
            <w:vAlign w:val="bottom"/>
          </w:tcPr>
          <w:p w14:paraId="4AE2097F" w14:textId="77777777" w:rsidR="003F372F" w:rsidRDefault="003F372F" w:rsidP="00016E64">
            <w:pPr>
              <w:spacing w:after="0" w:line="0" w:lineRule="atLeast"/>
              <w:jc w:val="both"/>
              <w:rPr>
                <w:rFonts w:ascii="Times New Roman" w:eastAsia="Arial" w:hAnsi="Times New Roman" w:cs="Times New Roman"/>
                <w:b/>
                <w:sz w:val="24"/>
                <w:szCs w:val="24"/>
              </w:rPr>
            </w:pPr>
            <w:r w:rsidRPr="006163EE">
              <w:rPr>
                <w:rFonts w:ascii="Times New Roman" w:eastAsia="Arial" w:hAnsi="Times New Roman" w:cs="Times New Roman"/>
                <w:b/>
                <w:sz w:val="24"/>
                <w:szCs w:val="24"/>
              </w:rPr>
              <w:t>2000</w:t>
            </w:r>
          </w:p>
          <w:p w14:paraId="37C635DE" w14:textId="35AD0D3F" w:rsidR="006163EE" w:rsidRPr="006163EE" w:rsidRDefault="006163EE" w:rsidP="00016E64">
            <w:pPr>
              <w:spacing w:after="0" w:line="0" w:lineRule="atLeast"/>
              <w:jc w:val="both"/>
              <w:rPr>
                <w:rFonts w:ascii="Times New Roman" w:eastAsia="Arial" w:hAnsi="Times New Roman" w:cs="Times New Roman"/>
                <w:b/>
                <w:sz w:val="24"/>
                <w:szCs w:val="24"/>
              </w:rPr>
            </w:pPr>
          </w:p>
        </w:tc>
        <w:tc>
          <w:tcPr>
            <w:tcW w:w="800" w:type="dxa"/>
            <w:tcBorders>
              <w:top w:val="single" w:sz="4" w:space="0" w:color="auto"/>
              <w:bottom w:val="single" w:sz="4" w:space="0" w:color="auto"/>
            </w:tcBorders>
            <w:shd w:val="clear" w:color="auto" w:fill="auto"/>
            <w:vAlign w:val="bottom"/>
          </w:tcPr>
          <w:p w14:paraId="288C176F" w14:textId="77777777" w:rsidR="003F372F" w:rsidRDefault="003F372F" w:rsidP="00016E64">
            <w:pPr>
              <w:spacing w:after="0" w:line="0" w:lineRule="atLeast"/>
              <w:jc w:val="both"/>
              <w:rPr>
                <w:rFonts w:ascii="Times New Roman" w:eastAsia="Arial" w:hAnsi="Times New Roman" w:cs="Times New Roman"/>
                <w:b/>
                <w:w w:val="96"/>
                <w:sz w:val="24"/>
                <w:szCs w:val="24"/>
              </w:rPr>
            </w:pPr>
            <w:r w:rsidRPr="006163EE">
              <w:rPr>
                <w:rFonts w:ascii="Times New Roman" w:eastAsia="Arial" w:hAnsi="Times New Roman" w:cs="Times New Roman"/>
                <w:b/>
                <w:w w:val="96"/>
                <w:sz w:val="24"/>
                <w:szCs w:val="24"/>
              </w:rPr>
              <w:t>1999</w:t>
            </w:r>
          </w:p>
          <w:p w14:paraId="4A0D628F" w14:textId="1736B360" w:rsidR="006163EE" w:rsidRPr="006163EE" w:rsidRDefault="006163EE" w:rsidP="00016E64">
            <w:pPr>
              <w:spacing w:after="0" w:line="0" w:lineRule="atLeast"/>
              <w:jc w:val="both"/>
              <w:rPr>
                <w:rFonts w:ascii="Times New Roman" w:eastAsia="Arial" w:hAnsi="Times New Roman" w:cs="Times New Roman"/>
                <w:b/>
                <w:w w:val="96"/>
                <w:sz w:val="24"/>
                <w:szCs w:val="24"/>
              </w:rPr>
            </w:pPr>
          </w:p>
        </w:tc>
        <w:tc>
          <w:tcPr>
            <w:tcW w:w="780" w:type="dxa"/>
            <w:tcBorders>
              <w:top w:val="single" w:sz="4" w:space="0" w:color="auto"/>
              <w:bottom w:val="single" w:sz="4" w:space="0" w:color="auto"/>
            </w:tcBorders>
            <w:shd w:val="clear" w:color="auto" w:fill="auto"/>
            <w:vAlign w:val="bottom"/>
          </w:tcPr>
          <w:p w14:paraId="5898C599" w14:textId="77777777" w:rsidR="003F372F" w:rsidRDefault="003F372F" w:rsidP="00016E64">
            <w:pPr>
              <w:spacing w:after="0" w:line="0" w:lineRule="atLeast"/>
              <w:jc w:val="both"/>
              <w:rPr>
                <w:rFonts w:ascii="Times New Roman" w:eastAsia="Arial" w:hAnsi="Times New Roman" w:cs="Times New Roman"/>
                <w:b/>
                <w:w w:val="96"/>
                <w:sz w:val="24"/>
                <w:szCs w:val="24"/>
              </w:rPr>
            </w:pPr>
            <w:r w:rsidRPr="006163EE">
              <w:rPr>
                <w:rFonts w:ascii="Times New Roman" w:eastAsia="Arial" w:hAnsi="Times New Roman" w:cs="Times New Roman"/>
                <w:b/>
                <w:w w:val="96"/>
                <w:sz w:val="24"/>
                <w:szCs w:val="24"/>
              </w:rPr>
              <w:t>1998</w:t>
            </w:r>
          </w:p>
          <w:p w14:paraId="7E8AEAC7" w14:textId="176D5669" w:rsidR="00E969EA" w:rsidRPr="006163EE" w:rsidRDefault="00E969EA" w:rsidP="00016E64">
            <w:pPr>
              <w:spacing w:after="0" w:line="0" w:lineRule="atLeast"/>
              <w:jc w:val="both"/>
              <w:rPr>
                <w:rFonts w:ascii="Times New Roman" w:eastAsia="Arial" w:hAnsi="Times New Roman" w:cs="Times New Roman"/>
                <w:b/>
                <w:w w:val="96"/>
                <w:sz w:val="24"/>
                <w:szCs w:val="24"/>
              </w:rPr>
            </w:pPr>
          </w:p>
        </w:tc>
        <w:tc>
          <w:tcPr>
            <w:tcW w:w="800" w:type="dxa"/>
            <w:tcBorders>
              <w:top w:val="single" w:sz="4" w:space="0" w:color="auto"/>
              <w:bottom w:val="single" w:sz="4" w:space="0" w:color="auto"/>
            </w:tcBorders>
            <w:shd w:val="clear" w:color="auto" w:fill="auto"/>
            <w:vAlign w:val="bottom"/>
          </w:tcPr>
          <w:p w14:paraId="2238B1FF" w14:textId="77777777" w:rsidR="003F372F" w:rsidRDefault="003F372F" w:rsidP="00016E64">
            <w:pPr>
              <w:spacing w:after="0" w:line="0" w:lineRule="atLeast"/>
              <w:jc w:val="both"/>
              <w:rPr>
                <w:rFonts w:ascii="Times New Roman" w:eastAsia="Arial" w:hAnsi="Times New Roman" w:cs="Times New Roman"/>
                <w:b/>
                <w:sz w:val="24"/>
                <w:szCs w:val="24"/>
              </w:rPr>
            </w:pPr>
            <w:r w:rsidRPr="003C0FB1">
              <w:rPr>
                <w:rFonts w:ascii="Times New Roman" w:eastAsia="Arial" w:hAnsi="Times New Roman" w:cs="Times New Roman"/>
                <w:b/>
                <w:sz w:val="24"/>
                <w:szCs w:val="24"/>
              </w:rPr>
              <w:t>1997</w:t>
            </w:r>
          </w:p>
          <w:p w14:paraId="325DC489" w14:textId="7023A332" w:rsidR="00E969EA" w:rsidRPr="003C0FB1" w:rsidRDefault="00E969EA" w:rsidP="00016E64">
            <w:pPr>
              <w:spacing w:after="0" w:line="0" w:lineRule="atLeast"/>
              <w:jc w:val="both"/>
              <w:rPr>
                <w:rFonts w:ascii="Times New Roman" w:eastAsia="Arial" w:hAnsi="Times New Roman" w:cs="Times New Roman"/>
                <w:b/>
                <w:sz w:val="24"/>
                <w:szCs w:val="24"/>
              </w:rPr>
            </w:pPr>
          </w:p>
        </w:tc>
      </w:tr>
      <w:tr w:rsidR="003F372F" w:rsidRPr="003C0FB1" w14:paraId="670E6BED" w14:textId="77777777" w:rsidTr="009303C8">
        <w:trPr>
          <w:trHeight w:val="168"/>
        </w:trPr>
        <w:tc>
          <w:tcPr>
            <w:tcW w:w="2420" w:type="dxa"/>
            <w:tcBorders>
              <w:top w:val="single" w:sz="4" w:space="0" w:color="auto"/>
            </w:tcBorders>
            <w:shd w:val="clear" w:color="auto" w:fill="auto"/>
            <w:vAlign w:val="bottom"/>
          </w:tcPr>
          <w:p w14:paraId="6C92CC9E" w14:textId="27C6AA4F" w:rsidR="003F372F" w:rsidRPr="003C0FB1" w:rsidRDefault="003F372F" w:rsidP="00016E64">
            <w:pPr>
              <w:spacing w:after="0" w:line="0" w:lineRule="atLeast"/>
              <w:ind w:left="20"/>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D</w:t>
            </w:r>
            <w:r w:rsidR="0049394E">
              <w:rPr>
                <w:rFonts w:ascii="Times New Roman" w:eastAsia="Arial" w:hAnsi="Times New Roman" w:cs="Times New Roman"/>
                <w:sz w:val="24"/>
                <w:szCs w:val="24"/>
              </w:rPr>
              <w:t xml:space="preserve">ays' sales in receivable index </w:t>
            </w:r>
          </w:p>
        </w:tc>
        <w:tc>
          <w:tcPr>
            <w:tcW w:w="4100" w:type="dxa"/>
            <w:tcBorders>
              <w:top w:val="single" w:sz="4" w:space="0" w:color="auto"/>
            </w:tcBorders>
            <w:shd w:val="clear" w:color="auto" w:fill="auto"/>
            <w:vAlign w:val="bottom"/>
          </w:tcPr>
          <w:p w14:paraId="56C0B2AC"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[receivables current year/sales current year]/[receivables prior</w:t>
            </w:r>
          </w:p>
        </w:tc>
        <w:tc>
          <w:tcPr>
            <w:tcW w:w="800" w:type="dxa"/>
            <w:tcBorders>
              <w:top w:val="single" w:sz="4" w:space="0" w:color="auto"/>
            </w:tcBorders>
            <w:shd w:val="clear" w:color="auto" w:fill="auto"/>
            <w:vAlign w:val="bottom"/>
          </w:tcPr>
          <w:p w14:paraId="39935244"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0.51</w:t>
            </w:r>
          </w:p>
        </w:tc>
        <w:tc>
          <w:tcPr>
            <w:tcW w:w="800" w:type="dxa"/>
            <w:tcBorders>
              <w:top w:val="single" w:sz="4" w:space="0" w:color="auto"/>
            </w:tcBorders>
            <w:shd w:val="clear" w:color="auto" w:fill="auto"/>
            <w:vAlign w:val="bottom"/>
          </w:tcPr>
          <w:p w14:paraId="63C7D61D"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0.55</w:t>
            </w:r>
          </w:p>
        </w:tc>
        <w:tc>
          <w:tcPr>
            <w:tcW w:w="800" w:type="dxa"/>
            <w:tcBorders>
              <w:top w:val="single" w:sz="4" w:space="0" w:color="auto"/>
            </w:tcBorders>
            <w:shd w:val="clear" w:color="auto" w:fill="auto"/>
            <w:vAlign w:val="bottom"/>
          </w:tcPr>
          <w:p w14:paraId="046E0775"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1.18</w:t>
            </w:r>
          </w:p>
        </w:tc>
        <w:tc>
          <w:tcPr>
            <w:tcW w:w="780" w:type="dxa"/>
            <w:tcBorders>
              <w:top w:val="single" w:sz="4" w:space="0" w:color="auto"/>
            </w:tcBorders>
            <w:shd w:val="clear" w:color="auto" w:fill="auto"/>
            <w:vAlign w:val="bottom"/>
          </w:tcPr>
          <w:p w14:paraId="0C20BCB8"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1.61</w:t>
            </w:r>
          </w:p>
        </w:tc>
        <w:tc>
          <w:tcPr>
            <w:tcW w:w="800" w:type="dxa"/>
            <w:tcBorders>
              <w:top w:val="single" w:sz="4" w:space="0" w:color="auto"/>
            </w:tcBorders>
            <w:shd w:val="clear" w:color="auto" w:fill="auto"/>
            <w:vAlign w:val="bottom"/>
          </w:tcPr>
          <w:p w14:paraId="5EF48E92"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1.31</w:t>
            </w:r>
          </w:p>
        </w:tc>
      </w:tr>
      <w:tr w:rsidR="003F372F" w:rsidRPr="003C0FB1" w14:paraId="0DF7DF1E" w14:textId="77777777" w:rsidTr="009303C8">
        <w:trPr>
          <w:trHeight w:val="191"/>
        </w:trPr>
        <w:tc>
          <w:tcPr>
            <w:tcW w:w="2420" w:type="dxa"/>
            <w:shd w:val="clear" w:color="auto" w:fill="auto"/>
            <w:vAlign w:val="bottom"/>
          </w:tcPr>
          <w:p w14:paraId="2F4F4ABA"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4100" w:type="dxa"/>
            <w:shd w:val="clear" w:color="auto" w:fill="auto"/>
            <w:vAlign w:val="bottom"/>
          </w:tcPr>
          <w:p w14:paraId="0FF27D11"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year/sales prior year]</w:t>
            </w:r>
          </w:p>
        </w:tc>
        <w:tc>
          <w:tcPr>
            <w:tcW w:w="800" w:type="dxa"/>
            <w:shd w:val="clear" w:color="auto" w:fill="auto"/>
            <w:vAlign w:val="bottom"/>
          </w:tcPr>
          <w:p w14:paraId="64B4B131"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02FE919A"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7B246A87"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780" w:type="dxa"/>
            <w:shd w:val="clear" w:color="auto" w:fill="auto"/>
            <w:vAlign w:val="bottom"/>
          </w:tcPr>
          <w:p w14:paraId="3F17B5FB"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0BAD2F2F"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07348553" w14:textId="77777777" w:rsidTr="009303C8">
        <w:trPr>
          <w:trHeight w:val="172"/>
        </w:trPr>
        <w:tc>
          <w:tcPr>
            <w:tcW w:w="2420" w:type="dxa"/>
            <w:shd w:val="clear" w:color="auto" w:fill="auto"/>
            <w:vAlign w:val="bottom"/>
          </w:tcPr>
          <w:p w14:paraId="7937287C" w14:textId="1A9DBA49" w:rsidR="003F372F" w:rsidRPr="003C0FB1" w:rsidRDefault="0049394E" w:rsidP="00016E64">
            <w:pPr>
              <w:spacing w:after="0" w:line="0" w:lineRule="atLeast"/>
              <w:ind w:lef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Gross margin index </w:t>
            </w:r>
          </w:p>
        </w:tc>
        <w:tc>
          <w:tcPr>
            <w:tcW w:w="4100" w:type="dxa"/>
            <w:shd w:val="clear" w:color="auto" w:fill="auto"/>
            <w:vAlign w:val="bottom"/>
          </w:tcPr>
          <w:p w14:paraId="54190BCA"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[(sales prior year minus cost of goods sold prior year)/sales prior</w:t>
            </w:r>
          </w:p>
        </w:tc>
        <w:tc>
          <w:tcPr>
            <w:tcW w:w="800" w:type="dxa"/>
            <w:shd w:val="clear" w:color="auto" w:fill="auto"/>
            <w:vAlign w:val="bottom"/>
          </w:tcPr>
          <w:p w14:paraId="5FE63034"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1.15</w:t>
            </w:r>
          </w:p>
        </w:tc>
        <w:tc>
          <w:tcPr>
            <w:tcW w:w="800" w:type="dxa"/>
            <w:shd w:val="clear" w:color="auto" w:fill="auto"/>
            <w:vAlign w:val="bottom"/>
          </w:tcPr>
          <w:p w14:paraId="1CD42358"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0.05</w:t>
            </w:r>
          </w:p>
        </w:tc>
        <w:tc>
          <w:tcPr>
            <w:tcW w:w="800" w:type="dxa"/>
            <w:shd w:val="clear" w:color="auto" w:fill="auto"/>
            <w:vAlign w:val="bottom"/>
          </w:tcPr>
          <w:p w14:paraId="115CA264"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6.51</w:t>
            </w:r>
          </w:p>
        </w:tc>
        <w:tc>
          <w:tcPr>
            <w:tcW w:w="780" w:type="dxa"/>
            <w:shd w:val="clear" w:color="auto" w:fill="auto"/>
            <w:vAlign w:val="bottom"/>
          </w:tcPr>
          <w:p w14:paraId="29CE8B61"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1.67</w:t>
            </w:r>
          </w:p>
        </w:tc>
        <w:tc>
          <w:tcPr>
            <w:tcW w:w="800" w:type="dxa"/>
            <w:shd w:val="clear" w:color="auto" w:fill="auto"/>
            <w:vAlign w:val="bottom"/>
          </w:tcPr>
          <w:p w14:paraId="73C5D2CA"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22.10</w:t>
            </w:r>
          </w:p>
        </w:tc>
      </w:tr>
      <w:tr w:rsidR="003F372F" w:rsidRPr="003C0FB1" w14:paraId="5F146B31" w14:textId="77777777" w:rsidTr="009303C8">
        <w:trPr>
          <w:trHeight w:val="168"/>
        </w:trPr>
        <w:tc>
          <w:tcPr>
            <w:tcW w:w="2420" w:type="dxa"/>
            <w:shd w:val="clear" w:color="auto" w:fill="auto"/>
            <w:vAlign w:val="bottom"/>
          </w:tcPr>
          <w:p w14:paraId="04EB7109"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4100" w:type="dxa"/>
            <w:shd w:val="clear" w:color="auto" w:fill="auto"/>
            <w:vAlign w:val="bottom"/>
          </w:tcPr>
          <w:p w14:paraId="575C1C5E"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year]/[(sales current year minus cost of goods sold current year)/</w:t>
            </w:r>
          </w:p>
        </w:tc>
        <w:tc>
          <w:tcPr>
            <w:tcW w:w="800" w:type="dxa"/>
            <w:shd w:val="clear" w:color="auto" w:fill="auto"/>
            <w:vAlign w:val="bottom"/>
          </w:tcPr>
          <w:p w14:paraId="03B92189"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70484102"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1EF2EB6E"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780" w:type="dxa"/>
            <w:shd w:val="clear" w:color="auto" w:fill="auto"/>
            <w:vAlign w:val="bottom"/>
          </w:tcPr>
          <w:p w14:paraId="683E9E9E"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4558146D"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3553201A" w14:textId="77777777" w:rsidTr="009303C8">
        <w:trPr>
          <w:trHeight w:val="191"/>
        </w:trPr>
        <w:tc>
          <w:tcPr>
            <w:tcW w:w="2420" w:type="dxa"/>
            <w:shd w:val="clear" w:color="auto" w:fill="auto"/>
            <w:vAlign w:val="bottom"/>
          </w:tcPr>
          <w:p w14:paraId="2D612F96"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4100" w:type="dxa"/>
            <w:shd w:val="clear" w:color="auto" w:fill="auto"/>
            <w:vAlign w:val="bottom"/>
          </w:tcPr>
          <w:p w14:paraId="046B5FD8"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sales current year]</w:t>
            </w:r>
          </w:p>
        </w:tc>
        <w:tc>
          <w:tcPr>
            <w:tcW w:w="800" w:type="dxa"/>
            <w:shd w:val="clear" w:color="auto" w:fill="auto"/>
            <w:vAlign w:val="bottom"/>
          </w:tcPr>
          <w:p w14:paraId="2648867C"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475C128C"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324053FC"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780" w:type="dxa"/>
            <w:shd w:val="clear" w:color="auto" w:fill="auto"/>
            <w:vAlign w:val="bottom"/>
          </w:tcPr>
          <w:p w14:paraId="68E2BD31"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5D80E80D"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402929F2" w14:textId="77777777" w:rsidTr="009303C8">
        <w:trPr>
          <w:trHeight w:val="195"/>
        </w:trPr>
        <w:tc>
          <w:tcPr>
            <w:tcW w:w="2420" w:type="dxa"/>
            <w:shd w:val="clear" w:color="auto" w:fill="auto"/>
            <w:vAlign w:val="bottom"/>
          </w:tcPr>
          <w:p w14:paraId="51035611" w14:textId="67B7D0BF" w:rsidR="003F372F" w:rsidRPr="003C0FB1" w:rsidRDefault="003F372F" w:rsidP="00016E64">
            <w:pPr>
              <w:spacing w:after="0" w:line="0" w:lineRule="atLeast"/>
              <w:ind w:left="20"/>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 xml:space="preserve">Asset </w:t>
            </w:r>
            <w:r w:rsidR="0049394E">
              <w:rPr>
                <w:rFonts w:ascii="Times New Roman" w:eastAsia="Arial" w:hAnsi="Times New Roman" w:cs="Times New Roman"/>
                <w:sz w:val="24"/>
                <w:szCs w:val="24"/>
              </w:rPr>
              <w:t xml:space="preserve">quality index </w:t>
            </w:r>
          </w:p>
        </w:tc>
        <w:tc>
          <w:tcPr>
            <w:tcW w:w="4100" w:type="dxa"/>
            <w:shd w:val="clear" w:color="auto" w:fill="auto"/>
            <w:vAlign w:val="bottom"/>
          </w:tcPr>
          <w:p w14:paraId="0809B51A"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[Current assets + Property, plant and equipment]/Total assets</w:t>
            </w:r>
          </w:p>
        </w:tc>
        <w:tc>
          <w:tcPr>
            <w:tcW w:w="800" w:type="dxa"/>
            <w:shd w:val="clear" w:color="auto" w:fill="auto"/>
            <w:vAlign w:val="bottom"/>
          </w:tcPr>
          <w:p w14:paraId="777561A3"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0.90</w:t>
            </w:r>
          </w:p>
        </w:tc>
        <w:tc>
          <w:tcPr>
            <w:tcW w:w="800" w:type="dxa"/>
            <w:shd w:val="clear" w:color="auto" w:fill="auto"/>
            <w:vAlign w:val="bottom"/>
          </w:tcPr>
          <w:p w14:paraId="6D2F9715"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0.85</w:t>
            </w:r>
          </w:p>
        </w:tc>
        <w:tc>
          <w:tcPr>
            <w:tcW w:w="800" w:type="dxa"/>
            <w:shd w:val="clear" w:color="auto" w:fill="auto"/>
            <w:vAlign w:val="bottom"/>
          </w:tcPr>
          <w:p w14:paraId="55C3FDFC"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0.33</w:t>
            </w:r>
          </w:p>
        </w:tc>
        <w:tc>
          <w:tcPr>
            <w:tcW w:w="780" w:type="dxa"/>
            <w:shd w:val="clear" w:color="auto" w:fill="auto"/>
            <w:vAlign w:val="bottom"/>
          </w:tcPr>
          <w:p w14:paraId="5AF3820A"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0.37</w:t>
            </w:r>
          </w:p>
        </w:tc>
        <w:tc>
          <w:tcPr>
            <w:tcW w:w="800" w:type="dxa"/>
            <w:shd w:val="clear" w:color="auto" w:fill="auto"/>
            <w:vAlign w:val="bottom"/>
          </w:tcPr>
          <w:p w14:paraId="4AD09D23"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0.41</w:t>
            </w:r>
          </w:p>
        </w:tc>
      </w:tr>
      <w:tr w:rsidR="003F372F" w:rsidRPr="003C0FB1" w14:paraId="048793C2" w14:textId="77777777" w:rsidTr="009303C8">
        <w:trPr>
          <w:trHeight w:val="195"/>
        </w:trPr>
        <w:tc>
          <w:tcPr>
            <w:tcW w:w="2420" w:type="dxa"/>
            <w:shd w:val="clear" w:color="auto" w:fill="auto"/>
            <w:vAlign w:val="bottom"/>
          </w:tcPr>
          <w:p w14:paraId="063B07C7" w14:textId="00A0B1D8" w:rsidR="003F372F" w:rsidRPr="003C0FB1" w:rsidRDefault="0049394E" w:rsidP="00016E64">
            <w:pPr>
              <w:spacing w:after="0" w:line="0" w:lineRule="atLeast"/>
              <w:ind w:lef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Sales growth index </w:t>
            </w:r>
          </w:p>
        </w:tc>
        <w:tc>
          <w:tcPr>
            <w:tcW w:w="4100" w:type="dxa"/>
            <w:shd w:val="clear" w:color="auto" w:fill="auto"/>
            <w:vAlign w:val="bottom"/>
          </w:tcPr>
          <w:p w14:paraId="21A60F1F"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sales current year/ sales prior year</w:t>
            </w:r>
          </w:p>
        </w:tc>
        <w:tc>
          <w:tcPr>
            <w:tcW w:w="800" w:type="dxa"/>
            <w:shd w:val="clear" w:color="auto" w:fill="auto"/>
            <w:vAlign w:val="bottom"/>
          </w:tcPr>
          <w:p w14:paraId="7A9EEA15"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1.11</w:t>
            </w:r>
          </w:p>
        </w:tc>
        <w:tc>
          <w:tcPr>
            <w:tcW w:w="800" w:type="dxa"/>
            <w:shd w:val="clear" w:color="auto" w:fill="auto"/>
            <w:vAlign w:val="bottom"/>
          </w:tcPr>
          <w:p w14:paraId="3D870EF5"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1.77</w:t>
            </w:r>
          </w:p>
        </w:tc>
        <w:tc>
          <w:tcPr>
            <w:tcW w:w="800" w:type="dxa"/>
            <w:shd w:val="clear" w:color="auto" w:fill="auto"/>
            <w:vAlign w:val="bottom"/>
          </w:tcPr>
          <w:p w14:paraId="01559311"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1.04</w:t>
            </w:r>
          </w:p>
        </w:tc>
        <w:tc>
          <w:tcPr>
            <w:tcW w:w="780" w:type="dxa"/>
            <w:shd w:val="clear" w:color="auto" w:fill="auto"/>
            <w:vAlign w:val="bottom"/>
          </w:tcPr>
          <w:p w14:paraId="4AF7A048"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0.99</w:t>
            </w:r>
          </w:p>
        </w:tc>
        <w:tc>
          <w:tcPr>
            <w:tcW w:w="800" w:type="dxa"/>
            <w:shd w:val="clear" w:color="auto" w:fill="auto"/>
            <w:vAlign w:val="bottom"/>
          </w:tcPr>
          <w:p w14:paraId="18CCD156"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0.09</w:t>
            </w:r>
          </w:p>
        </w:tc>
      </w:tr>
      <w:tr w:rsidR="003F372F" w:rsidRPr="003C0FB1" w14:paraId="78D67665" w14:textId="77777777" w:rsidTr="009303C8">
        <w:trPr>
          <w:trHeight w:val="172"/>
        </w:trPr>
        <w:tc>
          <w:tcPr>
            <w:tcW w:w="2420" w:type="dxa"/>
            <w:shd w:val="clear" w:color="auto" w:fill="auto"/>
            <w:vAlign w:val="bottom"/>
          </w:tcPr>
          <w:p w14:paraId="603C1FD7" w14:textId="74E762CA" w:rsidR="003F372F" w:rsidRPr="003C0FB1" w:rsidRDefault="0049394E" w:rsidP="00016E64">
            <w:pPr>
              <w:spacing w:after="0" w:line="0" w:lineRule="atLeast"/>
              <w:ind w:lef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Depreciation index </w:t>
            </w:r>
          </w:p>
        </w:tc>
        <w:tc>
          <w:tcPr>
            <w:tcW w:w="4100" w:type="dxa"/>
            <w:shd w:val="clear" w:color="auto" w:fill="auto"/>
            <w:vAlign w:val="bottom"/>
          </w:tcPr>
          <w:p w14:paraId="7D9E54F1"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[Depreciation current year/Depreciation + PPE current year]/</w:t>
            </w:r>
          </w:p>
        </w:tc>
        <w:tc>
          <w:tcPr>
            <w:tcW w:w="800" w:type="dxa"/>
            <w:shd w:val="clear" w:color="auto" w:fill="auto"/>
            <w:vAlign w:val="bottom"/>
          </w:tcPr>
          <w:p w14:paraId="3E2D9996"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0.92</w:t>
            </w:r>
          </w:p>
        </w:tc>
        <w:tc>
          <w:tcPr>
            <w:tcW w:w="800" w:type="dxa"/>
            <w:shd w:val="clear" w:color="auto" w:fill="auto"/>
            <w:vAlign w:val="bottom"/>
          </w:tcPr>
          <w:p w14:paraId="7669E907"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3.65</w:t>
            </w:r>
          </w:p>
        </w:tc>
        <w:tc>
          <w:tcPr>
            <w:tcW w:w="800" w:type="dxa"/>
            <w:shd w:val="clear" w:color="auto" w:fill="auto"/>
            <w:vAlign w:val="bottom"/>
          </w:tcPr>
          <w:p w14:paraId="581DB411"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1.28</w:t>
            </w:r>
          </w:p>
        </w:tc>
        <w:tc>
          <w:tcPr>
            <w:tcW w:w="780" w:type="dxa"/>
            <w:shd w:val="clear" w:color="auto" w:fill="auto"/>
            <w:vAlign w:val="bottom"/>
          </w:tcPr>
          <w:p w14:paraId="0691DA34"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1.02</w:t>
            </w:r>
          </w:p>
        </w:tc>
        <w:tc>
          <w:tcPr>
            <w:tcW w:w="800" w:type="dxa"/>
            <w:shd w:val="clear" w:color="auto" w:fill="auto"/>
            <w:vAlign w:val="bottom"/>
          </w:tcPr>
          <w:p w14:paraId="246CB131"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0.55</w:t>
            </w:r>
          </w:p>
        </w:tc>
      </w:tr>
      <w:tr w:rsidR="003F372F" w:rsidRPr="003C0FB1" w14:paraId="56305C01" w14:textId="77777777" w:rsidTr="009303C8">
        <w:trPr>
          <w:trHeight w:val="191"/>
        </w:trPr>
        <w:tc>
          <w:tcPr>
            <w:tcW w:w="2420" w:type="dxa"/>
            <w:shd w:val="clear" w:color="auto" w:fill="auto"/>
            <w:vAlign w:val="bottom"/>
          </w:tcPr>
          <w:p w14:paraId="5688F97A"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4100" w:type="dxa"/>
            <w:shd w:val="clear" w:color="auto" w:fill="auto"/>
            <w:vAlign w:val="bottom"/>
          </w:tcPr>
          <w:p w14:paraId="5FD78FAA"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[Depreciation prior year/Depreciation + PPE previous year]</w:t>
            </w:r>
          </w:p>
        </w:tc>
        <w:tc>
          <w:tcPr>
            <w:tcW w:w="800" w:type="dxa"/>
            <w:shd w:val="clear" w:color="auto" w:fill="auto"/>
            <w:vAlign w:val="bottom"/>
          </w:tcPr>
          <w:p w14:paraId="6BAF5E7F"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41C92400"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5C76E333"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780" w:type="dxa"/>
            <w:shd w:val="clear" w:color="auto" w:fill="auto"/>
            <w:vAlign w:val="bottom"/>
          </w:tcPr>
          <w:p w14:paraId="57F6F524"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38274936"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4EA4BDC7" w14:textId="77777777" w:rsidTr="009303C8">
        <w:trPr>
          <w:trHeight w:val="172"/>
        </w:trPr>
        <w:tc>
          <w:tcPr>
            <w:tcW w:w="2420" w:type="dxa"/>
            <w:shd w:val="clear" w:color="auto" w:fill="auto"/>
            <w:vAlign w:val="bottom"/>
          </w:tcPr>
          <w:p w14:paraId="184685D5" w14:textId="77777777" w:rsidR="003F372F" w:rsidRPr="003C0FB1" w:rsidRDefault="003F372F" w:rsidP="00016E64">
            <w:pPr>
              <w:spacing w:after="0" w:line="0" w:lineRule="atLeast"/>
              <w:ind w:left="20"/>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Sales and general and administrative</w:t>
            </w:r>
          </w:p>
        </w:tc>
        <w:tc>
          <w:tcPr>
            <w:tcW w:w="4100" w:type="dxa"/>
            <w:shd w:val="clear" w:color="auto" w:fill="auto"/>
            <w:vAlign w:val="bottom"/>
          </w:tcPr>
          <w:p w14:paraId="6488EC55"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[sales, general and administrative expenses current year/sales</w:t>
            </w:r>
          </w:p>
        </w:tc>
        <w:tc>
          <w:tcPr>
            <w:tcW w:w="800" w:type="dxa"/>
            <w:shd w:val="clear" w:color="auto" w:fill="auto"/>
            <w:vAlign w:val="bottom"/>
          </w:tcPr>
          <w:p w14:paraId="73DF5C4E"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1.08</w:t>
            </w:r>
          </w:p>
        </w:tc>
        <w:tc>
          <w:tcPr>
            <w:tcW w:w="800" w:type="dxa"/>
            <w:shd w:val="clear" w:color="auto" w:fill="auto"/>
            <w:vAlign w:val="bottom"/>
          </w:tcPr>
          <w:p w14:paraId="5AE51DF6"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0.46</w:t>
            </w:r>
          </w:p>
        </w:tc>
        <w:tc>
          <w:tcPr>
            <w:tcW w:w="800" w:type="dxa"/>
            <w:shd w:val="clear" w:color="auto" w:fill="auto"/>
            <w:vAlign w:val="bottom"/>
          </w:tcPr>
          <w:p w14:paraId="22BB4980"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1.15</w:t>
            </w:r>
          </w:p>
        </w:tc>
        <w:tc>
          <w:tcPr>
            <w:tcW w:w="780" w:type="dxa"/>
            <w:shd w:val="clear" w:color="auto" w:fill="auto"/>
            <w:vAlign w:val="bottom"/>
          </w:tcPr>
          <w:p w14:paraId="05FF72E5"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1.29</w:t>
            </w:r>
          </w:p>
        </w:tc>
        <w:tc>
          <w:tcPr>
            <w:tcW w:w="800" w:type="dxa"/>
            <w:shd w:val="clear" w:color="auto" w:fill="auto"/>
            <w:vAlign w:val="bottom"/>
          </w:tcPr>
          <w:p w14:paraId="33E761EE"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62BE873E" w14:textId="77777777" w:rsidTr="009303C8">
        <w:trPr>
          <w:trHeight w:val="168"/>
        </w:trPr>
        <w:tc>
          <w:tcPr>
            <w:tcW w:w="2420" w:type="dxa"/>
            <w:shd w:val="clear" w:color="auto" w:fill="auto"/>
            <w:vAlign w:val="bottom"/>
          </w:tcPr>
          <w:p w14:paraId="21115EBA" w14:textId="6F271F5F" w:rsidR="003F372F" w:rsidRPr="003C0FB1" w:rsidRDefault="0049394E" w:rsidP="00016E64">
            <w:pPr>
              <w:spacing w:after="0" w:line="0" w:lineRule="atLeast"/>
              <w:ind w:lef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expenses index </w:t>
            </w:r>
          </w:p>
        </w:tc>
        <w:tc>
          <w:tcPr>
            <w:tcW w:w="4100" w:type="dxa"/>
            <w:shd w:val="clear" w:color="auto" w:fill="auto"/>
            <w:vAlign w:val="bottom"/>
          </w:tcPr>
          <w:p w14:paraId="326BBA79"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current year]/[ sales, general and administrative costs prior</w:t>
            </w:r>
          </w:p>
        </w:tc>
        <w:tc>
          <w:tcPr>
            <w:tcW w:w="800" w:type="dxa"/>
            <w:shd w:val="clear" w:color="auto" w:fill="auto"/>
            <w:vAlign w:val="bottom"/>
          </w:tcPr>
          <w:p w14:paraId="69DD7092"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6F348F37"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4E672CB0"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780" w:type="dxa"/>
            <w:shd w:val="clear" w:color="auto" w:fill="auto"/>
            <w:vAlign w:val="bottom"/>
          </w:tcPr>
          <w:p w14:paraId="672A3194"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58BCEC35"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59EBC61D" w14:textId="77777777" w:rsidTr="009303C8">
        <w:trPr>
          <w:trHeight w:val="191"/>
        </w:trPr>
        <w:tc>
          <w:tcPr>
            <w:tcW w:w="2420" w:type="dxa"/>
            <w:shd w:val="clear" w:color="auto" w:fill="auto"/>
            <w:vAlign w:val="bottom"/>
          </w:tcPr>
          <w:p w14:paraId="42573522"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4100" w:type="dxa"/>
            <w:shd w:val="clear" w:color="auto" w:fill="auto"/>
            <w:vAlign w:val="bottom"/>
          </w:tcPr>
          <w:p w14:paraId="269E2A80"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year /sales prior year]</w:t>
            </w:r>
          </w:p>
        </w:tc>
        <w:tc>
          <w:tcPr>
            <w:tcW w:w="800" w:type="dxa"/>
            <w:shd w:val="clear" w:color="auto" w:fill="auto"/>
            <w:vAlign w:val="bottom"/>
          </w:tcPr>
          <w:p w14:paraId="1CD13F7A"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227CF008"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2E112C0A"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780" w:type="dxa"/>
            <w:shd w:val="clear" w:color="auto" w:fill="auto"/>
            <w:vAlign w:val="bottom"/>
          </w:tcPr>
          <w:p w14:paraId="63D339E5"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39610439"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4D7E2213" w14:textId="77777777" w:rsidTr="009303C8">
        <w:trPr>
          <w:trHeight w:val="172"/>
        </w:trPr>
        <w:tc>
          <w:tcPr>
            <w:tcW w:w="2420" w:type="dxa"/>
            <w:shd w:val="clear" w:color="auto" w:fill="auto"/>
            <w:vAlign w:val="bottom"/>
          </w:tcPr>
          <w:p w14:paraId="451C2458" w14:textId="48D12E30" w:rsidR="003F372F" w:rsidRPr="003C0FB1" w:rsidRDefault="0049394E" w:rsidP="00016E64">
            <w:pPr>
              <w:spacing w:after="0" w:line="0" w:lineRule="atLeast"/>
              <w:ind w:lef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Leverage index </w:t>
            </w:r>
          </w:p>
        </w:tc>
        <w:tc>
          <w:tcPr>
            <w:tcW w:w="4100" w:type="dxa"/>
            <w:shd w:val="clear" w:color="auto" w:fill="auto"/>
            <w:vAlign w:val="bottom"/>
          </w:tcPr>
          <w:p w14:paraId="63AB2DB1"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[Long term debt + Current liabilities current year/Total assets</w:t>
            </w:r>
          </w:p>
        </w:tc>
        <w:tc>
          <w:tcPr>
            <w:tcW w:w="800" w:type="dxa"/>
            <w:shd w:val="clear" w:color="auto" w:fill="auto"/>
            <w:vAlign w:val="bottom"/>
          </w:tcPr>
          <w:p w14:paraId="3904C474"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0.83</w:t>
            </w:r>
          </w:p>
        </w:tc>
        <w:tc>
          <w:tcPr>
            <w:tcW w:w="800" w:type="dxa"/>
            <w:shd w:val="clear" w:color="auto" w:fill="auto"/>
            <w:vAlign w:val="bottom"/>
          </w:tcPr>
          <w:p w14:paraId="06F1783A"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0.98</w:t>
            </w:r>
          </w:p>
        </w:tc>
        <w:tc>
          <w:tcPr>
            <w:tcW w:w="800" w:type="dxa"/>
            <w:shd w:val="clear" w:color="auto" w:fill="auto"/>
            <w:vAlign w:val="bottom"/>
          </w:tcPr>
          <w:p w14:paraId="789DF3A0"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0.91</w:t>
            </w:r>
          </w:p>
        </w:tc>
        <w:tc>
          <w:tcPr>
            <w:tcW w:w="780" w:type="dxa"/>
            <w:shd w:val="clear" w:color="auto" w:fill="auto"/>
            <w:vAlign w:val="bottom"/>
          </w:tcPr>
          <w:p w14:paraId="5E9847EB" w14:textId="77777777" w:rsidR="003F372F" w:rsidRPr="003C0FB1" w:rsidRDefault="003F372F" w:rsidP="00016E64">
            <w:pPr>
              <w:spacing w:after="0" w:line="0" w:lineRule="atLeast"/>
              <w:jc w:val="both"/>
              <w:rPr>
                <w:rFonts w:ascii="Times New Roman" w:eastAsia="Arial" w:hAnsi="Times New Roman" w:cs="Times New Roman"/>
                <w:w w:val="95"/>
                <w:sz w:val="24"/>
                <w:szCs w:val="24"/>
              </w:rPr>
            </w:pPr>
            <w:r w:rsidRPr="003C0FB1">
              <w:rPr>
                <w:rFonts w:ascii="Times New Roman" w:eastAsia="Arial" w:hAnsi="Times New Roman" w:cs="Times New Roman"/>
                <w:w w:val="95"/>
                <w:sz w:val="24"/>
                <w:szCs w:val="24"/>
              </w:rPr>
              <w:t>1.02</w:t>
            </w:r>
          </w:p>
        </w:tc>
        <w:tc>
          <w:tcPr>
            <w:tcW w:w="800" w:type="dxa"/>
            <w:shd w:val="clear" w:color="auto" w:fill="auto"/>
            <w:vAlign w:val="bottom"/>
          </w:tcPr>
          <w:p w14:paraId="130BF9E3"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227B3762" w14:textId="77777777" w:rsidTr="009303C8">
        <w:trPr>
          <w:trHeight w:val="168"/>
        </w:trPr>
        <w:tc>
          <w:tcPr>
            <w:tcW w:w="2420" w:type="dxa"/>
            <w:shd w:val="clear" w:color="auto" w:fill="auto"/>
            <w:vAlign w:val="bottom"/>
          </w:tcPr>
          <w:p w14:paraId="7AEE1DF9"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4100" w:type="dxa"/>
            <w:shd w:val="clear" w:color="auto" w:fill="auto"/>
            <w:vAlign w:val="bottom"/>
          </w:tcPr>
          <w:p w14:paraId="1C00C8F4"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current year]/[Long term debt + Current liabilities prior year/Total</w:t>
            </w:r>
          </w:p>
        </w:tc>
        <w:tc>
          <w:tcPr>
            <w:tcW w:w="800" w:type="dxa"/>
            <w:shd w:val="clear" w:color="auto" w:fill="auto"/>
            <w:vAlign w:val="bottom"/>
          </w:tcPr>
          <w:p w14:paraId="6529F6E7"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15F1F9F3"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7F0EA6AE"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780" w:type="dxa"/>
            <w:shd w:val="clear" w:color="auto" w:fill="auto"/>
            <w:vAlign w:val="bottom"/>
          </w:tcPr>
          <w:p w14:paraId="701D6562"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32C74A54"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577C736B" w14:textId="77777777" w:rsidTr="009303C8">
        <w:trPr>
          <w:trHeight w:val="191"/>
        </w:trPr>
        <w:tc>
          <w:tcPr>
            <w:tcW w:w="2420" w:type="dxa"/>
            <w:shd w:val="clear" w:color="auto" w:fill="auto"/>
            <w:vAlign w:val="bottom"/>
          </w:tcPr>
          <w:p w14:paraId="6C086D49"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4100" w:type="dxa"/>
            <w:shd w:val="clear" w:color="auto" w:fill="auto"/>
            <w:vAlign w:val="bottom"/>
          </w:tcPr>
          <w:p w14:paraId="1A557CB0"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assets prior year]</w:t>
            </w:r>
          </w:p>
        </w:tc>
        <w:tc>
          <w:tcPr>
            <w:tcW w:w="800" w:type="dxa"/>
            <w:shd w:val="clear" w:color="auto" w:fill="auto"/>
            <w:vAlign w:val="bottom"/>
          </w:tcPr>
          <w:p w14:paraId="5C9D2675"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13D92B07"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0D545AD3"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780" w:type="dxa"/>
            <w:shd w:val="clear" w:color="auto" w:fill="auto"/>
            <w:vAlign w:val="bottom"/>
          </w:tcPr>
          <w:p w14:paraId="782D1BBA"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shd w:val="clear" w:color="auto" w:fill="auto"/>
            <w:vAlign w:val="bottom"/>
          </w:tcPr>
          <w:p w14:paraId="758DAEEB"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r w:rsidR="003F372F" w:rsidRPr="003C0FB1" w14:paraId="0C386708" w14:textId="77777777" w:rsidTr="009303C8">
        <w:trPr>
          <w:trHeight w:val="172"/>
        </w:trPr>
        <w:tc>
          <w:tcPr>
            <w:tcW w:w="2420" w:type="dxa"/>
            <w:shd w:val="clear" w:color="auto" w:fill="auto"/>
            <w:vAlign w:val="bottom"/>
          </w:tcPr>
          <w:p w14:paraId="5C64A80F" w14:textId="6EFCBA0E" w:rsidR="003F372F" w:rsidRPr="003C0FB1" w:rsidRDefault="0049394E" w:rsidP="00016E64">
            <w:pPr>
              <w:spacing w:after="0" w:line="0" w:lineRule="atLeast"/>
              <w:ind w:lef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Total accruals to total assets </w:t>
            </w:r>
          </w:p>
        </w:tc>
        <w:tc>
          <w:tcPr>
            <w:tcW w:w="4100" w:type="dxa"/>
            <w:shd w:val="clear" w:color="auto" w:fill="auto"/>
            <w:vAlign w:val="bottom"/>
          </w:tcPr>
          <w:p w14:paraId="1C903FA3"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[Change in working capital – change in cash –change in current</w:t>
            </w:r>
          </w:p>
        </w:tc>
        <w:tc>
          <w:tcPr>
            <w:tcW w:w="800" w:type="dxa"/>
            <w:shd w:val="clear" w:color="auto" w:fill="auto"/>
            <w:vAlign w:val="bottom"/>
          </w:tcPr>
          <w:p w14:paraId="64E6112D"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-0.13</w:t>
            </w:r>
          </w:p>
        </w:tc>
        <w:tc>
          <w:tcPr>
            <w:tcW w:w="800" w:type="dxa"/>
            <w:shd w:val="clear" w:color="auto" w:fill="auto"/>
            <w:vAlign w:val="bottom"/>
          </w:tcPr>
          <w:p w14:paraId="692DD7B1"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-0.18</w:t>
            </w:r>
          </w:p>
        </w:tc>
        <w:tc>
          <w:tcPr>
            <w:tcW w:w="800" w:type="dxa"/>
            <w:shd w:val="clear" w:color="auto" w:fill="auto"/>
            <w:vAlign w:val="bottom"/>
          </w:tcPr>
          <w:p w14:paraId="1EB8942B"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-0.12</w:t>
            </w:r>
          </w:p>
        </w:tc>
        <w:tc>
          <w:tcPr>
            <w:tcW w:w="780" w:type="dxa"/>
            <w:shd w:val="clear" w:color="auto" w:fill="auto"/>
            <w:vAlign w:val="bottom"/>
          </w:tcPr>
          <w:p w14:paraId="2A18FA8F" w14:textId="77777777" w:rsidR="003F372F" w:rsidRPr="003C0FB1" w:rsidRDefault="003F372F" w:rsidP="00016E64">
            <w:pPr>
              <w:spacing w:after="0" w:line="0" w:lineRule="atLeast"/>
              <w:jc w:val="both"/>
              <w:rPr>
                <w:rFonts w:ascii="Times New Roman" w:eastAsia="Arial" w:hAnsi="Times New Roman" w:cs="Times New Roman"/>
                <w:w w:val="93"/>
                <w:sz w:val="24"/>
                <w:szCs w:val="24"/>
              </w:rPr>
            </w:pPr>
            <w:r w:rsidRPr="003C0FB1">
              <w:rPr>
                <w:rFonts w:ascii="Times New Roman" w:eastAsia="Arial" w:hAnsi="Times New Roman" w:cs="Times New Roman"/>
                <w:w w:val="93"/>
                <w:sz w:val="24"/>
                <w:szCs w:val="24"/>
              </w:rPr>
              <w:t>-0.09</w:t>
            </w:r>
          </w:p>
        </w:tc>
        <w:tc>
          <w:tcPr>
            <w:tcW w:w="800" w:type="dxa"/>
            <w:shd w:val="clear" w:color="auto" w:fill="auto"/>
            <w:vAlign w:val="bottom"/>
          </w:tcPr>
          <w:p w14:paraId="1B50F7A0"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-0.10</w:t>
            </w:r>
          </w:p>
        </w:tc>
      </w:tr>
      <w:tr w:rsidR="003F372F" w:rsidRPr="003C0FB1" w14:paraId="39B1A386" w14:textId="77777777" w:rsidTr="009303C8">
        <w:trPr>
          <w:trHeight w:val="191"/>
        </w:trPr>
        <w:tc>
          <w:tcPr>
            <w:tcW w:w="2420" w:type="dxa"/>
            <w:tcBorders>
              <w:bottom w:val="single" w:sz="4" w:space="0" w:color="auto"/>
            </w:tcBorders>
            <w:shd w:val="clear" w:color="auto" w:fill="auto"/>
            <w:vAlign w:val="bottom"/>
          </w:tcPr>
          <w:p w14:paraId="6AD55055"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4100" w:type="dxa"/>
            <w:tcBorders>
              <w:bottom w:val="single" w:sz="4" w:space="0" w:color="auto"/>
            </w:tcBorders>
            <w:shd w:val="clear" w:color="auto" w:fill="auto"/>
            <w:vAlign w:val="bottom"/>
          </w:tcPr>
          <w:p w14:paraId="1477B016" w14:textId="77777777" w:rsidR="003F372F" w:rsidRPr="003C0FB1" w:rsidRDefault="003F372F" w:rsidP="00016E64">
            <w:pPr>
              <w:spacing w:after="0"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tax payable – depreciation and amortization]/Total Assets</w:t>
            </w:r>
          </w:p>
        </w:tc>
        <w:tc>
          <w:tcPr>
            <w:tcW w:w="800" w:type="dxa"/>
            <w:tcBorders>
              <w:bottom w:val="single" w:sz="4" w:space="0" w:color="auto"/>
            </w:tcBorders>
            <w:shd w:val="clear" w:color="auto" w:fill="auto"/>
            <w:vAlign w:val="bottom"/>
          </w:tcPr>
          <w:p w14:paraId="4EAB0259"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tcBorders>
              <w:bottom w:val="single" w:sz="4" w:space="0" w:color="auto"/>
            </w:tcBorders>
            <w:shd w:val="clear" w:color="auto" w:fill="auto"/>
            <w:vAlign w:val="bottom"/>
          </w:tcPr>
          <w:p w14:paraId="1185FFAE"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tcBorders>
              <w:bottom w:val="single" w:sz="4" w:space="0" w:color="auto"/>
            </w:tcBorders>
            <w:shd w:val="clear" w:color="auto" w:fill="auto"/>
            <w:vAlign w:val="bottom"/>
          </w:tcPr>
          <w:p w14:paraId="5CAE668A"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780" w:type="dxa"/>
            <w:tcBorders>
              <w:bottom w:val="single" w:sz="4" w:space="0" w:color="auto"/>
            </w:tcBorders>
            <w:shd w:val="clear" w:color="auto" w:fill="auto"/>
            <w:vAlign w:val="bottom"/>
          </w:tcPr>
          <w:p w14:paraId="29A09C0B"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c>
          <w:tcPr>
            <w:tcW w:w="800" w:type="dxa"/>
            <w:tcBorders>
              <w:bottom w:val="single" w:sz="4" w:space="0" w:color="auto"/>
            </w:tcBorders>
            <w:shd w:val="clear" w:color="auto" w:fill="auto"/>
            <w:vAlign w:val="bottom"/>
          </w:tcPr>
          <w:p w14:paraId="118F18A8" w14:textId="77777777" w:rsidR="003F372F" w:rsidRPr="003C0FB1" w:rsidRDefault="003F372F" w:rsidP="00016E64">
            <w:pPr>
              <w:spacing w:after="0" w:line="0" w:lineRule="atLeast"/>
              <w:jc w:val="both"/>
              <w:rPr>
                <w:rFonts w:ascii="Times New Roman" w:eastAsia="Times New Roman" w:hAnsi="Times New Roman" w:cs="Times New Roman"/>
                <w:sz w:val="24"/>
                <w:szCs w:val="24"/>
              </w:rPr>
            </w:pPr>
          </w:p>
        </w:tc>
      </w:tr>
    </w:tbl>
    <w:p w14:paraId="6EDB11E3" w14:textId="77777777" w:rsidR="003F372F" w:rsidRPr="003C0FB1" w:rsidRDefault="003F372F" w:rsidP="00016E64">
      <w:pPr>
        <w:jc w:val="both"/>
        <w:rPr>
          <w:rFonts w:ascii="Times New Roman" w:hAnsi="Times New Roman" w:cs="Times New Roman"/>
          <w:sz w:val="24"/>
          <w:szCs w:val="24"/>
        </w:rPr>
      </w:pPr>
    </w:p>
    <w:p w14:paraId="654A12DF" w14:textId="77777777" w:rsidR="003F372F" w:rsidRPr="003C0FB1" w:rsidRDefault="003F372F" w:rsidP="00016E64">
      <w:pPr>
        <w:jc w:val="both"/>
        <w:rPr>
          <w:rFonts w:ascii="Times New Roman" w:hAnsi="Times New Roman" w:cs="Times New Roman"/>
          <w:sz w:val="24"/>
          <w:szCs w:val="24"/>
        </w:rPr>
      </w:pPr>
    </w:p>
    <w:p w14:paraId="440FCEC5" w14:textId="77B7B66E" w:rsidR="00233D8A" w:rsidRPr="00233D8A" w:rsidRDefault="00233D8A" w:rsidP="00016E64">
      <w:pPr>
        <w:spacing w:line="480" w:lineRule="auto"/>
        <w:jc w:val="both"/>
        <w:rPr>
          <w:rFonts w:ascii="Times New Roman" w:hAnsi="Times New Roman" w:cs="Times New Roman"/>
          <w:i/>
          <w:sz w:val="24"/>
          <w:szCs w:val="24"/>
        </w:rPr>
      </w:pPr>
      <w:r w:rsidRPr="00233D8A">
        <w:rPr>
          <w:rFonts w:ascii="Times New Roman" w:hAnsi="Times New Roman" w:cs="Times New Roman"/>
          <w:i/>
          <w:sz w:val="24"/>
          <w:szCs w:val="24"/>
        </w:rPr>
        <w:lastRenderedPageBreak/>
        <w:t>2.2</w:t>
      </w:r>
      <w:r w:rsidRPr="00233D8A">
        <w:rPr>
          <w:rFonts w:ascii="Times New Roman" w:hAnsi="Times New Roman" w:cs="Times New Roman"/>
          <w:i/>
          <w:sz w:val="24"/>
          <w:szCs w:val="24"/>
        </w:rPr>
        <w:tab/>
        <w:t>M-scores for the period between 2001 and 1998</w:t>
      </w:r>
      <w:r w:rsidR="00A605B4">
        <w:rPr>
          <w:rFonts w:ascii="Times New Roman" w:hAnsi="Times New Roman" w:cs="Times New Roman"/>
          <w:i/>
          <w:sz w:val="24"/>
          <w:szCs w:val="24"/>
        </w:rPr>
        <w:t xml:space="preserve"> and interpretation.</w:t>
      </w:r>
    </w:p>
    <w:p w14:paraId="65C2D3F2" w14:textId="77777777" w:rsidR="003F372F" w:rsidRPr="003C0FB1" w:rsidRDefault="003F372F" w:rsidP="00016E64">
      <w:pPr>
        <w:spacing w:line="480" w:lineRule="auto"/>
        <w:jc w:val="both"/>
        <w:rPr>
          <w:rFonts w:ascii="Times New Roman" w:hAnsi="Times New Roman" w:cs="Times New Roman"/>
          <w:b/>
          <w:sz w:val="24"/>
          <w:szCs w:val="24"/>
        </w:rPr>
      </w:pPr>
      <w:r w:rsidRPr="003C0FB1">
        <w:rPr>
          <w:rFonts w:ascii="Times New Roman" w:hAnsi="Times New Roman" w:cs="Times New Roman"/>
          <w:b/>
          <w:sz w:val="24"/>
          <w:szCs w:val="24"/>
        </w:rPr>
        <w:t>M-score for 2001</w:t>
      </w:r>
    </w:p>
    <w:p w14:paraId="24B00678" w14:textId="2D0C5656" w:rsidR="007E3742" w:rsidRPr="00BB5892" w:rsidRDefault="003F372F" w:rsidP="00016E64">
      <w:pPr>
        <w:spacing w:line="240" w:lineRule="auto"/>
        <w:jc w:val="both"/>
        <w:rPr>
          <w:rFonts w:ascii="Times New Roman" w:hAnsi="Times New Roman" w:cs="Times New Roman"/>
          <w:sz w:val="24"/>
          <w:szCs w:val="24"/>
        </w:rPr>
      </w:pPr>
      <w:r w:rsidRPr="00BB5892">
        <w:rPr>
          <w:rFonts w:ascii="Times New Roman" w:hAnsi="Times New Roman" w:cs="Times New Roman"/>
          <w:i/>
          <w:sz w:val="24"/>
          <w:szCs w:val="24"/>
        </w:rPr>
        <w:t>M</w:t>
      </w:r>
      <w:r w:rsidRPr="00BB5892">
        <w:rPr>
          <w:rFonts w:ascii="Times New Roman" w:hAnsi="Times New Roman" w:cs="Times New Roman"/>
          <w:sz w:val="24"/>
          <w:szCs w:val="24"/>
        </w:rPr>
        <w:t xml:space="preserve"> = -4.84 + 0.92×</w:t>
      </w:r>
      <w:r w:rsidRPr="00BB5892">
        <w:rPr>
          <w:rFonts w:ascii="Times New Roman" w:hAnsi="Times New Roman" w:cs="Times New Roman"/>
          <w:i/>
          <w:sz w:val="24"/>
          <w:szCs w:val="24"/>
        </w:rPr>
        <w:t>DSRI</w:t>
      </w:r>
      <w:r w:rsidRPr="00BB5892">
        <w:rPr>
          <w:rFonts w:ascii="Times New Roman" w:hAnsi="Times New Roman" w:cs="Times New Roman"/>
          <w:sz w:val="24"/>
          <w:szCs w:val="24"/>
        </w:rPr>
        <w:t xml:space="preserve"> + 0.528×</w:t>
      </w:r>
      <w:r w:rsidRPr="00BB5892">
        <w:rPr>
          <w:rFonts w:ascii="Times New Roman" w:hAnsi="Times New Roman" w:cs="Times New Roman"/>
          <w:i/>
          <w:sz w:val="24"/>
          <w:szCs w:val="24"/>
        </w:rPr>
        <w:t>GMI</w:t>
      </w:r>
      <w:r w:rsidRPr="00BB5892">
        <w:rPr>
          <w:rFonts w:ascii="Times New Roman" w:hAnsi="Times New Roman" w:cs="Times New Roman"/>
          <w:sz w:val="24"/>
          <w:szCs w:val="24"/>
        </w:rPr>
        <w:t xml:space="preserve"> + 0.404×</w:t>
      </w:r>
      <w:r w:rsidRPr="00BB5892">
        <w:rPr>
          <w:rFonts w:ascii="Times New Roman" w:hAnsi="Times New Roman" w:cs="Times New Roman"/>
          <w:i/>
          <w:sz w:val="24"/>
          <w:szCs w:val="24"/>
        </w:rPr>
        <w:t>AQI</w:t>
      </w:r>
      <w:r w:rsidRPr="00BB5892">
        <w:rPr>
          <w:rFonts w:ascii="Times New Roman" w:hAnsi="Times New Roman" w:cs="Times New Roman"/>
          <w:sz w:val="24"/>
          <w:szCs w:val="24"/>
        </w:rPr>
        <w:t xml:space="preserve"> + 0.892×</w:t>
      </w:r>
      <w:r w:rsidRPr="00BB5892">
        <w:rPr>
          <w:rFonts w:ascii="Times New Roman" w:hAnsi="Times New Roman" w:cs="Times New Roman"/>
          <w:i/>
          <w:sz w:val="24"/>
          <w:szCs w:val="24"/>
        </w:rPr>
        <w:t>SGI</w:t>
      </w:r>
      <w:r w:rsidRPr="00BB5892">
        <w:rPr>
          <w:rFonts w:ascii="Times New Roman" w:hAnsi="Times New Roman" w:cs="Times New Roman"/>
          <w:sz w:val="24"/>
          <w:szCs w:val="24"/>
        </w:rPr>
        <w:t xml:space="preserve"> + 0.115×</w:t>
      </w:r>
      <w:r w:rsidRPr="00BB5892">
        <w:rPr>
          <w:rFonts w:ascii="Times New Roman" w:hAnsi="Times New Roman" w:cs="Times New Roman"/>
          <w:i/>
          <w:sz w:val="24"/>
          <w:szCs w:val="24"/>
        </w:rPr>
        <w:t>DEPI</w:t>
      </w:r>
      <w:r w:rsidRPr="00BB5892">
        <w:rPr>
          <w:rFonts w:ascii="Times New Roman" w:hAnsi="Times New Roman" w:cs="Times New Roman"/>
          <w:sz w:val="24"/>
          <w:szCs w:val="24"/>
        </w:rPr>
        <w:t xml:space="preserve"> – 0.172×</w:t>
      </w:r>
      <w:r w:rsidRPr="00BB5892">
        <w:rPr>
          <w:rFonts w:ascii="Times New Roman" w:hAnsi="Times New Roman" w:cs="Times New Roman"/>
          <w:i/>
          <w:sz w:val="24"/>
          <w:szCs w:val="24"/>
        </w:rPr>
        <w:t xml:space="preserve">SGAI </w:t>
      </w:r>
      <w:r w:rsidRPr="00BB5892">
        <w:rPr>
          <w:rFonts w:ascii="Times New Roman" w:hAnsi="Times New Roman" w:cs="Times New Roman"/>
          <w:sz w:val="24"/>
          <w:szCs w:val="24"/>
        </w:rPr>
        <w:t>+ 4.679×</w:t>
      </w:r>
      <w:r w:rsidRPr="00BB5892">
        <w:rPr>
          <w:rFonts w:ascii="Times New Roman" w:hAnsi="Times New Roman" w:cs="Times New Roman"/>
          <w:i/>
          <w:sz w:val="24"/>
          <w:szCs w:val="24"/>
        </w:rPr>
        <w:t xml:space="preserve">TATA </w:t>
      </w:r>
      <w:r w:rsidRPr="00BB5892">
        <w:rPr>
          <w:rFonts w:ascii="Times New Roman" w:hAnsi="Times New Roman" w:cs="Times New Roman"/>
          <w:sz w:val="24"/>
          <w:szCs w:val="24"/>
        </w:rPr>
        <w:t>– 0.327×</w:t>
      </w:r>
      <w:r w:rsidRPr="00BB5892">
        <w:rPr>
          <w:rFonts w:ascii="Times New Roman" w:hAnsi="Times New Roman" w:cs="Times New Roman"/>
          <w:i/>
          <w:sz w:val="24"/>
          <w:szCs w:val="24"/>
        </w:rPr>
        <w:t>LVGI</w:t>
      </w:r>
      <w:r w:rsidRPr="00BB5892">
        <w:rPr>
          <w:rFonts w:ascii="Times New Roman" w:hAnsi="Times New Roman" w:cs="Times New Roman"/>
          <w:sz w:val="24"/>
          <w:szCs w:val="24"/>
        </w:rPr>
        <w:t xml:space="preserve"> </w:t>
      </w:r>
      <w:r w:rsidR="007E3742" w:rsidRPr="00BB5892">
        <w:rPr>
          <w:rFonts w:ascii="Times New Roman" w:hAnsi="Times New Roman" w:cs="Times New Roman"/>
          <w:sz w:val="24"/>
          <w:szCs w:val="24"/>
        </w:rPr>
        <w:tab/>
      </w:r>
      <w:r w:rsidR="007E3742" w:rsidRPr="00BB5892">
        <w:rPr>
          <w:rFonts w:ascii="Times New Roman" w:hAnsi="Times New Roman" w:cs="Times New Roman"/>
          <w:sz w:val="24"/>
          <w:szCs w:val="24"/>
        </w:rPr>
        <w:tab/>
      </w:r>
      <w:r w:rsidR="007E3742" w:rsidRPr="00BB5892">
        <w:rPr>
          <w:rFonts w:ascii="Times New Roman" w:hAnsi="Times New Roman" w:cs="Times New Roman"/>
          <w:sz w:val="24"/>
          <w:szCs w:val="24"/>
        </w:rPr>
        <w:tab/>
      </w:r>
      <w:r w:rsidR="007E3742" w:rsidRPr="00BB5892">
        <w:rPr>
          <w:rFonts w:ascii="Times New Roman" w:hAnsi="Times New Roman" w:cs="Times New Roman"/>
          <w:sz w:val="24"/>
          <w:szCs w:val="24"/>
        </w:rPr>
        <w:tab/>
      </w:r>
      <w:r w:rsidR="007E3742" w:rsidRPr="00BB5892">
        <w:rPr>
          <w:rFonts w:ascii="Times New Roman" w:hAnsi="Times New Roman" w:cs="Times New Roman"/>
          <w:sz w:val="24"/>
          <w:szCs w:val="24"/>
        </w:rPr>
        <w:tab/>
      </w:r>
      <w:r w:rsidR="007E3742" w:rsidRPr="00BB5892">
        <w:rPr>
          <w:rFonts w:ascii="Times New Roman" w:hAnsi="Times New Roman" w:cs="Times New Roman"/>
          <w:sz w:val="24"/>
          <w:szCs w:val="24"/>
        </w:rPr>
        <w:tab/>
      </w:r>
      <w:r w:rsidR="007E3742" w:rsidRPr="00BB5892">
        <w:rPr>
          <w:rFonts w:ascii="Times New Roman" w:hAnsi="Times New Roman" w:cs="Times New Roman"/>
          <w:sz w:val="24"/>
          <w:szCs w:val="24"/>
        </w:rPr>
        <w:tab/>
      </w:r>
      <w:r w:rsidR="007E3742" w:rsidRPr="00BB5892">
        <w:rPr>
          <w:rFonts w:ascii="Times New Roman" w:hAnsi="Times New Roman" w:cs="Times New Roman"/>
          <w:sz w:val="24"/>
          <w:szCs w:val="24"/>
        </w:rPr>
        <w:tab/>
        <w:t xml:space="preserve">      </w:t>
      </w:r>
    </w:p>
    <w:p w14:paraId="627C59CC" w14:textId="77777777" w:rsidR="007E3742" w:rsidRDefault="003F372F" w:rsidP="00016E64">
      <w:pPr>
        <w:spacing w:line="240" w:lineRule="auto"/>
        <w:jc w:val="both"/>
        <w:rPr>
          <w:rFonts w:ascii="Times New Roman" w:hAnsi="Times New Roman" w:cs="Times New Roman"/>
          <w:sz w:val="24"/>
          <w:szCs w:val="24"/>
        </w:rPr>
      </w:pPr>
      <w:r w:rsidRPr="003C0FB1">
        <w:rPr>
          <w:rFonts w:ascii="Times New Roman" w:hAnsi="Times New Roman" w:cs="Times New Roman"/>
          <w:sz w:val="24"/>
          <w:szCs w:val="24"/>
        </w:rPr>
        <w:t>=</w:t>
      </w:r>
      <w:r w:rsidR="007E3742">
        <w:rPr>
          <w:rFonts w:ascii="Times New Roman" w:hAnsi="Times New Roman" w:cs="Times New Roman"/>
          <w:sz w:val="24"/>
          <w:szCs w:val="24"/>
        </w:rPr>
        <w:t xml:space="preserve"> </w:t>
      </w:r>
      <w:r w:rsidRPr="003C0FB1">
        <w:rPr>
          <w:rFonts w:ascii="Times New Roman" w:hAnsi="Times New Roman" w:cs="Times New Roman"/>
          <w:sz w:val="24"/>
          <w:szCs w:val="24"/>
        </w:rPr>
        <w:t xml:space="preserve">- 4.84 + 0.92 × 0.51 + 0.528 × 1.15 + 0.404 ×0.90 + 0.892 ×1.11 + 0.115×0.92 – 0.172 ×1.08 +4.679 ×-0.13 – 0.327 × 0.83 </w:t>
      </w:r>
    </w:p>
    <w:p w14:paraId="4BCA6FC2" w14:textId="77777777" w:rsidR="007E3742" w:rsidRDefault="003F372F" w:rsidP="00016E64">
      <w:pPr>
        <w:spacing w:line="240" w:lineRule="auto"/>
        <w:jc w:val="both"/>
        <w:rPr>
          <w:rFonts w:ascii="Times New Roman" w:hAnsi="Times New Roman" w:cs="Times New Roman"/>
          <w:sz w:val="24"/>
          <w:szCs w:val="24"/>
        </w:rPr>
      </w:pPr>
      <w:r w:rsidRPr="003C0FB1">
        <w:rPr>
          <w:rFonts w:ascii="Times New Roman" w:hAnsi="Times New Roman" w:cs="Times New Roman"/>
          <w:sz w:val="24"/>
          <w:szCs w:val="24"/>
        </w:rPr>
        <w:t>= -4.84+0.4692+0.6072+0.3636+0.99012+0.1058-0.18576-0.60827- 0.27141</w:t>
      </w:r>
    </w:p>
    <w:p w14:paraId="6FDA089A" w14:textId="05409B11" w:rsidR="003F372F" w:rsidRPr="003C0FB1" w:rsidRDefault="003F372F" w:rsidP="00016E64">
      <w:pPr>
        <w:spacing w:line="240" w:lineRule="auto"/>
        <w:jc w:val="both"/>
        <w:rPr>
          <w:rFonts w:ascii="Times New Roman" w:hAnsi="Times New Roman" w:cs="Times New Roman"/>
          <w:sz w:val="24"/>
          <w:szCs w:val="24"/>
        </w:rPr>
      </w:pPr>
      <w:r w:rsidRPr="003C0FB1">
        <w:rPr>
          <w:rFonts w:ascii="Times New Roman" w:hAnsi="Times New Roman" w:cs="Times New Roman"/>
          <w:sz w:val="24"/>
          <w:szCs w:val="24"/>
        </w:rPr>
        <w:t xml:space="preserve">= </w:t>
      </w:r>
      <w:r w:rsidRPr="000346C0">
        <w:rPr>
          <w:rFonts w:ascii="Times New Roman" w:hAnsi="Times New Roman" w:cs="Times New Roman"/>
          <w:b/>
          <w:sz w:val="24"/>
          <w:szCs w:val="24"/>
          <w:u w:val="single"/>
        </w:rPr>
        <w:t>-3.36952</w:t>
      </w:r>
      <w:r w:rsidR="007E3742" w:rsidRPr="000346C0">
        <w:rPr>
          <w:rFonts w:ascii="Times New Roman" w:hAnsi="Times New Roman" w:cs="Times New Roman"/>
          <w:b/>
          <w:sz w:val="24"/>
          <w:szCs w:val="24"/>
          <w:u w:val="single"/>
        </w:rPr>
        <w:t>.</w:t>
      </w:r>
    </w:p>
    <w:p w14:paraId="186DB98C" w14:textId="67301F03" w:rsidR="007E3742" w:rsidRDefault="000346C0" w:rsidP="00016E64">
      <w:pPr>
        <w:spacing w:line="240" w:lineRule="auto"/>
        <w:jc w:val="both"/>
        <w:rPr>
          <w:rFonts w:ascii="Times New Roman" w:hAnsi="Times New Roman" w:cs="Times New Roman"/>
          <w:sz w:val="24"/>
          <w:szCs w:val="24"/>
        </w:rPr>
      </w:pPr>
      <w:r>
        <w:rPr>
          <w:rFonts w:ascii="Times New Roman" w:hAnsi="Times New Roman" w:cs="Times New Roman"/>
          <w:sz w:val="24"/>
          <w:szCs w:val="24"/>
        </w:rPr>
        <w:t>An M</w:t>
      </w:r>
      <w:r w:rsidR="003F372F" w:rsidRPr="003C0FB1">
        <w:rPr>
          <w:rFonts w:ascii="Times New Roman" w:hAnsi="Times New Roman" w:cs="Times New Roman"/>
          <w:sz w:val="24"/>
          <w:szCs w:val="24"/>
        </w:rPr>
        <w:t>-score of -3.36952 implies that the company altered its revenue earnings.</w:t>
      </w:r>
    </w:p>
    <w:p w14:paraId="1094F9B7" w14:textId="4473DFBD" w:rsidR="003F372F" w:rsidRPr="007E3742" w:rsidRDefault="003F372F" w:rsidP="00016E64">
      <w:pPr>
        <w:spacing w:line="240" w:lineRule="auto"/>
        <w:jc w:val="both"/>
        <w:rPr>
          <w:rFonts w:ascii="Times New Roman" w:hAnsi="Times New Roman" w:cs="Times New Roman"/>
          <w:sz w:val="24"/>
          <w:szCs w:val="24"/>
        </w:rPr>
      </w:pPr>
      <w:r w:rsidRPr="003C0FB1">
        <w:rPr>
          <w:rFonts w:ascii="Times New Roman" w:eastAsia="Times New Roman" w:hAnsi="Times New Roman" w:cs="Times New Roman"/>
          <w:b/>
          <w:sz w:val="24"/>
          <w:szCs w:val="24"/>
        </w:rPr>
        <w:t xml:space="preserve">M-score for 2000 </w:t>
      </w:r>
    </w:p>
    <w:p w14:paraId="37E17963" w14:textId="4D58F935" w:rsidR="007E3742" w:rsidRPr="007E3742" w:rsidRDefault="003F372F" w:rsidP="00016E64">
      <w:pPr>
        <w:spacing w:line="240" w:lineRule="auto"/>
        <w:ind w:right="20"/>
        <w:jc w:val="both"/>
        <w:rPr>
          <w:rFonts w:ascii="Times New Roman" w:eastAsia="Times New Roman" w:hAnsi="Times New Roman" w:cs="Times New Roman"/>
          <w:sz w:val="24"/>
          <w:szCs w:val="24"/>
        </w:rPr>
      </w:pPr>
      <w:r w:rsidRPr="007E3742">
        <w:rPr>
          <w:rFonts w:ascii="Times New Roman" w:eastAsia="Times New Roman" w:hAnsi="Times New Roman" w:cs="Times New Roman"/>
          <w:sz w:val="24"/>
          <w:szCs w:val="24"/>
        </w:rPr>
        <w:t>= -4.84 + 0.92×</w:t>
      </w:r>
      <w:r w:rsidRPr="00BB5892">
        <w:rPr>
          <w:rFonts w:ascii="Times New Roman" w:eastAsia="Times New Roman" w:hAnsi="Times New Roman" w:cs="Times New Roman"/>
          <w:i/>
          <w:sz w:val="24"/>
          <w:szCs w:val="24"/>
        </w:rPr>
        <w:t>DSRI</w:t>
      </w:r>
      <w:r w:rsidRPr="007E3742">
        <w:rPr>
          <w:rFonts w:ascii="Times New Roman" w:eastAsia="Times New Roman" w:hAnsi="Times New Roman" w:cs="Times New Roman"/>
          <w:sz w:val="24"/>
          <w:szCs w:val="24"/>
        </w:rPr>
        <w:t xml:space="preserve"> + 0.528×</w:t>
      </w:r>
      <w:r w:rsidRPr="00BB5892">
        <w:rPr>
          <w:rFonts w:ascii="Times New Roman" w:eastAsia="Times New Roman" w:hAnsi="Times New Roman" w:cs="Times New Roman"/>
          <w:i/>
          <w:sz w:val="24"/>
          <w:szCs w:val="24"/>
        </w:rPr>
        <w:t>GMI</w:t>
      </w:r>
      <w:r w:rsidRPr="007E3742">
        <w:rPr>
          <w:rFonts w:ascii="Times New Roman" w:eastAsia="Times New Roman" w:hAnsi="Times New Roman" w:cs="Times New Roman"/>
          <w:sz w:val="24"/>
          <w:szCs w:val="24"/>
        </w:rPr>
        <w:t xml:space="preserve"> + 0.404×</w:t>
      </w:r>
      <w:r w:rsidRPr="00BB5892">
        <w:rPr>
          <w:rFonts w:ascii="Times New Roman" w:eastAsia="Times New Roman" w:hAnsi="Times New Roman" w:cs="Times New Roman"/>
          <w:i/>
          <w:sz w:val="24"/>
          <w:szCs w:val="24"/>
        </w:rPr>
        <w:t>AQI</w:t>
      </w:r>
      <w:r w:rsidRPr="007E3742">
        <w:rPr>
          <w:rFonts w:ascii="Times New Roman" w:eastAsia="Times New Roman" w:hAnsi="Times New Roman" w:cs="Times New Roman"/>
          <w:sz w:val="24"/>
          <w:szCs w:val="24"/>
        </w:rPr>
        <w:t xml:space="preserve"> 0.892×</w:t>
      </w:r>
      <w:r w:rsidRPr="00BB5892">
        <w:rPr>
          <w:rFonts w:ascii="Times New Roman" w:eastAsia="Times New Roman" w:hAnsi="Times New Roman" w:cs="Times New Roman"/>
          <w:i/>
          <w:sz w:val="24"/>
          <w:szCs w:val="24"/>
        </w:rPr>
        <w:t>SGI</w:t>
      </w:r>
      <w:r w:rsidRPr="007E3742">
        <w:rPr>
          <w:rFonts w:ascii="Times New Roman" w:eastAsia="Times New Roman" w:hAnsi="Times New Roman" w:cs="Times New Roman"/>
          <w:sz w:val="24"/>
          <w:szCs w:val="24"/>
        </w:rPr>
        <w:t xml:space="preserve"> + 0.115×</w:t>
      </w:r>
      <w:r w:rsidRPr="00BB5892">
        <w:rPr>
          <w:rFonts w:ascii="Times New Roman" w:eastAsia="Times New Roman" w:hAnsi="Times New Roman" w:cs="Times New Roman"/>
          <w:i/>
          <w:sz w:val="24"/>
          <w:szCs w:val="24"/>
        </w:rPr>
        <w:t xml:space="preserve">DEPI </w:t>
      </w:r>
      <w:r w:rsidRPr="007E3742">
        <w:rPr>
          <w:rFonts w:ascii="Times New Roman" w:eastAsia="Times New Roman" w:hAnsi="Times New Roman" w:cs="Times New Roman"/>
          <w:sz w:val="24"/>
          <w:szCs w:val="24"/>
        </w:rPr>
        <w:t>– 172</w:t>
      </w:r>
      <w:r w:rsidR="007E3742" w:rsidRPr="007E3742">
        <w:rPr>
          <w:rFonts w:ascii="Times New Roman" w:eastAsia="Times New Roman" w:hAnsi="Times New Roman" w:cs="Times New Roman"/>
          <w:sz w:val="24"/>
          <w:szCs w:val="24"/>
        </w:rPr>
        <w:t>×</w:t>
      </w:r>
      <w:r w:rsidR="007E3742" w:rsidRPr="00BB5892">
        <w:rPr>
          <w:rFonts w:ascii="Times New Roman" w:eastAsia="Times New Roman" w:hAnsi="Times New Roman" w:cs="Times New Roman"/>
          <w:i/>
          <w:sz w:val="24"/>
          <w:szCs w:val="24"/>
        </w:rPr>
        <w:t xml:space="preserve">SGAI </w:t>
      </w:r>
      <w:r w:rsidR="007E3742" w:rsidRPr="007E3742">
        <w:rPr>
          <w:rFonts w:ascii="Times New Roman" w:eastAsia="Times New Roman" w:hAnsi="Times New Roman" w:cs="Times New Roman"/>
          <w:sz w:val="24"/>
          <w:szCs w:val="24"/>
        </w:rPr>
        <w:t>+ 4.679×</w:t>
      </w:r>
      <w:r w:rsidR="007E3742" w:rsidRPr="00BB5892">
        <w:rPr>
          <w:rFonts w:ascii="Times New Roman" w:eastAsia="Times New Roman" w:hAnsi="Times New Roman" w:cs="Times New Roman"/>
          <w:i/>
          <w:sz w:val="24"/>
          <w:szCs w:val="24"/>
        </w:rPr>
        <w:t>TATA</w:t>
      </w:r>
      <w:r w:rsidR="007E3742" w:rsidRPr="007E3742">
        <w:rPr>
          <w:rFonts w:ascii="Times New Roman" w:eastAsia="Times New Roman" w:hAnsi="Times New Roman" w:cs="Times New Roman"/>
          <w:sz w:val="24"/>
          <w:szCs w:val="24"/>
        </w:rPr>
        <w:t xml:space="preserve"> – 0.327×</w:t>
      </w:r>
      <w:r w:rsidR="007E3742" w:rsidRPr="00BB5892">
        <w:rPr>
          <w:rFonts w:ascii="Times New Roman" w:eastAsia="Times New Roman" w:hAnsi="Times New Roman" w:cs="Times New Roman"/>
          <w:i/>
          <w:sz w:val="24"/>
          <w:szCs w:val="24"/>
        </w:rPr>
        <w:t>LVGI</w:t>
      </w:r>
      <w:r w:rsidR="007E3742" w:rsidRPr="007E3742">
        <w:rPr>
          <w:rFonts w:ascii="Times New Roman" w:eastAsia="Times New Roman" w:hAnsi="Times New Roman" w:cs="Times New Roman"/>
          <w:sz w:val="24"/>
          <w:szCs w:val="24"/>
        </w:rPr>
        <w:t>.</w:t>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t xml:space="preserve">           </w:t>
      </w:r>
      <w:r w:rsidR="007E3742">
        <w:rPr>
          <w:rFonts w:ascii="Times New Roman" w:eastAsia="Times New Roman" w:hAnsi="Times New Roman" w:cs="Times New Roman"/>
          <w:sz w:val="24"/>
          <w:szCs w:val="24"/>
        </w:rPr>
        <w:tab/>
      </w:r>
    </w:p>
    <w:p w14:paraId="7C593466" w14:textId="77777777" w:rsidR="007E3742" w:rsidRDefault="003F372F" w:rsidP="00016E64">
      <w:pPr>
        <w:spacing w:line="240" w:lineRule="auto"/>
        <w:ind w:right="20"/>
        <w:jc w:val="both"/>
        <w:rPr>
          <w:rFonts w:ascii="Times New Roman" w:eastAsia="Times New Roman" w:hAnsi="Times New Roman" w:cs="Times New Roman"/>
          <w:sz w:val="24"/>
          <w:szCs w:val="24"/>
        </w:rPr>
      </w:pPr>
      <w:r w:rsidRPr="003C0FB1">
        <w:rPr>
          <w:rFonts w:ascii="Times New Roman" w:eastAsia="Times New Roman" w:hAnsi="Times New Roman" w:cs="Times New Roman"/>
          <w:b/>
          <w:sz w:val="24"/>
          <w:szCs w:val="24"/>
        </w:rPr>
        <w:t>=</w:t>
      </w:r>
      <w:r w:rsidR="007E3742">
        <w:rPr>
          <w:rFonts w:ascii="Times New Roman" w:eastAsia="Times New Roman" w:hAnsi="Times New Roman" w:cs="Times New Roman"/>
          <w:b/>
          <w:sz w:val="24"/>
          <w:szCs w:val="24"/>
        </w:rPr>
        <w:t xml:space="preserve"> + </w:t>
      </w:r>
      <w:r w:rsidRPr="003C0FB1">
        <w:rPr>
          <w:rFonts w:ascii="Times New Roman" w:eastAsia="Times New Roman" w:hAnsi="Times New Roman" w:cs="Times New Roman"/>
          <w:sz w:val="24"/>
          <w:szCs w:val="24"/>
        </w:rPr>
        <w:t xml:space="preserve">4.84 + 0.92 × 0.55 + 0.528 × 0.05 + 0.404 ×0.85 + 0.892 ×1.77+0.115×3.65 – 0.172 ×0.46 +4.679 ×-0.18 – 0.327 × 0.98 </w:t>
      </w:r>
    </w:p>
    <w:p w14:paraId="21D781A2" w14:textId="70199080" w:rsidR="003F372F" w:rsidRPr="007E3742" w:rsidRDefault="003F372F" w:rsidP="00016E64">
      <w:pPr>
        <w:spacing w:line="240" w:lineRule="auto"/>
        <w:ind w:right="20"/>
        <w:jc w:val="both"/>
        <w:rPr>
          <w:rFonts w:ascii="Times New Roman" w:eastAsia="Times New Roman" w:hAnsi="Times New Roman" w:cs="Times New Roman"/>
          <w:sz w:val="24"/>
          <w:szCs w:val="24"/>
        </w:rPr>
      </w:pPr>
      <w:r w:rsidRPr="003C0FB1">
        <w:rPr>
          <w:rFonts w:ascii="Times New Roman" w:eastAsia="Times New Roman" w:hAnsi="Times New Roman" w:cs="Times New Roman"/>
          <w:sz w:val="24"/>
          <w:szCs w:val="24"/>
        </w:rPr>
        <w:t>= - 4.84</w:t>
      </w:r>
      <w:r w:rsidR="007E3742">
        <w:rPr>
          <w:rFonts w:ascii="Times New Roman" w:eastAsia="Times New Roman" w:hAnsi="Times New Roman" w:cs="Times New Roman"/>
          <w:sz w:val="24"/>
          <w:szCs w:val="24"/>
        </w:rPr>
        <w:t>.</w:t>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p>
    <w:p w14:paraId="3C22ADAD" w14:textId="77777777" w:rsidR="000346C0" w:rsidRDefault="003F372F" w:rsidP="00016E64">
      <w:pPr>
        <w:spacing w:line="240" w:lineRule="auto"/>
        <w:jc w:val="both"/>
        <w:rPr>
          <w:rFonts w:ascii="Times New Roman" w:eastAsia="Times New Roman" w:hAnsi="Times New Roman" w:cs="Times New Roman"/>
          <w:sz w:val="24"/>
          <w:szCs w:val="24"/>
        </w:rPr>
      </w:pPr>
      <w:r w:rsidRPr="003C0FB1">
        <w:rPr>
          <w:rFonts w:ascii="Times New Roman" w:eastAsia="Times New Roman" w:hAnsi="Times New Roman" w:cs="Times New Roman"/>
          <w:sz w:val="24"/>
          <w:szCs w:val="24"/>
        </w:rPr>
        <w:t xml:space="preserve">+0.506+0.0264+0.3434+1.57884+0.41975-0.07912-0.84222-.32046 </w:t>
      </w:r>
    </w:p>
    <w:p w14:paraId="5B1B21BF" w14:textId="69CE5BBF" w:rsidR="003F372F" w:rsidRPr="007E3742" w:rsidRDefault="003F372F" w:rsidP="00016E64">
      <w:pPr>
        <w:spacing w:line="240" w:lineRule="auto"/>
        <w:jc w:val="both"/>
        <w:rPr>
          <w:rFonts w:ascii="Times New Roman" w:eastAsia="Times New Roman" w:hAnsi="Times New Roman" w:cs="Times New Roman"/>
          <w:sz w:val="24"/>
          <w:szCs w:val="24"/>
        </w:rPr>
      </w:pPr>
      <w:r w:rsidRPr="003C0FB1">
        <w:rPr>
          <w:rFonts w:ascii="Times New Roman" w:eastAsia="Times New Roman" w:hAnsi="Times New Roman" w:cs="Times New Roman"/>
          <w:sz w:val="24"/>
          <w:szCs w:val="24"/>
        </w:rPr>
        <w:t xml:space="preserve">= </w:t>
      </w:r>
      <w:r w:rsidRPr="003C0FB1">
        <w:rPr>
          <w:rFonts w:ascii="Times New Roman" w:eastAsia="Times New Roman" w:hAnsi="Times New Roman" w:cs="Times New Roman"/>
          <w:b/>
          <w:sz w:val="24"/>
          <w:szCs w:val="24"/>
          <w:u w:val="single"/>
        </w:rPr>
        <w:t>-3.20741</w:t>
      </w:r>
      <w:r w:rsidRPr="003C0FB1">
        <w:rPr>
          <w:rFonts w:ascii="Times New Roman" w:eastAsia="Times New Roman" w:hAnsi="Times New Roman" w:cs="Times New Roman"/>
          <w:b/>
          <w:sz w:val="24"/>
          <w:szCs w:val="24"/>
        </w:rPr>
        <w:t xml:space="preserve"> </w:t>
      </w:r>
      <w:r w:rsidR="000346C0" w:rsidRPr="000346C0">
        <w:rPr>
          <w:rFonts w:ascii="Times New Roman" w:eastAsia="Times New Roman" w:hAnsi="Times New Roman" w:cs="Times New Roman"/>
          <w:sz w:val="24"/>
          <w:szCs w:val="24"/>
        </w:rPr>
        <w:t>which</w:t>
      </w:r>
      <w:r w:rsidR="000346C0">
        <w:rPr>
          <w:rFonts w:ascii="Times New Roman" w:eastAsia="Times New Roman" w:hAnsi="Times New Roman" w:cs="Times New Roman"/>
          <w:b/>
          <w:sz w:val="24"/>
          <w:szCs w:val="24"/>
        </w:rPr>
        <w:t xml:space="preserve"> </w:t>
      </w:r>
      <w:r w:rsidRPr="003C0FB1">
        <w:rPr>
          <w:rFonts w:ascii="Times New Roman" w:eastAsia="Times New Roman" w:hAnsi="Times New Roman" w:cs="Times New Roman"/>
          <w:sz w:val="24"/>
          <w:szCs w:val="24"/>
        </w:rPr>
        <w:t xml:space="preserve">means </w:t>
      </w:r>
      <w:r w:rsidR="000346C0">
        <w:rPr>
          <w:rFonts w:ascii="Times New Roman" w:eastAsia="Times New Roman" w:hAnsi="Times New Roman" w:cs="Times New Roman"/>
          <w:sz w:val="24"/>
          <w:szCs w:val="24"/>
        </w:rPr>
        <w:t xml:space="preserve">the company </w:t>
      </w:r>
      <w:r w:rsidRPr="003C0FB1">
        <w:rPr>
          <w:rFonts w:ascii="Times New Roman" w:eastAsia="Times New Roman" w:hAnsi="Times New Roman" w:cs="Times New Roman"/>
          <w:sz w:val="24"/>
          <w:szCs w:val="24"/>
        </w:rPr>
        <w:t>altered its revenue.</w:t>
      </w:r>
    </w:p>
    <w:p w14:paraId="36994A07" w14:textId="77777777" w:rsidR="007E3742" w:rsidRPr="007E3742" w:rsidRDefault="003F372F" w:rsidP="00016E64">
      <w:pPr>
        <w:spacing w:line="240" w:lineRule="auto"/>
        <w:jc w:val="both"/>
        <w:rPr>
          <w:rFonts w:ascii="Times New Roman" w:eastAsia="Times New Roman" w:hAnsi="Times New Roman" w:cs="Times New Roman"/>
          <w:b/>
          <w:sz w:val="24"/>
          <w:szCs w:val="24"/>
        </w:rPr>
      </w:pPr>
      <w:r w:rsidRPr="007E3742">
        <w:rPr>
          <w:rFonts w:ascii="Times New Roman" w:eastAsia="Times New Roman" w:hAnsi="Times New Roman" w:cs="Times New Roman"/>
          <w:b/>
          <w:sz w:val="24"/>
          <w:szCs w:val="24"/>
        </w:rPr>
        <w:t>M-score for 1999</w:t>
      </w:r>
    </w:p>
    <w:p w14:paraId="3C7D697A" w14:textId="59CE9D7B" w:rsidR="007E3742" w:rsidRPr="007E3742" w:rsidRDefault="00BB5892" w:rsidP="00016E64">
      <w:pPr>
        <w:spacing w:line="240" w:lineRule="auto"/>
        <w:jc w:val="both"/>
        <w:rPr>
          <w:rFonts w:ascii="Times New Roman" w:eastAsia="Times New Roman" w:hAnsi="Times New Roman" w:cs="Times New Roman"/>
          <w:sz w:val="24"/>
          <w:szCs w:val="24"/>
          <w:lang w:val="es-MX"/>
        </w:rPr>
      </w:pPr>
      <w:r w:rsidRPr="007E3742">
        <w:rPr>
          <w:rFonts w:ascii="Times New Roman" w:eastAsia="Times New Roman" w:hAnsi="Times New Roman" w:cs="Times New Roman"/>
          <w:sz w:val="24"/>
          <w:szCs w:val="24"/>
        </w:rPr>
        <w:t>= -4.84 + 0.92×</w:t>
      </w:r>
      <w:r w:rsidRPr="00BB5892">
        <w:rPr>
          <w:rFonts w:ascii="Times New Roman" w:eastAsia="Times New Roman" w:hAnsi="Times New Roman" w:cs="Times New Roman"/>
          <w:i/>
          <w:sz w:val="24"/>
          <w:szCs w:val="24"/>
        </w:rPr>
        <w:t>DSRI</w:t>
      </w:r>
      <w:r w:rsidRPr="007E3742">
        <w:rPr>
          <w:rFonts w:ascii="Times New Roman" w:eastAsia="Times New Roman" w:hAnsi="Times New Roman" w:cs="Times New Roman"/>
          <w:sz w:val="24"/>
          <w:szCs w:val="24"/>
        </w:rPr>
        <w:t xml:space="preserve"> + 0.528×</w:t>
      </w:r>
      <w:r w:rsidRPr="00BB5892">
        <w:rPr>
          <w:rFonts w:ascii="Times New Roman" w:eastAsia="Times New Roman" w:hAnsi="Times New Roman" w:cs="Times New Roman"/>
          <w:i/>
          <w:sz w:val="24"/>
          <w:szCs w:val="24"/>
        </w:rPr>
        <w:t>GMI</w:t>
      </w:r>
      <w:r w:rsidRPr="007E3742">
        <w:rPr>
          <w:rFonts w:ascii="Times New Roman" w:eastAsia="Times New Roman" w:hAnsi="Times New Roman" w:cs="Times New Roman"/>
          <w:sz w:val="24"/>
          <w:szCs w:val="24"/>
        </w:rPr>
        <w:t xml:space="preserve"> + 0.404×</w:t>
      </w:r>
      <w:r w:rsidRPr="00BB5892">
        <w:rPr>
          <w:rFonts w:ascii="Times New Roman" w:eastAsia="Times New Roman" w:hAnsi="Times New Roman" w:cs="Times New Roman"/>
          <w:i/>
          <w:sz w:val="24"/>
          <w:szCs w:val="24"/>
        </w:rPr>
        <w:t>AQI</w:t>
      </w:r>
      <w:r w:rsidRPr="007E3742">
        <w:rPr>
          <w:rFonts w:ascii="Times New Roman" w:eastAsia="Times New Roman" w:hAnsi="Times New Roman" w:cs="Times New Roman"/>
          <w:sz w:val="24"/>
          <w:szCs w:val="24"/>
        </w:rPr>
        <w:t xml:space="preserve"> 0.892×</w:t>
      </w:r>
      <w:r w:rsidRPr="00BB5892">
        <w:rPr>
          <w:rFonts w:ascii="Times New Roman" w:eastAsia="Times New Roman" w:hAnsi="Times New Roman" w:cs="Times New Roman"/>
          <w:i/>
          <w:sz w:val="24"/>
          <w:szCs w:val="24"/>
        </w:rPr>
        <w:t>SGI</w:t>
      </w:r>
      <w:r w:rsidRPr="007E3742">
        <w:rPr>
          <w:rFonts w:ascii="Times New Roman" w:eastAsia="Times New Roman" w:hAnsi="Times New Roman" w:cs="Times New Roman"/>
          <w:sz w:val="24"/>
          <w:szCs w:val="24"/>
        </w:rPr>
        <w:t xml:space="preserve"> + 0.115×</w:t>
      </w:r>
      <w:r w:rsidRPr="00BB5892">
        <w:rPr>
          <w:rFonts w:ascii="Times New Roman" w:eastAsia="Times New Roman" w:hAnsi="Times New Roman" w:cs="Times New Roman"/>
          <w:i/>
          <w:sz w:val="24"/>
          <w:szCs w:val="24"/>
        </w:rPr>
        <w:t xml:space="preserve">DEPI </w:t>
      </w:r>
      <w:r w:rsidRPr="007E3742">
        <w:rPr>
          <w:rFonts w:ascii="Times New Roman" w:eastAsia="Times New Roman" w:hAnsi="Times New Roman" w:cs="Times New Roman"/>
          <w:sz w:val="24"/>
          <w:szCs w:val="24"/>
        </w:rPr>
        <w:t>– 172×</w:t>
      </w:r>
      <w:r w:rsidRPr="00BB5892">
        <w:rPr>
          <w:rFonts w:ascii="Times New Roman" w:eastAsia="Times New Roman" w:hAnsi="Times New Roman" w:cs="Times New Roman"/>
          <w:i/>
          <w:sz w:val="24"/>
          <w:szCs w:val="24"/>
        </w:rPr>
        <w:t xml:space="preserve">SGAI </w:t>
      </w:r>
      <w:r w:rsidRPr="007E3742">
        <w:rPr>
          <w:rFonts w:ascii="Times New Roman" w:eastAsia="Times New Roman" w:hAnsi="Times New Roman" w:cs="Times New Roman"/>
          <w:sz w:val="24"/>
          <w:szCs w:val="24"/>
        </w:rPr>
        <w:t>+ 4.679×</w:t>
      </w:r>
      <w:r w:rsidRPr="00BB5892">
        <w:rPr>
          <w:rFonts w:ascii="Times New Roman" w:eastAsia="Times New Roman" w:hAnsi="Times New Roman" w:cs="Times New Roman"/>
          <w:i/>
          <w:sz w:val="24"/>
          <w:szCs w:val="24"/>
        </w:rPr>
        <w:t>TATA</w:t>
      </w:r>
      <w:r w:rsidRPr="007E3742">
        <w:rPr>
          <w:rFonts w:ascii="Times New Roman" w:eastAsia="Times New Roman" w:hAnsi="Times New Roman" w:cs="Times New Roman"/>
          <w:sz w:val="24"/>
          <w:szCs w:val="24"/>
        </w:rPr>
        <w:t xml:space="preserve"> – 0.327×</w:t>
      </w:r>
      <w:r w:rsidRPr="00BB5892">
        <w:rPr>
          <w:rFonts w:ascii="Times New Roman" w:eastAsia="Times New Roman" w:hAnsi="Times New Roman" w:cs="Times New Roman"/>
          <w:i/>
          <w:sz w:val="24"/>
          <w:szCs w:val="24"/>
        </w:rPr>
        <w:t>LVGI</w:t>
      </w:r>
      <w:r w:rsidRPr="007E3742">
        <w:rPr>
          <w:rFonts w:ascii="Times New Roman" w:eastAsia="Times New Roman" w:hAnsi="Times New Roman" w:cs="Times New Roman"/>
          <w:sz w:val="24"/>
          <w:szCs w:val="24"/>
        </w:rPr>
        <w:t>.</w:t>
      </w:r>
      <w:r w:rsidR="007E3742">
        <w:rPr>
          <w:rFonts w:ascii="Times New Roman" w:eastAsia="Times New Roman" w:hAnsi="Times New Roman" w:cs="Times New Roman"/>
          <w:sz w:val="24"/>
          <w:szCs w:val="24"/>
          <w:lang w:val="es-MX"/>
        </w:rPr>
        <w:tab/>
      </w:r>
      <w:r w:rsidR="007E3742">
        <w:rPr>
          <w:rFonts w:ascii="Times New Roman" w:eastAsia="Times New Roman" w:hAnsi="Times New Roman" w:cs="Times New Roman"/>
          <w:sz w:val="24"/>
          <w:szCs w:val="24"/>
          <w:lang w:val="es-MX"/>
        </w:rPr>
        <w:tab/>
      </w:r>
      <w:r w:rsidR="007E3742">
        <w:rPr>
          <w:rFonts w:ascii="Times New Roman" w:eastAsia="Times New Roman" w:hAnsi="Times New Roman" w:cs="Times New Roman"/>
          <w:sz w:val="24"/>
          <w:szCs w:val="24"/>
          <w:lang w:val="es-MX"/>
        </w:rPr>
        <w:tab/>
      </w:r>
      <w:r w:rsidR="007E3742">
        <w:rPr>
          <w:rFonts w:ascii="Times New Roman" w:eastAsia="Times New Roman" w:hAnsi="Times New Roman" w:cs="Times New Roman"/>
          <w:sz w:val="24"/>
          <w:szCs w:val="24"/>
          <w:lang w:val="es-MX"/>
        </w:rPr>
        <w:tab/>
      </w:r>
      <w:r w:rsidR="007E3742">
        <w:rPr>
          <w:rFonts w:ascii="Times New Roman" w:eastAsia="Times New Roman" w:hAnsi="Times New Roman" w:cs="Times New Roman"/>
          <w:sz w:val="24"/>
          <w:szCs w:val="24"/>
          <w:lang w:val="es-MX"/>
        </w:rPr>
        <w:tab/>
      </w:r>
      <w:r w:rsidR="007E3742">
        <w:rPr>
          <w:rFonts w:ascii="Times New Roman" w:eastAsia="Times New Roman" w:hAnsi="Times New Roman" w:cs="Times New Roman"/>
          <w:sz w:val="24"/>
          <w:szCs w:val="24"/>
          <w:lang w:val="es-MX"/>
        </w:rPr>
        <w:tab/>
      </w:r>
      <w:r w:rsidR="007E3742">
        <w:rPr>
          <w:rFonts w:ascii="Times New Roman" w:eastAsia="Times New Roman" w:hAnsi="Times New Roman" w:cs="Times New Roman"/>
          <w:sz w:val="24"/>
          <w:szCs w:val="24"/>
          <w:lang w:val="es-MX"/>
        </w:rPr>
        <w:tab/>
      </w:r>
      <w:r w:rsidR="007E3742">
        <w:rPr>
          <w:rFonts w:ascii="Times New Roman" w:eastAsia="Times New Roman" w:hAnsi="Times New Roman" w:cs="Times New Roman"/>
          <w:sz w:val="24"/>
          <w:szCs w:val="24"/>
          <w:lang w:val="es-MX"/>
        </w:rPr>
        <w:tab/>
      </w:r>
      <w:r w:rsidR="007E3742">
        <w:rPr>
          <w:rFonts w:ascii="Times New Roman" w:eastAsia="Times New Roman" w:hAnsi="Times New Roman" w:cs="Times New Roman"/>
          <w:sz w:val="24"/>
          <w:szCs w:val="24"/>
          <w:lang w:val="es-MX"/>
        </w:rPr>
        <w:tab/>
      </w:r>
    </w:p>
    <w:p w14:paraId="4BB4026B" w14:textId="7E8A3313" w:rsidR="003F372F" w:rsidRPr="007E3742" w:rsidRDefault="003F372F" w:rsidP="00016E64">
      <w:pPr>
        <w:spacing w:line="240" w:lineRule="auto"/>
        <w:jc w:val="both"/>
        <w:rPr>
          <w:rFonts w:ascii="Times New Roman" w:eastAsia="Times New Roman" w:hAnsi="Times New Roman" w:cs="Times New Roman"/>
          <w:b/>
          <w:sz w:val="24"/>
          <w:szCs w:val="24"/>
        </w:rPr>
      </w:pPr>
      <w:r w:rsidRPr="000D6C2C">
        <w:rPr>
          <w:rFonts w:ascii="Times New Roman" w:eastAsia="Times New Roman" w:hAnsi="Times New Roman" w:cs="Times New Roman"/>
          <w:b/>
          <w:sz w:val="24"/>
          <w:szCs w:val="24"/>
          <w:lang w:val="es-MX"/>
        </w:rPr>
        <w:t>=</w:t>
      </w:r>
      <w:r w:rsidRPr="003C0FB1">
        <w:rPr>
          <w:rFonts w:ascii="Times New Roman" w:eastAsia="Times New Roman" w:hAnsi="Times New Roman" w:cs="Times New Roman"/>
          <w:sz w:val="24"/>
          <w:szCs w:val="24"/>
        </w:rPr>
        <w:t>4.84 + 0.92 ×1.18 + 0.528 × 6.51 + 0.404 ×0.33 + 0.892 ×1.04 0.115×1.28 – 0.172 ×1.15 +4.679 ×-0.12 – 0.327 × 0.91 = - 4.84</w:t>
      </w:r>
    </w:p>
    <w:p w14:paraId="2CA28F7F" w14:textId="77777777" w:rsidR="000346C0" w:rsidRDefault="003F372F" w:rsidP="00016E64">
      <w:pPr>
        <w:spacing w:line="240" w:lineRule="auto"/>
        <w:jc w:val="both"/>
        <w:rPr>
          <w:rFonts w:ascii="Times New Roman" w:eastAsia="Times New Roman" w:hAnsi="Times New Roman" w:cs="Times New Roman"/>
          <w:sz w:val="24"/>
          <w:szCs w:val="24"/>
        </w:rPr>
      </w:pPr>
      <w:r w:rsidRPr="003C0FB1">
        <w:rPr>
          <w:rFonts w:ascii="Times New Roman" w:eastAsia="Times New Roman" w:hAnsi="Times New Roman" w:cs="Times New Roman"/>
          <w:sz w:val="24"/>
          <w:szCs w:val="24"/>
        </w:rPr>
        <w:t xml:space="preserve">+1.0856+3.43728+0.13332+0.92768+0.1472-0.1978-0.56148-0.29757 </w:t>
      </w:r>
    </w:p>
    <w:p w14:paraId="53CDABEB" w14:textId="02142E8A" w:rsidR="003F372F" w:rsidRPr="003C0FB1" w:rsidRDefault="003F372F" w:rsidP="00016E64">
      <w:pPr>
        <w:spacing w:line="240" w:lineRule="auto"/>
        <w:jc w:val="both"/>
        <w:rPr>
          <w:rFonts w:ascii="Times New Roman" w:eastAsia="Times New Roman" w:hAnsi="Times New Roman" w:cs="Times New Roman"/>
          <w:sz w:val="24"/>
          <w:szCs w:val="24"/>
        </w:rPr>
      </w:pPr>
      <w:r w:rsidRPr="003C0FB1">
        <w:rPr>
          <w:rFonts w:ascii="Times New Roman" w:eastAsia="Times New Roman" w:hAnsi="Times New Roman" w:cs="Times New Roman"/>
          <w:sz w:val="24"/>
          <w:szCs w:val="24"/>
        </w:rPr>
        <w:t xml:space="preserve">= </w:t>
      </w:r>
      <w:r w:rsidRPr="003C0FB1">
        <w:rPr>
          <w:rFonts w:ascii="Times New Roman" w:eastAsia="Times New Roman" w:hAnsi="Times New Roman" w:cs="Times New Roman"/>
          <w:b/>
          <w:sz w:val="24"/>
          <w:szCs w:val="24"/>
          <w:u w:val="single"/>
        </w:rPr>
        <w:t>-0.16577</w:t>
      </w:r>
      <w:r w:rsidRPr="003C0FB1">
        <w:rPr>
          <w:rFonts w:ascii="Times New Roman" w:eastAsia="Times New Roman" w:hAnsi="Times New Roman" w:cs="Times New Roman"/>
          <w:b/>
          <w:sz w:val="24"/>
          <w:szCs w:val="24"/>
        </w:rPr>
        <w:t xml:space="preserve"> </w:t>
      </w:r>
      <w:r w:rsidR="000346C0" w:rsidRPr="000346C0">
        <w:rPr>
          <w:rFonts w:ascii="Times New Roman" w:eastAsia="Times New Roman" w:hAnsi="Times New Roman" w:cs="Times New Roman"/>
          <w:sz w:val="24"/>
          <w:szCs w:val="24"/>
        </w:rPr>
        <w:t>which</w:t>
      </w:r>
      <w:r w:rsidR="000346C0">
        <w:rPr>
          <w:rFonts w:ascii="Times New Roman" w:eastAsia="Times New Roman" w:hAnsi="Times New Roman" w:cs="Times New Roman"/>
          <w:b/>
          <w:sz w:val="24"/>
          <w:szCs w:val="24"/>
        </w:rPr>
        <w:t xml:space="preserve"> </w:t>
      </w:r>
      <w:r w:rsidRPr="003C0FB1">
        <w:rPr>
          <w:rFonts w:ascii="Times New Roman" w:eastAsia="Times New Roman" w:hAnsi="Times New Roman" w:cs="Times New Roman"/>
          <w:sz w:val="24"/>
          <w:szCs w:val="24"/>
        </w:rPr>
        <w:t xml:space="preserve">means </w:t>
      </w:r>
      <w:r w:rsidR="000346C0">
        <w:rPr>
          <w:rFonts w:ascii="Times New Roman" w:eastAsia="Times New Roman" w:hAnsi="Times New Roman" w:cs="Times New Roman"/>
          <w:sz w:val="24"/>
          <w:szCs w:val="24"/>
        </w:rPr>
        <w:t>the company did not alter</w:t>
      </w:r>
      <w:r w:rsidRPr="003C0FB1">
        <w:rPr>
          <w:rFonts w:ascii="Times New Roman" w:eastAsia="Times New Roman" w:hAnsi="Times New Roman" w:cs="Times New Roman"/>
          <w:sz w:val="24"/>
          <w:szCs w:val="24"/>
        </w:rPr>
        <w:t xml:space="preserve"> its revenue.</w:t>
      </w:r>
    </w:p>
    <w:p w14:paraId="1449498A" w14:textId="77777777" w:rsidR="003F372F" w:rsidRPr="003C0FB1" w:rsidRDefault="003F372F" w:rsidP="00016E64">
      <w:pPr>
        <w:spacing w:line="240" w:lineRule="auto"/>
        <w:jc w:val="both"/>
        <w:rPr>
          <w:rFonts w:ascii="Times New Roman" w:eastAsia="Times New Roman" w:hAnsi="Times New Roman" w:cs="Times New Roman"/>
          <w:b/>
          <w:sz w:val="24"/>
          <w:szCs w:val="24"/>
        </w:rPr>
      </w:pPr>
      <w:r w:rsidRPr="003C0FB1">
        <w:rPr>
          <w:rFonts w:ascii="Times New Roman" w:eastAsia="Times New Roman" w:hAnsi="Times New Roman" w:cs="Times New Roman"/>
          <w:b/>
          <w:sz w:val="24"/>
          <w:szCs w:val="24"/>
        </w:rPr>
        <w:t>M-score for 1998</w:t>
      </w:r>
    </w:p>
    <w:p w14:paraId="104B712D" w14:textId="413DB164" w:rsidR="007E3742" w:rsidRPr="007E3742" w:rsidRDefault="00BB5892" w:rsidP="00016E64">
      <w:pPr>
        <w:spacing w:line="240" w:lineRule="auto"/>
        <w:jc w:val="both"/>
        <w:rPr>
          <w:rFonts w:ascii="Times New Roman" w:eastAsia="Times New Roman" w:hAnsi="Times New Roman" w:cs="Times New Roman"/>
          <w:sz w:val="24"/>
          <w:szCs w:val="24"/>
        </w:rPr>
      </w:pPr>
      <w:r w:rsidRPr="007E3742">
        <w:rPr>
          <w:rFonts w:ascii="Times New Roman" w:eastAsia="Times New Roman" w:hAnsi="Times New Roman" w:cs="Times New Roman"/>
          <w:sz w:val="24"/>
          <w:szCs w:val="24"/>
        </w:rPr>
        <w:t>= -4.84 + 0.92×</w:t>
      </w:r>
      <w:r w:rsidRPr="00BB5892">
        <w:rPr>
          <w:rFonts w:ascii="Times New Roman" w:eastAsia="Times New Roman" w:hAnsi="Times New Roman" w:cs="Times New Roman"/>
          <w:i/>
          <w:sz w:val="24"/>
          <w:szCs w:val="24"/>
        </w:rPr>
        <w:t>DSRI</w:t>
      </w:r>
      <w:r w:rsidRPr="007E3742">
        <w:rPr>
          <w:rFonts w:ascii="Times New Roman" w:eastAsia="Times New Roman" w:hAnsi="Times New Roman" w:cs="Times New Roman"/>
          <w:sz w:val="24"/>
          <w:szCs w:val="24"/>
        </w:rPr>
        <w:t xml:space="preserve"> + 0.528×</w:t>
      </w:r>
      <w:r w:rsidRPr="00BB5892">
        <w:rPr>
          <w:rFonts w:ascii="Times New Roman" w:eastAsia="Times New Roman" w:hAnsi="Times New Roman" w:cs="Times New Roman"/>
          <w:i/>
          <w:sz w:val="24"/>
          <w:szCs w:val="24"/>
        </w:rPr>
        <w:t>GMI</w:t>
      </w:r>
      <w:r w:rsidRPr="007E3742">
        <w:rPr>
          <w:rFonts w:ascii="Times New Roman" w:eastAsia="Times New Roman" w:hAnsi="Times New Roman" w:cs="Times New Roman"/>
          <w:sz w:val="24"/>
          <w:szCs w:val="24"/>
        </w:rPr>
        <w:t xml:space="preserve"> + 0.404×</w:t>
      </w:r>
      <w:r w:rsidRPr="00BB5892">
        <w:rPr>
          <w:rFonts w:ascii="Times New Roman" w:eastAsia="Times New Roman" w:hAnsi="Times New Roman" w:cs="Times New Roman"/>
          <w:i/>
          <w:sz w:val="24"/>
          <w:szCs w:val="24"/>
        </w:rPr>
        <w:t>AQI</w:t>
      </w:r>
      <w:r w:rsidRPr="007E3742">
        <w:rPr>
          <w:rFonts w:ascii="Times New Roman" w:eastAsia="Times New Roman" w:hAnsi="Times New Roman" w:cs="Times New Roman"/>
          <w:sz w:val="24"/>
          <w:szCs w:val="24"/>
        </w:rPr>
        <w:t xml:space="preserve"> 0.892×</w:t>
      </w:r>
      <w:r w:rsidRPr="00BB5892">
        <w:rPr>
          <w:rFonts w:ascii="Times New Roman" w:eastAsia="Times New Roman" w:hAnsi="Times New Roman" w:cs="Times New Roman"/>
          <w:i/>
          <w:sz w:val="24"/>
          <w:szCs w:val="24"/>
        </w:rPr>
        <w:t>SGI</w:t>
      </w:r>
      <w:r w:rsidRPr="007E3742">
        <w:rPr>
          <w:rFonts w:ascii="Times New Roman" w:eastAsia="Times New Roman" w:hAnsi="Times New Roman" w:cs="Times New Roman"/>
          <w:sz w:val="24"/>
          <w:szCs w:val="24"/>
        </w:rPr>
        <w:t xml:space="preserve"> + 0.115×</w:t>
      </w:r>
      <w:r w:rsidRPr="00BB5892">
        <w:rPr>
          <w:rFonts w:ascii="Times New Roman" w:eastAsia="Times New Roman" w:hAnsi="Times New Roman" w:cs="Times New Roman"/>
          <w:i/>
          <w:sz w:val="24"/>
          <w:szCs w:val="24"/>
        </w:rPr>
        <w:t xml:space="preserve">DEPI </w:t>
      </w:r>
      <w:r w:rsidRPr="007E3742">
        <w:rPr>
          <w:rFonts w:ascii="Times New Roman" w:eastAsia="Times New Roman" w:hAnsi="Times New Roman" w:cs="Times New Roman"/>
          <w:sz w:val="24"/>
          <w:szCs w:val="24"/>
        </w:rPr>
        <w:t>– 172×</w:t>
      </w:r>
      <w:r w:rsidRPr="00BB5892">
        <w:rPr>
          <w:rFonts w:ascii="Times New Roman" w:eastAsia="Times New Roman" w:hAnsi="Times New Roman" w:cs="Times New Roman"/>
          <w:i/>
          <w:sz w:val="24"/>
          <w:szCs w:val="24"/>
        </w:rPr>
        <w:t xml:space="preserve">SGAI </w:t>
      </w:r>
      <w:r w:rsidRPr="007E3742">
        <w:rPr>
          <w:rFonts w:ascii="Times New Roman" w:eastAsia="Times New Roman" w:hAnsi="Times New Roman" w:cs="Times New Roman"/>
          <w:sz w:val="24"/>
          <w:szCs w:val="24"/>
        </w:rPr>
        <w:t>+ 4.679×</w:t>
      </w:r>
      <w:r w:rsidRPr="00BB5892">
        <w:rPr>
          <w:rFonts w:ascii="Times New Roman" w:eastAsia="Times New Roman" w:hAnsi="Times New Roman" w:cs="Times New Roman"/>
          <w:i/>
          <w:sz w:val="24"/>
          <w:szCs w:val="24"/>
        </w:rPr>
        <w:t>TATA</w:t>
      </w:r>
      <w:r w:rsidRPr="007E3742">
        <w:rPr>
          <w:rFonts w:ascii="Times New Roman" w:eastAsia="Times New Roman" w:hAnsi="Times New Roman" w:cs="Times New Roman"/>
          <w:sz w:val="24"/>
          <w:szCs w:val="24"/>
        </w:rPr>
        <w:t xml:space="preserve"> – 0.327×</w:t>
      </w:r>
      <w:r w:rsidRPr="00BB5892">
        <w:rPr>
          <w:rFonts w:ascii="Times New Roman" w:eastAsia="Times New Roman" w:hAnsi="Times New Roman" w:cs="Times New Roman"/>
          <w:i/>
          <w:sz w:val="24"/>
          <w:szCs w:val="24"/>
        </w:rPr>
        <w:t>LVGI</w:t>
      </w:r>
      <w:r w:rsidRPr="007E3742">
        <w:rPr>
          <w:rFonts w:ascii="Times New Roman" w:eastAsia="Times New Roman" w:hAnsi="Times New Roman" w:cs="Times New Roman"/>
          <w:sz w:val="24"/>
          <w:szCs w:val="24"/>
        </w:rPr>
        <w:t>.</w:t>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7E3742">
        <w:rPr>
          <w:rFonts w:ascii="Times New Roman" w:eastAsia="Times New Roman" w:hAnsi="Times New Roman" w:cs="Times New Roman"/>
          <w:sz w:val="24"/>
          <w:szCs w:val="24"/>
        </w:rPr>
        <w:tab/>
      </w:r>
      <w:r w:rsidR="003F372F" w:rsidRPr="007E3742">
        <w:rPr>
          <w:rFonts w:ascii="Times New Roman" w:eastAsia="Times New Roman" w:hAnsi="Times New Roman" w:cs="Times New Roman"/>
          <w:sz w:val="24"/>
          <w:szCs w:val="24"/>
        </w:rPr>
        <w:t xml:space="preserve"> </w:t>
      </w:r>
    </w:p>
    <w:p w14:paraId="739AE0B5" w14:textId="77777777" w:rsidR="007E3742" w:rsidRDefault="003F372F" w:rsidP="00016E64">
      <w:pPr>
        <w:spacing w:line="240" w:lineRule="auto"/>
        <w:jc w:val="both"/>
        <w:rPr>
          <w:rFonts w:ascii="Times New Roman" w:eastAsia="Times New Roman" w:hAnsi="Times New Roman" w:cs="Times New Roman"/>
          <w:sz w:val="24"/>
          <w:szCs w:val="24"/>
        </w:rPr>
      </w:pPr>
      <w:r w:rsidRPr="003C0FB1">
        <w:rPr>
          <w:rFonts w:ascii="Times New Roman" w:eastAsia="Times New Roman" w:hAnsi="Times New Roman" w:cs="Times New Roman"/>
          <w:b/>
          <w:sz w:val="24"/>
          <w:szCs w:val="24"/>
        </w:rPr>
        <w:t>=</w:t>
      </w:r>
      <w:r w:rsidR="007E3742">
        <w:rPr>
          <w:rFonts w:ascii="Times New Roman" w:eastAsia="Times New Roman" w:hAnsi="Times New Roman" w:cs="Times New Roman"/>
          <w:b/>
          <w:sz w:val="24"/>
          <w:szCs w:val="24"/>
        </w:rPr>
        <w:t xml:space="preserve"> - </w:t>
      </w:r>
      <w:r w:rsidRPr="003C0FB1">
        <w:rPr>
          <w:rFonts w:ascii="Times New Roman" w:eastAsia="Times New Roman" w:hAnsi="Times New Roman" w:cs="Times New Roman"/>
          <w:sz w:val="24"/>
          <w:szCs w:val="24"/>
        </w:rPr>
        <w:t xml:space="preserve">4.84 + 0.92 ×1.61 + 0.528 × 1.67 + 0.404 ×0.37 + 0.892 ×0.99 + 0.115×1.02 – 0.172 ×1.29 +4.679 ×-0.09 – 0.327 × 1.02 </w:t>
      </w:r>
    </w:p>
    <w:p w14:paraId="460EE6E1" w14:textId="77777777" w:rsidR="008A14BA" w:rsidRDefault="003F372F" w:rsidP="00016E64">
      <w:pPr>
        <w:spacing w:line="240" w:lineRule="auto"/>
        <w:jc w:val="both"/>
        <w:rPr>
          <w:rFonts w:ascii="Times New Roman" w:eastAsia="Times New Roman" w:hAnsi="Times New Roman" w:cs="Times New Roman"/>
          <w:sz w:val="24"/>
          <w:szCs w:val="24"/>
        </w:rPr>
      </w:pPr>
      <w:r w:rsidRPr="003C0FB1">
        <w:rPr>
          <w:rFonts w:ascii="Times New Roman" w:eastAsia="Times New Roman" w:hAnsi="Times New Roman" w:cs="Times New Roman"/>
          <w:sz w:val="24"/>
          <w:szCs w:val="24"/>
        </w:rPr>
        <w:lastRenderedPageBreak/>
        <w:t xml:space="preserve">= - 4.84 +1.4812+0.88176+0.14948+0.88308+0.1173-0.22188-0.42111-0.33354 </w:t>
      </w:r>
    </w:p>
    <w:p w14:paraId="45D45DB3" w14:textId="44BC26C5" w:rsidR="000346C0" w:rsidRPr="008A14BA" w:rsidRDefault="003F372F" w:rsidP="00016E64">
      <w:pPr>
        <w:spacing w:line="240" w:lineRule="auto"/>
        <w:jc w:val="both"/>
        <w:rPr>
          <w:rFonts w:ascii="Times New Roman" w:eastAsia="Times New Roman" w:hAnsi="Times New Roman" w:cs="Times New Roman"/>
          <w:sz w:val="24"/>
          <w:szCs w:val="24"/>
        </w:rPr>
      </w:pPr>
      <w:r w:rsidRPr="003C0FB1">
        <w:rPr>
          <w:rFonts w:ascii="Times New Roman" w:eastAsia="Times New Roman" w:hAnsi="Times New Roman" w:cs="Times New Roman"/>
          <w:sz w:val="24"/>
          <w:szCs w:val="24"/>
        </w:rPr>
        <w:t xml:space="preserve">= </w:t>
      </w:r>
      <w:r w:rsidRPr="003C0FB1">
        <w:rPr>
          <w:rFonts w:ascii="Times New Roman" w:eastAsia="Times New Roman" w:hAnsi="Times New Roman" w:cs="Times New Roman"/>
          <w:b/>
          <w:sz w:val="24"/>
          <w:szCs w:val="24"/>
          <w:u w:val="single"/>
        </w:rPr>
        <w:t>-2.30371</w:t>
      </w:r>
      <w:r w:rsidRPr="003C0FB1">
        <w:rPr>
          <w:rFonts w:ascii="Times New Roman" w:eastAsia="Times New Roman" w:hAnsi="Times New Roman" w:cs="Times New Roman"/>
          <w:b/>
          <w:sz w:val="24"/>
          <w:szCs w:val="24"/>
        </w:rPr>
        <w:t xml:space="preserve"> </w:t>
      </w:r>
      <w:r w:rsidR="007E3742" w:rsidRPr="007E3742">
        <w:rPr>
          <w:rFonts w:ascii="Times New Roman" w:eastAsia="Times New Roman" w:hAnsi="Times New Roman" w:cs="Times New Roman"/>
          <w:sz w:val="24"/>
          <w:szCs w:val="24"/>
        </w:rPr>
        <w:t>which m</w:t>
      </w:r>
      <w:r w:rsidRPr="007E3742">
        <w:rPr>
          <w:rFonts w:ascii="Times New Roman" w:eastAsia="Times New Roman" w:hAnsi="Times New Roman" w:cs="Times New Roman"/>
          <w:sz w:val="24"/>
          <w:szCs w:val="24"/>
        </w:rPr>
        <w:t xml:space="preserve">eans </w:t>
      </w:r>
      <w:r w:rsidR="000346C0">
        <w:rPr>
          <w:rFonts w:ascii="Times New Roman" w:eastAsia="Times New Roman" w:hAnsi="Times New Roman" w:cs="Times New Roman"/>
          <w:sz w:val="24"/>
          <w:szCs w:val="24"/>
        </w:rPr>
        <w:t xml:space="preserve">the company </w:t>
      </w:r>
      <w:r w:rsidRPr="007E3742">
        <w:rPr>
          <w:rFonts w:ascii="Times New Roman" w:eastAsia="Times New Roman" w:hAnsi="Times New Roman" w:cs="Times New Roman"/>
          <w:sz w:val="24"/>
          <w:szCs w:val="24"/>
        </w:rPr>
        <w:t>altered its revenue</w:t>
      </w:r>
      <w:r w:rsidR="007E3742">
        <w:rPr>
          <w:rFonts w:ascii="Times New Roman" w:eastAsia="Times New Roman" w:hAnsi="Times New Roman" w:cs="Times New Roman"/>
          <w:sz w:val="24"/>
          <w:szCs w:val="24"/>
        </w:rPr>
        <w:t>.</w:t>
      </w:r>
    </w:p>
    <w:p w14:paraId="7643551D" w14:textId="6EBD1ED2" w:rsidR="003F372F" w:rsidRDefault="00DF60B6" w:rsidP="00016E64">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BB5892">
        <w:rPr>
          <w:rFonts w:ascii="Times New Roman" w:hAnsi="Times New Roman" w:cs="Times New Roman"/>
          <w:b/>
          <w:sz w:val="24"/>
          <w:szCs w:val="24"/>
        </w:rPr>
        <w:t>.</w:t>
      </w:r>
      <w:r w:rsidR="001F06DF">
        <w:rPr>
          <w:rFonts w:ascii="Times New Roman" w:hAnsi="Times New Roman" w:cs="Times New Roman"/>
          <w:b/>
          <w:sz w:val="24"/>
          <w:szCs w:val="24"/>
        </w:rPr>
        <w:tab/>
      </w:r>
      <w:r w:rsidR="003F372F" w:rsidRPr="003C0FB1">
        <w:rPr>
          <w:rFonts w:ascii="Times New Roman" w:hAnsi="Times New Roman" w:cs="Times New Roman"/>
          <w:b/>
          <w:sz w:val="24"/>
          <w:szCs w:val="24"/>
        </w:rPr>
        <w:t>Analytical tools</w:t>
      </w:r>
    </w:p>
    <w:p w14:paraId="5A708A22" w14:textId="0B3A0FC7" w:rsidR="00B531B8" w:rsidRPr="008A14BA" w:rsidRDefault="008A14BA" w:rsidP="00016E64">
      <w:pPr>
        <w:spacing w:line="480" w:lineRule="auto"/>
        <w:jc w:val="both"/>
        <w:rPr>
          <w:rFonts w:ascii="Times New Roman" w:hAnsi="Times New Roman" w:cs="Times New Roman"/>
          <w:i/>
          <w:sz w:val="24"/>
          <w:szCs w:val="24"/>
        </w:rPr>
      </w:pPr>
      <w:r w:rsidRPr="008A14BA">
        <w:rPr>
          <w:rFonts w:ascii="Times New Roman" w:hAnsi="Times New Roman" w:cs="Times New Roman"/>
          <w:i/>
          <w:sz w:val="24"/>
          <w:szCs w:val="24"/>
        </w:rPr>
        <w:t xml:space="preserve">3.1 </w:t>
      </w:r>
      <w:r w:rsidR="00B531B8" w:rsidRPr="008A14BA">
        <w:rPr>
          <w:rFonts w:ascii="Times New Roman" w:hAnsi="Times New Roman" w:cs="Times New Roman"/>
          <w:i/>
          <w:sz w:val="24"/>
          <w:szCs w:val="24"/>
        </w:rPr>
        <w:t>Day's sales Receivables Index</w:t>
      </w:r>
    </w:p>
    <w:p w14:paraId="10252583" w14:textId="2C9B719E"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This analysis focus on the Day's sales Receivables Index, which results in a ratio of 1:1, thus exhibiting a steady relationship. If the account receivables increase in the percentage of sales, the situation would need in-depth analysis. The Gross Margin Index is also called into use where a ratio less than 1:1 would indicate that the company's operational efficiency was declining and may end up in fraudulent activities. The Asset Quality Ratio is also used primarily in monitoring the costs</w:t>
      </w:r>
      <w:r w:rsidR="00CA6162">
        <w:rPr>
          <w:rFonts w:ascii="Times New Roman" w:hAnsi="Times New Roman" w:cs="Times New Roman"/>
          <w:sz w:val="24"/>
          <w:szCs w:val="24"/>
        </w:rPr>
        <w:t xml:space="preserve"> </w:t>
      </w:r>
      <w:r w:rsidR="00CA6162" w:rsidRPr="003C0FB1">
        <w:rPr>
          <w:rFonts w:ascii="Times New Roman" w:hAnsi="Times New Roman" w:cs="Times New Roman"/>
          <w:sz w:val="24"/>
          <w:szCs w:val="24"/>
        </w:rPr>
        <w:t>(Boddy, 2019)</w:t>
      </w:r>
      <w:r w:rsidRPr="003C0FB1">
        <w:rPr>
          <w:rFonts w:ascii="Times New Roman" w:hAnsi="Times New Roman" w:cs="Times New Roman"/>
          <w:sz w:val="24"/>
          <w:szCs w:val="24"/>
        </w:rPr>
        <w:t>. In the events, the ratio</w:t>
      </w:r>
      <w:r w:rsidR="00C34C20">
        <w:rPr>
          <w:rFonts w:ascii="Times New Roman" w:hAnsi="Times New Roman" w:cs="Times New Roman"/>
          <w:sz w:val="24"/>
          <w:szCs w:val="24"/>
        </w:rPr>
        <w:t xml:space="preserve"> is more significant than 1:1, i</w:t>
      </w:r>
      <w:r w:rsidRPr="003C0FB1">
        <w:rPr>
          <w:rFonts w:ascii="Times New Roman" w:hAnsi="Times New Roman" w:cs="Times New Roman"/>
          <w:sz w:val="24"/>
          <w:szCs w:val="24"/>
        </w:rPr>
        <w:t xml:space="preserve">t would imply </w:t>
      </w:r>
      <w:r w:rsidR="00C34C20">
        <w:rPr>
          <w:rFonts w:ascii="Times New Roman" w:hAnsi="Times New Roman" w:cs="Times New Roman"/>
          <w:sz w:val="24"/>
          <w:szCs w:val="24"/>
        </w:rPr>
        <w:t xml:space="preserve">that </w:t>
      </w:r>
      <w:r w:rsidRPr="003C0FB1">
        <w:rPr>
          <w:rFonts w:ascii="Times New Roman" w:hAnsi="Times New Roman" w:cs="Times New Roman"/>
          <w:sz w:val="24"/>
          <w:szCs w:val="24"/>
        </w:rPr>
        <w:t>the price is deferred or capitalized, thus calling for a critical examination of the situation. The Sales Growth Index gives an in-depth overview of the ratio between the current sales and the previous year's sales. Finally, the Total Accruals to Total Assets Ratio, a significant outcome, would suggest that a larger portion of the entity's working capital consisted of cash item, thus calling for an examination of the situation</w:t>
      </w:r>
      <w:r w:rsidRPr="003C0FB1">
        <w:rPr>
          <w:rFonts w:ascii="Times New Roman" w:hAnsi="Times New Roman" w:cs="Times New Roman"/>
          <w:color w:val="333333"/>
          <w:sz w:val="24"/>
          <w:szCs w:val="24"/>
          <w:shd w:val="clear" w:color="auto" w:fill="FFFFFF"/>
        </w:rPr>
        <w:t xml:space="preserve"> (Rosoff, 2007)</w:t>
      </w:r>
      <w:r w:rsidRPr="003C0FB1">
        <w:rPr>
          <w:rFonts w:ascii="Times New Roman" w:hAnsi="Times New Roman" w:cs="Times New Roman"/>
          <w:sz w:val="24"/>
          <w:szCs w:val="24"/>
        </w:rPr>
        <w:t>.</w:t>
      </w:r>
    </w:p>
    <w:p w14:paraId="7C1CBC52" w14:textId="62629390" w:rsidR="003F372F" w:rsidRPr="003C0FB1" w:rsidRDefault="007E3742" w:rsidP="00016E6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F372F" w:rsidRPr="003C0FB1">
        <w:rPr>
          <w:rFonts w:ascii="Times New Roman" w:hAnsi="Times New Roman" w:cs="Times New Roman"/>
          <w:sz w:val="24"/>
          <w:szCs w:val="24"/>
        </w:rPr>
        <w:t>Based on the ratios analysis, the Days Receivable Index ratio dropped since the year 20</w:t>
      </w:r>
      <w:r w:rsidR="00C34C20">
        <w:rPr>
          <w:rFonts w:ascii="Times New Roman" w:hAnsi="Times New Roman" w:cs="Times New Roman"/>
          <w:sz w:val="24"/>
          <w:szCs w:val="24"/>
        </w:rPr>
        <w:t>0</w:t>
      </w:r>
      <w:r w:rsidR="003F372F" w:rsidRPr="003C0FB1">
        <w:rPr>
          <w:rFonts w:ascii="Times New Roman" w:hAnsi="Times New Roman" w:cs="Times New Roman"/>
          <w:sz w:val="24"/>
          <w:szCs w:val="24"/>
        </w:rPr>
        <w:t>0, requiring examination. The Growth Margin Index ratio declined with a considerable margin in 2000, indicating a need for investigation. The Sales Growth Index ratio recorded an increase from 1999, thus also calling for examination. The total accruals to total assets ratio exhibited a negative result from 1997 to 2001, thus calling for an investigation of the company financial statements</w:t>
      </w:r>
      <w:r w:rsidR="003F372F" w:rsidRPr="003C0FB1">
        <w:rPr>
          <w:rFonts w:ascii="Times New Roman" w:hAnsi="Times New Roman" w:cs="Times New Roman"/>
          <w:color w:val="333333"/>
          <w:sz w:val="24"/>
          <w:szCs w:val="24"/>
          <w:shd w:val="clear" w:color="auto" w:fill="FFFFFF"/>
        </w:rPr>
        <w:t xml:space="preserve"> (Akra &amp; Chaya, 2020)</w:t>
      </w:r>
      <w:r w:rsidR="003F372F" w:rsidRPr="003C0FB1">
        <w:rPr>
          <w:rFonts w:ascii="Times New Roman" w:hAnsi="Times New Roman" w:cs="Times New Roman"/>
          <w:sz w:val="24"/>
          <w:szCs w:val="24"/>
        </w:rPr>
        <w:t>.</w:t>
      </w:r>
    </w:p>
    <w:p w14:paraId="75719CA8" w14:textId="2A98917F" w:rsidR="003F372F" w:rsidRPr="008A14BA" w:rsidRDefault="008A14BA" w:rsidP="00016E64">
      <w:pPr>
        <w:spacing w:line="480" w:lineRule="auto"/>
        <w:jc w:val="both"/>
        <w:rPr>
          <w:rFonts w:ascii="Times New Roman" w:hAnsi="Times New Roman" w:cs="Times New Roman"/>
          <w:i/>
          <w:sz w:val="24"/>
          <w:szCs w:val="24"/>
        </w:rPr>
      </w:pPr>
      <w:r w:rsidRPr="008A14BA">
        <w:rPr>
          <w:rFonts w:ascii="Times New Roman" w:hAnsi="Times New Roman" w:cs="Times New Roman"/>
          <w:i/>
          <w:sz w:val="24"/>
          <w:szCs w:val="24"/>
        </w:rPr>
        <w:t>3.2</w:t>
      </w:r>
      <w:r w:rsidR="001F06DF" w:rsidRPr="008A14BA">
        <w:rPr>
          <w:rFonts w:ascii="Times New Roman" w:hAnsi="Times New Roman" w:cs="Times New Roman"/>
          <w:i/>
          <w:sz w:val="24"/>
          <w:szCs w:val="24"/>
        </w:rPr>
        <w:tab/>
      </w:r>
      <w:r w:rsidR="003F372F" w:rsidRPr="008A14BA">
        <w:rPr>
          <w:rFonts w:ascii="Times New Roman" w:hAnsi="Times New Roman" w:cs="Times New Roman"/>
          <w:i/>
          <w:sz w:val="24"/>
          <w:szCs w:val="24"/>
        </w:rPr>
        <w:t>The Altman's Discriminant Function Algorithm</w:t>
      </w:r>
    </w:p>
    <w:p w14:paraId="2293D770" w14:textId="395F8A13" w:rsidR="003F372F" w:rsidRPr="003C0FB1" w:rsidRDefault="001F06DF" w:rsidP="00016E6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F372F" w:rsidRPr="003C0FB1">
        <w:rPr>
          <w:rFonts w:ascii="Times New Roman" w:hAnsi="Times New Roman" w:cs="Times New Roman"/>
          <w:sz w:val="24"/>
          <w:szCs w:val="24"/>
        </w:rPr>
        <w:t xml:space="preserve">This analysis utilizes the z-score to detect bankruptcy. A score that is lower than 1.8 would imply that default is likely to occur. The following formulae are used in the determination of the </w:t>
      </w:r>
      <w:r w:rsidR="009303C8" w:rsidRPr="003C0FB1">
        <w:rPr>
          <w:rFonts w:ascii="Times New Roman" w:hAnsi="Times New Roman" w:cs="Times New Roman"/>
          <w:sz w:val="24"/>
          <w:szCs w:val="24"/>
        </w:rPr>
        <w:t>Z</w:t>
      </w:r>
      <w:r w:rsidR="003F372F" w:rsidRPr="003C0FB1">
        <w:rPr>
          <w:rFonts w:ascii="Times New Roman" w:hAnsi="Times New Roman" w:cs="Times New Roman"/>
          <w:sz w:val="24"/>
          <w:szCs w:val="24"/>
        </w:rPr>
        <w:t xml:space="preserve"> score</w:t>
      </w:r>
      <w:r w:rsidR="003A3B46">
        <w:rPr>
          <w:rFonts w:ascii="Times New Roman" w:hAnsi="Times New Roman" w:cs="Times New Roman"/>
          <w:sz w:val="24"/>
          <w:szCs w:val="24"/>
        </w:rPr>
        <w:t>.</w:t>
      </w:r>
      <w:r w:rsidR="003F372F" w:rsidRPr="003C0FB1">
        <w:rPr>
          <w:rFonts w:ascii="Times New Roman" w:hAnsi="Times New Roman" w:cs="Times New Roman"/>
          <w:sz w:val="24"/>
          <w:szCs w:val="24"/>
        </w:rPr>
        <w:t xml:space="preserve"> </w:t>
      </w:r>
    </w:p>
    <w:p w14:paraId="1CBCA7A6" w14:textId="77777777" w:rsidR="003F372F" w:rsidRPr="003C0FB1" w:rsidRDefault="003F372F" w:rsidP="00016E64">
      <w:pPr>
        <w:spacing w:line="480" w:lineRule="auto"/>
        <w:jc w:val="both"/>
        <w:rPr>
          <w:rFonts w:ascii="Times New Roman" w:hAnsi="Times New Roman" w:cs="Times New Roman"/>
          <w:sz w:val="24"/>
          <w:szCs w:val="24"/>
        </w:rPr>
      </w:pPr>
      <w:r w:rsidRPr="003C0FB1">
        <w:rPr>
          <w:rFonts w:ascii="Times New Roman" w:hAnsi="Times New Roman" w:cs="Times New Roman"/>
          <w:sz w:val="24"/>
          <w:szCs w:val="24"/>
        </w:rPr>
        <w:t>Assets Z = Overall Index of Corporate Health given by</w:t>
      </w:r>
    </w:p>
    <w:p w14:paraId="0C785B7B" w14:textId="58A2B40F" w:rsidR="003F372F" w:rsidRPr="00BB5892" w:rsidRDefault="003F372F" w:rsidP="00016E64">
      <w:pPr>
        <w:spacing w:line="480" w:lineRule="auto"/>
        <w:jc w:val="both"/>
        <w:rPr>
          <w:rFonts w:ascii="Times New Roman" w:hAnsi="Times New Roman" w:cs="Times New Roman"/>
          <w:sz w:val="24"/>
          <w:szCs w:val="24"/>
        </w:rPr>
      </w:pPr>
      <w:r w:rsidRPr="00BB5892">
        <w:rPr>
          <w:rFonts w:ascii="Times New Roman" w:hAnsi="Times New Roman" w:cs="Times New Roman"/>
          <w:i/>
          <w:sz w:val="24"/>
          <w:szCs w:val="24"/>
        </w:rPr>
        <w:t xml:space="preserve"> Z</w:t>
      </w:r>
      <w:r w:rsidRPr="00BB5892">
        <w:rPr>
          <w:rFonts w:ascii="Times New Roman" w:hAnsi="Times New Roman" w:cs="Times New Roman"/>
          <w:sz w:val="24"/>
          <w:szCs w:val="24"/>
        </w:rPr>
        <w:t xml:space="preserve"> = (1.2</w:t>
      </w:r>
      <w:r w:rsidR="00C34C20" w:rsidRPr="00BB5892">
        <w:rPr>
          <w:rFonts w:ascii="Times New Roman" w:hAnsi="Times New Roman" w:cs="Times New Roman"/>
          <w:sz w:val="24"/>
          <w:szCs w:val="24"/>
        </w:rPr>
        <w:t>×</w:t>
      </w:r>
      <w:r w:rsidR="00C34C20" w:rsidRPr="00BB5892">
        <w:rPr>
          <w:rFonts w:ascii="Times New Roman" w:hAnsi="Times New Roman" w:cs="Times New Roman"/>
          <w:i/>
          <w:sz w:val="24"/>
          <w:szCs w:val="24"/>
        </w:rPr>
        <w:t>X</w:t>
      </w:r>
      <w:r w:rsidR="00C34C20" w:rsidRPr="00BB5892">
        <w:rPr>
          <w:rFonts w:ascii="Times New Roman" w:hAnsi="Times New Roman" w:cs="Times New Roman"/>
          <w:i/>
          <w:sz w:val="24"/>
          <w:szCs w:val="24"/>
          <w:vertAlign w:val="subscript"/>
        </w:rPr>
        <w:t>1</w:t>
      </w:r>
      <w:r w:rsidR="00C34C20" w:rsidRPr="00BB5892">
        <w:rPr>
          <w:rFonts w:ascii="Times New Roman" w:hAnsi="Times New Roman" w:cs="Times New Roman"/>
          <w:sz w:val="24"/>
          <w:szCs w:val="24"/>
        </w:rPr>
        <w:t>) + (1.4×</w:t>
      </w:r>
      <w:r w:rsidR="00C34C20" w:rsidRPr="00BB5892">
        <w:rPr>
          <w:rFonts w:ascii="Times New Roman" w:hAnsi="Times New Roman" w:cs="Times New Roman"/>
          <w:i/>
          <w:sz w:val="24"/>
          <w:szCs w:val="24"/>
        </w:rPr>
        <w:t>X</w:t>
      </w:r>
      <w:r w:rsidR="00C34C20" w:rsidRPr="00BB5892">
        <w:rPr>
          <w:rFonts w:ascii="Times New Roman" w:hAnsi="Times New Roman" w:cs="Times New Roman"/>
          <w:i/>
          <w:sz w:val="24"/>
          <w:szCs w:val="24"/>
          <w:vertAlign w:val="subscript"/>
        </w:rPr>
        <w:t>2</w:t>
      </w:r>
      <w:r w:rsidR="00C34C20" w:rsidRPr="00BB5892">
        <w:rPr>
          <w:rFonts w:ascii="Times New Roman" w:hAnsi="Times New Roman" w:cs="Times New Roman"/>
          <w:sz w:val="24"/>
          <w:szCs w:val="24"/>
        </w:rPr>
        <w:t>) + (3.3×</w:t>
      </w:r>
      <w:r w:rsidR="00C34C20" w:rsidRPr="00BB5892">
        <w:rPr>
          <w:rFonts w:ascii="Times New Roman" w:hAnsi="Times New Roman" w:cs="Times New Roman"/>
          <w:i/>
          <w:sz w:val="24"/>
          <w:szCs w:val="24"/>
        </w:rPr>
        <w:t>X</w:t>
      </w:r>
      <w:r w:rsidR="00C34C20" w:rsidRPr="00BB5892">
        <w:rPr>
          <w:rFonts w:ascii="Times New Roman" w:hAnsi="Times New Roman" w:cs="Times New Roman"/>
          <w:i/>
          <w:sz w:val="24"/>
          <w:szCs w:val="24"/>
          <w:vertAlign w:val="subscript"/>
        </w:rPr>
        <w:t>3</w:t>
      </w:r>
      <w:r w:rsidR="00C34C20" w:rsidRPr="00BB5892">
        <w:rPr>
          <w:rFonts w:ascii="Times New Roman" w:hAnsi="Times New Roman" w:cs="Times New Roman"/>
          <w:sz w:val="24"/>
          <w:szCs w:val="24"/>
        </w:rPr>
        <w:t>) + (0.6×</w:t>
      </w:r>
      <w:r w:rsidR="00C34C20" w:rsidRPr="00BB5892">
        <w:rPr>
          <w:rFonts w:ascii="Times New Roman" w:hAnsi="Times New Roman" w:cs="Times New Roman"/>
          <w:i/>
          <w:sz w:val="24"/>
          <w:szCs w:val="24"/>
        </w:rPr>
        <w:t>X</w:t>
      </w:r>
      <w:r w:rsidR="00C34C20" w:rsidRPr="00BB5892">
        <w:rPr>
          <w:rFonts w:ascii="Times New Roman" w:hAnsi="Times New Roman" w:cs="Times New Roman"/>
          <w:i/>
          <w:sz w:val="24"/>
          <w:szCs w:val="24"/>
          <w:vertAlign w:val="subscript"/>
        </w:rPr>
        <w:t>4</w:t>
      </w:r>
      <w:r w:rsidR="00C34C20" w:rsidRPr="00BB5892">
        <w:rPr>
          <w:rFonts w:ascii="Times New Roman" w:hAnsi="Times New Roman" w:cs="Times New Roman"/>
          <w:sz w:val="24"/>
          <w:szCs w:val="24"/>
        </w:rPr>
        <w:t>) + (1.0×</w:t>
      </w:r>
      <w:r w:rsidR="00C34C20" w:rsidRPr="00BB5892">
        <w:rPr>
          <w:rFonts w:ascii="Times New Roman" w:hAnsi="Times New Roman" w:cs="Times New Roman"/>
          <w:i/>
          <w:sz w:val="24"/>
          <w:szCs w:val="24"/>
        </w:rPr>
        <w:t>X</w:t>
      </w:r>
      <w:r w:rsidR="00C34C20" w:rsidRPr="00BB5892">
        <w:rPr>
          <w:rFonts w:ascii="Times New Roman" w:hAnsi="Times New Roman" w:cs="Times New Roman"/>
          <w:i/>
          <w:sz w:val="24"/>
          <w:szCs w:val="24"/>
          <w:vertAlign w:val="subscript"/>
        </w:rPr>
        <w:t>5</w:t>
      </w:r>
      <w:r w:rsidRPr="00BB5892">
        <w:rPr>
          <w:rFonts w:ascii="Times New Roman" w:hAnsi="Times New Roman" w:cs="Times New Roman"/>
          <w:sz w:val="24"/>
          <w:szCs w:val="24"/>
        </w:rPr>
        <w:t>)</w:t>
      </w:r>
    </w:p>
    <w:p w14:paraId="2140CBE7" w14:textId="77777777" w:rsidR="009303C8" w:rsidRDefault="003F372F" w:rsidP="00016E64">
      <w:pPr>
        <w:spacing w:line="480" w:lineRule="auto"/>
        <w:jc w:val="both"/>
        <w:rPr>
          <w:rFonts w:ascii="Times New Roman" w:hAnsi="Times New Roman" w:cs="Times New Roman"/>
          <w:sz w:val="24"/>
          <w:szCs w:val="24"/>
        </w:rPr>
      </w:pPr>
      <w:r w:rsidRPr="003C0FB1">
        <w:rPr>
          <w:rFonts w:ascii="Times New Roman" w:hAnsi="Times New Roman" w:cs="Times New Roman"/>
          <w:sz w:val="24"/>
          <w:szCs w:val="24"/>
        </w:rPr>
        <w:t xml:space="preserve">Where; </w:t>
      </w:r>
    </w:p>
    <w:p w14:paraId="005A3ECD" w14:textId="4DDB1DF5" w:rsidR="003F372F" w:rsidRDefault="003F372F" w:rsidP="00016E64">
      <w:pPr>
        <w:spacing w:line="480" w:lineRule="auto"/>
        <w:jc w:val="both"/>
        <w:rPr>
          <w:rFonts w:ascii="Times New Roman" w:hAnsi="Times New Roman" w:cs="Times New Roman"/>
          <w:sz w:val="24"/>
          <w:szCs w:val="24"/>
        </w:rPr>
      </w:pPr>
      <w:r w:rsidRPr="00C34C20">
        <w:rPr>
          <w:rFonts w:ascii="Times New Roman" w:hAnsi="Times New Roman" w:cs="Times New Roman"/>
          <w:i/>
          <w:sz w:val="24"/>
          <w:szCs w:val="24"/>
        </w:rPr>
        <w:t>X</w:t>
      </w:r>
      <w:r w:rsidRPr="00C34C20">
        <w:rPr>
          <w:rFonts w:ascii="Times New Roman" w:hAnsi="Times New Roman" w:cs="Times New Roman"/>
          <w:sz w:val="24"/>
          <w:szCs w:val="24"/>
          <w:vertAlign w:val="subscript"/>
        </w:rPr>
        <w:t>1</w:t>
      </w:r>
      <w:r w:rsidRPr="003C0FB1">
        <w:rPr>
          <w:rFonts w:ascii="Times New Roman" w:hAnsi="Times New Roman" w:cs="Times New Roman"/>
          <w:sz w:val="24"/>
          <w:szCs w:val="24"/>
        </w:rPr>
        <w:t xml:space="preserve"> = Working Capital/Total Assets, </w:t>
      </w:r>
      <w:r w:rsidRPr="00C34C20">
        <w:rPr>
          <w:rFonts w:ascii="Times New Roman" w:hAnsi="Times New Roman" w:cs="Times New Roman"/>
          <w:i/>
          <w:sz w:val="24"/>
          <w:szCs w:val="24"/>
        </w:rPr>
        <w:t>X</w:t>
      </w:r>
      <w:r w:rsidRPr="00C34C20">
        <w:rPr>
          <w:rFonts w:ascii="Times New Roman" w:hAnsi="Times New Roman" w:cs="Times New Roman"/>
          <w:sz w:val="24"/>
          <w:szCs w:val="24"/>
          <w:vertAlign w:val="subscript"/>
        </w:rPr>
        <w:t>2</w:t>
      </w:r>
      <w:r w:rsidRPr="003C0FB1">
        <w:rPr>
          <w:rFonts w:ascii="Times New Roman" w:hAnsi="Times New Roman" w:cs="Times New Roman"/>
          <w:sz w:val="24"/>
          <w:szCs w:val="24"/>
        </w:rPr>
        <w:t xml:space="preserve"> = Retained Earnings/Total Assets, </w:t>
      </w:r>
      <w:r w:rsidRPr="00C34C20">
        <w:rPr>
          <w:rFonts w:ascii="Times New Roman" w:hAnsi="Times New Roman" w:cs="Times New Roman"/>
          <w:i/>
          <w:sz w:val="24"/>
          <w:szCs w:val="24"/>
        </w:rPr>
        <w:t>X</w:t>
      </w:r>
      <w:r w:rsidRPr="00C34C20">
        <w:rPr>
          <w:rFonts w:ascii="Times New Roman" w:hAnsi="Times New Roman" w:cs="Times New Roman"/>
          <w:i/>
          <w:sz w:val="24"/>
          <w:szCs w:val="24"/>
          <w:vertAlign w:val="subscript"/>
        </w:rPr>
        <w:t>3</w:t>
      </w:r>
      <w:r w:rsidRPr="003C0FB1">
        <w:rPr>
          <w:rFonts w:ascii="Times New Roman" w:hAnsi="Times New Roman" w:cs="Times New Roman"/>
          <w:sz w:val="24"/>
          <w:szCs w:val="24"/>
        </w:rPr>
        <w:t xml:space="preserve"> = EBIT/Total Assets, </w:t>
      </w:r>
      <w:r w:rsidRPr="00C34C20">
        <w:rPr>
          <w:rFonts w:ascii="Times New Roman" w:hAnsi="Times New Roman" w:cs="Times New Roman"/>
          <w:i/>
          <w:sz w:val="24"/>
          <w:szCs w:val="24"/>
        </w:rPr>
        <w:t>X</w:t>
      </w:r>
      <w:r w:rsidRPr="00C34C20">
        <w:rPr>
          <w:rFonts w:ascii="Times New Roman" w:hAnsi="Times New Roman" w:cs="Times New Roman"/>
          <w:sz w:val="24"/>
          <w:szCs w:val="24"/>
          <w:vertAlign w:val="subscript"/>
        </w:rPr>
        <w:t>4</w:t>
      </w:r>
      <w:r w:rsidRPr="003C0FB1">
        <w:rPr>
          <w:rFonts w:ascii="Times New Roman" w:hAnsi="Times New Roman" w:cs="Times New Roman"/>
          <w:sz w:val="24"/>
          <w:szCs w:val="24"/>
        </w:rPr>
        <w:t xml:space="preserve"> = Market Value of Equity/Book Value of Total Debt, and </w:t>
      </w:r>
      <w:r w:rsidRPr="00C34C20">
        <w:rPr>
          <w:rFonts w:ascii="Times New Roman" w:hAnsi="Times New Roman" w:cs="Times New Roman"/>
          <w:i/>
          <w:sz w:val="24"/>
          <w:szCs w:val="24"/>
        </w:rPr>
        <w:t>X</w:t>
      </w:r>
      <w:r w:rsidRPr="00C34C20">
        <w:rPr>
          <w:rFonts w:ascii="Times New Roman" w:hAnsi="Times New Roman" w:cs="Times New Roman"/>
          <w:sz w:val="24"/>
          <w:szCs w:val="24"/>
          <w:vertAlign w:val="subscript"/>
        </w:rPr>
        <w:t>5</w:t>
      </w:r>
      <w:r w:rsidRPr="003C0FB1">
        <w:rPr>
          <w:rFonts w:ascii="Times New Roman" w:hAnsi="Times New Roman" w:cs="Times New Roman"/>
          <w:sz w:val="24"/>
          <w:szCs w:val="24"/>
        </w:rPr>
        <w:t xml:space="preserve"> = Net Sales/Total</w:t>
      </w:r>
      <w:r w:rsidRPr="003C0FB1">
        <w:rPr>
          <w:rFonts w:ascii="Times New Roman" w:hAnsi="Times New Roman" w:cs="Times New Roman"/>
          <w:color w:val="333333"/>
          <w:sz w:val="24"/>
          <w:szCs w:val="24"/>
          <w:shd w:val="clear" w:color="auto" w:fill="FFFFFF"/>
        </w:rPr>
        <w:t xml:space="preserve"> ("Beneish M‐score model," 2013)</w:t>
      </w:r>
      <w:r w:rsidRPr="003C0FB1">
        <w:rPr>
          <w:rFonts w:ascii="Times New Roman" w:hAnsi="Times New Roman" w:cs="Times New Roman"/>
          <w:sz w:val="24"/>
          <w:szCs w:val="24"/>
        </w:rPr>
        <w:t>.</w:t>
      </w:r>
    </w:p>
    <w:p w14:paraId="6D10D75D" w14:textId="0E0CCB9E" w:rsidR="00134C51" w:rsidRDefault="00134C51" w:rsidP="00016E64">
      <w:pPr>
        <w:spacing w:line="240" w:lineRule="auto"/>
        <w:jc w:val="both"/>
        <w:rPr>
          <w:rFonts w:ascii="Times New Roman" w:hAnsi="Times New Roman" w:cs="Times New Roman"/>
          <w:b/>
          <w:sz w:val="24"/>
          <w:szCs w:val="24"/>
        </w:rPr>
      </w:pPr>
      <w:r w:rsidRPr="00134C51">
        <w:rPr>
          <w:rFonts w:ascii="Times New Roman" w:hAnsi="Times New Roman" w:cs="Times New Roman"/>
          <w:b/>
          <w:sz w:val="24"/>
          <w:szCs w:val="24"/>
        </w:rPr>
        <w:t>Table 2</w:t>
      </w:r>
    </w:p>
    <w:p w14:paraId="5DDE81BC" w14:textId="47BDB6A8" w:rsidR="00A605B4" w:rsidRPr="00A605B4" w:rsidRDefault="00A605B4" w:rsidP="00016E64">
      <w:pPr>
        <w:spacing w:line="240" w:lineRule="auto"/>
        <w:jc w:val="both"/>
        <w:rPr>
          <w:rFonts w:ascii="Times New Roman" w:hAnsi="Times New Roman" w:cs="Times New Roman"/>
          <w:sz w:val="24"/>
          <w:szCs w:val="24"/>
        </w:rPr>
      </w:pPr>
      <w:r w:rsidRPr="00A605B4">
        <w:rPr>
          <w:rFonts w:ascii="Times New Roman" w:hAnsi="Times New Roman" w:cs="Times New Roman"/>
          <w:sz w:val="24"/>
          <w:szCs w:val="24"/>
        </w:rPr>
        <w:t xml:space="preserve">Financial ratios </w:t>
      </w:r>
      <w:r>
        <w:rPr>
          <w:rFonts w:ascii="Times New Roman" w:hAnsi="Times New Roman" w:cs="Times New Roman"/>
          <w:sz w:val="24"/>
          <w:szCs w:val="24"/>
        </w:rPr>
        <w:t xml:space="preserve">results </w:t>
      </w:r>
      <w:r w:rsidRPr="00A605B4">
        <w:rPr>
          <w:rFonts w:ascii="Times New Roman" w:hAnsi="Times New Roman" w:cs="Times New Roman"/>
          <w:sz w:val="24"/>
          <w:szCs w:val="24"/>
        </w:rPr>
        <w:t xml:space="preserve">based on the Enron’s financial statements </w:t>
      </w:r>
      <w:r>
        <w:rPr>
          <w:rFonts w:ascii="Times New Roman" w:hAnsi="Times New Roman" w:cs="Times New Roman"/>
          <w:sz w:val="24"/>
          <w:szCs w:val="24"/>
        </w:rPr>
        <w:t xml:space="preserve">using </w:t>
      </w:r>
      <w:r w:rsidRPr="00A605B4">
        <w:rPr>
          <w:rFonts w:ascii="Times New Roman" w:hAnsi="Times New Roman" w:cs="Times New Roman"/>
          <w:sz w:val="24"/>
          <w:szCs w:val="24"/>
        </w:rPr>
        <w:t>US SEC Edgar filings</w:t>
      </w:r>
      <w:r>
        <w:rPr>
          <w:rFonts w:ascii="Times New Roman" w:hAnsi="Times New Roman" w:cs="Times New Roman"/>
          <w:sz w:val="24"/>
          <w:szCs w:val="24"/>
        </w:rPr>
        <w:t>, 1997 – 2001.</w:t>
      </w:r>
      <w:r w:rsidRPr="00A605B4">
        <w:rPr>
          <w:rFonts w:ascii="Times New Roman" w:hAnsi="Times New Roman" w:cs="Times New Roman"/>
          <w:sz w:val="24"/>
          <w:szCs w:val="24"/>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1160"/>
        <w:gridCol w:w="1180"/>
        <w:gridCol w:w="1160"/>
        <w:gridCol w:w="1160"/>
        <w:gridCol w:w="1160"/>
      </w:tblGrid>
      <w:tr w:rsidR="003F372F" w:rsidRPr="003C0FB1" w14:paraId="31C853B2" w14:textId="77777777" w:rsidTr="00134C51">
        <w:trPr>
          <w:trHeight w:val="213"/>
        </w:trPr>
        <w:tc>
          <w:tcPr>
            <w:tcW w:w="4680" w:type="dxa"/>
            <w:tcBorders>
              <w:top w:val="single" w:sz="4" w:space="0" w:color="auto"/>
              <w:bottom w:val="single" w:sz="4" w:space="0" w:color="auto"/>
            </w:tcBorders>
            <w:shd w:val="clear" w:color="auto" w:fill="auto"/>
            <w:vAlign w:val="bottom"/>
          </w:tcPr>
          <w:p w14:paraId="2127EC08" w14:textId="3D399986" w:rsidR="003F372F" w:rsidRPr="00134C51" w:rsidRDefault="00134C51" w:rsidP="00016E6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Pr="00134C51">
              <w:rPr>
                <w:rFonts w:ascii="Times New Roman" w:eastAsia="Times New Roman" w:hAnsi="Times New Roman" w:cs="Times New Roman"/>
                <w:b/>
                <w:sz w:val="24"/>
                <w:szCs w:val="24"/>
              </w:rPr>
              <w:t>ormula</w:t>
            </w:r>
          </w:p>
        </w:tc>
        <w:tc>
          <w:tcPr>
            <w:tcW w:w="1160" w:type="dxa"/>
            <w:tcBorders>
              <w:top w:val="single" w:sz="4" w:space="0" w:color="auto"/>
              <w:bottom w:val="single" w:sz="4" w:space="0" w:color="auto"/>
            </w:tcBorders>
            <w:shd w:val="clear" w:color="auto" w:fill="auto"/>
            <w:vAlign w:val="bottom"/>
          </w:tcPr>
          <w:p w14:paraId="1396B32C" w14:textId="77777777" w:rsidR="003F372F" w:rsidRPr="003C0FB1" w:rsidRDefault="003F372F" w:rsidP="00016E64">
            <w:pPr>
              <w:spacing w:line="0" w:lineRule="atLeast"/>
              <w:jc w:val="both"/>
              <w:rPr>
                <w:rFonts w:ascii="Times New Roman" w:eastAsia="Arial" w:hAnsi="Times New Roman" w:cs="Times New Roman"/>
                <w:b/>
                <w:w w:val="96"/>
                <w:sz w:val="24"/>
                <w:szCs w:val="24"/>
              </w:rPr>
            </w:pPr>
            <w:r w:rsidRPr="003C0FB1">
              <w:rPr>
                <w:rFonts w:ascii="Times New Roman" w:eastAsia="Arial" w:hAnsi="Times New Roman" w:cs="Times New Roman"/>
                <w:b/>
                <w:w w:val="96"/>
                <w:sz w:val="24"/>
                <w:szCs w:val="24"/>
              </w:rPr>
              <w:t>2001</w:t>
            </w:r>
          </w:p>
        </w:tc>
        <w:tc>
          <w:tcPr>
            <w:tcW w:w="1180" w:type="dxa"/>
            <w:tcBorders>
              <w:top w:val="single" w:sz="4" w:space="0" w:color="auto"/>
              <w:bottom w:val="single" w:sz="4" w:space="0" w:color="auto"/>
            </w:tcBorders>
            <w:shd w:val="clear" w:color="auto" w:fill="auto"/>
            <w:vAlign w:val="bottom"/>
          </w:tcPr>
          <w:p w14:paraId="17644CB2" w14:textId="77777777" w:rsidR="003F372F" w:rsidRPr="003C0FB1" w:rsidRDefault="003F372F" w:rsidP="00016E64">
            <w:pPr>
              <w:spacing w:line="0" w:lineRule="atLeast"/>
              <w:jc w:val="both"/>
              <w:rPr>
                <w:rFonts w:ascii="Times New Roman" w:eastAsia="Arial" w:hAnsi="Times New Roman" w:cs="Times New Roman"/>
                <w:b/>
                <w:w w:val="96"/>
                <w:sz w:val="24"/>
                <w:szCs w:val="24"/>
              </w:rPr>
            </w:pPr>
            <w:r w:rsidRPr="003C0FB1">
              <w:rPr>
                <w:rFonts w:ascii="Times New Roman" w:eastAsia="Arial" w:hAnsi="Times New Roman" w:cs="Times New Roman"/>
                <w:b/>
                <w:w w:val="96"/>
                <w:sz w:val="24"/>
                <w:szCs w:val="24"/>
              </w:rPr>
              <w:t>2000</w:t>
            </w:r>
          </w:p>
        </w:tc>
        <w:tc>
          <w:tcPr>
            <w:tcW w:w="1160" w:type="dxa"/>
            <w:tcBorders>
              <w:top w:val="single" w:sz="4" w:space="0" w:color="auto"/>
              <w:bottom w:val="single" w:sz="4" w:space="0" w:color="auto"/>
            </w:tcBorders>
            <w:shd w:val="clear" w:color="auto" w:fill="auto"/>
            <w:vAlign w:val="bottom"/>
          </w:tcPr>
          <w:p w14:paraId="7DDEF47E" w14:textId="77777777" w:rsidR="003F372F" w:rsidRPr="003C0FB1" w:rsidRDefault="003F372F" w:rsidP="00016E64">
            <w:pPr>
              <w:spacing w:line="0" w:lineRule="atLeast"/>
              <w:jc w:val="both"/>
              <w:rPr>
                <w:rFonts w:ascii="Times New Roman" w:eastAsia="Arial" w:hAnsi="Times New Roman" w:cs="Times New Roman"/>
                <w:b/>
                <w:w w:val="96"/>
                <w:sz w:val="24"/>
                <w:szCs w:val="24"/>
              </w:rPr>
            </w:pPr>
            <w:r w:rsidRPr="003C0FB1">
              <w:rPr>
                <w:rFonts w:ascii="Times New Roman" w:eastAsia="Arial" w:hAnsi="Times New Roman" w:cs="Times New Roman"/>
                <w:b/>
                <w:w w:val="96"/>
                <w:sz w:val="24"/>
                <w:szCs w:val="24"/>
              </w:rPr>
              <w:t>1999</w:t>
            </w:r>
          </w:p>
        </w:tc>
        <w:tc>
          <w:tcPr>
            <w:tcW w:w="1160" w:type="dxa"/>
            <w:tcBorders>
              <w:top w:val="single" w:sz="4" w:space="0" w:color="auto"/>
              <w:bottom w:val="single" w:sz="4" w:space="0" w:color="auto"/>
            </w:tcBorders>
            <w:shd w:val="clear" w:color="auto" w:fill="auto"/>
            <w:vAlign w:val="bottom"/>
          </w:tcPr>
          <w:p w14:paraId="6D568FF0" w14:textId="77777777" w:rsidR="003F372F" w:rsidRPr="003C0FB1" w:rsidRDefault="003F372F" w:rsidP="00016E64">
            <w:pPr>
              <w:spacing w:line="0" w:lineRule="atLeast"/>
              <w:jc w:val="both"/>
              <w:rPr>
                <w:rFonts w:ascii="Times New Roman" w:eastAsia="Arial" w:hAnsi="Times New Roman" w:cs="Times New Roman"/>
                <w:b/>
                <w:sz w:val="24"/>
                <w:szCs w:val="24"/>
              </w:rPr>
            </w:pPr>
            <w:r w:rsidRPr="003C0FB1">
              <w:rPr>
                <w:rFonts w:ascii="Times New Roman" w:eastAsia="Arial" w:hAnsi="Times New Roman" w:cs="Times New Roman"/>
                <w:b/>
                <w:sz w:val="24"/>
                <w:szCs w:val="24"/>
              </w:rPr>
              <w:t>1998</w:t>
            </w:r>
          </w:p>
        </w:tc>
        <w:tc>
          <w:tcPr>
            <w:tcW w:w="1160" w:type="dxa"/>
            <w:tcBorders>
              <w:top w:val="single" w:sz="4" w:space="0" w:color="auto"/>
              <w:bottom w:val="single" w:sz="4" w:space="0" w:color="auto"/>
            </w:tcBorders>
            <w:shd w:val="clear" w:color="auto" w:fill="auto"/>
            <w:vAlign w:val="bottom"/>
          </w:tcPr>
          <w:p w14:paraId="2CDCE84B" w14:textId="77777777" w:rsidR="003F372F" w:rsidRPr="003C0FB1" w:rsidRDefault="003F372F" w:rsidP="00016E64">
            <w:pPr>
              <w:spacing w:line="0" w:lineRule="atLeast"/>
              <w:jc w:val="both"/>
              <w:rPr>
                <w:rFonts w:ascii="Times New Roman" w:eastAsia="Arial" w:hAnsi="Times New Roman" w:cs="Times New Roman"/>
                <w:b/>
                <w:sz w:val="24"/>
                <w:szCs w:val="24"/>
              </w:rPr>
            </w:pPr>
            <w:r w:rsidRPr="003C0FB1">
              <w:rPr>
                <w:rFonts w:ascii="Times New Roman" w:eastAsia="Arial" w:hAnsi="Times New Roman" w:cs="Times New Roman"/>
                <w:b/>
                <w:sz w:val="24"/>
                <w:szCs w:val="24"/>
              </w:rPr>
              <w:t>1997</w:t>
            </w:r>
          </w:p>
        </w:tc>
      </w:tr>
      <w:tr w:rsidR="003F372F" w:rsidRPr="003C0FB1" w14:paraId="4B0CCF23" w14:textId="77777777" w:rsidTr="00134C51">
        <w:trPr>
          <w:trHeight w:val="191"/>
        </w:trPr>
        <w:tc>
          <w:tcPr>
            <w:tcW w:w="4680" w:type="dxa"/>
            <w:tcBorders>
              <w:top w:val="single" w:sz="4" w:space="0" w:color="auto"/>
            </w:tcBorders>
            <w:shd w:val="clear" w:color="auto" w:fill="auto"/>
            <w:vAlign w:val="bottom"/>
          </w:tcPr>
          <w:p w14:paraId="6D3FB452" w14:textId="77777777" w:rsidR="003F372F" w:rsidRPr="003C0FB1" w:rsidRDefault="003F372F" w:rsidP="00016E64">
            <w:pPr>
              <w:spacing w:line="0" w:lineRule="atLeast"/>
              <w:ind w:left="20"/>
              <w:jc w:val="both"/>
              <w:rPr>
                <w:rFonts w:ascii="Times New Roman" w:eastAsia="Arial" w:hAnsi="Times New Roman" w:cs="Times New Roman"/>
                <w:sz w:val="24"/>
                <w:szCs w:val="24"/>
              </w:rPr>
            </w:pPr>
            <w:r w:rsidRPr="00C34C20">
              <w:rPr>
                <w:rFonts w:ascii="Times New Roman" w:eastAsia="Arial" w:hAnsi="Times New Roman" w:cs="Times New Roman"/>
                <w:i/>
                <w:sz w:val="24"/>
                <w:szCs w:val="24"/>
              </w:rPr>
              <w:t>X</w:t>
            </w:r>
            <w:r w:rsidRPr="00C34C20">
              <w:rPr>
                <w:rFonts w:ascii="Times New Roman" w:eastAsia="Arial" w:hAnsi="Times New Roman" w:cs="Times New Roman"/>
                <w:i/>
                <w:sz w:val="24"/>
                <w:szCs w:val="24"/>
                <w:vertAlign w:val="subscript"/>
              </w:rPr>
              <w:t>1</w:t>
            </w:r>
            <w:r w:rsidRPr="003C0FB1">
              <w:rPr>
                <w:rFonts w:ascii="Times New Roman" w:eastAsia="Arial" w:hAnsi="Times New Roman" w:cs="Times New Roman"/>
                <w:sz w:val="24"/>
                <w:szCs w:val="24"/>
              </w:rPr>
              <w:t>=Working Capital/Total Assets</w:t>
            </w:r>
          </w:p>
        </w:tc>
        <w:tc>
          <w:tcPr>
            <w:tcW w:w="1160" w:type="dxa"/>
            <w:tcBorders>
              <w:top w:val="single" w:sz="4" w:space="0" w:color="auto"/>
            </w:tcBorders>
            <w:shd w:val="clear" w:color="auto" w:fill="auto"/>
            <w:vAlign w:val="bottom"/>
          </w:tcPr>
          <w:p w14:paraId="3FF593C4" w14:textId="77777777" w:rsidR="003F372F" w:rsidRPr="003C0FB1" w:rsidRDefault="003F372F" w:rsidP="00016E64">
            <w:pPr>
              <w:spacing w:line="0" w:lineRule="atLeast"/>
              <w:jc w:val="both"/>
              <w:rPr>
                <w:rFonts w:ascii="Times New Roman" w:eastAsia="Arial" w:hAnsi="Times New Roman" w:cs="Times New Roman"/>
                <w:w w:val="96"/>
                <w:sz w:val="24"/>
                <w:szCs w:val="24"/>
              </w:rPr>
            </w:pPr>
            <w:r w:rsidRPr="003C0FB1">
              <w:rPr>
                <w:rFonts w:ascii="Times New Roman" w:eastAsia="Arial" w:hAnsi="Times New Roman" w:cs="Times New Roman"/>
                <w:w w:val="96"/>
                <w:sz w:val="24"/>
                <w:szCs w:val="24"/>
              </w:rPr>
              <w:t>-0.0088</w:t>
            </w:r>
          </w:p>
        </w:tc>
        <w:tc>
          <w:tcPr>
            <w:tcW w:w="1180" w:type="dxa"/>
            <w:tcBorders>
              <w:top w:val="single" w:sz="4" w:space="0" w:color="auto"/>
            </w:tcBorders>
            <w:shd w:val="clear" w:color="auto" w:fill="auto"/>
            <w:vAlign w:val="bottom"/>
          </w:tcPr>
          <w:p w14:paraId="4B32A849"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0.0067</w:t>
            </w:r>
          </w:p>
        </w:tc>
        <w:tc>
          <w:tcPr>
            <w:tcW w:w="1160" w:type="dxa"/>
            <w:tcBorders>
              <w:top w:val="single" w:sz="4" w:space="0" w:color="auto"/>
            </w:tcBorders>
            <w:shd w:val="clear" w:color="auto" w:fill="auto"/>
            <w:vAlign w:val="bottom"/>
          </w:tcPr>
          <w:p w14:paraId="716EC970" w14:textId="77777777" w:rsidR="003F372F" w:rsidRPr="003C0FB1" w:rsidRDefault="003F372F" w:rsidP="00016E64">
            <w:pPr>
              <w:spacing w:line="0" w:lineRule="atLeast"/>
              <w:jc w:val="both"/>
              <w:rPr>
                <w:rFonts w:ascii="Times New Roman" w:eastAsia="Arial" w:hAnsi="Times New Roman" w:cs="Times New Roman"/>
                <w:w w:val="96"/>
                <w:sz w:val="24"/>
                <w:szCs w:val="24"/>
              </w:rPr>
            </w:pPr>
            <w:r w:rsidRPr="003C0FB1">
              <w:rPr>
                <w:rFonts w:ascii="Times New Roman" w:eastAsia="Arial" w:hAnsi="Times New Roman" w:cs="Times New Roman"/>
                <w:w w:val="96"/>
                <w:sz w:val="24"/>
                <w:szCs w:val="24"/>
              </w:rPr>
              <w:t>-0.0077</w:t>
            </w:r>
          </w:p>
        </w:tc>
        <w:tc>
          <w:tcPr>
            <w:tcW w:w="1160" w:type="dxa"/>
            <w:tcBorders>
              <w:top w:val="single" w:sz="4" w:space="0" w:color="auto"/>
            </w:tcBorders>
            <w:shd w:val="clear" w:color="auto" w:fill="auto"/>
            <w:vAlign w:val="bottom"/>
          </w:tcPr>
          <w:p w14:paraId="4232D47C" w14:textId="77777777" w:rsidR="003F372F" w:rsidRPr="003C0FB1" w:rsidRDefault="003F372F" w:rsidP="00016E64">
            <w:pPr>
              <w:spacing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-0.0067</w:t>
            </w:r>
          </w:p>
        </w:tc>
        <w:tc>
          <w:tcPr>
            <w:tcW w:w="1160" w:type="dxa"/>
            <w:tcBorders>
              <w:top w:val="single" w:sz="4" w:space="0" w:color="auto"/>
            </w:tcBorders>
            <w:shd w:val="clear" w:color="auto" w:fill="auto"/>
            <w:vAlign w:val="bottom"/>
          </w:tcPr>
          <w:p w14:paraId="330E6A32" w14:textId="77777777" w:rsidR="003F372F" w:rsidRPr="003C0FB1" w:rsidRDefault="003F372F" w:rsidP="00016E64">
            <w:pPr>
              <w:spacing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-0.0037</w:t>
            </w:r>
          </w:p>
        </w:tc>
      </w:tr>
      <w:tr w:rsidR="003F372F" w:rsidRPr="003C0FB1" w14:paraId="222FBCD8" w14:textId="77777777" w:rsidTr="00134C51">
        <w:trPr>
          <w:trHeight w:val="195"/>
        </w:trPr>
        <w:tc>
          <w:tcPr>
            <w:tcW w:w="4680" w:type="dxa"/>
            <w:shd w:val="clear" w:color="auto" w:fill="auto"/>
            <w:vAlign w:val="bottom"/>
          </w:tcPr>
          <w:p w14:paraId="45735CCA" w14:textId="77777777" w:rsidR="003F372F" w:rsidRPr="003C0FB1" w:rsidRDefault="003F372F" w:rsidP="00016E64">
            <w:pPr>
              <w:spacing w:line="0" w:lineRule="atLeast"/>
              <w:ind w:left="20"/>
              <w:jc w:val="both"/>
              <w:rPr>
                <w:rFonts w:ascii="Times New Roman" w:eastAsia="Arial" w:hAnsi="Times New Roman" w:cs="Times New Roman"/>
                <w:sz w:val="24"/>
                <w:szCs w:val="24"/>
              </w:rPr>
            </w:pPr>
            <w:r w:rsidRPr="00C34C20">
              <w:rPr>
                <w:rFonts w:ascii="Times New Roman" w:eastAsia="Arial" w:hAnsi="Times New Roman" w:cs="Times New Roman"/>
                <w:i/>
                <w:sz w:val="24"/>
                <w:szCs w:val="24"/>
              </w:rPr>
              <w:t>X</w:t>
            </w:r>
            <w:r w:rsidRPr="00C34C20">
              <w:rPr>
                <w:rFonts w:ascii="Times New Roman" w:eastAsia="Arial" w:hAnsi="Times New Roman" w:cs="Times New Roman"/>
                <w:sz w:val="24"/>
                <w:szCs w:val="24"/>
                <w:vertAlign w:val="subscript"/>
              </w:rPr>
              <w:t>2</w:t>
            </w:r>
            <w:r w:rsidRPr="003C0FB1">
              <w:rPr>
                <w:rFonts w:ascii="Times New Roman" w:eastAsia="Arial" w:hAnsi="Times New Roman" w:cs="Times New Roman"/>
                <w:sz w:val="24"/>
                <w:szCs w:val="24"/>
              </w:rPr>
              <w:t>=Retained Earnings/Total Assets</w:t>
            </w:r>
          </w:p>
        </w:tc>
        <w:tc>
          <w:tcPr>
            <w:tcW w:w="1160" w:type="dxa"/>
            <w:shd w:val="clear" w:color="auto" w:fill="auto"/>
            <w:vAlign w:val="bottom"/>
          </w:tcPr>
          <w:p w14:paraId="75BB7A83"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0.4888</w:t>
            </w:r>
          </w:p>
        </w:tc>
        <w:tc>
          <w:tcPr>
            <w:tcW w:w="1180" w:type="dxa"/>
            <w:shd w:val="clear" w:color="auto" w:fill="auto"/>
            <w:vAlign w:val="bottom"/>
          </w:tcPr>
          <w:p w14:paraId="3457D838"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0.4335</w:t>
            </w:r>
          </w:p>
        </w:tc>
        <w:tc>
          <w:tcPr>
            <w:tcW w:w="1160" w:type="dxa"/>
            <w:shd w:val="clear" w:color="auto" w:fill="auto"/>
            <w:vAlign w:val="bottom"/>
          </w:tcPr>
          <w:p w14:paraId="290EB416"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0.0222</w:t>
            </w:r>
          </w:p>
        </w:tc>
        <w:tc>
          <w:tcPr>
            <w:tcW w:w="1160" w:type="dxa"/>
            <w:shd w:val="clear" w:color="auto" w:fill="auto"/>
            <w:vAlign w:val="bottom"/>
          </w:tcPr>
          <w:p w14:paraId="341F7E5E"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0.0055</w:t>
            </w:r>
          </w:p>
        </w:tc>
        <w:tc>
          <w:tcPr>
            <w:tcW w:w="1160" w:type="dxa"/>
            <w:shd w:val="clear" w:color="auto" w:fill="auto"/>
            <w:vAlign w:val="bottom"/>
          </w:tcPr>
          <w:p w14:paraId="373FB5D7" w14:textId="77777777" w:rsidR="003F372F" w:rsidRPr="003C0FB1" w:rsidRDefault="003F372F" w:rsidP="00016E64">
            <w:pPr>
              <w:spacing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0.0066</w:t>
            </w:r>
          </w:p>
        </w:tc>
      </w:tr>
      <w:tr w:rsidR="003F372F" w:rsidRPr="003C0FB1" w14:paraId="25E4E4F2" w14:textId="77777777" w:rsidTr="00134C51">
        <w:trPr>
          <w:trHeight w:val="195"/>
        </w:trPr>
        <w:tc>
          <w:tcPr>
            <w:tcW w:w="4680" w:type="dxa"/>
            <w:shd w:val="clear" w:color="auto" w:fill="auto"/>
            <w:vAlign w:val="bottom"/>
          </w:tcPr>
          <w:p w14:paraId="1C6C65BD" w14:textId="77777777" w:rsidR="003F372F" w:rsidRPr="003C0FB1" w:rsidRDefault="003F372F" w:rsidP="00016E64">
            <w:pPr>
              <w:spacing w:line="0" w:lineRule="atLeast"/>
              <w:ind w:left="20"/>
              <w:jc w:val="both"/>
              <w:rPr>
                <w:rFonts w:ascii="Times New Roman" w:eastAsia="Arial" w:hAnsi="Times New Roman" w:cs="Times New Roman"/>
                <w:sz w:val="24"/>
                <w:szCs w:val="24"/>
              </w:rPr>
            </w:pPr>
            <w:r w:rsidRPr="00C34C20">
              <w:rPr>
                <w:rFonts w:ascii="Times New Roman" w:eastAsia="Arial" w:hAnsi="Times New Roman" w:cs="Times New Roman"/>
                <w:i/>
                <w:sz w:val="24"/>
                <w:szCs w:val="24"/>
              </w:rPr>
              <w:t>X</w:t>
            </w:r>
            <w:r w:rsidRPr="00C34C20">
              <w:rPr>
                <w:rFonts w:ascii="Times New Roman" w:eastAsia="Arial" w:hAnsi="Times New Roman" w:cs="Times New Roman"/>
                <w:sz w:val="24"/>
                <w:szCs w:val="24"/>
                <w:vertAlign w:val="subscript"/>
              </w:rPr>
              <w:t>3</w:t>
            </w:r>
            <w:r w:rsidRPr="003C0FB1">
              <w:rPr>
                <w:rFonts w:ascii="Times New Roman" w:eastAsia="Arial" w:hAnsi="Times New Roman" w:cs="Times New Roman"/>
                <w:sz w:val="24"/>
                <w:szCs w:val="24"/>
              </w:rPr>
              <w:t>=EBIT/Total Assets</w:t>
            </w:r>
          </w:p>
        </w:tc>
        <w:tc>
          <w:tcPr>
            <w:tcW w:w="1160" w:type="dxa"/>
            <w:shd w:val="clear" w:color="auto" w:fill="auto"/>
            <w:vAlign w:val="bottom"/>
          </w:tcPr>
          <w:p w14:paraId="0587D124"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0.1971</w:t>
            </w:r>
          </w:p>
        </w:tc>
        <w:tc>
          <w:tcPr>
            <w:tcW w:w="1180" w:type="dxa"/>
            <w:shd w:val="clear" w:color="auto" w:fill="auto"/>
            <w:vAlign w:val="bottom"/>
          </w:tcPr>
          <w:p w14:paraId="466EFE83"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0.2300</w:t>
            </w:r>
          </w:p>
        </w:tc>
        <w:tc>
          <w:tcPr>
            <w:tcW w:w="1160" w:type="dxa"/>
            <w:shd w:val="clear" w:color="auto" w:fill="auto"/>
            <w:vAlign w:val="bottom"/>
          </w:tcPr>
          <w:p w14:paraId="2B26B66A"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0.2423</w:t>
            </w:r>
          </w:p>
        </w:tc>
        <w:tc>
          <w:tcPr>
            <w:tcW w:w="1160" w:type="dxa"/>
            <w:shd w:val="clear" w:color="auto" w:fill="auto"/>
            <w:vAlign w:val="bottom"/>
          </w:tcPr>
          <w:p w14:paraId="0730DDA6"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0.0367</w:t>
            </w:r>
          </w:p>
        </w:tc>
        <w:tc>
          <w:tcPr>
            <w:tcW w:w="1160" w:type="dxa"/>
            <w:shd w:val="clear" w:color="auto" w:fill="auto"/>
            <w:vAlign w:val="bottom"/>
          </w:tcPr>
          <w:p w14:paraId="78B3D44F" w14:textId="77777777" w:rsidR="003F372F" w:rsidRPr="003C0FB1" w:rsidRDefault="003F372F" w:rsidP="00016E64">
            <w:pPr>
              <w:spacing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0.3370</w:t>
            </w:r>
          </w:p>
        </w:tc>
      </w:tr>
      <w:tr w:rsidR="003F372F" w:rsidRPr="003C0FB1" w14:paraId="4D0CAF34" w14:textId="77777777" w:rsidTr="00134C51">
        <w:trPr>
          <w:trHeight w:val="195"/>
        </w:trPr>
        <w:tc>
          <w:tcPr>
            <w:tcW w:w="4680" w:type="dxa"/>
            <w:shd w:val="clear" w:color="auto" w:fill="auto"/>
            <w:vAlign w:val="bottom"/>
          </w:tcPr>
          <w:p w14:paraId="592FD055" w14:textId="77777777" w:rsidR="003F372F" w:rsidRPr="003C0FB1" w:rsidRDefault="003F372F" w:rsidP="00016E64">
            <w:pPr>
              <w:spacing w:line="0" w:lineRule="atLeast"/>
              <w:ind w:left="20"/>
              <w:jc w:val="both"/>
              <w:rPr>
                <w:rFonts w:ascii="Times New Roman" w:eastAsia="Arial" w:hAnsi="Times New Roman" w:cs="Times New Roman"/>
                <w:sz w:val="24"/>
                <w:szCs w:val="24"/>
              </w:rPr>
            </w:pPr>
            <w:r w:rsidRPr="00C34C20">
              <w:rPr>
                <w:rFonts w:ascii="Times New Roman" w:eastAsia="Arial" w:hAnsi="Times New Roman" w:cs="Times New Roman"/>
                <w:i/>
                <w:sz w:val="24"/>
                <w:szCs w:val="24"/>
              </w:rPr>
              <w:t>X</w:t>
            </w:r>
            <w:r w:rsidRPr="00C34C20">
              <w:rPr>
                <w:rFonts w:ascii="Times New Roman" w:eastAsia="Arial" w:hAnsi="Times New Roman" w:cs="Times New Roman"/>
                <w:sz w:val="24"/>
                <w:szCs w:val="24"/>
                <w:vertAlign w:val="subscript"/>
              </w:rPr>
              <w:t>4</w:t>
            </w:r>
            <w:r w:rsidRPr="003C0FB1">
              <w:rPr>
                <w:rFonts w:ascii="Times New Roman" w:eastAsia="Arial" w:hAnsi="Times New Roman" w:cs="Times New Roman"/>
                <w:sz w:val="24"/>
                <w:szCs w:val="24"/>
              </w:rPr>
              <w:t>=Market Value of Equity/Book Value of Total Debt</w:t>
            </w:r>
          </w:p>
        </w:tc>
        <w:tc>
          <w:tcPr>
            <w:tcW w:w="1160" w:type="dxa"/>
            <w:shd w:val="clear" w:color="auto" w:fill="auto"/>
            <w:vAlign w:val="bottom"/>
          </w:tcPr>
          <w:p w14:paraId="1A584478"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0.9266</w:t>
            </w:r>
          </w:p>
        </w:tc>
        <w:tc>
          <w:tcPr>
            <w:tcW w:w="1180" w:type="dxa"/>
            <w:shd w:val="clear" w:color="auto" w:fill="auto"/>
            <w:vAlign w:val="bottom"/>
          </w:tcPr>
          <w:p w14:paraId="47475F2C"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0.8519</w:t>
            </w:r>
          </w:p>
        </w:tc>
        <w:tc>
          <w:tcPr>
            <w:tcW w:w="1160" w:type="dxa"/>
            <w:shd w:val="clear" w:color="auto" w:fill="auto"/>
            <w:vAlign w:val="bottom"/>
          </w:tcPr>
          <w:p w14:paraId="181B01F0"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0.7635</w:t>
            </w:r>
          </w:p>
        </w:tc>
        <w:tc>
          <w:tcPr>
            <w:tcW w:w="1160" w:type="dxa"/>
            <w:shd w:val="clear" w:color="auto" w:fill="auto"/>
            <w:vAlign w:val="bottom"/>
          </w:tcPr>
          <w:p w14:paraId="5F261DB1"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0.7399</w:t>
            </w:r>
          </w:p>
        </w:tc>
        <w:tc>
          <w:tcPr>
            <w:tcW w:w="1160" w:type="dxa"/>
            <w:shd w:val="clear" w:color="auto" w:fill="auto"/>
            <w:vAlign w:val="bottom"/>
          </w:tcPr>
          <w:p w14:paraId="544DF068" w14:textId="77777777" w:rsidR="003F372F" w:rsidRPr="003C0FB1" w:rsidRDefault="003F372F" w:rsidP="00016E64">
            <w:pPr>
              <w:spacing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0.8889</w:t>
            </w:r>
          </w:p>
        </w:tc>
      </w:tr>
      <w:tr w:rsidR="003F372F" w:rsidRPr="003C0FB1" w14:paraId="5E64FE06" w14:textId="77777777" w:rsidTr="00134C51">
        <w:trPr>
          <w:trHeight w:val="195"/>
        </w:trPr>
        <w:tc>
          <w:tcPr>
            <w:tcW w:w="4680" w:type="dxa"/>
            <w:tcBorders>
              <w:bottom w:val="single" w:sz="4" w:space="0" w:color="auto"/>
            </w:tcBorders>
            <w:shd w:val="clear" w:color="auto" w:fill="auto"/>
            <w:vAlign w:val="bottom"/>
          </w:tcPr>
          <w:p w14:paraId="7AAA4D88" w14:textId="77777777" w:rsidR="003F372F" w:rsidRPr="003C0FB1" w:rsidRDefault="003F372F" w:rsidP="00016E64">
            <w:pPr>
              <w:spacing w:line="0" w:lineRule="atLeast"/>
              <w:ind w:left="20"/>
              <w:jc w:val="both"/>
              <w:rPr>
                <w:rFonts w:ascii="Times New Roman" w:eastAsia="Arial" w:hAnsi="Times New Roman" w:cs="Times New Roman"/>
                <w:sz w:val="24"/>
                <w:szCs w:val="24"/>
              </w:rPr>
            </w:pPr>
            <w:r w:rsidRPr="00C34C20">
              <w:rPr>
                <w:rFonts w:ascii="Times New Roman" w:eastAsia="Arial" w:hAnsi="Times New Roman" w:cs="Times New Roman"/>
                <w:i/>
                <w:sz w:val="24"/>
                <w:szCs w:val="24"/>
              </w:rPr>
              <w:t>X</w:t>
            </w:r>
            <w:r w:rsidRPr="00C34C20">
              <w:rPr>
                <w:rFonts w:ascii="Times New Roman" w:eastAsia="Arial" w:hAnsi="Times New Roman" w:cs="Times New Roman"/>
                <w:sz w:val="24"/>
                <w:szCs w:val="24"/>
                <w:vertAlign w:val="subscript"/>
              </w:rPr>
              <w:t>5</w:t>
            </w:r>
            <w:r w:rsidRPr="003C0FB1">
              <w:rPr>
                <w:rFonts w:ascii="Times New Roman" w:eastAsia="Arial" w:hAnsi="Times New Roman" w:cs="Times New Roman"/>
                <w:sz w:val="24"/>
                <w:szCs w:val="24"/>
              </w:rPr>
              <w:t>=Net Sales/Total Assets</w:t>
            </w:r>
          </w:p>
        </w:tc>
        <w:tc>
          <w:tcPr>
            <w:tcW w:w="1160" w:type="dxa"/>
            <w:tcBorders>
              <w:bottom w:val="single" w:sz="4" w:space="0" w:color="auto"/>
            </w:tcBorders>
            <w:shd w:val="clear" w:color="auto" w:fill="auto"/>
            <w:vAlign w:val="bottom"/>
          </w:tcPr>
          <w:p w14:paraId="726D4CF8"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0.4847</w:t>
            </w:r>
          </w:p>
        </w:tc>
        <w:tc>
          <w:tcPr>
            <w:tcW w:w="1180" w:type="dxa"/>
            <w:tcBorders>
              <w:bottom w:val="single" w:sz="4" w:space="0" w:color="auto"/>
            </w:tcBorders>
            <w:shd w:val="clear" w:color="auto" w:fill="auto"/>
            <w:vAlign w:val="bottom"/>
          </w:tcPr>
          <w:p w14:paraId="662EBBF4"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0.4964</w:t>
            </w:r>
          </w:p>
        </w:tc>
        <w:tc>
          <w:tcPr>
            <w:tcW w:w="1160" w:type="dxa"/>
            <w:tcBorders>
              <w:bottom w:val="single" w:sz="4" w:space="0" w:color="auto"/>
            </w:tcBorders>
            <w:shd w:val="clear" w:color="auto" w:fill="auto"/>
            <w:vAlign w:val="bottom"/>
          </w:tcPr>
          <w:p w14:paraId="29ED7534"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0.2523</w:t>
            </w:r>
          </w:p>
        </w:tc>
        <w:tc>
          <w:tcPr>
            <w:tcW w:w="1160" w:type="dxa"/>
            <w:tcBorders>
              <w:bottom w:val="single" w:sz="4" w:space="0" w:color="auto"/>
            </w:tcBorders>
            <w:shd w:val="clear" w:color="auto" w:fill="auto"/>
            <w:vAlign w:val="bottom"/>
          </w:tcPr>
          <w:p w14:paraId="15B62582" w14:textId="77777777" w:rsidR="003F372F" w:rsidRPr="003C0FB1" w:rsidRDefault="003F372F" w:rsidP="00016E64">
            <w:pPr>
              <w:spacing w:line="0" w:lineRule="atLeast"/>
              <w:jc w:val="both"/>
              <w:rPr>
                <w:rFonts w:ascii="Times New Roman" w:eastAsia="Arial" w:hAnsi="Times New Roman" w:cs="Times New Roman"/>
                <w:w w:val="97"/>
                <w:sz w:val="24"/>
                <w:szCs w:val="24"/>
              </w:rPr>
            </w:pPr>
            <w:r w:rsidRPr="003C0FB1">
              <w:rPr>
                <w:rFonts w:ascii="Times New Roman" w:eastAsia="Arial" w:hAnsi="Times New Roman" w:cs="Times New Roman"/>
                <w:w w:val="97"/>
                <w:sz w:val="24"/>
                <w:szCs w:val="24"/>
              </w:rPr>
              <w:t>0.2754</w:t>
            </w:r>
          </w:p>
        </w:tc>
        <w:tc>
          <w:tcPr>
            <w:tcW w:w="1160" w:type="dxa"/>
            <w:tcBorders>
              <w:bottom w:val="single" w:sz="4" w:space="0" w:color="auto"/>
            </w:tcBorders>
            <w:shd w:val="clear" w:color="auto" w:fill="auto"/>
            <w:vAlign w:val="bottom"/>
          </w:tcPr>
          <w:p w14:paraId="07C9A8FF" w14:textId="77777777" w:rsidR="003F372F" w:rsidRPr="003C0FB1" w:rsidRDefault="003F372F" w:rsidP="00016E64">
            <w:pPr>
              <w:spacing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0.3638</w:t>
            </w:r>
          </w:p>
        </w:tc>
      </w:tr>
    </w:tbl>
    <w:p w14:paraId="2C34D343" w14:textId="77777777" w:rsidR="003F372F" w:rsidRPr="003C0FB1" w:rsidRDefault="003F372F" w:rsidP="00016E64">
      <w:pPr>
        <w:jc w:val="both"/>
        <w:rPr>
          <w:rFonts w:ascii="Times New Roman" w:eastAsia="Arial" w:hAnsi="Times New Roman" w:cs="Times New Roman"/>
          <w:sz w:val="24"/>
          <w:szCs w:val="24"/>
        </w:rPr>
      </w:pPr>
    </w:p>
    <w:p w14:paraId="01996E69" w14:textId="0CA0FE9E" w:rsidR="003F372F" w:rsidRDefault="003F372F" w:rsidP="00016E64">
      <w:pPr>
        <w:tabs>
          <w:tab w:val="left" w:pos="6450"/>
        </w:tabs>
        <w:spacing w:line="0" w:lineRule="atLeast"/>
        <w:ind w:left="10"/>
        <w:jc w:val="both"/>
        <w:rPr>
          <w:rFonts w:ascii="Times New Roman" w:eastAsia="Arial" w:hAnsi="Times New Roman" w:cs="Times New Roman"/>
          <w:sz w:val="24"/>
          <w:szCs w:val="24"/>
        </w:rPr>
      </w:pPr>
      <w:r w:rsidRPr="00BB5892">
        <w:rPr>
          <w:rFonts w:ascii="Times New Roman" w:eastAsia="Arial" w:hAnsi="Times New Roman" w:cs="Times New Roman"/>
          <w:i/>
          <w:sz w:val="24"/>
          <w:szCs w:val="24"/>
        </w:rPr>
        <w:t>Z</w:t>
      </w:r>
      <w:r w:rsidRPr="003C0FB1">
        <w:rPr>
          <w:rFonts w:ascii="Times New Roman" w:eastAsia="Arial" w:hAnsi="Times New Roman" w:cs="Times New Roman"/>
          <w:sz w:val="24"/>
          <w:szCs w:val="24"/>
        </w:rPr>
        <w:t xml:space="preserve"> = (1.2×</w:t>
      </w:r>
      <w:r w:rsidRPr="00BB5892">
        <w:rPr>
          <w:rFonts w:ascii="Times New Roman" w:eastAsia="Arial" w:hAnsi="Times New Roman" w:cs="Times New Roman"/>
          <w:i/>
          <w:sz w:val="24"/>
          <w:szCs w:val="24"/>
        </w:rPr>
        <w:t>X</w:t>
      </w:r>
      <w:r w:rsidRPr="00C34C20">
        <w:rPr>
          <w:rFonts w:ascii="Times New Roman" w:eastAsia="Arial" w:hAnsi="Times New Roman" w:cs="Times New Roman"/>
          <w:sz w:val="24"/>
          <w:szCs w:val="24"/>
          <w:vertAlign w:val="subscript"/>
        </w:rPr>
        <w:t>1</w:t>
      </w:r>
      <w:r w:rsidRPr="003C0FB1">
        <w:rPr>
          <w:rFonts w:ascii="Times New Roman" w:eastAsia="Arial" w:hAnsi="Times New Roman" w:cs="Times New Roman"/>
          <w:sz w:val="24"/>
          <w:szCs w:val="24"/>
        </w:rPr>
        <w:t>) + (1.4×</w:t>
      </w:r>
      <w:r w:rsidRPr="004B4160">
        <w:rPr>
          <w:rFonts w:ascii="Times New Roman" w:eastAsia="Arial" w:hAnsi="Times New Roman" w:cs="Times New Roman"/>
          <w:i/>
          <w:sz w:val="24"/>
          <w:szCs w:val="24"/>
        </w:rPr>
        <w:t>X</w:t>
      </w:r>
      <w:r w:rsidRPr="00C34C20">
        <w:rPr>
          <w:rFonts w:ascii="Times New Roman" w:eastAsia="Arial" w:hAnsi="Times New Roman" w:cs="Times New Roman"/>
          <w:sz w:val="24"/>
          <w:szCs w:val="24"/>
          <w:vertAlign w:val="subscript"/>
        </w:rPr>
        <w:t>2</w:t>
      </w:r>
      <w:r w:rsidRPr="003C0FB1">
        <w:rPr>
          <w:rFonts w:ascii="Times New Roman" w:eastAsia="Arial" w:hAnsi="Times New Roman" w:cs="Times New Roman"/>
          <w:sz w:val="24"/>
          <w:szCs w:val="24"/>
        </w:rPr>
        <w:t>) + (3.3×</w:t>
      </w:r>
      <w:r w:rsidRPr="004B4160">
        <w:rPr>
          <w:rFonts w:ascii="Times New Roman" w:eastAsia="Arial" w:hAnsi="Times New Roman" w:cs="Times New Roman"/>
          <w:i/>
          <w:sz w:val="24"/>
          <w:szCs w:val="24"/>
        </w:rPr>
        <w:t>X</w:t>
      </w:r>
      <w:r w:rsidRPr="00C34C20">
        <w:rPr>
          <w:rFonts w:ascii="Times New Roman" w:eastAsia="Arial" w:hAnsi="Times New Roman" w:cs="Times New Roman"/>
          <w:sz w:val="24"/>
          <w:szCs w:val="24"/>
          <w:vertAlign w:val="subscript"/>
        </w:rPr>
        <w:t>3</w:t>
      </w:r>
      <w:r w:rsidRPr="003C0FB1">
        <w:rPr>
          <w:rFonts w:ascii="Times New Roman" w:eastAsia="Arial" w:hAnsi="Times New Roman" w:cs="Times New Roman"/>
          <w:sz w:val="24"/>
          <w:szCs w:val="24"/>
        </w:rPr>
        <w:t>) + (0.6×</w:t>
      </w:r>
      <w:r w:rsidRPr="004B4160">
        <w:rPr>
          <w:rFonts w:ascii="Times New Roman" w:eastAsia="Arial" w:hAnsi="Times New Roman" w:cs="Times New Roman"/>
          <w:i/>
          <w:sz w:val="24"/>
          <w:szCs w:val="24"/>
        </w:rPr>
        <w:t>X</w:t>
      </w:r>
      <w:r w:rsidRPr="00C34C20">
        <w:rPr>
          <w:rFonts w:ascii="Times New Roman" w:eastAsia="Arial" w:hAnsi="Times New Roman" w:cs="Times New Roman"/>
          <w:sz w:val="24"/>
          <w:szCs w:val="24"/>
          <w:vertAlign w:val="subscript"/>
        </w:rPr>
        <w:t>4</w:t>
      </w:r>
      <w:r w:rsidRPr="003C0FB1">
        <w:rPr>
          <w:rFonts w:ascii="Times New Roman" w:eastAsia="Arial" w:hAnsi="Times New Roman" w:cs="Times New Roman"/>
          <w:sz w:val="24"/>
          <w:szCs w:val="24"/>
        </w:rPr>
        <w:t>) + (1.0×</w:t>
      </w:r>
      <w:r w:rsidRPr="004B4160">
        <w:rPr>
          <w:rFonts w:ascii="Times New Roman" w:eastAsia="Arial" w:hAnsi="Times New Roman" w:cs="Times New Roman"/>
          <w:i/>
          <w:sz w:val="24"/>
          <w:szCs w:val="24"/>
        </w:rPr>
        <w:t>X</w:t>
      </w:r>
      <w:r w:rsidRPr="00C34C20">
        <w:rPr>
          <w:rFonts w:ascii="Times New Roman" w:eastAsia="Arial" w:hAnsi="Times New Roman" w:cs="Times New Roman"/>
          <w:sz w:val="24"/>
          <w:szCs w:val="24"/>
          <w:vertAlign w:val="subscript"/>
        </w:rPr>
        <w:t>5</w:t>
      </w:r>
      <w:r w:rsidRPr="003C0FB1">
        <w:rPr>
          <w:rFonts w:ascii="Times New Roman" w:eastAsia="Arial" w:hAnsi="Times New Roman" w:cs="Times New Roman"/>
          <w:sz w:val="24"/>
          <w:szCs w:val="24"/>
        </w:rPr>
        <w:t>)</w:t>
      </w:r>
      <w:r w:rsidR="00A82437">
        <w:rPr>
          <w:rFonts w:ascii="Times New Roman" w:eastAsia="Arial" w:hAnsi="Times New Roman" w:cs="Times New Roman"/>
          <w:sz w:val="24"/>
          <w:szCs w:val="24"/>
        </w:rPr>
        <w:tab/>
      </w:r>
    </w:p>
    <w:p w14:paraId="17549E56" w14:textId="19BFAE57" w:rsidR="00A82437" w:rsidRDefault="00A82437" w:rsidP="00016E64">
      <w:pPr>
        <w:tabs>
          <w:tab w:val="left" w:pos="6450"/>
        </w:tabs>
        <w:spacing w:line="0" w:lineRule="atLeast"/>
        <w:ind w:left="10"/>
        <w:jc w:val="both"/>
        <w:rPr>
          <w:rFonts w:ascii="Times New Roman" w:eastAsia="Arial" w:hAnsi="Times New Roman" w:cs="Times New Roman"/>
          <w:sz w:val="24"/>
          <w:szCs w:val="24"/>
        </w:rPr>
      </w:pPr>
    </w:p>
    <w:p w14:paraId="69900CDB" w14:textId="522EE2F6" w:rsidR="00A82437" w:rsidRDefault="00A82437" w:rsidP="00016E64">
      <w:pPr>
        <w:tabs>
          <w:tab w:val="left" w:pos="6450"/>
        </w:tabs>
        <w:spacing w:line="0" w:lineRule="atLeast"/>
        <w:ind w:left="10"/>
        <w:jc w:val="both"/>
        <w:rPr>
          <w:rFonts w:ascii="Times New Roman" w:eastAsia="Arial" w:hAnsi="Times New Roman" w:cs="Times New Roman"/>
          <w:b/>
          <w:sz w:val="24"/>
          <w:szCs w:val="24"/>
        </w:rPr>
      </w:pPr>
      <w:r w:rsidRPr="00A82437">
        <w:rPr>
          <w:rFonts w:ascii="Times New Roman" w:eastAsia="Arial" w:hAnsi="Times New Roman" w:cs="Times New Roman"/>
          <w:b/>
          <w:sz w:val="24"/>
          <w:szCs w:val="24"/>
        </w:rPr>
        <w:t>Table 3</w:t>
      </w:r>
    </w:p>
    <w:p w14:paraId="49ACDF49" w14:textId="1BBA389B" w:rsidR="000A71C4" w:rsidRPr="00A82437" w:rsidRDefault="000A71C4" w:rsidP="00016E64">
      <w:pPr>
        <w:tabs>
          <w:tab w:val="left" w:pos="6450"/>
        </w:tabs>
        <w:spacing w:line="0" w:lineRule="atLeast"/>
        <w:ind w:left="1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Z scores for each year, from 1997 to 2001 </w:t>
      </w:r>
    </w:p>
    <w:tbl>
      <w:tblPr>
        <w:tblW w:w="10530" w:type="dxa"/>
        <w:tblLayout w:type="fixed"/>
        <w:tblCellMar>
          <w:left w:w="0" w:type="dxa"/>
          <w:right w:w="0" w:type="dxa"/>
        </w:tblCellMar>
        <w:tblLook w:val="0000" w:firstRow="0" w:lastRow="0" w:firstColumn="0" w:lastColumn="0" w:noHBand="0" w:noVBand="0"/>
      </w:tblPr>
      <w:tblGrid>
        <w:gridCol w:w="4350"/>
        <w:gridCol w:w="1178"/>
        <w:gridCol w:w="1388"/>
        <w:gridCol w:w="1265"/>
        <w:gridCol w:w="1082"/>
        <w:gridCol w:w="1267"/>
      </w:tblGrid>
      <w:tr w:rsidR="003F372F" w:rsidRPr="003C0FB1" w14:paraId="3E5ACDE7" w14:textId="77777777" w:rsidTr="00112E11">
        <w:trPr>
          <w:trHeight w:val="278"/>
        </w:trPr>
        <w:tc>
          <w:tcPr>
            <w:tcW w:w="4350" w:type="dxa"/>
            <w:tcBorders>
              <w:top w:val="single" w:sz="4" w:space="0" w:color="auto"/>
              <w:bottom w:val="single" w:sz="4" w:space="0" w:color="auto"/>
            </w:tcBorders>
            <w:shd w:val="clear" w:color="auto" w:fill="auto"/>
            <w:vAlign w:val="bottom"/>
          </w:tcPr>
          <w:p w14:paraId="762D670A" w14:textId="23AAE420" w:rsidR="003F372F" w:rsidRPr="00A82437" w:rsidRDefault="00A82437" w:rsidP="00016E6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w:t>
            </w:r>
            <w:r w:rsidRPr="00A82437">
              <w:rPr>
                <w:rFonts w:ascii="Times New Roman" w:eastAsia="Times New Roman" w:hAnsi="Times New Roman" w:cs="Times New Roman"/>
                <w:b/>
                <w:sz w:val="24"/>
                <w:szCs w:val="24"/>
              </w:rPr>
              <w:t>ormula</w:t>
            </w:r>
          </w:p>
        </w:tc>
        <w:tc>
          <w:tcPr>
            <w:tcW w:w="1178" w:type="dxa"/>
            <w:tcBorders>
              <w:top w:val="single" w:sz="4" w:space="0" w:color="auto"/>
              <w:bottom w:val="single" w:sz="4" w:space="0" w:color="auto"/>
            </w:tcBorders>
            <w:shd w:val="clear" w:color="auto" w:fill="auto"/>
            <w:vAlign w:val="bottom"/>
          </w:tcPr>
          <w:p w14:paraId="46D6F3FA" w14:textId="77777777" w:rsidR="003F372F" w:rsidRPr="003C0FB1" w:rsidRDefault="003F372F" w:rsidP="00016E64">
            <w:pPr>
              <w:spacing w:line="0" w:lineRule="atLeast"/>
              <w:ind w:right="310"/>
              <w:jc w:val="both"/>
              <w:rPr>
                <w:rFonts w:ascii="Times New Roman" w:eastAsia="Arial" w:hAnsi="Times New Roman" w:cs="Times New Roman"/>
                <w:b/>
                <w:sz w:val="24"/>
                <w:szCs w:val="24"/>
              </w:rPr>
            </w:pPr>
            <w:r w:rsidRPr="003C0FB1">
              <w:rPr>
                <w:rFonts w:ascii="Times New Roman" w:eastAsia="Arial" w:hAnsi="Times New Roman" w:cs="Times New Roman"/>
                <w:b/>
                <w:sz w:val="24"/>
                <w:szCs w:val="24"/>
              </w:rPr>
              <w:t>2001</w:t>
            </w:r>
          </w:p>
        </w:tc>
        <w:tc>
          <w:tcPr>
            <w:tcW w:w="1388" w:type="dxa"/>
            <w:tcBorders>
              <w:top w:val="single" w:sz="4" w:space="0" w:color="auto"/>
              <w:bottom w:val="single" w:sz="4" w:space="0" w:color="auto"/>
            </w:tcBorders>
            <w:shd w:val="clear" w:color="auto" w:fill="auto"/>
            <w:vAlign w:val="bottom"/>
          </w:tcPr>
          <w:p w14:paraId="3F5AA140" w14:textId="77777777" w:rsidR="003F372F" w:rsidRPr="003C0FB1" w:rsidRDefault="003F372F" w:rsidP="00016E64">
            <w:pPr>
              <w:spacing w:line="0" w:lineRule="atLeast"/>
              <w:ind w:right="470"/>
              <w:jc w:val="both"/>
              <w:rPr>
                <w:rFonts w:ascii="Times New Roman" w:eastAsia="Arial" w:hAnsi="Times New Roman" w:cs="Times New Roman"/>
                <w:b/>
                <w:sz w:val="24"/>
                <w:szCs w:val="24"/>
              </w:rPr>
            </w:pPr>
            <w:r w:rsidRPr="003C0FB1">
              <w:rPr>
                <w:rFonts w:ascii="Times New Roman" w:eastAsia="Arial" w:hAnsi="Times New Roman" w:cs="Times New Roman"/>
                <w:b/>
                <w:sz w:val="24"/>
                <w:szCs w:val="24"/>
              </w:rPr>
              <w:t>2000</w:t>
            </w:r>
          </w:p>
        </w:tc>
        <w:tc>
          <w:tcPr>
            <w:tcW w:w="1265" w:type="dxa"/>
            <w:tcBorders>
              <w:top w:val="single" w:sz="4" w:space="0" w:color="auto"/>
              <w:bottom w:val="single" w:sz="4" w:space="0" w:color="auto"/>
            </w:tcBorders>
            <w:shd w:val="clear" w:color="auto" w:fill="auto"/>
            <w:vAlign w:val="bottom"/>
          </w:tcPr>
          <w:p w14:paraId="12E8EF84" w14:textId="77777777" w:rsidR="003F372F" w:rsidRPr="003C0FB1" w:rsidRDefault="003F372F" w:rsidP="00016E64">
            <w:pPr>
              <w:spacing w:line="0" w:lineRule="atLeast"/>
              <w:ind w:right="410"/>
              <w:jc w:val="both"/>
              <w:rPr>
                <w:rFonts w:ascii="Times New Roman" w:eastAsia="Arial" w:hAnsi="Times New Roman" w:cs="Times New Roman"/>
                <w:b/>
                <w:sz w:val="24"/>
                <w:szCs w:val="24"/>
              </w:rPr>
            </w:pPr>
            <w:r w:rsidRPr="003C0FB1">
              <w:rPr>
                <w:rFonts w:ascii="Times New Roman" w:eastAsia="Arial" w:hAnsi="Times New Roman" w:cs="Times New Roman"/>
                <w:b/>
                <w:sz w:val="24"/>
                <w:szCs w:val="24"/>
              </w:rPr>
              <w:t>1999</w:t>
            </w:r>
          </w:p>
        </w:tc>
        <w:tc>
          <w:tcPr>
            <w:tcW w:w="1082" w:type="dxa"/>
            <w:tcBorders>
              <w:top w:val="single" w:sz="4" w:space="0" w:color="auto"/>
              <w:bottom w:val="single" w:sz="4" w:space="0" w:color="auto"/>
            </w:tcBorders>
            <w:shd w:val="clear" w:color="auto" w:fill="auto"/>
            <w:vAlign w:val="bottom"/>
          </w:tcPr>
          <w:p w14:paraId="0D395793" w14:textId="77777777" w:rsidR="003F372F" w:rsidRPr="003C0FB1" w:rsidRDefault="003F372F" w:rsidP="00016E64">
            <w:pPr>
              <w:spacing w:line="0" w:lineRule="atLeast"/>
              <w:ind w:right="330"/>
              <w:jc w:val="both"/>
              <w:rPr>
                <w:rFonts w:ascii="Times New Roman" w:eastAsia="Arial" w:hAnsi="Times New Roman" w:cs="Times New Roman"/>
                <w:b/>
                <w:sz w:val="24"/>
                <w:szCs w:val="24"/>
              </w:rPr>
            </w:pPr>
            <w:r w:rsidRPr="003C0FB1">
              <w:rPr>
                <w:rFonts w:ascii="Times New Roman" w:eastAsia="Arial" w:hAnsi="Times New Roman" w:cs="Times New Roman"/>
                <w:b/>
                <w:sz w:val="24"/>
                <w:szCs w:val="24"/>
              </w:rPr>
              <w:t>1998</w:t>
            </w:r>
          </w:p>
        </w:tc>
        <w:tc>
          <w:tcPr>
            <w:tcW w:w="1267" w:type="dxa"/>
            <w:tcBorders>
              <w:top w:val="single" w:sz="4" w:space="0" w:color="auto"/>
              <w:bottom w:val="single" w:sz="4" w:space="0" w:color="auto"/>
            </w:tcBorders>
            <w:shd w:val="clear" w:color="auto" w:fill="auto"/>
            <w:vAlign w:val="bottom"/>
          </w:tcPr>
          <w:p w14:paraId="6BE153DA" w14:textId="77777777" w:rsidR="003F372F" w:rsidRPr="003C0FB1" w:rsidRDefault="003F372F" w:rsidP="00016E64">
            <w:pPr>
              <w:spacing w:line="0" w:lineRule="atLeast"/>
              <w:ind w:right="470"/>
              <w:jc w:val="both"/>
              <w:rPr>
                <w:rFonts w:ascii="Times New Roman" w:eastAsia="Arial" w:hAnsi="Times New Roman" w:cs="Times New Roman"/>
                <w:b/>
                <w:sz w:val="24"/>
                <w:szCs w:val="24"/>
              </w:rPr>
            </w:pPr>
            <w:r w:rsidRPr="003C0FB1">
              <w:rPr>
                <w:rFonts w:ascii="Times New Roman" w:eastAsia="Arial" w:hAnsi="Times New Roman" w:cs="Times New Roman"/>
                <w:b/>
                <w:sz w:val="24"/>
                <w:szCs w:val="24"/>
              </w:rPr>
              <w:t>1997</w:t>
            </w:r>
          </w:p>
        </w:tc>
      </w:tr>
      <w:tr w:rsidR="003F372F" w:rsidRPr="003C0FB1" w14:paraId="6E0572BE" w14:textId="77777777" w:rsidTr="00112E11">
        <w:trPr>
          <w:trHeight w:val="1043"/>
        </w:trPr>
        <w:tc>
          <w:tcPr>
            <w:tcW w:w="4350" w:type="dxa"/>
            <w:tcBorders>
              <w:top w:val="single" w:sz="4" w:space="0" w:color="auto"/>
              <w:bottom w:val="single" w:sz="4" w:space="0" w:color="auto"/>
            </w:tcBorders>
            <w:shd w:val="clear" w:color="auto" w:fill="auto"/>
            <w:vAlign w:val="bottom"/>
          </w:tcPr>
          <w:p w14:paraId="3C99EC90" w14:textId="428A05C4" w:rsidR="003F372F" w:rsidRPr="003C0FB1" w:rsidRDefault="003F372F" w:rsidP="00016E64">
            <w:pPr>
              <w:spacing w:line="0" w:lineRule="atLeast"/>
              <w:ind w:left="40"/>
              <w:jc w:val="both"/>
              <w:rPr>
                <w:rFonts w:ascii="Times New Roman" w:eastAsia="Arial" w:hAnsi="Times New Roman" w:cs="Times New Roman"/>
                <w:b/>
                <w:sz w:val="24"/>
                <w:szCs w:val="24"/>
              </w:rPr>
            </w:pPr>
            <w:r w:rsidRPr="003C0FB1">
              <w:rPr>
                <w:rFonts w:ascii="Times New Roman" w:eastAsia="Arial" w:hAnsi="Times New Roman" w:cs="Times New Roman"/>
                <w:b/>
                <w:sz w:val="24"/>
                <w:szCs w:val="24"/>
              </w:rPr>
              <w:t>(1.2×</w:t>
            </w:r>
            <w:r w:rsidRPr="008A14BA">
              <w:rPr>
                <w:rFonts w:ascii="Times New Roman" w:eastAsia="Arial" w:hAnsi="Times New Roman" w:cs="Times New Roman"/>
                <w:b/>
                <w:i/>
                <w:sz w:val="24"/>
                <w:szCs w:val="24"/>
              </w:rPr>
              <w:t>X</w:t>
            </w:r>
            <w:r w:rsidRPr="008A14BA">
              <w:rPr>
                <w:rFonts w:ascii="Times New Roman" w:eastAsia="Arial" w:hAnsi="Times New Roman" w:cs="Times New Roman"/>
                <w:b/>
                <w:sz w:val="24"/>
                <w:szCs w:val="24"/>
                <w:vertAlign w:val="subscript"/>
              </w:rPr>
              <w:t>1</w:t>
            </w:r>
            <w:r w:rsidRPr="003C0FB1">
              <w:rPr>
                <w:rFonts w:ascii="Times New Roman" w:eastAsia="Arial" w:hAnsi="Times New Roman" w:cs="Times New Roman"/>
                <w:b/>
                <w:sz w:val="24"/>
                <w:szCs w:val="24"/>
              </w:rPr>
              <w:t>) + (1.4×</w:t>
            </w:r>
            <w:r w:rsidRPr="008A14BA">
              <w:rPr>
                <w:rFonts w:ascii="Times New Roman" w:eastAsia="Arial" w:hAnsi="Times New Roman" w:cs="Times New Roman"/>
                <w:b/>
                <w:i/>
                <w:sz w:val="24"/>
                <w:szCs w:val="24"/>
              </w:rPr>
              <w:t>X</w:t>
            </w:r>
            <w:r w:rsidRPr="008A14BA">
              <w:rPr>
                <w:rFonts w:ascii="Times New Roman" w:eastAsia="Arial" w:hAnsi="Times New Roman" w:cs="Times New Roman"/>
                <w:b/>
                <w:sz w:val="24"/>
                <w:szCs w:val="24"/>
                <w:vertAlign w:val="subscript"/>
              </w:rPr>
              <w:t>2</w:t>
            </w:r>
            <w:r w:rsidRPr="003C0FB1">
              <w:rPr>
                <w:rFonts w:ascii="Times New Roman" w:eastAsia="Arial" w:hAnsi="Times New Roman" w:cs="Times New Roman"/>
                <w:b/>
                <w:sz w:val="24"/>
                <w:szCs w:val="24"/>
              </w:rPr>
              <w:t>) + (3.3×</w:t>
            </w:r>
            <w:r w:rsidRPr="008A14BA">
              <w:rPr>
                <w:rFonts w:ascii="Times New Roman" w:eastAsia="Arial" w:hAnsi="Times New Roman" w:cs="Times New Roman"/>
                <w:b/>
                <w:i/>
                <w:sz w:val="24"/>
                <w:szCs w:val="24"/>
              </w:rPr>
              <w:t>X</w:t>
            </w:r>
            <w:r w:rsidRPr="008A14BA">
              <w:rPr>
                <w:rFonts w:ascii="Times New Roman" w:eastAsia="Arial" w:hAnsi="Times New Roman" w:cs="Times New Roman"/>
                <w:b/>
                <w:sz w:val="24"/>
                <w:szCs w:val="24"/>
                <w:vertAlign w:val="subscript"/>
              </w:rPr>
              <w:t>3</w:t>
            </w:r>
            <w:r w:rsidRPr="003C0FB1">
              <w:rPr>
                <w:rFonts w:ascii="Times New Roman" w:eastAsia="Arial" w:hAnsi="Times New Roman" w:cs="Times New Roman"/>
                <w:b/>
                <w:sz w:val="24"/>
                <w:szCs w:val="24"/>
              </w:rPr>
              <w:t>) + (0.6×</w:t>
            </w:r>
            <w:r w:rsidRPr="008A14BA">
              <w:rPr>
                <w:rFonts w:ascii="Times New Roman" w:eastAsia="Arial" w:hAnsi="Times New Roman" w:cs="Times New Roman"/>
                <w:b/>
                <w:i/>
                <w:sz w:val="24"/>
                <w:szCs w:val="24"/>
              </w:rPr>
              <w:t>X</w:t>
            </w:r>
            <w:r w:rsidRPr="008A14BA">
              <w:rPr>
                <w:rFonts w:ascii="Times New Roman" w:eastAsia="Arial" w:hAnsi="Times New Roman" w:cs="Times New Roman"/>
                <w:b/>
                <w:sz w:val="24"/>
                <w:szCs w:val="24"/>
                <w:vertAlign w:val="subscript"/>
              </w:rPr>
              <w:t>4</w:t>
            </w:r>
            <w:r w:rsidRPr="003C0FB1">
              <w:rPr>
                <w:rFonts w:ascii="Times New Roman" w:eastAsia="Arial" w:hAnsi="Times New Roman" w:cs="Times New Roman"/>
                <w:b/>
                <w:sz w:val="24"/>
                <w:szCs w:val="24"/>
              </w:rPr>
              <w:t>) + (1.0×</w:t>
            </w:r>
            <w:r w:rsidRPr="008A14BA">
              <w:rPr>
                <w:rFonts w:ascii="Times New Roman" w:eastAsia="Arial" w:hAnsi="Times New Roman" w:cs="Times New Roman"/>
                <w:b/>
                <w:i/>
                <w:sz w:val="24"/>
                <w:szCs w:val="24"/>
              </w:rPr>
              <w:t>X</w:t>
            </w:r>
            <w:r w:rsidRPr="008A14BA">
              <w:rPr>
                <w:rFonts w:ascii="Times New Roman" w:eastAsia="Arial" w:hAnsi="Times New Roman" w:cs="Times New Roman"/>
                <w:b/>
                <w:sz w:val="24"/>
                <w:szCs w:val="24"/>
                <w:vertAlign w:val="subscript"/>
              </w:rPr>
              <w:t>5</w:t>
            </w:r>
            <w:r w:rsidRPr="003C0FB1">
              <w:rPr>
                <w:rFonts w:ascii="Times New Roman" w:eastAsia="Arial" w:hAnsi="Times New Roman" w:cs="Times New Roman"/>
                <w:b/>
                <w:sz w:val="24"/>
                <w:szCs w:val="24"/>
              </w:rPr>
              <w:t>)</w:t>
            </w:r>
          </w:p>
        </w:tc>
        <w:tc>
          <w:tcPr>
            <w:tcW w:w="1178" w:type="dxa"/>
            <w:tcBorders>
              <w:top w:val="single" w:sz="4" w:space="0" w:color="auto"/>
              <w:bottom w:val="single" w:sz="4" w:space="0" w:color="auto"/>
            </w:tcBorders>
            <w:shd w:val="clear" w:color="auto" w:fill="auto"/>
            <w:vAlign w:val="bottom"/>
          </w:tcPr>
          <w:p w14:paraId="78151B63" w14:textId="77777777" w:rsidR="003F372F" w:rsidRPr="003C0FB1" w:rsidRDefault="003F372F" w:rsidP="00016E64">
            <w:pPr>
              <w:spacing w:line="0" w:lineRule="atLeast"/>
              <w:ind w:right="270"/>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2.364656</w:t>
            </w:r>
          </w:p>
        </w:tc>
        <w:tc>
          <w:tcPr>
            <w:tcW w:w="1388" w:type="dxa"/>
            <w:tcBorders>
              <w:top w:val="single" w:sz="4" w:space="0" w:color="auto"/>
              <w:bottom w:val="single" w:sz="4" w:space="0" w:color="auto"/>
            </w:tcBorders>
            <w:shd w:val="clear" w:color="auto" w:fill="auto"/>
            <w:vAlign w:val="bottom"/>
          </w:tcPr>
          <w:p w14:paraId="5CC8A551" w14:textId="77777777" w:rsidR="003F372F" w:rsidRPr="003C0FB1" w:rsidRDefault="003F372F" w:rsidP="00016E64">
            <w:pPr>
              <w:spacing w:line="0" w:lineRule="atLeast"/>
              <w:ind w:right="119"/>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2.381446551</w:t>
            </w:r>
          </w:p>
        </w:tc>
        <w:tc>
          <w:tcPr>
            <w:tcW w:w="1265" w:type="dxa"/>
            <w:tcBorders>
              <w:top w:val="single" w:sz="4" w:space="0" w:color="auto"/>
              <w:bottom w:val="single" w:sz="4" w:space="0" w:color="auto"/>
            </w:tcBorders>
            <w:shd w:val="clear" w:color="auto" w:fill="auto"/>
            <w:vAlign w:val="bottom"/>
          </w:tcPr>
          <w:p w14:paraId="187AF41D" w14:textId="77777777" w:rsidR="003F372F" w:rsidRPr="003C0FB1" w:rsidRDefault="003F372F" w:rsidP="00016E64">
            <w:pPr>
              <w:spacing w:line="0" w:lineRule="atLeast"/>
              <w:ind w:right="296"/>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1.531839</w:t>
            </w:r>
          </w:p>
        </w:tc>
        <w:tc>
          <w:tcPr>
            <w:tcW w:w="1082" w:type="dxa"/>
            <w:tcBorders>
              <w:top w:val="single" w:sz="4" w:space="0" w:color="auto"/>
              <w:bottom w:val="single" w:sz="4" w:space="0" w:color="auto"/>
            </w:tcBorders>
            <w:shd w:val="clear" w:color="auto" w:fill="auto"/>
            <w:vAlign w:val="bottom"/>
          </w:tcPr>
          <w:p w14:paraId="3FF3AE4A" w14:textId="77777777" w:rsidR="003F372F" w:rsidRPr="003C0FB1" w:rsidRDefault="003F372F" w:rsidP="00016E64">
            <w:pPr>
              <w:spacing w:line="0" w:lineRule="atLeast"/>
              <w:ind w:right="111"/>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0.840042</w:t>
            </w:r>
          </w:p>
        </w:tc>
        <w:tc>
          <w:tcPr>
            <w:tcW w:w="1267" w:type="dxa"/>
            <w:tcBorders>
              <w:top w:val="single" w:sz="4" w:space="0" w:color="auto"/>
              <w:bottom w:val="single" w:sz="4" w:space="0" w:color="auto"/>
            </w:tcBorders>
            <w:shd w:val="clear" w:color="auto" w:fill="auto"/>
            <w:vAlign w:val="bottom"/>
          </w:tcPr>
          <w:p w14:paraId="027217BE" w14:textId="77777777" w:rsidR="003F372F" w:rsidRPr="003C0FB1" w:rsidRDefault="003F372F" w:rsidP="00016E64">
            <w:pPr>
              <w:spacing w:line="0" w:lineRule="atLeast"/>
              <w:jc w:val="both"/>
              <w:rPr>
                <w:rFonts w:ascii="Times New Roman" w:eastAsia="Arial" w:hAnsi="Times New Roman" w:cs="Times New Roman"/>
                <w:sz w:val="24"/>
                <w:szCs w:val="24"/>
              </w:rPr>
            </w:pPr>
            <w:r w:rsidRPr="003C0FB1">
              <w:rPr>
                <w:rFonts w:ascii="Times New Roman" w:eastAsia="Arial" w:hAnsi="Times New Roman" w:cs="Times New Roman"/>
                <w:sz w:val="24"/>
                <w:szCs w:val="24"/>
              </w:rPr>
              <w:t>2.014102864</w:t>
            </w:r>
          </w:p>
        </w:tc>
      </w:tr>
    </w:tbl>
    <w:p w14:paraId="1384F3AB" w14:textId="5B561FF2" w:rsidR="003F372F" w:rsidRPr="003A3B46" w:rsidRDefault="003F372F" w:rsidP="00016E64">
      <w:pPr>
        <w:jc w:val="both"/>
        <w:rPr>
          <w:rFonts w:ascii="Times New Roman" w:hAnsi="Times New Roman" w:cs="Times New Roman"/>
          <w:sz w:val="20"/>
          <w:szCs w:val="24"/>
        </w:rPr>
      </w:pPr>
      <w:r w:rsidRPr="00A82437">
        <w:rPr>
          <w:rFonts w:ascii="Times New Roman" w:eastAsia="Arial" w:hAnsi="Times New Roman" w:cs="Times New Roman"/>
          <w:b/>
          <w:sz w:val="20"/>
          <w:szCs w:val="24"/>
        </w:rPr>
        <w:t xml:space="preserve">Table 3: </w:t>
      </w:r>
      <w:r w:rsidRPr="00A82437">
        <w:rPr>
          <w:rFonts w:ascii="Times New Roman" w:eastAsia="Arial" w:hAnsi="Times New Roman" w:cs="Times New Roman"/>
          <w:sz w:val="20"/>
          <w:szCs w:val="24"/>
        </w:rPr>
        <w:t>The score lower than 1.8 means bankruptcy is on the way. Enron had a z-score of 1.531839 in 1999 and 0.840042 in 1998, which means that the company did</w:t>
      </w:r>
      <w:r w:rsidRPr="00A82437">
        <w:rPr>
          <w:rFonts w:ascii="Times New Roman" w:eastAsia="Arial" w:hAnsi="Times New Roman" w:cs="Times New Roman"/>
          <w:b/>
          <w:sz w:val="20"/>
          <w:szCs w:val="24"/>
        </w:rPr>
        <w:t xml:space="preserve"> </w:t>
      </w:r>
      <w:r w:rsidRPr="00A82437">
        <w:rPr>
          <w:rFonts w:ascii="Times New Roman" w:eastAsia="Arial" w:hAnsi="Times New Roman" w:cs="Times New Roman"/>
          <w:sz w:val="20"/>
          <w:szCs w:val="24"/>
        </w:rPr>
        <w:t>show early signs of bankruptcy</w:t>
      </w:r>
      <w:r w:rsidR="003A3B46">
        <w:rPr>
          <w:rFonts w:ascii="Times New Roman" w:hAnsi="Times New Roman" w:cs="Times New Roman"/>
          <w:sz w:val="20"/>
          <w:szCs w:val="24"/>
        </w:rPr>
        <w:t>.</w:t>
      </w:r>
    </w:p>
    <w:p w14:paraId="6E84913A" w14:textId="20B55EC4" w:rsidR="003F372F" w:rsidRPr="003C0FB1" w:rsidRDefault="008A14BA" w:rsidP="00016E64">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BB5892">
        <w:rPr>
          <w:rFonts w:ascii="Times New Roman" w:hAnsi="Times New Roman" w:cs="Times New Roman"/>
          <w:b/>
          <w:sz w:val="24"/>
          <w:szCs w:val="24"/>
        </w:rPr>
        <w:t>.</w:t>
      </w:r>
      <w:r w:rsidR="001F06DF">
        <w:rPr>
          <w:rFonts w:ascii="Times New Roman" w:hAnsi="Times New Roman" w:cs="Times New Roman"/>
          <w:b/>
          <w:sz w:val="24"/>
          <w:szCs w:val="24"/>
        </w:rPr>
        <w:tab/>
      </w:r>
      <w:r w:rsidR="003F372F" w:rsidRPr="003C0FB1">
        <w:rPr>
          <w:rFonts w:ascii="Times New Roman" w:hAnsi="Times New Roman" w:cs="Times New Roman"/>
          <w:b/>
          <w:sz w:val="24"/>
          <w:szCs w:val="24"/>
        </w:rPr>
        <w:t>Discussion of Results</w:t>
      </w:r>
    </w:p>
    <w:p w14:paraId="6EC4616B" w14:textId="77777777"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 xml:space="preserve">In the Altman's </w:t>
      </w:r>
      <w:r w:rsidRPr="00AB598E">
        <w:rPr>
          <w:rFonts w:ascii="Times New Roman" w:hAnsi="Times New Roman" w:cs="Times New Roman"/>
          <w:i/>
          <w:sz w:val="24"/>
          <w:szCs w:val="24"/>
        </w:rPr>
        <w:t>Z</w:t>
      </w:r>
      <w:r w:rsidRPr="003C0FB1">
        <w:rPr>
          <w:rFonts w:ascii="Times New Roman" w:hAnsi="Times New Roman" w:cs="Times New Roman"/>
          <w:sz w:val="24"/>
          <w:szCs w:val="24"/>
        </w:rPr>
        <w:t>-score computation, all companies found to have a z-score that is more significant than 2.99 would be classified as non-bankrupt, while those companies which would be found to have a z-score of below 1.81 would be declared bankrupt. The difference between 1.81 to 2.99 is commonly known as a grey zone referred to as a zone of ignorance because of the particular vulnerability to misclassification. The aggregate z-score for Enron Corporation for the period 1997 to 2001 was 1.611, which is lower than the required 1.81. Thus, it indicates that the company was classified as bankrupt as early as 1997. The z-score of the following years have also stated the company to be bankrupt. Thus, Enron fraud could be detected as early as 1997 when the company was bankrupt but altered its financial information</w:t>
      </w:r>
      <w:r w:rsidRPr="003C0FB1">
        <w:rPr>
          <w:rFonts w:ascii="Times New Roman" w:hAnsi="Times New Roman" w:cs="Times New Roman"/>
          <w:color w:val="333333"/>
          <w:sz w:val="24"/>
          <w:szCs w:val="24"/>
          <w:shd w:val="clear" w:color="auto" w:fill="FFFFFF"/>
        </w:rPr>
        <w:t xml:space="preserve"> (Hariri et al., 2017)</w:t>
      </w:r>
      <w:r w:rsidRPr="003C0FB1">
        <w:rPr>
          <w:rFonts w:ascii="Times New Roman" w:hAnsi="Times New Roman" w:cs="Times New Roman"/>
          <w:sz w:val="24"/>
          <w:szCs w:val="24"/>
        </w:rPr>
        <w:t>.</w:t>
      </w:r>
    </w:p>
    <w:p w14:paraId="7EDA2FBE" w14:textId="1E5140B6" w:rsidR="003F372F" w:rsidRPr="003C0FB1"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 xml:space="preserve">In determining the Beneish model, a score greater than -2.22 would indicate that the company manipulated its financial statements to show positive earnings. In the case of Enron, the Beneish model suggests that the company's financial statements appeared to have been altered from 1998 when its m-score was 2.426. Based on the metrics developed by Beneish, there is a high probability that the company's financial statements were falsified to show that the company was performing well. However, the individual indices used in this analysis indicate quite mixed results given that of the eight indices used, only </w:t>
      </w:r>
      <w:r w:rsidRPr="00AB598E">
        <w:rPr>
          <w:rFonts w:ascii="Times New Roman" w:hAnsi="Times New Roman" w:cs="Times New Roman"/>
          <w:i/>
          <w:sz w:val="24"/>
          <w:szCs w:val="24"/>
        </w:rPr>
        <w:t>SGI, AQI</w:t>
      </w:r>
      <w:r w:rsidRPr="003C0FB1">
        <w:rPr>
          <w:rFonts w:ascii="Times New Roman" w:hAnsi="Times New Roman" w:cs="Times New Roman"/>
          <w:sz w:val="24"/>
          <w:szCs w:val="24"/>
        </w:rPr>
        <w:t xml:space="preserve"> and </w:t>
      </w:r>
      <w:r w:rsidRPr="00AB598E">
        <w:rPr>
          <w:rFonts w:ascii="Times New Roman" w:hAnsi="Times New Roman" w:cs="Times New Roman"/>
          <w:i/>
          <w:sz w:val="24"/>
          <w:szCs w:val="24"/>
        </w:rPr>
        <w:t>LEVI</w:t>
      </w:r>
      <w:r w:rsidRPr="003C0FB1">
        <w:rPr>
          <w:rFonts w:ascii="Times New Roman" w:hAnsi="Times New Roman" w:cs="Times New Roman"/>
          <w:sz w:val="24"/>
          <w:szCs w:val="24"/>
        </w:rPr>
        <w:t xml:space="preserve"> suggested values greater than 1998, thus supporting the results of the</w:t>
      </w:r>
      <w:r w:rsidR="00D93489">
        <w:rPr>
          <w:rFonts w:ascii="Times New Roman" w:hAnsi="Times New Roman" w:cs="Times New Roman"/>
          <w:sz w:val="24"/>
          <w:szCs w:val="24"/>
        </w:rPr>
        <w:t xml:space="preserve"> </w:t>
      </w:r>
      <w:r w:rsidRPr="003C0FB1">
        <w:rPr>
          <w:rFonts w:ascii="Times New Roman" w:hAnsi="Times New Roman" w:cs="Times New Roman"/>
          <w:sz w:val="24"/>
          <w:szCs w:val="24"/>
        </w:rPr>
        <w:t>m-score (Li, 2010).</w:t>
      </w:r>
    </w:p>
    <w:p w14:paraId="3D810AD7" w14:textId="12146374" w:rsidR="00E874FC" w:rsidRPr="003C0FB1" w:rsidRDefault="003A3B46" w:rsidP="00016E6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F372F" w:rsidRPr="003C0FB1">
        <w:rPr>
          <w:rFonts w:ascii="Times New Roman" w:hAnsi="Times New Roman" w:cs="Times New Roman"/>
          <w:sz w:val="24"/>
          <w:szCs w:val="24"/>
        </w:rPr>
        <w:t>The difference in m-score and z-score may not categorically be inexplicable. It may suggest that the manipulation of data in 1998 was to cover particularly for the company's financial problems in 1997. The results of them-score are significant with studies of Banish, which indicate that the financial statement of the date was characteristically altered, thus leading to the early flagging of Enron in 1998.</w:t>
      </w:r>
    </w:p>
    <w:p w14:paraId="5E2A3551" w14:textId="423FD4F4" w:rsidR="003F372F" w:rsidRPr="003C0FB1" w:rsidRDefault="00BB5892" w:rsidP="00016E64">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r w:rsidR="001F06DF">
        <w:rPr>
          <w:rFonts w:ascii="Times New Roman" w:hAnsi="Times New Roman" w:cs="Times New Roman"/>
          <w:b/>
          <w:sz w:val="24"/>
          <w:szCs w:val="24"/>
        </w:rPr>
        <w:tab/>
      </w:r>
      <w:r w:rsidR="003F372F" w:rsidRPr="003C0FB1">
        <w:rPr>
          <w:rFonts w:ascii="Times New Roman" w:hAnsi="Times New Roman" w:cs="Times New Roman"/>
          <w:b/>
          <w:sz w:val="24"/>
          <w:szCs w:val="24"/>
        </w:rPr>
        <w:t>Conclusion</w:t>
      </w:r>
    </w:p>
    <w:p w14:paraId="61FF2C4C" w14:textId="77777777" w:rsidR="00BB5892" w:rsidRDefault="003F372F" w:rsidP="00016E64">
      <w:pPr>
        <w:spacing w:line="480" w:lineRule="auto"/>
        <w:ind w:firstLine="720"/>
        <w:jc w:val="both"/>
        <w:rPr>
          <w:rFonts w:ascii="Times New Roman" w:hAnsi="Times New Roman" w:cs="Times New Roman"/>
          <w:sz w:val="24"/>
          <w:szCs w:val="24"/>
        </w:rPr>
      </w:pPr>
      <w:r w:rsidRPr="003C0FB1">
        <w:rPr>
          <w:rFonts w:ascii="Times New Roman" w:hAnsi="Times New Roman" w:cs="Times New Roman"/>
          <w:sz w:val="24"/>
          <w:szCs w:val="24"/>
        </w:rPr>
        <w:t>Based on the results above, the paper concludes that, without any doubt, the fraud committed by Enron Corporation could be detected between the periods 1999 to 2000. The fraudulent activities of the company could be seen using the tools used above. It is important to note that it could be handled using the following methods, prevention, detection and control after detection of fraud in the company.</w:t>
      </w:r>
    </w:p>
    <w:p w14:paraId="4C49A3BB" w14:textId="338F0A79" w:rsidR="00BB5892" w:rsidRPr="00BB5892" w:rsidRDefault="00BB5892" w:rsidP="00016E64">
      <w:pPr>
        <w:spacing w:line="480" w:lineRule="auto"/>
        <w:jc w:val="both"/>
        <w:rPr>
          <w:rFonts w:ascii="Times New Roman" w:hAnsi="Times New Roman" w:cs="Times New Roman"/>
          <w:b/>
          <w:sz w:val="24"/>
          <w:szCs w:val="24"/>
        </w:rPr>
      </w:pPr>
      <w:r w:rsidRPr="00BB5892">
        <w:rPr>
          <w:rFonts w:ascii="Times New Roman" w:hAnsi="Times New Roman" w:cs="Times New Roman"/>
          <w:b/>
          <w:sz w:val="24"/>
          <w:szCs w:val="24"/>
        </w:rPr>
        <w:t>Acknowledgements</w:t>
      </w:r>
    </w:p>
    <w:p w14:paraId="50F12F57" w14:textId="401B1E91" w:rsidR="003F372F" w:rsidRPr="003C0FB1" w:rsidRDefault="003F372F" w:rsidP="00016E64">
      <w:pPr>
        <w:spacing w:line="480" w:lineRule="auto"/>
        <w:jc w:val="both"/>
        <w:rPr>
          <w:rFonts w:ascii="Times New Roman" w:hAnsi="Times New Roman" w:cs="Times New Roman"/>
          <w:sz w:val="24"/>
          <w:szCs w:val="24"/>
        </w:rPr>
      </w:pPr>
      <w:r w:rsidRPr="003C0FB1">
        <w:rPr>
          <w:rFonts w:ascii="Times New Roman" w:hAnsi="Times New Roman" w:cs="Times New Roman"/>
          <w:sz w:val="24"/>
          <w:szCs w:val="24"/>
        </w:rPr>
        <w:br w:type="page"/>
      </w:r>
    </w:p>
    <w:p w14:paraId="4FB20E0C" w14:textId="77777777" w:rsidR="003F372F" w:rsidRPr="001F06DF" w:rsidRDefault="003F372F" w:rsidP="00016E64">
      <w:pPr>
        <w:jc w:val="both"/>
        <w:rPr>
          <w:rFonts w:ascii="Times New Roman" w:eastAsia="Times New Roman" w:hAnsi="Times New Roman" w:cs="Times New Roman"/>
          <w:b/>
          <w:sz w:val="24"/>
          <w:szCs w:val="24"/>
        </w:rPr>
      </w:pPr>
      <w:r w:rsidRPr="001F06DF">
        <w:rPr>
          <w:rFonts w:ascii="Times New Roman" w:eastAsia="Times New Roman" w:hAnsi="Times New Roman" w:cs="Times New Roman"/>
          <w:b/>
          <w:sz w:val="24"/>
          <w:szCs w:val="24"/>
        </w:rPr>
        <w:lastRenderedPageBreak/>
        <w:t>References</w:t>
      </w:r>
    </w:p>
    <w:p w14:paraId="7CD1BC58" w14:textId="77777777" w:rsidR="003F372F" w:rsidRPr="003C0FB1" w:rsidRDefault="003F372F" w:rsidP="00016E64">
      <w:pPr>
        <w:pStyle w:val="NormalWeb"/>
        <w:spacing w:before="0" w:beforeAutospacing="0" w:after="0" w:afterAutospacing="0" w:line="550" w:lineRule="atLeast"/>
        <w:ind w:left="720" w:hanging="720"/>
        <w:jc w:val="both"/>
      </w:pPr>
      <w:r w:rsidRPr="003C0FB1">
        <w:t xml:space="preserve">Akra, R. M., &amp; Chaya, J. K. (2020). undefined. </w:t>
      </w:r>
      <w:r w:rsidRPr="003C0FB1">
        <w:rPr>
          <w:rStyle w:val="Emphasis"/>
        </w:rPr>
        <w:t>International Journal of Business and Management</w:t>
      </w:r>
      <w:r w:rsidRPr="003C0FB1">
        <w:t xml:space="preserve">, </w:t>
      </w:r>
      <w:r w:rsidRPr="003C0FB1">
        <w:rPr>
          <w:rStyle w:val="Emphasis"/>
        </w:rPr>
        <w:t>15</w:t>
      </w:r>
      <w:r w:rsidRPr="003C0FB1">
        <w:t xml:space="preserve">(10), 70. </w:t>
      </w:r>
      <w:hyperlink r:id="rId7" w:history="1">
        <w:r w:rsidRPr="003C0FB1">
          <w:rPr>
            <w:rStyle w:val="Hyperlink"/>
          </w:rPr>
          <w:t>https://doi.org/10.5539/ijbm.v15n10p70</w:t>
        </w:r>
      </w:hyperlink>
    </w:p>
    <w:p w14:paraId="740CCBB2" w14:textId="77777777" w:rsidR="003F372F" w:rsidRPr="000D6C2C" w:rsidRDefault="003F372F" w:rsidP="00016E64">
      <w:pPr>
        <w:pStyle w:val="NormalWeb"/>
        <w:spacing w:before="0" w:beforeAutospacing="0" w:after="0" w:afterAutospacing="0" w:line="550" w:lineRule="atLeast"/>
        <w:ind w:left="720" w:hanging="720"/>
        <w:jc w:val="both"/>
        <w:rPr>
          <w:lang w:val="es-MX"/>
        </w:rPr>
      </w:pPr>
      <w:r w:rsidRPr="003C0FB1">
        <w:t xml:space="preserve">Boddy, C. R. (2019). Enron scandal. </w:t>
      </w:r>
      <w:r w:rsidRPr="003C0FB1">
        <w:rPr>
          <w:rStyle w:val="Emphasis"/>
        </w:rPr>
        <w:t>Encyclopedia of Business and Professional Ethics</w:t>
      </w:r>
      <w:r w:rsidRPr="003C0FB1">
        <w:t xml:space="preserve">, 1-4. </w:t>
      </w:r>
      <w:hyperlink r:id="rId8" w:history="1">
        <w:r w:rsidRPr="000D6C2C">
          <w:rPr>
            <w:rStyle w:val="Hyperlink"/>
            <w:lang w:val="es-MX"/>
          </w:rPr>
          <w:t>https://doi.org/10.1007/978-3-319-23514-1_2-2</w:t>
        </w:r>
      </w:hyperlink>
    </w:p>
    <w:p w14:paraId="1AE2E617" w14:textId="1214C62E" w:rsidR="0087778B" w:rsidRPr="0087778B" w:rsidRDefault="0087778B" w:rsidP="00016E64">
      <w:pPr>
        <w:pStyle w:val="NormalWeb"/>
        <w:spacing w:before="0" w:beforeAutospacing="0" w:after="0" w:afterAutospacing="0" w:line="550" w:lineRule="atLeast"/>
        <w:ind w:left="720" w:hanging="720"/>
        <w:jc w:val="both"/>
        <w:rPr>
          <w:lang w:val="es-MX"/>
        </w:rPr>
      </w:pPr>
      <w:r w:rsidRPr="000D6C2C">
        <w:rPr>
          <w:lang w:val="es-MX"/>
        </w:rPr>
        <w:t xml:space="preserve">Hariri, H., Pradana, A. W., &amp; Widjajanti, S. L. (2017). </w:t>
      </w:r>
      <w:r w:rsidRPr="003C0FB1">
        <w:t xml:space="preserve">Predicting financial statements corporate fraud: Beneish M-score model. </w:t>
      </w:r>
      <w:r w:rsidRPr="000D6C2C">
        <w:rPr>
          <w:rStyle w:val="Emphasis"/>
          <w:lang w:val="es-MX"/>
        </w:rPr>
        <w:t>JEMA: Jurnal Ilmiah Bidang Akuntansi dan Manajemen</w:t>
      </w:r>
      <w:r w:rsidRPr="000D6C2C">
        <w:rPr>
          <w:lang w:val="es-MX"/>
        </w:rPr>
        <w:t xml:space="preserve">, </w:t>
      </w:r>
      <w:r w:rsidRPr="000D6C2C">
        <w:rPr>
          <w:rStyle w:val="Emphasis"/>
          <w:lang w:val="es-MX"/>
        </w:rPr>
        <w:t>14</w:t>
      </w:r>
      <w:r w:rsidRPr="000D6C2C">
        <w:rPr>
          <w:lang w:val="es-MX"/>
        </w:rPr>
        <w:t xml:space="preserve">(02), 92. </w:t>
      </w:r>
      <w:hyperlink r:id="rId9" w:history="1">
        <w:r w:rsidRPr="000D6C2C">
          <w:rPr>
            <w:rStyle w:val="Hyperlink"/>
            <w:lang w:val="es-MX"/>
          </w:rPr>
          <w:t>https://doi.org/10.31106/jema.v14i02.506</w:t>
        </w:r>
      </w:hyperlink>
    </w:p>
    <w:p w14:paraId="5F692839" w14:textId="77777777" w:rsidR="003F372F" w:rsidRPr="003C0FB1" w:rsidRDefault="003F372F" w:rsidP="00016E64">
      <w:pPr>
        <w:pStyle w:val="NormalWeb"/>
        <w:spacing w:before="0" w:beforeAutospacing="0" w:after="0" w:afterAutospacing="0" w:line="550" w:lineRule="atLeast"/>
        <w:ind w:left="720" w:hanging="720"/>
        <w:jc w:val="both"/>
      </w:pPr>
      <w:r w:rsidRPr="003C0FB1">
        <w:t xml:space="preserve">Li, Y. (2010). The case analysis of the scandal of Enron. </w:t>
      </w:r>
      <w:r w:rsidRPr="003C0FB1">
        <w:rPr>
          <w:rStyle w:val="Emphasis"/>
        </w:rPr>
        <w:t>International Journal of Business and Management</w:t>
      </w:r>
      <w:r w:rsidRPr="003C0FB1">
        <w:t xml:space="preserve">, </w:t>
      </w:r>
      <w:r w:rsidRPr="003C0FB1">
        <w:rPr>
          <w:rStyle w:val="Emphasis"/>
        </w:rPr>
        <w:t>5</w:t>
      </w:r>
      <w:r w:rsidRPr="003C0FB1">
        <w:t xml:space="preserve">(10). </w:t>
      </w:r>
      <w:hyperlink r:id="rId10" w:history="1">
        <w:r w:rsidRPr="003C0FB1">
          <w:rPr>
            <w:rStyle w:val="Hyperlink"/>
          </w:rPr>
          <w:t>https://doi.org/10.5539/ijbm.v5n10p37</w:t>
        </w:r>
      </w:hyperlink>
    </w:p>
    <w:p w14:paraId="6038E9C6" w14:textId="77777777" w:rsidR="003F372F" w:rsidRPr="003C0FB1" w:rsidRDefault="003F372F" w:rsidP="00016E64">
      <w:pPr>
        <w:pStyle w:val="NormalWeb"/>
        <w:spacing w:before="0" w:beforeAutospacing="0" w:after="0" w:afterAutospacing="0" w:line="550" w:lineRule="atLeast"/>
        <w:ind w:left="720" w:hanging="720"/>
        <w:jc w:val="both"/>
      </w:pPr>
      <w:r w:rsidRPr="003C0FB1">
        <w:t xml:space="preserve">Lucas, N., &amp; Koerwer, V. S. (2004). Featured interview Sherron Watkins, former vice president for corporate development of Enron. </w:t>
      </w:r>
      <w:r w:rsidRPr="003C0FB1">
        <w:rPr>
          <w:rStyle w:val="Emphasis"/>
        </w:rPr>
        <w:t>Journal of Leadership &amp; Organizational Studies</w:t>
      </w:r>
      <w:r w:rsidRPr="003C0FB1">
        <w:t xml:space="preserve">, </w:t>
      </w:r>
      <w:r w:rsidRPr="003C0FB1">
        <w:rPr>
          <w:rStyle w:val="Emphasis"/>
        </w:rPr>
        <w:t>11</w:t>
      </w:r>
      <w:r w:rsidRPr="003C0FB1">
        <w:t xml:space="preserve">(1), 38-47. </w:t>
      </w:r>
      <w:hyperlink r:id="rId11" w:history="1">
        <w:r w:rsidRPr="003C0FB1">
          <w:rPr>
            <w:rStyle w:val="Hyperlink"/>
          </w:rPr>
          <w:t>https://doi.org/10.1177/107179190401100106</w:t>
        </w:r>
      </w:hyperlink>
    </w:p>
    <w:p w14:paraId="026D2D52" w14:textId="77777777" w:rsidR="003F372F" w:rsidRPr="003C0FB1" w:rsidRDefault="003F372F" w:rsidP="00016E64">
      <w:pPr>
        <w:pStyle w:val="NormalWeb"/>
        <w:spacing w:before="0" w:beforeAutospacing="0" w:after="0" w:afterAutospacing="0" w:line="550" w:lineRule="atLeast"/>
        <w:ind w:left="720" w:hanging="720"/>
        <w:jc w:val="both"/>
      </w:pPr>
      <w:r w:rsidRPr="003C0FB1">
        <w:t xml:space="preserve">Rosoff, S. M. (2007). The role of the mass media in the Enron fraud. </w:t>
      </w:r>
      <w:r w:rsidRPr="003C0FB1">
        <w:rPr>
          <w:rStyle w:val="Emphasis"/>
        </w:rPr>
        <w:t>International Handbook of White-Collar and Corporate Crime</w:t>
      </w:r>
      <w:r w:rsidRPr="003C0FB1">
        <w:t xml:space="preserve">, 513-522. </w:t>
      </w:r>
      <w:hyperlink r:id="rId12" w:history="1">
        <w:r w:rsidRPr="003C0FB1">
          <w:rPr>
            <w:rStyle w:val="Hyperlink"/>
          </w:rPr>
          <w:t>https://doi.org/10.1007/978-0-387-34111-8_25</w:t>
        </w:r>
      </w:hyperlink>
    </w:p>
    <w:p w14:paraId="317054D8" w14:textId="77777777" w:rsidR="003F372F" w:rsidRPr="003C0FB1" w:rsidRDefault="003F372F" w:rsidP="00016E64">
      <w:pPr>
        <w:pStyle w:val="NormalWeb"/>
        <w:spacing w:before="0" w:beforeAutospacing="0" w:after="0" w:afterAutospacing="0" w:line="550" w:lineRule="atLeast"/>
        <w:ind w:left="720" w:hanging="720"/>
        <w:jc w:val="both"/>
      </w:pPr>
      <w:r w:rsidRPr="000D6C2C">
        <w:rPr>
          <w:lang w:val="es-MX"/>
        </w:rPr>
        <w:t xml:space="preserve">Selanda, C. A., &amp; Hasanah, A. (2020). </w:t>
      </w:r>
      <w:r w:rsidRPr="003C0FB1">
        <w:t xml:space="preserve">Analysis of corporate bankruptcy and financial statement fraud prediction using Altman models and Beneish models. </w:t>
      </w:r>
      <w:r w:rsidRPr="003C0FB1">
        <w:rPr>
          <w:rStyle w:val="Emphasis"/>
        </w:rPr>
        <w:t>Proceedings of the 2nd International Conference on Applied Economics and Social Science</w:t>
      </w:r>
      <w:r w:rsidRPr="003C0FB1">
        <w:t xml:space="preserve">. </w:t>
      </w:r>
      <w:hyperlink r:id="rId13" w:history="1">
        <w:r w:rsidRPr="003C0FB1">
          <w:rPr>
            <w:rStyle w:val="Hyperlink"/>
          </w:rPr>
          <w:t>https://doi.org/10.5220/0010354501540164</w:t>
        </w:r>
      </w:hyperlink>
    </w:p>
    <w:p w14:paraId="1D3F859A" w14:textId="77777777" w:rsidR="0087778B" w:rsidRPr="0087778B" w:rsidRDefault="0087778B" w:rsidP="00016E64">
      <w:pPr>
        <w:pStyle w:val="NormalWeb"/>
        <w:spacing w:before="0" w:beforeAutospacing="0" w:after="0" w:afterAutospacing="0" w:line="550" w:lineRule="atLeast"/>
        <w:ind w:left="720" w:hanging="720"/>
        <w:jc w:val="both"/>
      </w:pPr>
      <w:r w:rsidRPr="003C0FB1">
        <w:t xml:space="preserve">The Beneish M‐score model. (2013). </w:t>
      </w:r>
      <w:r w:rsidRPr="003C0FB1">
        <w:rPr>
          <w:rStyle w:val="Emphasis"/>
        </w:rPr>
        <w:t>Using Analytics to Detect Possible Fraud: Tools and Techniques</w:t>
      </w:r>
      <w:r w:rsidRPr="003C0FB1">
        <w:t xml:space="preserve">, 119-170. </w:t>
      </w:r>
      <w:hyperlink r:id="rId14" w:history="1">
        <w:r w:rsidRPr="003C0FB1">
          <w:rPr>
            <w:rStyle w:val="Hyperlink"/>
          </w:rPr>
          <w:t>https://doi.org/10.1002/9781118715789.ch04</w:t>
        </w:r>
      </w:hyperlink>
    </w:p>
    <w:p w14:paraId="3D73A2D6" w14:textId="77777777" w:rsidR="00587BB7" w:rsidRDefault="00B44817" w:rsidP="00016E64">
      <w:pPr>
        <w:jc w:val="both"/>
      </w:pPr>
    </w:p>
    <w:sectPr w:rsidR="00587BB7" w:rsidSect="00B7694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9E90" w16cex:dateUtc="2021-06-09T06:57:00Z"/>
  <w16cex:commentExtensible w16cex:durableId="246A9F3F" w16cex:dateUtc="2021-06-09T07:00:00Z"/>
  <w16cex:commentExtensible w16cex:durableId="246A9EE2" w16cex:dateUtc="2021-06-09T06:58:00Z"/>
  <w16cex:commentExtensible w16cex:durableId="246A9EFD" w16cex:dateUtc="2021-06-09T06:59:00Z"/>
  <w16cex:commentExtensible w16cex:durableId="246A9F16" w16cex:dateUtc="2021-06-09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02D0A" w16cid:durableId="246A9E90"/>
  <w16cid:commentId w16cid:paraId="42678E6C" w16cid:durableId="246A9F3F"/>
  <w16cid:commentId w16cid:paraId="16F23744" w16cid:durableId="246A9EE2"/>
  <w16cid:commentId w16cid:paraId="68383E09" w16cid:durableId="246A9EFD"/>
  <w16cid:commentId w16cid:paraId="41A1DBAE" w16cid:durableId="246A9F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2AEB" w14:textId="77777777" w:rsidR="00B44817" w:rsidRDefault="00B44817">
      <w:pPr>
        <w:spacing w:after="0" w:line="240" w:lineRule="auto"/>
      </w:pPr>
      <w:r>
        <w:separator/>
      </w:r>
    </w:p>
  </w:endnote>
  <w:endnote w:type="continuationSeparator" w:id="0">
    <w:p w14:paraId="5041DA6F" w14:textId="77777777" w:rsidR="00B44817" w:rsidRDefault="00B4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A983" w14:textId="77777777" w:rsidR="00E75BB0" w:rsidRDefault="00E75B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A91A4" w14:textId="77777777" w:rsidR="00E75BB0" w:rsidRDefault="00E75B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D79C" w14:textId="77777777" w:rsidR="00E75BB0" w:rsidRDefault="00E75B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08F8" w14:textId="77777777" w:rsidR="00B44817" w:rsidRDefault="00B44817">
      <w:pPr>
        <w:spacing w:after="0" w:line="240" w:lineRule="auto"/>
      </w:pPr>
      <w:r>
        <w:separator/>
      </w:r>
    </w:p>
  </w:footnote>
  <w:footnote w:type="continuationSeparator" w:id="0">
    <w:p w14:paraId="73EAEFE8" w14:textId="77777777" w:rsidR="00B44817" w:rsidRDefault="00B4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6161" w14:textId="77777777" w:rsidR="00E75BB0" w:rsidRDefault="00E75B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01754758"/>
      <w:docPartObj>
        <w:docPartGallery w:val="Page Numbers (Top of Page)"/>
        <w:docPartUnique/>
      </w:docPartObj>
    </w:sdtPr>
    <w:sdtEndPr>
      <w:rPr>
        <w:noProof/>
      </w:rPr>
    </w:sdtEndPr>
    <w:sdtContent>
      <w:p w14:paraId="6891318B" w14:textId="638CC466" w:rsidR="00B76948" w:rsidRPr="00B76948" w:rsidRDefault="005570DD" w:rsidP="00B76948">
        <w:pPr>
          <w:pStyle w:val="Header"/>
          <w:rPr>
            <w:rFonts w:ascii="Times New Roman" w:hAnsi="Times New Roman" w:cs="Times New Roman"/>
            <w:sz w:val="24"/>
            <w:szCs w:val="24"/>
          </w:rPr>
        </w:pPr>
        <w:r w:rsidRPr="00B76948">
          <w:rPr>
            <w:rFonts w:ascii="Times New Roman" w:hAnsi="Times New Roman" w:cs="Times New Roman"/>
            <w:color w:val="333333"/>
            <w:sz w:val="24"/>
            <w:szCs w:val="24"/>
            <w:shd w:val="clear" w:color="auto" w:fill="FFFFFF"/>
          </w:rPr>
          <w:t>INVESTMENTS, TAXATION, &amp; FRAUD</w:t>
        </w:r>
        <w:r w:rsidRPr="00B76948">
          <w:rPr>
            <w:rFonts w:ascii="Times New Roman" w:hAnsi="Times New Roman" w:cs="Times New Roman"/>
            <w:color w:val="333333"/>
            <w:sz w:val="24"/>
            <w:szCs w:val="24"/>
            <w:shd w:val="clear" w:color="auto" w:fill="FFFFFF"/>
          </w:rPr>
          <w:tab/>
        </w:r>
        <w:r w:rsidRPr="00B76948">
          <w:rPr>
            <w:rFonts w:ascii="Times New Roman" w:hAnsi="Times New Roman" w:cs="Times New Roman"/>
            <w:color w:val="333333"/>
            <w:sz w:val="24"/>
            <w:szCs w:val="24"/>
            <w:shd w:val="clear" w:color="auto" w:fill="FFFFFF"/>
          </w:rPr>
          <w:tab/>
        </w:r>
        <w:r w:rsidRPr="00B76948">
          <w:rPr>
            <w:rFonts w:ascii="Times New Roman" w:hAnsi="Times New Roman" w:cs="Times New Roman"/>
            <w:sz w:val="24"/>
            <w:szCs w:val="24"/>
          </w:rPr>
          <w:fldChar w:fldCharType="begin"/>
        </w:r>
        <w:r w:rsidRPr="00B76948">
          <w:rPr>
            <w:rFonts w:ascii="Times New Roman" w:hAnsi="Times New Roman" w:cs="Times New Roman"/>
            <w:sz w:val="24"/>
            <w:szCs w:val="24"/>
          </w:rPr>
          <w:instrText xml:space="preserve"> PAGE   \* MERGEFORMAT </w:instrText>
        </w:r>
        <w:r w:rsidRPr="00B76948">
          <w:rPr>
            <w:rFonts w:ascii="Times New Roman" w:hAnsi="Times New Roman" w:cs="Times New Roman"/>
            <w:sz w:val="24"/>
            <w:szCs w:val="24"/>
          </w:rPr>
          <w:fldChar w:fldCharType="separate"/>
        </w:r>
        <w:r w:rsidR="001E0A64">
          <w:rPr>
            <w:rFonts w:ascii="Times New Roman" w:hAnsi="Times New Roman" w:cs="Times New Roman"/>
            <w:noProof/>
            <w:sz w:val="24"/>
            <w:szCs w:val="24"/>
          </w:rPr>
          <w:t>15</w:t>
        </w:r>
        <w:r w:rsidRPr="00B76948">
          <w:rPr>
            <w:rFonts w:ascii="Times New Roman" w:hAnsi="Times New Roman" w:cs="Times New Roman"/>
            <w:noProof/>
            <w:sz w:val="24"/>
            <w:szCs w:val="24"/>
          </w:rPr>
          <w:fldChar w:fldCharType="end"/>
        </w:r>
      </w:p>
    </w:sdtContent>
  </w:sdt>
  <w:p w14:paraId="2526842E" w14:textId="77777777" w:rsidR="00B76948" w:rsidRDefault="00B448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65919337"/>
      <w:docPartObj>
        <w:docPartGallery w:val="Page Numbers (Top of Page)"/>
        <w:docPartUnique/>
      </w:docPartObj>
    </w:sdtPr>
    <w:sdtEndPr>
      <w:rPr>
        <w:noProof/>
      </w:rPr>
    </w:sdtEndPr>
    <w:sdtContent>
      <w:p w14:paraId="71B8B07E" w14:textId="096675EA" w:rsidR="00B76948" w:rsidRPr="00B76948" w:rsidRDefault="005570DD" w:rsidP="00B76948">
        <w:pPr>
          <w:pStyle w:val="Header"/>
          <w:rPr>
            <w:rFonts w:ascii="Times New Roman" w:hAnsi="Times New Roman" w:cs="Times New Roman"/>
            <w:sz w:val="24"/>
            <w:szCs w:val="24"/>
          </w:rPr>
        </w:pPr>
        <w:r w:rsidRPr="00B76948">
          <w:rPr>
            <w:rFonts w:ascii="Times New Roman" w:hAnsi="Times New Roman" w:cs="Times New Roman"/>
            <w:sz w:val="24"/>
            <w:szCs w:val="24"/>
          </w:rPr>
          <w:t>Running Head:</w:t>
        </w:r>
        <w:r w:rsidRPr="00B76948">
          <w:rPr>
            <w:rFonts w:ascii="Times New Roman" w:hAnsi="Times New Roman" w:cs="Times New Roman"/>
            <w:color w:val="333333"/>
            <w:sz w:val="24"/>
            <w:szCs w:val="24"/>
            <w:shd w:val="clear" w:color="auto" w:fill="FFFFFF"/>
          </w:rPr>
          <w:t xml:space="preserve"> INVESTMENTS, TAXATION, &amp; </w:t>
        </w:r>
        <w:r>
          <w:rPr>
            <w:rFonts w:ascii="Times New Roman" w:hAnsi="Times New Roman" w:cs="Times New Roman"/>
            <w:color w:val="333333"/>
            <w:sz w:val="24"/>
            <w:szCs w:val="24"/>
            <w:shd w:val="clear" w:color="auto" w:fill="FFFFFF"/>
          </w:rPr>
          <w:t>F</w:t>
        </w:r>
        <w:r w:rsidRPr="00B76948">
          <w:rPr>
            <w:rFonts w:ascii="Times New Roman" w:hAnsi="Times New Roman" w:cs="Times New Roman"/>
            <w:color w:val="333333"/>
            <w:sz w:val="24"/>
            <w:szCs w:val="24"/>
            <w:shd w:val="clear" w:color="auto" w:fill="FFFFFF"/>
          </w:rPr>
          <w:t>RAUD</w:t>
        </w:r>
        <w:r w:rsidRPr="00B76948">
          <w:rPr>
            <w:rFonts w:ascii="Times New Roman" w:hAnsi="Times New Roman" w:cs="Times New Roman"/>
            <w:color w:val="333333"/>
            <w:sz w:val="24"/>
            <w:szCs w:val="24"/>
            <w:shd w:val="clear" w:color="auto" w:fill="FFFFFF"/>
          </w:rPr>
          <w:tab/>
        </w:r>
        <w:r w:rsidRPr="00B76948">
          <w:rPr>
            <w:rFonts w:ascii="Times New Roman" w:hAnsi="Times New Roman" w:cs="Times New Roman"/>
            <w:sz w:val="24"/>
            <w:szCs w:val="24"/>
          </w:rPr>
          <w:fldChar w:fldCharType="begin"/>
        </w:r>
        <w:r w:rsidRPr="00B76948">
          <w:rPr>
            <w:rFonts w:ascii="Times New Roman" w:hAnsi="Times New Roman" w:cs="Times New Roman"/>
            <w:sz w:val="24"/>
            <w:szCs w:val="24"/>
          </w:rPr>
          <w:instrText xml:space="preserve"> PAGE   \* MERGEFORMAT </w:instrText>
        </w:r>
        <w:r w:rsidRPr="00B76948">
          <w:rPr>
            <w:rFonts w:ascii="Times New Roman" w:hAnsi="Times New Roman" w:cs="Times New Roman"/>
            <w:sz w:val="24"/>
            <w:szCs w:val="24"/>
          </w:rPr>
          <w:fldChar w:fldCharType="separate"/>
        </w:r>
        <w:r w:rsidR="001E0A64">
          <w:rPr>
            <w:rFonts w:ascii="Times New Roman" w:hAnsi="Times New Roman" w:cs="Times New Roman"/>
            <w:noProof/>
            <w:sz w:val="24"/>
            <w:szCs w:val="24"/>
          </w:rPr>
          <w:t>1</w:t>
        </w:r>
        <w:r w:rsidRPr="00B76948">
          <w:rPr>
            <w:rFonts w:ascii="Times New Roman" w:hAnsi="Times New Roman" w:cs="Times New Roman"/>
            <w:noProof/>
            <w:sz w:val="24"/>
            <w:szCs w:val="24"/>
          </w:rPr>
          <w:fldChar w:fldCharType="end"/>
        </w:r>
      </w:p>
    </w:sdtContent>
  </w:sdt>
  <w:p w14:paraId="5557CC35" w14:textId="77777777" w:rsidR="00B76948" w:rsidRDefault="00B448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77E02C3C"/>
    <w:multiLevelType w:val="hybridMultilevel"/>
    <w:tmpl w:val="DA9A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1MjKwtDQ0NDA2NrNU0lEKTi0uzszPAykwrgUAWWePOCwAAAA="/>
  </w:docVars>
  <w:rsids>
    <w:rsidRoot w:val="003F372F"/>
    <w:rsid w:val="00016E64"/>
    <w:rsid w:val="000346C0"/>
    <w:rsid w:val="000A71C4"/>
    <w:rsid w:val="000D6C2C"/>
    <w:rsid w:val="00112E11"/>
    <w:rsid w:val="00134C51"/>
    <w:rsid w:val="001559AD"/>
    <w:rsid w:val="00162418"/>
    <w:rsid w:val="001E0A64"/>
    <w:rsid w:val="001F06DF"/>
    <w:rsid w:val="00233D8A"/>
    <w:rsid w:val="002D5F1B"/>
    <w:rsid w:val="003A3B46"/>
    <w:rsid w:val="003F372F"/>
    <w:rsid w:val="00411470"/>
    <w:rsid w:val="00415817"/>
    <w:rsid w:val="004457CE"/>
    <w:rsid w:val="004540ED"/>
    <w:rsid w:val="0049394E"/>
    <w:rsid w:val="004B4160"/>
    <w:rsid w:val="004D495B"/>
    <w:rsid w:val="005117FE"/>
    <w:rsid w:val="00556F85"/>
    <w:rsid w:val="005570DD"/>
    <w:rsid w:val="00583B15"/>
    <w:rsid w:val="006163EE"/>
    <w:rsid w:val="00640825"/>
    <w:rsid w:val="00795023"/>
    <w:rsid w:val="007E3742"/>
    <w:rsid w:val="0087778B"/>
    <w:rsid w:val="008917B2"/>
    <w:rsid w:val="008A14BA"/>
    <w:rsid w:val="008D5810"/>
    <w:rsid w:val="009303C8"/>
    <w:rsid w:val="00991A50"/>
    <w:rsid w:val="00A0053B"/>
    <w:rsid w:val="00A605B4"/>
    <w:rsid w:val="00A74F00"/>
    <w:rsid w:val="00A82437"/>
    <w:rsid w:val="00AB598E"/>
    <w:rsid w:val="00B37C0C"/>
    <w:rsid w:val="00B44817"/>
    <w:rsid w:val="00B531B8"/>
    <w:rsid w:val="00B56E64"/>
    <w:rsid w:val="00B7544A"/>
    <w:rsid w:val="00B75629"/>
    <w:rsid w:val="00BB5892"/>
    <w:rsid w:val="00C34C20"/>
    <w:rsid w:val="00C35FD0"/>
    <w:rsid w:val="00CA6162"/>
    <w:rsid w:val="00D640CA"/>
    <w:rsid w:val="00D93489"/>
    <w:rsid w:val="00DF60B6"/>
    <w:rsid w:val="00E5705A"/>
    <w:rsid w:val="00E75BB0"/>
    <w:rsid w:val="00E874FC"/>
    <w:rsid w:val="00E969EA"/>
    <w:rsid w:val="00EB6927"/>
    <w:rsid w:val="00EF184C"/>
    <w:rsid w:val="00FF1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A2ACB"/>
  <w15:chartTrackingRefBased/>
  <w15:docId w15:val="{CDBCB397-3DC7-4B8B-ACA3-969CE722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72F"/>
  </w:style>
  <w:style w:type="paragraph" w:styleId="NormalWeb">
    <w:name w:val="Normal (Web)"/>
    <w:basedOn w:val="Normal"/>
    <w:uiPriority w:val="99"/>
    <w:semiHidden/>
    <w:unhideWhenUsed/>
    <w:rsid w:val="003F372F"/>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F372F"/>
    <w:rPr>
      <w:i/>
      <w:iCs/>
    </w:rPr>
  </w:style>
  <w:style w:type="character" w:styleId="Hyperlink">
    <w:name w:val="Hyperlink"/>
    <w:basedOn w:val="DefaultParagraphFont"/>
    <w:uiPriority w:val="99"/>
    <w:semiHidden/>
    <w:unhideWhenUsed/>
    <w:rsid w:val="003F372F"/>
    <w:rPr>
      <w:color w:val="0000FF"/>
      <w:u w:val="single"/>
    </w:rPr>
  </w:style>
  <w:style w:type="character" w:styleId="CommentReference">
    <w:name w:val="annotation reference"/>
    <w:basedOn w:val="DefaultParagraphFont"/>
    <w:uiPriority w:val="99"/>
    <w:semiHidden/>
    <w:unhideWhenUsed/>
    <w:rsid w:val="000D6C2C"/>
    <w:rPr>
      <w:sz w:val="16"/>
      <w:szCs w:val="16"/>
    </w:rPr>
  </w:style>
  <w:style w:type="paragraph" w:styleId="CommentText">
    <w:name w:val="annotation text"/>
    <w:basedOn w:val="Normal"/>
    <w:link w:val="CommentTextChar"/>
    <w:uiPriority w:val="99"/>
    <w:semiHidden/>
    <w:unhideWhenUsed/>
    <w:rsid w:val="000D6C2C"/>
    <w:pPr>
      <w:spacing w:line="240" w:lineRule="auto"/>
    </w:pPr>
    <w:rPr>
      <w:sz w:val="20"/>
      <w:szCs w:val="20"/>
    </w:rPr>
  </w:style>
  <w:style w:type="character" w:customStyle="1" w:styleId="CommentTextChar">
    <w:name w:val="Comment Text Char"/>
    <w:basedOn w:val="DefaultParagraphFont"/>
    <w:link w:val="CommentText"/>
    <w:uiPriority w:val="99"/>
    <w:semiHidden/>
    <w:rsid w:val="000D6C2C"/>
    <w:rPr>
      <w:sz w:val="20"/>
      <w:szCs w:val="20"/>
    </w:rPr>
  </w:style>
  <w:style w:type="paragraph" w:styleId="CommentSubject">
    <w:name w:val="annotation subject"/>
    <w:basedOn w:val="CommentText"/>
    <w:next w:val="CommentText"/>
    <w:link w:val="CommentSubjectChar"/>
    <w:uiPriority w:val="99"/>
    <w:semiHidden/>
    <w:unhideWhenUsed/>
    <w:rsid w:val="000D6C2C"/>
    <w:rPr>
      <w:b/>
      <w:bCs/>
    </w:rPr>
  </w:style>
  <w:style w:type="character" w:customStyle="1" w:styleId="CommentSubjectChar">
    <w:name w:val="Comment Subject Char"/>
    <w:basedOn w:val="CommentTextChar"/>
    <w:link w:val="CommentSubject"/>
    <w:uiPriority w:val="99"/>
    <w:semiHidden/>
    <w:rsid w:val="000D6C2C"/>
    <w:rPr>
      <w:b/>
      <w:bCs/>
      <w:sz w:val="20"/>
      <w:szCs w:val="20"/>
    </w:rPr>
  </w:style>
  <w:style w:type="paragraph" w:styleId="BalloonText">
    <w:name w:val="Balloon Text"/>
    <w:basedOn w:val="Normal"/>
    <w:link w:val="BalloonTextChar"/>
    <w:uiPriority w:val="99"/>
    <w:semiHidden/>
    <w:unhideWhenUsed/>
    <w:rsid w:val="0061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EE"/>
    <w:rPr>
      <w:rFonts w:ascii="Segoe UI" w:hAnsi="Segoe UI" w:cs="Segoe UI"/>
      <w:sz w:val="18"/>
      <w:szCs w:val="18"/>
    </w:rPr>
  </w:style>
  <w:style w:type="paragraph" w:styleId="Footer">
    <w:name w:val="footer"/>
    <w:basedOn w:val="Normal"/>
    <w:link w:val="FooterChar"/>
    <w:uiPriority w:val="99"/>
    <w:unhideWhenUsed/>
    <w:rsid w:val="00E7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BB0"/>
  </w:style>
  <w:style w:type="paragraph" w:styleId="ListParagraph">
    <w:name w:val="List Paragraph"/>
    <w:basedOn w:val="Normal"/>
    <w:uiPriority w:val="34"/>
    <w:qFormat/>
    <w:rsid w:val="00411470"/>
    <w:pPr>
      <w:ind w:left="720"/>
      <w:contextualSpacing/>
    </w:pPr>
  </w:style>
  <w:style w:type="character" w:styleId="PlaceholderText">
    <w:name w:val="Placeholder Text"/>
    <w:basedOn w:val="DefaultParagraphFont"/>
    <w:uiPriority w:val="99"/>
    <w:semiHidden/>
    <w:rsid w:val="00415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23514-1_2-2" TargetMode="External"/><Relationship Id="rId13" Type="http://schemas.openxmlformats.org/officeDocument/2006/relationships/hyperlink" Target="https://doi.org/10.5220/001035450154016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5539/ijbm.v15n10p70" TargetMode="External"/><Relationship Id="rId12" Type="http://schemas.openxmlformats.org/officeDocument/2006/relationships/hyperlink" Target="https://doi.org/10.1007/978-0-387-34111-8_25"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07179190401100106"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5539/ijbm.v5n10p3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31106/jema.v14i02.506" TargetMode="External"/><Relationship Id="rId14" Type="http://schemas.openxmlformats.org/officeDocument/2006/relationships/hyperlink" Target="https://doi.org/10.1002/9781118715789.ch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Academy</cp:lastModifiedBy>
  <cp:revision>3</cp:revision>
  <dcterms:created xsi:type="dcterms:W3CDTF">2021-06-28T07:55:00Z</dcterms:created>
  <dcterms:modified xsi:type="dcterms:W3CDTF">2021-06-28T12:55:00Z</dcterms:modified>
</cp:coreProperties>
</file>