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9C66" w14:textId="56E88524" w:rsidR="009C232D" w:rsidRDefault="00517F31" w:rsidP="00D4446A">
      <w:pPr>
        <w:widowControl w:val="0"/>
        <w:spacing w:line="300" w:lineRule="auto"/>
        <w:jc w:val="center"/>
        <w:rPr>
          <w:rFonts w:eastAsia="Calibri"/>
          <w:b/>
          <w:color w:val="auto"/>
          <w:kern w:val="0"/>
          <w:sz w:val="32"/>
          <w:szCs w:val="32"/>
          <w:rtl/>
          <w:lang w:val="en-US" w:eastAsia="en-US"/>
        </w:rPr>
      </w:pPr>
      <w:bookmarkStart w:id="0" w:name="_GoBack"/>
      <w:r>
        <w:rPr>
          <w:rFonts w:eastAsia="Calibri"/>
          <w:b/>
          <w:color w:val="auto"/>
          <w:kern w:val="0"/>
          <w:sz w:val="32"/>
          <w:szCs w:val="32"/>
          <w:lang w:val="en-US" w:eastAsia="en-US"/>
        </w:rPr>
        <w:t>Forecasting</w:t>
      </w:r>
      <w:r w:rsidR="000D320A">
        <w:rPr>
          <w:rFonts w:eastAsia="Calibri"/>
          <w:b/>
          <w:color w:val="auto"/>
          <w:kern w:val="0"/>
          <w:sz w:val="32"/>
          <w:szCs w:val="32"/>
          <w:lang w:val="en-US" w:eastAsia="en-US"/>
        </w:rPr>
        <w:t xml:space="preserve"> </w:t>
      </w:r>
      <w:r w:rsidR="00D4446A">
        <w:rPr>
          <w:rFonts w:eastAsia="Calibri"/>
          <w:b/>
          <w:color w:val="auto"/>
          <w:kern w:val="0"/>
          <w:sz w:val="32"/>
          <w:szCs w:val="32"/>
          <w:lang w:val="en-US" w:eastAsia="en-US"/>
        </w:rPr>
        <w:t xml:space="preserve">Stock Market </w:t>
      </w:r>
      <w:r w:rsidR="000D320A">
        <w:rPr>
          <w:rFonts w:eastAsia="Calibri"/>
          <w:b/>
          <w:color w:val="auto"/>
          <w:kern w:val="0"/>
          <w:sz w:val="32"/>
          <w:szCs w:val="32"/>
          <w:lang w:val="en-US" w:eastAsia="en-US"/>
        </w:rPr>
        <w:t xml:space="preserve">Realized Volatility </w:t>
      </w:r>
      <w:r w:rsidR="00D8407C">
        <w:rPr>
          <w:rFonts w:eastAsia="Calibri"/>
          <w:b/>
          <w:color w:val="auto"/>
          <w:kern w:val="0"/>
          <w:sz w:val="32"/>
          <w:szCs w:val="32"/>
          <w:lang w:val="en-US" w:eastAsia="en-US"/>
        </w:rPr>
        <w:t>using decomposition</w:t>
      </w:r>
    </w:p>
    <w:p w14:paraId="7BB9DDF3" w14:textId="77777777" w:rsidR="009C232D" w:rsidRDefault="009C232D" w:rsidP="00DB062C">
      <w:pPr>
        <w:widowControl w:val="0"/>
        <w:spacing w:line="300" w:lineRule="auto"/>
        <w:jc w:val="center"/>
        <w:rPr>
          <w:rFonts w:eastAsia="Calibri"/>
          <w:b/>
          <w:color w:val="auto"/>
          <w:kern w:val="0"/>
          <w:sz w:val="32"/>
          <w:szCs w:val="32"/>
          <w:lang w:val="en-US" w:eastAsia="en-US"/>
        </w:rPr>
      </w:pPr>
    </w:p>
    <w:bookmarkEnd w:id="0"/>
    <w:p w14:paraId="2484BEDF" w14:textId="77777777" w:rsidR="00833123" w:rsidRPr="007E43A9" w:rsidRDefault="00833123" w:rsidP="009C232D">
      <w:pPr>
        <w:rPr>
          <w:sz w:val="24"/>
          <w:szCs w:val="24"/>
          <w:u w:val="single"/>
          <w:lang w:val="en-US"/>
        </w:rPr>
      </w:pPr>
    </w:p>
    <w:p w14:paraId="139B33C7" w14:textId="77777777" w:rsidR="0076778B" w:rsidRPr="007E43A9" w:rsidRDefault="0076778B" w:rsidP="00357907">
      <w:pPr>
        <w:jc w:val="center"/>
        <w:rPr>
          <w:sz w:val="24"/>
          <w:szCs w:val="24"/>
          <w:u w:val="single"/>
          <w:lang w:val="en-US"/>
        </w:rPr>
      </w:pPr>
    </w:p>
    <w:p w14:paraId="645143C1" w14:textId="004B7EC7" w:rsidR="004B13BB" w:rsidRDefault="008B522B" w:rsidP="004B13BB">
      <w:pPr>
        <w:spacing w:after="240" w:line="360" w:lineRule="auto"/>
        <w:jc w:val="center"/>
        <w:rPr>
          <w:color w:val="000000" w:themeColor="text1"/>
          <w:position w:val="-1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Rim Ammar Lamouchi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a,b,c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 xml:space="preserve"> </m:t>
        </m:r>
      </m:oMath>
      <w:r w:rsidR="004B13BB" w:rsidRPr="004D7A98">
        <w:rPr>
          <w:color w:val="000000" w:themeColor="text1"/>
          <w:sz w:val="24"/>
          <w:szCs w:val="24"/>
          <w:lang w:val="en-GB"/>
        </w:rPr>
        <w:t xml:space="preserve">    </w:t>
      </w:r>
      <w:r>
        <w:rPr>
          <w:color w:val="000000" w:themeColor="text1"/>
          <w:position w:val="-11"/>
        </w:rPr>
        <w:pict w14:anchorId="45763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2pt" equationxml="&lt;">
            <v:imagedata r:id="rId8" o:title="" chromakey="white"/>
          </v:shape>
        </w:pict>
      </w:r>
    </w:p>
    <w:p w14:paraId="1CA12951" w14:textId="77777777" w:rsidR="004B13BB" w:rsidRDefault="004B13BB" w:rsidP="004B13B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en-GB"/>
        </w:rPr>
      </w:pPr>
      <w:r w:rsidRPr="00DE19E4">
        <w:rPr>
          <w:rFonts w:ascii="Times New Roman" w:hAnsi="Times New Roman" w:cs="Times New Roman"/>
          <w:color w:val="auto"/>
          <w:vertAlign w:val="superscript"/>
          <w:lang w:val="en-GB"/>
        </w:rPr>
        <w:t>a</w:t>
      </w:r>
      <w:r w:rsidRPr="00DE19E4">
        <w:rPr>
          <w:rFonts w:ascii="Times New Roman" w:hAnsi="Times New Roman" w:cs="Times New Roman"/>
          <w:color w:val="auto"/>
          <w:lang w:val="en-GB"/>
        </w:rPr>
        <w:t xml:space="preserve"> Department of Finance, Faculty of Economics and Administration, King Abdulaziz University, Saudi Arabia</w:t>
      </w:r>
      <w:r>
        <w:rPr>
          <w:rFonts w:ascii="Times New Roman" w:hAnsi="Times New Roman" w:cs="Times New Roman"/>
          <w:color w:val="auto"/>
          <w:lang w:val="en-GB"/>
        </w:rPr>
        <w:t>.</w:t>
      </w:r>
    </w:p>
    <w:p w14:paraId="6DBAD8F9" w14:textId="77777777" w:rsidR="004B13BB" w:rsidRPr="00FF1A6B" w:rsidRDefault="004B13BB" w:rsidP="004B13B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vertAlign w:val="superscript"/>
          <w:lang w:val="en-GB"/>
        </w:rPr>
        <w:t>b</w:t>
      </w:r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F1A6B">
        <w:rPr>
          <w:rFonts w:ascii="Times New Roman" w:hAnsi="Times New Roman" w:cs="Times New Roman"/>
          <w:color w:val="auto"/>
          <w:lang w:val="en-GB"/>
        </w:rPr>
        <w:t>Ministry of</w:t>
      </w:r>
      <w:r>
        <w:rPr>
          <w:rFonts w:ascii="Times New Roman" w:hAnsi="Times New Roman" w:cs="Times New Roman"/>
          <w:color w:val="auto"/>
          <w:lang w:val="en-GB"/>
        </w:rPr>
        <w:t xml:space="preserve"> Education, Tunisia.</w:t>
      </w:r>
    </w:p>
    <w:p w14:paraId="3422AC6A" w14:textId="77777777" w:rsidR="004B13BB" w:rsidRDefault="004B13BB" w:rsidP="004B13B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vertAlign w:val="superscript"/>
          <w:lang w:val="en-GB"/>
        </w:rPr>
        <w:t>c</w:t>
      </w:r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F1A6B">
        <w:rPr>
          <w:rFonts w:ascii="Times New Roman" w:hAnsi="Times New Roman" w:cs="Times New Roman"/>
          <w:color w:val="auto"/>
          <w:lang w:val="en-GB"/>
        </w:rPr>
        <w:t>GEF-2A Laboratory, Higher Institute of Management of Tunis, Tunis University, Tunisia.</w:t>
      </w:r>
    </w:p>
    <w:p w14:paraId="313D1DF9" w14:textId="50C193A8" w:rsidR="004B13BB" w:rsidRPr="00672793" w:rsidRDefault="004B13BB" w:rsidP="004B13B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en-GB"/>
        </w:rPr>
      </w:pPr>
      <w:r w:rsidRPr="00FF1A6B">
        <w:rPr>
          <w:rFonts w:ascii="Times New Roman" w:hAnsi="Times New Roman" w:cs="Times New Roman"/>
          <w:color w:val="auto"/>
          <w:lang w:val="en-GB"/>
        </w:rPr>
        <w:t xml:space="preserve">*Email: </w:t>
      </w:r>
      <w:hyperlink r:id="rId9" w:history="1">
        <w:r w:rsidRPr="004874F5">
          <w:rPr>
            <w:rStyle w:val="Hyperlink"/>
            <w:rFonts w:ascii="Times New Roman" w:hAnsi="Times New Roman" w:cs="Times New Roman"/>
            <w:lang w:val="en-GB"/>
          </w:rPr>
          <w:t>rlamouchi@kau.edu.sa</w:t>
        </w:r>
      </w:hyperlink>
      <w:r>
        <w:rPr>
          <w:rFonts w:ascii="Times New Roman" w:hAnsi="Times New Roman" w:cs="Times New Roman"/>
          <w:color w:val="auto"/>
          <w:lang w:val="en-GB"/>
        </w:rPr>
        <w:t xml:space="preserve">, </w:t>
      </w:r>
      <w:hyperlink r:id="rId10" w:history="1">
        <w:r w:rsidRPr="004874F5">
          <w:rPr>
            <w:rStyle w:val="Hyperlink"/>
            <w:rFonts w:ascii="Times New Roman" w:hAnsi="Times New Roman" w:cs="Times New Roman"/>
            <w:lang w:val="en-GB"/>
          </w:rPr>
          <w:t>rim.lamouchi@isg.rnu.tn</w:t>
        </w:r>
      </w:hyperlink>
      <w:r>
        <w:rPr>
          <w:rFonts w:ascii="Times New Roman" w:hAnsi="Times New Roman" w:cs="Times New Roman"/>
          <w:color w:val="auto"/>
          <w:lang w:val="en-GB"/>
        </w:rPr>
        <w:t xml:space="preserve"> </w:t>
      </w:r>
      <w:r w:rsidRPr="00FF1A6B">
        <w:rPr>
          <w:rFonts w:ascii="Times New Roman" w:hAnsi="Times New Roman" w:cs="Times New Roman"/>
          <w:color w:val="auto"/>
          <w:lang w:val="en-GB"/>
        </w:rPr>
        <w:cr/>
      </w:r>
    </w:p>
    <w:p w14:paraId="5BF70306" w14:textId="77777777" w:rsidR="00833123" w:rsidRPr="004B13BB" w:rsidRDefault="00833123" w:rsidP="00357907">
      <w:pPr>
        <w:jc w:val="center"/>
        <w:rPr>
          <w:rFonts w:eastAsia="Calibri"/>
          <w:kern w:val="0"/>
          <w:sz w:val="24"/>
          <w:szCs w:val="24"/>
          <w:lang w:val="en-GB"/>
        </w:rPr>
      </w:pPr>
    </w:p>
    <w:p w14:paraId="2E3BD9B8" w14:textId="77777777" w:rsidR="00357907" w:rsidRPr="00B86081" w:rsidRDefault="00357907" w:rsidP="00357907">
      <w:pPr>
        <w:spacing w:line="360" w:lineRule="auto"/>
        <w:rPr>
          <w:sz w:val="24"/>
          <w:szCs w:val="24"/>
          <w:lang w:val="en-US"/>
        </w:rPr>
      </w:pPr>
    </w:p>
    <w:p w14:paraId="491C27D5" w14:textId="77777777" w:rsidR="00045E37" w:rsidRPr="00B86081" w:rsidRDefault="00045E37" w:rsidP="00357907">
      <w:pPr>
        <w:spacing w:line="360" w:lineRule="auto"/>
        <w:rPr>
          <w:sz w:val="24"/>
          <w:szCs w:val="24"/>
          <w:lang w:val="en-US"/>
        </w:rPr>
      </w:pPr>
    </w:p>
    <w:p w14:paraId="5830F4DD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692E9DFF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3C702610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35711944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4EE31D4B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79E7AD0B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47E6874A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71E10B4E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617B9EFA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5E8ECF89" w14:textId="77777777" w:rsidR="00396D24" w:rsidRPr="00B86081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27BC9822" w14:textId="77777777" w:rsidR="00396D24" w:rsidRDefault="00396D24" w:rsidP="00357907">
      <w:pPr>
        <w:spacing w:line="360" w:lineRule="auto"/>
        <w:rPr>
          <w:sz w:val="24"/>
          <w:szCs w:val="24"/>
          <w:lang w:val="en-US"/>
        </w:rPr>
      </w:pPr>
    </w:p>
    <w:p w14:paraId="2BDB3BB3" w14:textId="77777777" w:rsidR="0054044B" w:rsidRPr="00B86081" w:rsidRDefault="0054044B" w:rsidP="00357907">
      <w:pPr>
        <w:spacing w:line="360" w:lineRule="auto"/>
        <w:rPr>
          <w:sz w:val="24"/>
          <w:szCs w:val="24"/>
          <w:lang w:val="en-US"/>
        </w:rPr>
      </w:pPr>
    </w:p>
    <w:p w14:paraId="47AF7CCF" w14:textId="77777777" w:rsidR="00E25A7D" w:rsidRPr="00B86081" w:rsidRDefault="00E25A7D" w:rsidP="004E0F01">
      <w:pPr>
        <w:widowControl w:val="0"/>
        <w:spacing w:line="30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38FB9C50" w14:textId="77777777" w:rsidR="0054044B" w:rsidRDefault="0054044B" w:rsidP="005F76D6">
      <w:pPr>
        <w:widowControl w:val="0"/>
        <w:spacing w:line="480" w:lineRule="auto"/>
        <w:ind w:firstLine="708"/>
        <w:jc w:val="both"/>
        <w:rPr>
          <w:b/>
          <w:sz w:val="24"/>
          <w:szCs w:val="24"/>
          <w:lang w:val="en-US"/>
        </w:rPr>
      </w:pPr>
    </w:p>
    <w:p w14:paraId="27A88A9F" w14:textId="77777777" w:rsidR="0054044B" w:rsidRDefault="0054044B" w:rsidP="005F76D6">
      <w:pPr>
        <w:widowControl w:val="0"/>
        <w:spacing w:line="480" w:lineRule="auto"/>
        <w:ind w:firstLine="708"/>
        <w:jc w:val="both"/>
        <w:rPr>
          <w:b/>
          <w:sz w:val="24"/>
          <w:szCs w:val="24"/>
          <w:lang w:val="en-US"/>
        </w:rPr>
      </w:pPr>
    </w:p>
    <w:p w14:paraId="7F463AC0" w14:textId="77777777" w:rsidR="0054044B" w:rsidRDefault="0054044B" w:rsidP="00517F31">
      <w:pPr>
        <w:widowControl w:val="0"/>
        <w:spacing w:line="480" w:lineRule="auto"/>
        <w:jc w:val="both"/>
        <w:rPr>
          <w:b/>
          <w:sz w:val="24"/>
          <w:szCs w:val="24"/>
          <w:lang w:val="en-US"/>
        </w:rPr>
      </w:pPr>
    </w:p>
    <w:p w14:paraId="11C04F7E" w14:textId="77777777" w:rsidR="0054044B" w:rsidRDefault="0054044B" w:rsidP="005F76D6">
      <w:pPr>
        <w:widowControl w:val="0"/>
        <w:spacing w:line="480" w:lineRule="auto"/>
        <w:ind w:firstLine="708"/>
        <w:jc w:val="both"/>
        <w:rPr>
          <w:b/>
          <w:sz w:val="24"/>
          <w:szCs w:val="24"/>
          <w:lang w:val="en-US"/>
        </w:rPr>
      </w:pPr>
    </w:p>
    <w:p w14:paraId="2FFDECD5" w14:textId="77777777" w:rsidR="009E1174" w:rsidRDefault="009E1174" w:rsidP="005F76D6">
      <w:pPr>
        <w:widowControl w:val="0"/>
        <w:spacing w:line="480" w:lineRule="auto"/>
        <w:ind w:firstLine="708"/>
        <w:jc w:val="both"/>
        <w:rPr>
          <w:b/>
          <w:sz w:val="24"/>
          <w:szCs w:val="24"/>
          <w:lang w:val="en-US"/>
        </w:rPr>
      </w:pPr>
    </w:p>
    <w:p w14:paraId="3253DD54" w14:textId="77777777" w:rsidR="00777523" w:rsidRPr="00B86081" w:rsidRDefault="00777523" w:rsidP="005F76D6">
      <w:pPr>
        <w:widowControl w:val="0"/>
        <w:spacing w:line="480" w:lineRule="auto"/>
        <w:ind w:firstLine="708"/>
        <w:jc w:val="both"/>
        <w:rPr>
          <w:b/>
          <w:sz w:val="24"/>
          <w:szCs w:val="24"/>
          <w:lang w:val="en-US"/>
        </w:rPr>
      </w:pPr>
      <w:r w:rsidRPr="00B86081">
        <w:rPr>
          <w:b/>
          <w:sz w:val="24"/>
          <w:szCs w:val="24"/>
          <w:lang w:val="en-US"/>
        </w:rPr>
        <w:lastRenderedPageBreak/>
        <w:t xml:space="preserve">Abstract: </w:t>
      </w:r>
    </w:p>
    <w:p w14:paraId="565EA7F8" w14:textId="0E2EAA40" w:rsidR="00045E37" w:rsidRPr="002813F8" w:rsidRDefault="009D553E" w:rsidP="002813F8">
      <w:pPr>
        <w:widowControl w:val="0"/>
        <w:spacing w:line="480" w:lineRule="auto"/>
        <w:ind w:firstLine="708"/>
        <w:jc w:val="both"/>
        <w:rPr>
          <w:bCs/>
          <w:sz w:val="24"/>
          <w:szCs w:val="24"/>
          <w:lang w:val="en-US"/>
        </w:rPr>
      </w:pPr>
      <w:r w:rsidRPr="00777523">
        <w:rPr>
          <w:sz w:val="24"/>
          <w:szCs w:val="24"/>
          <w:lang w:val="en-US"/>
        </w:rPr>
        <w:t xml:space="preserve">Empirical studies </w:t>
      </w:r>
      <w:r w:rsidR="003D0034">
        <w:rPr>
          <w:sz w:val="24"/>
          <w:szCs w:val="24"/>
          <w:lang w:val="en-US"/>
        </w:rPr>
        <w:t>concerned with</w:t>
      </w:r>
      <w:r w:rsidRPr="00777523">
        <w:rPr>
          <w:sz w:val="24"/>
          <w:szCs w:val="24"/>
          <w:lang w:val="en-US"/>
        </w:rPr>
        <w:t xml:space="preserve"> realized volatility </w:t>
      </w:r>
      <w:r w:rsidR="003D0034">
        <w:rPr>
          <w:sz w:val="24"/>
          <w:szCs w:val="24"/>
          <w:lang w:val="en-US"/>
        </w:rPr>
        <w:t>reveal</w:t>
      </w:r>
      <w:r w:rsidR="003D0034" w:rsidRPr="00777523">
        <w:rPr>
          <w:sz w:val="24"/>
          <w:szCs w:val="24"/>
          <w:lang w:val="en-US"/>
        </w:rPr>
        <w:t xml:space="preserve"> </w:t>
      </w:r>
      <w:r w:rsidRPr="00777523">
        <w:rPr>
          <w:sz w:val="24"/>
          <w:szCs w:val="24"/>
          <w:lang w:val="en-US"/>
        </w:rPr>
        <w:t xml:space="preserve">the presence of heterogeneous behavior </w:t>
      </w:r>
      <w:r w:rsidR="003D0034">
        <w:rPr>
          <w:sz w:val="24"/>
          <w:szCs w:val="24"/>
          <w:lang w:val="en-US"/>
        </w:rPr>
        <w:t xml:space="preserve">within </w:t>
      </w:r>
      <w:r>
        <w:rPr>
          <w:sz w:val="24"/>
          <w:szCs w:val="24"/>
          <w:lang w:val="en-US"/>
        </w:rPr>
        <w:t>the stock market</w:t>
      </w:r>
      <w:r w:rsidRPr="00777523">
        <w:rPr>
          <w:sz w:val="24"/>
          <w:szCs w:val="24"/>
          <w:lang w:val="en-US"/>
        </w:rPr>
        <w:t xml:space="preserve">. The sum of </w:t>
      </w:r>
      <w:r w:rsidR="003D0034">
        <w:rPr>
          <w:sz w:val="24"/>
          <w:szCs w:val="24"/>
          <w:lang w:val="en-US"/>
        </w:rPr>
        <w:t xml:space="preserve">this </w:t>
      </w:r>
      <w:r w:rsidRPr="00777523">
        <w:rPr>
          <w:sz w:val="24"/>
          <w:szCs w:val="24"/>
          <w:lang w:val="en-US"/>
        </w:rPr>
        <w:t>heterogeneous beh</w:t>
      </w:r>
      <w:r>
        <w:rPr>
          <w:sz w:val="24"/>
          <w:szCs w:val="24"/>
          <w:lang w:val="en-US"/>
        </w:rPr>
        <w:t xml:space="preserve">avior takes </w:t>
      </w:r>
      <w:r w:rsidR="003D0034">
        <w:rPr>
          <w:sz w:val="24"/>
          <w:szCs w:val="24"/>
          <w:lang w:val="en-US"/>
        </w:rPr>
        <w:t xml:space="preserve">a </w:t>
      </w:r>
      <w:r w:rsidR="003D0034" w:rsidRPr="00777523">
        <w:rPr>
          <w:sz w:val="24"/>
          <w:szCs w:val="24"/>
          <w:lang w:val="en-US"/>
        </w:rPr>
        <w:t>pe</w:t>
      </w:r>
      <w:r w:rsidR="003D0034">
        <w:rPr>
          <w:sz w:val="24"/>
          <w:szCs w:val="24"/>
          <w:lang w:val="en-US"/>
        </w:rPr>
        <w:t xml:space="preserve">rsistent </w:t>
      </w:r>
      <w:r>
        <w:rPr>
          <w:sz w:val="24"/>
          <w:szCs w:val="24"/>
          <w:lang w:val="en-US"/>
        </w:rPr>
        <w:t>form</w:t>
      </w:r>
      <w:r w:rsidR="003D0034">
        <w:rPr>
          <w:sz w:val="24"/>
          <w:szCs w:val="24"/>
          <w:lang w:val="en-US"/>
        </w:rPr>
        <w:t>, which</w:t>
      </w:r>
      <w:r>
        <w:rPr>
          <w:sz w:val="24"/>
          <w:szCs w:val="24"/>
          <w:lang w:val="en-US"/>
        </w:rPr>
        <w:t xml:space="preserve"> </w:t>
      </w:r>
      <w:r w:rsidR="003D0034">
        <w:rPr>
          <w:sz w:val="24"/>
          <w:szCs w:val="24"/>
          <w:lang w:val="en-US"/>
        </w:rPr>
        <w:t>may</w:t>
      </w:r>
      <w:r w:rsidRPr="00777523">
        <w:rPr>
          <w:sz w:val="24"/>
          <w:szCs w:val="24"/>
          <w:lang w:val="en-US"/>
        </w:rPr>
        <w:t xml:space="preserve"> be modeled</w:t>
      </w:r>
      <w:r>
        <w:rPr>
          <w:sz w:val="24"/>
          <w:szCs w:val="24"/>
          <w:lang w:val="en-US"/>
        </w:rPr>
        <w:t xml:space="preserve"> and forecasted</w:t>
      </w:r>
      <w:r w:rsidRPr="00777523">
        <w:rPr>
          <w:sz w:val="24"/>
          <w:szCs w:val="24"/>
          <w:lang w:val="en-US"/>
        </w:rPr>
        <w:t xml:space="preserve"> according to different time horizons by the class of HAR models. </w:t>
      </w:r>
      <w:r w:rsidRPr="00777523">
        <w:rPr>
          <w:bCs/>
          <w:sz w:val="24"/>
          <w:szCs w:val="24"/>
          <w:lang w:val="en-US"/>
        </w:rPr>
        <w:t>In this paper</w:t>
      </w:r>
      <w:r w:rsidR="003D0034">
        <w:rPr>
          <w:bCs/>
          <w:sz w:val="24"/>
          <w:szCs w:val="24"/>
          <w:lang w:val="en-US"/>
        </w:rPr>
        <w:t>,</w:t>
      </w:r>
      <w:r w:rsidRPr="00777523">
        <w:rPr>
          <w:bCs/>
          <w:sz w:val="24"/>
          <w:szCs w:val="24"/>
          <w:lang w:val="en-US"/>
        </w:rPr>
        <w:t xml:space="preserve"> we investigate the </w:t>
      </w:r>
      <w:r>
        <w:rPr>
          <w:bCs/>
          <w:sz w:val="24"/>
          <w:szCs w:val="24"/>
          <w:lang w:val="en-US"/>
        </w:rPr>
        <w:t>HAR-RV and HAR-RV-CJ</w:t>
      </w:r>
      <w:r w:rsidR="003D0034">
        <w:rPr>
          <w:bCs/>
          <w:sz w:val="24"/>
          <w:szCs w:val="24"/>
          <w:lang w:val="en-US"/>
        </w:rPr>
        <w:t xml:space="preserve"> models</w:t>
      </w:r>
      <w:r w:rsidRPr="00777523">
        <w:rPr>
          <w:bCs/>
          <w:sz w:val="24"/>
          <w:szCs w:val="24"/>
          <w:lang w:val="en-US"/>
        </w:rPr>
        <w:t xml:space="preserve"> for </w:t>
      </w:r>
      <w:r w:rsidRPr="00777523">
        <w:rPr>
          <w:sz w:val="24"/>
          <w:szCs w:val="24"/>
          <w:lang w:val="en-US"/>
        </w:rPr>
        <w:t xml:space="preserve">high-frequency data </w:t>
      </w:r>
      <w:r w:rsidR="003D0034">
        <w:rPr>
          <w:sz w:val="24"/>
          <w:szCs w:val="24"/>
          <w:lang w:val="en-US"/>
        </w:rPr>
        <w:t>based on</w:t>
      </w:r>
      <w:r w:rsidR="003D0034" w:rsidRPr="00777523"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five realized volatility indices</w:t>
      </w:r>
      <w:r w:rsidRPr="00777523">
        <w:rPr>
          <w:bCs/>
          <w:sz w:val="24"/>
          <w:szCs w:val="24"/>
          <w:lang w:val="en-US"/>
        </w:rPr>
        <w:t xml:space="preserve">. </w:t>
      </w:r>
      <w:r w:rsidR="003D0034">
        <w:rPr>
          <w:bCs/>
          <w:sz w:val="24"/>
          <w:szCs w:val="24"/>
          <w:lang w:val="en-US"/>
        </w:rPr>
        <w:t>The</w:t>
      </w:r>
      <w:r w:rsidR="003D0034" w:rsidRPr="00777523">
        <w:rPr>
          <w:bCs/>
          <w:sz w:val="24"/>
          <w:szCs w:val="24"/>
          <w:lang w:val="en-US"/>
        </w:rPr>
        <w:t xml:space="preserve"> </w:t>
      </w:r>
      <w:r w:rsidRPr="00777523">
        <w:rPr>
          <w:bCs/>
          <w:sz w:val="24"/>
          <w:szCs w:val="24"/>
          <w:lang w:val="en-US"/>
        </w:rPr>
        <w:t xml:space="preserve">aim </w:t>
      </w:r>
      <w:r w:rsidR="003D0034">
        <w:rPr>
          <w:bCs/>
          <w:sz w:val="24"/>
          <w:szCs w:val="24"/>
          <w:lang w:val="en-US"/>
        </w:rPr>
        <w:t xml:space="preserve">here </w:t>
      </w:r>
      <w:r w:rsidRPr="00777523">
        <w:rPr>
          <w:bCs/>
          <w:sz w:val="24"/>
          <w:szCs w:val="24"/>
          <w:lang w:val="en-US"/>
        </w:rPr>
        <w:t xml:space="preserve">is to demonstrate that </w:t>
      </w:r>
      <w:r w:rsidR="003D0034" w:rsidRPr="00777523">
        <w:rPr>
          <w:bCs/>
          <w:sz w:val="24"/>
          <w:szCs w:val="24"/>
          <w:lang w:val="en-US"/>
        </w:rPr>
        <w:t xml:space="preserve">the predictability of realized volatility </w:t>
      </w:r>
      <w:r w:rsidR="003D0034">
        <w:rPr>
          <w:bCs/>
          <w:sz w:val="24"/>
          <w:szCs w:val="24"/>
          <w:lang w:val="en-US"/>
        </w:rPr>
        <w:t xml:space="preserve">can be improved by </w:t>
      </w:r>
      <w:r w:rsidRPr="00777523">
        <w:rPr>
          <w:bCs/>
          <w:sz w:val="24"/>
          <w:szCs w:val="24"/>
          <w:lang w:val="en-US"/>
        </w:rPr>
        <w:t xml:space="preserve">decomposing realized variance into its continuous and jump components. </w:t>
      </w:r>
      <w:r w:rsidR="003D0034">
        <w:rPr>
          <w:bCs/>
          <w:sz w:val="24"/>
          <w:szCs w:val="24"/>
          <w:lang w:val="en-US"/>
        </w:rPr>
        <w:t>What is more, the</w:t>
      </w:r>
      <w:r w:rsidR="003D0034" w:rsidRPr="00777523">
        <w:rPr>
          <w:bCs/>
          <w:sz w:val="24"/>
          <w:szCs w:val="24"/>
          <w:lang w:val="en-US"/>
        </w:rPr>
        <w:t xml:space="preserve"> </w:t>
      </w:r>
      <w:r w:rsidRPr="00777523">
        <w:rPr>
          <w:bCs/>
          <w:sz w:val="24"/>
          <w:szCs w:val="24"/>
          <w:lang w:val="en-US"/>
        </w:rPr>
        <w:t xml:space="preserve">results show that </w:t>
      </w:r>
      <w:r w:rsidR="003D0034">
        <w:rPr>
          <w:bCs/>
          <w:sz w:val="24"/>
          <w:szCs w:val="24"/>
          <w:lang w:val="en-US"/>
        </w:rPr>
        <w:t xml:space="preserve">this </w:t>
      </w:r>
      <w:r w:rsidRPr="00777523">
        <w:rPr>
          <w:bCs/>
          <w:sz w:val="24"/>
          <w:szCs w:val="24"/>
          <w:lang w:val="en-US"/>
        </w:rPr>
        <w:t>decompos</w:t>
      </w:r>
      <w:r w:rsidR="003D0034">
        <w:rPr>
          <w:bCs/>
          <w:sz w:val="24"/>
          <w:szCs w:val="24"/>
          <w:lang w:val="en-US"/>
        </w:rPr>
        <w:t>ition of</w:t>
      </w:r>
      <w:r w:rsidRPr="00777523">
        <w:rPr>
          <w:bCs/>
          <w:sz w:val="24"/>
          <w:szCs w:val="24"/>
          <w:lang w:val="en-US"/>
        </w:rPr>
        <w:t xml:space="preserve"> the realized variance into its components </w:t>
      </w:r>
      <w:r w:rsidR="003D0034">
        <w:rPr>
          <w:bCs/>
          <w:sz w:val="24"/>
          <w:szCs w:val="24"/>
          <w:lang w:val="en-US"/>
        </w:rPr>
        <w:t xml:space="preserve">does indeed </w:t>
      </w:r>
      <w:r w:rsidRPr="00777523">
        <w:rPr>
          <w:bCs/>
          <w:sz w:val="24"/>
          <w:szCs w:val="24"/>
          <w:lang w:val="en-US"/>
        </w:rPr>
        <w:t xml:space="preserve">enhance the modeling and forecasting </w:t>
      </w:r>
      <w:r w:rsidR="003D0034">
        <w:rPr>
          <w:bCs/>
          <w:sz w:val="24"/>
          <w:szCs w:val="24"/>
          <w:lang w:val="en-US"/>
        </w:rPr>
        <w:t xml:space="preserve">of </w:t>
      </w:r>
      <w:r>
        <w:rPr>
          <w:bCs/>
          <w:sz w:val="24"/>
          <w:szCs w:val="24"/>
          <w:lang w:val="en-US"/>
        </w:rPr>
        <w:t>the indices</w:t>
      </w:r>
      <w:r w:rsidR="009953C8">
        <w:rPr>
          <w:bCs/>
          <w:sz w:val="24"/>
          <w:szCs w:val="24"/>
          <w:lang w:val="en-US"/>
        </w:rPr>
        <w:t>’</w:t>
      </w:r>
      <w:r>
        <w:rPr>
          <w:bCs/>
          <w:sz w:val="24"/>
          <w:szCs w:val="24"/>
          <w:lang w:val="en-US"/>
        </w:rPr>
        <w:t xml:space="preserve"> </w:t>
      </w:r>
      <w:r w:rsidRPr="00777523">
        <w:rPr>
          <w:bCs/>
          <w:sz w:val="24"/>
          <w:szCs w:val="24"/>
          <w:lang w:val="en-US"/>
        </w:rPr>
        <w:t>realized volatility.</w:t>
      </w:r>
      <w:r w:rsidR="002813F8">
        <w:rPr>
          <w:bCs/>
          <w:sz w:val="24"/>
          <w:szCs w:val="24"/>
          <w:lang w:val="en-US"/>
        </w:rPr>
        <w:t xml:space="preserve"> </w:t>
      </w:r>
    </w:p>
    <w:p w14:paraId="085EC7BD" w14:textId="77777777" w:rsidR="00045E37" w:rsidRPr="00A87029" w:rsidRDefault="00045E37" w:rsidP="0019553A">
      <w:pPr>
        <w:widowControl w:val="0"/>
        <w:spacing w:line="300" w:lineRule="auto"/>
        <w:jc w:val="both"/>
        <w:rPr>
          <w:b/>
          <w:bCs/>
          <w:lang w:val="en-US"/>
        </w:rPr>
      </w:pPr>
    </w:p>
    <w:p w14:paraId="37214DB1" w14:textId="77777777" w:rsidR="004E0F01" w:rsidRPr="008F6EF3" w:rsidRDefault="004E0F01" w:rsidP="004E0F01">
      <w:pPr>
        <w:widowControl w:val="0"/>
        <w:spacing w:line="300" w:lineRule="auto"/>
        <w:jc w:val="both"/>
        <w:rPr>
          <w:b/>
          <w:bCs/>
          <w:lang w:val="en-US"/>
        </w:rPr>
      </w:pPr>
    </w:p>
    <w:p w14:paraId="13AE4357" w14:textId="097718B5" w:rsidR="004E0F01" w:rsidRPr="002813F8" w:rsidRDefault="004E0F01" w:rsidP="0054044B">
      <w:pPr>
        <w:widowControl w:val="0"/>
        <w:spacing w:line="300" w:lineRule="auto"/>
        <w:jc w:val="both"/>
        <w:rPr>
          <w:sz w:val="24"/>
          <w:szCs w:val="24"/>
          <w:lang w:val="en-US"/>
        </w:rPr>
      </w:pPr>
      <w:r w:rsidRPr="002813F8">
        <w:rPr>
          <w:b/>
          <w:bCs/>
          <w:sz w:val="24"/>
          <w:szCs w:val="24"/>
          <w:lang w:val="en-US"/>
        </w:rPr>
        <w:t>Keywords</w:t>
      </w:r>
      <w:r w:rsidRPr="002813F8">
        <w:rPr>
          <w:sz w:val="24"/>
          <w:szCs w:val="24"/>
          <w:lang w:val="en-US"/>
        </w:rPr>
        <w:t xml:space="preserve">: </w:t>
      </w:r>
      <w:r w:rsidR="0054044B">
        <w:rPr>
          <w:sz w:val="24"/>
          <w:szCs w:val="24"/>
          <w:lang w:val="en-US"/>
        </w:rPr>
        <w:t xml:space="preserve">stock </w:t>
      </w:r>
      <w:r w:rsidRPr="002813F8">
        <w:rPr>
          <w:sz w:val="24"/>
          <w:szCs w:val="24"/>
          <w:lang w:val="en-US"/>
        </w:rPr>
        <w:t>mar</w:t>
      </w:r>
      <w:r w:rsidR="0054044B">
        <w:rPr>
          <w:sz w:val="24"/>
          <w:szCs w:val="24"/>
          <w:lang w:val="en-US"/>
        </w:rPr>
        <w:t>ket</w:t>
      </w:r>
      <w:r w:rsidR="00934CF3" w:rsidRPr="002813F8">
        <w:rPr>
          <w:sz w:val="24"/>
          <w:szCs w:val="24"/>
          <w:lang w:val="en-US"/>
        </w:rPr>
        <w:t xml:space="preserve">, </w:t>
      </w:r>
      <w:r w:rsidR="00A87029" w:rsidRPr="002813F8">
        <w:rPr>
          <w:sz w:val="24"/>
          <w:szCs w:val="24"/>
          <w:lang w:val="en-US"/>
        </w:rPr>
        <w:t>r</w:t>
      </w:r>
      <w:r w:rsidR="00934CF3" w:rsidRPr="002813F8">
        <w:rPr>
          <w:sz w:val="24"/>
          <w:szCs w:val="24"/>
          <w:lang w:val="en-US"/>
        </w:rPr>
        <w:t xml:space="preserve">ealized volatility, </w:t>
      </w:r>
      <w:r w:rsidR="00A87029" w:rsidRPr="002813F8">
        <w:rPr>
          <w:sz w:val="24"/>
          <w:szCs w:val="24"/>
          <w:lang w:val="en-US"/>
        </w:rPr>
        <w:t>h</w:t>
      </w:r>
      <w:r w:rsidR="00934CF3" w:rsidRPr="002813F8">
        <w:rPr>
          <w:sz w:val="24"/>
          <w:szCs w:val="24"/>
          <w:lang w:val="en-US"/>
        </w:rPr>
        <w:t>igh</w:t>
      </w:r>
      <w:r w:rsidR="00A87029" w:rsidRPr="002813F8">
        <w:rPr>
          <w:sz w:val="24"/>
          <w:szCs w:val="24"/>
          <w:lang w:val="en-US"/>
        </w:rPr>
        <w:t>-</w:t>
      </w:r>
      <w:r w:rsidRPr="002813F8">
        <w:rPr>
          <w:sz w:val="24"/>
          <w:szCs w:val="24"/>
          <w:lang w:val="en-US"/>
        </w:rPr>
        <w:t>frequency dat</w:t>
      </w:r>
      <w:r w:rsidR="0036406A" w:rsidRPr="002813F8">
        <w:rPr>
          <w:sz w:val="24"/>
          <w:szCs w:val="24"/>
          <w:lang w:val="en-US"/>
        </w:rPr>
        <w:t>a</w:t>
      </w:r>
      <w:r w:rsidR="0020381E" w:rsidRPr="002813F8">
        <w:rPr>
          <w:sz w:val="24"/>
          <w:szCs w:val="24"/>
          <w:lang w:val="en-US"/>
        </w:rPr>
        <w:t xml:space="preserve">, </w:t>
      </w:r>
      <w:r w:rsidR="000C39AB" w:rsidRPr="002813F8">
        <w:rPr>
          <w:sz w:val="24"/>
          <w:szCs w:val="24"/>
          <w:lang w:val="en-US"/>
        </w:rPr>
        <w:t xml:space="preserve">HAR </w:t>
      </w:r>
      <w:r w:rsidRPr="002813F8">
        <w:rPr>
          <w:sz w:val="24"/>
          <w:szCs w:val="24"/>
          <w:lang w:val="en-US"/>
        </w:rPr>
        <w:t xml:space="preserve">model, </w:t>
      </w:r>
      <w:r w:rsidR="00A87029" w:rsidRPr="002813F8">
        <w:rPr>
          <w:sz w:val="24"/>
          <w:szCs w:val="24"/>
          <w:lang w:val="en-US"/>
        </w:rPr>
        <w:t>v</w:t>
      </w:r>
      <w:r w:rsidRPr="002813F8">
        <w:rPr>
          <w:sz w:val="24"/>
          <w:szCs w:val="24"/>
          <w:lang w:val="en-US"/>
        </w:rPr>
        <w:t xml:space="preserve">ariance decomposition, </w:t>
      </w:r>
      <w:r w:rsidR="00A87029" w:rsidRPr="002813F8">
        <w:rPr>
          <w:sz w:val="24"/>
          <w:szCs w:val="24"/>
          <w:lang w:val="en-US"/>
        </w:rPr>
        <w:t>v</w:t>
      </w:r>
      <w:r w:rsidRPr="002813F8">
        <w:rPr>
          <w:sz w:val="24"/>
          <w:szCs w:val="24"/>
          <w:lang w:val="en-US"/>
        </w:rPr>
        <w:t xml:space="preserve">olatility </w:t>
      </w:r>
      <w:r w:rsidR="00A87029" w:rsidRPr="002813F8">
        <w:rPr>
          <w:sz w:val="24"/>
          <w:szCs w:val="24"/>
          <w:lang w:val="en-US"/>
        </w:rPr>
        <w:t>f</w:t>
      </w:r>
      <w:r w:rsidRPr="002813F8">
        <w:rPr>
          <w:sz w:val="24"/>
          <w:szCs w:val="24"/>
          <w:lang w:val="en-US"/>
        </w:rPr>
        <w:t xml:space="preserve">orecasting, </w:t>
      </w:r>
      <w:r w:rsidR="00A87029" w:rsidRPr="002813F8">
        <w:rPr>
          <w:sz w:val="24"/>
          <w:szCs w:val="24"/>
          <w:lang w:val="en-US"/>
        </w:rPr>
        <w:t>j</w:t>
      </w:r>
      <w:r w:rsidRPr="002813F8">
        <w:rPr>
          <w:sz w:val="24"/>
          <w:szCs w:val="24"/>
          <w:lang w:val="en-US"/>
        </w:rPr>
        <w:t>umps.</w:t>
      </w:r>
    </w:p>
    <w:p w14:paraId="1F5A1163" w14:textId="77777777" w:rsidR="004E0F01" w:rsidRPr="002813F8" w:rsidRDefault="004E0F01" w:rsidP="004E0F01">
      <w:pPr>
        <w:widowControl w:val="0"/>
        <w:rPr>
          <w:sz w:val="24"/>
          <w:szCs w:val="24"/>
          <w:lang w:val="en-US"/>
        </w:rPr>
      </w:pPr>
      <w:r w:rsidRPr="002813F8">
        <w:rPr>
          <w:sz w:val="24"/>
          <w:szCs w:val="24"/>
          <w:lang w:val="en-US"/>
        </w:rPr>
        <w:t> </w:t>
      </w:r>
    </w:p>
    <w:p w14:paraId="5D59BFF4" w14:textId="77777777" w:rsidR="002203CA" w:rsidRPr="002813F8" w:rsidRDefault="006A5209" w:rsidP="00A80474">
      <w:pPr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813F8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Classification JEL</w:t>
      </w:r>
      <w:r w:rsidR="00A80474" w:rsidRPr="002813F8">
        <w:rPr>
          <w:rFonts w:eastAsia="Calibri"/>
          <w:color w:val="auto"/>
          <w:kern w:val="0"/>
          <w:sz w:val="24"/>
          <w:szCs w:val="24"/>
          <w:lang w:eastAsia="en-US"/>
        </w:rPr>
        <w:t xml:space="preserve">: </w:t>
      </w:r>
      <w:r w:rsidRPr="002813F8">
        <w:rPr>
          <w:rFonts w:eastAsia="Calibri"/>
          <w:color w:val="auto"/>
          <w:kern w:val="0"/>
          <w:sz w:val="24"/>
          <w:szCs w:val="24"/>
          <w:lang w:eastAsia="en-US"/>
        </w:rPr>
        <w:t>C22;</w:t>
      </w:r>
      <w:r w:rsidR="00A80474" w:rsidRPr="002813F8">
        <w:rPr>
          <w:rFonts w:eastAsia="Calibri"/>
          <w:color w:val="auto"/>
          <w:kern w:val="0"/>
          <w:sz w:val="24"/>
          <w:szCs w:val="24"/>
          <w:lang w:eastAsia="en-US"/>
        </w:rPr>
        <w:t xml:space="preserve"> G</w:t>
      </w:r>
      <w:r w:rsidRPr="002813F8">
        <w:rPr>
          <w:rFonts w:eastAsia="Calibri"/>
          <w:color w:val="auto"/>
          <w:kern w:val="0"/>
          <w:sz w:val="24"/>
          <w:szCs w:val="24"/>
          <w:lang w:eastAsia="en-US"/>
        </w:rPr>
        <w:t>1</w:t>
      </w:r>
      <w:r w:rsidR="00A80474" w:rsidRPr="002813F8">
        <w:rPr>
          <w:rFonts w:eastAsia="Calibri"/>
          <w:color w:val="auto"/>
          <w:kern w:val="0"/>
          <w:sz w:val="24"/>
          <w:szCs w:val="24"/>
          <w:lang w:eastAsia="en-US"/>
        </w:rPr>
        <w:t>5</w:t>
      </w:r>
      <w:r w:rsidRPr="002813F8">
        <w:rPr>
          <w:rFonts w:eastAsia="Calibri"/>
          <w:color w:val="auto"/>
          <w:kern w:val="0"/>
          <w:sz w:val="24"/>
          <w:szCs w:val="24"/>
          <w:lang w:eastAsia="en-US"/>
        </w:rPr>
        <w:t>; G1</w:t>
      </w:r>
      <w:r w:rsidR="00A80474" w:rsidRPr="002813F8">
        <w:rPr>
          <w:rFonts w:eastAsia="Calibri"/>
          <w:color w:val="auto"/>
          <w:kern w:val="0"/>
          <w:sz w:val="24"/>
          <w:szCs w:val="24"/>
          <w:lang w:eastAsia="en-US"/>
        </w:rPr>
        <w:t>7</w:t>
      </w:r>
      <w:r w:rsidRPr="002813F8">
        <w:rPr>
          <w:rFonts w:eastAsia="Calibri"/>
          <w:color w:val="auto"/>
          <w:kern w:val="0"/>
          <w:sz w:val="24"/>
          <w:szCs w:val="24"/>
          <w:lang w:eastAsia="en-US"/>
        </w:rPr>
        <w:t>.</w:t>
      </w:r>
    </w:p>
    <w:p w14:paraId="5725EE4C" w14:textId="77777777" w:rsidR="00CD2F42" w:rsidRDefault="00CD2F42">
      <w:pPr>
        <w:rPr>
          <w:rFonts w:eastAsia="Calibri"/>
          <w:color w:val="auto"/>
          <w:kern w:val="0"/>
          <w:lang w:eastAsia="en-US"/>
        </w:rPr>
      </w:pPr>
    </w:p>
    <w:p w14:paraId="6533C0B5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0D74DD90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57648FD0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47EE08BC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11D1FCE6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3FDFCCE9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07C4D9D2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25E4F23B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5B2D89F6" w14:textId="77777777" w:rsidR="00275BE9" w:rsidRDefault="00275BE9">
      <w:pPr>
        <w:rPr>
          <w:rFonts w:eastAsia="Calibri"/>
          <w:color w:val="auto"/>
          <w:kern w:val="0"/>
          <w:lang w:eastAsia="en-US"/>
        </w:rPr>
      </w:pPr>
    </w:p>
    <w:p w14:paraId="7D129BF9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4DF69817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08359548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0AACA65A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1C769135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0BAD4ED0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12B529A7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4B0BA5F6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18EAB459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7F1575F9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755BC1C6" w14:textId="77777777" w:rsidR="00413AA3" w:rsidRDefault="00413AA3">
      <w:pPr>
        <w:rPr>
          <w:rFonts w:eastAsia="Calibri"/>
          <w:color w:val="auto"/>
          <w:kern w:val="0"/>
          <w:lang w:eastAsia="en-US"/>
        </w:rPr>
      </w:pPr>
    </w:p>
    <w:p w14:paraId="5C25AD8F" w14:textId="77777777" w:rsidR="00413AA3" w:rsidRPr="00A80474" w:rsidRDefault="00413AA3">
      <w:pPr>
        <w:rPr>
          <w:rFonts w:eastAsia="Calibri"/>
          <w:color w:val="auto"/>
          <w:kern w:val="0"/>
          <w:lang w:eastAsia="en-US"/>
        </w:rPr>
      </w:pPr>
    </w:p>
    <w:p w14:paraId="2C801EB1" w14:textId="77777777" w:rsidR="00CD2F42" w:rsidRDefault="00CD2F42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4A263AAD" w14:textId="77777777" w:rsidR="00236A23" w:rsidRDefault="00236A23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37A5D88A" w14:textId="77777777" w:rsidR="002813F8" w:rsidRDefault="002813F8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7070E9DE" w14:textId="77777777" w:rsidR="00236A23" w:rsidRDefault="00236A23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36C8CB48" w14:textId="77777777" w:rsidR="00236A23" w:rsidRDefault="00236A23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502B56B5" w14:textId="77777777" w:rsidR="00236A23" w:rsidRDefault="00236A23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29AA3785" w14:textId="77777777" w:rsidR="00236A23" w:rsidRDefault="00236A23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0220B406" w14:textId="77777777" w:rsidR="00976D70" w:rsidRPr="00A80474" w:rsidRDefault="00976D70">
      <w:pPr>
        <w:rPr>
          <w:rFonts w:ascii="TimesNewRoman" w:eastAsia="Calibri" w:hAnsi="TimesNewRoman" w:cs="TimesNewRoman"/>
          <w:color w:val="auto"/>
          <w:kern w:val="0"/>
          <w:lang w:eastAsia="en-US"/>
        </w:rPr>
      </w:pPr>
    </w:p>
    <w:p w14:paraId="3BA70154" w14:textId="77777777" w:rsidR="00B60740" w:rsidRPr="009E1174" w:rsidRDefault="00CD2F42" w:rsidP="00DB062C">
      <w:pPr>
        <w:pStyle w:val="ListParagraph"/>
        <w:numPr>
          <w:ilvl w:val="0"/>
          <w:numId w:val="2"/>
        </w:numPr>
        <w:spacing w:after="240"/>
        <w:rPr>
          <w:rFonts w:ascii="TimesNewRoman" w:hAnsi="TimesNewRoman" w:cs="TimesNewRoman"/>
          <w:b/>
          <w:sz w:val="24"/>
          <w:szCs w:val="24"/>
          <w:lang w:val="en-US"/>
        </w:rPr>
      </w:pPr>
      <w:r w:rsidRPr="009E1174">
        <w:rPr>
          <w:rFonts w:ascii="TimesNewRoman" w:hAnsi="TimesNewRoman" w:cs="TimesNewRoman"/>
          <w:b/>
          <w:sz w:val="24"/>
          <w:szCs w:val="24"/>
          <w:lang w:val="en-US"/>
        </w:rPr>
        <w:lastRenderedPageBreak/>
        <w:t>Introduction</w:t>
      </w:r>
    </w:p>
    <w:p w14:paraId="10EAC15F" w14:textId="5572C6CC" w:rsidR="00236A23" w:rsidRPr="00655863" w:rsidRDefault="009D553E" w:rsidP="00E34C38">
      <w:pPr>
        <w:spacing w:line="480" w:lineRule="auto"/>
        <w:ind w:firstLine="708"/>
        <w:jc w:val="both"/>
        <w:rPr>
          <w:sz w:val="24"/>
          <w:szCs w:val="24"/>
          <w:lang w:val="en-US"/>
        </w:rPr>
      </w:pPr>
      <w:r w:rsidRPr="009D553E">
        <w:rPr>
          <w:sz w:val="24"/>
          <w:szCs w:val="24"/>
          <w:lang w:val="en-US"/>
        </w:rPr>
        <w:t xml:space="preserve">The progressive integration of the world’s financial markets has given rise to </w:t>
      </w:r>
      <w:r w:rsidR="003D0034">
        <w:rPr>
          <w:sz w:val="24"/>
          <w:szCs w:val="24"/>
          <w:lang w:val="en-US"/>
        </w:rPr>
        <w:t>numerous</w:t>
      </w:r>
      <w:r w:rsidRPr="009D553E">
        <w:rPr>
          <w:sz w:val="24"/>
          <w:szCs w:val="24"/>
          <w:lang w:val="en-US"/>
        </w:rPr>
        <w:t xml:space="preserve"> studies focus</w:t>
      </w:r>
      <w:r w:rsidR="003D0034">
        <w:rPr>
          <w:sz w:val="24"/>
          <w:szCs w:val="24"/>
          <w:lang w:val="en-US"/>
        </w:rPr>
        <w:t>ed</w:t>
      </w:r>
      <w:r w:rsidRPr="009D553E">
        <w:rPr>
          <w:sz w:val="24"/>
          <w:szCs w:val="24"/>
          <w:lang w:val="en-US"/>
        </w:rPr>
        <w:t xml:space="preserve"> on volatility in the stock market, which is </w:t>
      </w:r>
      <w:r w:rsidR="003D0034">
        <w:rPr>
          <w:sz w:val="24"/>
          <w:szCs w:val="24"/>
          <w:lang w:val="en-US"/>
        </w:rPr>
        <w:t xml:space="preserve">something that is </w:t>
      </w:r>
      <w:r w:rsidRPr="009D553E">
        <w:rPr>
          <w:sz w:val="24"/>
          <w:szCs w:val="24"/>
          <w:lang w:val="en-US"/>
        </w:rPr>
        <w:t xml:space="preserve">fairly important for hedging strategies, risk management, and the regulation of financial markets. </w:t>
      </w:r>
      <w:r w:rsidR="003D0034">
        <w:rPr>
          <w:sz w:val="24"/>
          <w:szCs w:val="24"/>
          <w:lang w:val="en-US"/>
        </w:rPr>
        <w:t>V</w:t>
      </w:r>
      <w:r w:rsidRPr="009D553E">
        <w:rPr>
          <w:sz w:val="24"/>
          <w:szCs w:val="24"/>
          <w:lang w:val="en-US"/>
        </w:rPr>
        <w:t>olatility is a complex phenomenon</w:t>
      </w:r>
      <w:r w:rsidR="003D0034" w:rsidRPr="003D0034">
        <w:rPr>
          <w:sz w:val="24"/>
          <w:szCs w:val="24"/>
          <w:lang w:val="en-US"/>
        </w:rPr>
        <w:t xml:space="preserve"> </w:t>
      </w:r>
      <w:r w:rsidR="003D0034">
        <w:rPr>
          <w:sz w:val="24"/>
          <w:szCs w:val="24"/>
          <w:lang w:val="en-US"/>
        </w:rPr>
        <w:t>in a</w:t>
      </w:r>
      <w:r w:rsidR="00FF1C6F">
        <w:rPr>
          <w:sz w:val="24"/>
          <w:szCs w:val="24"/>
          <w:lang w:val="en-US"/>
        </w:rPr>
        <w:t xml:space="preserve"> stock market.</w:t>
      </w:r>
      <w:r w:rsidRPr="009D553E">
        <w:rPr>
          <w:sz w:val="24"/>
          <w:szCs w:val="24"/>
          <w:lang w:val="en-US"/>
        </w:rPr>
        <w:t xml:space="preserve"> The subprime financial crisis and the subsequent sovereign debt crisis </w:t>
      </w:r>
      <w:r w:rsidR="00FF1C6F">
        <w:rPr>
          <w:sz w:val="24"/>
          <w:szCs w:val="24"/>
          <w:lang w:val="en-US"/>
        </w:rPr>
        <w:t>triggered</w:t>
      </w:r>
      <w:r w:rsidRPr="009D553E">
        <w:rPr>
          <w:sz w:val="24"/>
          <w:szCs w:val="24"/>
          <w:lang w:val="en-US"/>
        </w:rPr>
        <w:t xml:space="preserve"> a renewed interest in studying the volatility process and the existence of jumps in the stock market. </w:t>
      </w:r>
      <w:r w:rsidR="00FF1C6F">
        <w:rPr>
          <w:sz w:val="24"/>
          <w:szCs w:val="24"/>
          <w:lang w:val="en-US"/>
        </w:rPr>
        <w:t>Furthermore, e</w:t>
      </w:r>
      <w:r w:rsidRPr="009D553E">
        <w:rPr>
          <w:sz w:val="24"/>
          <w:szCs w:val="24"/>
          <w:lang w:val="en-US"/>
        </w:rPr>
        <w:t>mpirical literature indicates how the market is characterized by the presence of jumps in volatility indices (Andersen et al., 2007</w:t>
      </w:r>
      <w:r w:rsidRPr="00F25A9F">
        <w:rPr>
          <w:sz w:val="24"/>
          <w:szCs w:val="24"/>
          <w:lang w:val="en-US"/>
        </w:rPr>
        <w:t>; Busch et al., 2011).</w:t>
      </w:r>
      <w:r w:rsidRPr="009D553E">
        <w:rPr>
          <w:sz w:val="24"/>
          <w:szCs w:val="24"/>
          <w:lang w:val="en-US"/>
        </w:rPr>
        <w:t xml:space="preserve"> These jumps result from macroeconomic information, financial crises, or exogenous shocks. Corsi (2009) assumes that asset returns exhibit both continuous changes (diffusion) and discontinuous responses (jumps) to news</w:t>
      </w:r>
      <w:r w:rsidR="00FF1C6F">
        <w:rPr>
          <w:sz w:val="24"/>
          <w:szCs w:val="24"/>
          <w:lang w:val="en-US"/>
        </w:rPr>
        <w:t>.</w:t>
      </w:r>
      <w:r w:rsidRPr="009D553E">
        <w:rPr>
          <w:sz w:val="24"/>
          <w:szCs w:val="24"/>
          <w:lang w:val="en-US"/>
        </w:rPr>
        <w:t xml:space="preserve"> </w:t>
      </w:r>
      <w:r w:rsidR="00FF1C6F">
        <w:rPr>
          <w:sz w:val="24"/>
          <w:szCs w:val="24"/>
          <w:lang w:val="en-US"/>
        </w:rPr>
        <w:t>However,</w:t>
      </w:r>
      <w:r w:rsidR="00FF1C6F" w:rsidRPr="009D553E">
        <w:rPr>
          <w:sz w:val="24"/>
          <w:szCs w:val="24"/>
          <w:lang w:val="en-US"/>
        </w:rPr>
        <w:t xml:space="preserve"> </w:t>
      </w:r>
      <w:r w:rsidRPr="009D553E">
        <w:rPr>
          <w:sz w:val="24"/>
          <w:szCs w:val="24"/>
          <w:lang w:val="en-US"/>
        </w:rPr>
        <w:t xml:space="preserve">most empirical models ignore the jumps </w:t>
      </w:r>
      <w:r w:rsidR="00FF1C6F">
        <w:rPr>
          <w:sz w:val="24"/>
          <w:szCs w:val="24"/>
          <w:lang w:val="en-US"/>
        </w:rPr>
        <w:t>entirely</w:t>
      </w:r>
      <w:r w:rsidR="00FF1C6F" w:rsidRPr="009D553E">
        <w:rPr>
          <w:sz w:val="24"/>
          <w:szCs w:val="24"/>
          <w:lang w:val="en-US"/>
        </w:rPr>
        <w:t xml:space="preserve"> </w:t>
      </w:r>
      <w:r w:rsidRPr="009D553E">
        <w:rPr>
          <w:sz w:val="24"/>
          <w:szCs w:val="24"/>
          <w:lang w:val="en-US"/>
        </w:rPr>
        <w:t>or model them simplistically using a Poisson process and assume the presence of independent jumps. These jumps are often associated with specific announcements</w:t>
      </w:r>
      <w:r w:rsidR="00FF1C6F" w:rsidRPr="00FF1C6F">
        <w:rPr>
          <w:sz w:val="24"/>
          <w:szCs w:val="24"/>
          <w:lang w:val="en-US"/>
        </w:rPr>
        <w:t xml:space="preserve"> </w:t>
      </w:r>
      <w:r w:rsidR="00FF1C6F">
        <w:rPr>
          <w:sz w:val="24"/>
          <w:szCs w:val="24"/>
          <w:lang w:val="en-US"/>
        </w:rPr>
        <w:t xml:space="preserve">about </w:t>
      </w:r>
      <w:r w:rsidR="00FF1C6F" w:rsidRPr="009D553E">
        <w:rPr>
          <w:sz w:val="24"/>
          <w:szCs w:val="24"/>
          <w:lang w:val="en-US"/>
        </w:rPr>
        <w:t>macroeconomic information</w:t>
      </w:r>
      <w:r w:rsidRPr="009D553E">
        <w:rPr>
          <w:sz w:val="24"/>
          <w:szCs w:val="24"/>
          <w:lang w:val="en-US"/>
        </w:rPr>
        <w:t xml:space="preserve">. </w:t>
      </w:r>
      <w:r w:rsidR="00E34C38" w:rsidRPr="00E34C38">
        <w:rPr>
          <w:sz w:val="24"/>
          <w:szCs w:val="24"/>
          <w:lang w:val="en-US"/>
        </w:rPr>
        <w:t xml:space="preserve">The increasing </w:t>
      </w:r>
      <w:r w:rsidR="00FF1C6F">
        <w:rPr>
          <w:sz w:val="24"/>
          <w:szCs w:val="24"/>
          <w:lang w:val="en-US"/>
        </w:rPr>
        <w:t>availability</w:t>
      </w:r>
      <w:r w:rsidR="00FF1C6F" w:rsidRPr="00E34C38">
        <w:rPr>
          <w:sz w:val="24"/>
          <w:szCs w:val="24"/>
          <w:lang w:val="en-US"/>
        </w:rPr>
        <w:t xml:space="preserve"> </w:t>
      </w:r>
      <w:r w:rsidR="00E34C38" w:rsidRPr="00E34C38">
        <w:rPr>
          <w:sz w:val="24"/>
          <w:szCs w:val="24"/>
          <w:lang w:val="en-US"/>
        </w:rPr>
        <w:t xml:space="preserve">of </w:t>
      </w:r>
      <w:r w:rsidR="00FF1C6F">
        <w:rPr>
          <w:sz w:val="24"/>
          <w:szCs w:val="24"/>
          <w:lang w:val="en-US"/>
        </w:rPr>
        <w:t>high-frequency data for</w:t>
      </w:r>
      <w:r w:rsidR="00FF1C6F" w:rsidRPr="00E34C38">
        <w:rPr>
          <w:sz w:val="24"/>
          <w:szCs w:val="24"/>
          <w:lang w:val="en-US"/>
        </w:rPr>
        <w:t xml:space="preserve"> </w:t>
      </w:r>
      <w:r w:rsidR="00E34C38" w:rsidRPr="00E34C38">
        <w:rPr>
          <w:sz w:val="24"/>
          <w:szCs w:val="24"/>
          <w:lang w:val="en-US"/>
        </w:rPr>
        <w:t>financial market</w:t>
      </w:r>
      <w:r w:rsidR="00FF1C6F">
        <w:rPr>
          <w:sz w:val="24"/>
          <w:szCs w:val="24"/>
          <w:lang w:val="en-US"/>
        </w:rPr>
        <w:t>s</w:t>
      </w:r>
      <w:r w:rsidR="00E34C38" w:rsidRPr="00E34C38">
        <w:rPr>
          <w:sz w:val="24"/>
          <w:szCs w:val="24"/>
          <w:lang w:val="en-US"/>
        </w:rPr>
        <w:t xml:space="preserve"> has not only improved </w:t>
      </w:r>
      <w:r w:rsidR="00E34C38">
        <w:rPr>
          <w:sz w:val="24"/>
          <w:szCs w:val="24"/>
          <w:lang w:val="en-US"/>
        </w:rPr>
        <w:t xml:space="preserve">realized </w:t>
      </w:r>
      <w:r w:rsidR="00E34C38" w:rsidRPr="00E34C38">
        <w:rPr>
          <w:sz w:val="24"/>
          <w:szCs w:val="24"/>
          <w:lang w:val="en-US"/>
        </w:rPr>
        <w:t xml:space="preserve">volatility measurements but also inspired research into their value as </w:t>
      </w:r>
      <w:r w:rsidR="00E34C38">
        <w:rPr>
          <w:sz w:val="24"/>
          <w:szCs w:val="24"/>
          <w:lang w:val="en-US"/>
        </w:rPr>
        <w:t>a</w:t>
      </w:r>
      <w:r w:rsidR="00E34C38" w:rsidRPr="00E34C38">
        <w:rPr>
          <w:sz w:val="24"/>
          <w:szCs w:val="24"/>
          <w:lang w:val="en-US"/>
        </w:rPr>
        <w:t xml:space="preserve"> </w:t>
      </w:r>
      <w:r w:rsidR="00FF1C6F">
        <w:rPr>
          <w:sz w:val="24"/>
          <w:szCs w:val="24"/>
          <w:lang w:val="en-US"/>
        </w:rPr>
        <w:t>means</w:t>
      </w:r>
      <w:r w:rsidR="00FF1C6F" w:rsidRPr="00E34C38">
        <w:rPr>
          <w:sz w:val="24"/>
          <w:szCs w:val="24"/>
          <w:lang w:val="en-US"/>
        </w:rPr>
        <w:t xml:space="preserve"> </w:t>
      </w:r>
      <w:r w:rsidR="00E34C38" w:rsidRPr="00E34C38">
        <w:rPr>
          <w:sz w:val="24"/>
          <w:szCs w:val="24"/>
          <w:lang w:val="en-US"/>
        </w:rPr>
        <w:t xml:space="preserve">for </w:t>
      </w:r>
      <w:r w:rsidR="00FF1C6F" w:rsidRPr="00E34C38">
        <w:rPr>
          <w:sz w:val="24"/>
          <w:szCs w:val="24"/>
          <w:lang w:val="en-US"/>
        </w:rPr>
        <w:t xml:space="preserve">forecasting </w:t>
      </w:r>
      <w:r w:rsidR="00E34C38" w:rsidRPr="00E34C38">
        <w:rPr>
          <w:sz w:val="24"/>
          <w:szCs w:val="24"/>
          <w:lang w:val="en-US"/>
        </w:rPr>
        <w:t>volatility</w:t>
      </w:r>
      <w:r w:rsidR="00E34C38">
        <w:rPr>
          <w:sz w:val="24"/>
          <w:szCs w:val="24"/>
          <w:lang w:val="en-US"/>
        </w:rPr>
        <w:t xml:space="preserve">. </w:t>
      </w:r>
      <w:r w:rsidR="000C06BC">
        <w:rPr>
          <w:sz w:val="24"/>
          <w:szCs w:val="24"/>
          <w:lang w:val="en-US"/>
        </w:rPr>
        <w:t>I</w:t>
      </w:r>
      <w:r w:rsidRPr="009D553E">
        <w:rPr>
          <w:sz w:val="24"/>
          <w:szCs w:val="24"/>
          <w:lang w:val="en-US"/>
        </w:rPr>
        <w:t xml:space="preserve">n this paper, we </w:t>
      </w:r>
      <w:r w:rsidR="00FF1C6F">
        <w:rPr>
          <w:sz w:val="24"/>
          <w:szCs w:val="24"/>
          <w:lang w:val="en-US"/>
        </w:rPr>
        <w:t>seek</w:t>
      </w:r>
      <w:r w:rsidR="00FF1C6F" w:rsidRPr="009D553E">
        <w:rPr>
          <w:sz w:val="24"/>
          <w:szCs w:val="24"/>
          <w:lang w:val="en-US"/>
        </w:rPr>
        <w:t xml:space="preserve"> </w:t>
      </w:r>
      <w:r w:rsidRPr="009D553E">
        <w:rPr>
          <w:sz w:val="24"/>
          <w:szCs w:val="24"/>
          <w:lang w:val="en-US"/>
        </w:rPr>
        <w:t xml:space="preserve">to examine the </w:t>
      </w:r>
      <w:r w:rsidR="009953C8">
        <w:rPr>
          <w:sz w:val="24"/>
          <w:szCs w:val="24"/>
          <w:lang w:val="en-US"/>
        </w:rPr>
        <w:t>existence</w:t>
      </w:r>
      <w:r w:rsidR="00FF1C6F" w:rsidRPr="009D553E">
        <w:rPr>
          <w:sz w:val="24"/>
          <w:szCs w:val="24"/>
          <w:lang w:val="en-US"/>
        </w:rPr>
        <w:t xml:space="preserve"> </w:t>
      </w:r>
      <w:r w:rsidRPr="009D553E">
        <w:rPr>
          <w:sz w:val="24"/>
          <w:szCs w:val="24"/>
          <w:lang w:val="en-US"/>
        </w:rPr>
        <w:t>of these jumps and assess their impact on the modeling and forecasting of realized volatility indices in the stock market.</w:t>
      </w:r>
    </w:p>
    <w:p w14:paraId="4FF2325E" w14:textId="0F7A3EB7" w:rsidR="00236A23" w:rsidRPr="00DC1846" w:rsidRDefault="00236A23" w:rsidP="00DC1846">
      <w:pPr>
        <w:spacing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Previously,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Barndorff-Nielsen and Shephard (2004)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introduced the concept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of </w:t>
      </w:r>
      <w:r w:rsidRPr="005D0839"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>bipower</w:t>
      </w:r>
      <w:r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variation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which allows the jump component </w:t>
      </w:r>
      <w:r w:rsidR="00FF1C6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to be separated</w:t>
      </w:r>
      <w:r w:rsidR="00FF1C6F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from the continuous part of a process.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This </w:t>
      </w:r>
      <w:r w:rsidR="009953C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concept in turn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enables</w:t>
      </w:r>
      <w:r w:rsidR="00716402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decomposition of realized volatility into its continuous sample path and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its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jump components,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so they can be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model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ed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separately.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S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everal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studies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have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recently attempted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to show the importance of jumps in </w:t>
      </w:r>
      <w:r w:rsidRPr="00A87029">
        <w:rPr>
          <w:sz w:val="24"/>
          <w:szCs w:val="24"/>
          <w:lang w:val="en-US"/>
        </w:rPr>
        <w:t>financial return</w:t>
      </w:r>
      <w:r>
        <w:rPr>
          <w:sz w:val="24"/>
          <w:szCs w:val="24"/>
          <w:lang w:val="en-US"/>
        </w:rPr>
        <w:t xml:space="preserve">s,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especially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for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realized volatility</w:t>
      </w:r>
      <w:r w:rsidRPr="00A87029">
        <w:rPr>
          <w:sz w:val="24"/>
          <w:szCs w:val="24"/>
          <w:lang w:val="en-US"/>
        </w:rPr>
        <w:t xml:space="preserve"> </w:t>
      </w:r>
      <w:r w:rsidR="00716402">
        <w:rPr>
          <w:sz w:val="24"/>
          <w:szCs w:val="24"/>
          <w:lang w:val="en-US"/>
        </w:rPr>
        <w:t>resulting</w:t>
      </w:r>
      <w:r w:rsidR="00716402" w:rsidRPr="00A87029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 xml:space="preserve">from high-frequency returns.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According to Andersen et al. (2003), the use of high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-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frequency data ensures that realized volatility converges in probability to a quadratic variation. The </w:t>
      </w:r>
      <w:r w:rsidRPr="005D0839"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>bipower</w:t>
      </w:r>
      <w:r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variation is based on the sum of the absolute values ​​of intraday returns. More precisely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,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Barndroff-Nielsen and Shepard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lastRenderedPageBreak/>
        <w:t xml:space="preserve">(2004) show that this variation converges in probability to the continuous component of the price of the quadratic variation.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Consequently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, it is possible to estimate jumps in the return process as the difference between the realized volatility and the </w:t>
      </w:r>
      <w:r w:rsidRPr="005D0839"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>bipower</w:t>
      </w:r>
      <w:r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variation.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Andersen et al. (2007) incorporate</w:t>
      </w:r>
      <w:r w:rsidR="00716402">
        <w:rPr>
          <w:rFonts w:eastAsia="Calibri"/>
          <w:color w:val="auto"/>
          <w:kern w:val="0"/>
          <w:sz w:val="24"/>
          <w:szCs w:val="24"/>
          <w:lang w:val="en-US" w:eastAsia="en-US"/>
        </w:rPr>
        <w:t>d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</w:t>
      </w:r>
      <w:r w:rsidRPr="005D0839">
        <w:rPr>
          <w:rFonts w:eastAsia="Calibri"/>
          <w:iCs/>
          <w:color w:val="auto"/>
          <w:kern w:val="0"/>
          <w:sz w:val="24"/>
          <w:szCs w:val="24"/>
          <w:lang w:val="en-US" w:eastAsia="en-US"/>
        </w:rPr>
        <w:t>bipower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variation measure into the HAR model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and appl</w:t>
      </w:r>
      <w:r w:rsidR="00716402">
        <w:rPr>
          <w:sz w:val="24"/>
          <w:szCs w:val="24"/>
          <w:lang w:val="en-US"/>
        </w:rPr>
        <w:t>ied</w:t>
      </w:r>
      <w:r>
        <w:rPr>
          <w:sz w:val="24"/>
          <w:szCs w:val="24"/>
          <w:lang w:val="en-US"/>
        </w:rPr>
        <w:t xml:space="preserve"> it to </w:t>
      </w:r>
      <w:r w:rsidRPr="00A87029">
        <w:rPr>
          <w:sz w:val="24"/>
          <w:szCs w:val="24"/>
          <w:lang w:val="en-US"/>
        </w:rPr>
        <w:t>the DEM/USD exchange rate, the S&amp;P500 market index, and the 30-year US Treasury bond yield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They demonstrate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that </w:t>
      </w:r>
      <w:r w:rsidR="00716402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volatility modeling and forecasting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was improved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by separating jumps from non-jump movements. In addition, they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showed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that jumps are related to </w:t>
      </w:r>
      <w:r w:rsidR="00716402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announcements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of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macroeconomic news.</w:t>
      </w:r>
    </w:p>
    <w:p w14:paraId="23287698" w14:textId="3F867C02" w:rsidR="00236A23" w:rsidRDefault="00236A23" w:rsidP="00F34147">
      <w:pPr>
        <w:spacing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Beine et al. (2007) stud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ied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relation between central bank intervention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and the volatility of two major exchange rat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es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. The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y appl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ied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bipower variation to decompose the realized volatility into its </w:t>
      </w:r>
      <w:r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continuous and jump components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</w:t>
      </w:r>
      <w:r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deduc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ing</w:t>
      </w:r>
      <w:r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that interventions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trigger</w:t>
      </w:r>
      <w:r w:rsidR="00716402"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considerable jumps.  </w:t>
      </w:r>
      <w:r w:rsidR="00F25A9F"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Fuen</w:t>
      </w:r>
      <w:r w:rsidR="00864296"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tes et al. (2009</w:t>
      </w:r>
      <w:r w:rsidRPr="00F25A9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), meanwhile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compare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four estimators</w:t>
      </w:r>
      <w:r w:rsidR="00716402">
        <w:rPr>
          <w:rFonts w:eastAsia="Calibri"/>
        </w:rPr>
        <w:t>—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namely r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ealized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volatility, realized range, </w:t>
      </w:r>
      <w:r w:rsidR="00152D63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realized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power variation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and </w:t>
      </w:r>
      <w:r w:rsidR="00152D63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realized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bipower variation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—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by investigating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their in-sample distributional 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pattern and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an 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out-of-sample forecast.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ir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analysis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used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seven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-year sample of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prices for 14 stocks</w:t>
      </w:r>
      <w:r w:rsidR="00716402" w:rsidRP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listed on the </w:t>
      </w:r>
      <w:r w:rsidR="00716402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NYSE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. The forecast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was then generated 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with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 GARCH framework. 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authors then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conclude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that the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combination of all four intraday measures </w:t>
      </w:r>
      <w:r w:rsidR="0071640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gave</w:t>
      </w:r>
      <w:r w:rsidR="00716402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lowes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 forecast errors in about</w:t>
      </w:r>
      <w:r w:rsid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864296" w:rsidRPr="00864296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half the sampled stocks. </w:t>
      </w:r>
      <w:r w:rsidRPr="00D358D8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Bollerslev et al. (2009) </w:t>
      </w:r>
      <w:r w:rsidRPr="00D358D8">
        <w:rPr>
          <w:sz w:val="24"/>
          <w:szCs w:val="24"/>
          <w:lang w:val="en-US"/>
        </w:rPr>
        <w:t>appl</w:t>
      </w:r>
      <w:r w:rsidR="00C3501F">
        <w:rPr>
          <w:sz w:val="24"/>
          <w:szCs w:val="24"/>
          <w:lang w:val="en-US"/>
        </w:rPr>
        <w:t>ied</w:t>
      </w:r>
      <w:r w:rsidRPr="00A87029">
        <w:rPr>
          <w:sz w:val="24"/>
          <w:szCs w:val="24"/>
          <w:lang w:val="en-US"/>
        </w:rPr>
        <w:t xml:space="preserve"> nonparametric realized variation and bipower variation measures constructed from high-frequency </w:t>
      </w:r>
      <w:r w:rsidRPr="003D01E1">
        <w:rPr>
          <w:sz w:val="24"/>
          <w:szCs w:val="24"/>
          <w:lang w:val="en-US"/>
        </w:rPr>
        <w:t>data</w:t>
      </w:r>
      <w:r>
        <w:rPr>
          <w:sz w:val="24"/>
          <w:szCs w:val="24"/>
          <w:lang w:val="en-US"/>
        </w:rPr>
        <w:t xml:space="preserve"> </w:t>
      </w:r>
      <w:r w:rsidRPr="00D358D8">
        <w:rPr>
          <w:rFonts w:eastAsia="Calibri"/>
          <w:color w:val="auto"/>
          <w:kern w:val="0"/>
          <w:sz w:val="24"/>
          <w:szCs w:val="24"/>
          <w:lang w:val="en-US" w:eastAsia="en-US"/>
        </w:rPr>
        <w:t>with the aim of developing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 </w:t>
      </w:r>
      <w:r w:rsidRPr="003D01E1">
        <w:rPr>
          <w:sz w:val="24"/>
          <w:szCs w:val="24"/>
          <w:lang w:val="en-US"/>
        </w:rPr>
        <w:t>discrete</w:t>
      </w:r>
      <w:r w:rsidRPr="00A87029">
        <w:rPr>
          <w:sz w:val="24"/>
          <w:szCs w:val="24"/>
          <w:lang w:val="en-US"/>
        </w:rPr>
        <w:t xml:space="preserve">-time daily stochastic volatility model that </w:t>
      </w:r>
      <w:r w:rsidR="00C3501F">
        <w:rPr>
          <w:sz w:val="24"/>
          <w:szCs w:val="24"/>
          <w:lang w:val="en-US"/>
        </w:rPr>
        <w:t xml:space="preserve">could </w:t>
      </w:r>
      <w:r w:rsidRPr="00A87029">
        <w:rPr>
          <w:sz w:val="24"/>
          <w:szCs w:val="24"/>
          <w:lang w:val="en-US"/>
        </w:rPr>
        <w:t>distinguish between the jump and continuous components of return movements. They suggest</w:t>
      </w:r>
      <w:r w:rsidR="00C3501F">
        <w:rPr>
          <w:sz w:val="24"/>
          <w:szCs w:val="24"/>
          <w:lang w:val="en-US"/>
        </w:rPr>
        <w:t>ed</w:t>
      </w:r>
      <w:r w:rsidRPr="00A87029">
        <w:rPr>
          <w:sz w:val="24"/>
          <w:szCs w:val="24"/>
          <w:lang w:val="en-US"/>
        </w:rPr>
        <w:t xml:space="preserve"> that the model allow</w:t>
      </w:r>
      <w:r>
        <w:rPr>
          <w:sz w:val="24"/>
          <w:szCs w:val="24"/>
          <w:lang w:val="en-US"/>
        </w:rPr>
        <w:t>s</w:t>
      </w:r>
      <w:r w:rsidR="00C3501F">
        <w:rPr>
          <w:sz w:val="24"/>
          <w:szCs w:val="24"/>
          <w:lang w:val="en-US"/>
        </w:rPr>
        <w:t xml:space="preserve"> for</w:t>
      </w:r>
      <w:r w:rsidRPr="00A87029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 xml:space="preserve">consideration of </w:t>
      </w:r>
      <w:r w:rsidRPr="00A87029">
        <w:rPr>
          <w:sz w:val="24"/>
          <w:szCs w:val="24"/>
          <w:lang w:val="en-US"/>
        </w:rPr>
        <w:t xml:space="preserve">structural inter-dependencies between shocks to returns and volatility components.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Andersen et al. (2011) also </w:t>
      </w:r>
      <w:r w:rsidR="00C3501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applied</w:t>
      </w:r>
      <w:r w:rsidR="00C3501F"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 volatility decomposition method </w:t>
      </w:r>
      <w:r w:rsidRPr="00C11D32">
        <w:rPr>
          <w:sz w:val="24"/>
          <w:szCs w:val="24"/>
          <w:lang w:val="en-US"/>
        </w:rPr>
        <w:t xml:space="preserve">based on long samples of high-frequency </w:t>
      </w:r>
      <w:r w:rsidR="009953C8">
        <w:rPr>
          <w:sz w:val="24"/>
          <w:szCs w:val="24"/>
          <w:lang w:val="en-US"/>
        </w:rPr>
        <w:t xml:space="preserve">data for </w:t>
      </w:r>
      <w:r w:rsidRPr="00C11D32">
        <w:rPr>
          <w:sz w:val="24"/>
          <w:szCs w:val="24"/>
          <w:lang w:val="en-US"/>
        </w:rPr>
        <w:t>equity and bond futures returns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. The</w:t>
      </w:r>
      <w:r w:rsidR="00C3501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ir results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suggest</w:t>
      </w:r>
      <w:r w:rsidR="00C3501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ed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that dynamic dependencies and variability in the continuous </w:t>
      </w:r>
      <w:r w:rsidR="00C3501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element</w:t>
      </w:r>
      <w:r w:rsidR="00C3501F"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can be well described by an approximate long</w:t>
      </w:r>
      <w:r w:rsidR="00C3501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-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memory HAR-GARCH model. In addition, the </w:t>
      </w:r>
      <w:r w:rsidRPr="00C11D32">
        <w:rPr>
          <w:sz w:val="24"/>
          <w:szCs w:val="24"/>
          <w:lang w:val="en-US"/>
        </w:rPr>
        <w:t xml:space="preserve">dynamic dependencies in </w:t>
      </w:r>
      <w:r w:rsidR="00FF34F5">
        <w:rPr>
          <w:sz w:val="24"/>
          <w:szCs w:val="24"/>
          <w:lang w:val="en-US"/>
        </w:rPr>
        <w:t xml:space="preserve">the </w:t>
      </w:r>
      <w:r w:rsidRPr="00C11D32">
        <w:rPr>
          <w:sz w:val="24"/>
          <w:szCs w:val="24"/>
          <w:lang w:val="en-US"/>
        </w:rPr>
        <w:t>identified significant jumps seem</w:t>
      </w:r>
      <w:r w:rsidR="00FF34F5">
        <w:rPr>
          <w:sz w:val="24"/>
          <w:szCs w:val="24"/>
          <w:lang w:val="en-US"/>
        </w:rPr>
        <w:t>ed</w:t>
      </w:r>
      <w:r w:rsidRPr="00C11D32">
        <w:rPr>
          <w:sz w:val="24"/>
          <w:szCs w:val="24"/>
          <w:lang w:val="en-US"/>
        </w:rPr>
        <w:t xml:space="preserve"> to </w:t>
      </w:r>
      <w:r w:rsidRPr="00C11D32">
        <w:rPr>
          <w:sz w:val="24"/>
          <w:szCs w:val="24"/>
          <w:lang w:val="en-US"/>
        </w:rPr>
        <w:lastRenderedPageBreak/>
        <w:t>be well expressed by the ACH model with a simple log-linear structure for the jump sizes.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authors highlight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ed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superior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forecasting performance of the model that consider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ed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both</w:t>
      </w:r>
      <w:r w:rsidR="00FF34F5"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components of volatility 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when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compar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ed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to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C11D32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other commonly used models.</w:t>
      </w:r>
      <w:r w:rsidR="00F3414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sz w:val="24"/>
          <w:szCs w:val="24"/>
          <w:lang w:val="en-US"/>
        </w:rPr>
        <w:t xml:space="preserve">In order to take into account the </w:t>
      </w:r>
      <w:r w:rsidR="00FF34F5" w:rsidRPr="00A87029">
        <w:rPr>
          <w:sz w:val="24"/>
          <w:szCs w:val="24"/>
          <w:lang w:val="en-US"/>
        </w:rPr>
        <w:t>impact</w:t>
      </w:r>
      <w:r w:rsidR="00FF34F5">
        <w:rPr>
          <w:sz w:val="24"/>
          <w:szCs w:val="24"/>
          <w:lang w:val="en-US"/>
        </w:rPr>
        <w:t xml:space="preserve"> of</w:t>
      </w:r>
      <w:r w:rsidR="00FF34F5" w:rsidRPr="00A87029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>jump</w:t>
      </w:r>
      <w:r w:rsidR="00FF34F5">
        <w:rPr>
          <w:sz w:val="24"/>
          <w:szCs w:val="24"/>
          <w:lang w:val="en-US"/>
        </w:rPr>
        <w:t>s</w:t>
      </w:r>
      <w:r w:rsidRPr="00A87029">
        <w:rPr>
          <w:sz w:val="24"/>
          <w:szCs w:val="24"/>
          <w:lang w:val="en-US"/>
        </w:rPr>
        <w:t xml:space="preserve">,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Barunik et al. (2016)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appl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ied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 GARCH forecasting model with decomposed realized volatility measurements. They 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therefore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decompose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sz w:val="24"/>
          <w:szCs w:val="24"/>
          <w:lang w:val="en-US"/>
        </w:rPr>
        <w:t>volatility into several timescales</w:t>
      </w:r>
      <w:r>
        <w:rPr>
          <w:sz w:val="24"/>
          <w:szCs w:val="24"/>
          <w:lang w:val="en-US"/>
        </w:rPr>
        <w:t>, thus</w:t>
      </w:r>
      <w:r w:rsidRPr="00A87029">
        <w:rPr>
          <w:sz w:val="24"/>
          <w:szCs w:val="24"/>
          <w:lang w:val="en-US"/>
        </w:rPr>
        <w:t xml:space="preserve"> approximat</w:t>
      </w:r>
      <w:r>
        <w:rPr>
          <w:sz w:val="24"/>
          <w:szCs w:val="24"/>
          <w:lang w:val="en-US"/>
        </w:rPr>
        <w:t>ing</w:t>
      </w:r>
      <w:r w:rsidRPr="00A87029">
        <w:rPr>
          <w:sz w:val="24"/>
          <w:szCs w:val="24"/>
          <w:lang w:val="en-US"/>
        </w:rPr>
        <w:t xml:space="preserve"> the behavior of traders at corresponding investment horizons. </w:t>
      </w:r>
      <w:r>
        <w:rPr>
          <w:sz w:val="24"/>
          <w:szCs w:val="24"/>
          <w:lang w:val="en-US"/>
        </w:rPr>
        <w:t>They then</w:t>
      </w:r>
      <w:r w:rsidRPr="00A87029">
        <w:rPr>
          <w:sz w:val="24"/>
          <w:szCs w:val="24"/>
          <w:lang w:val="en-US"/>
        </w:rPr>
        <w:t xml:space="preserve"> compare</w:t>
      </w:r>
      <w:r w:rsidR="00FF34F5">
        <w:rPr>
          <w:sz w:val="24"/>
          <w:szCs w:val="24"/>
          <w:lang w:val="en-US"/>
        </w:rPr>
        <w:t>d</w:t>
      </w:r>
      <w:r w:rsidRPr="00A87029">
        <w:rPr>
          <w:sz w:val="24"/>
          <w:szCs w:val="24"/>
          <w:lang w:val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forecasts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 xml:space="preserve">by </w:t>
      </w:r>
      <w:r w:rsidRPr="00A87029">
        <w:rPr>
          <w:sz w:val="24"/>
          <w:szCs w:val="24"/>
          <w:lang w:val="en-US"/>
        </w:rPr>
        <w:t xml:space="preserve">employing some current realized volatility measures </w:t>
      </w:r>
      <w:r>
        <w:rPr>
          <w:sz w:val="24"/>
          <w:szCs w:val="24"/>
          <w:lang w:val="en-US"/>
        </w:rPr>
        <w:t>for FOREX</w:t>
      </w:r>
      <w:r w:rsidRPr="00A87029">
        <w:rPr>
          <w:sz w:val="24"/>
          <w:szCs w:val="24"/>
          <w:lang w:val="en-US"/>
        </w:rPr>
        <w:t xml:space="preserve"> futures data </w:t>
      </w:r>
      <w:r w:rsidR="00FF34F5">
        <w:rPr>
          <w:sz w:val="24"/>
          <w:szCs w:val="24"/>
          <w:lang w:val="en-US"/>
        </w:rPr>
        <w:t xml:space="preserve">for </w:t>
      </w:r>
      <w:r w:rsidRPr="00A87029">
        <w:rPr>
          <w:sz w:val="24"/>
          <w:szCs w:val="24"/>
          <w:lang w:val="en-US"/>
        </w:rPr>
        <w:t>the recent financial crisis.</w:t>
      </w:r>
      <w:r>
        <w:rPr>
          <w:sz w:val="24"/>
          <w:szCs w:val="24"/>
          <w:lang w:val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Their results indicate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that separating jump variation from the integrated variation improve</w:t>
      </w:r>
      <w:r w:rsidR="00FF34F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forecasting performance.</w:t>
      </w:r>
    </w:p>
    <w:p w14:paraId="42E369FA" w14:textId="5EB4BD77" w:rsidR="00236A23" w:rsidRPr="00A87029" w:rsidRDefault="009D553E" w:rsidP="00F34147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existing 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finance literature has extensively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investigate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d the concept of </w:t>
      </w:r>
      <w:r w:rsidR="007149C9"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v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olatility forecasting</w:t>
      </w:r>
      <w:r w:rsidR="007149C9"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for the 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stock market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.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Most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studies have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focused on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using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ARFIMA and </w:t>
      </w:r>
      <w:r w:rsidRPr="006B5465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GARCH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models (Bollerslev et al., 1994; Degiannakis, 2004; Hansen and Lunde,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2005, Koopman et al., 2005; Degiannakis, 2008</w:t>
      </w:r>
      <w:r w:rsidR="00E04D21"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; Wei</w:t>
      </w:r>
      <w:r w:rsidR="009953C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</w:t>
      </w:r>
      <w:r w:rsidR="00E04D21"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2012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) to study volatility pattern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. Nevertheless,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one</w:t>
      </w:r>
      <w:r w:rsidR="007149C9"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strand in the literature suggests that HAR models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for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realized volatility indices are more efficient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at</w:t>
      </w:r>
      <w:r w:rsidR="007149C9"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forecasting future volatility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because 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they can capture the long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-</w:t>
      </w:r>
      <w:r w:rsidRPr="00DF426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memory pattern of volatility (Corsi, 2009; Busch et al., 2011; and Fernandes et al., 2014)</w:t>
      </w:r>
      <w:r w:rsidR="00F3414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.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In this study, we aim to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determine</w:t>
      </w:r>
      <w:r w:rsidR="007149C9"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whether decomposing realized volatility into its continuous sample path and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its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jump components improves the modeling and forecasting of realized volatility indices for </w:t>
      </w:r>
      <w:r w:rsidR="00303DC4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five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tock indices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 namely the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303DC4" w:rsidRPr="00303DC4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FTSE (FTSE 100-UK), FCHI (CAC 40 100-France), GDAXI (DAX-Germany), SSMI (Swiss Stock Market</w:t>
      </w:r>
      <w:r w:rsidR="00303DC4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Index),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and </w:t>
      </w:r>
      <w:r w:rsidR="00303DC4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FTMIB (FTS MIB-Italy)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.</w:t>
      </w:r>
      <w:r w:rsidR="00303DC4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We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therefore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follow the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example</w:t>
      </w:r>
      <w:r w:rsidR="007149C9"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of Andersen et al. (2011) in modeling the realized volatility components separately. To model the realized volatility and its continuous component for the different exchange rates, we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apply</w:t>
      </w:r>
      <w:r w:rsidR="007149C9"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HAR-RV model of Corsi (2009). We also compare the HAR-RV and HAR-RV-CJ models to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assess</w:t>
      </w:r>
      <w:r w:rsidR="007149C9"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whether jumps matter in the return process. To evaluate if the HAR model is suitable for realized volatility modeling, we perform a year-by-year estimation of the parameters followed by a one-year, out-of-sample forecast using pre-forecas</w:t>
      </w:r>
      <w:r w:rsidR="00BA133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 periods of various </w:t>
      </w:r>
      <w:r w:rsidR="00BA133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lastRenderedPageBreak/>
        <w:t xml:space="preserve">lengths. Different stock indices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are </w:t>
      </w:r>
      <w:r w:rsidR="009953C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also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considered to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determine</w:t>
      </w:r>
      <w:r w:rsidR="007149C9"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whether the effects differ between </w:t>
      </w:r>
      <w:r w:rsidR="009953C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different </w:t>
      </w:r>
      <w:r w:rsidRPr="009D553E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stock indices.</w:t>
      </w:r>
    </w:p>
    <w:p w14:paraId="29657B21" w14:textId="7FD3A068" w:rsidR="00236A23" w:rsidRPr="00A87029" w:rsidRDefault="00236A23" w:rsidP="004D0608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 remainder of this paper is organized as follows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: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In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following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sectio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n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, we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present our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methodology for realized volatility decomposition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and specify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HAR-RV models. In section 3, we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discuss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 data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used in the study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. The empirical results and for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cast comparisons are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then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presented in section 4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,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with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section 5 </w:t>
      </w:r>
      <w:r w:rsidR="007149C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then giving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 study’s conclusions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.</w:t>
      </w:r>
    </w:p>
    <w:p w14:paraId="35317CA0" w14:textId="77777777" w:rsidR="00BB3BD8" w:rsidRPr="00432750" w:rsidRDefault="00EF1935" w:rsidP="00655863">
      <w:pPr>
        <w:spacing w:line="480" w:lineRule="auto"/>
        <w:jc w:val="both"/>
        <w:rPr>
          <w:rFonts w:ascii="TimesNewRoman" w:eastAsia="Calibri" w:hAnsi="TimesNewRoman" w:cs="TimesNewRoman"/>
          <w:b/>
          <w:color w:val="auto"/>
          <w:kern w:val="0"/>
          <w:sz w:val="28"/>
          <w:szCs w:val="28"/>
          <w:lang w:val="en-US" w:eastAsia="en-US"/>
        </w:rPr>
      </w:pPr>
      <w:r w:rsidRPr="009E1174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2. Methodology</w:t>
      </w:r>
    </w:p>
    <w:p w14:paraId="4686E595" w14:textId="77777777" w:rsidR="009D3D7D" w:rsidRPr="00A87029" w:rsidRDefault="00DD0458" w:rsidP="00655863">
      <w:pPr>
        <w:spacing w:after="240" w:line="480" w:lineRule="auto"/>
        <w:jc w:val="both"/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2</w:t>
      </w:r>
      <w:r w:rsidR="00701C33"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.</w:t>
      </w:r>
      <w:r w:rsidR="00EF1935"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1.</w:t>
      </w:r>
      <w:r w:rsidR="00701C33"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 xml:space="preserve"> Realized volatility decomposition</w:t>
      </w:r>
    </w:p>
    <w:p w14:paraId="40226EB4" w14:textId="4B7515E0" w:rsidR="00E442B9" w:rsidRPr="00236A23" w:rsidRDefault="00236A23" w:rsidP="00236A23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i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consider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realized volatility 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in terms of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its continuous sample </w:t>
      </w:r>
      <w:r w:rsidR="00844932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path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and its</w:t>
      </w:r>
      <w:r w:rsidR="00844932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jump components,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so we</w:t>
      </w:r>
      <w:r w:rsidR="00526B6B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introduce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n element of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decomposition 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into</w:t>
      </w:r>
      <w:r w:rsidR="00526B6B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daily return variance.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If w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 consider the exchange rate return over [</w:t>
      </w:r>
      <w:r w:rsidRPr="00A87029">
        <w:rPr>
          <w:rFonts w:ascii="TimesNewRoman" w:eastAsia="Calibri" w:hAnsi="TimesNewRoman" w:cs="TimesNewRoman"/>
          <w:i/>
          <w:color w:val="auto"/>
          <w:kern w:val="0"/>
          <w:sz w:val="24"/>
          <w:szCs w:val="24"/>
          <w:lang w:val="en-US" w:eastAsia="en-US"/>
        </w:rPr>
        <w:t>t-h, t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]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as the difference between the logarithmic price at time </w:t>
      </w:r>
      <w:r w:rsidRPr="00A87029">
        <w:rPr>
          <w:rFonts w:ascii="TimesNewRoman" w:eastAsia="Calibri" w:hAnsi="TimesNewRoman" w:cs="TimesNewRoman"/>
          <w:i/>
          <w:color w:val="auto"/>
          <w:kern w:val="0"/>
          <w:sz w:val="24"/>
          <w:szCs w:val="24"/>
          <w:lang w:val="en-US" w:eastAsia="en-US"/>
        </w:rPr>
        <w:t>t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and the logarithmic price at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time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i/>
          <w:color w:val="auto"/>
          <w:kern w:val="0"/>
          <w:sz w:val="24"/>
          <w:szCs w:val="24"/>
          <w:lang w:val="en-US" w:eastAsia="en-US"/>
        </w:rPr>
        <w:t>t-h:</w:t>
      </w:r>
    </w:p>
    <w:p w14:paraId="03FDC69C" w14:textId="77777777" w:rsidR="00E442B9" w:rsidRPr="00A87029" w:rsidRDefault="00A1281B" w:rsidP="00A1281B">
      <w:pPr>
        <w:spacing w:after="240" w:line="480" w:lineRule="auto"/>
        <w:jc w:val="center"/>
        <w:rPr>
          <w:sz w:val="24"/>
          <w:szCs w:val="24"/>
          <w:lang w:val="en-US"/>
        </w:rPr>
      </w:pPr>
      <w:r>
        <w:rPr>
          <w:rFonts w:ascii="TimesNewRoman" w:eastAsia="Calibri" w:hAnsi="TimesNewRoman" w:cs="TimesNewRoman"/>
          <w:sz w:val="24"/>
          <w:szCs w:val="24"/>
          <w:lang w:val="en-US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t-h</m:t>
            </m:r>
          </m:sub>
        </m:sSub>
      </m:oMath>
      <w:r w:rsidR="00E442B9" w:rsidRPr="00A87029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                                                        </w:t>
      </w:r>
      <w:r w:rsidR="00E442B9" w:rsidRPr="00A87029">
        <w:rPr>
          <w:sz w:val="24"/>
          <w:szCs w:val="24"/>
          <w:lang w:val="en-US"/>
        </w:rPr>
        <w:t>(1)</w:t>
      </w:r>
    </w:p>
    <w:p w14:paraId="39B912A2" w14:textId="77777777" w:rsidR="00E442B9" w:rsidRPr="00A87029" w:rsidRDefault="00E442B9" w:rsidP="00655863">
      <w:pPr>
        <w:spacing w:after="240" w:line="480" w:lineRule="auto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we</w:t>
      </w:r>
      <w:r w:rsidR="005644B0">
        <w:rPr>
          <w:sz w:val="24"/>
          <w:szCs w:val="24"/>
          <w:lang w:val="en-US"/>
        </w:rPr>
        <w:t xml:space="preserve"> </w:t>
      </w:r>
      <w:r w:rsidR="00526B6B">
        <w:rPr>
          <w:sz w:val="24"/>
          <w:szCs w:val="24"/>
          <w:lang w:val="en-US"/>
        </w:rPr>
        <w:t xml:space="preserve">can </w:t>
      </w:r>
      <w:r w:rsidR="000B2311">
        <w:rPr>
          <w:sz w:val="24"/>
          <w:szCs w:val="24"/>
          <w:lang w:val="en-US"/>
        </w:rPr>
        <w:t>then define</w:t>
      </w:r>
      <w:r w:rsidR="005644B0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>the realized variance as</w:t>
      </w:r>
      <w:r w:rsidR="000B2311">
        <w:rPr>
          <w:sz w:val="24"/>
          <w:szCs w:val="24"/>
          <w:lang w:val="en-US"/>
        </w:rPr>
        <w:t>:</w:t>
      </w:r>
    </w:p>
    <w:p w14:paraId="0C0CA107" w14:textId="77777777" w:rsidR="00E442B9" w:rsidRPr="00A87029" w:rsidRDefault="00A1281B" w:rsidP="00A1281B">
      <w:pPr>
        <w:spacing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t-h+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</m:nary>
      </m:oMath>
      <w:r w:rsidR="00E442B9" w:rsidRPr="00A87029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                     </w:t>
      </w:r>
      <w:r w:rsidR="00E442B9" w:rsidRPr="00A87029">
        <w:rPr>
          <w:sz w:val="24"/>
          <w:szCs w:val="24"/>
          <w:lang w:val="en-US"/>
        </w:rPr>
        <w:t xml:space="preserve"> (</w:t>
      </w:r>
      <w:r w:rsidR="00831AFF" w:rsidRPr="00A87029">
        <w:rPr>
          <w:sz w:val="24"/>
          <w:szCs w:val="24"/>
          <w:lang w:val="en-US"/>
        </w:rPr>
        <w:t>2</w:t>
      </w:r>
      <w:r w:rsidR="00E442B9" w:rsidRPr="00A87029">
        <w:rPr>
          <w:sz w:val="24"/>
          <w:szCs w:val="24"/>
          <w:lang w:val="en-US"/>
        </w:rPr>
        <w:t>)</w:t>
      </w:r>
    </w:p>
    <w:p w14:paraId="5B8A4AA8" w14:textId="65D517D3" w:rsidR="00DB73EA" w:rsidRPr="00655863" w:rsidRDefault="00D05936" w:rsidP="00655863">
      <w:pPr>
        <w:spacing w:line="480" w:lineRule="auto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sz w:val="24"/>
          <w:szCs w:val="24"/>
          <w:lang w:val="en-US"/>
        </w:rPr>
        <w:t>w</w:t>
      </w:r>
      <w:r w:rsidR="0028659E" w:rsidRPr="00A87029">
        <w:rPr>
          <w:sz w:val="24"/>
          <w:szCs w:val="24"/>
          <w:lang w:val="en-US"/>
        </w:rPr>
        <w:t>here</w:t>
      </w:r>
      <w:r w:rsidR="005644B0">
        <w:rPr>
          <w:sz w:val="24"/>
          <w:szCs w:val="24"/>
          <w:lang w:val="en-US"/>
        </w:rPr>
        <w:t xml:space="preserve"> </w:t>
      </w:r>
      <w:r w:rsidR="0028659E" w:rsidRPr="00A87029">
        <w:rPr>
          <w:i/>
          <w:sz w:val="24"/>
          <w:szCs w:val="24"/>
          <w:lang w:val="en-US"/>
        </w:rPr>
        <w:t xml:space="preserve">n </w:t>
      </w:r>
      <w:r w:rsidR="0028659E" w:rsidRPr="00A87029">
        <w:rPr>
          <w:sz w:val="24"/>
          <w:szCs w:val="24"/>
          <w:lang w:val="en-US"/>
        </w:rPr>
        <w:t xml:space="preserve">represents the number of observations </w:t>
      </w:r>
      <w:r w:rsidR="00526B6B">
        <w:rPr>
          <w:sz w:val="24"/>
          <w:szCs w:val="24"/>
          <w:lang w:val="en-US"/>
        </w:rPr>
        <w:t>over</w:t>
      </w:r>
      <w:r w:rsidR="00526B6B" w:rsidRPr="00A87029">
        <w:rPr>
          <w:sz w:val="24"/>
          <w:szCs w:val="24"/>
          <w:lang w:val="en-US"/>
        </w:rPr>
        <w:t xml:space="preserve"> </w:t>
      </w:r>
      <w:r w:rsidR="0028659E" w:rsidRPr="00A87029">
        <w:rPr>
          <w:sz w:val="24"/>
          <w:szCs w:val="24"/>
          <w:lang w:val="en-US"/>
        </w:rPr>
        <w:t xml:space="preserve">time interval </w:t>
      </w:r>
      <w:r w:rsidR="0028659E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[</w:t>
      </w:r>
      <w:r w:rsidR="0028659E" w:rsidRPr="00A87029">
        <w:rPr>
          <w:rFonts w:ascii="TimesNewRoman" w:eastAsia="Calibri" w:hAnsi="TimesNewRoman" w:cs="TimesNewRoman"/>
          <w:i/>
          <w:color w:val="auto"/>
          <w:kern w:val="0"/>
          <w:sz w:val="24"/>
          <w:szCs w:val="24"/>
          <w:lang w:val="en-US" w:eastAsia="en-US"/>
        </w:rPr>
        <w:t>t-h, t</w:t>
      </w:r>
      <w:r w:rsidR="00655863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].</w:t>
      </w:r>
    </w:p>
    <w:p w14:paraId="635EE2F3" w14:textId="08CADC1D" w:rsidR="00E442B9" w:rsidRPr="00A87029" w:rsidRDefault="009E2D3D" w:rsidP="00655863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</w:t>
      </w:r>
      <w:r w:rsidRPr="005D0839">
        <w:rPr>
          <w:rFonts w:ascii="TimesNewRoman" w:eastAsia="Calibri" w:hAnsi="TimesNewRoman" w:cs="TimesNewRoman"/>
          <w:iCs/>
          <w:color w:val="auto"/>
          <w:kern w:val="0"/>
          <w:sz w:val="24"/>
          <w:szCs w:val="24"/>
          <w:lang w:val="en-US" w:eastAsia="en-US"/>
        </w:rPr>
        <w:t>bipower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variation introduced by </w:t>
      </w:r>
      <w:r w:rsidR="0028659E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Barndorff-Nielsen and Shepard (2004)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and </w:t>
      </w:r>
      <w:r w:rsidR="00526B6B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later adapted </w:t>
      </w:r>
      <w:r w:rsidR="002D6733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by Andersen et al. (2011</w:t>
      </w:r>
      <w:r w:rsidR="0018294D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) is </w:t>
      </w:r>
      <w:r w:rsidR="000B231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defined</w:t>
      </w:r>
      <w:r w:rsidR="005644B0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="0018294D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as:</w:t>
      </w:r>
    </w:p>
    <w:p w14:paraId="4A356EE6" w14:textId="77777777" w:rsidR="003E167A" w:rsidRPr="00655863" w:rsidRDefault="006D45D6" w:rsidP="00655863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rFonts w:ascii="TimesNewRoman" w:eastAsia="Calibri" w:hAnsi="TimesNewRoman" w:cs="TimesNewRoman"/>
          <w:sz w:val="24"/>
          <w:szCs w:val="24"/>
          <w:lang w:val="en-US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-2</m:t>
            </m:r>
          </m:sup>
        </m:sSubSup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n-2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i=3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t-h+(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)h</m:t>
                    </m:r>
                  </m:sub>
                </m:sSub>
              </m:e>
            </m:d>
          </m:e>
        </m:nary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t-h+(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)h</m:t>
                </m:r>
              </m:sub>
            </m:sSub>
          </m:e>
        </m:d>
      </m:oMath>
      <w:r w:rsidR="003E167A" w:rsidRPr="00A87029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                          </w:t>
      </w:r>
      <w:r w:rsidR="003E167A" w:rsidRPr="00A87029">
        <w:rPr>
          <w:sz w:val="24"/>
          <w:szCs w:val="24"/>
          <w:lang w:val="en-US"/>
        </w:rPr>
        <w:t>(</w:t>
      </w:r>
      <w:r w:rsidR="00831AFF" w:rsidRPr="00A87029">
        <w:rPr>
          <w:sz w:val="24"/>
          <w:szCs w:val="24"/>
          <w:lang w:val="en-US"/>
        </w:rPr>
        <w:t>3</w:t>
      </w:r>
      <w:r w:rsidR="00655863">
        <w:rPr>
          <w:sz w:val="24"/>
          <w:szCs w:val="24"/>
          <w:lang w:val="en-US"/>
        </w:rPr>
        <w:t>)</w:t>
      </w:r>
    </w:p>
    <w:p w14:paraId="7EEC5999" w14:textId="696B001A" w:rsidR="003E167A" w:rsidRPr="00A87029" w:rsidRDefault="00526B6B" w:rsidP="00701C33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3E167A" w:rsidRPr="00A87029">
        <w:rPr>
          <w:sz w:val="24"/>
          <w:szCs w:val="24"/>
          <w:lang w:val="en-US"/>
        </w:rPr>
        <w:t>here</w:t>
      </w:r>
      <w:r>
        <w:rPr>
          <w:sz w:val="24"/>
          <w:szCs w:val="24"/>
          <w:lang w:val="en-US"/>
        </w:rPr>
        <w:t xml:space="preserve"> </w:t>
      </w:r>
      <w:r w:rsidR="003E167A" w:rsidRPr="00A87029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2/π</m:t>
            </m:r>
          </m:e>
        </m:rad>
      </m:oMath>
      <w:r w:rsidR="003E167A" w:rsidRPr="00A87029">
        <w:rPr>
          <w:sz w:val="24"/>
          <w:szCs w:val="24"/>
          <w:lang w:val="en-US"/>
        </w:rPr>
        <w:t xml:space="preserve"> .</w:t>
      </w:r>
    </w:p>
    <w:p w14:paraId="4C363FF0" w14:textId="502CD9FF" w:rsidR="00075E8D" w:rsidRPr="00A87029" w:rsidRDefault="00075E8D" w:rsidP="00655863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sz w:val="24"/>
          <w:szCs w:val="24"/>
          <w:lang w:val="en-US"/>
        </w:rPr>
        <w:lastRenderedPageBreak/>
        <w:t xml:space="preserve">We base the decomposition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</m:oMath>
      <w:r w:rsidR="00236A23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 xml:space="preserve">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</m:oMath>
      <w:r w:rsidRPr="00A87029">
        <w:rPr>
          <w:sz w:val="24"/>
          <w:szCs w:val="24"/>
          <w:lang w:val="en-US"/>
        </w:rPr>
        <w:t xml:space="preserve">, </w:t>
      </w:r>
      <w:r w:rsidR="00C735FF">
        <w:rPr>
          <w:sz w:val="24"/>
          <w:szCs w:val="24"/>
          <w:lang w:val="en-US"/>
        </w:rPr>
        <w:t xml:space="preserve">but </w:t>
      </w:r>
      <w:r w:rsidRPr="00A87029">
        <w:rPr>
          <w:sz w:val="24"/>
          <w:szCs w:val="24"/>
          <w:lang w:val="en-US"/>
        </w:rPr>
        <w:t>this difference can take</w:t>
      </w:r>
      <w:r w:rsidR="00526B6B">
        <w:rPr>
          <w:sz w:val="24"/>
          <w:szCs w:val="24"/>
          <w:lang w:val="en-US"/>
        </w:rPr>
        <w:t xml:space="preserve"> a</w:t>
      </w:r>
      <w:r w:rsidRPr="00A87029">
        <w:rPr>
          <w:sz w:val="24"/>
          <w:szCs w:val="24"/>
          <w:lang w:val="en-US"/>
        </w:rPr>
        <w:t xml:space="preserve"> negative value. </w:t>
      </w:r>
      <w:r w:rsidR="00526B6B">
        <w:rPr>
          <w:sz w:val="24"/>
          <w:szCs w:val="24"/>
          <w:lang w:val="en-US"/>
        </w:rPr>
        <w:t>Consequently</w:t>
      </w:r>
      <w:r w:rsidRPr="00A87029">
        <w:rPr>
          <w:sz w:val="24"/>
          <w:szCs w:val="24"/>
          <w:lang w:val="en-US"/>
        </w:rPr>
        <w:t xml:space="preserve">, to </w:t>
      </w:r>
      <w:r w:rsidR="00195CB1" w:rsidRPr="00A87029">
        <w:rPr>
          <w:sz w:val="24"/>
          <w:szCs w:val="24"/>
          <w:lang w:val="en-US"/>
        </w:rPr>
        <w:t>ensure</w:t>
      </w:r>
      <w:r w:rsidRPr="00A87029">
        <w:rPr>
          <w:sz w:val="24"/>
          <w:szCs w:val="24"/>
          <w:lang w:val="en-US"/>
        </w:rPr>
        <w:t xml:space="preserve"> </w:t>
      </w:r>
      <w:r w:rsidR="00526B6B">
        <w:rPr>
          <w:sz w:val="24"/>
          <w:szCs w:val="24"/>
          <w:lang w:val="en-US"/>
        </w:rPr>
        <w:t xml:space="preserve">a </w:t>
      </w:r>
      <w:r w:rsidRPr="00A87029">
        <w:rPr>
          <w:sz w:val="24"/>
          <w:szCs w:val="24"/>
          <w:lang w:val="en-US"/>
        </w:rPr>
        <w:t>non-negativ</w:t>
      </w:r>
      <w:r w:rsidR="00526B6B">
        <w:rPr>
          <w:sz w:val="24"/>
          <w:szCs w:val="24"/>
          <w:lang w:val="en-US"/>
        </w:rPr>
        <w:t>e value</w:t>
      </w:r>
      <w:r w:rsidRPr="00A87029">
        <w:rPr>
          <w:sz w:val="24"/>
          <w:szCs w:val="24"/>
          <w:lang w:val="en-US"/>
        </w:rPr>
        <w:t xml:space="preserve"> </w:t>
      </w:r>
      <w:r w:rsidR="00AD6997">
        <w:rPr>
          <w:sz w:val="24"/>
          <w:szCs w:val="24"/>
          <w:lang w:val="en-US"/>
        </w:rPr>
        <w:t>for</w:t>
      </w:r>
      <w:r w:rsidR="005644B0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 xml:space="preserve">the jump component, the measure proposed by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Barndorff-Nielsen and Shepard (2004) can be used instead</w:t>
      </w:r>
      <w:r w:rsidR="0018294D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:</w:t>
      </w:r>
    </w:p>
    <w:p w14:paraId="583FAFAE" w14:textId="77777777" w:rsidR="003F6055" w:rsidRPr="00A87029" w:rsidRDefault="006D45D6" w:rsidP="00701C33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rFonts w:ascii="TimesNewRoman" w:eastAsia="Calibri" w:hAnsi="TimesNewRoman" w:cs="TimesNewRoman"/>
          <w:sz w:val="24"/>
          <w:szCs w:val="24"/>
          <w:lang w:val="en-US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t,h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t,h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,0]</m:t>
            </m:r>
          </m:e>
        </m:func>
      </m:oMath>
      <w:r w:rsidR="003F6055" w:rsidRPr="00A87029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            </w:t>
      </w:r>
      <w:r w:rsidR="003F6055" w:rsidRPr="00A870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</w:t>
      </w:r>
      <w:r w:rsidR="003F6055" w:rsidRPr="00A87029">
        <w:rPr>
          <w:sz w:val="24"/>
          <w:szCs w:val="24"/>
          <w:lang w:val="en-US"/>
        </w:rPr>
        <w:t xml:space="preserve">    (</w:t>
      </w:r>
      <w:r w:rsidR="00831AFF" w:rsidRPr="00A87029">
        <w:rPr>
          <w:sz w:val="24"/>
          <w:szCs w:val="24"/>
          <w:lang w:val="en-US"/>
        </w:rPr>
        <w:t>4</w:t>
      </w:r>
      <w:r w:rsidR="003F6055" w:rsidRPr="00A87029">
        <w:rPr>
          <w:sz w:val="24"/>
          <w:szCs w:val="24"/>
          <w:lang w:val="en-US"/>
        </w:rPr>
        <w:t>)</w:t>
      </w:r>
    </w:p>
    <w:p w14:paraId="1E4389B8" w14:textId="295C6659" w:rsidR="00B2543C" w:rsidRPr="00A87029" w:rsidRDefault="00F536DC" w:rsidP="00655863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The continuous sample path</w:t>
      </w:r>
      <w:r w:rsidR="00236A23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sub>
        </m:sSub>
      </m:oMath>
      <w:r w:rsidR="00526B6B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 xml:space="preserve">equals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sub>
        </m:sSub>
      </m:oMath>
      <w:r w:rsidR="0018294D" w:rsidRPr="00A87029">
        <w:rPr>
          <w:sz w:val="24"/>
          <w:szCs w:val="24"/>
          <w:lang w:val="en-US"/>
        </w:rPr>
        <w:t>.</w:t>
      </w:r>
      <w:r w:rsidR="00526B6B">
        <w:rPr>
          <w:sz w:val="24"/>
          <w:szCs w:val="24"/>
          <w:lang w:val="en-US"/>
        </w:rPr>
        <w:t xml:space="preserve"> </w:t>
      </w:r>
      <w:r w:rsidR="00B2543C" w:rsidRPr="00A87029">
        <w:rPr>
          <w:sz w:val="24"/>
          <w:szCs w:val="24"/>
          <w:lang w:val="en-US"/>
        </w:rPr>
        <w:t xml:space="preserve">In </w:t>
      </w:r>
      <w:r w:rsidR="00AD6997">
        <w:rPr>
          <w:sz w:val="24"/>
          <w:szCs w:val="24"/>
          <w:lang w:val="en-US"/>
        </w:rPr>
        <w:t>reality</w:t>
      </w:r>
      <w:r w:rsidR="00B2543C" w:rsidRPr="00A87029">
        <w:rPr>
          <w:sz w:val="24"/>
          <w:szCs w:val="24"/>
          <w:lang w:val="en-US"/>
        </w:rPr>
        <w:t xml:space="preserve">, this procedure will </w:t>
      </w:r>
      <w:r w:rsidR="00AD6997">
        <w:rPr>
          <w:sz w:val="24"/>
          <w:szCs w:val="24"/>
          <w:lang w:val="en-US"/>
        </w:rPr>
        <w:t>indicate</w:t>
      </w:r>
      <w:r w:rsidR="001743CD">
        <w:rPr>
          <w:sz w:val="24"/>
          <w:szCs w:val="24"/>
          <w:lang w:val="en-US"/>
        </w:rPr>
        <w:t xml:space="preserve"> </w:t>
      </w:r>
      <w:r w:rsidR="00263992" w:rsidRPr="00A87029">
        <w:rPr>
          <w:sz w:val="24"/>
          <w:szCs w:val="24"/>
          <w:lang w:val="en-US"/>
        </w:rPr>
        <w:t>jumps every day</w:t>
      </w:r>
      <w:r w:rsidR="00AD6997">
        <w:rPr>
          <w:sz w:val="24"/>
          <w:szCs w:val="24"/>
          <w:lang w:val="en-US"/>
        </w:rPr>
        <w:t>, so we</w:t>
      </w:r>
      <w:r w:rsidR="00CE0B13">
        <w:rPr>
          <w:sz w:val="24"/>
          <w:szCs w:val="24"/>
          <w:lang w:val="en-US"/>
        </w:rPr>
        <w:t xml:space="preserve"> </w:t>
      </w:r>
      <w:r w:rsidR="00AD6997">
        <w:rPr>
          <w:sz w:val="24"/>
          <w:szCs w:val="24"/>
          <w:lang w:val="en-US"/>
        </w:rPr>
        <w:t>i</w:t>
      </w:r>
      <w:r w:rsidR="00263992" w:rsidRPr="00A87029">
        <w:rPr>
          <w:sz w:val="24"/>
          <w:szCs w:val="24"/>
          <w:lang w:val="en-US"/>
        </w:rPr>
        <w:t>nstead</w:t>
      </w:r>
      <w:r w:rsidR="00CE0B13">
        <w:rPr>
          <w:sz w:val="24"/>
          <w:szCs w:val="24"/>
          <w:lang w:val="en-US"/>
        </w:rPr>
        <w:t xml:space="preserve"> </w:t>
      </w:r>
      <w:r w:rsidR="00263992" w:rsidRPr="00A87029">
        <w:rPr>
          <w:sz w:val="24"/>
          <w:szCs w:val="24"/>
          <w:lang w:val="en-US"/>
        </w:rPr>
        <w:t xml:space="preserve">need to </w:t>
      </w:r>
      <w:r w:rsidR="00526B6B">
        <w:rPr>
          <w:sz w:val="24"/>
          <w:szCs w:val="24"/>
          <w:lang w:val="en-US"/>
        </w:rPr>
        <w:t>narrow this down to</w:t>
      </w:r>
      <w:r w:rsidR="00526B6B" w:rsidRPr="00A87029">
        <w:rPr>
          <w:sz w:val="24"/>
          <w:szCs w:val="24"/>
          <w:lang w:val="en-US"/>
        </w:rPr>
        <w:t xml:space="preserve"> </w:t>
      </w:r>
      <w:r w:rsidR="00263992" w:rsidRPr="00A87029">
        <w:rPr>
          <w:sz w:val="24"/>
          <w:szCs w:val="24"/>
          <w:lang w:val="en-US"/>
        </w:rPr>
        <w:t>significant jumps.</w:t>
      </w:r>
      <w:r w:rsidR="00CE0B13">
        <w:rPr>
          <w:sz w:val="24"/>
          <w:szCs w:val="24"/>
          <w:lang w:val="en-US"/>
        </w:rPr>
        <w:t xml:space="preserve"> </w:t>
      </w:r>
      <w:r w:rsidR="00AD6997">
        <w:rPr>
          <w:sz w:val="24"/>
          <w:szCs w:val="24"/>
          <w:lang w:val="en-US"/>
        </w:rPr>
        <w:t xml:space="preserve">To </w:t>
      </w:r>
      <w:r w:rsidR="00526B6B">
        <w:rPr>
          <w:sz w:val="24"/>
          <w:szCs w:val="24"/>
          <w:lang w:val="en-US"/>
        </w:rPr>
        <w:t>do this</w:t>
      </w:r>
      <w:r w:rsidR="00AD6997">
        <w:rPr>
          <w:sz w:val="24"/>
          <w:szCs w:val="24"/>
          <w:lang w:val="en-US"/>
        </w:rPr>
        <w:t>,</w:t>
      </w:r>
      <w:r w:rsidR="00030256" w:rsidRPr="00A87029">
        <w:rPr>
          <w:sz w:val="24"/>
          <w:szCs w:val="24"/>
          <w:lang w:val="en-US"/>
        </w:rPr>
        <w:t xml:space="preserve"> we </w:t>
      </w:r>
      <w:r w:rsidR="00041EDA" w:rsidRPr="00A87029">
        <w:rPr>
          <w:sz w:val="24"/>
          <w:szCs w:val="24"/>
          <w:lang w:val="en-US"/>
        </w:rPr>
        <w:t xml:space="preserve">employ </w:t>
      </w:r>
      <w:r w:rsidR="00030256" w:rsidRPr="00A87029">
        <w:rPr>
          <w:sz w:val="24"/>
          <w:szCs w:val="24"/>
          <w:lang w:val="en-US"/>
        </w:rPr>
        <w:t>the jump</w:t>
      </w:r>
      <w:r w:rsidR="00AD6997">
        <w:rPr>
          <w:sz w:val="24"/>
          <w:szCs w:val="24"/>
          <w:lang w:val="en-US"/>
        </w:rPr>
        <w:t>-</w:t>
      </w:r>
      <w:r w:rsidR="00030256" w:rsidRPr="00A87029">
        <w:rPr>
          <w:sz w:val="24"/>
          <w:szCs w:val="24"/>
          <w:lang w:val="en-US"/>
        </w:rPr>
        <w:t xml:space="preserve">test statistic </w:t>
      </w:r>
      <w:r w:rsidR="00041EDA" w:rsidRPr="00A87029">
        <w:rPr>
          <w:sz w:val="24"/>
          <w:szCs w:val="24"/>
          <w:lang w:val="en-US"/>
        </w:rPr>
        <w:t>suggested</w:t>
      </w:r>
      <w:r w:rsidR="002D6733" w:rsidRPr="00A87029">
        <w:rPr>
          <w:sz w:val="24"/>
          <w:szCs w:val="24"/>
          <w:lang w:val="en-US"/>
        </w:rPr>
        <w:t xml:space="preserve"> by Andersen et al. (2011</w:t>
      </w:r>
      <w:r w:rsidR="00030256" w:rsidRPr="00A87029">
        <w:rPr>
          <w:sz w:val="24"/>
          <w:szCs w:val="24"/>
          <w:lang w:val="en-US"/>
        </w:rPr>
        <w:t>)</w:t>
      </w:r>
      <w:r w:rsidR="0018294D" w:rsidRPr="00A87029">
        <w:rPr>
          <w:sz w:val="24"/>
          <w:szCs w:val="24"/>
          <w:lang w:val="en-US"/>
        </w:rPr>
        <w:t>:</w:t>
      </w:r>
    </w:p>
    <w:p w14:paraId="200713B7" w14:textId="77777777" w:rsidR="00E423A8" w:rsidRPr="00A87029" w:rsidRDefault="006D45D6" w:rsidP="0003127B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RV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t,h</m:t>
                </m: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BV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t,h</m:t>
                </m: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]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t,h</m:t>
                    </m:r>
                  </m:sub>
                </m:sSub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max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⁡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[1,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t,h</m:t>
                        </m:r>
                      </m:sub>
                    </m:sSub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]}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1/2</m:t>
                </m:r>
              </m:sup>
            </m:sSup>
          </m:den>
        </m:f>
      </m:oMath>
      <w:r w:rsidR="00E423A8" w:rsidRPr="00A87029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 xml:space="preserve">              </w:t>
      </w:r>
      <w:r w:rsidR="00E423A8" w:rsidRPr="00A87029">
        <w:rPr>
          <w:sz w:val="24"/>
          <w:szCs w:val="24"/>
          <w:lang w:val="en-US"/>
        </w:rPr>
        <w:t xml:space="preserve">  (</w:t>
      </w:r>
      <w:r w:rsidR="00831AFF" w:rsidRPr="00A87029">
        <w:rPr>
          <w:sz w:val="24"/>
          <w:szCs w:val="24"/>
          <w:lang w:val="en-US"/>
        </w:rPr>
        <w:t>5</w:t>
      </w:r>
      <w:r w:rsidR="00E423A8" w:rsidRPr="00A87029">
        <w:rPr>
          <w:sz w:val="24"/>
          <w:szCs w:val="24"/>
          <w:lang w:val="en-US"/>
        </w:rPr>
        <w:t>)</w:t>
      </w:r>
    </w:p>
    <w:p w14:paraId="4A8C0BFA" w14:textId="77777777" w:rsidR="0018294D" w:rsidRPr="00A87029" w:rsidRDefault="00AD6997" w:rsidP="003D5061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</w:t>
      </w:r>
      <w:r w:rsidR="00CE0B13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</m:oMath>
      <w:r w:rsidR="00CE0B13">
        <w:rPr>
          <w:sz w:val="24"/>
          <w:szCs w:val="24"/>
          <w:lang w:val="en-US"/>
        </w:rPr>
        <w:t xml:space="preserve"> </w:t>
      </w:r>
      <w:r w:rsidR="00F310CF" w:rsidRPr="00A87029">
        <w:rPr>
          <w:sz w:val="24"/>
          <w:szCs w:val="24"/>
          <w:lang w:val="en-US"/>
        </w:rPr>
        <w:t>is the realized tripower</w:t>
      </w:r>
      <w:r w:rsidR="00CE0B13">
        <w:rPr>
          <w:sz w:val="24"/>
          <w:szCs w:val="24"/>
          <w:lang w:val="en-US"/>
        </w:rPr>
        <w:t xml:space="preserve"> </w:t>
      </w:r>
      <w:r w:rsidR="00F310CF" w:rsidRPr="00A87029">
        <w:rPr>
          <w:sz w:val="24"/>
          <w:szCs w:val="24"/>
          <w:lang w:val="en-US"/>
        </w:rPr>
        <w:t>quarticity</w:t>
      </w:r>
      <w:r>
        <w:rPr>
          <w:sz w:val="24"/>
          <w:szCs w:val="24"/>
          <w:lang w:val="en-US"/>
        </w:rPr>
        <w:t xml:space="preserve"> and</w:t>
      </w:r>
      <w:r w:rsidR="00F310CF" w:rsidRPr="00A87029">
        <w:rPr>
          <w:sz w:val="24"/>
          <w:szCs w:val="24"/>
          <w:lang w:val="en-US"/>
        </w:rPr>
        <w:t xml:space="preserve"> defined by</w:t>
      </w:r>
      <w:r w:rsidR="0018294D" w:rsidRPr="00A87029">
        <w:rPr>
          <w:sz w:val="24"/>
          <w:szCs w:val="24"/>
          <w:lang w:val="en-US"/>
        </w:rPr>
        <w:t>:</w:t>
      </w:r>
    </w:p>
    <w:p w14:paraId="79B44E02" w14:textId="77777777" w:rsidR="00E423A8" w:rsidRPr="00A87029" w:rsidRDefault="006D45D6" w:rsidP="003D5061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4/3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-3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n-4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i=5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t-h+(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i-4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)h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4/3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t-h+(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)h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4/3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t-h+(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)h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4/3</m:t>
                </m:r>
              </m:sup>
            </m:sSup>
          </m:e>
        </m:nary>
      </m:oMath>
      <w:r>
        <w:rPr>
          <w:sz w:val="24"/>
          <w:szCs w:val="24"/>
          <w:lang w:val="en-US"/>
        </w:rPr>
        <w:t xml:space="preserve">            </w:t>
      </w:r>
      <w:r w:rsidR="00E423A8" w:rsidRPr="00A87029">
        <w:rPr>
          <w:sz w:val="24"/>
          <w:szCs w:val="24"/>
          <w:lang w:val="en-US"/>
        </w:rPr>
        <w:t>(</w:t>
      </w:r>
      <w:r w:rsidR="00831AFF" w:rsidRPr="00A87029">
        <w:rPr>
          <w:sz w:val="24"/>
          <w:szCs w:val="24"/>
          <w:lang w:val="en-US"/>
        </w:rPr>
        <w:t>6</w:t>
      </w:r>
      <w:r w:rsidR="00E423A8" w:rsidRPr="00A87029">
        <w:rPr>
          <w:sz w:val="24"/>
          <w:szCs w:val="24"/>
          <w:lang w:val="en-US"/>
        </w:rPr>
        <w:t>)</w:t>
      </w:r>
    </w:p>
    <w:p w14:paraId="15219AEA" w14:textId="77777777" w:rsidR="0003127B" w:rsidRPr="00A87029" w:rsidRDefault="00F310CF" w:rsidP="003D5061">
      <w:pPr>
        <w:spacing w:after="240" w:line="360" w:lineRule="auto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where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4/3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2/3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7/6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/Γ(1/2)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A87029">
        <w:rPr>
          <w:sz w:val="24"/>
          <w:szCs w:val="24"/>
          <w:lang w:val="en-US"/>
        </w:rPr>
        <w:t>and</w:t>
      </w:r>
      <w:r w:rsidR="00526B6B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Γ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.</m:t>
            </m:r>
          </m:e>
        </m:d>
      </m:oMath>
      <w:r w:rsidR="00526B6B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>is the</w:t>
      </w:r>
      <w:r w:rsidR="00E423A8" w:rsidRPr="00A87029">
        <w:rPr>
          <w:sz w:val="24"/>
          <w:szCs w:val="24"/>
          <w:lang w:val="en-US"/>
        </w:rPr>
        <w:t xml:space="preserve"> gamma</w:t>
      </w:r>
      <w:r w:rsidRPr="00A87029">
        <w:rPr>
          <w:sz w:val="24"/>
          <w:szCs w:val="24"/>
          <w:lang w:val="en-US"/>
        </w:rPr>
        <w:t xml:space="preserve"> function</w:t>
      </w:r>
      <w:r w:rsidR="00E423A8" w:rsidRPr="00A87029">
        <w:rPr>
          <w:sz w:val="24"/>
          <w:szCs w:val="24"/>
          <w:lang w:val="en-US"/>
        </w:rPr>
        <w:t>.</w:t>
      </w:r>
    </w:p>
    <w:p w14:paraId="4540C3F8" w14:textId="77777777" w:rsidR="00E423A8" w:rsidRPr="00A87029" w:rsidRDefault="004029B7" w:rsidP="00655863">
      <w:pPr>
        <w:spacing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 xml:space="preserve">Therefore, </w:t>
      </w:r>
      <w:r w:rsidR="003B7C29" w:rsidRPr="00A87029">
        <w:rPr>
          <w:sz w:val="24"/>
          <w:szCs w:val="24"/>
          <w:lang w:val="en-US"/>
        </w:rPr>
        <w:t xml:space="preserve">the jump </w:t>
      </w:r>
      <w:r w:rsidR="001F51BA" w:rsidRPr="00A87029">
        <w:rPr>
          <w:sz w:val="24"/>
          <w:szCs w:val="24"/>
          <w:lang w:val="en-US"/>
        </w:rPr>
        <w:t xml:space="preserve">component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</m:oMath>
      <w:r w:rsidR="001F51BA" w:rsidRPr="00A87029">
        <w:rPr>
          <w:sz w:val="24"/>
          <w:szCs w:val="24"/>
          <w:lang w:val="en-US"/>
        </w:rPr>
        <w:t>and the</w:t>
      </w:r>
      <w:r w:rsidR="00CE0B13">
        <w:rPr>
          <w:sz w:val="24"/>
          <w:szCs w:val="24"/>
          <w:lang w:val="en-US"/>
        </w:rPr>
        <w:t xml:space="preserve"> </w:t>
      </w:r>
      <w:r w:rsidR="001F51BA" w:rsidRPr="00A87029">
        <w:rPr>
          <w:sz w:val="24"/>
          <w:szCs w:val="24"/>
          <w:lang w:val="en-US"/>
        </w:rPr>
        <w:t xml:space="preserve">continuous sample path </w:t>
      </w:r>
      <w:r w:rsidR="00275BE9" w:rsidRPr="00A87029">
        <w:rPr>
          <w:sz w:val="24"/>
          <w:szCs w:val="24"/>
          <w:lang w:val="en-US"/>
        </w:rPr>
        <w:t>component are</w:t>
      </w:r>
      <w:r w:rsidR="001F51BA" w:rsidRPr="00A87029">
        <w:rPr>
          <w:sz w:val="24"/>
          <w:szCs w:val="24"/>
          <w:lang w:val="en-US"/>
        </w:rPr>
        <w:t xml:space="preserve"> </w:t>
      </w:r>
      <w:r w:rsidR="009F4A1D" w:rsidRPr="00A87029">
        <w:rPr>
          <w:sz w:val="24"/>
          <w:szCs w:val="24"/>
          <w:lang w:val="en-US"/>
        </w:rPr>
        <w:t>defi</w:t>
      </w:r>
      <w:r w:rsidR="003B7C29" w:rsidRPr="00A87029">
        <w:rPr>
          <w:sz w:val="24"/>
          <w:szCs w:val="24"/>
          <w:lang w:val="en-US"/>
        </w:rPr>
        <w:t>ned</w:t>
      </w:r>
      <w:r w:rsidR="00CE0B13">
        <w:rPr>
          <w:sz w:val="24"/>
          <w:szCs w:val="24"/>
          <w:lang w:val="en-US"/>
        </w:rPr>
        <w:t xml:space="preserve"> </w:t>
      </w:r>
      <w:r w:rsidR="00AD6997" w:rsidRPr="00A87029">
        <w:rPr>
          <w:sz w:val="24"/>
          <w:szCs w:val="24"/>
          <w:lang w:val="en-US"/>
        </w:rPr>
        <w:t>respectively</w:t>
      </w:r>
      <w:r w:rsidR="00AD6997">
        <w:rPr>
          <w:sz w:val="24"/>
          <w:szCs w:val="24"/>
          <w:lang w:val="en-US"/>
        </w:rPr>
        <w:t xml:space="preserve"> as</w:t>
      </w:r>
      <w:r w:rsidR="0018294D" w:rsidRPr="00A87029">
        <w:rPr>
          <w:sz w:val="24"/>
          <w:szCs w:val="24"/>
          <w:lang w:val="en-US"/>
        </w:rPr>
        <w:t>:</w:t>
      </w:r>
    </w:p>
    <w:p w14:paraId="60AAED70" w14:textId="77777777" w:rsidR="0003127B" w:rsidRPr="00A87029" w:rsidRDefault="006D45D6" w:rsidP="0003127B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 xml:space="preserve">I(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&gt;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RV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t,h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BV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t,h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]</m:t>
            </m:r>
          </m:e>
        </m:func>
      </m:oMath>
      <w:r w:rsidR="0003127B" w:rsidRPr="00A87029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                            </w:t>
      </w:r>
      <w:r w:rsidR="0003127B" w:rsidRPr="00A87029">
        <w:rPr>
          <w:sz w:val="24"/>
          <w:szCs w:val="24"/>
          <w:lang w:val="en-US"/>
        </w:rPr>
        <w:t xml:space="preserve">  </w:t>
      </w:r>
      <w:r w:rsidR="004D0608">
        <w:rPr>
          <w:sz w:val="24"/>
          <w:szCs w:val="24"/>
          <w:lang w:val="en-US"/>
        </w:rPr>
        <w:t xml:space="preserve"> </w:t>
      </w:r>
      <w:r w:rsidR="0003127B" w:rsidRPr="00A87029">
        <w:rPr>
          <w:sz w:val="24"/>
          <w:szCs w:val="24"/>
          <w:lang w:val="en-US"/>
        </w:rPr>
        <w:t>(</w:t>
      </w:r>
      <w:r w:rsidR="00831AFF" w:rsidRPr="00A87029">
        <w:rPr>
          <w:sz w:val="24"/>
          <w:szCs w:val="24"/>
          <w:lang w:val="en-US"/>
        </w:rPr>
        <w:t>7</w:t>
      </w:r>
      <w:r w:rsidR="0003127B" w:rsidRPr="00A87029">
        <w:rPr>
          <w:sz w:val="24"/>
          <w:szCs w:val="24"/>
          <w:lang w:val="en-US"/>
        </w:rPr>
        <w:t>)</w:t>
      </w:r>
    </w:p>
    <w:p w14:paraId="48DE1085" w14:textId="534CC8F1" w:rsidR="001F51BA" w:rsidRPr="00A87029" w:rsidRDefault="006D45D6" w:rsidP="00F34147">
      <w:pPr>
        <w:spacing w:after="240" w:line="360" w:lineRule="auto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A</w:t>
      </w:r>
      <w:r w:rsidR="001F51BA" w:rsidRPr="00A87029">
        <w:rPr>
          <w:sz w:val="24"/>
          <w:szCs w:val="24"/>
          <w:lang w:val="en-US"/>
        </w:rPr>
        <w:t>nd</w:t>
      </w:r>
      <w:r>
        <w:rPr>
          <w:sz w:val="24"/>
          <w:szCs w:val="24"/>
          <w:lang w:val="en-US"/>
        </w:rPr>
        <w:t xml:space="preserve">                        </w:t>
      </w:r>
      <w:r w:rsidR="004D0608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t,h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t,h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]</m:t>
                </m:r>
              </m:e>
            </m:func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t,h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t,h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]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t,h</m:t>
                </m:r>
              </m:sub>
            </m:sSub>
          </m:e>
        </m:func>
      </m:oMath>
      <w:r w:rsidR="001F51BA" w:rsidRPr="00A87029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                  </w:t>
      </w:r>
      <w:r w:rsidR="004D06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</w:t>
      </w:r>
      <w:r w:rsidR="001F51BA" w:rsidRPr="00A87029">
        <w:rPr>
          <w:sz w:val="24"/>
          <w:szCs w:val="24"/>
          <w:lang w:val="en-US"/>
        </w:rPr>
        <w:t>(</w:t>
      </w:r>
      <w:r w:rsidR="00831AFF" w:rsidRPr="00A87029">
        <w:rPr>
          <w:sz w:val="24"/>
          <w:szCs w:val="24"/>
          <w:lang w:val="en-US"/>
        </w:rPr>
        <w:t>8</w:t>
      </w:r>
      <w:r w:rsidR="00F34147">
        <w:rPr>
          <w:sz w:val="24"/>
          <w:szCs w:val="24"/>
          <w:lang w:val="en-US"/>
        </w:rPr>
        <w:t>)</w:t>
      </w:r>
    </w:p>
    <w:p w14:paraId="6C7700F5" w14:textId="74251585" w:rsidR="002813F8" w:rsidRPr="00A87029" w:rsidRDefault="004337D4" w:rsidP="00F34147">
      <w:pPr>
        <w:spacing w:after="240" w:line="480" w:lineRule="auto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where</w:t>
      </w:r>
      <w:r w:rsidR="00CE0B13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.</m:t>
            </m:r>
          </m:e>
        </m:d>
      </m:oMath>
      <w:r w:rsidR="00CE0B13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>represents the indicator function and</w:t>
      </w:r>
      <w:r w:rsidR="00236A23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sub>
        </m:sSub>
      </m:oMath>
      <w:r w:rsidRPr="00A87029">
        <w:rPr>
          <w:sz w:val="24"/>
          <w:szCs w:val="24"/>
          <w:lang w:val="en-US"/>
        </w:rPr>
        <w:t>is the</w:t>
      </w:r>
      <w:r w:rsidR="00CE0B13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A87029">
        <w:rPr>
          <w:sz w:val="24"/>
          <w:szCs w:val="24"/>
          <w:lang w:val="en-US"/>
        </w:rPr>
        <w:t>-quantile</w:t>
      </w:r>
      <w:r w:rsidR="00CE0B13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>of the standard normal di</w:t>
      </w:r>
      <w:r w:rsidR="00F93C52" w:rsidRPr="00A87029">
        <w:rPr>
          <w:sz w:val="24"/>
          <w:szCs w:val="24"/>
          <w:lang w:val="en-US"/>
        </w:rPr>
        <w:t>s</w:t>
      </w:r>
      <w:r w:rsidRPr="00A87029">
        <w:rPr>
          <w:sz w:val="24"/>
          <w:szCs w:val="24"/>
          <w:lang w:val="en-US"/>
        </w:rPr>
        <w:t>tribution function</w:t>
      </w:r>
      <w:r w:rsidR="004029B7" w:rsidRPr="00A87029">
        <w:rPr>
          <w:sz w:val="24"/>
          <w:szCs w:val="24"/>
          <w:lang w:val="en-US"/>
        </w:rPr>
        <w:t xml:space="preserve">. </w:t>
      </w:r>
      <w:r w:rsidR="002E4CDA" w:rsidRPr="00A87029">
        <w:rPr>
          <w:sz w:val="24"/>
          <w:szCs w:val="24"/>
          <w:lang w:val="en-US"/>
        </w:rPr>
        <w:t xml:space="preserve">The results </w:t>
      </w:r>
      <w:r w:rsidR="006057E7">
        <w:rPr>
          <w:sz w:val="24"/>
          <w:szCs w:val="24"/>
          <w:lang w:val="en-US"/>
        </w:rPr>
        <w:t xml:space="preserve">presented </w:t>
      </w:r>
      <w:r w:rsidR="002E4CDA" w:rsidRPr="00A87029">
        <w:rPr>
          <w:sz w:val="24"/>
          <w:szCs w:val="24"/>
          <w:lang w:val="en-US"/>
        </w:rPr>
        <w:t>in this paper were obtained using a 99% quantile, because lower quantiles</w:t>
      </w:r>
      <w:r w:rsidR="00CE0B13">
        <w:rPr>
          <w:sz w:val="24"/>
          <w:szCs w:val="24"/>
          <w:lang w:val="en-US"/>
        </w:rPr>
        <w:t xml:space="preserve"> </w:t>
      </w:r>
      <w:r w:rsidR="006057E7">
        <w:rPr>
          <w:sz w:val="24"/>
          <w:szCs w:val="24"/>
          <w:lang w:val="en-US"/>
        </w:rPr>
        <w:t>result in</w:t>
      </w:r>
      <w:r w:rsidR="006057E7" w:rsidRPr="00A87029">
        <w:rPr>
          <w:sz w:val="24"/>
          <w:szCs w:val="24"/>
          <w:lang w:val="en-US"/>
        </w:rPr>
        <w:t xml:space="preserve"> </w:t>
      </w:r>
      <w:r w:rsidR="00AD6997">
        <w:rPr>
          <w:sz w:val="24"/>
          <w:szCs w:val="24"/>
          <w:lang w:val="en-US"/>
        </w:rPr>
        <w:t>slightly</w:t>
      </w:r>
      <w:r w:rsidR="00943FDD" w:rsidRPr="00A87029">
        <w:rPr>
          <w:sz w:val="24"/>
          <w:szCs w:val="24"/>
          <w:lang w:val="en-US"/>
        </w:rPr>
        <w:t xml:space="preserve"> diff</w:t>
      </w:r>
      <w:r w:rsidR="002E4CDA" w:rsidRPr="00A87029">
        <w:rPr>
          <w:sz w:val="24"/>
          <w:szCs w:val="24"/>
          <w:lang w:val="en-US"/>
        </w:rPr>
        <w:t xml:space="preserve">erent estimates. </w:t>
      </w:r>
    </w:p>
    <w:p w14:paraId="2C6CB629" w14:textId="135F69BC" w:rsidR="00401629" w:rsidRPr="00A87029" w:rsidRDefault="00EF1935" w:rsidP="00401629">
      <w:pPr>
        <w:spacing w:after="240" w:line="360" w:lineRule="auto"/>
        <w:jc w:val="both"/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2.2</w:t>
      </w:r>
      <w:r w:rsidR="00275BE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 xml:space="preserve">. </w:t>
      </w:r>
      <w:r w:rsidR="00AD6997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 xml:space="preserve">The </w:t>
      </w:r>
      <w:r w:rsidR="00B43804"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HAR-RV model</w:t>
      </w:r>
    </w:p>
    <w:p w14:paraId="6194FFCF" w14:textId="7772537C" w:rsidR="00236A23" w:rsidRPr="00A87029" w:rsidRDefault="00236A23" w:rsidP="00D8407C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In this section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we present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HAR-RV model for realized volatility.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Corsi (2009) introduce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d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</w:t>
      </w:r>
      <w:r w:rsidR="006057E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original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heterogeneous autoregressive model (HAR) to estimate realized volatility. </w:t>
      </w:r>
      <w:r w:rsidR="006057E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It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can capture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lastRenderedPageBreak/>
        <w:t xml:space="preserve">the presence of a long memory in a time series and give a clear economic interpretation </w:t>
      </w:r>
      <w:r w:rsidR="006057E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through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its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results. The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underlying concept for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the HAR model is the Heterogeneous Market Hypothesis of Muller et al. (1997), which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proposes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that </w:t>
      </w:r>
      <w:r w:rsidR="0004577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lear heterogeneity</w:t>
      </w:r>
      <w:r w:rsidR="00045777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exists i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n the behavior of traders. 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In turn,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Corsi (2009) associates realized volatility with the heterogeneity of traders in the market in order to capture the long-term dependency properties of the daily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realized volatility and how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this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relates to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 weekly and monthly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realized volatilit</w:t>
      </w:r>
      <w:r w:rsidR="00C735F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ies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. He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uses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different time horizons as a source of heterogeneity 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before</w:t>
      </w:r>
      <w:r w:rsidR="00D768E8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then distinguish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ing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between three types of traders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, 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each</w:t>
      </w:r>
      <w:r w:rsidR="00D768E8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with different time horizons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based on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their </w:t>
      </w:r>
      <w:r w:rsidR="00D768E8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activity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frequency. The first 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are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the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intraday traders, such as dealers and speculators. The second 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are those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traders who make decisions on a weekly basis, such as portfolio managers. The third type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covers institutions like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central banks, funds, and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other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commercial organizations that operate on a monthly basis. Each type of trader 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contributes to</w:t>
      </w:r>
      <w:r w:rsidR="00D768E8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a different sort of volatility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on the </w:t>
      </w:r>
      <w:r w:rsidR="00D8407C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stock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market.</w:t>
      </w:r>
    </w:p>
    <w:p w14:paraId="2C269BE4" w14:textId="7540D576" w:rsidR="00236A23" w:rsidRPr="00A87029" w:rsidRDefault="00236A23" w:rsidP="00236A23">
      <w:pPr>
        <w:spacing w:after="240" w:line="480" w:lineRule="auto"/>
        <w:ind w:firstLine="708"/>
        <w:jc w:val="both"/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Andersen et al. (2007) indicate</w:t>
      </w:r>
      <w:r w:rsidR="00C735FF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s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that the </w:t>
      </w:r>
      <w:r w:rsidR="00D768E8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HAR model</w:t>
      </w:r>
      <w:r w:rsidR="00D768E8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’s</w:t>
      </w:r>
      <w:r w:rsidR="00D768E8"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success in estimating realized volatility lies in its ability to capture the long memory and heterogeneous behavior in </w:t>
      </w:r>
      <w:r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>a</w:t>
      </w:r>
      <w:r w:rsidR="00E04D21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ascii="TimesNewRoman" w:eastAsia="Calibri" w:hAnsi="TimesNewRoman" w:cs="TimesNewRoman"/>
          <w:color w:val="auto"/>
          <w:kern w:val="0"/>
          <w:sz w:val="24"/>
          <w:szCs w:val="24"/>
          <w:lang w:val="en-US" w:eastAsia="en-US"/>
        </w:rPr>
        <w:t xml:space="preserve">market. </w:t>
      </w:r>
    </w:p>
    <w:p w14:paraId="60373EB0" w14:textId="77777777" w:rsidR="00E504D4" w:rsidRPr="00A87029" w:rsidRDefault="00236A23" w:rsidP="00236A23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The HAR-RV model of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Corsi (2009) supposes that the price process does not contain jump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it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is defined as</w:t>
      </w:r>
      <w:r w:rsidRPr="00A87029">
        <w:rPr>
          <w:sz w:val="24"/>
          <w:szCs w:val="24"/>
          <w:lang w:val="en-US"/>
        </w:rPr>
        <w:t>:</w:t>
      </w:r>
    </w:p>
    <w:p w14:paraId="426CBD01" w14:textId="77777777" w:rsidR="00E504D4" w:rsidRPr="00A87029" w:rsidRDefault="006D45D6" w:rsidP="00821EB1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t+1d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 α+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</m:sSub>
      </m:oMath>
      <w:r w:rsidR="003770D1" w:rsidRPr="00A87029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                  </w:t>
      </w:r>
      <w:r w:rsidR="003770D1" w:rsidRPr="00A87029">
        <w:rPr>
          <w:sz w:val="24"/>
          <w:szCs w:val="24"/>
          <w:lang w:val="en-US"/>
        </w:rPr>
        <w:t xml:space="preserve">  (</w:t>
      </w:r>
      <w:r w:rsidR="0018294D" w:rsidRPr="00A87029">
        <w:rPr>
          <w:sz w:val="24"/>
          <w:szCs w:val="24"/>
          <w:lang w:val="en-US"/>
        </w:rPr>
        <w:t>9</w:t>
      </w:r>
      <w:r w:rsidR="004D4406" w:rsidRPr="00A87029">
        <w:rPr>
          <w:sz w:val="24"/>
          <w:szCs w:val="24"/>
          <w:lang w:val="en-US"/>
        </w:rPr>
        <w:t>)</w:t>
      </w:r>
    </w:p>
    <w:p w14:paraId="609BABC0" w14:textId="534A0ECB" w:rsidR="002813F8" w:rsidRDefault="0018294D" w:rsidP="002813F8">
      <w:pPr>
        <w:autoSpaceDE w:val="0"/>
        <w:autoSpaceDN w:val="0"/>
        <w:adjustRightInd w:val="0"/>
        <w:spacing w:after="240" w:line="480" w:lineRule="auto"/>
        <w:jc w:val="both"/>
        <w:rPr>
          <w:sz w:val="24"/>
          <w:szCs w:val="24"/>
          <w:lang w:val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where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</m:oMath>
      <w:r w:rsidRPr="00A87029">
        <w:rPr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w</m:t>
        </m:r>
      </m:oMath>
      <w:r w:rsidR="00D768E8">
        <w:rPr>
          <w:sz w:val="24"/>
          <w:szCs w:val="24"/>
          <w:lang w:val="en-US"/>
        </w:rPr>
        <w:t>,</w:t>
      </w:r>
      <w:r w:rsidRPr="00A87029">
        <w:rPr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denote time horizons of one day, one week</w:t>
      </w:r>
      <w:r w:rsidR="00846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one month</w:t>
      </w:r>
      <w:r w:rsidR="00AD6997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AD699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respectively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.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sup>
        </m:sSubSup>
      </m:oMath>
      <w:r w:rsidRPr="00A87029">
        <w:rPr>
          <w:sz w:val="24"/>
          <w:szCs w:val="24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sup>
        </m:sSubSup>
      </m:oMath>
      <w:r w:rsidR="008467FE" w:rsidRPr="00A87029">
        <w:rPr>
          <w:sz w:val="24"/>
          <w:szCs w:val="24"/>
          <w:lang w:val="en-US"/>
        </w:rPr>
        <w:t>,</w:t>
      </w:r>
      <w:r w:rsidR="00D768E8">
        <w:rPr>
          <w:sz w:val="24"/>
          <w:szCs w:val="24"/>
          <w:lang w:val="en-US"/>
        </w:rPr>
        <w:t xml:space="preserve"> </w:t>
      </w:r>
      <w:r w:rsidR="008467FE" w:rsidRPr="00A87029">
        <w:rPr>
          <w:sz w:val="24"/>
          <w:szCs w:val="24"/>
          <w:lang w:val="en-US"/>
        </w:rPr>
        <w:t>and</w:t>
      </w:r>
      <w:r w:rsidR="00D768E8">
        <w:rPr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sup>
        </m:sSubSup>
      </m:oMath>
      <w:r w:rsidR="00AD6997">
        <w:rPr>
          <w:sz w:val="24"/>
          <w:szCs w:val="24"/>
          <w:lang w:val="en-US"/>
        </w:rPr>
        <w:t>, meanwhile,</w:t>
      </w:r>
      <w:r w:rsidR="00375A8E">
        <w:rPr>
          <w:sz w:val="24"/>
          <w:szCs w:val="24"/>
          <w:lang w:val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indicate the observed monthly, weekly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daily realized volatility, respectively</w:t>
      </w:r>
      <w:r w:rsidR="00AD69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while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</m:sSub>
      </m:oMath>
      <w:r w:rsidRPr="00A87029">
        <w:rPr>
          <w:sz w:val="24"/>
          <w:szCs w:val="24"/>
          <w:lang w:val="en-US"/>
        </w:rPr>
        <w:t xml:space="preserve"> is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the innovation term.</w:t>
      </w:r>
    </w:p>
    <w:p w14:paraId="4F18BD2A" w14:textId="7F296714" w:rsidR="00544A9B" w:rsidRPr="002813F8" w:rsidRDefault="00B66C71" w:rsidP="002813F8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="00A424C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weekly and monthly realized volatilities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are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4D4406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calcula</w:t>
      </w:r>
      <w:r w:rsidR="00A424C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ted as the average of the last week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’s</w:t>
      </w:r>
      <w:r w:rsidR="00A424C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(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five</w:t>
      </w:r>
      <w:r w:rsidR="00A424C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days) daily volatilities and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A424C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the average of the last mont</w:t>
      </w:r>
      <w:r w:rsidR="001829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h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’s</w:t>
      </w:r>
      <w:r w:rsidR="001829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(22 days) daily volatilities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D768E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respectively</w:t>
      </w:r>
      <w:r w:rsidR="001829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031DDAFD" w14:textId="77777777" w:rsidR="003770D1" w:rsidRPr="00A87029" w:rsidRDefault="008B522B" w:rsidP="00544A9B">
      <w:pPr>
        <w:spacing w:line="360" w:lineRule="auto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(w)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(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d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t-1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d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+…+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t-4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(d)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14:paraId="2B66D083" w14:textId="77777777" w:rsidR="00A424C8" w:rsidRPr="002813F8" w:rsidRDefault="008B522B" w:rsidP="002813F8">
      <w:pPr>
        <w:spacing w:after="240" w:line="360" w:lineRule="auto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(m)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(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d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t-1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d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+…+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t-21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(d)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14:paraId="2259F8B4" w14:textId="726461B3" w:rsidR="00A424C8" w:rsidRPr="00A87029" w:rsidRDefault="00B43804" w:rsidP="002813F8">
      <w:pPr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To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en</w:t>
      </w:r>
      <w:r w:rsidR="00AF1B0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sure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that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AF1B0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dependent variable only 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takes </w:t>
      </w:r>
      <w:r w:rsidR="00AF1B0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positive values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9228E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we introduce the logarithmic sp</w:t>
      </w:r>
      <w:r w:rsidR="001829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ecification of the HAR-RV model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70A6C3F7" w14:textId="77777777" w:rsidR="00E667D3" w:rsidRPr="00A87029" w:rsidRDefault="006D45D6" w:rsidP="00E504D4">
      <w:pPr>
        <w:spacing w:after="240" w:line="360" w:lineRule="auto"/>
        <w:jc w:val="both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ln⁡</m:t>
        </m:r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)= α+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ln⁡</m:t>
        </m:r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</m:d>
          </m:sup>
        </m:sSubSup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</m:e>
        </m:func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ln⁡</m:t>
        </m:r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)+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</m:sSub>
      </m:oMath>
      <w:r>
        <w:rPr>
          <w:rFonts w:eastAsia="Calibri"/>
          <w:sz w:val="24"/>
          <w:szCs w:val="24"/>
          <w:lang w:val="en-US"/>
        </w:rPr>
        <w:t xml:space="preserve">            </w:t>
      </w:r>
      <w:r w:rsidR="003770D1" w:rsidRPr="00A87029">
        <w:rPr>
          <w:sz w:val="24"/>
          <w:szCs w:val="24"/>
          <w:lang w:val="en-US"/>
        </w:rPr>
        <w:t>(</w:t>
      </w:r>
      <w:r w:rsidR="00821EB1">
        <w:rPr>
          <w:sz w:val="24"/>
          <w:szCs w:val="24"/>
          <w:lang w:val="en-US"/>
        </w:rPr>
        <w:t>10</w:t>
      </w:r>
      <w:r w:rsidR="003770D1" w:rsidRPr="00A87029">
        <w:rPr>
          <w:sz w:val="24"/>
          <w:szCs w:val="24"/>
          <w:lang w:val="en-US"/>
        </w:rPr>
        <w:t>)</w:t>
      </w:r>
    </w:p>
    <w:p w14:paraId="48B8CBDF" w14:textId="76FB1338" w:rsidR="00B1178F" w:rsidRPr="00A87029" w:rsidRDefault="00B66C71" w:rsidP="00655863">
      <w:pPr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Next</w:t>
      </w:r>
      <w:r w:rsidR="00E667D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, we introduce the HAR-RV-</w:t>
      </w:r>
      <w:r w:rsidR="00C735FF">
        <w:rPr>
          <w:rFonts w:eastAsia="Calibri"/>
          <w:color w:val="auto"/>
          <w:kern w:val="0"/>
          <w:sz w:val="24"/>
          <w:szCs w:val="24"/>
          <w:lang w:val="en-US" w:eastAsia="en-US"/>
        </w:rPr>
        <w:t>C</w:t>
      </w:r>
      <w:r w:rsidR="00E667D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J model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proposed by Andersen et al. (2007)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, which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 </w:t>
      </w:r>
      <w:r w:rsidR="00E667D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assumes a return process</w:t>
      </w:r>
      <w:r w:rsidR="00A421B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including jumps</w:t>
      </w:r>
      <w:r w:rsidR="001829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74720EA3" w14:textId="77777777" w:rsidR="00A421BD" w:rsidRPr="00A87029" w:rsidRDefault="006D45D6" w:rsidP="00655863">
      <w:pPr>
        <w:spacing w:after="240" w:line="480" w:lineRule="auto"/>
        <w:jc w:val="both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 α+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</m:sSub>
      </m:oMath>
      <w:r>
        <w:rPr>
          <w:rFonts w:eastAsia="Calibri"/>
          <w:sz w:val="24"/>
          <w:szCs w:val="24"/>
          <w:lang w:val="en-US"/>
        </w:rPr>
        <w:t xml:space="preserve">                  </w:t>
      </w:r>
      <w:r w:rsidR="00A421BD" w:rsidRPr="00A87029">
        <w:rPr>
          <w:sz w:val="24"/>
          <w:szCs w:val="24"/>
          <w:lang w:val="en-US"/>
        </w:rPr>
        <w:t>(1</w:t>
      </w:r>
      <w:r w:rsidR="00821EB1">
        <w:rPr>
          <w:sz w:val="24"/>
          <w:szCs w:val="24"/>
          <w:lang w:val="en-US"/>
        </w:rPr>
        <w:t>1</w:t>
      </w:r>
      <w:r w:rsidR="00A421BD" w:rsidRPr="00A87029">
        <w:rPr>
          <w:sz w:val="24"/>
          <w:szCs w:val="24"/>
          <w:lang w:val="en-US"/>
        </w:rPr>
        <w:t>)</w:t>
      </w:r>
    </w:p>
    <w:p w14:paraId="56A8813E" w14:textId="1004FE8D" w:rsidR="00CE7A43" w:rsidRDefault="00A40831" w:rsidP="00CE7A43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There are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some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days with no jumps in the return process (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i.e.,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jump component equals zero),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so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logarithmic specification of the HAR-RV model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becomes</w:t>
      </w:r>
      <w:r w:rsidR="00005C35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19731572" w14:textId="77777777" w:rsidR="00A40831" w:rsidRPr="002813F8" w:rsidRDefault="00CE7A43" w:rsidP="002813F8">
      <w:pPr>
        <w:autoSpaceDE w:val="0"/>
        <w:autoSpaceDN w:val="0"/>
        <w:adjustRightInd w:val="0"/>
        <w:spacing w:after="240" w:line="48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sz w:val="22"/>
          <w:szCs w:val="22"/>
          <w:lang w:val="en-US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t+1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)= α+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RV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RVar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w</m:t>
                </m:r>
              </m:e>
            </m:d>
          </m:sup>
        </m:sSubSup>
        <m:func>
          <m:func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(</m:t>
            </m:r>
          </m:e>
        </m:func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w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RVar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(1+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t+1</m:t>
            </m:r>
          </m:sub>
        </m:sSub>
      </m:oMath>
      <w:r>
        <w:rPr>
          <w:sz w:val="24"/>
          <w:szCs w:val="24"/>
          <w:lang w:val="en-US"/>
        </w:rPr>
        <w:t xml:space="preserve">  </w:t>
      </w:r>
      <w:r w:rsidR="00A40831" w:rsidRPr="00A87029">
        <w:rPr>
          <w:sz w:val="24"/>
          <w:szCs w:val="24"/>
          <w:lang w:val="en-US"/>
        </w:rPr>
        <w:t>(1</w:t>
      </w:r>
      <w:r w:rsidR="00821EB1">
        <w:rPr>
          <w:sz w:val="24"/>
          <w:szCs w:val="24"/>
          <w:lang w:val="en-US"/>
        </w:rPr>
        <w:t>2</w:t>
      </w:r>
      <w:r w:rsidR="00A40831" w:rsidRPr="00A87029">
        <w:rPr>
          <w:sz w:val="24"/>
          <w:szCs w:val="24"/>
          <w:lang w:val="en-US"/>
        </w:rPr>
        <w:t>)</w:t>
      </w:r>
    </w:p>
    <w:p w14:paraId="6F0A7BCC" w14:textId="77777777" w:rsidR="004B0FA1" w:rsidRPr="00A87029" w:rsidRDefault="00084C2E" w:rsidP="00655863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Andersen et al. (2007) </w:t>
      </w:r>
      <w:r w:rsidR="0079569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suggest the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HAR-RV-CJ model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which is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based on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decomposi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ng</w:t>
      </w:r>
      <w:r w:rsidR="0079569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realized volatility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into </w:t>
      </w:r>
      <w:r w:rsidR="0079569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its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continuous part and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its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jump component. 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variables corresponding to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daily, 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weekly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monthly volatilities of the model are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therefore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replaced with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daily, weekly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monthly continuous and jump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components. The weekly and monthly components are 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determin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ed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to be </w:t>
      </w:r>
      <w:r w:rsidR="00670A5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equivalent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to the weekly and monthly realized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volatilit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ies</w:t>
      </w:r>
      <w:r w:rsidR="00005C35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003C2298" w14:textId="77777777" w:rsidR="00F343BE" w:rsidRPr="00A87029" w:rsidRDefault="008B522B" w:rsidP="00E504D4">
      <w:pPr>
        <w:spacing w:after="240" w:line="360" w:lineRule="auto"/>
        <w:jc w:val="both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+…+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t-4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F343BE" w:rsidRPr="00A87029">
        <w:rPr>
          <w:sz w:val="24"/>
          <w:szCs w:val="24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+…+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t-4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</w:p>
    <w:p w14:paraId="1E07E0D6" w14:textId="77777777" w:rsidR="00084C2E" w:rsidRPr="00A87029" w:rsidRDefault="008B522B" w:rsidP="00E504D4">
      <w:pPr>
        <w:spacing w:after="240" w:line="360" w:lineRule="auto"/>
        <w:jc w:val="both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+…+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t-21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F343BE" w:rsidRPr="00A87029">
        <w:rPr>
          <w:sz w:val="24"/>
          <w:szCs w:val="24"/>
          <w:lang w:val="en-US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+…+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t-21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) </m:t>
        </m:r>
      </m:oMath>
    </w:p>
    <w:p w14:paraId="2F492D63" w14:textId="77777777" w:rsidR="00084C2E" w:rsidRDefault="00B66C71" w:rsidP="00084C2E">
      <w:pPr>
        <w:spacing w:after="240" w:line="36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The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HAR-RV-CJ model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therefore 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take</w:t>
      </w:r>
      <w:r w:rsidR="00084C2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s the</w:t>
      </w:r>
      <w:r w:rsidR="00B757F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following</w:t>
      </w:r>
      <w:r w:rsidR="00084C2E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form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255F074F" w14:textId="77777777" w:rsidR="00EC1653" w:rsidRPr="00A87029" w:rsidRDefault="005C7932" w:rsidP="00EC1653">
      <w:pPr>
        <w:spacing w:after="240" w:line="360" w:lineRule="auto"/>
        <w:jc w:val="center"/>
        <w:rPr>
          <w:rFonts w:eastAsia="Calibri"/>
          <w:color w:val="auto"/>
          <w:kern w:val="0"/>
          <w:sz w:val="24"/>
          <w:szCs w:val="24"/>
          <w:lang w:val="en-US" w:eastAsia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 xml:space="preserve"> 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  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= α+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</m:d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d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d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(w)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(m)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</m:sSub>
      </m:oMath>
      <w:r>
        <w:rPr>
          <w:sz w:val="24"/>
          <w:szCs w:val="24"/>
          <w:lang w:val="en-US"/>
        </w:rPr>
        <w:t xml:space="preserve">  </w:t>
      </w:r>
      <w:r w:rsidR="00EC1653">
        <w:rPr>
          <w:sz w:val="24"/>
          <w:szCs w:val="24"/>
          <w:lang w:val="en-US"/>
        </w:rPr>
        <w:t xml:space="preserve">  </w:t>
      </w:r>
      <w:r w:rsidR="00821EB1">
        <w:rPr>
          <w:sz w:val="24"/>
          <w:szCs w:val="24"/>
          <w:lang w:val="en-US"/>
        </w:rPr>
        <w:t>(13</w:t>
      </w:r>
      <w:r w:rsidR="00EC1653">
        <w:rPr>
          <w:sz w:val="24"/>
          <w:szCs w:val="24"/>
          <w:lang w:val="en-US"/>
        </w:rPr>
        <w:t>)</w:t>
      </w:r>
    </w:p>
    <w:p w14:paraId="49A81B18" w14:textId="2AA617B4" w:rsidR="00084C2E" w:rsidRPr="00A87029" w:rsidRDefault="00B757FE" w:rsidP="00084C2E">
      <w:pPr>
        <w:spacing w:after="240" w:line="360" w:lineRule="auto"/>
        <w:jc w:val="both"/>
        <w:rPr>
          <w:rFonts w:ascii="CMR12" w:eastAsia="Calibri" w:hAnsi="CMR12" w:cs="CMR12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lastRenderedPageBreak/>
        <w:t xml:space="preserve">The logarithmic specification 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for</w:t>
      </w:r>
      <w:r w:rsidR="00D768E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HAR-RV-CJ model is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then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as follow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005C35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512446CD" w14:textId="77777777" w:rsidR="00F343BE" w:rsidRPr="00A87029" w:rsidRDefault="008B522B" w:rsidP="00655863">
      <w:pPr>
        <w:spacing w:line="480" w:lineRule="auto"/>
        <w:jc w:val="center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ln⁡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(RV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t+1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</m:e>
              </m:d>
            </m:sup>
          </m:sSubSup>
          <m:r>
            <w:rPr>
              <w:rFonts w:ascii="Cambria Math" w:hAnsi="Cambria Math"/>
              <w:sz w:val="22"/>
              <w:szCs w:val="22"/>
              <w:lang w:val="en-US"/>
            </w:rPr>
            <m:t>)= α+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C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</m:e>
              </m:d>
            </m:sup>
          </m:sSubSup>
          <m:func>
            <m:func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d</m:t>
                          </m:r>
                        </m:e>
                      </m:d>
                    </m:sup>
                  </m:sSubSup>
                </m:e>
              </m:d>
            </m:e>
          </m:func>
          <m:r>
            <w:rPr>
              <w:rFonts w:ascii="Cambria Math" w:hAnsi="Cambria Math"/>
              <w:sz w:val="22"/>
              <w:szCs w:val="22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C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</m:d>
            </m:sup>
          </m:sSubSup>
          <m:func>
            <m:func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w</m:t>
                          </m:r>
                        </m:e>
                      </m:d>
                    </m:sup>
                  </m:sSubSup>
                </m:e>
              </m:d>
            </m:e>
          </m:func>
          <m:r>
            <w:rPr>
              <w:rFonts w:ascii="Cambria Math" w:hAnsi="Cambria Math"/>
              <w:sz w:val="22"/>
              <w:szCs w:val="22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C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</m:t>
                  </m:r>
                </m:e>
              </m:d>
            </m:sup>
          </m:sSubSup>
          <m:func>
            <m:funcPr>
              <m:ctrlPr>
                <w:rPr>
                  <w:rFonts w:ascii="Cambria Math" w:hAnsi="Cambria Math"/>
                  <w:sz w:val="22"/>
                  <w:szCs w:val="2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m</m:t>
                          </m:r>
                        </m:e>
                      </m:d>
                    </m:sup>
                  </m:sSubSup>
                </m:e>
              </m:d>
            </m:e>
          </m:func>
          <m:r>
            <w:rPr>
              <w:rFonts w:ascii="Cambria Math" w:hAnsi="Cambria Math"/>
              <w:sz w:val="22"/>
              <w:szCs w:val="22"/>
              <w:lang w:val="en-US"/>
            </w:rPr>
            <m:t>++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</m:e>
              </m:d>
            </m:sup>
          </m:sSub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ln⁡</m:t>
          </m:r>
          <m:r>
            <w:rPr>
              <w:rFonts w:ascii="Cambria Math" w:hAnsi="Cambria Math"/>
              <w:sz w:val="22"/>
              <w:szCs w:val="22"/>
              <w:lang w:val="en-US"/>
            </w:rPr>
            <m:t>(1+</m:t>
          </m:r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</m:e>
              </m:d>
            </m:sup>
          </m:sSubSup>
          <m:r>
            <w:rPr>
              <w:rFonts w:ascii="Cambria Math" w:hAnsi="Cambria Math"/>
              <w:sz w:val="22"/>
              <w:szCs w:val="22"/>
              <w:lang w:val="en-US"/>
            </w:rPr>
            <m:t>)</m:t>
          </m:r>
        </m:oMath>
      </m:oMathPara>
    </w:p>
    <w:p w14:paraId="77BD1391" w14:textId="77777777" w:rsidR="005C7932" w:rsidRPr="00890D2D" w:rsidRDefault="00A12CAE" w:rsidP="00890D2D">
      <w:pPr>
        <w:spacing w:after="240" w:line="480" w:lineRule="auto"/>
        <w:jc w:val="both"/>
        <w:rPr>
          <w:rFonts w:ascii="CMR12" w:eastAsia="Calibri" w:hAnsi="CMR12" w:cs="CMR12"/>
          <w:color w:val="auto"/>
          <w:kern w:val="0"/>
          <w:sz w:val="24"/>
          <w:szCs w:val="24"/>
          <w:lang w:val="en-US" w:eastAsia="en-US"/>
        </w:rPr>
      </w:pPr>
      <m:oMath>
        <m:r>
          <w:rPr>
            <w:rFonts w:ascii="Cambria Math" w:hAnsi="Cambria Math"/>
            <w:sz w:val="22"/>
            <w:szCs w:val="22"/>
            <w:lang w:val="en-US"/>
          </w:rPr>
          <m:t>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(1+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w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(1+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w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</m:t>
                </m:r>
              </m:e>
            </m:d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ln⁡</m:t>
        </m:r>
        <m:r>
          <w:rPr>
            <w:rFonts w:ascii="Cambria Math" w:hAnsi="Cambria Math"/>
            <w:sz w:val="22"/>
            <w:szCs w:val="22"/>
            <w:lang w:val="en-US"/>
          </w:rPr>
          <m:t>(1+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</m:t>
                </m:r>
              </m:e>
            </m:d>
          </m:sup>
        </m:sSubSup>
        <m:r>
          <w:rPr>
            <w:rFonts w:ascii="Cambria Math" w:hAnsi="Cambria Math"/>
            <w:sz w:val="22"/>
            <w:szCs w:val="22"/>
            <w:lang w:val="en-US"/>
          </w:rPr>
          <m:t>)+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t+1</m:t>
            </m:r>
          </m:sub>
        </m:sSub>
      </m:oMath>
      <w:r w:rsidR="00F343BE" w:rsidRPr="00A87029">
        <w:rPr>
          <w:sz w:val="24"/>
          <w:szCs w:val="24"/>
          <w:lang w:val="en-US"/>
        </w:rPr>
        <w:t xml:space="preserve"> </w:t>
      </w:r>
      <w:r w:rsidR="005C7932">
        <w:rPr>
          <w:sz w:val="24"/>
          <w:szCs w:val="24"/>
          <w:lang w:val="en-US"/>
        </w:rPr>
        <w:t xml:space="preserve">                                                    </w:t>
      </w:r>
      <w:r w:rsidR="00F343BE" w:rsidRPr="00A87029">
        <w:rPr>
          <w:sz w:val="24"/>
          <w:szCs w:val="24"/>
          <w:lang w:val="en-US"/>
        </w:rPr>
        <w:t xml:space="preserve"> (1</w:t>
      </w:r>
      <w:r w:rsidR="00821EB1">
        <w:rPr>
          <w:sz w:val="24"/>
          <w:szCs w:val="24"/>
          <w:lang w:val="en-US"/>
        </w:rPr>
        <w:t>4</w:t>
      </w:r>
      <w:r w:rsidR="00F343BE" w:rsidRPr="00A87029">
        <w:rPr>
          <w:sz w:val="24"/>
          <w:szCs w:val="24"/>
          <w:lang w:val="en-US"/>
        </w:rPr>
        <w:t xml:space="preserve">)  </w:t>
      </w:r>
    </w:p>
    <w:p w14:paraId="2BA48D80" w14:textId="77777777" w:rsidR="00407E89" w:rsidRPr="00A87029" w:rsidRDefault="00B43804" w:rsidP="00407E89">
      <w:pPr>
        <w:spacing w:after="240" w:line="360" w:lineRule="auto"/>
        <w:jc w:val="both"/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2.3</w:t>
      </w:r>
      <w:r w:rsidR="00275BE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>.</w:t>
      </w:r>
      <w:r w:rsidR="00407E89" w:rsidRPr="00A87029">
        <w:rPr>
          <w:rFonts w:ascii="TimesNewRoman" w:eastAsia="Calibri" w:hAnsi="TimesNewRoman" w:cs="TimesNewRoman"/>
          <w:b/>
          <w:color w:val="auto"/>
          <w:kern w:val="0"/>
          <w:sz w:val="24"/>
          <w:szCs w:val="24"/>
          <w:lang w:val="en-US" w:eastAsia="en-US"/>
        </w:rPr>
        <w:t xml:space="preserve"> Forecasts</w:t>
      </w:r>
    </w:p>
    <w:p w14:paraId="62D529A9" w14:textId="23821ECB" w:rsidR="005B67E0" w:rsidRPr="00A87029" w:rsidRDefault="00335055" w:rsidP="00655863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In order to measure the accuracy of </w:t>
      </w:r>
      <w:r w:rsidR="00E81092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forecast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generated by</w:t>
      </w:r>
      <w:r w:rsidR="00E81092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modeling the components of realized volatility se</w:t>
      </w:r>
      <w:r w:rsidR="007012C1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parately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we </w:t>
      </w:r>
      <w:r w:rsidR="007012C1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conduct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three </w:t>
      </w:r>
      <w:r w:rsidR="007012C1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forecasting experiments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to evaluate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</w:t>
      </w:r>
      <w:r w:rsidR="007012C1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present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ed out-of-sample forecasts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, namely the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Mincer-Zarnowitz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F47AC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regression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Mean Square Error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Theil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’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s U.</w:t>
      </w:r>
    </w:p>
    <w:p w14:paraId="26AC2125" w14:textId="77777777" w:rsidR="00F47ACC" w:rsidRPr="00A87029" w:rsidRDefault="005B67E0" w:rsidP="00AA5DF9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To compare the performance of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HAR-RV and HAR-RV-CJ models, we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apply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="00F47AC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Mincer-Zarnowitz regression</w:t>
      </w:r>
      <w:r w:rsidR="00005C35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34805FBC" w14:textId="77777777" w:rsidR="00F47ACC" w:rsidRPr="00A87029" w:rsidRDefault="005C7932" w:rsidP="00F47AC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=α+β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  <m:r>
          <w:rPr>
            <w:rFonts w:ascii="Cambria Math" w:hAnsi="Cambria Math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</m:sSub>
      </m:oMath>
      <w:r w:rsidR="00F47ACC" w:rsidRPr="00A87029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                                       </w:t>
      </w:r>
      <w:r w:rsidR="00F47ACC" w:rsidRPr="00A87029">
        <w:rPr>
          <w:sz w:val="24"/>
          <w:szCs w:val="24"/>
          <w:lang w:val="en-US"/>
        </w:rPr>
        <w:t xml:space="preserve">  (</w:t>
      </w:r>
      <w:r w:rsidR="00821EB1">
        <w:rPr>
          <w:sz w:val="24"/>
          <w:szCs w:val="24"/>
          <w:lang w:val="en-US"/>
        </w:rPr>
        <w:t>15</w:t>
      </w:r>
      <w:r w:rsidR="00F47ACC" w:rsidRPr="00A87029">
        <w:rPr>
          <w:sz w:val="24"/>
          <w:szCs w:val="24"/>
          <w:lang w:val="en-US"/>
        </w:rPr>
        <w:t>)</w:t>
      </w:r>
    </w:p>
    <w:p w14:paraId="3BE57A3A" w14:textId="77777777" w:rsidR="007012C1" w:rsidRPr="00A87029" w:rsidRDefault="007012C1" w:rsidP="007012C1">
      <w:pPr>
        <w:autoSpaceDE w:val="0"/>
        <w:autoSpaceDN w:val="0"/>
        <w:adjustRightInd w:val="0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6D8ECF1F" w14:textId="000ED052" w:rsidR="00F47ACC" w:rsidRPr="00A87029" w:rsidRDefault="00E504D4" w:rsidP="00655863">
      <w:pPr>
        <w:spacing w:line="480" w:lineRule="auto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w</w:t>
      </w:r>
      <w:r w:rsidR="00943B09" w:rsidRPr="00A87029">
        <w:rPr>
          <w:sz w:val="24"/>
          <w:szCs w:val="24"/>
          <w:lang w:val="en-US"/>
        </w:rPr>
        <w:t>here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</m:oMath>
      <w:r w:rsidR="00D768E8">
        <w:rPr>
          <w:sz w:val="24"/>
          <w:szCs w:val="24"/>
          <w:lang w:val="en-US"/>
        </w:rPr>
        <w:t xml:space="preserve"> </w:t>
      </w:r>
      <w:r w:rsidR="00943B09" w:rsidRPr="00A87029">
        <w:rPr>
          <w:sz w:val="24"/>
          <w:szCs w:val="24"/>
          <w:lang w:val="en-US"/>
        </w:rPr>
        <w:t xml:space="preserve">is the observed daily realized volatility at time </w:t>
      </w:r>
      <w:r w:rsidR="00F47ACC" w:rsidRPr="00A87029">
        <w:rPr>
          <w:i/>
          <w:sz w:val="24"/>
          <w:szCs w:val="24"/>
          <w:lang w:val="en-US"/>
        </w:rPr>
        <w:t>t+1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while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 RV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t+1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(d)</m:t>
            </m:r>
          </m:sup>
        </m:sSubSup>
      </m:oMath>
      <w:r w:rsidR="00943B09" w:rsidRPr="00A87029">
        <w:rPr>
          <w:sz w:val="24"/>
          <w:szCs w:val="24"/>
          <w:lang w:val="en-US"/>
        </w:rPr>
        <w:t xml:space="preserve"> indicates its estimated value from time</w:t>
      </w:r>
      <w:r w:rsidR="00375A8E">
        <w:rPr>
          <w:sz w:val="24"/>
          <w:szCs w:val="24"/>
          <w:lang w:val="en-US"/>
        </w:rPr>
        <w:t xml:space="preserve"> </w:t>
      </w:r>
      <w:r w:rsidR="00F47ACC" w:rsidRPr="00A87029">
        <w:rPr>
          <w:i/>
          <w:sz w:val="24"/>
          <w:szCs w:val="24"/>
          <w:lang w:val="en-US"/>
        </w:rPr>
        <w:t>t</w:t>
      </w:r>
      <w:r w:rsidR="00943B09" w:rsidRPr="00A87029">
        <w:rPr>
          <w:sz w:val="24"/>
          <w:szCs w:val="24"/>
          <w:lang w:val="en-US"/>
        </w:rPr>
        <w:t xml:space="preserve">. </w:t>
      </w:r>
      <w:r w:rsidR="00590E4D" w:rsidRPr="00A87029">
        <w:rPr>
          <w:sz w:val="24"/>
          <w:szCs w:val="24"/>
          <w:lang w:val="en-US"/>
        </w:rPr>
        <w:t>The model provides precise forecasts when</w:t>
      </w:r>
      <w:r w:rsidR="00D768E8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=0</m:t>
        </m:r>
      </m:oMath>
      <w:r w:rsidR="00F47ACC" w:rsidRPr="00A87029">
        <w:rPr>
          <w:sz w:val="24"/>
          <w:szCs w:val="24"/>
          <w:lang w:val="en-US"/>
        </w:rPr>
        <w:t xml:space="preserve"> , </w:t>
      </w:r>
      <m:oMath>
        <m:r>
          <w:rPr>
            <w:rFonts w:ascii="Cambria Math" w:hAnsi="Cambria Math"/>
            <w:sz w:val="24"/>
            <w:szCs w:val="24"/>
            <w:lang w:val="en-US"/>
          </w:rPr>
          <m:t>β=1</m:t>
        </m:r>
      </m:oMath>
      <w:r w:rsidR="00422077" w:rsidRPr="00A87029">
        <w:rPr>
          <w:sz w:val="24"/>
          <w:szCs w:val="24"/>
          <w:lang w:val="en-US"/>
        </w:rPr>
        <w:t>,</w:t>
      </w:r>
      <w:r w:rsidR="00655863">
        <w:rPr>
          <w:sz w:val="24"/>
          <w:szCs w:val="24"/>
          <w:lang w:val="en-US"/>
        </w:rPr>
        <w:t xml:space="preserve"> </w:t>
      </w:r>
      <w:r w:rsidR="00590E4D" w:rsidRPr="00A87029">
        <w:rPr>
          <w:sz w:val="24"/>
          <w:szCs w:val="24"/>
          <w:lang w:val="en-US"/>
        </w:rPr>
        <w:t>and</w:t>
      </w:r>
      <w:r w:rsidR="00901F4A" w:rsidRPr="00A87029">
        <w:rPr>
          <w:sz w:val="24"/>
          <w:szCs w:val="24"/>
          <w:lang w:val="en-US"/>
        </w:rPr>
        <w:t xml:space="preserve"> the coefficient of determination</w:t>
      </w:r>
      <w:r w:rsidR="00D768E8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="00901F4A" w:rsidRPr="00A87029">
        <w:rPr>
          <w:sz w:val="24"/>
          <w:szCs w:val="24"/>
          <w:lang w:val="en-US"/>
        </w:rPr>
        <w:t xml:space="preserve">is </w:t>
      </w:r>
      <w:r w:rsidR="00590E4D" w:rsidRPr="00A87029">
        <w:rPr>
          <w:sz w:val="24"/>
          <w:szCs w:val="24"/>
          <w:lang w:val="en-US"/>
        </w:rPr>
        <w:t>close to 1.</w:t>
      </w:r>
    </w:p>
    <w:p w14:paraId="1AACC01D" w14:textId="7590885F" w:rsidR="00616EF2" w:rsidRPr="00A87029" w:rsidRDefault="00E504D4" w:rsidP="005C7932">
      <w:pPr>
        <w:autoSpaceDE w:val="0"/>
        <w:autoSpaceDN w:val="0"/>
        <w:adjustRightInd w:val="0"/>
        <w:spacing w:before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To evaluate</w:t>
      </w:r>
      <w:r w:rsidR="00E17A0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</w:t>
      </w:r>
      <w:r w:rsidR="00B66C71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models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’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E17A0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forecasting performance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s,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we 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apply</w:t>
      </w:r>
      <w:r w:rsidR="00D768E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two measures.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first is </w:t>
      </w:r>
      <w:r w:rsidR="00E17A0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="00670A5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Mean Square Error </w:t>
      </w:r>
      <w:r w:rsidR="00E17A0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(MSE)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C348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which is frequent</w:t>
      </w:r>
      <w:r w:rsidR="00D768E8">
        <w:rPr>
          <w:rFonts w:eastAsia="Calibri"/>
          <w:color w:val="auto"/>
          <w:kern w:val="0"/>
          <w:sz w:val="24"/>
          <w:szCs w:val="24"/>
          <w:lang w:val="en-US" w:eastAsia="en-US"/>
        </w:rPr>
        <w:t>ly</w:t>
      </w:r>
      <w:r w:rsidR="00C348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B66C71">
        <w:rPr>
          <w:rFonts w:eastAsia="Calibri"/>
          <w:color w:val="auto"/>
          <w:kern w:val="0"/>
          <w:sz w:val="24"/>
          <w:szCs w:val="24"/>
          <w:lang w:val="en-US" w:eastAsia="en-US"/>
        </w:rPr>
        <w:t>defined</w:t>
      </w:r>
      <w:r w:rsidR="00375A8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C3484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as</w:t>
      </w:r>
      <w:r w:rsidR="00005C35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:</w:t>
      </w:r>
    </w:p>
    <w:p w14:paraId="7052E915" w14:textId="77777777" w:rsidR="00C3484D" w:rsidRPr="005C7932" w:rsidRDefault="005C7932" w:rsidP="005C7932">
      <w:pPr>
        <w:autoSpaceDE w:val="0"/>
        <w:autoSpaceDN w:val="0"/>
        <w:adjustRightInd w:val="0"/>
        <w:spacing w:before="240" w:after="240" w:line="480" w:lineRule="auto"/>
        <w:jc w:val="center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MSE=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p>
        </m:sSup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</m:nary>
      </m:oMath>
      <w:r w:rsidR="00616EF2" w:rsidRPr="00A87029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                                         </w:t>
      </w:r>
      <w:r w:rsidR="00616EF2" w:rsidRPr="00A87029">
        <w:rPr>
          <w:sz w:val="24"/>
          <w:szCs w:val="24"/>
          <w:lang w:val="en-US"/>
        </w:rPr>
        <w:t>(</w:t>
      </w:r>
      <w:r w:rsidR="00821EB1">
        <w:rPr>
          <w:sz w:val="24"/>
          <w:szCs w:val="24"/>
          <w:lang w:val="en-US"/>
        </w:rPr>
        <w:t>16</w:t>
      </w:r>
      <w:r w:rsidR="00616EF2" w:rsidRPr="00A87029">
        <w:rPr>
          <w:sz w:val="24"/>
          <w:szCs w:val="24"/>
          <w:lang w:val="en-US"/>
        </w:rPr>
        <w:t>)</w:t>
      </w:r>
    </w:p>
    <w:p w14:paraId="37C4AE96" w14:textId="1299B33C" w:rsidR="00C3484D" w:rsidRPr="00A87029" w:rsidRDefault="00D768E8" w:rsidP="005C7932">
      <w:pPr>
        <w:spacing w:after="240"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C3484D" w:rsidRPr="00A87029">
        <w:rPr>
          <w:sz w:val="24"/>
          <w:szCs w:val="24"/>
          <w:lang w:val="en-US"/>
        </w:rPr>
        <w:t>here</w:t>
      </w:r>
      <w:r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C3484D" w:rsidRPr="00A87029">
        <w:rPr>
          <w:sz w:val="24"/>
          <w:szCs w:val="24"/>
          <w:lang w:val="en-US"/>
        </w:rPr>
        <w:t xml:space="preserve"> represents the error at time</w:t>
      </w:r>
      <w:r w:rsidR="004306DE" w:rsidRPr="00A87029">
        <w:rPr>
          <w:i/>
          <w:sz w:val="24"/>
          <w:szCs w:val="24"/>
          <w:lang w:val="en-US"/>
        </w:rPr>
        <w:t xml:space="preserve"> t</w:t>
      </w:r>
      <w:r w:rsidR="004306DE" w:rsidRPr="00A87029">
        <w:rPr>
          <w:sz w:val="24"/>
          <w:szCs w:val="24"/>
          <w:lang w:val="en-US"/>
        </w:rPr>
        <w:t xml:space="preserve"> and </w:t>
      </w:r>
      <w:r w:rsidR="00C3484D" w:rsidRPr="00A87029">
        <w:rPr>
          <w:i/>
          <w:sz w:val="24"/>
          <w:szCs w:val="24"/>
          <w:lang w:val="en-US"/>
        </w:rPr>
        <w:t xml:space="preserve">T </w:t>
      </w:r>
      <w:r w:rsidR="004306DE" w:rsidRPr="00A87029">
        <w:rPr>
          <w:sz w:val="24"/>
          <w:szCs w:val="24"/>
          <w:lang w:val="en-US"/>
        </w:rPr>
        <w:t xml:space="preserve">is the number of </w:t>
      </w:r>
      <w:r w:rsidR="00C3484D" w:rsidRPr="00A87029">
        <w:rPr>
          <w:sz w:val="24"/>
          <w:szCs w:val="24"/>
          <w:lang w:val="en-US"/>
        </w:rPr>
        <w:t xml:space="preserve">observations. </w:t>
      </w:r>
      <w:r w:rsidR="00422077" w:rsidRPr="00A87029">
        <w:rPr>
          <w:sz w:val="24"/>
          <w:szCs w:val="24"/>
          <w:lang w:val="en-US"/>
        </w:rPr>
        <w:t xml:space="preserve">When the value of the MSE measure is close to zero, the forecast </w:t>
      </w:r>
      <w:r>
        <w:rPr>
          <w:sz w:val="24"/>
          <w:szCs w:val="24"/>
          <w:lang w:val="en-US"/>
        </w:rPr>
        <w:t>can be</w:t>
      </w:r>
      <w:r w:rsidRPr="00A87029">
        <w:rPr>
          <w:sz w:val="24"/>
          <w:szCs w:val="24"/>
          <w:lang w:val="en-US"/>
        </w:rPr>
        <w:t xml:space="preserve"> </w:t>
      </w:r>
      <w:r w:rsidR="00422077" w:rsidRPr="00A87029">
        <w:rPr>
          <w:sz w:val="24"/>
          <w:szCs w:val="24"/>
          <w:lang w:val="en-US"/>
        </w:rPr>
        <w:t>considered</w:t>
      </w:r>
      <w:r w:rsidR="00375A8E">
        <w:rPr>
          <w:sz w:val="24"/>
          <w:szCs w:val="24"/>
          <w:lang w:val="en-US"/>
        </w:rPr>
        <w:t xml:space="preserve"> </w:t>
      </w:r>
      <w:r w:rsidR="00B66C71">
        <w:rPr>
          <w:sz w:val="24"/>
          <w:szCs w:val="24"/>
          <w:lang w:val="en-US"/>
        </w:rPr>
        <w:t>accurate</w:t>
      </w:r>
      <w:r w:rsidR="00422077" w:rsidRPr="00A87029">
        <w:rPr>
          <w:sz w:val="24"/>
          <w:szCs w:val="24"/>
          <w:lang w:val="en-US"/>
        </w:rPr>
        <w:t>.</w:t>
      </w:r>
    </w:p>
    <w:p w14:paraId="0F6A6FF6" w14:textId="77777777" w:rsidR="006971BF" w:rsidRPr="00A87029" w:rsidRDefault="006971BF" w:rsidP="00655863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 xml:space="preserve">The second measure is </w:t>
      </w:r>
      <w:r w:rsidR="00C3484D" w:rsidRPr="00A87029">
        <w:rPr>
          <w:sz w:val="24"/>
          <w:szCs w:val="24"/>
          <w:lang w:val="en-US"/>
        </w:rPr>
        <w:t xml:space="preserve">Theil’s </w:t>
      </w:r>
      <w:r w:rsidR="00C3484D" w:rsidRPr="00A87029">
        <w:rPr>
          <w:i/>
          <w:sz w:val="24"/>
          <w:szCs w:val="24"/>
          <w:lang w:val="en-US"/>
        </w:rPr>
        <w:t>U</w:t>
      </w:r>
      <w:r w:rsidR="00B66C71">
        <w:rPr>
          <w:i/>
          <w:sz w:val="24"/>
          <w:szCs w:val="24"/>
          <w:lang w:val="en-US"/>
        </w:rPr>
        <w:t>,</w:t>
      </w:r>
      <w:r w:rsidR="00375A8E">
        <w:rPr>
          <w:i/>
          <w:sz w:val="24"/>
          <w:szCs w:val="24"/>
          <w:lang w:val="en-US"/>
        </w:rPr>
        <w:t xml:space="preserve"> </w:t>
      </w:r>
      <w:r w:rsidR="00005C35" w:rsidRPr="00A87029">
        <w:rPr>
          <w:sz w:val="24"/>
          <w:szCs w:val="24"/>
          <w:lang w:val="en-US"/>
        </w:rPr>
        <w:t>which is defined</w:t>
      </w:r>
      <w:r w:rsidR="00375A8E">
        <w:rPr>
          <w:sz w:val="24"/>
          <w:szCs w:val="24"/>
          <w:lang w:val="en-US"/>
        </w:rPr>
        <w:t xml:space="preserve"> </w:t>
      </w:r>
      <w:r w:rsidR="00B66C71">
        <w:rPr>
          <w:sz w:val="24"/>
          <w:szCs w:val="24"/>
          <w:lang w:val="en-US"/>
        </w:rPr>
        <w:t>as</w:t>
      </w:r>
      <w:r w:rsidR="00005C35" w:rsidRPr="00A87029">
        <w:rPr>
          <w:sz w:val="24"/>
          <w:szCs w:val="24"/>
          <w:lang w:val="en-US"/>
        </w:rPr>
        <w:t>:</w:t>
      </w:r>
    </w:p>
    <w:p w14:paraId="0155DE14" w14:textId="77777777" w:rsidR="00C3484D" w:rsidRPr="00A87029" w:rsidRDefault="005C7932" w:rsidP="00655863">
      <w:pPr>
        <w:autoSpaceDE w:val="0"/>
        <w:autoSpaceDN w:val="0"/>
        <w:adjustRightInd w:val="0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0C1A83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T-1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t+1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.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[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T-1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t+1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e>
        </m:nary>
      </m:oMath>
      <w:r>
        <w:rPr>
          <w:sz w:val="24"/>
          <w:szCs w:val="24"/>
          <w:lang w:val="en-US"/>
        </w:rPr>
        <w:t xml:space="preserve">                            </w:t>
      </w:r>
      <w:r w:rsidR="006971BF" w:rsidRPr="00A87029">
        <w:rPr>
          <w:sz w:val="24"/>
          <w:szCs w:val="24"/>
          <w:lang w:val="en-US"/>
        </w:rPr>
        <w:t>(</w:t>
      </w:r>
      <w:r w:rsidR="000C1A83">
        <w:rPr>
          <w:sz w:val="24"/>
          <w:szCs w:val="24"/>
          <w:lang w:val="en-US"/>
        </w:rPr>
        <w:t>17</w:t>
      </w:r>
      <w:r w:rsidR="006971BF" w:rsidRPr="00A87029">
        <w:rPr>
          <w:sz w:val="24"/>
          <w:szCs w:val="24"/>
          <w:lang w:val="en-US"/>
        </w:rPr>
        <w:t>)</w:t>
      </w:r>
    </w:p>
    <w:p w14:paraId="56355119" w14:textId="77777777" w:rsidR="006971BF" w:rsidRPr="00A87029" w:rsidRDefault="006971BF" w:rsidP="00655863">
      <w:pPr>
        <w:autoSpaceDE w:val="0"/>
        <w:autoSpaceDN w:val="0"/>
        <w:adjustRightInd w:val="0"/>
        <w:spacing w:line="480" w:lineRule="auto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56750FE3" w14:textId="0BFC957E" w:rsidR="00E504D4" w:rsidRPr="00A87029" w:rsidRDefault="00D768E8" w:rsidP="00655863">
      <w:pPr>
        <w:autoSpaceDE w:val="0"/>
        <w:autoSpaceDN w:val="0"/>
        <w:adjustRightInd w:val="0"/>
        <w:spacing w:after="240" w:line="48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w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here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color w:val="auto"/>
                <w:kern w:val="0"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kern w:val="0"/>
                <w:sz w:val="24"/>
                <w:szCs w:val="24"/>
                <w:lang w:val="en-US" w:eastAsia="en-US"/>
              </w:rPr>
              <m:t>y</m:t>
            </m:r>
          </m:e>
          <m:sub>
            <m:r>
              <w:rPr>
                <w:rFonts w:ascii="Cambria Math" w:eastAsia="Calibri" w:hAnsi="Cambria Math"/>
                <w:color w:val="auto"/>
                <w:kern w:val="0"/>
                <w:sz w:val="24"/>
                <w:szCs w:val="24"/>
                <w:lang w:val="en-US" w:eastAsia="en-US"/>
              </w:rPr>
              <m:t>t</m:t>
            </m:r>
          </m:sub>
        </m:sSub>
      </m:oMath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is the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observed 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value at time </w:t>
      </w:r>
      <w:r w:rsidR="006971BF" w:rsidRPr="00A87029">
        <w:rPr>
          <w:rFonts w:eastAsia="Calibri"/>
          <w:i/>
          <w:color w:val="auto"/>
          <w:kern w:val="0"/>
          <w:sz w:val="24"/>
          <w:szCs w:val="24"/>
          <w:lang w:val="en-US" w:eastAsia="en-US"/>
        </w:rPr>
        <w:t>t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color w:val="auto"/>
                <w:kern w:val="0"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auto"/>
                <w:kern w:val="0"/>
                <w:sz w:val="24"/>
                <w:szCs w:val="24"/>
                <w:lang w:val="en-US" w:eastAsia="en-US"/>
              </w:rPr>
              <m:t>f</m:t>
            </m:r>
          </m:e>
          <m:sub>
            <m:r>
              <w:rPr>
                <w:rFonts w:ascii="Cambria Math" w:eastAsia="Calibri" w:hAnsi="Cambria Math"/>
                <w:color w:val="auto"/>
                <w:kern w:val="0"/>
                <w:sz w:val="24"/>
                <w:szCs w:val="24"/>
                <w:lang w:val="en-US" w:eastAsia="en-US"/>
              </w:rPr>
              <m:t>t</m:t>
            </m:r>
          </m:sub>
        </m:sSub>
      </m:oMath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is the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for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e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cast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ed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value at time </w:t>
      </w:r>
      <w:r w:rsidR="006971BF" w:rsidRPr="00A87029">
        <w:rPr>
          <w:rFonts w:eastAsia="Calibri"/>
          <w:i/>
          <w:color w:val="auto"/>
          <w:kern w:val="0"/>
          <w:sz w:val="24"/>
          <w:szCs w:val="24"/>
          <w:lang w:val="en-US" w:eastAsia="en-US"/>
        </w:rPr>
        <w:t>t</w:t>
      </w:r>
      <w:r w:rsidR="005436B2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</w:t>
      </w:r>
      <w:r w:rsidR="006971BF" w:rsidRPr="00A87029">
        <w:rPr>
          <w:rFonts w:eastAsia="Calibri"/>
          <w:i/>
          <w:color w:val="auto"/>
          <w:kern w:val="0"/>
          <w:sz w:val="24"/>
          <w:szCs w:val="24"/>
          <w:lang w:val="en-US" w:eastAsia="en-US"/>
        </w:rPr>
        <w:t>T</w:t>
      </w:r>
      <w:r w:rsidR="006971B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is the number of observations.</w:t>
      </w:r>
      <w:r w:rsidR="00561ED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When we have values of Theil</w:t>
      </w:r>
      <w:r w:rsidR="005436B2">
        <w:rPr>
          <w:rFonts w:eastAsia="Calibri"/>
          <w:color w:val="auto"/>
          <w:kern w:val="0"/>
          <w:sz w:val="24"/>
          <w:szCs w:val="24"/>
          <w:lang w:val="en-US" w:eastAsia="en-US"/>
        </w:rPr>
        <w:t>’</w:t>
      </w:r>
      <w:r w:rsidR="00561ED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s U lower than 1, the suggested </w:t>
      </w:r>
      <w:r w:rsidR="006379A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model </w:t>
      </w:r>
      <w:r w:rsidR="008E1EA8">
        <w:rPr>
          <w:rFonts w:eastAsia="Calibri"/>
          <w:color w:val="auto"/>
          <w:kern w:val="0"/>
          <w:sz w:val="24"/>
          <w:szCs w:val="24"/>
          <w:lang w:val="en-US" w:eastAsia="en-US"/>
        </w:rPr>
        <w:t>can be regarded as</w:t>
      </w:r>
      <w:r w:rsidR="008E1EA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5436B2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performing </w:t>
      </w:r>
      <w:r w:rsidR="006379A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better than </w:t>
      </w:r>
      <w:r w:rsidR="005436B2">
        <w:rPr>
          <w:rFonts w:eastAsia="Calibri"/>
          <w:color w:val="auto"/>
          <w:kern w:val="0"/>
          <w:sz w:val="24"/>
          <w:szCs w:val="24"/>
          <w:lang w:val="en-US" w:eastAsia="en-US"/>
        </w:rPr>
        <w:t>pure guesswork</w:t>
      </w:r>
      <w:r w:rsidR="006379A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</w:t>
      </w:r>
    </w:p>
    <w:p w14:paraId="63EF5AAB" w14:textId="7F8D3835" w:rsidR="00385ADB" w:rsidRPr="009E1174" w:rsidRDefault="00B941BE" w:rsidP="00B941BE">
      <w:pPr>
        <w:spacing w:after="240" w:line="480" w:lineRule="auto"/>
        <w:rPr>
          <w:b/>
          <w:sz w:val="24"/>
          <w:szCs w:val="24"/>
          <w:lang w:val="en-US"/>
        </w:rPr>
      </w:pPr>
      <w:r w:rsidRPr="009E1174">
        <w:rPr>
          <w:rFonts w:ascii="TimesNewRoman" w:hAnsi="TimesNewRoman" w:cs="TimesNewRoman"/>
          <w:b/>
          <w:sz w:val="24"/>
          <w:szCs w:val="24"/>
          <w:lang w:val="en-US"/>
        </w:rPr>
        <w:t xml:space="preserve">3. </w:t>
      </w:r>
      <w:r w:rsidR="005436B2" w:rsidRPr="009E1174">
        <w:rPr>
          <w:rFonts w:ascii="TimesNewRoman" w:hAnsi="TimesNewRoman" w:cs="TimesNewRoman"/>
          <w:b/>
          <w:sz w:val="24"/>
          <w:szCs w:val="24"/>
          <w:lang w:val="en-US"/>
        </w:rPr>
        <w:t xml:space="preserve">The </w:t>
      </w:r>
      <w:r w:rsidR="009D3D7D" w:rsidRPr="009E1174">
        <w:rPr>
          <w:rFonts w:ascii="TimesNewRoman" w:hAnsi="TimesNewRoman" w:cs="TimesNewRoman"/>
          <w:b/>
          <w:sz w:val="24"/>
          <w:szCs w:val="24"/>
          <w:lang w:val="en-US"/>
        </w:rPr>
        <w:t>Data</w:t>
      </w:r>
    </w:p>
    <w:p w14:paraId="75236161" w14:textId="77777777" w:rsidR="00F34147" w:rsidRDefault="000C1A83" w:rsidP="0034264B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>In our study, we use</w:t>
      </w:r>
      <w:r w:rsidR="00C735FF">
        <w:rPr>
          <w:sz w:val="24"/>
          <w:szCs w:val="24"/>
          <w:lang w:val="en-US"/>
        </w:rPr>
        <w:t>d</w:t>
      </w:r>
      <w:r w:rsidRPr="00A87029">
        <w:rPr>
          <w:sz w:val="24"/>
          <w:szCs w:val="24"/>
          <w:lang w:val="en-US"/>
        </w:rPr>
        <w:t xml:space="preserve"> high</w:t>
      </w:r>
      <w:r>
        <w:rPr>
          <w:sz w:val="24"/>
          <w:szCs w:val="24"/>
          <w:lang w:val="en-US"/>
        </w:rPr>
        <w:t>-</w:t>
      </w:r>
      <w:r w:rsidRPr="00A87029">
        <w:rPr>
          <w:sz w:val="24"/>
          <w:szCs w:val="24"/>
          <w:lang w:val="en-US"/>
        </w:rPr>
        <w:t xml:space="preserve">frequency data </w:t>
      </w:r>
      <w:r>
        <w:rPr>
          <w:sz w:val="24"/>
          <w:szCs w:val="24"/>
          <w:lang w:val="en-US"/>
        </w:rPr>
        <w:t xml:space="preserve">from </w:t>
      </w:r>
      <w:r w:rsidR="00F628CE">
        <w:rPr>
          <w:sz w:val="24"/>
          <w:szCs w:val="24"/>
          <w:lang w:val="en-US"/>
        </w:rPr>
        <w:t xml:space="preserve">DataStream </w:t>
      </w:r>
      <w:r w:rsidR="008E1EA8">
        <w:rPr>
          <w:sz w:val="24"/>
          <w:szCs w:val="24"/>
          <w:lang w:val="en-US"/>
        </w:rPr>
        <w:t xml:space="preserve">that </w:t>
      </w:r>
      <w:r w:rsidRPr="00A87029">
        <w:rPr>
          <w:sz w:val="24"/>
          <w:szCs w:val="24"/>
          <w:lang w:val="en-US"/>
        </w:rPr>
        <w:t>cover</w:t>
      </w:r>
      <w:r w:rsidR="008E1EA8">
        <w:rPr>
          <w:sz w:val="24"/>
          <w:szCs w:val="24"/>
          <w:lang w:val="en-US"/>
        </w:rPr>
        <w:t>s</w:t>
      </w:r>
      <w:r w:rsidRPr="00A87029">
        <w:rPr>
          <w:sz w:val="24"/>
          <w:szCs w:val="24"/>
          <w:lang w:val="en-US"/>
        </w:rPr>
        <w:t xml:space="preserve"> the </w:t>
      </w:r>
      <w:r w:rsidR="0034264B">
        <w:rPr>
          <w:sz w:val="24"/>
          <w:szCs w:val="24"/>
          <w:lang w:val="en-US"/>
        </w:rPr>
        <w:t>realized volatility measures</w:t>
      </w:r>
      <w:r w:rsidR="002C37EF">
        <w:rPr>
          <w:sz w:val="24"/>
          <w:szCs w:val="24"/>
          <w:lang w:val="en-US"/>
        </w:rPr>
        <w:t xml:space="preserve"> </w:t>
      </w:r>
      <w:r w:rsidR="008E1EA8">
        <w:rPr>
          <w:sz w:val="24"/>
          <w:szCs w:val="24"/>
          <w:lang w:val="en-US"/>
        </w:rPr>
        <w:t xml:space="preserve">for </w:t>
      </w:r>
      <w:r w:rsidR="002C37EF">
        <w:rPr>
          <w:sz w:val="24"/>
          <w:szCs w:val="24"/>
          <w:lang w:val="en-US"/>
        </w:rPr>
        <w:t>five indices</w:t>
      </w:r>
      <w:r w:rsidR="008E1EA8">
        <w:rPr>
          <w:sz w:val="24"/>
          <w:szCs w:val="24"/>
          <w:lang w:val="en-US"/>
        </w:rPr>
        <w:t>—namely the</w:t>
      </w:r>
      <w:r w:rsidR="002C37EF">
        <w:rPr>
          <w:sz w:val="24"/>
          <w:szCs w:val="24"/>
          <w:lang w:val="en-US"/>
        </w:rPr>
        <w:t xml:space="preserve"> FTSE (FTSE 100-UK), FCHI (CAC 40 100-France</w:t>
      </w:r>
      <w:r w:rsidR="002C37EF" w:rsidRPr="002C37EF">
        <w:rPr>
          <w:sz w:val="24"/>
          <w:szCs w:val="24"/>
          <w:lang w:val="en-US"/>
        </w:rPr>
        <w:t>)</w:t>
      </w:r>
      <w:r w:rsidR="002C37EF">
        <w:rPr>
          <w:sz w:val="24"/>
          <w:szCs w:val="24"/>
          <w:lang w:val="en-US"/>
        </w:rPr>
        <w:t xml:space="preserve">, GDAXI (DAX-Germany), SSMI (Swiss Stock Market Index), </w:t>
      </w:r>
      <w:r w:rsidR="00C735FF">
        <w:rPr>
          <w:sz w:val="24"/>
          <w:szCs w:val="24"/>
          <w:lang w:val="en-US"/>
        </w:rPr>
        <w:t xml:space="preserve">and </w:t>
      </w:r>
      <w:r w:rsidR="001C09D9">
        <w:rPr>
          <w:sz w:val="24"/>
          <w:szCs w:val="24"/>
          <w:lang w:val="en-US"/>
        </w:rPr>
        <w:t>FTMIB</w:t>
      </w:r>
      <w:r w:rsidR="002C37EF">
        <w:rPr>
          <w:sz w:val="24"/>
          <w:szCs w:val="24"/>
          <w:lang w:val="en-US"/>
        </w:rPr>
        <w:t xml:space="preserve"> (</w:t>
      </w:r>
      <w:r w:rsidR="001C09D9">
        <w:rPr>
          <w:sz w:val="24"/>
          <w:szCs w:val="24"/>
          <w:lang w:val="en-US"/>
        </w:rPr>
        <w:t>FTS MIB-Italy</w:t>
      </w:r>
      <w:r w:rsidR="002C37EF">
        <w:rPr>
          <w:sz w:val="24"/>
          <w:szCs w:val="24"/>
          <w:lang w:val="en-US"/>
        </w:rPr>
        <w:t>)</w:t>
      </w:r>
      <w:r w:rsidR="008E1EA8">
        <w:rPr>
          <w:sz w:val="24"/>
          <w:szCs w:val="24"/>
          <w:lang w:val="en-US"/>
        </w:rPr>
        <w:t>—</w:t>
      </w:r>
      <w:r w:rsidRPr="00A87029">
        <w:rPr>
          <w:sz w:val="24"/>
          <w:szCs w:val="24"/>
          <w:lang w:val="en-US"/>
        </w:rPr>
        <w:t>from January</w:t>
      </w:r>
      <w:r>
        <w:rPr>
          <w:sz w:val="24"/>
          <w:szCs w:val="24"/>
          <w:lang w:val="en-US"/>
        </w:rPr>
        <w:t xml:space="preserve"> </w:t>
      </w:r>
      <w:r w:rsidR="00543C5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, </w:t>
      </w:r>
      <w:r w:rsidR="00543C53">
        <w:rPr>
          <w:sz w:val="24"/>
          <w:szCs w:val="24"/>
          <w:lang w:val="en-US"/>
        </w:rPr>
        <w:t>2000</w:t>
      </w:r>
      <w:r w:rsidRPr="00A87029">
        <w:rPr>
          <w:sz w:val="24"/>
          <w:szCs w:val="24"/>
          <w:lang w:val="en-US"/>
        </w:rPr>
        <w:t xml:space="preserve"> to October</w:t>
      </w:r>
      <w:r>
        <w:rPr>
          <w:sz w:val="24"/>
          <w:szCs w:val="24"/>
          <w:lang w:val="en-US"/>
        </w:rPr>
        <w:t xml:space="preserve"> </w:t>
      </w:r>
      <w:r w:rsidR="00543C53">
        <w:rPr>
          <w:sz w:val="24"/>
          <w:szCs w:val="24"/>
          <w:lang w:val="en-US"/>
        </w:rPr>
        <w:t>1</w:t>
      </w:r>
      <w:r w:rsidRPr="00A87029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, </w:t>
      </w:r>
      <w:r w:rsidR="00543C53">
        <w:rPr>
          <w:sz w:val="24"/>
          <w:szCs w:val="24"/>
          <w:lang w:val="en-US"/>
        </w:rPr>
        <w:t>2019</w:t>
      </w:r>
      <w:r w:rsidR="008E1EA8">
        <w:rPr>
          <w:sz w:val="24"/>
          <w:szCs w:val="24"/>
          <w:lang w:val="en-US"/>
        </w:rPr>
        <w:t>. This comprised some</w:t>
      </w:r>
      <w:r w:rsidR="0034264B">
        <w:rPr>
          <w:sz w:val="24"/>
          <w:szCs w:val="24"/>
          <w:lang w:val="en-US"/>
        </w:rPr>
        <w:t xml:space="preserve"> 4,533 observations</w:t>
      </w:r>
      <w:r w:rsidRPr="00A87029">
        <w:rPr>
          <w:sz w:val="24"/>
          <w:szCs w:val="24"/>
          <w:lang w:val="en-US"/>
        </w:rPr>
        <w:t xml:space="preserve">. </w:t>
      </w:r>
      <w:r w:rsidR="009347D8" w:rsidRPr="009347D8">
        <w:rPr>
          <w:sz w:val="24"/>
          <w:szCs w:val="24"/>
          <w:lang w:val="en-US"/>
        </w:rPr>
        <w:t xml:space="preserve">The </w:t>
      </w:r>
      <w:r w:rsidR="00DA6243">
        <w:rPr>
          <w:sz w:val="24"/>
          <w:szCs w:val="24"/>
          <w:lang w:val="en-US"/>
        </w:rPr>
        <w:t xml:space="preserve">considered </w:t>
      </w:r>
      <w:r w:rsidR="009347D8" w:rsidRPr="009347D8">
        <w:rPr>
          <w:sz w:val="24"/>
          <w:szCs w:val="24"/>
          <w:lang w:val="en-US"/>
        </w:rPr>
        <w:t xml:space="preserve">stock markets </w:t>
      </w:r>
      <w:r w:rsidR="008E1EA8">
        <w:rPr>
          <w:sz w:val="24"/>
          <w:szCs w:val="24"/>
          <w:lang w:val="en-US"/>
        </w:rPr>
        <w:t xml:space="preserve">are </w:t>
      </w:r>
      <w:r w:rsidR="00C935C6">
        <w:rPr>
          <w:sz w:val="24"/>
          <w:szCs w:val="24"/>
          <w:lang w:val="en-US"/>
        </w:rPr>
        <w:t>five</w:t>
      </w:r>
      <w:r w:rsidR="009347D8" w:rsidRPr="009347D8">
        <w:rPr>
          <w:sz w:val="24"/>
          <w:szCs w:val="24"/>
          <w:lang w:val="en-US"/>
        </w:rPr>
        <w:t xml:space="preserve"> of the most important stock markets </w:t>
      </w:r>
      <w:r w:rsidR="008E1EA8">
        <w:rPr>
          <w:sz w:val="24"/>
          <w:szCs w:val="24"/>
          <w:lang w:val="en-US"/>
        </w:rPr>
        <w:t xml:space="preserve">in </w:t>
      </w:r>
      <w:r w:rsidR="00C935C6">
        <w:rPr>
          <w:sz w:val="24"/>
          <w:szCs w:val="24"/>
          <w:lang w:val="en-US"/>
        </w:rPr>
        <w:t>Europe</w:t>
      </w:r>
      <w:r w:rsidR="009347D8" w:rsidRPr="009347D8">
        <w:rPr>
          <w:sz w:val="24"/>
          <w:szCs w:val="24"/>
          <w:lang w:val="en-US"/>
        </w:rPr>
        <w:t xml:space="preserve">, </w:t>
      </w:r>
      <w:r w:rsidR="008E1EA8">
        <w:rPr>
          <w:sz w:val="24"/>
          <w:szCs w:val="24"/>
          <w:lang w:val="en-US"/>
        </w:rPr>
        <w:t xml:space="preserve">and they are listed </w:t>
      </w:r>
      <w:r w:rsidR="009347D8" w:rsidRPr="009347D8">
        <w:rPr>
          <w:sz w:val="24"/>
          <w:szCs w:val="24"/>
          <w:lang w:val="en-US"/>
        </w:rPr>
        <w:t xml:space="preserve">in </w:t>
      </w:r>
      <w:r w:rsidR="00C935C6">
        <w:rPr>
          <w:sz w:val="24"/>
          <w:szCs w:val="24"/>
          <w:lang w:val="en-US"/>
        </w:rPr>
        <w:t>order</w:t>
      </w:r>
      <w:r w:rsidR="009347D8" w:rsidRPr="009347D8">
        <w:rPr>
          <w:sz w:val="24"/>
          <w:szCs w:val="24"/>
          <w:lang w:val="en-US"/>
        </w:rPr>
        <w:t xml:space="preserve"> of</w:t>
      </w:r>
      <w:r w:rsidR="009347D8">
        <w:rPr>
          <w:sz w:val="24"/>
          <w:szCs w:val="24"/>
          <w:lang w:val="en-US"/>
        </w:rPr>
        <w:t xml:space="preserve"> </w:t>
      </w:r>
      <w:r w:rsidR="00C935C6">
        <w:rPr>
          <w:sz w:val="24"/>
          <w:szCs w:val="24"/>
          <w:lang w:val="en-US"/>
        </w:rPr>
        <w:t>capitaliz</w:t>
      </w:r>
      <w:r w:rsidR="009347D8" w:rsidRPr="009347D8">
        <w:rPr>
          <w:sz w:val="24"/>
          <w:szCs w:val="24"/>
          <w:lang w:val="en-US"/>
        </w:rPr>
        <w:t>ation.</w:t>
      </w:r>
      <w:r w:rsidR="009347D8">
        <w:rPr>
          <w:sz w:val="24"/>
          <w:szCs w:val="24"/>
          <w:lang w:val="en-US"/>
        </w:rPr>
        <w:t xml:space="preserve"> </w:t>
      </w:r>
      <w:r w:rsidR="008E1EA8">
        <w:rPr>
          <w:sz w:val="24"/>
          <w:szCs w:val="24"/>
          <w:lang w:val="en-US"/>
        </w:rPr>
        <w:t>In addition</w:t>
      </w:r>
      <w:r w:rsidR="00E2090B" w:rsidRPr="00E2090B">
        <w:rPr>
          <w:sz w:val="24"/>
          <w:szCs w:val="24"/>
          <w:lang w:val="en-US"/>
        </w:rPr>
        <w:t xml:space="preserve">, these markets </w:t>
      </w:r>
      <w:r w:rsidR="00E2090B">
        <w:rPr>
          <w:sz w:val="24"/>
          <w:szCs w:val="24"/>
          <w:lang w:val="en-US"/>
        </w:rPr>
        <w:t>represent</w:t>
      </w:r>
      <w:r w:rsidR="00E2090B" w:rsidRPr="00E2090B">
        <w:rPr>
          <w:sz w:val="24"/>
          <w:szCs w:val="24"/>
          <w:lang w:val="en-US"/>
        </w:rPr>
        <w:t xml:space="preserve"> the </w:t>
      </w:r>
      <w:r w:rsidR="008E1EA8">
        <w:rPr>
          <w:sz w:val="24"/>
          <w:szCs w:val="24"/>
          <w:lang w:val="en-US"/>
        </w:rPr>
        <w:t>most</w:t>
      </w:r>
      <w:r w:rsidR="008E1EA8" w:rsidRPr="00E2090B">
        <w:rPr>
          <w:sz w:val="24"/>
          <w:szCs w:val="24"/>
          <w:lang w:val="en-US"/>
        </w:rPr>
        <w:t xml:space="preserve"> </w:t>
      </w:r>
      <w:r w:rsidR="00E2090B" w:rsidRPr="00E2090B">
        <w:rPr>
          <w:sz w:val="24"/>
          <w:szCs w:val="24"/>
          <w:lang w:val="en-US"/>
        </w:rPr>
        <w:t xml:space="preserve">liquid markets </w:t>
      </w:r>
      <w:r w:rsidR="008E1EA8">
        <w:rPr>
          <w:sz w:val="24"/>
          <w:szCs w:val="24"/>
          <w:lang w:val="en-US"/>
        </w:rPr>
        <w:t>in</w:t>
      </w:r>
      <w:r w:rsidR="008E1EA8" w:rsidRPr="00E2090B">
        <w:rPr>
          <w:sz w:val="24"/>
          <w:szCs w:val="24"/>
          <w:lang w:val="en-US"/>
        </w:rPr>
        <w:t xml:space="preserve"> </w:t>
      </w:r>
      <w:r w:rsidR="00E2090B">
        <w:rPr>
          <w:sz w:val="24"/>
          <w:szCs w:val="24"/>
          <w:lang w:val="en-US"/>
        </w:rPr>
        <w:t>Europe</w:t>
      </w:r>
      <w:r w:rsidR="008E1EA8">
        <w:rPr>
          <w:sz w:val="24"/>
          <w:szCs w:val="24"/>
          <w:lang w:val="en-US"/>
        </w:rPr>
        <w:t>, so</w:t>
      </w:r>
      <w:r w:rsidR="00E2090B" w:rsidRPr="00E2090B">
        <w:rPr>
          <w:sz w:val="24"/>
          <w:szCs w:val="24"/>
          <w:lang w:val="en-US"/>
        </w:rPr>
        <w:t xml:space="preserve"> we </w:t>
      </w:r>
      <w:r w:rsidR="008E1EA8">
        <w:rPr>
          <w:sz w:val="24"/>
          <w:szCs w:val="24"/>
          <w:lang w:val="en-US"/>
        </w:rPr>
        <w:t xml:space="preserve">surmise </w:t>
      </w:r>
      <w:r w:rsidR="00E2090B">
        <w:rPr>
          <w:sz w:val="24"/>
          <w:szCs w:val="24"/>
          <w:lang w:val="en-US"/>
        </w:rPr>
        <w:t xml:space="preserve">that their realized </w:t>
      </w:r>
      <w:r w:rsidR="00E2090B" w:rsidRPr="00E2090B">
        <w:rPr>
          <w:sz w:val="24"/>
          <w:szCs w:val="24"/>
          <w:lang w:val="en-US"/>
        </w:rPr>
        <w:t xml:space="preserve">volatility </w:t>
      </w:r>
      <w:r w:rsidR="00E2090B">
        <w:rPr>
          <w:sz w:val="24"/>
          <w:szCs w:val="24"/>
          <w:lang w:val="en-US"/>
        </w:rPr>
        <w:t>may be</w:t>
      </w:r>
      <w:r w:rsidR="00E2090B" w:rsidRPr="00E2090B">
        <w:rPr>
          <w:sz w:val="24"/>
          <w:szCs w:val="24"/>
          <w:lang w:val="en-US"/>
        </w:rPr>
        <w:t xml:space="preserve"> representative of the</w:t>
      </w:r>
      <w:r w:rsidR="00E2090B">
        <w:rPr>
          <w:sz w:val="24"/>
          <w:szCs w:val="24"/>
          <w:lang w:val="en-US"/>
        </w:rPr>
        <w:t xml:space="preserve"> E</w:t>
      </w:r>
      <w:r w:rsidR="00283327">
        <w:rPr>
          <w:sz w:val="24"/>
          <w:szCs w:val="24"/>
          <w:lang w:val="en-US"/>
        </w:rPr>
        <w:t>urop</w:t>
      </w:r>
      <w:r w:rsidR="008E1EA8">
        <w:rPr>
          <w:sz w:val="24"/>
          <w:szCs w:val="24"/>
          <w:lang w:val="en-US"/>
        </w:rPr>
        <w:t>ean</w:t>
      </w:r>
      <w:r w:rsidR="00E2090B" w:rsidRPr="00E2090B">
        <w:rPr>
          <w:sz w:val="24"/>
          <w:szCs w:val="24"/>
          <w:lang w:val="en-US"/>
        </w:rPr>
        <w:t xml:space="preserve"> stock market uncertainty. </w:t>
      </w:r>
    </w:p>
    <w:p w14:paraId="70763ED7" w14:textId="695BC264" w:rsidR="005C7932" w:rsidRDefault="00F33FCD" w:rsidP="0034264B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Pr="00A87029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>ed on the work of</w:t>
      </w:r>
      <w:r w:rsidRPr="00A87029">
        <w:rPr>
          <w:sz w:val="24"/>
          <w:szCs w:val="24"/>
          <w:lang w:val="en-US"/>
        </w:rPr>
        <w:t xml:space="preserve"> Andersen et al. (2003), Koopman et al. (2</w:t>
      </w:r>
      <w:r>
        <w:rPr>
          <w:sz w:val="24"/>
          <w:szCs w:val="24"/>
          <w:lang w:val="en-US"/>
        </w:rPr>
        <w:t xml:space="preserve">005), </w:t>
      </w:r>
      <w:r w:rsidR="0034264B">
        <w:rPr>
          <w:sz w:val="24"/>
          <w:szCs w:val="24"/>
          <w:lang w:val="en-US"/>
        </w:rPr>
        <w:t>and Pooter</w:t>
      </w:r>
      <w:r>
        <w:rPr>
          <w:sz w:val="24"/>
          <w:szCs w:val="24"/>
          <w:lang w:val="en-US"/>
        </w:rPr>
        <w:t xml:space="preserve"> et al. (2008</w:t>
      </w:r>
      <w:r w:rsidRPr="00B40F9B">
        <w:rPr>
          <w:color w:val="auto"/>
          <w:sz w:val="24"/>
          <w:szCs w:val="24"/>
          <w:lang w:val="en-US"/>
        </w:rPr>
        <w:t>), </w:t>
      </w:r>
      <w:r w:rsidR="000C1A83" w:rsidRPr="00B40F9B">
        <w:rPr>
          <w:color w:val="auto"/>
          <w:sz w:val="24"/>
          <w:szCs w:val="24"/>
          <w:lang w:val="en-US"/>
        </w:rPr>
        <w:t xml:space="preserve">we </w:t>
      </w:r>
      <w:r w:rsidRPr="00B40F9B">
        <w:rPr>
          <w:color w:val="auto"/>
          <w:sz w:val="24"/>
          <w:szCs w:val="24"/>
          <w:lang w:val="en-US"/>
        </w:rPr>
        <w:t>use</w:t>
      </w:r>
      <w:r w:rsidR="000C1A83" w:rsidRPr="00B40F9B">
        <w:rPr>
          <w:color w:val="auto"/>
          <w:sz w:val="24"/>
          <w:szCs w:val="24"/>
          <w:lang w:val="en-US"/>
        </w:rPr>
        <w:t xml:space="preserve"> </w:t>
      </w:r>
      <w:r w:rsidRPr="00B40F9B">
        <w:rPr>
          <w:color w:val="auto"/>
          <w:sz w:val="24"/>
          <w:szCs w:val="24"/>
          <w:lang w:val="en-US"/>
        </w:rPr>
        <w:t xml:space="preserve">a </w:t>
      </w:r>
      <w:r w:rsidR="008E1EA8">
        <w:rPr>
          <w:color w:val="auto"/>
          <w:sz w:val="24"/>
          <w:szCs w:val="24"/>
          <w:lang w:val="en-US"/>
        </w:rPr>
        <w:t>five</w:t>
      </w:r>
      <w:r w:rsidR="000C1A83" w:rsidRPr="00B40F9B">
        <w:rPr>
          <w:color w:val="auto"/>
          <w:sz w:val="24"/>
          <w:szCs w:val="24"/>
          <w:lang w:val="en-US"/>
        </w:rPr>
        <w:t>-minute interval</w:t>
      </w:r>
      <w:r w:rsidRPr="00B40F9B">
        <w:rPr>
          <w:color w:val="auto"/>
          <w:sz w:val="24"/>
          <w:szCs w:val="24"/>
          <w:lang w:val="en-US"/>
        </w:rPr>
        <w:t xml:space="preserve"> </w:t>
      </w:r>
      <w:r w:rsidR="0034264B" w:rsidRPr="00B40F9B">
        <w:rPr>
          <w:color w:val="auto"/>
          <w:sz w:val="24"/>
          <w:szCs w:val="24"/>
          <w:lang w:val="en-US"/>
        </w:rPr>
        <w:t>to exclude</w:t>
      </w:r>
      <w:r w:rsidRPr="00B40F9B">
        <w:rPr>
          <w:color w:val="auto"/>
          <w:sz w:val="24"/>
          <w:szCs w:val="24"/>
          <w:lang w:val="en-US"/>
        </w:rPr>
        <w:t xml:space="preserve"> the microstructure effect. </w:t>
      </w:r>
      <w:r w:rsidR="000C1A83" w:rsidRPr="00B40F9B">
        <w:rPr>
          <w:color w:val="auto"/>
          <w:sz w:val="24"/>
          <w:szCs w:val="24"/>
          <w:lang w:val="en-US"/>
        </w:rPr>
        <w:t xml:space="preserve">The </w:t>
      </w:r>
      <w:r w:rsidR="00283327" w:rsidRPr="00B40F9B">
        <w:rPr>
          <w:color w:val="auto"/>
          <w:sz w:val="24"/>
          <w:szCs w:val="24"/>
          <w:lang w:val="en-US"/>
        </w:rPr>
        <w:t>stock indices</w:t>
      </w:r>
      <w:r w:rsidR="000C1A83" w:rsidRPr="00B40F9B">
        <w:rPr>
          <w:color w:val="auto"/>
          <w:sz w:val="24"/>
          <w:szCs w:val="24"/>
          <w:lang w:val="en-US"/>
        </w:rPr>
        <w:t xml:space="preserve"> </w:t>
      </w:r>
      <w:r w:rsidR="008E1EA8">
        <w:rPr>
          <w:color w:val="auto"/>
          <w:sz w:val="24"/>
          <w:szCs w:val="24"/>
          <w:lang w:val="en-US"/>
        </w:rPr>
        <w:t>used</w:t>
      </w:r>
      <w:r w:rsidR="008E1EA8" w:rsidRPr="00B40F9B">
        <w:rPr>
          <w:color w:val="auto"/>
          <w:sz w:val="24"/>
          <w:szCs w:val="24"/>
          <w:lang w:val="en-US"/>
        </w:rPr>
        <w:t xml:space="preserve"> </w:t>
      </w:r>
      <w:r w:rsidR="000C1A83" w:rsidRPr="00B40F9B">
        <w:rPr>
          <w:color w:val="auto"/>
          <w:sz w:val="24"/>
          <w:szCs w:val="24"/>
          <w:lang w:val="en-US"/>
        </w:rPr>
        <w:t xml:space="preserve">in this study were chosen firstly because of their importance to </w:t>
      </w:r>
      <w:r w:rsidR="00283327" w:rsidRPr="00B40F9B">
        <w:rPr>
          <w:color w:val="auto"/>
          <w:sz w:val="24"/>
          <w:szCs w:val="24"/>
          <w:lang w:val="en-US"/>
        </w:rPr>
        <w:t xml:space="preserve">the global </w:t>
      </w:r>
      <w:r w:rsidR="00283327">
        <w:rPr>
          <w:sz w:val="24"/>
          <w:szCs w:val="24"/>
          <w:lang w:val="en-US"/>
        </w:rPr>
        <w:t xml:space="preserve">financial </w:t>
      </w:r>
      <w:r w:rsidR="000C1A83" w:rsidRPr="00A87029">
        <w:rPr>
          <w:sz w:val="24"/>
          <w:szCs w:val="24"/>
          <w:lang w:val="en-US"/>
        </w:rPr>
        <w:t>market</w:t>
      </w:r>
      <w:r w:rsidR="008E1EA8">
        <w:rPr>
          <w:sz w:val="24"/>
          <w:szCs w:val="24"/>
          <w:lang w:val="en-US"/>
        </w:rPr>
        <w:t>s</w:t>
      </w:r>
      <w:r w:rsidR="000C1A83" w:rsidRPr="00A87029">
        <w:rPr>
          <w:sz w:val="24"/>
          <w:szCs w:val="24"/>
          <w:lang w:val="en-US"/>
        </w:rPr>
        <w:t xml:space="preserve"> </w:t>
      </w:r>
      <w:r w:rsidR="000C1A83">
        <w:rPr>
          <w:sz w:val="24"/>
          <w:szCs w:val="24"/>
          <w:lang w:val="en-US"/>
        </w:rPr>
        <w:t>but also because</w:t>
      </w:r>
      <w:r w:rsidR="000C1A83" w:rsidRPr="00A87029">
        <w:rPr>
          <w:sz w:val="24"/>
          <w:szCs w:val="24"/>
          <w:lang w:val="en-US"/>
        </w:rPr>
        <w:t xml:space="preserve"> most studies focus on volatility </w:t>
      </w:r>
      <w:r w:rsidR="008E1EA8">
        <w:rPr>
          <w:sz w:val="24"/>
          <w:szCs w:val="24"/>
          <w:lang w:val="en-US"/>
        </w:rPr>
        <w:t xml:space="preserve">in </w:t>
      </w:r>
      <w:r w:rsidR="00283327">
        <w:rPr>
          <w:sz w:val="24"/>
          <w:szCs w:val="24"/>
          <w:lang w:val="en-US"/>
        </w:rPr>
        <w:t>the USA market</w:t>
      </w:r>
      <w:r w:rsidR="008E1EA8">
        <w:rPr>
          <w:sz w:val="24"/>
          <w:szCs w:val="24"/>
          <w:lang w:val="en-US"/>
        </w:rPr>
        <w:t>s</w:t>
      </w:r>
      <w:r w:rsidR="00283327">
        <w:rPr>
          <w:sz w:val="24"/>
          <w:szCs w:val="24"/>
          <w:lang w:val="en-US"/>
        </w:rPr>
        <w:t xml:space="preserve"> </w:t>
      </w:r>
      <w:r w:rsidR="008E1EA8">
        <w:rPr>
          <w:sz w:val="24"/>
          <w:szCs w:val="24"/>
          <w:lang w:val="en-US"/>
        </w:rPr>
        <w:t>and disregard</w:t>
      </w:r>
      <w:r w:rsidR="008E1EA8" w:rsidRPr="00A87029">
        <w:rPr>
          <w:sz w:val="24"/>
          <w:szCs w:val="24"/>
          <w:lang w:val="en-US"/>
        </w:rPr>
        <w:t xml:space="preserve"> </w:t>
      </w:r>
      <w:r w:rsidR="000C1A83" w:rsidRPr="00A87029">
        <w:rPr>
          <w:sz w:val="24"/>
          <w:szCs w:val="24"/>
          <w:lang w:val="en-US"/>
        </w:rPr>
        <w:t xml:space="preserve">the importance of </w:t>
      </w:r>
      <w:r w:rsidR="00283327">
        <w:rPr>
          <w:sz w:val="24"/>
          <w:szCs w:val="24"/>
          <w:lang w:val="en-US"/>
        </w:rPr>
        <w:t>Europe</w:t>
      </w:r>
      <w:r w:rsidR="008E1EA8">
        <w:rPr>
          <w:sz w:val="24"/>
          <w:szCs w:val="24"/>
          <w:lang w:val="en-US"/>
        </w:rPr>
        <w:t xml:space="preserve"> to</w:t>
      </w:r>
      <w:r w:rsidR="000C1A83" w:rsidRPr="00A87029">
        <w:rPr>
          <w:sz w:val="24"/>
          <w:szCs w:val="24"/>
          <w:lang w:val="en-US"/>
        </w:rPr>
        <w:t xml:space="preserve"> the </w:t>
      </w:r>
      <w:r w:rsidR="00283327">
        <w:rPr>
          <w:sz w:val="24"/>
          <w:szCs w:val="24"/>
          <w:lang w:val="en-US"/>
        </w:rPr>
        <w:t>stock</w:t>
      </w:r>
      <w:r w:rsidR="000C1A83" w:rsidRPr="00A87029">
        <w:rPr>
          <w:sz w:val="24"/>
          <w:szCs w:val="24"/>
          <w:lang w:val="en-US"/>
        </w:rPr>
        <w:t xml:space="preserve"> market</w:t>
      </w:r>
      <w:r w:rsidR="0034264B">
        <w:rPr>
          <w:sz w:val="24"/>
          <w:szCs w:val="24"/>
          <w:lang w:val="en-US"/>
        </w:rPr>
        <w:t>.</w:t>
      </w:r>
      <w:r w:rsidR="0034264B">
        <w:rPr>
          <w:bCs/>
          <w:iCs/>
          <w:sz w:val="24"/>
          <w:szCs w:val="24"/>
          <w:lang w:val="en-US"/>
        </w:rPr>
        <w:t xml:space="preserve"> </w:t>
      </w:r>
      <w:r w:rsidR="0034264B">
        <w:rPr>
          <w:sz w:val="24"/>
          <w:szCs w:val="24"/>
          <w:lang w:val="en-US"/>
        </w:rPr>
        <w:t>W</w:t>
      </w:r>
      <w:r w:rsidR="005A151C">
        <w:rPr>
          <w:sz w:val="24"/>
          <w:szCs w:val="24"/>
          <w:lang w:val="en-US"/>
        </w:rPr>
        <w:t xml:space="preserve">e </w:t>
      </w:r>
      <w:r w:rsidR="000C1A83" w:rsidRPr="00A87029">
        <w:rPr>
          <w:sz w:val="24"/>
          <w:szCs w:val="24"/>
          <w:lang w:val="en-US"/>
        </w:rPr>
        <w:t xml:space="preserve">follow the standard approach of Andersen and Bollerslev (1998) </w:t>
      </w:r>
      <w:r w:rsidR="0034264B">
        <w:rPr>
          <w:sz w:val="24"/>
          <w:szCs w:val="24"/>
          <w:lang w:val="en-US"/>
        </w:rPr>
        <w:t xml:space="preserve">and </w:t>
      </w:r>
      <w:r w:rsidR="009C7230">
        <w:rPr>
          <w:sz w:val="24"/>
          <w:szCs w:val="24"/>
          <w:lang w:val="en-US"/>
        </w:rPr>
        <w:t>exclude</w:t>
      </w:r>
      <w:r w:rsidR="000C1A83" w:rsidRPr="00A87029">
        <w:rPr>
          <w:sz w:val="24"/>
          <w:szCs w:val="24"/>
          <w:lang w:val="en-US"/>
        </w:rPr>
        <w:t xml:space="preserve"> the holiday effect </w:t>
      </w:r>
      <w:r w:rsidR="009C7230">
        <w:rPr>
          <w:sz w:val="24"/>
          <w:szCs w:val="24"/>
          <w:lang w:val="en-US"/>
        </w:rPr>
        <w:t xml:space="preserve">by </w:t>
      </w:r>
      <w:r w:rsidR="008E1EA8">
        <w:rPr>
          <w:sz w:val="24"/>
          <w:szCs w:val="24"/>
          <w:lang w:val="en-US"/>
        </w:rPr>
        <w:t>excluding</w:t>
      </w:r>
      <w:r w:rsidR="008E1EA8" w:rsidRPr="00A87029">
        <w:rPr>
          <w:sz w:val="24"/>
          <w:szCs w:val="24"/>
          <w:lang w:val="en-US"/>
        </w:rPr>
        <w:t xml:space="preserve"> </w:t>
      </w:r>
      <w:r w:rsidR="000C1A83">
        <w:rPr>
          <w:sz w:val="24"/>
          <w:szCs w:val="24"/>
          <w:lang w:val="en-US"/>
        </w:rPr>
        <w:t xml:space="preserve">data for </w:t>
      </w:r>
      <w:r w:rsidR="000C1A83" w:rsidRPr="00A87029">
        <w:rPr>
          <w:sz w:val="24"/>
          <w:szCs w:val="24"/>
          <w:lang w:val="en-US"/>
        </w:rPr>
        <w:t xml:space="preserve">the </w:t>
      </w:r>
      <w:r w:rsidR="000C1A83">
        <w:rPr>
          <w:sz w:val="24"/>
          <w:szCs w:val="24"/>
          <w:lang w:val="en-US"/>
        </w:rPr>
        <w:t>various</w:t>
      </w:r>
      <w:r w:rsidR="000C1A83" w:rsidRPr="00A87029">
        <w:rPr>
          <w:sz w:val="24"/>
          <w:szCs w:val="24"/>
          <w:lang w:val="en-US"/>
        </w:rPr>
        <w:t xml:space="preserve"> public holidays. </w:t>
      </w:r>
      <w:r w:rsidR="008E1EA8">
        <w:rPr>
          <w:bCs/>
          <w:iCs/>
          <w:sz w:val="24"/>
          <w:szCs w:val="24"/>
          <w:lang w:val="en-US"/>
        </w:rPr>
        <w:t>Next</w:t>
      </w:r>
      <w:r w:rsidR="0034264B">
        <w:rPr>
          <w:bCs/>
          <w:iCs/>
          <w:sz w:val="24"/>
          <w:szCs w:val="24"/>
          <w:lang w:val="en-US"/>
        </w:rPr>
        <w:t>, b</w:t>
      </w:r>
      <w:r w:rsidR="000C1A83" w:rsidRPr="00A87029">
        <w:rPr>
          <w:bCs/>
          <w:iCs/>
          <w:sz w:val="24"/>
          <w:szCs w:val="24"/>
          <w:lang w:val="en-US"/>
        </w:rPr>
        <w:t xml:space="preserve">ased on the definitions and equations </w:t>
      </w:r>
      <w:r w:rsidR="008E1EA8">
        <w:rPr>
          <w:bCs/>
          <w:iCs/>
          <w:sz w:val="24"/>
          <w:szCs w:val="24"/>
          <w:lang w:val="en-US"/>
        </w:rPr>
        <w:t>from</w:t>
      </w:r>
      <w:r w:rsidR="008E1EA8" w:rsidRPr="00A87029">
        <w:rPr>
          <w:bCs/>
          <w:iCs/>
          <w:sz w:val="24"/>
          <w:szCs w:val="24"/>
          <w:lang w:val="en-US"/>
        </w:rPr>
        <w:t xml:space="preserve"> </w:t>
      </w:r>
      <w:r w:rsidR="000C1A83" w:rsidRPr="00A87029">
        <w:rPr>
          <w:bCs/>
          <w:iCs/>
          <w:sz w:val="24"/>
          <w:szCs w:val="24"/>
          <w:lang w:val="en-US"/>
        </w:rPr>
        <w:t xml:space="preserve">the previous section, we construct the </w:t>
      </w:r>
      <w:r w:rsidR="000C1A83" w:rsidRPr="005D0839">
        <w:rPr>
          <w:bCs/>
          <w:sz w:val="24"/>
          <w:szCs w:val="24"/>
          <w:lang w:val="en-US"/>
        </w:rPr>
        <w:t>bipower</w:t>
      </w:r>
      <w:r w:rsidR="000C1A83" w:rsidRPr="00A87029">
        <w:rPr>
          <w:bCs/>
          <w:iCs/>
          <w:sz w:val="24"/>
          <w:szCs w:val="24"/>
          <w:lang w:val="en-US"/>
        </w:rPr>
        <w:t xml:space="preserve"> variation and the variation components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19404C">
        <w:rPr>
          <w:sz w:val="24"/>
          <w:szCs w:val="24"/>
          <w:lang w:val="en-US"/>
        </w:rPr>
        <w:t xml:space="preserve"> </w:t>
      </w:r>
      <w:r w:rsidR="000C1A83" w:rsidRPr="00A87029">
        <w:rPr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0C1A83" w:rsidRPr="00A87029">
        <w:rPr>
          <w:sz w:val="24"/>
          <w:szCs w:val="24"/>
          <w:lang w:val="en-US"/>
        </w:rPr>
        <w:t xml:space="preserve">. Table 1 summarizes the descriptive statistics </w:t>
      </w:r>
      <w:r w:rsidR="000C1A83">
        <w:rPr>
          <w:sz w:val="24"/>
          <w:szCs w:val="24"/>
          <w:lang w:val="en-US"/>
        </w:rPr>
        <w:t xml:space="preserve">for </w:t>
      </w:r>
      <w:r w:rsidR="000C1A83" w:rsidRPr="00A87029">
        <w:rPr>
          <w:sz w:val="24"/>
          <w:szCs w:val="24"/>
          <w:lang w:val="en-US"/>
        </w:rPr>
        <w:t>the daily realized volatili</w:t>
      </w:r>
      <w:r w:rsidR="000C1A83">
        <w:rPr>
          <w:sz w:val="24"/>
          <w:szCs w:val="24"/>
          <w:lang w:val="en-US"/>
        </w:rPr>
        <w:t>ty</w:t>
      </w:r>
      <w:r w:rsidR="008545F0">
        <w:rPr>
          <w:sz w:val="24"/>
          <w:szCs w:val="24"/>
          <w:lang w:val="en-US"/>
        </w:rPr>
        <w:t xml:space="preserve"> </w:t>
      </w:r>
      <w:r w:rsidR="008E1EA8">
        <w:rPr>
          <w:sz w:val="24"/>
          <w:szCs w:val="24"/>
          <w:lang w:val="en-US"/>
        </w:rPr>
        <w:t xml:space="preserve">of the </w:t>
      </w:r>
      <w:r w:rsidR="008E1EA8" w:rsidRPr="00A87029">
        <w:rPr>
          <w:sz w:val="24"/>
          <w:szCs w:val="24"/>
          <w:lang w:val="en-US"/>
        </w:rPr>
        <w:t xml:space="preserve">five </w:t>
      </w:r>
      <w:r w:rsidR="008E1EA8">
        <w:rPr>
          <w:sz w:val="24"/>
          <w:szCs w:val="24"/>
          <w:lang w:val="en-US"/>
        </w:rPr>
        <w:t>stock market</w:t>
      </w:r>
      <w:r w:rsidR="008E1EA8" w:rsidRPr="00A87029">
        <w:rPr>
          <w:sz w:val="24"/>
          <w:szCs w:val="24"/>
          <w:lang w:val="en-US"/>
        </w:rPr>
        <w:t xml:space="preserve"> </w:t>
      </w:r>
      <w:r w:rsidR="008E1EA8">
        <w:rPr>
          <w:sz w:val="24"/>
          <w:szCs w:val="24"/>
          <w:lang w:val="en-US"/>
        </w:rPr>
        <w:t>indices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8E1EA8">
        <w:rPr>
          <w:sz w:val="24"/>
          <w:szCs w:val="24"/>
          <w:lang w:val="en-US"/>
        </w:rPr>
        <w:t>)</w:t>
      </w:r>
      <w:r w:rsidR="000C1A83">
        <w:rPr>
          <w:sz w:val="24"/>
          <w:szCs w:val="24"/>
          <w:lang w:val="en-US"/>
        </w:rPr>
        <w:t xml:space="preserve"> </w:t>
      </w:r>
      <w:r w:rsidR="000C1A83" w:rsidRPr="00A87029">
        <w:rPr>
          <w:sz w:val="24"/>
          <w:szCs w:val="24"/>
          <w:lang w:val="en-US"/>
        </w:rPr>
        <w:t>and its components</w:t>
      </w:r>
      <w:r w:rsidR="000C1A83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0C1A83" w:rsidRPr="00A87029">
        <w:rPr>
          <w:sz w:val="24"/>
          <w:szCs w:val="24"/>
          <w:lang w:val="en-US"/>
        </w:rPr>
        <w:t xml:space="preserve"> and</w:t>
      </w:r>
      <w:r w:rsidR="000C1A83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0C1A83">
        <w:rPr>
          <w:sz w:val="24"/>
          <w:szCs w:val="24"/>
          <w:lang w:val="en-US"/>
        </w:rPr>
        <w:t>.</w:t>
      </w:r>
    </w:p>
    <w:p w14:paraId="003D75C9" w14:textId="77777777" w:rsidR="00F34147" w:rsidRPr="0034264B" w:rsidRDefault="00F34147" w:rsidP="0034264B">
      <w:pPr>
        <w:spacing w:after="240" w:line="480" w:lineRule="auto"/>
        <w:ind w:firstLine="708"/>
        <w:jc w:val="both"/>
        <w:rPr>
          <w:bCs/>
          <w:iCs/>
          <w:sz w:val="24"/>
          <w:szCs w:val="24"/>
          <w:lang w:val="en-US"/>
        </w:rPr>
      </w:pPr>
    </w:p>
    <w:tbl>
      <w:tblPr>
        <w:tblW w:w="8616" w:type="dxa"/>
        <w:jc w:val="center"/>
        <w:tblLook w:val="04A0" w:firstRow="1" w:lastRow="0" w:firstColumn="1" w:lastColumn="0" w:noHBand="0" w:noVBand="1"/>
      </w:tblPr>
      <w:tblGrid>
        <w:gridCol w:w="1128"/>
        <w:gridCol w:w="988"/>
        <w:gridCol w:w="1123"/>
        <w:gridCol w:w="1131"/>
        <w:gridCol w:w="1146"/>
        <w:gridCol w:w="1139"/>
        <w:gridCol w:w="964"/>
        <w:gridCol w:w="997"/>
      </w:tblGrid>
      <w:tr w:rsidR="00787403" w:rsidRPr="00A87029" w14:paraId="08EBEB9F" w14:textId="77777777" w:rsidTr="00E33765">
        <w:trPr>
          <w:trHeight w:val="792"/>
          <w:jc w:val="center"/>
        </w:trPr>
        <w:tc>
          <w:tcPr>
            <w:tcW w:w="8616" w:type="dxa"/>
            <w:gridSpan w:val="8"/>
            <w:tcBorders>
              <w:bottom w:val="single" w:sz="2" w:space="0" w:color="auto"/>
            </w:tcBorders>
            <w:vAlign w:val="bottom"/>
          </w:tcPr>
          <w:p w14:paraId="0355AD74" w14:textId="77777777" w:rsidR="00787403" w:rsidRPr="00E33765" w:rsidRDefault="00787403" w:rsidP="00E33765">
            <w:pPr>
              <w:spacing w:line="360" w:lineRule="auto"/>
              <w:jc w:val="center"/>
              <w:rPr>
                <w:b/>
                <w:sz w:val="2"/>
                <w:lang w:val="en-US"/>
              </w:rPr>
            </w:pPr>
            <w:r w:rsidRPr="00A87029">
              <w:rPr>
                <w:b/>
                <w:bCs/>
                <w:sz w:val="22"/>
                <w:szCs w:val="22"/>
                <w:lang w:val="en-US"/>
              </w:rPr>
              <w:lastRenderedPageBreak/>
              <w:t>Tab</w:t>
            </w:r>
            <w:r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A87029">
              <w:rPr>
                <w:b/>
                <w:bCs/>
                <w:sz w:val="22"/>
                <w:szCs w:val="22"/>
                <w:lang w:val="en-US"/>
              </w:rPr>
              <w:t xml:space="preserve">e 1. </w:t>
            </w:r>
            <w:r>
              <w:rPr>
                <w:bCs/>
                <w:sz w:val="22"/>
                <w:szCs w:val="22"/>
                <w:lang w:val="en-US"/>
              </w:rPr>
              <w:t>The d</w:t>
            </w:r>
            <w:r w:rsidRPr="00A87029">
              <w:rPr>
                <w:bCs/>
                <w:sz w:val="22"/>
                <w:szCs w:val="22"/>
                <w:lang w:val="en-US"/>
              </w:rPr>
              <w:t>escriptive statistics</w:t>
            </w:r>
          </w:p>
        </w:tc>
      </w:tr>
      <w:tr w:rsidR="00787403" w:rsidRPr="00A87029" w14:paraId="69F1B4CE" w14:textId="77777777" w:rsidTr="00E33765">
        <w:trPr>
          <w:trHeight w:val="792"/>
          <w:jc w:val="center"/>
        </w:trPr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BAFA3E" w14:textId="77777777" w:rsidR="00787403" w:rsidRPr="00E33765" w:rsidRDefault="002813F8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1F014D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1CC93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Mean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208EE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Standard errors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6D7105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Skewness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5AF7F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Excess Kurtosis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7A7D71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Min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2B3DE0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Max</w:t>
            </w:r>
          </w:p>
        </w:tc>
      </w:tr>
      <w:tr w:rsidR="00787403" w:rsidRPr="00A87029" w14:paraId="1B6F7D13" w14:textId="77777777" w:rsidTr="00E33765">
        <w:trPr>
          <w:trHeight w:val="406"/>
          <w:jc w:val="center"/>
        </w:trPr>
        <w:tc>
          <w:tcPr>
            <w:tcW w:w="1128" w:type="dxa"/>
            <w:vMerge w:val="restart"/>
            <w:tcBorders>
              <w:top w:val="single" w:sz="2" w:space="0" w:color="auto"/>
            </w:tcBorders>
            <w:vAlign w:val="center"/>
          </w:tcPr>
          <w:p w14:paraId="78B23B64" w14:textId="77777777" w:rsidR="00787403" w:rsidRPr="00E33765" w:rsidRDefault="00CB5B43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FTSE</w:t>
            </w:r>
          </w:p>
        </w:tc>
        <w:tc>
          <w:tcPr>
            <w:tcW w:w="988" w:type="dxa"/>
            <w:tcBorders>
              <w:top w:val="single" w:sz="2" w:space="0" w:color="auto"/>
            </w:tcBorders>
            <w:vAlign w:val="bottom"/>
          </w:tcPr>
          <w:p w14:paraId="689D757E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top w:val="single" w:sz="2" w:space="0" w:color="auto"/>
            </w:tcBorders>
            <w:vAlign w:val="bottom"/>
          </w:tcPr>
          <w:p w14:paraId="7BB160E0" w14:textId="77777777" w:rsidR="00787403" w:rsidRPr="00E33765" w:rsidRDefault="00874920" w:rsidP="00E33765">
            <w:pPr>
              <w:spacing w:line="360" w:lineRule="auto"/>
              <w:jc w:val="center"/>
              <w:rPr>
                <w:lang w:val="en-US"/>
              </w:rPr>
            </w:pPr>
            <w:r w:rsidRPr="00874920">
              <w:rPr>
                <w:lang w:val="en-US"/>
              </w:rPr>
              <w:t>8.43E-05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bottom"/>
          </w:tcPr>
          <w:p w14:paraId="5EDE661D" w14:textId="77777777" w:rsidR="00787403" w:rsidRPr="00E33765" w:rsidRDefault="00874920" w:rsidP="008749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bottom"/>
          </w:tcPr>
          <w:p w14:paraId="15004061" w14:textId="77777777" w:rsidR="00787403" w:rsidRPr="00E33765" w:rsidRDefault="00874920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10.6952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14:paraId="45B2748C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203.549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14:paraId="6A2DF83F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 w:rsidRPr="00EE3EBB">
              <w:rPr>
                <w:lang w:val="en-US"/>
              </w:rPr>
              <w:t>3.79E-06</w:t>
            </w:r>
          </w:p>
        </w:tc>
        <w:tc>
          <w:tcPr>
            <w:tcW w:w="997" w:type="dxa"/>
            <w:tcBorders>
              <w:top w:val="single" w:sz="2" w:space="0" w:color="auto"/>
            </w:tcBorders>
            <w:vAlign w:val="bottom"/>
          </w:tcPr>
          <w:p w14:paraId="00997D7B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0.0046</w:t>
            </w:r>
          </w:p>
        </w:tc>
      </w:tr>
      <w:tr w:rsidR="00787403" w:rsidRPr="00A87029" w14:paraId="144DD4C4" w14:textId="77777777" w:rsidTr="00E33765">
        <w:trPr>
          <w:trHeight w:val="195"/>
          <w:jc w:val="center"/>
        </w:trPr>
        <w:tc>
          <w:tcPr>
            <w:tcW w:w="1128" w:type="dxa"/>
            <w:vMerge/>
            <w:vAlign w:val="bottom"/>
          </w:tcPr>
          <w:p w14:paraId="1F1E0DE2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5F075D1F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bottom"/>
          </w:tcPr>
          <w:p w14:paraId="388C516E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31" w:type="dxa"/>
            <w:vAlign w:val="bottom"/>
          </w:tcPr>
          <w:p w14:paraId="7A1CBEFA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1146" w:type="dxa"/>
            <w:vAlign w:val="bottom"/>
          </w:tcPr>
          <w:p w14:paraId="3BD76ABE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12.0439</w:t>
            </w:r>
          </w:p>
        </w:tc>
        <w:tc>
          <w:tcPr>
            <w:tcW w:w="1139" w:type="dxa"/>
            <w:vAlign w:val="bottom"/>
          </w:tcPr>
          <w:p w14:paraId="5226C07B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264.8196</w:t>
            </w:r>
          </w:p>
        </w:tc>
        <w:tc>
          <w:tcPr>
            <w:tcW w:w="964" w:type="dxa"/>
            <w:vAlign w:val="bottom"/>
          </w:tcPr>
          <w:p w14:paraId="33B31722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 w:rsidRPr="00EE3EBB">
              <w:rPr>
                <w:lang w:val="en-US"/>
              </w:rPr>
              <w:t>7.10E-06</w:t>
            </w:r>
          </w:p>
        </w:tc>
        <w:tc>
          <w:tcPr>
            <w:tcW w:w="997" w:type="dxa"/>
            <w:vAlign w:val="bottom"/>
          </w:tcPr>
          <w:p w14:paraId="788B5521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0.0098</w:t>
            </w:r>
          </w:p>
        </w:tc>
      </w:tr>
      <w:tr w:rsidR="00787403" w:rsidRPr="00A87029" w14:paraId="1F665196" w14:textId="77777777" w:rsidTr="00E33765">
        <w:trPr>
          <w:trHeight w:val="195"/>
          <w:jc w:val="center"/>
        </w:trPr>
        <w:tc>
          <w:tcPr>
            <w:tcW w:w="1128" w:type="dxa"/>
            <w:vMerge/>
            <w:tcBorders>
              <w:bottom w:val="single" w:sz="2" w:space="0" w:color="auto"/>
            </w:tcBorders>
            <w:vAlign w:val="bottom"/>
          </w:tcPr>
          <w:p w14:paraId="08E82DC3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bottom w:val="single" w:sz="2" w:space="0" w:color="auto"/>
            </w:tcBorders>
            <w:vAlign w:val="bottom"/>
          </w:tcPr>
          <w:p w14:paraId="4E303B0D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bottom w:val="single" w:sz="2" w:space="0" w:color="auto"/>
            </w:tcBorders>
            <w:vAlign w:val="bottom"/>
          </w:tcPr>
          <w:p w14:paraId="2B5637D1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 w:rsidRPr="00EE3EBB">
              <w:rPr>
                <w:lang w:val="en-US"/>
              </w:rPr>
              <w:t>1.11E-05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bottom"/>
          </w:tcPr>
          <w:p w14:paraId="25A81B74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 w:rsidRPr="00EE3EBB">
              <w:rPr>
                <w:lang w:val="en-US"/>
              </w:rPr>
              <w:t>4.13E-05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vAlign w:val="bottom"/>
          </w:tcPr>
          <w:p w14:paraId="3D31F267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15.9392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bottom"/>
          </w:tcPr>
          <w:p w14:paraId="402D3B46" w14:textId="77777777" w:rsidR="00787403" w:rsidRPr="00E33765" w:rsidRDefault="00EE3EB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394.5576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14:paraId="2247CED0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bottom w:val="single" w:sz="2" w:space="0" w:color="auto"/>
            </w:tcBorders>
            <w:vAlign w:val="bottom"/>
          </w:tcPr>
          <w:p w14:paraId="37D5C7FF" w14:textId="77777777" w:rsidR="00787403" w:rsidRPr="00E33765" w:rsidRDefault="00BD1A64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0.0013</w:t>
            </w:r>
          </w:p>
        </w:tc>
      </w:tr>
      <w:tr w:rsidR="00787403" w:rsidRPr="00A87029" w14:paraId="6E186A61" w14:textId="77777777" w:rsidTr="00E33765">
        <w:trPr>
          <w:trHeight w:val="406"/>
          <w:jc w:val="center"/>
        </w:trPr>
        <w:tc>
          <w:tcPr>
            <w:tcW w:w="1128" w:type="dxa"/>
            <w:vMerge w:val="restart"/>
            <w:tcBorders>
              <w:top w:val="single" w:sz="2" w:space="0" w:color="auto"/>
            </w:tcBorders>
            <w:vAlign w:val="center"/>
          </w:tcPr>
          <w:p w14:paraId="3354BA10" w14:textId="77777777" w:rsidR="00787403" w:rsidRPr="00E33765" w:rsidRDefault="00CB5B43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FCHI</w:t>
            </w:r>
          </w:p>
        </w:tc>
        <w:tc>
          <w:tcPr>
            <w:tcW w:w="988" w:type="dxa"/>
            <w:tcBorders>
              <w:top w:val="single" w:sz="2" w:space="0" w:color="auto"/>
            </w:tcBorders>
            <w:vAlign w:val="bottom"/>
          </w:tcPr>
          <w:p w14:paraId="5472D818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top w:val="single" w:sz="2" w:space="0" w:color="auto"/>
            </w:tcBorders>
            <w:vAlign w:val="bottom"/>
          </w:tcPr>
          <w:p w14:paraId="54D8FA38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bottom"/>
          </w:tcPr>
          <w:p w14:paraId="23040698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0.0002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bottom"/>
          </w:tcPr>
          <w:p w14:paraId="6C7DBD4C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8.7655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14:paraId="2ED402C6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131.0381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14:paraId="167B2AA4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 w:rsidRPr="00273DD2">
              <w:rPr>
                <w:lang w:val="en-US"/>
              </w:rPr>
              <w:t>4.96E-06</w:t>
            </w:r>
          </w:p>
        </w:tc>
        <w:tc>
          <w:tcPr>
            <w:tcW w:w="997" w:type="dxa"/>
            <w:tcBorders>
              <w:top w:val="single" w:sz="2" w:space="0" w:color="auto"/>
            </w:tcBorders>
            <w:vAlign w:val="bottom"/>
          </w:tcPr>
          <w:p w14:paraId="0E1F9EB6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0.0051</w:t>
            </w:r>
          </w:p>
        </w:tc>
      </w:tr>
      <w:tr w:rsidR="00787403" w:rsidRPr="00A87029" w14:paraId="51C96C6A" w14:textId="77777777" w:rsidTr="00E33765">
        <w:trPr>
          <w:trHeight w:val="406"/>
          <w:jc w:val="center"/>
        </w:trPr>
        <w:tc>
          <w:tcPr>
            <w:tcW w:w="1128" w:type="dxa"/>
            <w:vMerge/>
            <w:vAlign w:val="bottom"/>
          </w:tcPr>
          <w:p w14:paraId="39B60945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178E63A0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bottom"/>
          </w:tcPr>
          <w:p w14:paraId="4C90B682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0.0002</w:t>
            </w:r>
          </w:p>
        </w:tc>
        <w:tc>
          <w:tcPr>
            <w:tcW w:w="1131" w:type="dxa"/>
            <w:vAlign w:val="bottom"/>
          </w:tcPr>
          <w:p w14:paraId="66B67AB5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0.0004</w:t>
            </w:r>
          </w:p>
        </w:tc>
        <w:tc>
          <w:tcPr>
            <w:tcW w:w="1146" w:type="dxa"/>
            <w:vAlign w:val="bottom"/>
          </w:tcPr>
          <w:p w14:paraId="018E57A9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8.0366</w:t>
            </w:r>
          </w:p>
        </w:tc>
        <w:tc>
          <w:tcPr>
            <w:tcW w:w="1139" w:type="dxa"/>
            <w:vAlign w:val="bottom"/>
          </w:tcPr>
          <w:p w14:paraId="4CC5A312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107.1741</w:t>
            </w:r>
          </w:p>
        </w:tc>
        <w:tc>
          <w:tcPr>
            <w:tcW w:w="964" w:type="dxa"/>
            <w:vAlign w:val="bottom"/>
          </w:tcPr>
          <w:p w14:paraId="550DB79D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 w:rsidRPr="00273DD2">
              <w:rPr>
                <w:lang w:val="en-US"/>
              </w:rPr>
              <w:t>4.96E-06</w:t>
            </w:r>
          </w:p>
        </w:tc>
        <w:tc>
          <w:tcPr>
            <w:tcW w:w="997" w:type="dxa"/>
            <w:vAlign w:val="bottom"/>
          </w:tcPr>
          <w:p w14:paraId="0A49F1AF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0.0094</w:t>
            </w:r>
          </w:p>
        </w:tc>
      </w:tr>
      <w:tr w:rsidR="00787403" w:rsidRPr="00A87029" w14:paraId="6D024692" w14:textId="77777777" w:rsidTr="00E33765">
        <w:trPr>
          <w:trHeight w:val="195"/>
          <w:jc w:val="center"/>
        </w:trPr>
        <w:tc>
          <w:tcPr>
            <w:tcW w:w="1128" w:type="dxa"/>
            <w:vMerge/>
            <w:tcBorders>
              <w:bottom w:val="single" w:sz="2" w:space="0" w:color="auto"/>
            </w:tcBorders>
            <w:vAlign w:val="bottom"/>
          </w:tcPr>
          <w:p w14:paraId="3750EDEF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bottom w:val="single" w:sz="2" w:space="0" w:color="auto"/>
            </w:tcBorders>
            <w:vAlign w:val="bottom"/>
          </w:tcPr>
          <w:p w14:paraId="36C4B1FB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bottom w:val="single" w:sz="2" w:space="0" w:color="auto"/>
            </w:tcBorders>
            <w:vAlign w:val="bottom"/>
          </w:tcPr>
          <w:p w14:paraId="32ECC0F4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 w:rsidRPr="00273DD2">
              <w:rPr>
                <w:lang w:val="en-US"/>
              </w:rPr>
              <w:t>4.96E-06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bottom"/>
          </w:tcPr>
          <w:p w14:paraId="3FB31127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 w:rsidRPr="00273DD2">
              <w:rPr>
                <w:lang w:val="en-US"/>
              </w:rPr>
              <w:t>4.24E-05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vAlign w:val="bottom"/>
          </w:tcPr>
          <w:p w14:paraId="53A5EE11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26.8433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bottom"/>
          </w:tcPr>
          <w:p w14:paraId="1FAAE768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1088.47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14:paraId="7A7C4377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bottom w:val="single" w:sz="2" w:space="0" w:color="auto"/>
            </w:tcBorders>
            <w:vAlign w:val="bottom"/>
          </w:tcPr>
          <w:p w14:paraId="0C351F66" w14:textId="77777777" w:rsidR="00787403" w:rsidRPr="00E33765" w:rsidRDefault="00273DD2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0.0019</w:t>
            </w:r>
          </w:p>
        </w:tc>
      </w:tr>
      <w:tr w:rsidR="00787403" w:rsidRPr="00A87029" w14:paraId="117D2EC6" w14:textId="77777777" w:rsidTr="00E33765">
        <w:trPr>
          <w:trHeight w:val="406"/>
          <w:jc w:val="center"/>
        </w:trPr>
        <w:tc>
          <w:tcPr>
            <w:tcW w:w="1128" w:type="dxa"/>
            <w:vMerge w:val="restart"/>
            <w:tcBorders>
              <w:top w:val="single" w:sz="2" w:space="0" w:color="auto"/>
            </w:tcBorders>
            <w:vAlign w:val="center"/>
          </w:tcPr>
          <w:p w14:paraId="0B5A49ED" w14:textId="77777777" w:rsidR="00787403" w:rsidRPr="00E33765" w:rsidRDefault="00CB5B43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GDAX</w:t>
            </w:r>
          </w:p>
        </w:tc>
        <w:tc>
          <w:tcPr>
            <w:tcW w:w="988" w:type="dxa"/>
            <w:tcBorders>
              <w:top w:val="single" w:sz="2" w:space="0" w:color="auto"/>
            </w:tcBorders>
            <w:vAlign w:val="bottom"/>
          </w:tcPr>
          <w:p w14:paraId="21D2B861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top w:val="single" w:sz="2" w:space="0" w:color="auto"/>
            </w:tcBorders>
            <w:vAlign w:val="bottom"/>
          </w:tcPr>
          <w:p w14:paraId="2BF82C51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bottom"/>
          </w:tcPr>
          <w:p w14:paraId="6AC8F96A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bottom"/>
          </w:tcPr>
          <w:p w14:paraId="3B15371E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7.5818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14:paraId="37F04B0C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98.4964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14:paraId="187BDA56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 w:rsidRPr="00C62C57">
              <w:rPr>
                <w:lang w:val="en-US"/>
              </w:rPr>
              <w:t>3.98E-06</w:t>
            </w:r>
          </w:p>
        </w:tc>
        <w:tc>
          <w:tcPr>
            <w:tcW w:w="997" w:type="dxa"/>
            <w:tcBorders>
              <w:top w:val="single" w:sz="2" w:space="0" w:color="auto"/>
            </w:tcBorders>
            <w:vAlign w:val="bottom"/>
          </w:tcPr>
          <w:p w14:paraId="6273D9F3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 w:rsidRPr="00C62C57">
              <w:rPr>
                <w:lang w:val="en-US"/>
              </w:rPr>
              <w:t>0.005883</w:t>
            </w:r>
          </w:p>
        </w:tc>
      </w:tr>
      <w:tr w:rsidR="00787403" w:rsidRPr="00A87029" w14:paraId="130C1DAB" w14:textId="77777777" w:rsidTr="00E33765">
        <w:trPr>
          <w:trHeight w:val="406"/>
          <w:jc w:val="center"/>
        </w:trPr>
        <w:tc>
          <w:tcPr>
            <w:tcW w:w="1128" w:type="dxa"/>
            <w:vMerge/>
            <w:vAlign w:val="bottom"/>
          </w:tcPr>
          <w:p w14:paraId="0A782033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3D77F5D5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bottom"/>
          </w:tcPr>
          <w:p w14:paraId="3E1EB3C9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1131" w:type="dxa"/>
            <w:vAlign w:val="bottom"/>
          </w:tcPr>
          <w:p w14:paraId="3AE403D5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0.0005</w:t>
            </w:r>
          </w:p>
        </w:tc>
        <w:tc>
          <w:tcPr>
            <w:tcW w:w="1146" w:type="dxa"/>
            <w:vAlign w:val="bottom"/>
          </w:tcPr>
          <w:p w14:paraId="5873C5BD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7.4403</w:t>
            </w:r>
          </w:p>
        </w:tc>
        <w:tc>
          <w:tcPr>
            <w:tcW w:w="1139" w:type="dxa"/>
            <w:vAlign w:val="bottom"/>
          </w:tcPr>
          <w:p w14:paraId="6C75C8D0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95.334</w:t>
            </w:r>
          </w:p>
        </w:tc>
        <w:tc>
          <w:tcPr>
            <w:tcW w:w="964" w:type="dxa"/>
            <w:vAlign w:val="bottom"/>
          </w:tcPr>
          <w:p w14:paraId="7DA5B5A4" w14:textId="77777777" w:rsidR="00787403" w:rsidRPr="00E33765" w:rsidRDefault="00C62C57" w:rsidP="00C62C57">
            <w:pPr>
              <w:spacing w:line="360" w:lineRule="auto"/>
              <w:jc w:val="center"/>
              <w:rPr>
                <w:lang w:val="en-US"/>
              </w:rPr>
            </w:pPr>
            <w:r w:rsidRPr="00C62C57">
              <w:rPr>
                <w:lang w:val="en-US"/>
              </w:rPr>
              <w:t>7.74E-06</w:t>
            </w:r>
          </w:p>
        </w:tc>
        <w:tc>
          <w:tcPr>
            <w:tcW w:w="997" w:type="dxa"/>
            <w:vAlign w:val="bottom"/>
          </w:tcPr>
          <w:p w14:paraId="59364BF0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0.0109</w:t>
            </w:r>
          </w:p>
        </w:tc>
      </w:tr>
      <w:tr w:rsidR="00787403" w:rsidRPr="00A87029" w14:paraId="559D1882" w14:textId="77777777" w:rsidTr="00E33765">
        <w:trPr>
          <w:trHeight w:val="195"/>
          <w:jc w:val="center"/>
        </w:trPr>
        <w:tc>
          <w:tcPr>
            <w:tcW w:w="1128" w:type="dxa"/>
            <w:vMerge/>
            <w:tcBorders>
              <w:bottom w:val="single" w:sz="2" w:space="0" w:color="auto"/>
            </w:tcBorders>
            <w:vAlign w:val="bottom"/>
          </w:tcPr>
          <w:p w14:paraId="52DAD6AD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bottom w:val="single" w:sz="2" w:space="0" w:color="auto"/>
            </w:tcBorders>
            <w:vAlign w:val="bottom"/>
          </w:tcPr>
          <w:p w14:paraId="306A9579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bottom w:val="single" w:sz="2" w:space="0" w:color="auto"/>
            </w:tcBorders>
            <w:vAlign w:val="bottom"/>
          </w:tcPr>
          <w:p w14:paraId="03F508A5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 w:rsidRPr="007325FD">
              <w:rPr>
                <w:lang w:val="en-US"/>
              </w:rPr>
              <w:t>2.46E-05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bottom"/>
          </w:tcPr>
          <w:p w14:paraId="6A595291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 w:rsidRPr="00C62C57">
              <w:rPr>
                <w:lang w:val="en-US"/>
              </w:rPr>
              <w:t>7.74E-06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vAlign w:val="bottom"/>
          </w:tcPr>
          <w:p w14:paraId="7FC18074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10.7495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bottom"/>
          </w:tcPr>
          <w:p w14:paraId="3D69E50A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179.8329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14:paraId="22849710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bottom w:val="single" w:sz="2" w:space="0" w:color="auto"/>
            </w:tcBorders>
            <w:vAlign w:val="bottom"/>
          </w:tcPr>
          <w:p w14:paraId="53A3FFE7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0.0019</w:t>
            </w:r>
          </w:p>
        </w:tc>
      </w:tr>
      <w:tr w:rsidR="00787403" w:rsidRPr="00A87029" w14:paraId="4ADCA12C" w14:textId="77777777" w:rsidTr="00E33765">
        <w:trPr>
          <w:trHeight w:val="387"/>
          <w:jc w:val="center"/>
        </w:trPr>
        <w:tc>
          <w:tcPr>
            <w:tcW w:w="1128" w:type="dxa"/>
            <w:vMerge w:val="restart"/>
            <w:tcBorders>
              <w:top w:val="single" w:sz="2" w:space="0" w:color="auto"/>
            </w:tcBorders>
            <w:vAlign w:val="center"/>
          </w:tcPr>
          <w:p w14:paraId="06C21A08" w14:textId="77777777" w:rsidR="00787403" w:rsidRPr="00E33765" w:rsidRDefault="00CB5B43" w:rsidP="00CB5B4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SSMI</w:t>
            </w:r>
          </w:p>
        </w:tc>
        <w:tc>
          <w:tcPr>
            <w:tcW w:w="988" w:type="dxa"/>
            <w:tcBorders>
              <w:top w:val="single" w:sz="2" w:space="0" w:color="auto"/>
            </w:tcBorders>
            <w:vAlign w:val="bottom"/>
          </w:tcPr>
          <w:p w14:paraId="5F6D6079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top w:val="single" w:sz="2" w:space="0" w:color="auto"/>
            </w:tcBorders>
            <w:vAlign w:val="bottom"/>
          </w:tcPr>
          <w:p w14:paraId="021AEB4F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 w:rsidRPr="00C62C57">
              <w:rPr>
                <w:lang w:val="en-US"/>
              </w:rPr>
              <w:t>7.74E-06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bottom"/>
          </w:tcPr>
          <w:p w14:paraId="5DC1F802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bottom"/>
          </w:tcPr>
          <w:p w14:paraId="75545B6A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9.5598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14:paraId="4043D78F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160.6302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14:paraId="05B17214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 w:rsidRPr="00C62C57">
              <w:rPr>
                <w:lang w:val="en-US"/>
              </w:rPr>
              <w:t>7.74E-06</w:t>
            </w:r>
          </w:p>
        </w:tc>
        <w:tc>
          <w:tcPr>
            <w:tcW w:w="997" w:type="dxa"/>
            <w:tcBorders>
              <w:top w:val="single" w:sz="2" w:space="0" w:color="auto"/>
            </w:tcBorders>
            <w:vAlign w:val="bottom"/>
          </w:tcPr>
          <w:p w14:paraId="037216AD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0.0041</w:t>
            </w:r>
          </w:p>
        </w:tc>
      </w:tr>
      <w:tr w:rsidR="00787403" w:rsidRPr="00A87029" w14:paraId="134A4546" w14:textId="77777777" w:rsidTr="00E33765">
        <w:trPr>
          <w:trHeight w:val="387"/>
          <w:jc w:val="center"/>
        </w:trPr>
        <w:tc>
          <w:tcPr>
            <w:tcW w:w="1128" w:type="dxa"/>
            <w:vMerge/>
            <w:vAlign w:val="bottom"/>
          </w:tcPr>
          <w:p w14:paraId="0D1FE2EA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1B50DAE4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bottom"/>
          </w:tcPr>
          <w:p w14:paraId="07EA12EE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31" w:type="dxa"/>
            <w:vAlign w:val="bottom"/>
          </w:tcPr>
          <w:p w14:paraId="39E4ED7B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1146" w:type="dxa"/>
            <w:vAlign w:val="bottom"/>
          </w:tcPr>
          <w:p w14:paraId="1E776A4B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9.5541</w:t>
            </w:r>
          </w:p>
        </w:tc>
        <w:tc>
          <w:tcPr>
            <w:tcW w:w="1139" w:type="dxa"/>
            <w:vAlign w:val="bottom"/>
          </w:tcPr>
          <w:p w14:paraId="66357438" w14:textId="77777777" w:rsidR="00787403" w:rsidRPr="00E33765" w:rsidRDefault="00C62C57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158.3333</w:t>
            </w:r>
          </w:p>
        </w:tc>
        <w:tc>
          <w:tcPr>
            <w:tcW w:w="964" w:type="dxa"/>
            <w:vAlign w:val="bottom"/>
          </w:tcPr>
          <w:p w14:paraId="2BB8724B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7" w:type="dxa"/>
            <w:vAlign w:val="bottom"/>
          </w:tcPr>
          <w:p w14:paraId="5E057AF1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0.0079</w:t>
            </w:r>
          </w:p>
        </w:tc>
      </w:tr>
      <w:tr w:rsidR="00787403" w:rsidRPr="00A87029" w14:paraId="53977049" w14:textId="77777777" w:rsidTr="00E33765">
        <w:trPr>
          <w:trHeight w:val="195"/>
          <w:jc w:val="center"/>
        </w:trPr>
        <w:tc>
          <w:tcPr>
            <w:tcW w:w="1128" w:type="dxa"/>
            <w:vMerge/>
            <w:tcBorders>
              <w:bottom w:val="single" w:sz="2" w:space="0" w:color="auto"/>
            </w:tcBorders>
            <w:vAlign w:val="bottom"/>
          </w:tcPr>
          <w:p w14:paraId="23503A1D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8" w:type="dxa"/>
            <w:tcBorders>
              <w:bottom w:val="single" w:sz="2" w:space="0" w:color="auto"/>
            </w:tcBorders>
            <w:vAlign w:val="bottom"/>
          </w:tcPr>
          <w:p w14:paraId="57D24067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bottom w:val="single" w:sz="2" w:space="0" w:color="auto"/>
            </w:tcBorders>
            <w:vAlign w:val="bottom"/>
          </w:tcPr>
          <w:p w14:paraId="37FD8F67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 w:rsidRPr="007325FD">
              <w:rPr>
                <w:lang w:val="en-US"/>
              </w:rPr>
              <w:t>8.02E-06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bottom"/>
          </w:tcPr>
          <w:p w14:paraId="1573300C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 w:rsidRPr="007325FD">
              <w:rPr>
                <w:lang w:val="en-US"/>
              </w:rPr>
              <w:t>2.46E-05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vAlign w:val="bottom"/>
          </w:tcPr>
          <w:p w14:paraId="7F06F6BA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12.4721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bottom"/>
          </w:tcPr>
          <w:p w14:paraId="49342A84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225.2526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14:paraId="714FE7FC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bottom w:val="single" w:sz="2" w:space="0" w:color="auto"/>
            </w:tcBorders>
            <w:vAlign w:val="bottom"/>
          </w:tcPr>
          <w:p w14:paraId="2183AD2E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0.0005</w:t>
            </w:r>
          </w:p>
        </w:tc>
      </w:tr>
      <w:tr w:rsidR="00787403" w:rsidRPr="00A87029" w14:paraId="70828677" w14:textId="77777777" w:rsidTr="00E33765">
        <w:trPr>
          <w:trHeight w:val="387"/>
          <w:jc w:val="center"/>
        </w:trPr>
        <w:tc>
          <w:tcPr>
            <w:tcW w:w="1128" w:type="dxa"/>
            <w:vMerge w:val="restart"/>
            <w:tcBorders>
              <w:top w:val="single" w:sz="2" w:space="0" w:color="auto"/>
            </w:tcBorders>
            <w:vAlign w:val="center"/>
          </w:tcPr>
          <w:p w14:paraId="73BB91A9" w14:textId="77777777" w:rsidR="00787403" w:rsidRPr="00E33765" w:rsidRDefault="00CB5B43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FTMIB</w:t>
            </w:r>
          </w:p>
        </w:tc>
        <w:tc>
          <w:tcPr>
            <w:tcW w:w="988" w:type="dxa"/>
            <w:tcBorders>
              <w:top w:val="single" w:sz="2" w:space="0" w:color="auto"/>
            </w:tcBorders>
            <w:vAlign w:val="bottom"/>
          </w:tcPr>
          <w:p w14:paraId="7DCFE4DF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top w:val="single" w:sz="2" w:space="0" w:color="auto"/>
            </w:tcBorders>
            <w:vAlign w:val="bottom"/>
          </w:tcPr>
          <w:p w14:paraId="2B8C2F2E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vAlign w:val="bottom"/>
          </w:tcPr>
          <w:p w14:paraId="3BFACE67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0.0002</w:t>
            </w:r>
          </w:p>
        </w:tc>
        <w:tc>
          <w:tcPr>
            <w:tcW w:w="1146" w:type="dxa"/>
            <w:tcBorders>
              <w:top w:val="single" w:sz="2" w:space="0" w:color="auto"/>
            </w:tcBorders>
            <w:vAlign w:val="bottom"/>
          </w:tcPr>
          <w:p w14:paraId="1FCD2554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8.6145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14:paraId="1C1DCE2D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137.1389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14:paraId="3E7B52D7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 w:rsidRPr="007325FD">
              <w:rPr>
                <w:lang w:val="en-US"/>
              </w:rPr>
              <w:t>4.65E-06</w:t>
            </w:r>
          </w:p>
        </w:tc>
        <w:tc>
          <w:tcPr>
            <w:tcW w:w="997" w:type="dxa"/>
            <w:tcBorders>
              <w:top w:val="single" w:sz="2" w:space="0" w:color="auto"/>
            </w:tcBorders>
            <w:vAlign w:val="bottom"/>
          </w:tcPr>
          <w:p w14:paraId="1C25C851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0.0052</w:t>
            </w:r>
          </w:p>
        </w:tc>
      </w:tr>
      <w:tr w:rsidR="00787403" w:rsidRPr="00A87029" w14:paraId="00331483" w14:textId="77777777" w:rsidTr="00E33765">
        <w:trPr>
          <w:trHeight w:val="387"/>
          <w:jc w:val="center"/>
        </w:trPr>
        <w:tc>
          <w:tcPr>
            <w:tcW w:w="1128" w:type="dxa"/>
            <w:vMerge/>
            <w:vAlign w:val="bottom"/>
          </w:tcPr>
          <w:p w14:paraId="5A6D8887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371B8247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vAlign w:val="bottom"/>
          </w:tcPr>
          <w:p w14:paraId="3561B277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0.0002</w:t>
            </w:r>
          </w:p>
        </w:tc>
        <w:tc>
          <w:tcPr>
            <w:tcW w:w="1131" w:type="dxa"/>
            <w:vAlign w:val="bottom"/>
          </w:tcPr>
          <w:p w14:paraId="00083C73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1146" w:type="dxa"/>
            <w:vAlign w:val="bottom"/>
          </w:tcPr>
          <w:p w14:paraId="5703CA9D" w14:textId="77777777" w:rsidR="00787403" w:rsidRPr="00E33765" w:rsidRDefault="007325FD" w:rsidP="007325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7.5678</w:t>
            </w:r>
          </w:p>
        </w:tc>
        <w:tc>
          <w:tcPr>
            <w:tcW w:w="1139" w:type="dxa"/>
            <w:vAlign w:val="bottom"/>
          </w:tcPr>
          <w:p w14:paraId="4780C3C6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103.5689</w:t>
            </w:r>
          </w:p>
        </w:tc>
        <w:tc>
          <w:tcPr>
            <w:tcW w:w="964" w:type="dxa"/>
            <w:vAlign w:val="bottom"/>
          </w:tcPr>
          <w:p w14:paraId="31E36922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7" w:type="dxa"/>
            <w:vAlign w:val="bottom"/>
          </w:tcPr>
          <w:p w14:paraId="7C450DE5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0.0081</w:t>
            </w:r>
          </w:p>
        </w:tc>
      </w:tr>
      <w:tr w:rsidR="00787403" w:rsidRPr="00A87029" w14:paraId="3982FD4C" w14:textId="77777777" w:rsidTr="00E33765">
        <w:trPr>
          <w:trHeight w:val="195"/>
          <w:jc w:val="center"/>
        </w:trPr>
        <w:tc>
          <w:tcPr>
            <w:tcW w:w="1128" w:type="dxa"/>
            <w:vMerge/>
            <w:tcBorders>
              <w:bottom w:val="single" w:sz="2" w:space="0" w:color="auto"/>
            </w:tcBorders>
            <w:vAlign w:val="bottom"/>
          </w:tcPr>
          <w:p w14:paraId="42A6A50E" w14:textId="77777777" w:rsidR="00787403" w:rsidRPr="00E33765" w:rsidRDefault="00787403" w:rsidP="00E33765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88" w:type="dxa"/>
            <w:tcBorders>
              <w:bottom w:val="single" w:sz="2" w:space="0" w:color="auto"/>
            </w:tcBorders>
            <w:vAlign w:val="bottom"/>
          </w:tcPr>
          <w:p w14:paraId="0E16DE29" w14:textId="77777777" w:rsidR="00787403" w:rsidRPr="00E33765" w:rsidRDefault="008B522B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23" w:type="dxa"/>
            <w:tcBorders>
              <w:bottom w:val="single" w:sz="2" w:space="0" w:color="auto"/>
            </w:tcBorders>
            <w:vAlign w:val="bottom"/>
          </w:tcPr>
          <w:p w14:paraId="1E55851E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 w:rsidRPr="007325FD">
              <w:rPr>
                <w:lang w:val="en-US"/>
              </w:rPr>
              <w:t>1.51E-05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vAlign w:val="bottom"/>
          </w:tcPr>
          <w:p w14:paraId="51E0888B" w14:textId="77777777" w:rsidR="00787403" w:rsidRPr="00E33765" w:rsidRDefault="007325FD" w:rsidP="007325FD">
            <w:pPr>
              <w:spacing w:line="360" w:lineRule="auto"/>
              <w:jc w:val="center"/>
              <w:rPr>
                <w:lang w:val="en-US"/>
              </w:rPr>
            </w:pPr>
            <w:r w:rsidRPr="007325FD">
              <w:rPr>
                <w:lang w:val="en-US"/>
              </w:rPr>
              <w:t>6.34E-05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vAlign w:val="bottom"/>
          </w:tcPr>
          <w:p w14:paraId="2DE322A0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2</w:t>
            </w:r>
            <w:r w:rsidR="007325FD">
              <w:rPr>
                <w:lang w:val="en-US"/>
              </w:rPr>
              <w:t>2.0206</w:t>
            </w:r>
          </w:p>
        </w:tc>
        <w:tc>
          <w:tcPr>
            <w:tcW w:w="1139" w:type="dxa"/>
            <w:tcBorders>
              <w:bottom w:val="single" w:sz="2" w:space="0" w:color="auto"/>
            </w:tcBorders>
            <w:vAlign w:val="bottom"/>
          </w:tcPr>
          <w:p w14:paraId="7DB41DB3" w14:textId="77777777" w:rsidR="00787403" w:rsidRPr="00E33765" w:rsidRDefault="007325FD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653.0768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14:paraId="01E46A78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0</w:t>
            </w:r>
          </w:p>
        </w:tc>
        <w:tc>
          <w:tcPr>
            <w:tcW w:w="997" w:type="dxa"/>
            <w:tcBorders>
              <w:bottom w:val="single" w:sz="2" w:space="0" w:color="auto"/>
            </w:tcBorders>
            <w:vAlign w:val="bottom"/>
          </w:tcPr>
          <w:p w14:paraId="32D53C9C" w14:textId="77777777" w:rsidR="00787403" w:rsidRPr="00E33765" w:rsidRDefault="00C30835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0.0023</w:t>
            </w:r>
          </w:p>
        </w:tc>
      </w:tr>
    </w:tbl>
    <w:p w14:paraId="713C282B" w14:textId="77777777" w:rsidR="00787403" w:rsidRDefault="00787403" w:rsidP="00787403">
      <w:pPr>
        <w:spacing w:line="360" w:lineRule="auto"/>
      </w:pPr>
    </w:p>
    <w:p w14:paraId="2BDDF87A" w14:textId="77777777" w:rsidR="00787403" w:rsidRPr="00A87029" w:rsidRDefault="00787403" w:rsidP="00787403">
      <w:pPr>
        <w:spacing w:line="360" w:lineRule="auto"/>
        <w:jc w:val="both"/>
        <w:rPr>
          <w:sz w:val="24"/>
          <w:szCs w:val="24"/>
          <w:lang w:val="en-US"/>
        </w:rPr>
      </w:pPr>
    </w:p>
    <w:p w14:paraId="7D9227B9" w14:textId="19C3CB7C" w:rsidR="00334F88" w:rsidRDefault="00334F88" w:rsidP="00655863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 xml:space="preserve">For all </w:t>
      </w:r>
      <w:r w:rsidR="008E1EA8">
        <w:rPr>
          <w:sz w:val="24"/>
          <w:szCs w:val="24"/>
          <w:lang w:val="en-US"/>
        </w:rPr>
        <w:t xml:space="preserve">the </w:t>
      </w:r>
      <w:r w:rsidRPr="00A87029">
        <w:rPr>
          <w:sz w:val="24"/>
          <w:szCs w:val="24"/>
          <w:lang w:val="en-US"/>
        </w:rPr>
        <w:t xml:space="preserve">series, the skewness coefficients differ from zero and are positive, indicating a right-skewed distribution. </w:t>
      </w:r>
      <w:r w:rsidR="008E1EA8">
        <w:rPr>
          <w:sz w:val="24"/>
          <w:szCs w:val="24"/>
          <w:lang w:val="en-US"/>
        </w:rPr>
        <w:t>In addition</w:t>
      </w:r>
      <w:r w:rsidR="006C614D">
        <w:rPr>
          <w:sz w:val="24"/>
          <w:szCs w:val="24"/>
          <w:lang w:val="en-US"/>
        </w:rPr>
        <w:t>, t</w:t>
      </w:r>
      <w:r w:rsidRPr="00A87029">
        <w:rPr>
          <w:sz w:val="24"/>
          <w:szCs w:val="24"/>
          <w:lang w:val="en-US"/>
        </w:rPr>
        <w:t>he excess kurtosis indicates a leptokurtic distribution with values concentrated around the mean and fat tails for all series.</w:t>
      </w:r>
    </w:p>
    <w:p w14:paraId="50DC525F" w14:textId="77777777" w:rsidR="00F34147" w:rsidRDefault="00F34147" w:rsidP="00655863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</w:p>
    <w:tbl>
      <w:tblPr>
        <w:tblStyle w:val="TableGrid"/>
        <w:tblW w:w="9746" w:type="dxa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6A2218" w14:paraId="1C81BAF7" w14:textId="77777777" w:rsidTr="00BD21FA">
        <w:tc>
          <w:tcPr>
            <w:tcW w:w="9746" w:type="dxa"/>
          </w:tcPr>
          <w:p w14:paraId="6B0AE861" w14:textId="77777777" w:rsidR="006A2218" w:rsidRDefault="006A2218" w:rsidP="002813F8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6A2218">
              <w:rPr>
                <w:noProof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39D65A29" wp14:editId="6F4DBCB8">
                  <wp:extent cx="6181725" cy="1971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18" w14:paraId="4D303445" w14:textId="77777777" w:rsidTr="00BD21FA">
        <w:tc>
          <w:tcPr>
            <w:tcW w:w="9746" w:type="dxa"/>
          </w:tcPr>
          <w:p w14:paraId="37EE5499" w14:textId="77777777" w:rsidR="006A2218" w:rsidRDefault="006A2218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6A221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44DD948" wp14:editId="09954B25">
                  <wp:extent cx="6181725" cy="1971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18" w14:paraId="5F04B074" w14:textId="77777777" w:rsidTr="00BD21FA">
        <w:tc>
          <w:tcPr>
            <w:tcW w:w="9746" w:type="dxa"/>
          </w:tcPr>
          <w:p w14:paraId="4D5207DE" w14:textId="77777777" w:rsidR="006A2218" w:rsidRDefault="006A2218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6A221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F706F75" wp14:editId="5770AB00">
                  <wp:extent cx="6181725" cy="1971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1FA" w14:paraId="06D8C505" w14:textId="77777777" w:rsidTr="00BD21FA">
        <w:tc>
          <w:tcPr>
            <w:tcW w:w="9746" w:type="dxa"/>
          </w:tcPr>
          <w:p w14:paraId="6FB827B9" w14:textId="2F0EDA07" w:rsidR="00BD21FA" w:rsidRPr="00BD21FA" w:rsidRDefault="00BD21FA" w:rsidP="00BD21F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Pr="00BD21FA">
              <w:rPr>
                <w:b/>
                <w:bCs/>
                <w:sz w:val="22"/>
                <w:szCs w:val="22"/>
                <w:lang w:val="en-US"/>
              </w:rPr>
              <w:t>Figure 1.</w:t>
            </w:r>
            <w:r w:rsidRPr="00BD21FA">
              <w:rPr>
                <w:sz w:val="22"/>
                <w:szCs w:val="22"/>
                <w:lang w:val="en-US"/>
              </w:rPr>
              <w:t xml:space="preserve"> Realized volatility and its continuous and jump components for the FTSE.</w:t>
            </w:r>
          </w:p>
        </w:tc>
      </w:tr>
    </w:tbl>
    <w:p w14:paraId="166E55E7" w14:textId="77777777" w:rsidR="00655863" w:rsidRPr="00A87029" w:rsidRDefault="00655863" w:rsidP="00C72F97">
      <w:pPr>
        <w:spacing w:line="360" w:lineRule="auto"/>
        <w:jc w:val="center"/>
        <w:rPr>
          <w:sz w:val="24"/>
          <w:szCs w:val="24"/>
          <w:lang w:val="en-US"/>
        </w:rPr>
      </w:pPr>
    </w:p>
    <w:p w14:paraId="21E23611" w14:textId="55C1DD1F" w:rsidR="00F35015" w:rsidRDefault="00783263" w:rsidP="00961799">
      <w:pPr>
        <w:spacing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 xml:space="preserve">Plots of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A87029">
        <w:rPr>
          <w:sz w:val="24"/>
          <w:szCs w:val="24"/>
          <w:lang w:val="en-US"/>
        </w:rPr>
        <w:t xml:space="preserve"> and</w:t>
      </w:r>
      <w:r w:rsidR="00C75156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A87029">
        <w:rPr>
          <w:sz w:val="24"/>
          <w:szCs w:val="24"/>
          <w:lang w:val="en-US"/>
        </w:rPr>
        <w:t xml:space="preserve"> for the </w:t>
      </w:r>
      <w:r w:rsidR="008E1EA8">
        <w:rPr>
          <w:sz w:val="24"/>
          <w:szCs w:val="24"/>
          <w:lang w:val="en-US"/>
        </w:rPr>
        <w:t xml:space="preserve">realized volatility of the </w:t>
      </w:r>
      <w:r w:rsidRPr="00A87029">
        <w:rPr>
          <w:sz w:val="24"/>
          <w:szCs w:val="24"/>
          <w:lang w:val="en-US"/>
        </w:rPr>
        <w:t xml:space="preserve">five </w:t>
      </w:r>
      <w:r w:rsidR="00961799">
        <w:rPr>
          <w:sz w:val="24"/>
          <w:szCs w:val="24"/>
          <w:lang w:val="en-US"/>
        </w:rPr>
        <w:t>stock market indices</w:t>
      </w:r>
      <w:r w:rsidRPr="00A87029">
        <w:rPr>
          <w:sz w:val="24"/>
          <w:szCs w:val="24"/>
          <w:lang w:val="en-US"/>
        </w:rPr>
        <w:t xml:space="preserve"> are illustrated in Figure</w:t>
      </w:r>
      <w:r w:rsidR="00AE52F3">
        <w:rPr>
          <w:sz w:val="24"/>
          <w:szCs w:val="24"/>
          <w:lang w:val="en-US"/>
        </w:rPr>
        <w:t>s</w:t>
      </w:r>
      <w:r w:rsidRPr="00A87029">
        <w:rPr>
          <w:sz w:val="24"/>
          <w:szCs w:val="24"/>
          <w:lang w:val="en-US"/>
        </w:rPr>
        <w:t xml:space="preserve"> 1</w:t>
      </w:r>
      <w:r w:rsidR="008E1EA8">
        <w:rPr>
          <w:sz w:val="24"/>
          <w:szCs w:val="24"/>
          <w:lang w:val="en-US"/>
        </w:rPr>
        <w:t xml:space="preserve"> to </w:t>
      </w:r>
      <w:r w:rsidR="00AE52F3">
        <w:rPr>
          <w:sz w:val="24"/>
          <w:szCs w:val="24"/>
          <w:lang w:val="en-US"/>
        </w:rPr>
        <w:t>5</w:t>
      </w:r>
      <w:r w:rsidRPr="00A87029">
        <w:rPr>
          <w:sz w:val="24"/>
          <w:szCs w:val="24"/>
          <w:lang w:val="en-US"/>
        </w:rPr>
        <w:t xml:space="preserve">. </w:t>
      </w:r>
      <w:r w:rsidR="00AE52F3">
        <w:rPr>
          <w:sz w:val="24"/>
          <w:szCs w:val="24"/>
          <w:lang w:val="en-US"/>
        </w:rPr>
        <w:t>These reveal</w:t>
      </w:r>
      <w:r w:rsidR="00375A8E">
        <w:rPr>
          <w:sz w:val="24"/>
          <w:szCs w:val="24"/>
          <w:lang w:val="en-US"/>
        </w:rPr>
        <w:t xml:space="preserve"> </w:t>
      </w:r>
      <w:r w:rsidR="00AE52F3" w:rsidRPr="00A87029">
        <w:rPr>
          <w:sz w:val="24"/>
          <w:szCs w:val="24"/>
          <w:lang w:val="en-US"/>
        </w:rPr>
        <w:t>significant</w:t>
      </w:r>
      <w:r w:rsidRPr="00A87029">
        <w:rPr>
          <w:sz w:val="24"/>
          <w:szCs w:val="24"/>
          <w:lang w:val="en-US"/>
        </w:rPr>
        <w:t xml:space="preserve"> dynamic dependencies in the series with RV</w:t>
      </w:r>
      <w:r w:rsidR="00AE52F3">
        <w:rPr>
          <w:sz w:val="24"/>
          <w:szCs w:val="24"/>
          <w:lang w:val="en-US"/>
        </w:rPr>
        <w:t>,</w:t>
      </w:r>
      <w:r w:rsidRPr="00A87029">
        <w:rPr>
          <w:sz w:val="24"/>
          <w:szCs w:val="24"/>
          <w:lang w:val="en-US"/>
        </w:rPr>
        <w:t xml:space="preserve"> and the continuous</w:t>
      </w:r>
      <w:r w:rsidR="00375A8E">
        <w:rPr>
          <w:sz w:val="24"/>
          <w:szCs w:val="24"/>
          <w:lang w:val="en-US"/>
        </w:rPr>
        <w:t xml:space="preserve"> </w:t>
      </w:r>
      <w:r w:rsidR="00491539" w:rsidRPr="00A87029">
        <w:rPr>
          <w:sz w:val="24"/>
          <w:szCs w:val="24"/>
          <w:lang w:val="en-US"/>
        </w:rPr>
        <w:t>part appears</w:t>
      </w:r>
      <w:r w:rsidR="00AE52F3">
        <w:rPr>
          <w:sz w:val="24"/>
          <w:szCs w:val="24"/>
          <w:lang w:val="en-US"/>
        </w:rPr>
        <w:t xml:space="preserve"> to be</w:t>
      </w:r>
      <w:r w:rsidRPr="00A87029">
        <w:rPr>
          <w:sz w:val="24"/>
          <w:szCs w:val="24"/>
          <w:lang w:val="en-US"/>
        </w:rPr>
        <w:t xml:space="preserve"> more </w:t>
      </w:r>
      <w:r w:rsidR="00AE52F3">
        <w:rPr>
          <w:sz w:val="24"/>
          <w:szCs w:val="24"/>
          <w:lang w:val="en-US"/>
        </w:rPr>
        <w:t>predictable</w:t>
      </w:r>
      <w:r w:rsidR="00375A8E">
        <w:rPr>
          <w:sz w:val="24"/>
          <w:szCs w:val="24"/>
          <w:lang w:val="en-US"/>
        </w:rPr>
        <w:t xml:space="preserve"> </w:t>
      </w:r>
      <w:r w:rsidRPr="00A87029">
        <w:rPr>
          <w:sz w:val="24"/>
          <w:szCs w:val="24"/>
          <w:lang w:val="en-US"/>
        </w:rPr>
        <w:t xml:space="preserve">than the jump process. </w:t>
      </w:r>
    </w:p>
    <w:p w14:paraId="7E40F806" w14:textId="77777777" w:rsidR="00E27C92" w:rsidRDefault="00E27C92" w:rsidP="00431592">
      <w:pPr>
        <w:spacing w:line="480" w:lineRule="auto"/>
        <w:ind w:firstLine="708"/>
        <w:jc w:val="both"/>
        <w:rPr>
          <w:sz w:val="24"/>
          <w:szCs w:val="24"/>
          <w:lang w:val="en-US"/>
        </w:rPr>
      </w:pPr>
    </w:p>
    <w:tbl>
      <w:tblPr>
        <w:tblStyle w:val="TableGrid"/>
        <w:tblW w:w="974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106C91" w14:paraId="1DD179A9" w14:textId="77777777" w:rsidTr="00BD21FA">
        <w:tc>
          <w:tcPr>
            <w:tcW w:w="9746" w:type="dxa"/>
          </w:tcPr>
          <w:p w14:paraId="1D77F3D2" w14:textId="77777777" w:rsidR="00106C91" w:rsidRDefault="00106C91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06C91">
              <w:rPr>
                <w:noProof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185D147E" wp14:editId="45E7D20E">
                  <wp:extent cx="6181725" cy="1971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C91" w14:paraId="768C6AB4" w14:textId="77777777" w:rsidTr="00BD21FA">
        <w:tc>
          <w:tcPr>
            <w:tcW w:w="9746" w:type="dxa"/>
          </w:tcPr>
          <w:p w14:paraId="08350EFB" w14:textId="77777777" w:rsidR="00106C91" w:rsidRDefault="00106C91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06C9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9724A56" wp14:editId="609AAA9E">
                  <wp:extent cx="6219825" cy="186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C91" w14:paraId="39CD42A9" w14:textId="77777777" w:rsidTr="00BD21FA">
        <w:tc>
          <w:tcPr>
            <w:tcW w:w="9746" w:type="dxa"/>
          </w:tcPr>
          <w:p w14:paraId="03E66C16" w14:textId="77777777" w:rsidR="00106C91" w:rsidRDefault="00106C91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06C9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8906663" wp14:editId="46B4A886">
                  <wp:extent cx="6181725" cy="1971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1FA" w14:paraId="66D56D57" w14:textId="77777777" w:rsidTr="00BD21FA">
        <w:tc>
          <w:tcPr>
            <w:tcW w:w="9746" w:type="dxa"/>
          </w:tcPr>
          <w:p w14:paraId="691BB401" w14:textId="67CF07D2" w:rsidR="00BD21FA" w:rsidRPr="00BD21FA" w:rsidRDefault="00BD21FA" w:rsidP="00BD21F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 w:rsidRPr="00BD21FA">
              <w:rPr>
                <w:b/>
                <w:bCs/>
                <w:sz w:val="22"/>
                <w:szCs w:val="22"/>
                <w:lang w:val="en-US"/>
              </w:rPr>
              <w:t>Figure 2.</w:t>
            </w:r>
            <w:r w:rsidRPr="00BD21FA">
              <w:rPr>
                <w:sz w:val="22"/>
                <w:szCs w:val="22"/>
                <w:lang w:val="en-US"/>
              </w:rPr>
              <w:t xml:space="preserve"> Realized volatility and its continuous and jump components for the FCHI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F130A9C" w14:textId="77777777" w:rsidR="00BD21FA" w:rsidRDefault="00BD21FA" w:rsidP="00BD21FA">
      <w:pPr>
        <w:spacing w:line="480" w:lineRule="auto"/>
        <w:ind w:firstLine="708"/>
        <w:jc w:val="both"/>
        <w:rPr>
          <w:sz w:val="24"/>
          <w:szCs w:val="24"/>
          <w:lang w:val="en-US"/>
        </w:rPr>
      </w:pPr>
    </w:p>
    <w:p w14:paraId="2E2B3869" w14:textId="7AC05646" w:rsidR="00890D2D" w:rsidRDefault="00890D2D" w:rsidP="00BD21FA">
      <w:pPr>
        <w:spacing w:line="480" w:lineRule="auto"/>
        <w:ind w:firstLine="708"/>
        <w:jc w:val="both"/>
        <w:rPr>
          <w:sz w:val="24"/>
          <w:szCs w:val="24"/>
          <w:lang w:val="en-US"/>
        </w:rPr>
      </w:pPr>
      <w:r w:rsidRPr="00A87029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different </w:t>
      </w:r>
      <w:r w:rsidRPr="00A87029">
        <w:rPr>
          <w:sz w:val="24"/>
          <w:szCs w:val="24"/>
          <w:lang w:val="en-US"/>
        </w:rPr>
        <w:t xml:space="preserve">jump components take positive values </w:t>
      </w:r>
      <w:r>
        <w:rPr>
          <w:sz w:val="24"/>
          <w:szCs w:val="24"/>
          <w:lang w:val="en-US"/>
        </w:rPr>
        <w:t xml:space="preserve">on an </w:t>
      </w:r>
      <w:r w:rsidRPr="00AD7E58">
        <w:rPr>
          <w:sz w:val="24"/>
          <w:szCs w:val="24"/>
          <w:lang w:val="en-US"/>
        </w:rPr>
        <w:t xml:space="preserve">almost </w:t>
      </w:r>
      <w:r>
        <w:rPr>
          <w:sz w:val="24"/>
          <w:szCs w:val="24"/>
          <w:lang w:val="en-US"/>
        </w:rPr>
        <w:t>daily basis</w:t>
      </w:r>
      <w:r w:rsidRPr="00A87029">
        <w:rPr>
          <w:sz w:val="24"/>
          <w:szCs w:val="24"/>
          <w:lang w:val="en-US"/>
        </w:rPr>
        <w:t>, which contrast</w:t>
      </w:r>
      <w:r>
        <w:rPr>
          <w:sz w:val="24"/>
          <w:szCs w:val="24"/>
          <w:lang w:val="en-US"/>
        </w:rPr>
        <w:t xml:space="preserve">s </w:t>
      </w:r>
      <w:r w:rsidRPr="00AD7E58">
        <w:rPr>
          <w:sz w:val="24"/>
          <w:szCs w:val="24"/>
          <w:lang w:val="en-US"/>
        </w:rPr>
        <w:t>with</w:t>
      </w:r>
      <w:r>
        <w:rPr>
          <w:sz w:val="24"/>
          <w:szCs w:val="24"/>
          <w:lang w:val="en-US"/>
        </w:rPr>
        <w:t xml:space="preserve"> the conventional notion</w:t>
      </w:r>
      <w:r w:rsidRPr="00A87029">
        <w:rPr>
          <w:sz w:val="24"/>
          <w:szCs w:val="24"/>
          <w:lang w:val="en-US"/>
        </w:rPr>
        <w:t xml:space="preserve"> that jumps occur rarely. These jumps seem to </w:t>
      </w:r>
      <w:r>
        <w:rPr>
          <w:sz w:val="24"/>
          <w:szCs w:val="24"/>
          <w:lang w:val="en-US"/>
        </w:rPr>
        <w:t xml:space="preserve">correspond with </w:t>
      </w:r>
      <w:r w:rsidRPr="00A87029">
        <w:rPr>
          <w:sz w:val="24"/>
          <w:szCs w:val="24"/>
          <w:lang w:val="en-US"/>
        </w:rPr>
        <w:t xml:space="preserve">notable events on </w:t>
      </w:r>
      <w:r>
        <w:rPr>
          <w:sz w:val="24"/>
          <w:szCs w:val="24"/>
          <w:lang w:val="en-US"/>
        </w:rPr>
        <w:t>the stock markets</w:t>
      </w:r>
      <w:r w:rsidRPr="00A8702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first common jump coincide</w:t>
      </w:r>
      <w:r w:rsidR="008E1EA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with </w:t>
      </w:r>
      <w:r w:rsidR="008E1EA8">
        <w:rPr>
          <w:sz w:val="24"/>
          <w:szCs w:val="24"/>
          <w:lang w:val="en-US"/>
        </w:rPr>
        <w:t xml:space="preserve">when </w:t>
      </w:r>
      <w:r>
        <w:rPr>
          <w:sz w:val="24"/>
          <w:szCs w:val="24"/>
          <w:lang w:val="en-US"/>
        </w:rPr>
        <w:t>the dot</w:t>
      </w:r>
      <w:r w:rsidRPr="00DE498C">
        <w:rPr>
          <w:sz w:val="24"/>
          <w:szCs w:val="24"/>
          <w:lang w:val="en-US"/>
        </w:rPr>
        <w:t>com bubble</w:t>
      </w:r>
      <w:r>
        <w:rPr>
          <w:sz w:val="24"/>
          <w:szCs w:val="24"/>
          <w:lang w:val="en-US"/>
        </w:rPr>
        <w:t xml:space="preserve">, </w:t>
      </w:r>
      <w:r w:rsidRPr="00DE498C">
        <w:rPr>
          <w:sz w:val="24"/>
          <w:szCs w:val="24"/>
          <w:lang w:val="en-US"/>
        </w:rPr>
        <w:t xml:space="preserve">also known as </w:t>
      </w:r>
      <w:r>
        <w:rPr>
          <w:sz w:val="24"/>
          <w:szCs w:val="24"/>
          <w:lang w:val="en-US"/>
        </w:rPr>
        <w:t>the Internet bubble,</w:t>
      </w:r>
      <w:r w:rsidRPr="00DE498C">
        <w:rPr>
          <w:sz w:val="24"/>
          <w:szCs w:val="24"/>
          <w:lang w:val="en-US"/>
        </w:rPr>
        <w:t xml:space="preserve"> </w:t>
      </w:r>
      <w:r w:rsidR="00C735FF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>reached its peak in March 2000</w:t>
      </w:r>
      <w:r w:rsidR="008E1EA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result</w:t>
      </w:r>
      <w:r w:rsidR="008E1EA8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</w:t>
      </w:r>
      <w:r w:rsidR="008E1EA8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 xml:space="preserve">a huge overvaluation in the </w:t>
      </w:r>
      <w:r w:rsidR="008E1EA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tock market.</w:t>
      </w:r>
    </w:p>
    <w:p w14:paraId="4B1FE717" w14:textId="77777777" w:rsidR="00890D2D" w:rsidRDefault="00890D2D" w:rsidP="000C1B1C">
      <w:pPr>
        <w:spacing w:line="480" w:lineRule="auto"/>
        <w:ind w:firstLine="708"/>
        <w:jc w:val="both"/>
        <w:rPr>
          <w:sz w:val="24"/>
          <w:szCs w:val="24"/>
          <w:lang w:val="en-US"/>
        </w:rPr>
      </w:pPr>
    </w:p>
    <w:p w14:paraId="21F13A1E" w14:textId="77777777" w:rsidR="00F35015" w:rsidRDefault="00F35015" w:rsidP="000C1B1C">
      <w:pPr>
        <w:spacing w:line="480" w:lineRule="auto"/>
        <w:ind w:firstLine="708"/>
        <w:jc w:val="both"/>
        <w:rPr>
          <w:b/>
          <w:noProof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71291" w14:paraId="0700EEDF" w14:textId="77777777" w:rsidTr="00BD21FA">
        <w:tc>
          <w:tcPr>
            <w:tcW w:w="9026" w:type="dxa"/>
          </w:tcPr>
          <w:p w14:paraId="3E4F65CB" w14:textId="77777777" w:rsidR="00E71291" w:rsidRDefault="00E71291" w:rsidP="00987BE5">
            <w:pPr>
              <w:spacing w:after="200" w:line="276" w:lineRule="auto"/>
              <w:rPr>
                <w:noProof/>
                <w:sz w:val="28"/>
                <w:szCs w:val="28"/>
                <w:lang w:val="en-US" w:eastAsia="en-US"/>
              </w:rPr>
            </w:pPr>
            <w:r w:rsidRPr="00E7129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BB1FE3D" wp14:editId="167330AC">
                  <wp:extent cx="6179185" cy="19672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91" w14:paraId="15384BE9" w14:textId="77777777" w:rsidTr="00BD21FA">
        <w:tc>
          <w:tcPr>
            <w:tcW w:w="9026" w:type="dxa"/>
          </w:tcPr>
          <w:p w14:paraId="49D8977C" w14:textId="77777777" w:rsidR="00E71291" w:rsidRDefault="00E71291" w:rsidP="00E71291">
            <w:pPr>
              <w:tabs>
                <w:tab w:val="left" w:pos="1724"/>
              </w:tabs>
              <w:spacing w:after="200" w:line="276" w:lineRule="auto"/>
              <w:rPr>
                <w:noProof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tab/>
            </w:r>
            <w:r w:rsidRPr="00E7129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C1EE709" wp14:editId="28923916">
                  <wp:extent cx="6179185" cy="19672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91" w14:paraId="3E5D5227" w14:textId="77777777" w:rsidTr="00BD21FA">
        <w:tc>
          <w:tcPr>
            <w:tcW w:w="9026" w:type="dxa"/>
          </w:tcPr>
          <w:p w14:paraId="2BC4F7A5" w14:textId="77777777" w:rsidR="00E71291" w:rsidRDefault="00E71291" w:rsidP="00987BE5">
            <w:pPr>
              <w:spacing w:after="200" w:line="276" w:lineRule="auto"/>
              <w:rPr>
                <w:noProof/>
                <w:sz w:val="28"/>
                <w:szCs w:val="28"/>
                <w:lang w:val="en-US" w:eastAsia="en-US"/>
              </w:rPr>
            </w:pPr>
            <w:r w:rsidRPr="00E7129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CA4BB4A" wp14:editId="26B1C580">
                  <wp:extent cx="6179185" cy="196723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1FA" w14:paraId="68D900D5" w14:textId="77777777" w:rsidTr="00BD21FA">
        <w:tc>
          <w:tcPr>
            <w:tcW w:w="9026" w:type="dxa"/>
          </w:tcPr>
          <w:p w14:paraId="0418568D" w14:textId="20626E13" w:rsidR="00BD21FA" w:rsidRPr="00BD21FA" w:rsidRDefault="00BD21FA" w:rsidP="00BD21FA">
            <w:pPr>
              <w:tabs>
                <w:tab w:val="left" w:pos="588"/>
                <w:tab w:val="center" w:pos="4405"/>
              </w:tabs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 w:rsidRPr="00BD21FA">
              <w:rPr>
                <w:b/>
                <w:bCs/>
                <w:sz w:val="22"/>
                <w:szCs w:val="22"/>
                <w:lang w:val="en-US"/>
              </w:rPr>
              <w:t xml:space="preserve">Figure 3. </w:t>
            </w:r>
            <w:r w:rsidRPr="00BD21FA">
              <w:rPr>
                <w:sz w:val="22"/>
                <w:szCs w:val="22"/>
                <w:lang w:val="en-US"/>
              </w:rPr>
              <w:t>Realized volatility and its continuous and jump components for the GDAX.</w:t>
            </w:r>
          </w:p>
          <w:p w14:paraId="6D1F67AB" w14:textId="77777777" w:rsidR="00BD21FA" w:rsidRPr="00E71291" w:rsidRDefault="00BD21FA" w:rsidP="00987BE5">
            <w:pPr>
              <w:spacing w:after="200" w:line="276" w:lineRule="auto"/>
              <w:rPr>
                <w:noProof/>
                <w:sz w:val="28"/>
                <w:szCs w:val="28"/>
                <w:lang w:val="en-US" w:eastAsia="en-US"/>
              </w:rPr>
            </w:pPr>
          </w:p>
        </w:tc>
      </w:tr>
    </w:tbl>
    <w:p w14:paraId="56CE1EA1" w14:textId="77777777" w:rsidR="000C1B1C" w:rsidRDefault="000C1B1C" w:rsidP="00655863">
      <w:pPr>
        <w:spacing w:line="480" w:lineRule="auto"/>
        <w:jc w:val="both"/>
        <w:rPr>
          <w:sz w:val="24"/>
          <w:szCs w:val="24"/>
          <w:lang w:val="en-US"/>
        </w:rPr>
      </w:pPr>
    </w:p>
    <w:p w14:paraId="3C79F396" w14:textId="3C0B883C" w:rsidR="007C6463" w:rsidRPr="007C6463" w:rsidRDefault="00890D2D" w:rsidP="00BD21FA">
      <w:pPr>
        <w:spacing w:line="480" w:lineRule="auto"/>
        <w:ind w:firstLine="708"/>
        <w:rPr>
          <w:sz w:val="24"/>
          <w:szCs w:val="24"/>
          <w:lang w:val="en-US"/>
        </w:rPr>
      </w:pPr>
      <w:r w:rsidRPr="00890D2D">
        <w:rPr>
          <w:sz w:val="24"/>
          <w:szCs w:val="24"/>
          <w:lang w:val="en-US"/>
        </w:rPr>
        <w:lastRenderedPageBreak/>
        <w:t xml:space="preserve">The second common jumps between 2001 and 2002 coincide with fluctuations in the </w:t>
      </w:r>
      <w:r w:rsidR="00DE1359">
        <w:rPr>
          <w:sz w:val="24"/>
          <w:szCs w:val="24"/>
          <w:lang w:val="en-US"/>
        </w:rPr>
        <w:t>f</w:t>
      </w:r>
      <w:r w:rsidRPr="00890D2D">
        <w:rPr>
          <w:sz w:val="24"/>
          <w:szCs w:val="24"/>
          <w:lang w:val="en-US"/>
        </w:rPr>
        <w:t>orex market</w:t>
      </w:r>
      <w:r w:rsidR="00DE1359">
        <w:rPr>
          <w:sz w:val="24"/>
          <w:szCs w:val="24"/>
          <w:lang w:val="en-US"/>
        </w:rPr>
        <w:t xml:space="preserve"> following</w:t>
      </w:r>
      <w:r w:rsidRPr="00890D2D">
        <w:rPr>
          <w:sz w:val="24"/>
          <w:szCs w:val="24"/>
          <w:lang w:val="en-US"/>
        </w:rPr>
        <w:t xml:space="preserve"> the emergence of </w:t>
      </w:r>
      <w:r w:rsidR="00C735FF">
        <w:rPr>
          <w:sz w:val="24"/>
          <w:szCs w:val="24"/>
          <w:lang w:val="en-US"/>
        </w:rPr>
        <w:t xml:space="preserve">the </w:t>
      </w:r>
      <w:r w:rsidRPr="00890D2D">
        <w:rPr>
          <w:sz w:val="24"/>
          <w:szCs w:val="24"/>
          <w:lang w:val="en-US"/>
        </w:rPr>
        <w:t xml:space="preserve">euro and the depreciation of the US dollar. The subprime crisis and the </w:t>
      </w:r>
      <w:r w:rsidR="00DE1359">
        <w:rPr>
          <w:sz w:val="24"/>
          <w:szCs w:val="24"/>
          <w:lang w:val="en-US"/>
        </w:rPr>
        <w:t xml:space="preserve">subsequent </w:t>
      </w:r>
      <w:r w:rsidRPr="00890D2D">
        <w:rPr>
          <w:sz w:val="24"/>
          <w:szCs w:val="24"/>
          <w:lang w:val="en-US"/>
        </w:rPr>
        <w:t xml:space="preserve">sovereign debt crisis </w:t>
      </w:r>
      <w:r w:rsidR="00DE1359">
        <w:rPr>
          <w:sz w:val="24"/>
          <w:szCs w:val="24"/>
          <w:lang w:val="en-US"/>
        </w:rPr>
        <w:t>in</w:t>
      </w:r>
      <w:r w:rsidR="00DE1359" w:rsidRPr="00890D2D">
        <w:rPr>
          <w:sz w:val="24"/>
          <w:szCs w:val="24"/>
          <w:lang w:val="en-US"/>
        </w:rPr>
        <w:t xml:space="preserve"> </w:t>
      </w:r>
      <w:r w:rsidRPr="00890D2D">
        <w:rPr>
          <w:sz w:val="24"/>
          <w:szCs w:val="24"/>
          <w:lang w:val="en-US"/>
        </w:rPr>
        <w:t xml:space="preserve">the Eurozone explain the jumps </w:t>
      </w:r>
      <w:r w:rsidR="00DE1359">
        <w:rPr>
          <w:sz w:val="24"/>
          <w:szCs w:val="24"/>
          <w:lang w:val="en-US"/>
        </w:rPr>
        <w:t>in</w:t>
      </w:r>
      <w:r w:rsidR="00DE1359" w:rsidRPr="00890D2D">
        <w:rPr>
          <w:sz w:val="24"/>
          <w:szCs w:val="24"/>
          <w:lang w:val="en-US"/>
        </w:rPr>
        <w:t xml:space="preserve"> </w:t>
      </w:r>
      <w:r w:rsidRPr="00890D2D">
        <w:rPr>
          <w:sz w:val="24"/>
          <w:szCs w:val="24"/>
          <w:lang w:val="en-US"/>
        </w:rPr>
        <w:t>2008 and 2010.</w:t>
      </w:r>
    </w:p>
    <w:p w14:paraId="038000BB" w14:textId="2F50E2C0" w:rsidR="000C1A83" w:rsidRDefault="007C6463" w:rsidP="00F34147">
      <w:pPr>
        <w:spacing w:line="480" w:lineRule="auto"/>
        <w:jc w:val="both"/>
        <w:rPr>
          <w:sz w:val="24"/>
          <w:szCs w:val="24"/>
          <w:lang w:val="en-US"/>
        </w:rPr>
      </w:pPr>
      <w:r w:rsidRPr="007C6463">
        <w:rPr>
          <w:sz w:val="24"/>
          <w:szCs w:val="24"/>
          <w:lang w:val="en-US"/>
        </w:rPr>
        <w:tab/>
      </w:r>
    </w:p>
    <w:tbl>
      <w:tblPr>
        <w:tblStyle w:val="TableGrid"/>
        <w:tblW w:w="9746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EE5FFA" w14:paraId="450E751C" w14:textId="77777777" w:rsidTr="00BD21FA">
        <w:tc>
          <w:tcPr>
            <w:tcW w:w="9746" w:type="dxa"/>
          </w:tcPr>
          <w:p w14:paraId="60A8C15A" w14:textId="77777777" w:rsidR="00EE5FFA" w:rsidRDefault="00EE5FFA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EE5FF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CF27B25" wp14:editId="4D6B0465">
                  <wp:extent cx="6179185" cy="1967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FFA" w14:paraId="25771825" w14:textId="77777777" w:rsidTr="00BD21FA">
        <w:tc>
          <w:tcPr>
            <w:tcW w:w="9746" w:type="dxa"/>
          </w:tcPr>
          <w:p w14:paraId="56AF7DB9" w14:textId="77777777" w:rsidR="00EE5FFA" w:rsidRDefault="00EE5FFA" w:rsidP="00EE5FF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EE5FF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D947B3F" wp14:editId="6448F095">
                  <wp:extent cx="6179185" cy="19672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FFA" w14:paraId="6A6E6B4B" w14:textId="77777777" w:rsidTr="00BD21FA">
        <w:tc>
          <w:tcPr>
            <w:tcW w:w="9746" w:type="dxa"/>
          </w:tcPr>
          <w:p w14:paraId="64E61988" w14:textId="77777777" w:rsidR="00EE5FFA" w:rsidRDefault="00EE5FFA" w:rsidP="000C1B1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EE5FF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D427605" wp14:editId="59B67B40">
                  <wp:extent cx="6179185" cy="19672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1FA" w14:paraId="3526DE1E" w14:textId="77777777" w:rsidTr="00BD21FA">
        <w:tc>
          <w:tcPr>
            <w:tcW w:w="9746" w:type="dxa"/>
          </w:tcPr>
          <w:p w14:paraId="0EE33CDE" w14:textId="3EA2C459" w:rsidR="00BD21FA" w:rsidRPr="00BD21FA" w:rsidRDefault="00BD21FA" w:rsidP="00BD21FA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Pr="00BD21FA">
              <w:rPr>
                <w:b/>
                <w:bCs/>
                <w:sz w:val="22"/>
                <w:szCs w:val="22"/>
                <w:lang w:val="en-US"/>
              </w:rPr>
              <w:t>Figure 4.</w:t>
            </w:r>
            <w:r w:rsidRPr="00BD21FA">
              <w:rPr>
                <w:sz w:val="22"/>
                <w:szCs w:val="22"/>
                <w:lang w:val="en-US"/>
              </w:rPr>
              <w:t xml:space="preserve"> Realized volatility and its continuous and jump components for the SSMI.</w:t>
            </w:r>
          </w:p>
          <w:p w14:paraId="0ACB5274" w14:textId="77777777" w:rsidR="00BD21FA" w:rsidRPr="00EE5FFA" w:rsidRDefault="00BD21FA" w:rsidP="000C1B1C">
            <w:pPr>
              <w:spacing w:after="200" w:line="276" w:lineRule="auto"/>
              <w:rPr>
                <w:noProof/>
                <w:sz w:val="28"/>
                <w:szCs w:val="28"/>
                <w:lang w:val="en-US" w:eastAsia="en-US"/>
              </w:rPr>
            </w:pPr>
          </w:p>
        </w:tc>
      </w:tr>
    </w:tbl>
    <w:p w14:paraId="4EDCDF6A" w14:textId="21763513" w:rsidR="000C1A83" w:rsidRDefault="00890D2D" w:rsidP="00BD21FA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890D2D">
        <w:rPr>
          <w:sz w:val="24"/>
          <w:szCs w:val="24"/>
          <w:lang w:val="en-US"/>
        </w:rPr>
        <w:lastRenderedPageBreak/>
        <w:t>The different stock market indices incorporate</w:t>
      </w:r>
      <w:r w:rsidR="00DE1359">
        <w:rPr>
          <w:sz w:val="24"/>
          <w:szCs w:val="24"/>
          <w:lang w:val="en-US"/>
        </w:rPr>
        <w:t>d</w:t>
      </w:r>
      <w:r w:rsidRPr="00890D2D">
        <w:rPr>
          <w:sz w:val="24"/>
          <w:szCs w:val="24"/>
          <w:lang w:val="en-US"/>
        </w:rPr>
        <w:t xml:space="preserve"> many international and overseas corporations, </w:t>
      </w:r>
      <w:r w:rsidR="00DE1359">
        <w:rPr>
          <w:sz w:val="24"/>
          <w:szCs w:val="24"/>
          <w:lang w:val="en-US"/>
        </w:rPr>
        <w:t xml:space="preserve">thus </w:t>
      </w:r>
      <w:r w:rsidRPr="00890D2D">
        <w:rPr>
          <w:sz w:val="24"/>
          <w:szCs w:val="24"/>
          <w:lang w:val="en-US"/>
        </w:rPr>
        <w:t>exposing the indices to currency fluctuations and global trends.</w:t>
      </w:r>
    </w:p>
    <w:tbl>
      <w:tblPr>
        <w:tblStyle w:val="TableGrid"/>
        <w:tblW w:w="9746" w:type="dxa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EF68FD" w14:paraId="1510700D" w14:textId="77777777" w:rsidTr="00BD21FA">
        <w:tc>
          <w:tcPr>
            <w:tcW w:w="9746" w:type="dxa"/>
          </w:tcPr>
          <w:p w14:paraId="0A73BC6E" w14:textId="77777777" w:rsidR="00EF68FD" w:rsidRDefault="00EF68FD" w:rsidP="000C1A83">
            <w:pPr>
              <w:spacing w:after="240" w:line="480" w:lineRule="auto"/>
              <w:jc w:val="both"/>
              <w:rPr>
                <w:sz w:val="28"/>
                <w:szCs w:val="28"/>
                <w:lang w:val="en-US"/>
              </w:rPr>
            </w:pPr>
            <w:r w:rsidRPr="00EF68F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A3337F" wp14:editId="37FB6288">
                  <wp:extent cx="6179185" cy="19672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FD" w14:paraId="59A8486E" w14:textId="77777777" w:rsidTr="00BD21FA">
        <w:tc>
          <w:tcPr>
            <w:tcW w:w="9746" w:type="dxa"/>
          </w:tcPr>
          <w:p w14:paraId="32A75D05" w14:textId="77777777" w:rsidR="00EF68FD" w:rsidRDefault="00EF68FD" w:rsidP="000C1A83">
            <w:pPr>
              <w:spacing w:after="240" w:line="480" w:lineRule="auto"/>
              <w:jc w:val="both"/>
              <w:rPr>
                <w:sz w:val="28"/>
                <w:szCs w:val="28"/>
                <w:lang w:val="en-US"/>
              </w:rPr>
            </w:pPr>
            <w:r w:rsidRPr="00EF68F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1FFDB9D" wp14:editId="0F98F892">
                  <wp:extent cx="6179185" cy="19672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FD" w14:paraId="2AF3450D" w14:textId="77777777" w:rsidTr="00BD21FA">
        <w:tc>
          <w:tcPr>
            <w:tcW w:w="9746" w:type="dxa"/>
          </w:tcPr>
          <w:p w14:paraId="27EF85F8" w14:textId="77777777" w:rsidR="00EF68FD" w:rsidRDefault="00EF68FD" w:rsidP="000C1A83">
            <w:pPr>
              <w:spacing w:after="240" w:line="480" w:lineRule="auto"/>
              <w:jc w:val="both"/>
              <w:rPr>
                <w:sz w:val="28"/>
                <w:szCs w:val="28"/>
                <w:lang w:val="en-US"/>
              </w:rPr>
            </w:pPr>
            <w:r w:rsidRPr="00EF68F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A84A70B" wp14:editId="4E093F11">
                  <wp:extent cx="6179185" cy="19672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1FA" w14:paraId="131C8D05" w14:textId="77777777" w:rsidTr="00BD21FA">
        <w:tc>
          <w:tcPr>
            <w:tcW w:w="9746" w:type="dxa"/>
          </w:tcPr>
          <w:p w14:paraId="5D369C71" w14:textId="764B1368" w:rsidR="00BD21FA" w:rsidRPr="00BD21FA" w:rsidRDefault="00BD21FA" w:rsidP="000C1A83">
            <w:pPr>
              <w:spacing w:after="240" w:line="480" w:lineRule="auto"/>
              <w:jc w:val="both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Pr="00BD21FA">
              <w:rPr>
                <w:b/>
                <w:bCs/>
                <w:sz w:val="22"/>
                <w:szCs w:val="22"/>
                <w:lang w:val="en-US"/>
              </w:rPr>
              <w:t>Figure 5.</w:t>
            </w:r>
            <w:r w:rsidRPr="00BD21FA">
              <w:rPr>
                <w:sz w:val="22"/>
                <w:szCs w:val="22"/>
                <w:lang w:val="en-US"/>
              </w:rPr>
              <w:t xml:space="preserve"> Realized volatility and its continuous and jump components for the FTMIB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3AE079B0" w14:textId="77777777" w:rsidR="00BD21FA" w:rsidRDefault="00BD21FA" w:rsidP="000B558C">
      <w:pPr>
        <w:spacing w:before="240" w:after="200" w:line="276" w:lineRule="auto"/>
        <w:rPr>
          <w:b/>
          <w:sz w:val="24"/>
          <w:szCs w:val="24"/>
          <w:lang w:val="en-US"/>
        </w:rPr>
      </w:pPr>
    </w:p>
    <w:p w14:paraId="41133148" w14:textId="39347FD5" w:rsidR="00AA465D" w:rsidRPr="009E1174" w:rsidRDefault="00AD7E58" w:rsidP="000B558C">
      <w:pPr>
        <w:spacing w:before="240" w:after="200" w:line="276" w:lineRule="auto"/>
        <w:rPr>
          <w:sz w:val="24"/>
          <w:szCs w:val="24"/>
          <w:lang w:val="en-US"/>
        </w:rPr>
      </w:pPr>
      <w:r w:rsidRPr="009E1174">
        <w:rPr>
          <w:b/>
          <w:sz w:val="24"/>
          <w:szCs w:val="24"/>
          <w:lang w:val="en-US"/>
        </w:rPr>
        <w:lastRenderedPageBreak/>
        <w:t xml:space="preserve">4. </w:t>
      </w:r>
      <w:r w:rsidR="00AA465D" w:rsidRPr="009E1174">
        <w:rPr>
          <w:b/>
          <w:sz w:val="24"/>
          <w:szCs w:val="24"/>
          <w:lang w:val="en-US"/>
        </w:rPr>
        <w:t>Results</w:t>
      </w:r>
    </w:p>
    <w:p w14:paraId="18567498" w14:textId="4EDED41F" w:rsidR="009507D8" w:rsidRPr="00A87029" w:rsidRDefault="009507D8" w:rsidP="006B4DBB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In this section, we </w:t>
      </w:r>
      <w:r w:rsidR="00960EBD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compare</w:t>
      </w:r>
      <w:r w:rsidR="00D4030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performance of the</w:t>
      </w:r>
      <w:r w:rsidR="00E823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HAR-RV and HAR-RV-CJ mod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els for </w:t>
      </w:r>
      <w:r w:rsidR="00AE52F3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considered </w:t>
      </w:r>
      <w:r w:rsidR="006B4DBB">
        <w:rPr>
          <w:rFonts w:eastAsia="Calibri"/>
          <w:color w:val="auto"/>
          <w:kern w:val="0"/>
          <w:sz w:val="24"/>
          <w:szCs w:val="24"/>
          <w:lang w:val="en-US" w:eastAsia="en-US"/>
        </w:rPr>
        <w:t>stock indices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. We </w:t>
      </w:r>
      <w:r w:rsidR="00D4030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forecast the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last year for each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index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evaluate the prediction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AE52F3">
        <w:rPr>
          <w:rFonts w:eastAsia="Calibri"/>
          <w:color w:val="auto"/>
          <w:kern w:val="0"/>
          <w:sz w:val="24"/>
          <w:szCs w:val="24"/>
          <w:lang w:val="en-US" w:eastAsia="en-US"/>
        </w:rPr>
        <w:t>using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FB29E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Mincer-Zarnowitz regressions.</w:t>
      </w:r>
    </w:p>
    <w:p w14:paraId="47C3B21A" w14:textId="77777777" w:rsidR="00DB2BE6" w:rsidRPr="00A87029" w:rsidRDefault="00D4030C" w:rsidP="00655863">
      <w:pPr>
        <w:spacing w:after="240" w:line="480" w:lineRule="auto"/>
        <w:jc w:val="both"/>
        <w:rPr>
          <w:b/>
          <w:sz w:val="24"/>
          <w:szCs w:val="24"/>
          <w:lang w:val="en-US"/>
        </w:rPr>
      </w:pPr>
      <w:r w:rsidRPr="00A87029">
        <w:rPr>
          <w:b/>
          <w:sz w:val="24"/>
          <w:szCs w:val="24"/>
          <w:lang w:val="en-US"/>
        </w:rPr>
        <w:t>4</w:t>
      </w:r>
      <w:r w:rsidR="008243C7" w:rsidRPr="00A87029">
        <w:rPr>
          <w:b/>
          <w:sz w:val="24"/>
          <w:szCs w:val="24"/>
          <w:lang w:val="en-US"/>
        </w:rPr>
        <w:t>.1</w:t>
      </w:r>
      <w:r w:rsidR="00275BE9">
        <w:rPr>
          <w:b/>
          <w:sz w:val="24"/>
          <w:szCs w:val="24"/>
          <w:lang w:val="en-US"/>
        </w:rPr>
        <w:t>.</w:t>
      </w:r>
      <w:r w:rsidR="008243C7" w:rsidRPr="00A87029">
        <w:rPr>
          <w:b/>
          <w:sz w:val="24"/>
          <w:szCs w:val="24"/>
          <w:lang w:val="en-US"/>
        </w:rPr>
        <w:t xml:space="preserve"> HAR-</w:t>
      </w:r>
      <w:r w:rsidR="00DB2BE6" w:rsidRPr="00A87029">
        <w:rPr>
          <w:b/>
          <w:sz w:val="24"/>
          <w:szCs w:val="24"/>
          <w:lang w:val="en-US"/>
        </w:rPr>
        <w:t>RV vs</w:t>
      </w:r>
      <w:r w:rsidR="00AE52F3">
        <w:rPr>
          <w:b/>
          <w:sz w:val="24"/>
          <w:szCs w:val="24"/>
          <w:lang w:val="en-US"/>
        </w:rPr>
        <w:t>.</w:t>
      </w:r>
      <w:r w:rsidR="00DB2BE6" w:rsidRPr="00A87029">
        <w:rPr>
          <w:b/>
          <w:sz w:val="24"/>
          <w:szCs w:val="24"/>
          <w:lang w:val="en-US"/>
        </w:rPr>
        <w:t xml:space="preserve"> HAR-RV-CJ</w:t>
      </w:r>
    </w:p>
    <w:p w14:paraId="399462D7" w14:textId="63D77276" w:rsidR="000C1A83" w:rsidRDefault="000C1A83" w:rsidP="00025352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ascii="CMR12" w:eastAsia="Calibri" w:hAnsi="CMR12" w:cs="CMR12"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To evaluate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relative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performance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of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HAR-RV and HAR-RV-CJ models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, w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 forecast the last year for each </w:t>
      </w:r>
      <w:r w:rsidR="006B4DBB">
        <w:rPr>
          <w:rFonts w:eastAsia="Calibri"/>
          <w:color w:val="auto"/>
          <w:kern w:val="0"/>
          <w:sz w:val="24"/>
          <w:szCs w:val="24"/>
          <w:lang w:val="en-US" w:eastAsia="en-US"/>
        </w:rPr>
        <w:t>stock index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subsequently</w:t>
      </w:r>
      <w:r w:rsidR="00025352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evaluat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ed this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using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Mincer-Zarnowitz regressions.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Furthermore, w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e focus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ed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on the logarithmic version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of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HAR-RV and HAR-RV-CJ models.</w:t>
      </w:r>
    </w:p>
    <w:p w14:paraId="0CA0B251" w14:textId="69A2EC8F" w:rsidR="000C1B1C" w:rsidRDefault="004B72A2" w:rsidP="00D36F5D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According to the empirical estimates in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T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able 4, w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can </w:t>
      </w:r>
      <w:r w:rsidR="00DE1359">
        <w:rPr>
          <w:sz w:val="24"/>
          <w:szCs w:val="24"/>
          <w:lang w:val="en-US"/>
        </w:rPr>
        <w:t>see</w:t>
      </w:r>
      <w:r w:rsidR="00DE1359" w:rsidRPr="00A870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 the estimated coefficients</w:t>
      </w:r>
      <w:r w:rsidR="000C1A83" w:rsidRPr="00A87029">
        <w:rPr>
          <w:sz w:val="24"/>
          <w:szCs w:val="24"/>
          <w:lang w:val="en-US"/>
        </w:rPr>
        <w:t xml:space="preserve">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of the HAR-RV model </w:t>
      </w:r>
      <w:r w:rsidR="00770B7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and the </w:t>
      </w:r>
      <w:r w:rsidR="00770B7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continuous estimated coef</w:t>
      </w:r>
      <w:r w:rsidR="00770B70">
        <w:rPr>
          <w:rFonts w:eastAsia="Calibri"/>
          <w:color w:val="auto"/>
          <w:kern w:val="0"/>
          <w:sz w:val="24"/>
          <w:szCs w:val="24"/>
          <w:lang w:val="en-US" w:eastAsia="en-US"/>
        </w:rPr>
        <w:t>ficients of the HAR-RV-CJ model</w:t>
      </w:r>
      <w:r w:rsidR="00770B7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for the </w:t>
      </w:r>
      <w:r w:rsidR="006B4DBB">
        <w:rPr>
          <w:rFonts w:eastAsia="Calibri"/>
          <w:color w:val="auto"/>
          <w:kern w:val="0"/>
          <w:sz w:val="24"/>
          <w:szCs w:val="24"/>
          <w:lang w:val="en-US" w:eastAsia="en-US"/>
        </w:rPr>
        <w:t>considered series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are significant with a decreasing magnitude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over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time horizon. The daily impact is greater than the weekly impact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which is 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in turn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greater than the monthly impact. These results 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>agree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with the long </w:t>
      </w:r>
      <w:r w:rsidR="00020D73">
        <w:rPr>
          <w:rFonts w:eastAsia="Calibri"/>
          <w:color w:val="auto"/>
          <w:kern w:val="0"/>
          <w:sz w:val="24"/>
          <w:szCs w:val="24"/>
          <w:lang w:val="en-US" w:eastAsia="en-US"/>
        </w:rPr>
        <w:t>run dependence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property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>describing</w:t>
      </w:r>
      <w:r w:rsidR="000C1A83" w:rsidRPr="00A870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020D73">
        <w:rPr>
          <w:sz w:val="24"/>
          <w:szCs w:val="24"/>
          <w:lang w:val="en-US"/>
        </w:rPr>
        <w:t>stock</w:t>
      </w:r>
      <w:r w:rsidR="000C1A83" w:rsidRPr="00A87029">
        <w:rPr>
          <w:sz w:val="24"/>
          <w:szCs w:val="24"/>
          <w:lang w:val="en-US"/>
        </w:rPr>
        <w:t xml:space="preserve"> realized volatility</w:t>
      </w:r>
      <w:r w:rsidR="00020D73">
        <w:rPr>
          <w:sz w:val="24"/>
          <w:szCs w:val="24"/>
          <w:lang w:val="en-US"/>
        </w:rPr>
        <w:t xml:space="preserve"> indices</w:t>
      </w:r>
      <w:r>
        <w:rPr>
          <w:sz w:val="24"/>
          <w:szCs w:val="24"/>
          <w:lang w:val="en-US"/>
        </w:rPr>
        <w:t xml:space="preserve"> process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 For</w:t>
      </w:r>
      <w:r w:rsidR="00D106A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="00D106A7">
        <w:rPr>
          <w:rFonts w:eastAsia="Calibri"/>
          <w:color w:val="auto"/>
          <w:kern w:val="0"/>
          <w:sz w:val="24"/>
          <w:szCs w:val="24"/>
          <w:lang w:val="en-US" w:eastAsia="en-US"/>
        </w:rPr>
        <w:t>FTSE</w:t>
      </w:r>
      <w:r w:rsidR="00D95FE5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FCHI series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we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found</w:t>
      </w:r>
      <w:r w:rsidR="00DE135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that the </w:t>
      </w:r>
      <w:r w:rsidR="00D95FE5">
        <w:rPr>
          <w:rFonts w:eastAsia="Calibri"/>
          <w:color w:val="auto"/>
          <w:kern w:val="0"/>
          <w:sz w:val="24"/>
          <w:szCs w:val="24"/>
          <w:lang w:val="en-US" w:eastAsia="en-US"/>
        </w:rPr>
        <w:t>week</w:t>
      </w:r>
      <w:r w:rsidR="009B5A78">
        <w:rPr>
          <w:rFonts w:eastAsia="Calibri"/>
          <w:color w:val="auto"/>
          <w:kern w:val="0"/>
          <w:sz w:val="24"/>
          <w:szCs w:val="24"/>
          <w:lang w:val="en-US" w:eastAsia="en-US"/>
        </w:rPr>
        <w:t>l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y coefficient</w:t>
      </w:r>
      <w:r w:rsidR="00D95FE5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corresponding to the jump component</w:t>
      </w:r>
      <w:r w:rsidR="00D95FE5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is significant and </w:t>
      </w:r>
      <w:r w:rsidR="0039133C">
        <w:rPr>
          <w:rFonts w:eastAsia="Calibri"/>
          <w:color w:val="auto"/>
          <w:kern w:val="0"/>
          <w:sz w:val="24"/>
          <w:szCs w:val="24"/>
          <w:lang w:val="en-US" w:eastAsia="en-US"/>
        </w:rPr>
        <w:t>negative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indicat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>ing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that the jumps</w:t>
      </w:r>
      <w:r w:rsidR="00D95FE5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D95FE5" w:rsidRPr="00D95FE5">
        <w:rPr>
          <w:rFonts w:eastAsia="Calibri"/>
          <w:color w:val="000000" w:themeColor="text1"/>
          <w:kern w:val="0"/>
          <w:sz w:val="24"/>
          <w:szCs w:val="24"/>
          <w:lang w:val="en-US" w:eastAsia="en-US"/>
        </w:rPr>
        <w:t>may</w:t>
      </w:r>
      <w:r w:rsidR="000C1A83" w:rsidRPr="00D95FE5">
        <w:rPr>
          <w:rFonts w:eastAsia="Calibri"/>
          <w:color w:val="000000" w:themeColor="text1"/>
          <w:kern w:val="0"/>
          <w:sz w:val="24"/>
          <w:szCs w:val="24"/>
          <w:lang w:val="en-US" w:eastAsia="en-US"/>
        </w:rPr>
        <w:t xml:space="preserve"> tend to </w:t>
      </w:r>
      <w:r w:rsidR="0039133C">
        <w:rPr>
          <w:rFonts w:eastAsia="Calibri"/>
          <w:color w:val="000000" w:themeColor="text1"/>
          <w:kern w:val="0"/>
          <w:sz w:val="24"/>
          <w:szCs w:val="24"/>
          <w:lang w:val="en-US" w:eastAsia="en-US"/>
        </w:rPr>
        <w:t>decr</w:t>
      </w:r>
      <w:r w:rsidR="0039133C" w:rsidRPr="00D95FE5">
        <w:rPr>
          <w:rFonts w:eastAsia="Calibri"/>
          <w:color w:val="000000" w:themeColor="text1"/>
          <w:kern w:val="0"/>
          <w:sz w:val="24"/>
          <w:szCs w:val="24"/>
          <w:lang w:val="en-US" w:eastAsia="en-US"/>
        </w:rPr>
        <w:t>ease</w:t>
      </w:r>
      <w:r w:rsidR="0039133C">
        <w:rPr>
          <w:rFonts w:eastAsia="Calibri"/>
          <w:color w:val="000000" w:themeColor="text1"/>
          <w:kern w:val="0"/>
          <w:sz w:val="24"/>
          <w:szCs w:val="24"/>
          <w:lang w:val="en-US" w:eastAsia="en-US"/>
        </w:rPr>
        <w:t xml:space="preserve"> </w:t>
      </w:r>
      <w:r w:rsidR="000C1A83" w:rsidRPr="00D95FE5">
        <w:rPr>
          <w:rFonts w:eastAsia="Calibri"/>
          <w:color w:val="000000" w:themeColor="text1"/>
          <w:kern w:val="0"/>
          <w:sz w:val="24"/>
          <w:szCs w:val="24"/>
          <w:lang w:val="en-US" w:eastAsia="en-US"/>
        </w:rPr>
        <w:t xml:space="preserve">future volatility </w:t>
      </w:r>
      <w:r w:rsidR="00296CB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and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its persistence</w:t>
      </w:r>
      <w:r w:rsidR="00D95FE5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and this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is consistent with the results </w:t>
      </w:r>
      <w:r w:rsidR="000C1A83">
        <w:rPr>
          <w:rFonts w:eastAsia="Calibri"/>
          <w:color w:val="auto"/>
          <w:kern w:val="0"/>
          <w:sz w:val="24"/>
          <w:szCs w:val="24"/>
          <w:lang w:val="en-US" w:eastAsia="en-US"/>
        </w:rPr>
        <w:t>of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Andersen et al. (2007). For </w:t>
      </w:r>
      <w:r w:rsidR="000F58A2">
        <w:rPr>
          <w:rFonts w:eastAsia="Calibri"/>
          <w:color w:val="auto"/>
          <w:kern w:val="0"/>
          <w:sz w:val="24"/>
          <w:szCs w:val="24"/>
          <w:lang w:val="en-US" w:eastAsia="en-US"/>
        </w:rPr>
        <w:t>the GDAX, SSMI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,</w:t>
      </w:r>
      <w:r w:rsidR="000F58A2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and FTMIB series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we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see</w:t>
      </w:r>
      <w:r w:rsidR="00DE135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0F58A2">
        <w:rPr>
          <w:rFonts w:eastAsia="Calibri"/>
          <w:color w:val="auto"/>
          <w:kern w:val="0"/>
          <w:sz w:val="24"/>
          <w:szCs w:val="24"/>
          <w:lang w:val="en-US" w:eastAsia="en-US"/>
        </w:rPr>
        <w:t>that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parameters correspond</w:t>
      </w:r>
      <w:r w:rsidR="000F58A2">
        <w:rPr>
          <w:rFonts w:eastAsia="Calibri"/>
          <w:color w:val="auto"/>
          <w:kern w:val="0"/>
          <w:sz w:val="24"/>
          <w:szCs w:val="24"/>
          <w:lang w:val="en-US" w:eastAsia="en-US"/>
        </w:rPr>
        <w:t>ing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to the jump component</w:t>
      </w:r>
      <w:r w:rsidR="000F58A2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are not significant, indicating </w:t>
      </w:r>
      <w:r w:rsidR="00F164C1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dominance </w:t>
      </w:r>
      <w:r w:rsidR="00F164C1">
        <w:rPr>
          <w:rFonts w:eastAsia="Calibri"/>
          <w:color w:val="auto"/>
          <w:kern w:val="0"/>
          <w:sz w:val="24"/>
          <w:szCs w:val="24"/>
          <w:lang w:val="en-US" w:eastAsia="en-US"/>
        </w:rPr>
        <w:t>of</w:t>
      </w:r>
      <w:r w:rsidR="000C1A83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continuous part.</w:t>
      </w:r>
      <w:r w:rsidR="000C1A83" w:rsidRPr="00A87029">
        <w:rPr>
          <w:sz w:val="24"/>
          <w:szCs w:val="24"/>
          <w:lang w:val="en-US"/>
        </w:rPr>
        <w:t xml:space="preserve"> </w:t>
      </w:r>
      <w:r w:rsidR="00DE1359">
        <w:rPr>
          <w:sz w:val="24"/>
          <w:szCs w:val="24"/>
          <w:lang w:val="en-US"/>
        </w:rPr>
        <w:t>W</w:t>
      </w:r>
      <w:r w:rsidR="0039133C">
        <w:rPr>
          <w:sz w:val="24"/>
          <w:szCs w:val="24"/>
          <w:lang w:val="en-US"/>
        </w:rPr>
        <w:t>e can</w:t>
      </w:r>
      <w:r w:rsidR="00DE1359">
        <w:rPr>
          <w:sz w:val="24"/>
          <w:szCs w:val="24"/>
          <w:lang w:val="en-US"/>
        </w:rPr>
        <w:t xml:space="preserve"> therefore</w:t>
      </w:r>
      <w:r w:rsidR="0039133C">
        <w:rPr>
          <w:sz w:val="24"/>
          <w:szCs w:val="24"/>
          <w:lang w:val="en-US"/>
        </w:rPr>
        <w:t xml:space="preserve"> assume that most of the jump coefficient estimates are insignificant</w:t>
      </w:r>
      <w:r w:rsidR="00832FF5">
        <w:rPr>
          <w:sz w:val="24"/>
          <w:szCs w:val="24"/>
          <w:lang w:val="en-US"/>
        </w:rPr>
        <w:t xml:space="preserve">, indicating the poor predictive </w:t>
      </w:r>
      <w:r w:rsidR="00DE1359">
        <w:rPr>
          <w:sz w:val="24"/>
          <w:szCs w:val="24"/>
          <w:lang w:val="en-US"/>
        </w:rPr>
        <w:t xml:space="preserve">potential </w:t>
      </w:r>
      <w:r w:rsidR="00832FF5">
        <w:rPr>
          <w:sz w:val="24"/>
          <w:szCs w:val="24"/>
          <w:lang w:val="en-US"/>
        </w:rPr>
        <w:t>of jump</w:t>
      </w:r>
      <w:r w:rsidR="00DE1359">
        <w:rPr>
          <w:sz w:val="24"/>
          <w:szCs w:val="24"/>
          <w:lang w:val="en-US"/>
        </w:rPr>
        <w:t>s</w:t>
      </w:r>
      <w:r w:rsidR="0039133C">
        <w:rPr>
          <w:sz w:val="24"/>
          <w:szCs w:val="24"/>
          <w:lang w:val="en-US"/>
        </w:rPr>
        <w:t>.</w:t>
      </w:r>
      <w:r w:rsidR="00D36F5D">
        <w:rPr>
          <w:sz w:val="24"/>
          <w:szCs w:val="24"/>
          <w:lang w:val="en-US"/>
        </w:rPr>
        <w:t xml:space="preserve"> </w:t>
      </w:r>
      <w:r w:rsidR="00DE1359">
        <w:rPr>
          <w:sz w:val="24"/>
          <w:szCs w:val="24"/>
          <w:lang w:val="en-US"/>
        </w:rPr>
        <w:t>Indeed</w:t>
      </w:r>
      <w:r w:rsidR="00D36F5D">
        <w:rPr>
          <w:sz w:val="24"/>
          <w:szCs w:val="24"/>
          <w:lang w:val="en-US"/>
        </w:rPr>
        <w:t xml:space="preserve">, </w:t>
      </w:r>
      <w:r w:rsidR="00D36F5D" w:rsidRPr="00D36F5D">
        <w:rPr>
          <w:sz w:val="24"/>
          <w:szCs w:val="24"/>
          <w:lang w:val="en-US"/>
        </w:rPr>
        <w:t xml:space="preserve">the predictability in the HAR-RV realized volatility </w:t>
      </w:r>
      <w:r w:rsidR="00D36F5D">
        <w:rPr>
          <w:sz w:val="24"/>
          <w:szCs w:val="24"/>
          <w:lang w:val="en-US"/>
        </w:rPr>
        <w:t>model</w:t>
      </w:r>
      <w:r w:rsidR="00D36F5D" w:rsidRPr="00D36F5D">
        <w:rPr>
          <w:sz w:val="24"/>
          <w:szCs w:val="24"/>
          <w:lang w:val="en-US"/>
        </w:rPr>
        <w:t xml:space="preserve"> is</w:t>
      </w:r>
      <w:r w:rsidR="00D36F5D">
        <w:rPr>
          <w:sz w:val="24"/>
          <w:szCs w:val="24"/>
          <w:lang w:val="en-US"/>
        </w:rPr>
        <w:t xml:space="preserve"> </w:t>
      </w:r>
      <w:r w:rsidR="00DE1359">
        <w:rPr>
          <w:sz w:val="24"/>
          <w:szCs w:val="24"/>
          <w:lang w:val="en-US"/>
        </w:rPr>
        <w:t>likely to be largely</w:t>
      </w:r>
      <w:r w:rsidR="00DE1359" w:rsidRPr="00D36F5D">
        <w:rPr>
          <w:sz w:val="24"/>
          <w:szCs w:val="24"/>
          <w:lang w:val="en-US"/>
        </w:rPr>
        <w:t xml:space="preserve"> </w:t>
      </w:r>
      <w:r w:rsidR="00D36F5D" w:rsidRPr="00D36F5D">
        <w:rPr>
          <w:sz w:val="24"/>
          <w:szCs w:val="24"/>
          <w:lang w:val="en-US"/>
        </w:rPr>
        <w:t>due to the continuous sample path components.</w:t>
      </w:r>
      <w:r w:rsidR="00E57936">
        <w:rPr>
          <w:sz w:val="24"/>
          <w:szCs w:val="24"/>
          <w:lang w:val="en-US"/>
        </w:rPr>
        <w:t xml:space="preserve"> </w:t>
      </w:r>
    </w:p>
    <w:p w14:paraId="4D17B89D" w14:textId="77777777" w:rsidR="00F34147" w:rsidRDefault="00F34147" w:rsidP="00D36F5D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</w:p>
    <w:p w14:paraId="22124936" w14:textId="77777777" w:rsidR="00F34147" w:rsidRDefault="00F34147" w:rsidP="00D36F5D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</w:p>
    <w:p w14:paraId="328F5EDB" w14:textId="77777777" w:rsidR="00F34147" w:rsidRDefault="00F34147" w:rsidP="00D36F5D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</w:p>
    <w:p w14:paraId="0BE58999" w14:textId="2A5A0C68" w:rsidR="00787403" w:rsidRDefault="00787403" w:rsidP="00C72F97">
      <w:pPr>
        <w:spacing w:after="200" w:line="276" w:lineRule="auto"/>
        <w:rPr>
          <w:rFonts w:ascii="CMR10" w:eastAsia="Calibri" w:hAnsi="CMR10" w:cs="CMR10"/>
          <w:color w:val="auto"/>
          <w:kern w:val="0"/>
          <w:sz w:val="22"/>
          <w:szCs w:val="22"/>
          <w:lang w:val="en-US" w:eastAsia="en-US"/>
        </w:rPr>
      </w:pPr>
      <w:r w:rsidRPr="00A87029">
        <w:rPr>
          <w:b/>
          <w:sz w:val="22"/>
          <w:szCs w:val="22"/>
          <w:lang w:val="en-US"/>
        </w:rPr>
        <w:t>Table 2</w:t>
      </w:r>
      <w:r>
        <w:rPr>
          <w:b/>
          <w:sz w:val="22"/>
          <w:szCs w:val="22"/>
          <w:lang w:val="en-US"/>
        </w:rPr>
        <w:t>.</w:t>
      </w:r>
      <w:r w:rsidR="00DE1359">
        <w:rPr>
          <w:b/>
          <w:sz w:val="22"/>
          <w:szCs w:val="22"/>
          <w:lang w:val="en-US"/>
        </w:rPr>
        <w:t xml:space="preserve"> </w:t>
      </w:r>
      <w:r w:rsidRPr="00A87029">
        <w:rPr>
          <w:rFonts w:ascii="CMR10" w:eastAsia="Calibri" w:hAnsi="CMR10" w:cs="CMR10"/>
          <w:color w:val="auto"/>
          <w:kern w:val="0"/>
          <w:sz w:val="22"/>
          <w:szCs w:val="22"/>
          <w:lang w:val="en-US" w:eastAsia="en-US"/>
        </w:rPr>
        <w:t xml:space="preserve">Estimation results </w:t>
      </w:r>
      <w:r w:rsidR="00DE1359">
        <w:rPr>
          <w:rFonts w:ascii="CMR10" w:eastAsia="Calibri" w:hAnsi="CMR10" w:cs="CMR10"/>
          <w:color w:val="auto"/>
          <w:kern w:val="0"/>
          <w:sz w:val="22"/>
          <w:szCs w:val="22"/>
          <w:lang w:val="en-US" w:eastAsia="en-US"/>
        </w:rPr>
        <w:t>for</w:t>
      </w:r>
      <w:r w:rsidR="00DE1359" w:rsidRPr="00A87029">
        <w:rPr>
          <w:rFonts w:ascii="CMR10" w:eastAsia="Calibri" w:hAnsi="CMR10" w:cs="CMR10"/>
          <w:color w:val="auto"/>
          <w:kern w:val="0"/>
          <w:sz w:val="22"/>
          <w:szCs w:val="22"/>
          <w:lang w:val="en-US" w:eastAsia="en-US"/>
        </w:rPr>
        <w:t xml:space="preserve"> </w:t>
      </w:r>
      <w:r>
        <w:rPr>
          <w:rFonts w:ascii="CMR10" w:eastAsia="Calibri" w:hAnsi="CMR10" w:cs="CMR10"/>
          <w:color w:val="auto"/>
          <w:kern w:val="0"/>
          <w:sz w:val="22"/>
          <w:szCs w:val="22"/>
          <w:lang w:val="en-US" w:eastAsia="en-US"/>
        </w:rPr>
        <w:t xml:space="preserve">the </w:t>
      </w:r>
      <w:r w:rsidRPr="00A87029">
        <w:rPr>
          <w:rFonts w:ascii="CMR10" w:eastAsia="Calibri" w:hAnsi="CMR10" w:cs="CMR10"/>
          <w:color w:val="auto"/>
          <w:kern w:val="0"/>
          <w:sz w:val="22"/>
          <w:szCs w:val="22"/>
          <w:lang w:val="en-US" w:eastAsia="en-US"/>
        </w:rPr>
        <w:t>HAR-RV and HAR-RV-CJ models</w:t>
      </w:r>
    </w:p>
    <w:p w14:paraId="7FDC6096" w14:textId="77777777" w:rsidR="00787403" w:rsidRPr="00A87029" w:rsidRDefault="00787403" w:rsidP="00787403">
      <w:pPr>
        <w:spacing w:line="360" w:lineRule="auto"/>
        <w:jc w:val="center"/>
        <w:rPr>
          <w:sz w:val="22"/>
          <w:szCs w:val="22"/>
          <w:lang w:val="en-US"/>
        </w:rPr>
      </w:pPr>
    </w:p>
    <w:p w14:paraId="44724890" w14:textId="77777777" w:rsidR="00787403" w:rsidRPr="00A87029" w:rsidRDefault="00787403" w:rsidP="00787403">
      <w:pPr>
        <w:spacing w:line="360" w:lineRule="auto"/>
        <w:jc w:val="both"/>
        <w:rPr>
          <w:sz w:val="2"/>
          <w:lang w:val="en-US"/>
        </w:rPr>
      </w:pPr>
    </w:p>
    <w:tbl>
      <w:tblPr>
        <w:tblW w:w="983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937"/>
        <w:gridCol w:w="917"/>
        <w:gridCol w:w="917"/>
        <w:gridCol w:w="918"/>
        <w:gridCol w:w="917"/>
        <w:gridCol w:w="918"/>
        <w:gridCol w:w="917"/>
        <w:gridCol w:w="918"/>
        <w:gridCol w:w="917"/>
        <w:gridCol w:w="922"/>
      </w:tblGrid>
      <w:tr w:rsidR="00787403" w:rsidRPr="00A87029" w14:paraId="7F1EA88C" w14:textId="77777777" w:rsidTr="00C96047">
        <w:trPr>
          <w:trHeight w:val="301"/>
          <w:jc w:val="center"/>
        </w:trPr>
        <w:tc>
          <w:tcPr>
            <w:tcW w:w="638" w:type="dxa"/>
            <w:vMerge w:val="restart"/>
          </w:tcPr>
          <w:p w14:paraId="6F568FB5" w14:textId="77777777" w:rsidR="00787403" w:rsidRPr="00E33765" w:rsidRDefault="00787403" w:rsidP="00E3376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3F2F6" w14:textId="77777777" w:rsidR="00787403" w:rsidRPr="00E33765" w:rsidRDefault="00CB5B4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LRV FTSE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CA9E5" w14:textId="77777777" w:rsidR="00787403" w:rsidRPr="00E33765" w:rsidRDefault="00CB5B4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LRV FCHI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EB0ED" w14:textId="77777777" w:rsidR="00787403" w:rsidRPr="00E33765" w:rsidRDefault="00CB5B4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LRV GDAX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63BF5" w14:textId="77777777" w:rsidR="00787403" w:rsidRPr="00E33765" w:rsidRDefault="00CB5B4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LRV SSMI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6E0E6" w14:textId="77777777" w:rsidR="00787403" w:rsidRPr="00E33765" w:rsidRDefault="00CB5B4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LRV FTMIB</w:t>
            </w:r>
          </w:p>
        </w:tc>
      </w:tr>
      <w:tr w:rsidR="00787403" w:rsidRPr="00A87029" w14:paraId="69892125" w14:textId="77777777" w:rsidTr="00C96047">
        <w:trPr>
          <w:trHeight w:val="620"/>
          <w:jc w:val="center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14:paraId="5635109F" w14:textId="77777777" w:rsidR="00787403" w:rsidRPr="00E33765" w:rsidRDefault="00787403" w:rsidP="00E3376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B9713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FA2A6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F7F9E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F848C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D8E1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930D8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380BE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EF4A9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9FC9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A91D4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</w:tr>
      <w:tr w:rsidR="00787403" w:rsidRPr="00471DAF" w14:paraId="230AD7DD" w14:textId="77777777" w:rsidTr="00C96047">
        <w:trPr>
          <w:trHeight w:val="921"/>
          <w:jc w:val="center"/>
        </w:trPr>
        <w:tc>
          <w:tcPr>
            <w:tcW w:w="638" w:type="dxa"/>
            <w:tcBorders>
              <w:top w:val="single" w:sz="4" w:space="0" w:color="auto"/>
              <w:bottom w:val="nil"/>
            </w:tcBorders>
            <w:vAlign w:val="bottom"/>
          </w:tcPr>
          <w:p w14:paraId="4CC96BF2" w14:textId="77777777" w:rsidR="00787403" w:rsidRPr="00471DAF" w:rsidRDefault="00A12CAE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α</m:t>
                </m:r>
              </m:oMath>
            </m:oMathPara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center"/>
          </w:tcPr>
          <w:p w14:paraId="663F0525" w14:textId="77777777" w:rsidR="00787403" w:rsidRPr="00471DAF" w:rsidRDefault="00C967B0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-0.362***</w:t>
            </w:r>
          </w:p>
          <w:p w14:paraId="1AB53B4E" w14:textId="77777777" w:rsidR="00787403" w:rsidRPr="00471DAF" w:rsidRDefault="00A9307E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(</w:t>
            </w:r>
            <w:r w:rsidR="00C967B0" w:rsidRPr="00471DAF">
              <w:rPr>
                <w:sz w:val="16"/>
                <w:szCs w:val="16"/>
                <w:lang w:val="en-US"/>
              </w:rPr>
              <w:t>-4.479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35B0D12A" w14:textId="77777777" w:rsidR="00787403" w:rsidRPr="00471DAF" w:rsidRDefault="00E123CD" w:rsidP="0032555A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-1.044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>**</w:t>
            </w:r>
          </w:p>
          <w:p w14:paraId="5B550A14" w14:textId="77777777" w:rsidR="00787403" w:rsidRPr="00471DAF" w:rsidRDefault="0032555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(</w:t>
            </w:r>
            <w:r w:rsidR="00E123CD">
              <w:rPr>
                <w:sz w:val="16"/>
                <w:szCs w:val="16"/>
                <w:lang w:val="en-US"/>
              </w:rPr>
              <w:t>-9.941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68708897" w14:textId="77777777" w:rsidR="00787403" w:rsidRPr="00471DAF" w:rsidRDefault="00BD35EF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-0.394</w:t>
            </w:r>
            <w:r w:rsidR="006A161F" w:rsidRPr="00471DAF">
              <w:rPr>
                <w:sz w:val="16"/>
                <w:szCs w:val="16"/>
                <w:lang w:val="en-US"/>
              </w:rPr>
              <w:t>**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</w:p>
          <w:p w14:paraId="4034F534" w14:textId="77777777" w:rsidR="00787403" w:rsidRPr="00471DAF" w:rsidRDefault="006A161F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(</w:t>
            </w:r>
            <w:r w:rsidR="00BD35EF" w:rsidRPr="00471DAF">
              <w:rPr>
                <w:sz w:val="16"/>
                <w:szCs w:val="16"/>
                <w:lang w:val="en-US"/>
              </w:rPr>
              <w:t>-4.918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AAF9864" w14:textId="77777777" w:rsidR="00E9348F" w:rsidRPr="00471DAF" w:rsidRDefault="00C368DD" w:rsidP="00E9348F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-1.152</w:t>
            </w:r>
            <w:r w:rsidR="00E9348F" w:rsidRPr="00471DAF">
              <w:rPr>
                <w:sz w:val="16"/>
                <w:szCs w:val="16"/>
                <w:lang w:val="en-US"/>
              </w:rPr>
              <w:t>***</w:t>
            </w:r>
          </w:p>
          <w:p w14:paraId="4D761FA0" w14:textId="77777777" w:rsidR="00787403" w:rsidRPr="00471DAF" w:rsidRDefault="00E9348F" w:rsidP="00E9348F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(</w:t>
            </w:r>
            <w:r w:rsidR="00C368DD" w:rsidRPr="00471DAF">
              <w:rPr>
                <w:sz w:val="16"/>
                <w:szCs w:val="16"/>
                <w:lang w:val="en-US"/>
              </w:rPr>
              <w:t>-12.396</w:t>
            </w:r>
            <w:r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7A81B29" w14:textId="77777777" w:rsidR="00787403" w:rsidRPr="00471DAF" w:rsidRDefault="00933634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-0.365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</w:p>
          <w:p w14:paraId="1726CC2A" w14:textId="77777777" w:rsidR="00787403" w:rsidRPr="00471DAF" w:rsidRDefault="00933634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(-4.689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67319AF" w14:textId="77777777" w:rsidR="00787403" w:rsidRPr="00471DAF" w:rsidRDefault="00787403" w:rsidP="00B5249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</w:t>
            </w:r>
            <w:r w:rsidR="00B52496">
              <w:rPr>
                <w:sz w:val="16"/>
                <w:szCs w:val="16"/>
                <w:lang w:val="en-US"/>
              </w:rPr>
              <w:t>1.017</w:t>
            </w:r>
            <w:r w:rsidRPr="00471DAF">
              <w:rPr>
                <w:sz w:val="16"/>
                <w:szCs w:val="16"/>
                <w:lang w:val="en-US"/>
              </w:rPr>
              <w:t>*</w:t>
            </w:r>
          </w:p>
          <w:p w14:paraId="48AD31C7" w14:textId="77777777" w:rsidR="00787403" w:rsidRPr="00471DAF" w:rsidRDefault="00B52496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(-9.081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375B8C04" w14:textId="77777777" w:rsidR="00787403" w:rsidRPr="00471DAF" w:rsidRDefault="00EE5FF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-0.404**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</w:p>
          <w:p w14:paraId="4E173E6F" w14:textId="77777777" w:rsidR="00787403" w:rsidRPr="00471DAF" w:rsidRDefault="00EE5FF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(-5.051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6CC2FF04" w14:textId="77777777" w:rsidR="00787403" w:rsidRPr="00471DAF" w:rsidRDefault="00787403" w:rsidP="006C22ED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</w:t>
            </w:r>
            <w:r w:rsidR="006C22ED">
              <w:rPr>
                <w:sz w:val="16"/>
                <w:szCs w:val="16"/>
                <w:lang w:val="en-US"/>
              </w:rPr>
              <w:t>1.193</w:t>
            </w:r>
            <w:r w:rsidRPr="00471DAF">
              <w:rPr>
                <w:sz w:val="16"/>
                <w:szCs w:val="16"/>
                <w:lang w:val="en-US"/>
              </w:rPr>
              <w:t>*</w:t>
            </w:r>
            <w:r w:rsidR="006C22ED">
              <w:rPr>
                <w:sz w:val="16"/>
                <w:szCs w:val="16"/>
                <w:lang w:val="en-US"/>
              </w:rPr>
              <w:t>**</w:t>
            </w:r>
          </w:p>
          <w:p w14:paraId="0FBE1C5D" w14:textId="77777777" w:rsidR="00787403" w:rsidRPr="00471DAF" w:rsidRDefault="006C22E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(-9.467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0B52E272" w14:textId="77777777" w:rsidR="00787403" w:rsidRPr="00471DAF" w:rsidRDefault="00806A8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-0.431</w:t>
            </w:r>
            <w:r w:rsidR="00A97775">
              <w:rPr>
                <w:sz w:val="16"/>
                <w:szCs w:val="16"/>
                <w:lang w:val="en-US"/>
              </w:rPr>
              <w:t>***</w:t>
            </w:r>
          </w:p>
          <w:p w14:paraId="05C5EDE8" w14:textId="77777777" w:rsidR="00787403" w:rsidRPr="00471DAF" w:rsidRDefault="00806A8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(-4.909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1544A37E" w14:textId="77777777" w:rsidR="00787403" w:rsidRPr="00471DAF" w:rsidRDefault="007E291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-1.088**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</w:p>
          <w:p w14:paraId="0540D3D2" w14:textId="77777777" w:rsidR="00787403" w:rsidRPr="00471DAF" w:rsidRDefault="007E291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(-10.83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</w:tr>
      <w:tr w:rsidR="00787403" w:rsidRPr="00471DAF" w14:paraId="0CC6719A" w14:textId="77777777" w:rsidTr="00C96047">
        <w:trPr>
          <w:trHeight w:val="601"/>
          <w:jc w:val="center"/>
        </w:trPr>
        <w:tc>
          <w:tcPr>
            <w:tcW w:w="638" w:type="dxa"/>
            <w:tcBorders>
              <w:top w:val="nil"/>
            </w:tcBorders>
            <w:vAlign w:val="bottom"/>
          </w:tcPr>
          <w:p w14:paraId="7207F214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tcBorders>
              <w:top w:val="nil"/>
            </w:tcBorders>
            <w:vAlign w:val="bottom"/>
          </w:tcPr>
          <w:p w14:paraId="35DEDD55" w14:textId="77777777" w:rsidR="00787403" w:rsidRPr="00471DAF" w:rsidRDefault="00A9307E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C967B0" w:rsidRPr="00471DAF">
              <w:rPr>
                <w:sz w:val="16"/>
                <w:szCs w:val="16"/>
                <w:lang w:val="en-US"/>
              </w:rPr>
              <w:t>426</w:t>
            </w:r>
            <w:r w:rsidRPr="00471DAF">
              <w:rPr>
                <w:sz w:val="16"/>
                <w:szCs w:val="16"/>
                <w:lang w:val="en-US"/>
              </w:rPr>
              <w:t>*** (</w:t>
            </w:r>
            <w:r w:rsidR="00C967B0" w:rsidRPr="00471DAF">
              <w:rPr>
                <w:sz w:val="16"/>
                <w:szCs w:val="16"/>
                <w:lang w:val="en-US"/>
              </w:rPr>
              <w:t>29</w:t>
            </w:r>
            <w:r w:rsidRPr="00471DAF">
              <w:rPr>
                <w:sz w:val="16"/>
                <w:szCs w:val="16"/>
                <w:lang w:val="en-US"/>
              </w:rPr>
              <w:t>.</w:t>
            </w:r>
            <w:r w:rsidR="00C967B0" w:rsidRPr="00471DAF">
              <w:rPr>
                <w:sz w:val="16"/>
                <w:szCs w:val="16"/>
                <w:lang w:val="en-US"/>
              </w:rPr>
              <w:t>526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41DDC74B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743351AC" w14:textId="77777777" w:rsidR="00787403" w:rsidRPr="00471DAF" w:rsidRDefault="006A161F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BD35EF" w:rsidRPr="00471DAF">
              <w:rPr>
                <w:sz w:val="16"/>
                <w:szCs w:val="16"/>
                <w:lang w:val="en-US"/>
              </w:rPr>
              <w:t>448</w:t>
            </w:r>
            <w:r w:rsidRPr="00471DAF">
              <w:rPr>
                <w:sz w:val="16"/>
                <w:szCs w:val="16"/>
                <w:lang w:val="en-US"/>
              </w:rPr>
              <w:t>*** (</w:t>
            </w:r>
            <w:r w:rsidR="00BD35EF" w:rsidRPr="00471DAF">
              <w:rPr>
                <w:sz w:val="16"/>
                <w:szCs w:val="16"/>
                <w:lang w:val="en-US"/>
              </w:rPr>
              <w:t>31.39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6FD133FC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47C4382B" w14:textId="77777777" w:rsidR="00787403" w:rsidRPr="00471DAF" w:rsidRDefault="00933634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0.439*** (30.605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4DAB9992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4B2F489C" w14:textId="77777777" w:rsidR="00787403" w:rsidRPr="00471DAF" w:rsidRDefault="00EE5FF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0.46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>** (31.887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700168F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01244225" w14:textId="77777777" w:rsidR="00787403" w:rsidRPr="00471DAF" w:rsidRDefault="00806A8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0.449*** (30.151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8" w:type="dxa"/>
            <w:vAlign w:val="center"/>
          </w:tcPr>
          <w:p w14:paraId="670A2F53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7403" w:rsidRPr="00471DAF" w14:paraId="17334E16" w14:textId="77777777" w:rsidTr="00C96047">
        <w:trPr>
          <w:trHeight w:val="620"/>
          <w:jc w:val="center"/>
        </w:trPr>
        <w:tc>
          <w:tcPr>
            <w:tcW w:w="638" w:type="dxa"/>
            <w:vAlign w:val="bottom"/>
          </w:tcPr>
          <w:p w14:paraId="3400D5D9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1F18A274" w14:textId="77777777" w:rsidR="00787403" w:rsidRPr="00471DAF" w:rsidRDefault="000F5005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C967B0" w:rsidRPr="00471DAF">
              <w:rPr>
                <w:sz w:val="16"/>
                <w:szCs w:val="16"/>
                <w:lang w:val="en-US"/>
              </w:rPr>
              <w:t>098</w:t>
            </w:r>
            <w:r w:rsidRPr="00471DAF">
              <w:rPr>
                <w:sz w:val="16"/>
                <w:szCs w:val="16"/>
                <w:lang w:val="en-US"/>
              </w:rPr>
              <w:t>*** (</w:t>
            </w:r>
            <w:r w:rsidR="00C967B0" w:rsidRPr="00471DAF">
              <w:rPr>
                <w:sz w:val="16"/>
                <w:szCs w:val="16"/>
                <w:lang w:val="en-US"/>
              </w:rPr>
              <w:t>19</w:t>
            </w:r>
            <w:r w:rsidRPr="00471DAF">
              <w:rPr>
                <w:sz w:val="16"/>
                <w:szCs w:val="16"/>
                <w:lang w:val="en-US"/>
              </w:rPr>
              <w:t>.</w:t>
            </w:r>
            <w:r w:rsidR="00C967B0" w:rsidRPr="00471DAF">
              <w:rPr>
                <w:sz w:val="16"/>
                <w:szCs w:val="16"/>
                <w:lang w:val="en-US"/>
              </w:rPr>
              <w:t>92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0F1CED99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63D3B58F" w14:textId="77777777" w:rsidR="00787403" w:rsidRPr="00471DAF" w:rsidRDefault="00BD35EF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0.097</w:t>
            </w:r>
            <w:r w:rsidR="006A161F" w:rsidRPr="00471DAF">
              <w:rPr>
                <w:sz w:val="16"/>
                <w:szCs w:val="16"/>
                <w:lang w:val="en-US"/>
              </w:rPr>
              <w:t>***</w:t>
            </w:r>
            <w:r w:rsidRPr="00471DAF">
              <w:rPr>
                <w:sz w:val="16"/>
                <w:szCs w:val="16"/>
                <w:lang w:val="en-US"/>
              </w:rPr>
              <w:t xml:space="preserve"> (20.167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4BE92AE1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4B1EE436" w14:textId="77777777" w:rsidR="00787403" w:rsidRPr="00471DAF" w:rsidRDefault="005B166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0.093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>** (19.199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7B25C9B9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73B8C3CD" w14:textId="77777777" w:rsidR="00787403" w:rsidRPr="00471DAF" w:rsidRDefault="00EE5FF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0.099*** (20.706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123C8A95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379D3A6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</w:t>
            </w:r>
            <w:r w:rsidR="00806A8C">
              <w:rPr>
                <w:sz w:val="16"/>
                <w:szCs w:val="16"/>
                <w:lang w:val="en-US"/>
              </w:rPr>
              <w:t>92</w:t>
            </w:r>
            <w:r w:rsidRPr="00471DAF">
              <w:rPr>
                <w:sz w:val="16"/>
                <w:szCs w:val="16"/>
                <w:lang w:val="en-US"/>
              </w:rPr>
              <w:t>*</w:t>
            </w:r>
            <w:r w:rsidR="00806A8C">
              <w:rPr>
                <w:sz w:val="16"/>
                <w:szCs w:val="16"/>
                <w:lang w:val="en-US"/>
              </w:rPr>
              <w:t>** (18.355</w:t>
            </w:r>
            <w:r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8" w:type="dxa"/>
            <w:vAlign w:val="center"/>
          </w:tcPr>
          <w:p w14:paraId="25D5D403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7403" w:rsidRPr="00471DAF" w14:paraId="342A1820" w14:textId="77777777" w:rsidTr="00C96047">
        <w:trPr>
          <w:trHeight w:val="620"/>
          <w:jc w:val="center"/>
        </w:trPr>
        <w:tc>
          <w:tcPr>
            <w:tcW w:w="638" w:type="dxa"/>
            <w:vAlign w:val="bottom"/>
          </w:tcPr>
          <w:p w14:paraId="2647510D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RV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18FD15E6" w14:textId="77777777" w:rsidR="00787403" w:rsidRPr="00471DAF" w:rsidRDefault="000F5005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</w:t>
            </w:r>
            <w:r w:rsidR="00C967B0" w:rsidRPr="00471DAF">
              <w:rPr>
                <w:sz w:val="16"/>
                <w:szCs w:val="16"/>
                <w:lang w:val="en-US"/>
              </w:rPr>
              <w:t>08</w:t>
            </w:r>
            <w:r w:rsidRPr="00471DAF">
              <w:rPr>
                <w:sz w:val="16"/>
                <w:szCs w:val="16"/>
                <w:lang w:val="en-US"/>
              </w:rPr>
              <w:t>*** (</w:t>
            </w:r>
            <w:r w:rsidR="00C967B0" w:rsidRPr="00471DAF">
              <w:rPr>
                <w:sz w:val="16"/>
                <w:szCs w:val="16"/>
                <w:lang w:val="en-US"/>
              </w:rPr>
              <w:t>8.371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403DD88B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1FA92AFC" w14:textId="77777777" w:rsidR="00787403" w:rsidRPr="00471DAF" w:rsidRDefault="006A161F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</w:t>
            </w:r>
            <w:r w:rsidR="00BD35EF" w:rsidRPr="00471DAF">
              <w:rPr>
                <w:sz w:val="16"/>
                <w:szCs w:val="16"/>
                <w:lang w:val="en-US"/>
              </w:rPr>
              <w:t>07</w:t>
            </w:r>
            <w:r w:rsidRPr="00471DAF">
              <w:rPr>
                <w:sz w:val="16"/>
                <w:szCs w:val="16"/>
                <w:lang w:val="en-US"/>
              </w:rPr>
              <w:t>*** (</w:t>
            </w:r>
            <w:r w:rsidR="00BD35EF" w:rsidRPr="00471DAF">
              <w:rPr>
                <w:sz w:val="16"/>
                <w:szCs w:val="16"/>
                <w:lang w:val="en-US"/>
              </w:rPr>
              <w:t>7.26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37E2BAE6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1028C99F" w14:textId="77777777" w:rsidR="00787403" w:rsidRPr="00471DAF" w:rsidRDefault="005B166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0.008*** (8.536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07CB97DB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288D5DCA" w14:textId="77777777" w:rsidR="00787403" w:rsidRPr="00471DAF" w:rsidRDefault="00EE5FF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0.005*** (6.341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5253CED2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74323038" w14:textId="77777777" w:rsidR="00787403" w:rsidRPr="00471DAF" w:rsidRDefault="00806A8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0.008*** (7.787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8" w:type="dxa"/>
            <w:vAlign w:val="center"/>
          </w:tcPr>
          <w:p w14:paraId="4470BDB1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7403" w:rsidRPr="00471DAF" w14:paraId="4808EB59" w14:textId="77777777" w:rsidTr="00C96047">
        <w:trPr>
          <w:trHeight w:val="620"/>
          <w:jc w:val="center"/>
        </w:trPr>
        <w:tc>
          <w:tcPr>
            <w:tcW w:w="638" w:type="dxa"/>
            <w:vAlign w:val="bottom"/>
          </w:tcPr>
          <w:p w14:paraId="4DEC61E2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00740847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7E6E31DA" w14:textId="77777777" w:rsidR="00787403" w:rsidRPr="00471DAF" w:rsidRDefault="0032555A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E123CD">
              <w:rPr>
                <w:sz w:val="16"/>
                <w:szCs w:val="16"/>
                <w:lang w:val="en-US"/>
              </w:rPr>
              <w:t>44</w:t>
            </w:r>
            <w:r w:rsidRPr="00471DAF">
              <w:rPr>
                <w:sz w:val="16"/>
                <w:szCs w:val="16"/>
                <w:lang w:val="en-US"/>
              </w:rPr>
              <w:t>*** (</w:t>
            </w:r>
            <w:r w:rsidR="00907A6B" w:rsidRPr="00471DAF">
              <w:rPr>
                <w:sz w:val="16"/>
                <w:szCs w:val="16"/>
                <w:lang w:val="en-US"/>
              </w:rPr>
              <w:t>2</w:t>
            </w:r>
            <w:r w:rsidR="00E123CD">
              <w:rPr>
                <w:sz w:val="16"/>
                <w:szCs w:val="16"/>
                <w:lang w:val="en-US"/>
              </w:rPr>
              <w:t>8</w:t>
            </w:r>
            <w:r w:rsidR="00907A6B" w:rsidRPr="00471DAF">
              <w:rPr>
                <w:sz w:val="16"/>
                <w:szCs w:val="16"/>
                <w:lang w:val="en-US"/>
              </w:rPr>
              <w:t>.</w:t>
            </w:r>
            <w:r w:rsidR="00E123CD">
              <w:rPr>
                <w:sz w:val="16"/>
                <w:szCs w:val="16"/>
                <w:lang w:val="en-US"/>
              </w:rPr>
              <w:t>873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647B82E3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71592C3B" w14:textId="77777777" w:rsidR="00787403" w:rsidRPr="00471DAF" w:rsidRDefault="00C368D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0.456*** (31.135</w:t>
            </w:r>
            <w:r w:rsidR="00E9348F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0502D79C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59163F08" w14:textId="77777777" w:rsidR="00787403" w:rsidRPr="00471DAF" w:rsidRDefault="009E41B8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0.461*** (30.339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457CFB0F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66B85087" w14:textId="77777777" w:rsidR="00787403" w:rsidRPr="00471DAF" w:rsidRDefault="006C22E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0.46*** (30.523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47F6425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4D5B70F3" w14:textId="77777777" w:rsidR="00787403" w:rsidRPr="00471DAF" w:rsidRDefault="007E291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0.454*** (29.701</w:t>
            </w:r>
            <w:r w:rsidR="00787403" w:rsidRPr="00471DAF">
              <w:rPr>
                <w:sz w:val="16"/>
                <w:szCs w:val="16"/>
                <w:lang w:val="en-US"/>
              </w:rPr>
              <w:t xml:space="preserve">) </w:t>
            </w:r>
          </w:p>
        </w:tc>
      </w:tr>
      <w:tr w:rsidR="00787403" w:rsidRPr="00471DAF" w14:paraId="51D86903" w14:textId="77777777" w:rsidTr="00C96047">
        <w:trPr>
          <w:trHeight w:val="601"/>
          <w:jc w:val="center"/>
        </w:trPr>
        <w:tc>
          <w:tcPr>
            <w:tcW w:w="638" w:type="dxa"/>
            <w:vAlign w:val="bottom"/>
          </w:tcPr>
          <w:p w14:paraId="1939A3B4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5349F938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57EAC876" w14:textId="77777777" w:rsidR="00787403" w:rsidRPr="00471DAF" w:rsidRDefault="0032555A" w:rsidP="00446F5B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E123CD">
              <w:rPr>
                <w:sz w:val="16"/>
                <w:szCs w:val="16"/>
                <w:lang w:val="en-US"/>
              </w:rPr>
              <w:t>097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  <w:r w:rsidR="00907A6B" w:rsidRPr="00471DAF">
              <w:rPr>
                <w:sz w:val="16"/>
                <w:szCs w:val="16"/>
                <w:lang w:val="en-US"/>
              </w:rPr>
              <w:t>**</w:t>
            </w:r>
            <w:r w:rsidR="00787403" w:rsidRPr="00471DAF">
              <w:rPr>
                <w:sz w:val="16"/>
                <w:szCs w:val="16"/>
                <w:lang w:val="en-US"/>
              </w:rPr>
              <w:t xml:space="preserve"> (</w:t>
            </w:r>
            <w:r w:rsidR="00E123CD">
              <w:rPr>
                <w:sz w:val="16"/>
                <w:szCs w:val="16"/>
                <w:lang w:val="en-US"/>
              </w:rPr>
              <w:t>18.652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65193F0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149368BA" w14:textId="77777777" w:rsidR="00787403" w:rsidRPr="00471DAF" w:rsidRDefault="00C368D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0.091</w:t>
            </w:r>
            <w:r w:rsidR="00E9348F" w:rsidRPr="00471DAF">
              <w:rPr>
                <w:sz w:val="16"/>
                <w:szCs w:val="16"/>
                <w:lang w:val="en-US"/>
              </w:rPr>
              <w:t>*</w:t>
            </w:r>
            <w:r w:rsidRPr="00471DAF">
              <w:rPr>
                <w:sz w:val="16"/>
                <w:szCs w:val="16"/>
                <w:lang w:val="en-US"/>
              </w:rPr>
              <w:t>** (18.4</w:t>
            </w:r>
            <w:r w:rsidR="00E9348F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76256D1A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14D76DDE" w14:textId="77777777" w:rsidR="00787403" w:rsidRPr="00471DAF" w:rsidRDefault="009E41B8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0.090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>** (17.299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279E9506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09C7C393" w14:textId="77777777" w:rsidR="00787403" w:rsidRPr="00471DAF" w:rsidRDefault="006C22E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0.098</w:t>
            </w:r>
            <w:r w:rsidR="00787403" w:rsidRPr="00471DAF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>** (19.231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4FA6A150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46875BC5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0.08</w:t>
            </w:r>
            <w:r w:rsidR="00B94198">
              <w:rPr>
                <w:sz w:val="16"/>
                <w:szCs w:val="16"/>
                <w:lang w:val="en-US"/>
              </w:rPr>
              <w:t>9</w:t>
            </w:r>
            <w:r w:rsidRPr="00471DAF">
              <w:rPr>
                <w:sz w:val="16"/>
                <w:szCs w:val="16"/>
                <w:lang w:val="en-US"/>
              </w:rPr>
              <w:t>*</w:t>
            </w:r>
            <w:r w:rsidR="00B94198">
              <w:rPr>
                <w:sz w:val="16"/>
                <w:szCs w:val="16"/>
                <w:lang w:val="en-US"/>
              </w:rPr>
              <w:t>** (17.22</w:t>
            </w:r>
            <w:r w:rsidRPr="00471DAF">
              <w:rPr>
                <w:sz w:val="16"/>
                <w:szCs w:val="16"/>
                <w:lang w:val="en-US"/>
              </w:rPr>
              <w:t>)</w:t>
            </w:r>
          </w:p>
        </w:tc>
      </w:tr>
      <w:tr w:rsidR="00787403" w:rsidRPr="00471DAF" w14:paraId="6BEEB6D7" w14:textId="77777777" w:rsidTr="00C96047">
        <w:trPr>
          <w:trHeight w:val="620"/>
          <w:jc w:val="center"/>
        </w:trPr>
        <w:tc>
          <w:tcPr>
            <w:tcW w:w="638" w:type="dxa"/>
            <w:vAlign w:val="bottom"/>
          </w:tcPr>
          <w:p w14:paraId="764166C3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46103C67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77EA151B" w14:textId="77777777" w:rsidR="00787403" w:rsidRPr="00471DAF" w:rsidRDefault="00E123CD" w:rsidP="0032555A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0.007</w:t>
            </w:r>
            <w:r w:rsidR="0032555A" w:rsidRPr="00471DAF">
              <w:rPr>
                <w:sz w:val="16"/>
                <w:szCs w:val="16"/>
                <w:lang w:val="en-US"/>
              </w:rPr>
              <w:t>**</w:t>
            </w:r>
            <w:r>
              <w:rPr>
                <w:sz w:val="16"/>
                <w:szCs w:val="16"/>
                <w:lang w:val="en-US"/>
              </w:rPr>
              <w:t>*</w:t>
            </w:r>
            <w:r w:rsidR="0032555A" w:rsidRPr="00471DAF">
              <w:rPr>
                <w:sz w:val="16"/>
                <w:szCs w:val="16"/>
                <w:lang w:val="en-US"/>
              </w:rPr>
              <w:t xml:space="preserve"> </w:t>
            </w:r>
            <w:r w:rsidR="00787403" w:rsidRPr="00471DAF">
              <w:rPr>
                <w:sz w:val="16"/>
                <w:szCs w:val="16"/>
                <w:lang w:val="en-US"/>
              </w:rPr>
              <w:t>(</w:t>
            </w:r>
            <w:r w:rsidR="00907A6B" w:rsidRPr="00471DAF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.742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6A3896E8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180223EA" w14:textId="77777777" w:rsidR="00787403" w:rsidRPr="00471DAF" w:rsidRDefault="00C368D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0.007*** (7.017</w:t>
            </w:r>
            <w:r w:rsidR="00E9348F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2528957C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20FB88D8" w14:textId="77777777" w:rsidR="00787403" w:rsidRPr="00471DAF" w:rsidRDefault="009E41B8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0.007*</w:t>
            </w:r>
            <w:r w:rsidR="00E253E5">
              <w:rPr>
                <w:sz w:val="16"/>
                <w:szCs w:val="16"/>
                <w:lang w:val="en-US"/>
              </w:rPr>
              <w:t>**</w:t>
            </w:r>
            <w:r>
              <w:rPr>
                <w:sz w:val="16"/>
                <w:szCs w:val="16"/>
                <w:lang w:val="en-US"/>
              </w:rPr>
              <w:t xml:space="preserve"> (6.794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6CBD954A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40153B62" w14:textId="77777777" w:rsidR="00787403" w:rsidRPr="00471DAF" w:rsidRDefault="006C22E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0.005*** (4.831</w:t>
            </w:r>
            <w:r w:rsidR="00787403" w:rsidRPr="00471DAF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917" w:type="dxa"/>
            <w:vAlign w:val="center"/>
          </w:tcPr>
          <w:p w14:paraId="0993F00D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0B6CE736" w14:textId="77777777" w:rsidR="00787403" w:rsidRPr="00471DAF" w:rsidRDefault="00B94198" w:rsidP="00B94198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0.008*** (7.462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</w:tr>
      <w:tr w:rsidR="00787403" w:rsidRPr="00471DAF" w14:paraId="15C705FF" w14:textId="77777777" w:rsidTr="00C96047">
        <w:trPr>
          <w:trHeight w:val="620"/>
          <w:jc w:val="center"/>
        </w:trPr>
        <w:tc>
          <w:tcPr>
            <w:tcW w:w="638" w:type="dxa"/>
            <w:vAlign w:val="bottom"/>
          </w:tcPr>
          <w:p w14:paraId="3FE94719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7359609F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46DCAC19" w14:textId="77777777" w:rsidR="00907A6B" w:rsidRPr="00471DAF" w:rsidRDefault="00B41115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</w:t>
            </w:r>
            <w:r w:rsidR="00907A6B" w:rsidRPr="00471DAF">
              <w:rPr>
                <w:sz w:val="16"/>
                <w:szCs w:val="16"/>
                <w:lang w:val="en-US"/>
              </w:rPr>
              <w:t>1</w:t>
            </w:r>
            <w:r w:rsidR="00E123CD">
              <w:rPr>
                <w:sz w:val="16"/>
                <w:szCs w:val="16"/>
                <w:lang w:val="en-US"/>
              </w:rPr>
              <w:t>64.57</w:t>
            </w:r>
            <w:r w:rsidRPr="00471DAF">
              <w:rPr>
                <w:sz w:val="16"/>
                <w:szCs w:val="16"/>
                <w:lang w:val="en-US"/>
              </w:rPr>
              <w:t xml:space="preserve"> </w:t>
            </w:r>
          </w:p>
          <w:p w14:paraId="1AC30A22" w14:textId="77777777" w:rsidR="00787403" w:rsidRPr="00471DAF" w:rsidRDefault="00B41115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(</w:t>
            </w:r>
            <w:r w:rsidR="00907A6B" w:rsidRPr="00471DAF">
              <w:rPr>
                <w:sz w:val="16"/>
                <w:szCs w:val="16"/>
                <w:lang w:val="en-US"/>
              </w:rPr>
              <w:t>-0.</w:t>
            </w:r>
            <w:r w:rsidR="00E123CD">
              <w:rPr>
                <w:sz w:val="16"/>
                <w:szCs w:val="16"/>
                <w:lang w:val="en-US"/>
              </w:rPr>
              <w:t>857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47688607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0FEAA5EB" w14:textId="77777777" w:rsidR="00C368DD" w:rsidRPr="00471DAF" w:rsidRDefault="00C368D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-238.695</w:t>
            </w:r>
          </w:p>
          <w:p w14:paraId="37EBE703" w14:textId="77777777" w:rsidR="00787403" w:rsidRPr="00471DAF" w:rsidRDefault="00C368DD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 xml:space="preserve"> (-1.291</w:t>
            </w:r>
            <w:r w:rsidR="00E9348F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700A323B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523600F6" w14:textId="77777777" w:rsidR="00787403" w:rsidRPr="00471DAF" w:rsidRDefault="00E83B6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-116.984</w:t>
            </w:r>
          </w:p>
          <w:p w14:paraId="7CCFBD32" w14:textId="77777777" w:rsidR="00787403" w:rsidRPr="00471DAF" w:rsidRDefault="00E83B6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(-1.039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489A339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5EB99DE3" w14:textId="77777777" w:rsidR="00787403" w:rsidRPr="00471DAF" w:rsidRDefault="00EE6C9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492.778 (1.712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11EB079A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008F5546" w14:textId="77777777" w:rsidR="00787403" w:rsidRPr="00471DAF" w:rsidRDefault="00483C7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83.2 (0.633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</w:tr>
      <w:tr w:rsidR="00787403" w:rsidRPr="00471DAF" w14:paraId="1F952758" w14:textId="77777777" w:rsidTr="00C96047">
        <w:trPr>
          <w:trHeight w:val="620"/>
          <w:jc w:val="center"/>
        </w:trPr>
        <w:tc>
          <w:tcPr>
            <w:tcW w:w="638" w:type="dxa"/>
            <w:vAlign w:val="bottom"/>
          </w:tcPr>
          <w:p w14:paraId="0F3DB785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vAlign w:val="bottom"/>
          </w:tcPr>
          <w:p w14:paraId="4DB62AEA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6099410A" w14:textId="77777777" w:rsidR="009B5A78" w:rsidRPr="00E123CD" w:rsidRDefault="00C9037B" w:rsidP="009B5A78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9B5A78" w:rsidRPr="00E123CD">
              <w:rPr>
                <w:sz w:val="16"/>
                <w:szCs w:val="16"/>
                <w:lang w:val="en-US"/>
              </w:rPr>
              <w:t>73.539**</w:t>
            </w:r>
          </w:p>
          <w:p w14:paraId="7260FFAF" w14:textId="77777777" w:rsidR="00787403" w:rsidRPr="00671389" w:rsidRDefault="00B41115" w:rsidP="009B5A78">
            <w:pPr>
              <w:spacing w:line="360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94236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9B5A78">
              <w:rPr>
                <w:color w:val="000000" w:themeColor="text1"/>
                <w:sz w:val="16"/>
                <w:szCs w:val="16"/>
                <w:lang w:val="en-US"/>
              </w:rPr>
              <w:t>2.348</w:t>
            </w:r>
            <w:r w:rsidR="00E123CD" w:rsidRPr="00094236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0E3DE1BA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77094780" w14:textId="77777777" w:rsidR="00E9348F" w:rsidRPr="00471DAF" w:rsidRDefault="00C9037B" w:rsidP="00E9348F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C368DD" w:rsidRPr="00471DAF">
              <w:rPr>
                <w:sz w:val="16"/>
                <w:szCs w:val="16"/>
                <w:lang w:val="en-US"/>
              </w:rPr>
              <w:t>174.53**</w:t>
            </w:r>
          </w:p>
          <w:p w14:paraId="3A08FCC6" w14:textId="77777777" w:rsidR="00787403" w:rsidRPr="00471DAF" w:rsidRDefault="00C368DD" w:rsidP="00E9348F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 xml:space="preserve"> (2.267</w:t>
            </w:r>
            <w:r w:rsidR="00E9348F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bottom"/>
          </w:tcPr>
          <w:p w14:paraId="05D61AC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bottom"/>
          </w:tcPr>
          <w:p w14:paraId="01CD74B9" w14:textId="77777777" w:rsidR="00787403" w:rsidRPr="00471DAF" w:rsidRDefault="00E83B6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-9.744</w:t>
            </w:r>
          </w:p>
          <w:p w14:paraId="4203946E" w14:textId="77777777" w:rsidR="00787403" w:rsidRPr="00471DAF" w:rsidRDefault="00E83B6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(-0.194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1E6214C9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33C41ED0" w14:textId="77777777" w:rsidR="00EE6C93" w:rsidRDefault="00EE6C9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-90.316</w:t>
            </w:r>
          </w:p>
          <w:p w14:paraId="05DEE975" w14:textId="77777777" w:rsidR="00787403" w:rsidRPr="00471DAF" w:rsidRDefault="00EE6C9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(-0.689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vAlign w:val="center"/>
          </w:tcPr>
          <w:p w14:paraId="53AEE374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Align w:val="center"/>
          </w:tcPr>
          <w:p w14:paraId="7758AA96" w14:textId="77777777" w:rsidR="00787403" w:rsidRPr="00471DAF" w:rsidRDefault="00483C7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20.052 (0.397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</w:tr>
      <w:tr w:rsidR="00787403" w:rsidRPr="00471DAF" w14:paraId="50A4353A" w14:textId="77777777" w:rsidTr="00C96047">
        <w:trPr>
          <w:trHeight w:val="601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38130F58" w14:textId="77777777" w:rsidR="00787403" w:rsidRPr="00471DAF" w:rsidRDefault="008B522B" w:rsidP="00E33765">
            <w:pPr>
              <w:spacing w:line="360" w:lineRule="auto"/>
              <w:jc w:val="center"/>
              <w:rPr>
                <w:b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</m:d>
                  </m:sup>
                </m:sSubSup>
              </m:oMath>
            </m:oMathPara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14:paraId="4E407B89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1AD00512" w14:textId="77777777" w:rsidR="009B5A78" w:rsidRPr="00094236" w:rsidRDefault="009B5A78" w:rsidP="009B5A78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94236">
              <w:rPr>
                <w:color w:val="000000" w:themeColor="text1"/>
                <w:sz w:val="16"/>
                <w:szCs w:val="16"/>
                <w:lang w:val="en-US"/>
              </w:rPr>
              <w:t>-32.499</w:t>
            </w:r>
          </w:p>
          <w:p w14:paraId="395F5643" w14:textId="77777777" w:rsidR="00787403" w:rsidRPr="00471DAF" w:rsidRDefault="009B5A78" w:rsidP="009B5A78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E123CD">
              <w:rPr>
                <w:sz w:val="16"/>
                <w:szCs w:val="16"/>
                <w:lang w:val="en-US"/>
              </w:rPr>
              <w:t>(</w:t>
            </w:r>
            <w:r w:rsidRPr="00094236">
              <w:rPr>
                <w:color w:val="000000" w:themeColor="text1"/>
                <w:sz w:val="16"/>
                <w:szCs w:val="16"/>
                <w:lang w:val="en-US"/>
              </w:rPr>
              <w:t>-0.386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197D1033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6DE32F6B" w14:textId="77777777" w:rsidR="00E9348F" w:rsidRPr="00471DAF" w:rsidRDefault="00E9348F" w:rsidP="00E9348F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 xml:space="preserve">    </w:t>
            </w:r>
            <w:r w:rsidR="00C368DD" w:rsidRPr="00471DAF">
              <w:rPr>
                <w:sz w:val="16"/>
                <w:szCs w:val="16"/>
                <w:lang w:val="en-US"/>
              </w:rPr>
              <w:t>2.7</w:t>
            </w:r>
            <w:r w:rsidRPr="00471DAF">
              <w:rPr>
                <w:sz w:val="16"/>
                <w:szCs w:val="16"/>
                <w:lang w:val="en-US"/>
              </w:rPr>
              <w:t xml:space="preserve"> </w:t>
            </w:r>
          </w:p>
          <w:p w14:paraId="3F9F133B" w14:textId="77777777" w:rsidR="00787403" w:rsidRPr="00471DAF" w:rsidRDefault="00C368DD" w:rsidP="00E9348F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(0.105</w:t>
            </w:r>
            <w:r w:rsidR="00E9348F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54B1A5E9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3E36AF91" w14:textId="77777777" w:rsidR="00787403" w:rsidRPr="00471DAF" w:rsidRDefault="00E83B6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21.139 (1.151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2FA11EF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8EE9DF" w14:textId="77777777" w:rsidR="00787403" w:rsidRPr="00471DAF" w:rsidRDefault="00EE6C9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59.041 (1.122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BAEE701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6FE0E6C7" w14:textId="77777777" w:rsidR="00787403" w:rsidRPr="00471DAF" w:rsidRDefault="00483C7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3.902</w:t>
            </w:r>
          </w:p>
          <w:p w14:paraId="22026332" w14:textId="77777777" w:rsidR="00787403" w:rsidRPr="00471DAF" w:rsidRDefault="00483C79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</w:t>
            </w:r>
            <w:r w:rsidR="00787403" w:rsidRPr="00471DAF">
              <w:rPr>
                <w:sz w:val="16"/>
                <w:szCs w:val="16"/>
                <w:lang w:val="en-US"/>
              </w:rPr>
              <w:t>)</w:t>
            </w:r>
          </w:p>
        </w:tc>
      </w:tr>
      <w:tr w:rsidR="00787403" w:rsidRPr="00471DAF" w14:paraId="00369A33" w14:textId="77777777" w:rsidTr="00C96047">
        <w:trPr>
          <w:trHeight w:val="356"/>
          <w:jc w:val="center"/>
        </w:trPr>
        <w:tc>
          <w:tcPr>
            <w:tcW w:w="638" w:type="dxa"/>
            <w:tcBorders>
              <w:top w:val="single" w:sz="4" w:space="0" w:color="auto"/>
              <w:bottom w:val="nil"/>
            </w:tcBorders>
            <w:vAlign w:val="bottom"/>
          </w:tcPr>
          <w:p w14:paraId="469AD786" w14:textId="77777777" w:rsidR="00787403" w:rsidRPr="00471DAF" w:rsidRDefault="00787403" w:rsidP="00E33765">
            <w:pPr>
              <w:spacing w:line="360" w:lineRule="auto"/>
              <w:jc w:val="center"/>
              <w:rPr>
                <w:i/>
                <w:lang w:val="en-US"/>
              </w:rPr>
            </w:pPr>
            <w:r w:rsidRPr="00471DAF">
              <w:rPr>
                <w:i/>
                <w:lang w:val="en-US"/>
              </w:rPr>
              <w:t>R²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bottom"/>
          </w:tcPr>
          <w:p w14:paraId="3D4B0745" w14:textId="77777777" w:rsidR="00787403" w:rsidRPr="00471DAF" w:rsidRDefault="00C967B0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094236">
              <w:rPr>
                <w:sz w:val="16"/>
                <w:szCs w:val="16"/>
                <w:lang w:val="en-US"/>
              </w:rPr>
              <w:t>775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bottom"/>
          </w:tcPr>
          <w:p w14:paraId="0262C8DF" w14:textId="77777777" w:rsidR="00787403" w:rsidRPr="00471DAF" w:rsidRDefault="00907A6B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E123CD">
              <w:rPr>
                <w:sz w:val="16"/>
                <w:szCs w:val="16"/>
                <w:lang w:val="en-US"/>
              </w:rPr>
              <w:t>786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bottom"/>
          </w:tcPr>
          <w:p w14:paraId="22C0CE95" w14:textId="77777777" w:rsidR="00787403" w:rsidRPr="00471DAF" w:rsidRDefault="006A161F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BD35EF" w:rsidRPr="00471DAF">
              <w:rPr>
                <w:sz w:val="16"/>
                <w:szCs w:val="16"/>
                <w:lang w:val="en-US"/>
              </w:rPr>
              <w:t>759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bottom"/>
          </w:tcPr>
          <w:p w14:paraId="59C1ED1E" w14:textId="77777777" w:rsidR="00E9348F" w:rsidRPr="00471DAF" w:rsidRDefault="00E9348F" w:rsidP="00C42094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</w:t>
            </w:r>
            <w:r w:rsidR="00C42094" w:rsidRPr="00471DAF">
              <w:rPr>
                <w:sz w:val="16"/>
                <w:szCs w:val="16"/>
                <w:lang w:val="en-US"/>
              </w:rPr>
              <w:t>.</w:t>
            </w:r>
            <w:r w:rsidR="00E123CD">
              <w:rPr>
                <w:sz w:val="16"/>
                <w:szCs w:val="16"/>
                <w:lang w:val="en-US"/>
              </w:rPr>
              <w:t>76</w:t>
            </w:r>
            <w:r w:rsidR="00C368DD" w:rsidRPr="00471DA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bottom"/>
          </w:tcPr>
          <w:p w14:paraId="7FB27136" w14:textId="77777777" w:rsidR="00787403" w:rsidRPr="00471DAF" w:rsidRDefault="00933634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0.763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bottom"/>
          </w:tcPr>
          <w:p w14:paraId="7BAE123C" w14:textId="77777777" w:rsidR="00787403" w:rsidRPr="00471DAF" w:rsidRDefault="00B52496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</w:t>
            </w:r>
            <w:r w:rsidR="00E83B69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center"/>
          </w:tcPr>
          <w:p w14:paraId="5FFE7E1B" w14:textId="77777777" w:rsidR="00787403" w:rsidRPr="00471DAF" w:rsidRDefault="00787403" w:rsidP="00EE5FFA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0.</w:t>
            </w:r>
            <w:r w:rsidR="00EE5FFA">
              <w:rPr>
                <w:sz w:val="16"/>
                <w:szCs w:val="16"/>
                <w:lang w:val="en-US"/>
              </w:rPr>
              <w:t>779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center"/>
          </w:tcPr>
          <w:p w14:paraId="4138CAD1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0</w:t>
            </w:r>
            <w:r w:rsidR="006C22ED">
              <w:rPr>
                <w:sz w:val="16"/>
                <w:szCs w:val="16"/>
                <w:lang w:val="en-US"/>
              </w:rPr>
              <w:t>.781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vAlign w:val="center"/>
          </w:tcPr>
          <w:p w14:paraId="3AC99B2D" w14:textId="77777777" w:rsidR="00787403" w:rsidRPr="00471DAF" w:rsidRDefault="00A97775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14:paraId="6352F2B9" w14:textId="77777777" w:rsidR="00787403" w:rsidRPr="00471DAF" w:rsidRDefault="007E291C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</w:t>
            </w:r>
            <w:r w:rsidR="00A97775">
              <w:rPr>
                <w:sz w:val="16"/>
                <w:szCs w:val="16"/>
                <w:lang w:val="en-US"/>
              </w:rPr>
              <w:t>748</w:t>
            </w:r>
          </w:p>
        </w:tc>
      </w:tr>
      <w:tr w:rsidR="00787403" w:rsidRPr="00471DAF" w14:paraId="3C60850A" w14:textId="77777777" w:rsidTr="00C96047">
        <w:trPr>
          <w:trHeight w:val="685"/>
          <w:jc w:val="center"/>
        </w:trPr>
        <w:tc>
          <w:tcPr>
            <w:tcW w:w="638" w:type="dxa"/>
            <w:tcBorders>
              <w:top w:val="nil"/>
              <w:bottom w:val="single" w:sz="4" w:space="0" w:color="auto"/>
            </w:tcBorders>
            <w:vAlign w:val="center"/>
          </w:tcPr>
          <w:p w14:paraId="49C634B9" w14:textId="77777777" w:rsidR="00787403" w:rsidRPr="00471DAF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471DAF">
              <w:rPr>
                <w:sz w:val="16"/>
                <w:szCs w:val="16"/>
                <w:lang w:val="en-US"/>
              </w:rPr>
              <w:t>Log-l.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14:paraId="53E17EC4" w14:textId="77777777" w:rsidR="00787403" w:rsidRPr="00471DAF" w:rsidRDefault="00787403" w:rsidP="002D2AD1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471DAF">
              <w:rPr>
                <w:sz w:val="14"/>
                <w:szCs w:val="14"/>
                <w:lang w:val="en-US"/>
              </w:rPr>
              <w:t>-</w:t>
            </w:r>
            <w:r w:rsidR="002D2AD1" w:rsidRPr="00471DAF">
              <w:rPr>
                <w:sz w:val="14"/>
                <w:szCs w:val="14"/>
                <w:lang w:val="en-US"/>
              </w:rPr>
              <w:t>3105.686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0CC8FA1A" w14:textId="77777777" w:rsidR="00787403" w:rsidRPr="00471DAF" w:rsidRDefault="00E123CD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-3095.338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152F6335" w14:textId="77777777" w:rsidR="00787403" w:rsidRPr="00471DAF" w:rsidRDefault="00471DAF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-3039.307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55FD9EBA" w14:textId="77777777" w:rsidR="00787403" w:rsidRPr="00471DAF" w:rsidRDefault="00787403" w:rsidP="00471DAF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471DAF">
              <w:rPr>
                <w:sz w:val="14"/>
                <w:szCs w:val="14"/>
                <w:lang w:val="en-US"/>
              </w:rPr>
              <w:t>-</w:t>
            </w:r>
            <w:r w:rsidR="00471DAF">
              <w:rPr>
                <w:sz w:val="14"/>
                <w:szCs w:val="14"/>
                <w:lang w:val="en-US"/>
              </w:rPr>
              <w:t>3034.076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7DBF216E" w14:textId="77777777" w:rsidR="00787403" w:rsidRPr="00471DAF" w:rsidRDefault="00787403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471DAF">
              <w:rPr>
                <w:sz w:val="14"/>
                <w:szCs w:val="14"/>
                <w:lang w:val="en-US"/>
              </w:rPr>
              <w:t>-</w:t>
            </w:r>
            <w:r w:rsidR="00933634">
              <w:rPr>
                <w:sz w:val="14"/>
                <w:szCs w:val="14"/>
                <w:lang w:val="en-US"/>
              </w:rPr>
              <w:t>3362.131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28726D54" w14:textId="77777777" w:rsidR="00787403" w:rsidRPr="00471DAF" w:rsidRDefault="00B52496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-3340.222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48D8E670" w14:textId="77777777" w:rsidR="00787403" w:rsidRPr="00471DAF" w:rsidRDefault="00EE5FFA" w:rsidP="00EE5FFA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-2557.941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440D35FF" w14:textId="77777777" w:rsidR="00787403" w:rsidRPr="00471DAF" w:rsidRDefault="00787403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471DAF">
              <w:rPr>
                <w:sz w:val="14"/>
                <w:szCs w:val="14"/>
                <w:lang w:val="en-US"/>
              </w:rPr>
              <w:t>-2432.757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14:paraId="49DD5346" w14:textId="77777777" w:rsidR="00787403" w:rsidRPr="00471DAF" w:rsidRDefault="00A97775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-3023.882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14:paraId="4AD083E3" w14:textId="77777777" w:rsidR="00787403" w:rsidRPr="00471DAF" w:rsidRDefault="007E291C" w:rsidP="00E33765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-3021.341</w:t>
            </w:r>
          </w:p>
        </w:tc>
      </w:tr>
      <w:tr w:rsidR="00787403" w:rsidRPr="00471DAF" w14:paraId="75201A27" w14:textId="77777777" w:rsidTr="00C96047">
        <w:trPr>
          <w:trHeight w:val="685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A7D9" w14:textId="77777777" w:rsidR="00787403" w:rsidRPr="00DE1359" w:rsidRDefault="00787403" w:rsidP="00AF56A1">
            <w:pPr>
              <w:jc w:val="both"/>
              <w:rPr>
                <w:lang w:val="en-US"/>
              </w:rPr>
            </w:pPr>
            <w:r w:rsidRPr="00DE1359">
              <w:rPr>
                <w:b/>
                <w:lang w:val="en-US"/>
              </w:rPr>
              <w:t>Note</w:t>
            </w:r>
            <w:r w:rsidRPr="00DE1359">
              <w:rPr>
                <w:lang w:val="en-US"/>
              </w:rPr>
              <w:t>:</w:t>
            </w:r>
            <w:r w:rsidR="00BB47FB" w:rsidRPr="00DE1359">
              <w:rPr>
                <w:lang w:val="en-US"/>
              </w:rPr>
              <w:t xml:space="preserve"> </w:t>
            </w:r>
            <w:r w:rsidRPr="00DE1359">
              <w:rPr>
                <w:lang w:val="en-US"/>
              </w:rPr>
              <w:t>The estimated parameters for the daily (d), weekly (w) and monthly (m) components of the HAR-RV and HAR-RV-CJ models</w:t>
            </w:r>
            <w:r w:rsidR="00BB47FB" w:rsidRPr="00DE1359">
              <w:rPr>
                <w:lang w:val="en-US"/>
              </w:rPr>
              <w:t xml:space="preserve"> </w:t>
            </w:r>
            <w:r w:rsidRPr="00DE1359">
              <w:rPr>
                <w:lang w:val="en-US"/>
              </w:rPr>
              <w:t>are reported with standard errors.</w:t>
            </w:r>
            <w:r w:rsidR="0032555A" w:rsidRPr="00DE1359">
              <w:rPr>
                <w:lang w:val="en-US"/>
              </w:rPr>
              <w:t xml:space="preserve"> </w:t>
            </w:r>
            <w:r w:rsidR="0032555A" w:rsidRPr="00B941BE">
              <w:rPr>
                <w:lang w:val="en-US"/>
              </w:rPr>
              <w:t>*, **, and *** denote significance at the 10%, 5%, and 1% levels, respectively.</w:t>
            </w:r>
          </w:p>
        </w:tc>
      </w:tr>
    </w:tbl>
    <w:p w14:paraId="6B9840B4" w14:textId="77777777" w:rsidR="00787403" w:rsidRPr="00471DAF" w:rsidRDefault="00787403" w:rsidP="00787403">
      <w:pPr>
        <w:spacing w:line="360" w:lineRule="auto"/>
        <w:jc w:val="both"/>
        <w:rPr>
          <w:sz w:val="28"/>
          <w:szCs w:val="28"/>
          <w:lang w:val="en-US"/>
        </w:rPr>
      </w:pPr>
    </w:p>
    <w:p w14:paraId="4AF72104" w14:textId="6F289264" w:rsidR="00547447" w:rsidRPr="00E57936" w:rsidRDefault="00CC0A06" w:rsidP="003D735D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471DAF">
        <w:rPr>
          <w:sz w:val="24"/>
          <w:szCs w:val="24"/>
          <w:lang w:val="en-US"/>
        </w:rPr>
        <w:t xml:space="preserve">Furthermore, we observe that the parameters </w:t>
      </w:r>
      <w:r w:rsidR="00DE1359">
        <w:rPr>
          <w:sz w:val="24"/>
          <w:szCs w:val="24"/>
          <w:lang w:val="en-US"/>
        </w:rPr>
        <w:t>for</w:t>
      </w:r>
      <w:r w:rsidR="00DE1359" w:rsidRPr="00471DAF">
        <w:rPr>
          <w:sz w:val="24"/>
          <w:szCs w:val="24"/>
          <w:lang w:val="en-US"/>
        </w:rPr>
        <w:t xml:space="preserve"> </w:t>
      </w:r>
      <w:r w:rsidRPr="00471DAF">
        <w:rPr>
          <w:sz w:val="24"/>
          <w:szCs w:val="24"/>
          <w:lang w:val="en-US"/>
        </w:rPr>
        <w:t xml:space="preserve">the continuous part of the HAR-RV-CJ model are very </w:t>
      </w:r>
      <w:r w:rsidR="00296CB9">
        <w:rPr>
          <w:sz w:val="24"/>
          <w:szCs w:val="24"/>
          <w:lang w:val="en-US"/>
        </w:rPr>
        <w:t>close</w:t>
      </w:r>
      <w:r w:rsidRPr="00471DAF">
        <w:rPr>
          <w:sz w:val="24"/>
          <w:szCs w:val="24"/>
          <w:lang w:val="en-US"/>
        </w:rPr>
        <w:t xml:space="preserve"> to </w:t>
      </w:r>
      <w:r w:rsidR="00DE1359">
        <w:rPr>
          <w:sz w:val="24"/>
          <w:szCs w:val="24"/>
          <w:lang w:val="en-US"/>
        </w:rPr>
        <w:t>those for</w:t>
      </w:r>
      <w:r w:rsidRPr="00A87029">
        <w:rPr>
          <w:sz w:val="24"/>
          <w:szCs w:val="24"/>
          <w:lang w:val="en-US"/>
        </w:rPr>
        <w:t xml:space="preserve"> the HAR-RV model. </w:t>
      </w:r>
      <w:r w:rsidR="00E62E8D">
        <w:rPr>
          <w:sz w:val="24"/>
          <w:szCs w:val="24"/>
          <w:lang w:val="en-US"/>
        </w:rPr>
        <w:t xml:space="preserve">For all </w:t>
      </w:r>
      <w:r w:rsidR="00DE1359">
        <w:rPr>
          <w:sz w:val="24"/>
          <w:szCs w:val="24"/>
          <w:lang w:val="en-US"/>
        </w:rPr>
        <w:t xml:space="preserve">the </w:t>
      </w:r>
      <w:r w:rsidR="00E62E8D">
        <w:rPr>
          <w:sz w:val="24"/>
          <w:szCs w:val="24"/>
          <w:lang w:val="en-US"/>
        </w:rPr>
        <w:t xml:space="preserve">series, the HAR-RV-CJ models </w:t>
      </w:r>
      <w:r w:rsidR="00DE1359">
        <w:rPr>
          <w:sz w:val="24"/>
          <w:szCs w:val="24"/>
          <w:lang w:val="en-US"/>
        </w:rPr>
        <w:t>bring about a</w:t>
      </w:r>
      <w:r w:rsidR="00E62E8D" w:rsidRPr="00E62E8D">
        <w:rPr>
          <w:sz w:val="24"/>
          <w:szCs w:val="24"/>
          <w:lang w:val="en-US"/>
        </w:rPr>
        <w:t xml:space="preserve"> </w:t>
      </w:r>
      <w:r w:rsidR="00E62E8D">
        <w:rPr>
          <w:sz w:val="24"/>
          <w:szCs w:val="24"/>
          <w:lang w:val="en-US"/>
        </w:rPr>
        <w:t>small</w:t>
      </w:r>
      <w:r w:rsidR="00E62E8D" w:rsidRPr="00E62E8D">
        <w:rPr>
          <w:sz w:val="24"/>
          <w:szCs w:val="24"/>
          <w:lang w:val="en-US"/>
        </w:rPr>
        <w:t xml:space="preserve"> </w:t>
      </w:r>
      <w:r w:rsidR="00D604C5">
        <w:rPr>
          <w:sz w:val="24"/>
          <w:szCs w:val="24"/>
          <w:lang w:val="en-US"/>
        </w:rPr>
        <w:t>rise</w:t>
      </w:r>
      <w:r w:rsidR="00E62E8D" w:rsidRPr="00E62E8D">
        <w:rPr>
          <w:sz w:val="24"/>
          <w:szCs w:val="24"/>
          <w:lang w:val="en-US"/>
        </w:rPr>
        <w:t xml:space="preserve"> in the </w:t>
      </w:r>
      <w:r w:rsidR="00D604C5" w:rsidRPr="00D604C5">
        <w:rPr>
          <w:sz w:val="24"/>
          <w:szCs w:val="24"/>
          <w:lang w:val="en-US"/>
        </w:rPr>
        <w:t>R²</w:t>
      </w:r>
      <w:r w:rsidR="00E62E8D" w:rsidRPr="00E62E8D">
        <w:rPr>
          <w:sz w:val="24"/>
          <w:szCs w:val="24"/>
          <w:lang w:val="en-US"/>
        </w:rPr>
        <w:t xml:space="preserve"> </w:t>
      </w:r>
      <w:r w:rsidR="000344AD">
        <w:rPr>
          <w:sz w:val="24"/>
          <w:szCs w:val="24"/>
          <w:lang w:val="en-US"/>
        </w:rPr>
        <w:t>value</w:t>
      </w:r>
      <w:r w:rsidR="00DE1359">
        <w:rPr>
          <w:sz w:val="24"/>
          <w:szCs w:val="24"/>
          <w:lang w:val="en-US"/>
        </w:rPr>
        <w:t xml:space="preserve"> when</w:t>
      </w:r>
      <w:r w:rsidR="000344AD">
        <w:rPr>
          <w:sz w:val="24"/>
          <w:szCs w:val="24"/>
          <w:lang w:val="en-US"/>
        </w:rPr>
        <w:t xml:space="preserve"> compared to the HAR-RV</w:t>
      </w:r>
      <w:r w:rsidR="00E62E8D" w:rsidRPr="00E62E8D">
        <w:rPr>
          <w:sz w:val="24"/>
          <w:szCs w:val="24"/>
          <w:lang w:val="en-US"/>
        </w:rPr>
        <w:t xml:space="preserve"> models</w:t>
      </w:r>
      <w:r w:rsidR="00E57936">
        <w:rPr>
          <w:sz w:val="24"/>
          <w:szCs w:val="24"/>
          <w:lang w:val="en-US"/>
        </w:rPr>
        <w:t>. Hence, b</w:t>
      </w:r>
      <w:r w:rsidRPr="00A87029">
        <w:rPr>
          <w:sz w:val="24"/>
          <w:szCs w:val="24"/>
          <w:lang w:val="en-US"/>
        </w:rPr>
        <w:t xml:space="preserve">ased on </w:t>
      </w:r>
      <w:r w:rsidR="00DE1359">
        <w:rPr>
          <w:sz w:val="24"/>
          <w:szCs w:val="24"/>
          <w:lang w:val="en-US"/>
        </w:rPr>
        <w:t>this,</w:t>
      </w:r>
      <w:r w:rsidRPr="00A87029">
        <w:rPr>
          <w:sz w:val="24"/>
          <w:szCs w:val="24"/>
          <w:lang w:val="en-US"/>
        </w:rPr>
        <w:t xml:space="preserve"> the HAR-RV-CJ model </w:t>
      </w:r>
      <w:r>
        <w:rPr>
          <w:sz w:val="24"/>
          <w:szCs w:val="24"/>
          <w:lang w:val="en-US"/>
        </w:rPr>
        <w:t xml:space="preserve">appears to </w:t>
      </w:r>
      <w:r w:rsidRPr="00A87029">
        <w:rPr>
          <w:sz w:val="24"/>
          <w:szCs w:val="24"/>
          <w:lang w:val="en-US"/>
        </w:rPr>
        <w:t>fit the dat</w:t>
      </w:r>
      <w:r w:rsidR="00111E65">
        <w:rPr>
          <w:sz w:val="24"/>
          <w:szCs w:val="24"/>
          <w:lang w:val="en-US"/>
        </w:rPr>
        <w:t>a better than the HAR-RV model,</w:t>
      </w:r>
      <w:r>
        <w:rPr>
          <w:sz w:val="24"/>
          <w:szCs w:val="24"/>
          <w:lang w:val="en-US"/>
        </w:rPr>
        <w:t xml:space="preserve"> </w:t>
      </w:r>
      <w:r w:rsidR="00DE1359">
        <w:rPr>
          <w:sz w:val="24"/>
          <w:szCs w:val="24"/>
          <w:lang w:val="en-US"/>
        </w:rPr>
        <w:t xml:space="preserve">thus </w:t>
      </w:r>
      <w:r>
        <w:rPr>
          <w:sz w:val="24"/>
          <w:szCs w:val="24"/>
          <w:lang w:val="en-US"/>
        </w:rPr>
        <w:t>providing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a slightly more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lastRenderedPageBreak/>
        <w:t>accurate estimate.</w:t>
      </w:r>
      <w:r w:rsidR="00E57936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DE1359">
        <w:rPr>
          <w:rFonts w:eastAsia="Calibri"/>
          <w:color w:val="auto"/>
          <w:kern w:val="0"/>
          <w:sz w:val="24"/>
          <w:szCs w:val="24"/>
          <w:lang w:val="en-US" w:eastAsia="en-US"/>
        </w:rPr>
        <w:t>In addition</w:t>
      </w:r>
      <w:r w:rsidR="00E57936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, we can 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venture to say </w:t>
      </w:r>
      <w:r w:rsidR="00E57936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that </w:t>
      </w:r>
      <w:r w:rsidR="003D735D">
        <w:rPr>
          <w:rFonts w:eastAsia="Calibri"/>
          <w:color w:val="auto"/>
          <w:kern w:val="0"/>
          <w:sz w:val="24"/>
          <w:szCs w:val="24"/>
          <w:lang w:val="en-US" w:eastAsia="en-US"/>
        </w:rPr>
        <w:t>the continuous sample path fluctuations</w:t>
      </w:r>
      <w:r w:rsidR="003D735D" w:rsidRPr="003D735D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3D735D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have a great impact </w:t>
      </w:r>
      <w:r w:rsidR="003D735D" w:rsidRPr="003D735D">
        <w:rPr>
          <w:rFonts w:eastAsia="Calibri"/>
          <w:color w:val="auto"/>
          <w:kern w:val="0"/>
          <w:sz w:val="24"/>
          <w:szCs w:val="24"/>
          <w:lang w:val="en-US" w:eastAsia="en-US"/>
        </w:rPr>
        <w:t>on the total future</w:t>
      </w:r>
      <w:r w:rsidR="003D735D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volatility</w:t>
      </w:r>
      <w:r w:rsidR="003D735D" w:rsidRPr="003D735D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3D735D">
        <w:rPr>
          <w:rFonts w:eastAsia="Calibri"/>
          <w:color w:val="auto"/>
          <w:kern w:val="0"/>
          <w:sz w:val="24"/>
          <w:szCs w:val="24"/>
          <w:lang w:val="en-US" w:eastAsia="en-US"/>
        </w:rPr>
        <w:t>movements among the stock markets.</w:t>
      </w:r>
    </w:p>
    <w:p w14:paraId="05BA7863" w14:textId="77777777" w:rsidR="00787403" w:rsidRPr="00A87029" w:rsidRDefault="00787403" w:rsidP="00977F77">
      <w:pPr>
        <w:autoSpaceDE w:val="0"/>
        <w:autoSpaceDN w:val="0"/>
        <w:adjustRightInd w:val="0"/>
        <w:jc w:val="center"/>
        <w:rPr>
          <w:rFonts w:ascii="CMR12" w:hAnsi="CMR12" w:cs="CMR12"/>
          <w:sz w:val="22"/>
          <w:szCs w:val="22"/>
          <w:lang w:val="en-US"/>
        </w:rPr>
      </w:pPr>
      <w:r w:rsidRPr="00A87029">
        <w:rPr>
          <w:b/>
          <w:sz w:val="22"/>
          <w:szCs w:val="22"/>
          <w:lang w:val="en-US"/>
        </w:rPr>
        <w:t>Tab</w:t>
      </w:r>
      <w:r>
        <w:rPr>
          <w:b/>
          <w:sz w:val="22"/>
          <w:szCs w:val="22"/>
          <w:lang w:val="en-US"/>
        </w:rPr>
        <w:t>le</w:t>
      </w:r>
      <w:r w:rsidRPr="00A87029">
        <w:rPr>
          <w:b/>
          <w:sz w:val="22"/>
          <w:szCs w:val="22"/>
          <w:lang w:val="en-US"/>
        </w:rPr>
        <w:t xml:space="preserve"> 3</w:t>
      </w:r>
      <w:r>
        <w:rPr>
          <w:b/>
          <w:sz w:val="22"/>
          <w:szCs w:val="22"/>
          <w:lang w:val="en-US"/>
        </w:rPr>
        <w:t xml:space="preserve">. </w:t>
      </w:r>
      <w:r w:rsidR="00977F77" w:rsidRPr="00977F77">
        <w:rPr>
          <w:bCs/>
          <w:sz w:val="22"/>
          <w:szCs w:val="22"/>
          <w:lang w:val="en-US"/>
        </w:rPr>
        <w:t>Results of</w:t>
      </w:r>
      <w:r w:rsidR="00977F77">
        <w:rPr>
          <w:b/>
          <w:sz w:val="22"/>
          <w:szCs w:val="22"/>
          <w:lang w:val="en-US"/>
        </w:rPr>
        <w:t xml:space="preserve"> </w:t>
      </w:r>
      <w:r w:rsidR="007B1580">
        <w:rPr>
          <w:b/>
          <w:sz w:val="22"/>
          <w:szCs w:val="22"/>
          <w:lang w:val="en-US"/>
        </w:rPr>
        <w:t xml:space="preserve">the </w:t>
      </w:r>
      <w:r w:rsidR="00977F77">
        <w:rPr>
          <w:sz w:val="22"/>
          <w:szCs w:val="22"/>
          <w:lang w:val="en-US"/>
        </w:rPr>
        <w:t>Mincer-Zarnowitz regression test</w:t>
      </w:r>
    </w:p>
    <w:p w14:paraId="5DA930F3" w14:textId="77777777" w:rsidR="00787403" w:rsidRDefault="00787403" w:rsidP="00787403">
      <w:pPr>
        <w:spacing w:line="360" w:lineRule="auto"/>
        <w:jc w:val="both"/>
        <w:rPr>
          <w:sz w:val="28"/>
          <w:szCs w:val="28"/>
          <w:lang w:val="en-US"/>
        </w:rPr>
      </w:pPr>
    </w:p>
    <w:p w14:paraId="3EC7C2F4" w14:textId="77777777" w:rsidR="00787403" w:rsidRPr="00A87029" w:rsidRDefault="00787403" w:rsidP="00787403">
      <w:pPr>
        <w:tabs>
          <w:tab w:val="left" w:pos="2820"/>
        </w:tabs>
        <w:spacing w:line="360" w:lineRule="auto"/>
        <w:jc w:val="both"/>
        <w:rPr>
          <w:b/>
          <w:sz w:val="6"/>
          <w:szCs w:val="28"/>
          <w:lang w:val="en-US"/>
        </w:rPr>
      </w:pPr>
      <w:r>
        <w:rPr>
          <w:b/>
          <w:sz w:val="6"/>
          <w:szCs w:val="28"/>
          <w:lang w:val="en-US"/>
        </w:rPr>
        <w:tab/>
      </w:r>
    </w:p>
    <w:tbl>
      <w:tblPr>
        <w:tblW w:w="1058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68"/>
        <w:gridCol w:w="1076"/>
        <w:gridCol w:w="921"/>
        <w:gridCol w:w="1073"/>
        <w:gridCol w:w="988"/>
        <w:gridCol w:w="1098"/>
        <w:gridCol w:w="1017"/>
        <w:gridCol w:w="1074"/>
        <w:gridCol w:w="840"/>
        <w:gridCol w:w="1089"/>
      </w:tblGrid>
      <w:tr w:rsidR="00787403" w:rsidRPr="00A87029" w14:paraId="2CFE14FA" w14:textId="77777777" w:rsidTr="00E33765">
        <w:trPr>
          <w:trHeight w:val="286"/>
          <w:jc w:val="center"/>
        </w:trPr>
        <w:tc>
          <w:tcPr>
            <w:tcW w:w="542" w:type="dxa"/>
            <w:vMerge w:val="restart"/>
          </w:tcPr>
          <w:p w14:paraId="108EDAF8" w14:textId="77777777" w:rsidR="00787403" w:rsidRPr="00E33765" w:rsidRDefault="00787403" w:rsidP="00E3376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</w:p>
          <w:p w14:paraId="537304C7" w14:textId="77777777" w:rsidR="00787403" w:rsidRPr="00E33765" w:rsidRDefault="00787403" w:rsidP="00E3376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</w:p>
          <w:p w14:paraId="7E8B3855" w14:textId="77777777" w:rsidR="00787403" w:rsidRPr="00E33765" w:rsidRDefault="00787403" w:rsidP="00E3376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D0040" w14:textId="77777777" w:rsidR="00787403" w:rsidRPr="00E33765" w:rsidRDefault="0037614A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LRV FTSE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F7C54" w14:textId="77777777" w:rsidR="00787403" w:rsidRPr="00E33765" w:rsidRDefault="0037614A" w:rsidP="00E3376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LRV FCHI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17DA1" w14:textId="77777777" w:rsidR="00787403" w:rsidRPr="00E33765" w:rsidRDefault="0037614A" w:rsidP="0037614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LRV GDAX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D5E87" w14:textId="77777777" w:rsidR="00787403" w:rsidRPr="00E33765" w:rsidRDefault="00787403" w:rsidP="00E3376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L</w:t>
            </w:r>
            <w:r w:rsidR="0037614A">
              <w:rPr>
                <w:sz w:val="18"/>
                <w:szCs w:val="18"/>
                <w:lang w:val="en-US"/>
              </w:rPr>
              <w:t>RV SSMI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06778" w14:textId="77777777" w:rsidR="00787403" w:rsidRPr="00E33765" w:rsidRDefault="0037614A" w:rsidP="0037614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LRV FTMIB</w:t>
            </w:r>
          </w:p>
        </w:tc>
      </w:tr>
      <w:tr w:rsidR="00787403" w:rsidRPr="00A87029" w14:paraId="6A2E8E5D" w14:textId="77777777" w:rsidTr="00E33765">
        <w:trPr>
          <w:trHeight w:val="196"/>
          <w:jc w:val="center"/>
        </w:trPr>
        <w:tc>
          <w:tcPr>
            <w:tcW w:w="542" w:type="dxa"/>
            <w:vMerge/>
          </w:tcPr>
          <w:p w14:paraId="2A777F02" w14:textId="77777777" w:rsidR="00787403" w:rsidRPr="00E33765" w:rsidRDefault="00787403" w:rsidP="00E3376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2E71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802A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BA04D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18A08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2980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9F01C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D4F7E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F6F37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A4DAB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9E46" w14:textId="77777777" w:rsidR="00787403" w:rsidRPr="00E33765" w:rsidRDefault="00787403" w:rsidP="00E3376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HAR-RV-CJ</w:t>
            </w:r>
          </w:p>
        </w:tc>
      </w:tr>
      <w:tr w:rsidR="00787403" w:rsidRPr="00A87029" w14:paraId="3BDBCB7C" w14:textId="77777777" w:rsidTr="00E33765">
        <w:trPr>
          <w:trHeight w:val="573"/>
          <w:jc w:val="center"/>
        </w:trPr>
        <w:tc>
          <w:tcPr>
            <w:tcW w:w="542" w:type="dxa"/>
            <w:vAlign w:val="center"/>
          </w:tcPr>
          <w:p w14:paraId="171862B3" w14:textId="77777777" w:rsidR="00787403" w:rsidRPr="00E33765" w:rsidRDefault="00A12CAE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α</m:t>
                </m:r>
              </m:oMath>
            </m:oMathPara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1D8F297F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0.115 (0.076)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1837B705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0.082 (0.075)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2C74F20A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0.128 (0.079)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D763E74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0.110 (0.079)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C46B34B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0.081 (0.082)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1F592535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0.052 (0.082)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39F51761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0.102 (0.077)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0A8EB5C4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0.063 (0.076)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FDFC54C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0.020 (0.070)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6A0A4B6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0.008 (0.068)</w:t>
            </w:r>
          </w:p>
        </w:tc>
      </w:tr>
      <w:tr w:rsidR="00787403" w:rsidRPr="00A87029" w14:paraId="744C9AB4" w14:textId="77777777" w:rsidTr="00E33765">
        <w:trPr>
          <w:trHeight w:val="370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A1A2710" w14:textId="77777777" w:rsidR="00787403" w:rsidRPr="00E33765" w:rsidRDefault="00A12CAE" w:rsidP="00E33765">
            <w:pPr>
              <w:spacing w:line="360" w:lineRule="auto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14:paraId="58599AE7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 xml:space="preserve">0.938** (0.026) 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14:paraId="00988722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 xml:space="preserve">0.952** (0.023) 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14:paraId="7684D673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0.914** (0.032)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14:paraId="6123F555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0.917** (0.032)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3B87B77D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0.867** (0.043)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609708AE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0.870** (0.041)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14:paraId="1D34E5FC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0.845** (0.042)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bottom"/>
          </w:tcPr>
          <w:p w14:paraId="1167C82C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0.856** (0.043)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576E85F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0.907** (0.025)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BD5AAE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0.930** (0.029)</w:t>
            </w:r>
          </w:p>
        </w:tc>
      </w:tr>
      <w:tr w:rsidR="00787403" w:rsidRPr="00A87029" w14:paraId="1EB5ECCE" w14:textId="77777777" w:rsidTr="00E33765">
        <w:trPr>
          <w:trHeight w:val="308"/>
          <w:jc w:val="center"/>
        </w:trPr>
        <w:tc>
          <w:tcPr>
            <w:tcW w:w="542" w:type="dxa"/>
            <w:tcBorders>
              <w:top w:val="single" w:sz="4" w:space="0" w:color="auto"/>
              <w:bottom w:val="nil"/>
            </w:tcBorders>
            <w:vAlign w:val="center"/>
          </w:tcPr>
          <w:p w14:paraId="39D7CEE5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i/>
                <w:lang w:val="en-US"/>
              </w:rPr>
              <w:t>R²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vAlign w:val="bottom"/>
          </w:tcPr>
          <w:p w14:paraId="2729096D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vAlign w:val="bottom"/>
          </w:tcPr>
          <w:p w14:paraId="6C5B5317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bottom"/>
          </w:tcPr>
          <w:p w14:paraId="068F97EA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bottom"/>
          </w:tcPr>
          <w:p w14:paraId="4DC3978A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vAlign w:val="bottom"/>
          </w:tcPr>
          <w:p w14:paraId="6399776D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bottom"/>
          </w:tcPr>
          <w:p w14:paraId="118778D3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bottom"/>
          </w:tcPr>
          <w:p w14:paraId="15330388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0.63</w:t>
            </w:r>
            <w:r w:rsidR="00787403" w:rsidRPr="00E3376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vAlign w:val="bottom"/>
          </w:tcPr>
          <w:p w14:paraId="611B39D1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6C85F6B7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</w:t>
            </w:r>
            <w:r w:rsidR="00787403" w:rsidRPr="00E33765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14:paraId="6A56CAFB" w14:textId="77777777" w:rsidR="00787403" w:rsidRPr="00E33765" w:rsidRDefault="00AF56A1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0.69</w:t>
            </w:r>
            <w:r w:rsidR="00787403" w:rsidRPr="00E33765">
              <w:rPr>
                <w:sz w:val="18"/>
                <w:szCs w:val="18"/>
                <w:lang w:val="en-US"/>
              </w:rPr>
              <w:t>0</w:t>
            </w:r>
          </w:p>
        </w:tc>
      </w:tr>
      <w:tr w:rsidR="00787403" w:rsidRPr="00A87029" w14:paraId="69560BF0" w14:textId="77777777" w:rsidTr="00E33765">
        <w:trPr>
          <w:trHeight w:val="100"/>
          <w:jc w:val="center"/>
        </w:trPr>
        <w:tc>
          <w:tcPr>
            <w:tcW w:w="542" w:type="dxa"/>
            <w:tcBorders>
              <w:top w:val="nil"/>
              <w:bottom w:val="single" w:sz="4" w:space="0" w:color="auto"/>
            </w:tcBorders>
            <w:vAlign w:val="bottom"/>
          </w:tcPr>
          <w:p w14:paraId="444A6AB6" w14:textId="77777777" w:rsidR="00787403" w:rsidRPr="00E33765" w:rsidRDefault="00787403" w:rsidP="00E33765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E33765">
              <w:rPr>
                <w:sz w:val="14"/>
                <w:szCs w:val="14"/>
                <w:lang w:val="en-US"/>
              </w:rPr>
              <w:t>Log-l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vAlign w:val="center"/>
          </w:tcPr>
          <w:p w14:paraId="75EC93B8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-216.746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vAlign w:val="center"/>
          </w:tcPr>
          <w:p w14:paraId="0FEBDE40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-203.387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vAlign w:val="center"/>
          </w:tcPr>
          <w:p w14:paraId="66BA0002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-180.115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14:paraId="089F46DD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-177.098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616E429B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-202.523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vAlign w:val="center"/>
          </w:tcPr>
          <w:p w14:paraId="5DFE2899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-196.381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14:paraId="7A684BD2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-207.429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vAlign w:val="center"/>
          </w:tcPr>
          <w:p w14:paraId="0E31BA1E" w14:textId="77777777" w:rsidR="00787403" w:rsidRPr="00E33765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-193.572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BDCA12" w14:textId="77777777" w:rsidR="00787403" w:rsidRPr="00E33765" w:rsidRDefault="00787403" w:rsidP="00E3376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33765">
              <w:rPr>
                <w:sz w:val="16"/>
                <w:szCs w:val="16"/>
                <w:lang w:val="en-US"/>
              </w:rPr>
              <w:t>-202.438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14:paraId="1FFDDEB8" w14:textId="77777777" w:rsidR="00787403" w:rsidRPr="00E33765" w:rsidRDefault="00787403" w:rsidP="00E3376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33765">
              <w:rPr>
                <w:sz w:val="18"/>
                <w:szCs w:val="18"/>
                <w:lang w:val="en-US"/>
              </w:rPr>
              <w:t>-190.442</w:t>
            </w:r>
          </w:p>
        </w:tc>
      </w:tr>
      <w:tr w:rsidR="00787403" w:rsidRPr="00446F5B" w14:paraId="2D04311E" w14:textId="77777777" w:rsidTr="00E33765">
        <w:trPr>
          <w:trHeight w:val="100"/>
          <w:jc w:val="center"/>
        </w:trPr>
        <w:tc>
          <w:tcPr>
            <w:tcW w:w="1058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4E0E3" w14:textId="77777777" w:rsidR="00787403" w:rsidRPr="007B1580" w:rsidRDefault="00787403" w:rsidP="00AF56A1">
            <w:pPr>
              <w:jc w:val="both"/>
              <w:rPr>
                <w:lang w:val="en-US"/>
              </w:rPr>
            </w:pPr>
            <w:r w:rsidRPr="007B1580">
              <w:rPr>
                <w:b/>
                <w:lang w:val="en-US"/>
              </w:rPr>
              <w:t>Note</w:t>
            </w:r>
            <w:r w:rsidRPr="007B1580">
              <w:rPr>
                <w:lang w:val="en-US"/>
              </w:rPr>
              <w:t>:</w:t>
            </w:r>
            <w:r w:rsidR="00C72F97" w:rsidRPr="007B1580">
              <w:rPr>
                <w:lang w:val="en-US"/>
              </w:rPr>
              <w:t xml:space="preserve"> </w:t>
            </w:r>
            <w:r w:rsidRPr="007B1580">
              <w:rPr>
                <w:lang w:val="en-US"/>
              </w:rPr>
              <w:t>Estimated parameters evaluating one-year, out-of-sample forecasts of the HAR-RV and HAR-RV-CJ models are reported with standard errors in parentheses</w:t>
            </w:r>
            <w:r w:rsidR="00AF56A1" w:rsidRPr="007B1580">
              <w:rPr>
                <w:lang w:val="en-US"/>
              </w:rPr>
              <w:t xml:space="preserve">. </w:t>
            </w:r>
            <w:r w:rsidR="00AF56A1" w:rsidRPr="00B941BE">
              <w:rPr>
                <w:lang w:val="en-US"/>
              </w:rPr>
              <w:t>*, **, and *** denote significance at the 10%, 5%, and 1% levels, respectively.</w:t>
            </w:r>
          </w:p>
        </w:tc>
      </w:tr>
    </w:tbl>
    <w:p w14:paraId="14DD1EC6" w14:textId="77777777" w:rsidR="00432750" w:rsidRDefault="00432750" w:rsidP="00E52917">
      <w:pPr>
        <w:spacing w:after="240" w:line="36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01F2415D" w14:textId="77777777" w:rsidR="00787403" w:rsidRPr="00A87029" w:rsidRDefault="00432750" w:rsidP="009847CE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The r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esults of the Mincer-Zarnowitz regressions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>are shown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in Table 3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>, and they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indicate that the HAR-RV-CJ model seems to give more accurate forecasts than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HAR-RV 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model 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for </w:t>
      </w:r>
      <w:r w:rsidR="009847CE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different stock market indices 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being </w:t>
      </w:r>
      <w:r w:rsidR="009847CE">
        <w:rPr>
          <w:rFonts w:eastAsia="Calibri"/>
          <w:color w:val="auto"/>
          <w:kern w:val="0"/>
          <w:sz w:val="24"/>
          <w:szCs w:val="24"/>
          <w:lang w:val="en-US" w:eastAsia="en-US"/>
        </w:rPr>
        <w:t>considered</w:t>
      </w: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</w:t>
      </w:r>
    </w:p>
    <w:p w14:paraId="45C23F70" w14:textId="77777777" w:rsidR="00626AD1" w:rsidRPr="00A87029" w:rsidRDefault="00D4030C" w:rsidP="00905DB4">
      <w:pPr>
        <w:spacing w:after="240" w:line="360" w:lineRule="auto"/>
        <w:jc w:val="both"/>
        <w:rPr>
          <w:b/>
          <w:sz w:val="24"/>
          <w:szCs w:val="24"/>
          <w:lang w:val="en-US"/>
        </w:rPr>
      </w:pPr>
      <w:r w:rsidRPr="00A87029">
        <w:rPr>
          <w:b/>
          <w:sz w:val="24"/>
          <w:szCs w:val="24"/>
          <w:lang w:val="en-US"/>
        </w:rPr>
        <w:t>4</w:t>
      </w:r>
      <w:r w:rsidR="00DB2BE6" w:rsidRPr="00A87029">
        <w:rPr>
          <w:b/>
          <w:sz w:val="24"/>
          <w:szCs w:val="24"/>
          <w:lang w:val="en-US"/>
        </w:rPr>
        <w:t>.2</w:t>
      </w:r>
      <w:r w:rsidR="00275BE9">
        <w:rPr>
          <w:b/>
          <w:sz w:val="24"/>
          <w:szCs w:val="24"/>
          <w:lang w:val="en-US"/>
        </w:rPr>
        <w:t>.</w:t>
      </w:r>
      <w:r w:rsidR="00DB2BE6" w:rsidRPr="00A87029">
        <w:rPr>
          <w:b/>
          <w:sz w:val="24"/>
          <w:szCs w:val="24"/>
          <w:lang w:val="en-US"/>
        </w:rPr>
        <w:t xml:space="preserve"> Forecasts</w:t>
      </w:r>
      <w:r w:rsidRPr="00A87029">
        <w:rPr>
          <w:b/>
          <w:sz w:val="24"/>
          <w:szCs w:val="24"/>
          <w:lang w:val="en-US"/>
        </w:rPr>
        <w:t xml:space="preserve"> results</w:t>
      </w:r>
    </w:p>
    <w:p w14:paraId="48087D70" w14:textId="4B91FF32" w:rsidR="000C1B1C" w:rsidRDefault="00A141CA" w:rsidP="008901C7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We perform </w:t>
      </w:r>
      <w:r w:rsidR="00E32B12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out-of-sample forecasts </w:t>
      </w:r>
      <w:r w:rsidR="00A9458F">
        <w:rPr>
          <w:rFonts w:eastAsia="Calibri"/>
          <w:color w:val="auto"/>
          <w:kern w:val="0"/>
          <w:sz w:val="24"/>
          <w:szCs w:val="24"/>
          <w:lang w:val="en-US" w:eastAsia="en-US"/>
        </w:rPr>
        <w:t>for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E32B12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each </w:t>
      </w:r>
      <w:r w:rsidR="008901C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stock 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index’s </w:t>
      </w:r>
      <w:r w:rsidR="008901C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realized volatility </w:t>
      </w:r>
      <w:r w:rsidR="00A9458F">
        <w:rPr>
          <w:rFonts w:eastAsia="Calibri"/>
          <w:color w:val="auto"/>
          <w:kern w:val="0"/>
          <w:sz w:val="24"/>
          <w:szCs w:val="24"/>
          <w:lang w:val="en-US" w:eastAsia="en-US"/>
        </w:rPr>
        <w:t>using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7B158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pre-forecast period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s of </w:t>
      </w:r>
      <w:r w:rsidR="0050636F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various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E32B12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length</w:t>
      </w:r>
      <w:r w:rsidR="00AA51FF">
        <w:rPr>
          <w:rFonts w:eastAsia="Calibri"/>
          <w:color w:val="auto"/>
          <w:kern w:val="0"/>
          <w:sz w:val="24"/>
          <w:szCs w:val="24"/>
          <w:lang w:val="en-US" w:eastAsia="en-US"/>
        </w:rPr>
        <w:t>. We first divided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6806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each </w:t>
      </w:r>
      <w:r w:rsidR="009847CE">
        <w:rPr>
          <w:rFonts w:eastAsia="Calibri"/>
          <w:color w:val="auto"/>
          <w:kern w:val="0"/>
          <w:sz w:val="24"/>
          <w:szCs w:val="24"/>
          <w:lang w:val="en-US" w:eastAsia="en-US"/>
        </w:rPr>
        <w:t>stock index</w:t>
      </w:r>
      <w:r w:rsidR="00A9458F">
        <w:rPr>
          <w:rFonts w:eastAsia="Calibri"/>
          <w:color w:val="auto"/>
          <w:kern w:val="0"/>
          <w:sz w:val="24"/>
          <w:szCs w:val="24"/>
          <w:lang w:val="en-US" w:eastAsia="en-US"/>
        </w:rPr>
        <w:t>’s</w:t>
      </w:r>
      <w:r w:rsidR="006806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dataset </w:t>
      </w:r>
      <w:r w:rsidR="00E32B12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into </w:t>
      </w:r>
      <w:r w:rsidR="006806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 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>section</w:t>
      </w:r>
      <w:r w:rsidR="007B158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6806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representing the</w:t>
      </w:r>
      <w:r w:rsidR="0091178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last year of the dataset and </w:t>
      </w:r>
      <w:r w:rsidR="006806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an</w:t>
      </w:r>
      <w:r w:rsidR="0091178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other </w:t>
      </w:r>
      <w:r w:rsidR="00680667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corresponding to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FF2D0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 </w:t>
      </w:r>
      <w:r w:rsidR="0091178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pre-forecast </w:t>
      </w:r>
      <w:r w:rsidR="00FF2D07">
        <w:rPr>
          <w:rFonts w:eastAsia="Calibri"/>
          <w:color w:val="auto"/>
          <w:kern w:val="0"/>
          <w:sz w:val="24"/>
          <w:szCs w:val="24"/>
          <w:lang w:val="en-US" w:eastAsia="en-US"/>
        </w:rPr>
        <w:t>period</w:t>
      </w:r>
      <w:r w:rsidR="00911788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E5033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We </w:t>
      </w:r>
      <w:r w:rsidR="00FF2D0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then </w:t>
      </w:r>
      <w:r w:rsidR="00E5033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estimate the parameters of the model </w:t>
      </w:r>
      <w:r w:rsidR="00FF2D0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for </w:t>
      </w:r>
      <w:r w:rsidR="00E5033C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pre-forecast period</w:t>
      </w:r>
      <w:r w:rsidR="00FF2D07">
        <w:rPr>
          <w:rFonts w:eastAsia="Calibri"/>
          <w:color w:val="auto"/>
          <w:kern w:val="0"/>
          <w:sz w:val="24"/>
          <w:szCs w:val="24"/>
          <w:lang w:val="en-US" w:eastAsia="en-US"/>
        </w:rPr>
        <w:t>s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of different durations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and </w:t>
      </w:r>
      <w:r w:rsidR="007B1580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then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>produce a forecast for the</w:t>
      </w:r>
      <w:r w:rsidR="0009746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last year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>’s</w:t>
      </w:r>
      <w:r w:rsidR="0009746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realized volatility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>for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09746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each </w:t>
      </w:r>
      <w:r w:rsidR="009847CE">
        <w:rPr>
          <w:rFonts w:eastAsia="Calibri"/>
          <w:color w:val="auto"/>
          <w:kern w:val="0"/>
          <w:sz w:val="24"/>
          <w:szCs w:val="24"/>
          <w:lang w:val="en-US" w:eastAsia="en-US"/>
        </w:rPr>
        <w:t>stock market index</w:t>
      </w:r>
      <w:r w:rsidR="00097469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</w:t>
      </w:r>
      <w:r w:rsidR="00C72F97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>The different pre-forecast periods comprised</w:t>
      </w:r>
      <w:r w:rsidR="007E114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last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>1,</w:t>
      </w:r>
      <w:r w:rsidR="007E114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2, 3,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and </w:t>
      </w:r>
      <w:r w:rsidR="007E114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5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>years, as well as</w:t>
      </w:r>
      <w:r w:rsidR="007E114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 the </w:t>
      </w:r>
      <w:r w:rsidR="00EA13DF"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entire </w:t>
      </w:r>
      <w:r w:rsidR="007E114A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period</w:t>
      </w:r>
      <w:r w:rsidR="00632C90" w:rsidRPr="00A87029">
        <w:rPr>
          <w:rFonts w:eastAsia="Calibri"/>
          <w:color w:val="auto"/>
          <w:kern w:val="0"/>
          <w:sz w:val="24"/>
          <w:szCs w:val="24"/>
          <w:lang w:val="en-US" w:eastAsia="en-US"/>
        </w:rPr>
        <w:t>.</w:t>
      </w:r>
    </w:p>
    <w:p w14:paraId="770E4403" w14:textId="77777777" w:rsidR="00F34147" w:rsidRDefault="00F34147" w:rsidP="008901C7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7954160E" w14:textId="77777777" w:rsidR="00F34147" w:rsidRDefault="00F34147" w:rsidP="008901C7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2C96A80B" w14:textId="77777777" w:rsidR="00C504CC" w:rsidRDefault="00C504CC" w:rsidP="008901C7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29DF17BD" w14:textId="77777777" w:rsidR="00F34147" w:rsidRPr="00374FE0" w:rsidRDefault="00F34147" w:rsidP="008901C7">
      <w:pPr>
        <w:autoSpaceDE w:val="0"/>
        <w:autoSpaceDN w:val="0"/>
        <w:adjustRightInd w:val="0"/>
        <w:spacing w:after="240" w:line="480" w:lineRule="auto"/>
        <w:ind w:firstLine="708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14:paraId="08C102B0" w14:textId="77777777" w:rsidR="00787403" w:rsidRDefault="00787403" w:rsidP="00787403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A87029">
        <w:rPr>
          <w:b/>
          <w:sz w:val="22"/>
          <w:szCs w:val="22"/>
          <w:lang w:val="en-US"/>
        </w:rPr>
        <w:t>Table 4</w:t>
      </w:r>
      <w:r>
        <w:rPr>
          <w:b/>
          <w:sz w:val="22"/>
          <w:szCs w:val="22"/>
          <w:lang w:val="en-US"/>
        </w:rPr>
        <w:t>.</w:t>
      </w:r>
      <w:r w:rsidR="00977F77">
        <w:rPr>
          <w:b/>
          <w:sz w:val="22"/>
          <w:szCs w:val="22"/>
          <w:lang w:val="en-US"/>
        </w:rPr>
        <w:t xml:space="preserve"> </w:t>
      </w:r>
      <w:r w:rsidR="00977F77" w:rsidRPr="00977F77">
        <w:rPr>
          <w:bCs/>
          <w:sz w:val="22"/>
          <w:szCs w:val="22"/>
          <w:lang w:val="en-US"/>
        </w:rPr>
        <w:t>Results of f</w:t>
      </w:r>
      <w:r w:rsidRPr="00977F77">
        <w:rPr>
          <w:bCs/>
          <w:sz w:val="22"/>
          <w:szCs w:val="22"/>
          <w:lang w:val="en-US"/>
        </w:rPr>
        <w:t>orecast</w:t>
      </w:r>
      <w:r w:rsidRPr="00A87029">
        <w:rPr>
          <w:sz w:val="22"/>
          <w:szCs w:val="22"/>
          <w:lang w:val="en-US"/>
        </w:rPr>
        <w:t xml:space="preserve"> evaluation</w:t>
      </w:r>
    </w:p>
    <w:p w14:paraId="6F90DAF9" w14:textId="77777777" w:rsidR="00787403" w:rsidRDefault="00787403" w:rsidP="00787403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32D75C6" w14:textId="77777777" w:rsidR="00787403" w:rsidRPr="00A87029" w:rsidRDefault="00787403" w:rsidP="00787403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20BF563" w14:textId="77777777" w:rsidR="00787403" w:rsidRPr="00A87029" w:rsidRDefault="00787403" w:rsidP="00787403">
      <w:pPr>
        <w:autoSpaceDE w:val="0"/>
        <w:autoSpaceDN w:val="0"/>
        <w:adjustRightInd w:val="0"/>
        <w:jc w:val="center"/>
        <w:rPr>
          <w:sz w:val="6"/>
          <w:lang w:val="en-US"/>
        </w:rPr>
      </w:pPr>
    </w:p>
    <w:tbl>
      <w:tblPr>
        <w:tblW w:w="992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949"/>
        <w:gridCol w:w="845"/>
        <w:gridCol w:w="996"/>
        <w:gridCol w:w="990"/>
        <w:gridCol w:w="1010"/>
        <w:gridCol w:w="970"/>
        <w:gridCol w:w="922"/>
        <w:gridCol w:w="872"/>
        <w:gridCol w:w="1024"/>
      </w:tblGrid>
      <w:tr w:rsidR="0037614A" w:rsidRPr="00A87029" w14:paraId="44549026" w14:textId="77777777" w:rsidTr="00F34147">
        <w:trPr>
          <w:trHeight w:val="468"/>
          <w:jc w:val="center"/>
        </w:trPr>
        <w:tc>
          <w:tcPr>
            <w:tcW w:w="360" w:type="dxa"/>
            <w:vAlign w:val="center"/>
          </w:tcPr>
          <w:p w14:paraId="3FD1A33E" w14:textId="77777777" w:rsidR="0037614A" w:rsidRPr="00F34147" w:rsidRDefault="0037614A" w:rsidP="003761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057EA" w14:textId="77777777" w:rsidR="0037614A" w:rsidRPr="00F34147" w:rsidRDefault="0037614A" w:rsidP="0037614A">
            <w:r w:rsidRPr="00F34147">
              <w:t>LRV FTSE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99668" w14:textId="77777777" w:rsidR="0037614A" w:rsidRPr="00F34147" w:rsidRDefault="0037614A" w:rsidP="0037614A">
            <w:r w:rsidRPr="00F34147">
              <w:t>LRV FCHI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BEAEC" w14:textId="77777777" w:rsidR="0037614A" w:rsidRPr="00F34147" w:rsidRDefault="0037614A" w:rsidP="0037614A">
            <w:r w:rsidRPr="00F34147">
              <w:t>LRV GDAX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04317" w14:textId="77777777" w:rsidR="0037614A" w:rsidRPr="00F34147" w:rsidRDefault="0037614A" w:rsidP="0037614A">
            <w:r w:rsidRPr="00F34147">
              <w:t>LRV SSMI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A9DCD" w14:textId="77777777" w:rsidR="0037614A" w:rsidRPr="00F34147" w:rsidRDefault="0037614A" w:rsidP="0037614A">
            <w:r w:rsidRPr="00F34147">
              <w:t>LRV FTMIB</w:t>
            </w:r>
          </w:p>
        </w:tc>
      </w:tr>
      <w:tr w:rsidR="00787403" w:rsidRPr="00A87029" w14:paraId="4112E626" w14:textId="77777777" w:rsidTr="00F34147">
        <w:trPr>
          <w:trHeight w:val="752"/>
          <w:jc w:val="center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14:paraId="7B2AD100" w14:textId="77777777" w:rsidR="00787403" w:rsidRPr="00F34147" w:rsidRDefault="00787403" w:rsidP="00E3376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34A0ECFB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>MSE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015F4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 xml:space="preserve">Theil’s </w:t>
            </w:r>
            <w:r w:rsidRPr="00F34147">
              <w:rPr>
                <w:i/>
                <w:sz w:val="18"/>
                <w:szCs w:val="18"/>
                <w:lang w:val="en-US"/>
              </w:rPr>
              <w:t>U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F108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>MSE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98D01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 xml:space="preserve">Theil’s </w:t>
            </w:r>
            <w:r w:rsidRPr="00F34147">
              <w:rPr>
                <w:i/>
                <w:sz w:val="18"/>
                <w:szCs w:val="18"/>
                <w:lang w:val="en-US"/>
              </w:rPr>
              <w:t>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5C0B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>MSE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EF56D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 xml:space="preserve">Theil’s </w:t>
            </w:r>
            <w:r w:rsidRPr="00F34147">
              <w:rPr>
                <w:i/>
                <w:sz w:val="18"/>
                <w:szCs w:val="18"/>
                <w:lang w:val="en-US"/>
              </w:rPr>
              <w:t>U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31DC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>MSE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A7E7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 xml:space="preserve">Theil’s </w:t>
            </w:r>
            <w:r w:rsidRPr="00F34147">
              <w:rPr>
                <w:i/>
                <w:sz w:val="18"/>
                <w:szCs w:val="18"/>
                <w:lang w:val="en-US"/>
              </w:rPr>
              <w:t>U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120BC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>MSE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A1A4" w14:textId="77777777" w:rsidR="00787403" w:rsidRPr="00F34147" w:rsidRDefault="00787403" w:rsidP="00E3376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34147">
              <w:rPr>
                <w:sz w:val="18"/>
                <w:szCs w:val="18"/>
                <w:lang w:val="en-US"/>
              </w:rPr>
              <w:t xml:space="preserve">Theil’s </w:t>
            </w:r>
            <w:r w:rsidRPr="00F34147">
              <w:rPr>
                <w:i/>
                <w:sz w:val="18"/>
                <w:szCs w:val="18"/>
                <w:lang w:val="en-US"/>
              </w:rPr>
              <w:t>U</w:t>
            </w:r>
          </w:p>
        </w:tc>
      </w:tr>
      <w:tr w:rsidR="00787403" w:rsidRPr="00A87029" w14:paraId="7A82794A" w14:textId="77777777" w:rsidTr="00F34147">
        <w:trPr>
          <w:trHeight w:val="451"/>
          <w:jc w:val="center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D1403EB" w14:textId="77777777" w:rsidR="00787403" w:rsidRPr="00F34147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3E7061E" w14:textId="77777777" w:rsidR="00787403" w:rsidRPr="00F34147" w:rsidRDefault="00656057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3.45e-04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60E28C21" w14:textId="77777777" w:rsidR="00787403" w:rsidRPr="00F34147" w:rsidRDefault="00656057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0.8562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6E26C905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60FAA865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0.6324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B1B13F8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28D9CC70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1.2037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4684B922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1.86e-05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6CBF1C06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0.4802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AA307BD" w14:textId="77777777" w:rsidR="00787403" w:rsidRPr="00F34147" w:rsidRDefault="00BC47A2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</w:t>
            </w:r>
            <w:r w:rsidR="001B3E75" w:rsidRPr="00F34147">
              <w:rPr>
                <w:lang w:val="en-US"/>
              </w:rPr>
              <w:t>.00</w:t>
            </w:r>
            <w:r w:rsidRPr="00F34147">
              <w:rPr>
                <w:lang w:val="en-US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5B6CDDB6" w14:textId="77777777" w:rsidR="00787403" w:rsidRPr="00F34147" w:rsidRDefault="00BC47A2" w:rsidP="00BC47A2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0.8615</w:t>
            </w:r>
          </w:p>
        </w:tc>
      </w:tr>
      <w:tr w:rsidR="00787403" w:rsidRPr="00A87029" w14:paraId="18EAD212" w14:textId="77777777" w:rsidTr="00F34147">
        <w:trPr>
          <w:trHeight w:val="568"/>
          <w:jc w:val="center"/>
        </w:trPr>
        <w:tc>
          <w:tcPr>
            <w:tcW w:w="360" w:type="dxa"/>
            <w:vAlign w:val="center"/>
          </w:tcPr>
          <w:p w14:paraId="7A73F47B" w14:textId="77777777" w:rsidR="00787403" w:rsidRPr="00F34147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14:paraId="4D770267" w14:textId="77777777" w:rsidR="00787403" w:rsidRPr="00F34147" w:rsidRDefault="00656057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1.18e-04</w:t>
            </w:r>
          </w:p>
        </w:tc>
        <w:tc>
          <w:tcPr>
            <w:tcW w:w="949" w:type="dxa"/>
            <w:vAlign w:val="center"/>
          </w:tcPr>
          <w:p w14:paraId="69A3FCA9" w14:textId="77777777" w:rsidR="00787403" w:rsidRPr="00F34147" w:rsidRDefault="00787403" w:rsidP="000C0BB1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</w:t>
            </w:r>
            <w:r w:rsidR="000C0BB1" w:rsidRPr="00F34147">
              <w:rPr>
                <w:lang w:val="en-US"/>
              </w:rPr>
              <w:t>6113</w:t>
            </w:r>
          </w:p>
        </w:tc>
        <w:tc>
          <w:tcPr>
            <w:tcW w:w="845" w:type="dxa"/>
            <w:vAlign w:val="center"/>
          </w:tcPr>
          <w:p w14:paraId="5320D807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0.001</w:t>
            </w:r>
          </w:p>
        </w:tc>
        <w:tc>
          <w:tcPr>
            <w:tcW w:w="996" w:type="dxa"/>
            <w:vAlign w:val="center"/>
          </w:tcPr>
          <w:p w14:paraId="2E0C6F51" w14:textId="77777777" w:rsidR="00787403" w:rsidRPr="00F34147" w:rsidRDefault="00B81ECE" w:rsidP="001D7C5E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1.4462</w:t>
            </w:r>
          </w:p>
        </w:tc>
        <w:tc>
          <w:tcPr>
            <w:tcW w:w="990" w:type="dxa"/>
            <w:vAlign w:val="center"/>
          </w:tcPr>
          <w:p w14:paraId="2E174A0C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0.0007</w:t>
            </w:r>
          </w:p>
        </w:tc>
        <w:tc>
          <w:tcPr>
            <w:tcW w:w="1010" w:type="dxa"/>
            <w:vAlign w:val="center"/>
          </w:tcPr>
          <w:p w14:paraId="4E807D1C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1.277</w:t>
            </w:r>
          </w:p>
        </w:tc>
        <w:tc>
          <w:tcPr>
            <w:tcW w:w="970" w:type="dxa"/>
            <w:vAlign w:val="center"/>
          </w:tcPr>
          <w:p w14:paraId="324C7157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0.00006</w:t>
            </w:r>
          </w:p>
        </w:tc>
        <w:tc>
          <w:tcPr>
            <w:tcW w:w="922" w:type="dxa"/>
            <w:vAlign w:val="center"/>
          </w:tcPr>
          <w:p w14:paraId="39A4EC19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1.2684</w:t>
            </w:r>
          </w:p>
        </w:tc>
        <w:tc>
          <w:tcPr>
            <w:tcW w:w="872" w:type="dxa"/>
            <w:vAlign w:val="center"/>
          </w:tcPr>
          <w:p w14:paraId="07025E97" w14:textId="77777777" w:rsidR="00787403" w:rsidRPr="00F34147" w:rsidRDefault="00BC47A2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</w:t>
            </w:r>
            <w:r w:rsidR="00B853D2" w:rsidRPr="00F34147">
              <w:rPr>
                <w:lang w:val="en-US"/>
              </w:rPr>
              <w:t>.0004</w:t>
            </w:r>
          </w:p>
        </w:tc>
        <w:tc>
          <w:tcPr>
            <w:tcW w:w="1024" w:type="dxa"/>
            <w:vAlign w:val="center"/>
          </w:tcPr>
          <w:p w14:paraId="00F382BA" w14:textId="77777777" w:rsidR="00787403" w:rsidRPr="00F34147" w:rsidRDefault="00B853D2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0.9768</w:t>
            </w:r>
          </w:p>
        </w:tc>
      </w:tr>
      <w:tr w:rsidR="00787403" w:rsidRPr="00A87029" w14:paraId="3D73AA2E" w14:textId="77777777" w:rsidTr="00F34147">
        <w:trPr>
          <w:trHeight w:val="424"/>
          <w:jc w:val="center"/>
        </w:trPr>
        <w:tc>
          <w:tcPr>
            <w:tcW w:w="360" w:type="dxa"/>
            <w:vAlign w:val="center"/>
          </w:tcPr>
          <w:p w14:paraId="0389AE5F" w14:textId="77777777" w:rsidR="00787403" w:rsidRPr="00F34147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3</w:t>
            </w:r>
          </w:p>
        </w:tc>
        <w:tc>
          <w:tcPr>
            <w:tcW w:w="990" w:type="dxa"/>
            <w:vAlign w:val="center"/>
          </w:tcPr>
          <w:p w14:paraId="53F32979" w14:textId="77777777" w:rsidR="00787403" w:rsidRPr="00F34147" w:rsidRDefault="000C0BB1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2.01e-04</w:t>
            </w:r>
          </w:p>
        </w:tc>
        <w:tc>
          <w:tcPr>
            <w:tcW w:w="949" w:type="dxa"/>
            <w:vAlign w:val="center"/>
          </w:tcPr>
          <w:p w14:paraId="328AD692" w14:textId="77777777" w:rsidR="00787403" w:rsidRPr="00F34147" w:rsidRDefault="00787403" w:rsidP="000C0BB1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</w:t>
            </w:r>
            <w:r w:rsidR="000C0BB1" w:rsidRPr="00F34147">
              <w:rPr>
                <w:lang w:val="en-US"/>
              </w:rPr>
              <w:t>6951</w:t>
            </w:r>
          </w:p>
        </w:tc>
        <w:tc>
          <w:tcPr>
            <w:tcW w:w="845" w:type="dxa"/>
            <w:vAlign w:val="center"/>
          </w:tcPr>
          <w:p w14:paraId="1356657A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0.0001</w:t>
            </w:r>
          </w:p>
        </w:tc>
        <w:tc>
          <w:tcPr>
            <w:tcW w:w="996" w:type="dxa"/>
            <w:vAlign w:val="center"/>
          </w:tcPr>
          <w:p w14:paraId="747FA2E7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0.3517</w:t>
            </w:r>
          </w:p>
        </w:tc>
        <w:tc>
          <w:tcPr>
            <w:tcW w:w="990" w:type="dxa"/>
            <w:vAlign w:val="center"/>
          </w:tcPr>
          <w:p w14:paraId="5F9970DA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1.45e-04</w:t>
            </w:r>
          </w:p>
        </w:tc>
        <w:tc>
          <w:tcPr>
            <w:tcW w:w="1010" w:type="dxa"/>
            <w:vAlign w:val="center"/>
          </w:tcPr>
          <w:p w14:paraId="1C8B3BA1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0.6685</w:t>
            </w:r>
          </w:p>
        </w:tc>
        <w:tc>
          <w:tcPr>
            <w:tcW w:w="970" w:type="dxa"/>
            <w:vAlign w:val="center"/>
          </w:tcPr>
          <w:p w14:paraId="247B6090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0.00004</w:t>
            </w:r>
          </w:p>
        </w:tc>
        <w:tc>
          <w:tcPr>
            <w:tcW w:w="922" w:type="dxa"/>
            <w:vAlign w:val="center"/>
          </w:tcPr>
          <w:p w14:paraId="2C343C52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0.7641</w:t>
            </w:r>
          </w:p>
        </w:tc>
        <w:tc>
          <w:tcPr>
            <w:tcW w:w="872" w:type="dxa"/>
            <w:vAlign w:val="center"/>
          </w:tcPr>
          <w:p w14:paraId="6AFADE9E" w14:textId="77777777" w:rsidR="00787403" w:rsidRPr="00F34147" w:rsidRDefault="00BC47A2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</w:t>
            </w:r>
            <w:r w:rsidR="001B3E75" w:rsidRPr="00F34147">
              <w:rPr>
                <w:lang w:val="en-US"/>
              </w:rPr>
              <w:t>0</w:t>
            </w:r>
            <w:r w:rsidR="00B853D2" w:rsidRPr="00F34147">
              <w:rPr>
                <w:lang w:val="en-US"/>
              </w:rPr>
              <w:t>5</w:t>
            </w:r>
          </w:p>
        </w:tc>
        <w:tc>
          <w:tcPr>
            <w:tcW w:w="1024" w:type="dxa"/>
            <w:vAlign w:val="center"/>
          </w:tcPr>
          <w:p w14:paraId="353B4285" w14:textId="77777777" w:rsidR="00787403" w:rsidRPr="00F34147" w:rsidRDefault="00B853D2" w:rsidP="00BC47A2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1.0524</w:t>
            </w:r>
          </w:p>
        </w:tc>
      </w:tr>
      <w:tr w:rsidR="00787403" w:rsidRPr="00A87029" w14:paraId="7484BAB6" w14:textId="77777777" w:rsidTr="00F34147">
        <w:trPr>
          <w:trHeight w:val="519"/>
          <w:jc w:val="center"/>
        </w:trPr>
        <w:tc>
          <w:tcPr>
            <w:tcW w:w="360" w:type="dxa"/>
            <w:vAlign w:val="center"/>
          </w:tcPr>
          <w:p w14:paraId="19547397" w14:textId="77777777" w:rsidR="00787403" w:rsidRPr="00F34147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5</w:t>
            </w:r>
          </w:p>
        </w:tc>
        <w:tc>
          <w:tcPr>
            <w:tcW w:w="990" w:type="dxa"/>
            <w:vAlign w:val="center"/>
          </w:tcPr>
          <w:p w14:paraId="57E32944" w14:textId="77777777" w:rsidR="00787403" w:rsidRPr="00F34147" w:rsidRDefault="000C0BB1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4.95e-04</w:t>
            </w:r>
          </w:p>
        </w:tc>
        <w:tc>
          <w:tcPr>
            <w:tcW w:w="949" w:type="dxa"/>
            <w:vAlign w:val="center"/>
          </w:tcPr>
          <w:p w14:paraId="40B3057F" w14:textId="77777777" w:rsidR="00787403" w:rsidRPr="00F34147" w:rsidRDefault="000C0BB1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1.0638</w:t>
            </w:r>
          </w:p>
        </w:tc>
        <w:tc>
          <w:tcPr>
            <w:tcW w:w="845" w:type="dxa"/>
            <w:vAlign w:val="center"/>
          </w:tcPr>
          <w:p w14:paraId="2EE6B347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0.0002</w:t>
            </w:r>
          </w:p>
        </w:tc>
        <w:tc>
          <w:tcPr>
            <w:tcW w:w="996" w:type="dxa"/>
            <w:vAlign w:val="center"/>
          </w:tcPr>
          <w:p w14:paraId="637871F9" w14:textId="77777777" w:rsidR="00787403" w:rsidRPr="00F34147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0.8234</w:t>
            </w:r>
          </w:p>
        </w:tc>
        <w:tc>
          <w:tcPr>
            <w:tcW w:w="990" w:type="dxa"/>
            <w:vAlign w:val="center"/>
          </w:tcPr>
          <w:p w14:paraId="1EB94CBA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0.0003</w:t>
            </w:r>
          </w:p>
        </w:tc>
        <w:tc>
          <w:tcPr>
            <w:tcW w:w="1010" w:type="dxa"/>
            <w:vAlign w:val="center"/>
          </w:tcPr>
          <w:p w14:paraId="45C14B4B" w14:textId="77777777" w:rsidR="00787403" w:rsidRPr="00F34147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1.4658</w:t>
            </w:r>
          </w:p>
        </w:tc>
        <w:tc>
          <w:tcPr>
            <w:tcW w:w="970" w:type="dxa"/>
            <w:vAlign w:val="center"/>
          </w:tcPr>
          <w:p w14:paraId="23726047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0.00005</w:t>
            </w:r>
          </w:p>
        </w:tc>
        <w:tc>
          <w:tcPr>
            <w:tcW w:w="922" w:type="dxa"/>
            <w:vAlign w:val="center"/>
          </w:tcPr>
          <w:p w14:paraId="75E44A13" w14:textId="77777777" w:rsidR="00787403" w:rsidRPr="00F34147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0.8581</w:t>
            </w:r>
          </w:p>
        </w:tc>
        <w:tc>
          <w:tcPr>
            <w:tcW w:w="872" w:type="dxa"/>
            <w:vAlign w:val="center"/>
          </w:tcPr>
          <w:p w14:paraId="51FAA347" w14:textId="77777777" w:rsidR="00787403" w:rsidRPr="00F34147" w:rsidRDefault="00BC47A2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0.</w:t>
            </w:r>
            <w:r w:rsidR="001B3E75" w:rsidRPr="00F34147">
              <w:rPr>
                <w:lang w:val="en-US"/>
              </w:rPr>
              <w:t>000</w:t>
            </w:r>
            <w:r w:rsidRPr="00F34147">
              <w:rPr>
                <w:lang w:val="en-US"/>
              </w:rPr>
              <w:t>8</w:t>
            </w:r>
          </w:p>
        </w:tc>
        <w:tc>
          <w:tcPr>
            <w:tcW w:w="1024" w:type="dxa"/>
            <w:vAlign w:val="center"/>
          </w:tcPr>
          <w:p w14:paraId="1756B5AF" w14:textId="77777777" w:rsidR="00787403" w:rsidRPr="00F34147" w:rsidRDefault="00B853D2" w:rsidP="00E33765">
            <w:pPr>
              <w:spacing w:line="360" w:lineRule="auto"/>
              <w:jc w:val="center"/>
              <w:rPr>
                <w:lang w:val="en-US"/>
              </w:rPr>
            </w:pPr>
            <w:r w:rsidRPr="00F34147">
              <w:rPr>
                <w:lang w:val="en-US"/>
              </w:rPr>
              <w:t>1.2580</w:t>
            </w:r>
          </w:p>
        </w:tc>
      </w:tr>
      <w:tr w:rsidR="00787403" w:rsidRPr="00A87029" w14:paraId="0E1ABA07" w14:textId="77777777" w:rsidTr="00F34147">
        <w:trPr>
          <w:trHeight w:val="175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FBC48A" w14:textId="77777777" w:rsidR="00787403" w:rsidRPr="00E33765" w:rsidRDefault="00787403" w:rsidP="00E33765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All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AFB5AE" w14:textId="77777777" w:rsidR="00787403" w:rsidRPr="00E33765" w:rsidRDefault="000C0BB1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5.26e-04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02D99BFF" w14:textId="77777777" w:rsidR="00787403" w:rsidRPr="00E33765" w:rsidRDefault="000C0BB1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2.8625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142398F" w14:textId="77777777" w:rsidR="00787403" w:rsidRPr="00E33765" w:rsidRDefault="00787403" w:rsidP="00B81ECE">
            <w:pPr>
              <w:spacing w:line="360" w:lineRule="auto"/>
              <w:jc w:val="center"/>
              <w:rPr>
                <w:lang w:val="en-US"/>
              </w:rPr>
            </w:pPr>
            <w:r w:rsidRPr="00E33765">
              <w:rPr>
                <w:lang w:val="en-US"/>
              </w:rPr>
              <w:t>0.</w:t>
            </w:r>
            <w:r w:rsidR="00B81ECE">
              <w:rPr>
                <w:lang w:val="en-US"/>
              </w:rPr>
              <w:t>0</w:t>
            </w:r>
            <w:r w:rsidR="001B3E75">
              <w:rPr>
                <w:lang w:val="en-US"/>
              </w:rPr>
              <w:t>0</w:t>
            </w:r>
            <w:r w:rsidR="00B81ECE">
              <w:rPr>
                <w:lang w:val="en-US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4A71E70" w14:textId="77777777" w:rsidR="00787403" w:rsidRPr="00E33765" w:rsidRDefault="00B81ECE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4.4549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A476010" w14:textId="77777777" w:rsidR="00787403" w:rsidRPr="00E33765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F3D3A8D" w14:textId="77777777" w:rsidR="00787403" w:rsidRPr="00E33765" w:rsidRDefault="00D6586B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3.6436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AFC0CE9" w14:textId="77777777" w:rsidR="00787403" w:rsidRPr="00E33765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0.0001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28830BE" w14:textId="77777777" w:rsidR="00787403" w:rsidRPr="00E33765" w:rsidRDefault="0017321C" w:rsidP="00E3376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2.1232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DC2CAA8" w14:textId="77777777" w:rsidR="00787403" w:rsidRPr="00B853D2" w:rsidRDefault="00B853D2" w:rsidP="00E33765">
            <w:pPr>
              <w:spacing w:line="360" w:lineRule="auto"/>
              <w:jc w:val="center"/>
              <w:rPr>
                <w:lang w:val="en-US"/>
              </w:rPr>
            </w:pPr>
            <w:r w:rsidRPr="00B853D2">
              <w:rPr>
                <w:lang w:val="en-US"/>
              </w:rPr>
              <w:t>0.0004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24E55C82" w14:textId="77777777" w:rsidR="00787403" w:rsidRPr="00B853D2" w:rsidRDefault="00B853D2" w:rsidP="00E33765">
            <w:pPr>
              <w:spacing w:line="360" w:lineRule="auto"/>
              <w:jc w:val="center"/>
              <w:rPr>
                <w:lang w:val="en-US"/>
              </w:rPr>
            </w:pPr>
            <w:r w:rsidRPr="00B853D2">
              <w:rPr>
                <w:lang w:val="en-US"/>
              </w:rPr>
              <w:t>3.7129</w:t>
            </w:r>
          </w:p>
        </w:tc>
      </w:tr>
      <w:tr w:rsidR="00787403" w:rsidRPr="00446F5B" w14:paraId="0C33CE81" w14:textId="77777777" w:rsidTr="00D437F5">
        <w:trPr>
          <w:trHeight w:val="175"/>
          <w:jc w:val="center"/>
        </w:trPr>
        <w:tc>
          <w:tcPr>
            <w:tcW w:w="99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F4701" w14:textId="77777777" w:rsidR="00787403" w:rsidRPr="00E33765" w:rsidRDefault="00787403" w:rsidP="00787403">
            <w:pPr>
              <w:rPr>
                <w:lang w:val="en-US"/>
              </w:rPr>
            </w:pPr>
            <w:r w:rsidRPr="00E33765">
              <w:rPr>
                <w:b/>
                <w:lang w:val="en-US"/>
              </w:rPr>
              <w:t>Note</w:t>
            </w:r>
            <w:r w:rsidRPr="00E33765">
              <w:rPr>
                <w:lang w:val="en-US"/>
              </w:rPr>
              <w:t>:</w:t>
            </w:r>
            <w:r w:rsidR="00C72F97">
              <w:rPr>
                <w:lang w:val="en-US"/>
              </w:rPr>
              <w:t xml:space="preserve"> </w:t>
            </w:r>
            <w:r w:rsidRPr="00E33765">
              <w:rPr>
                <w:lang w:val="en-US"/>
              </w:rPr>
              <w:t>Forecast evaluation statistics comparing the accuracy of one-year, out-of-sample forecasts depending on the length of pre-forecast period</w:t>
            </w:r>
          </w:p>
        </w:tc>
      </w:tr>
    </w:tbl>
    <w:p w14:paraId="3A85D5DF" w14:textId="77777777" w:rsidR="00787403" w:rsidRPr="00A87029" w:rsidRDefault="00787403" w:rsidP="00787403">
      <w:pPr>
        <w:spacing w:line="360" w:lineRule="auto"/>
        <w:jc w:val="both"/>
        <w:rPr>
          <w:sz w:val="28"/>
          <w:szCs w:val="28"/>
          <w:lang w:val="en-US"/>
        </w:rPr>
      </w:pPr>
      <w:r w:rsidRPr="00A87029">
        <w:rPr>
          <w:lang w:val="en-US"/>
        </w:rPr>
        <w:t>.</w:t>
      </w:r>
    </w:p>
    <w:p w14:paraId="3B6AAFE4" w14:textId="77777777" w:rsidR="00090F44" w:rsidRPr="00A87029" w:rsidRDefault="00090F44" w:rsidP="006D0CBD">
      <w:pPr>
        <w:spacing w:line="360" w:lineRule="auto"/>
        <w:ind w:firstLine="708"/>
        <w:jc w:val="center"/>
        <w:rPr>
          <w:sz w:val="24"/>
          <w:szCs w:val="24"/>
          <w:lang w:val="en-US"/>
        </w:rPr>
      </w:pPr>
    </w:p>
    <w:p w14:paraId="06EA9C8B" w14:textId="7D8DED06" w:rsidR="000C1B1C" w:rsidRDefault="00CC0A06" w:rsidP="005A5F90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  <w:r w:rsidRPr="00CC0A06">
        <w:rPr>
          <w:sz w:val="24"/>
          <w:szCs w:val="24"/>
          <w:lang w:val="en-US"/>
        </w:rPr>
        <w:t>Table 4 presents statistics</w:t>
      </w:r>
      <w:r w:rsidR="007B1580">
        <w:rPr>
          <w:sz w:val="24"/>
          <w:szCs w:val="24"/>
          <w:lang w:val="en-US"/>
        </w:rPr>
        <w:t xml:space="preserve"> that</w:t>
      </w:r>
      <w:r w:rsidRPr="00CC0A06">
        <w:rPr>
          <w:sz w:val="24"/>
          <w:szCs w:val="24"/>
          <w:lang w:val="en-US"/>
        </w:rPr>
        <w:t xml:space="preserve"> illustrat</w:t>
      </w:r>
      <w:r w:rsidR="007B1580">
        <w:rPr>
          <w:sz w:val="24"/>
          <w:szCs w:val="24"/>
          <w:lang w:val="en-US"/>
        </w:rPr>
        <w:t>e</w:t>
      </w:r>
      <w:r w:rsidRPr="00CC0A06">
        <w:rPr>
          <w:sz w:val="24"/>
          <w:szCs w:val="24"/>
          <w:lang w:val="en-US"/>
        </w:rPr>
        <w:t xml:space="preserve"> the performance of the forecasts.</w:t>
      </w:r>
      <w:r w:rsidR="005A5F90">
        <w:rPr>
          <w:sz w:val="24"/>
          <w:szCs w:val="24"/>
          <w:lang w:val="en-US"/>
        </w:rPr>
        <w:t xml:space="preserve"> </w:t>
      </w:r>
      <w:r w:rsidR="005A5F90" w:rsidRPr="00CC0A06">
        <w:rPr>
          <w:sz w:val="24"/>
          <w:szCs w:val="24"/>
          <w:lang w:val="en-US"/>
        </w:rPr>
        <w:t>For</w:t>
      </w:r>
      <w:r w:rsidR="005A5F90">
        <w:rPr>
          <w:sz w:val="24"/>
          <w:szCs w:val="24"/>
          <w:lang w:val="en-US"/>
        </w:rPr>
        <w:t xml:space="preserve"> </w:t>
      </w:r>
      <w:r w:rsidR="007B1580">
        <w:rPr>
          <w:sz w:val="24"/>
          <w:szCs w:val="24"/>
          <w:lang w:val="en-US"/>
        </w:rPr>
        <w:t xml:space="preserve">the </w:t>
      </w:r>
      <w:r w:rsidR="005A5F90">
        <w:rPr>
          <w:sz w:val="24"/>
          <w:szCs w:val="24"/>
          <w:lang w:val="en-US"/>
        </w:rPr>
        <w:t>SSMI series</w:t>
      </w:r>
      <w:r w:rsidR="005A5F90" w:rsidRPr="00CC0A06">
        <w:rPr>
          <w:sz w:val="24"/>
          <w:szCs w:val="24"/>
          <w:lang w:val="en-US"/>
        </w:rPr>
        <w:t xml:space="preserve">, the best forecast is </w:t>
      </w:r>
      <w:r w:rsidR="005A5F90">
        <w:rPr>
          <w:sz w:val="24"/>
          <w:szCs w:val="24"/>
          <w:lang w:val="en-US"/>
        </w:rPr>
        <w:t>base</w:t>
      </w:r>
      <w:r w:rsidR="007B1580">
        <w:rPr>
          <w:sz w:val="24"/>
          <w:szCs w:val="24"/>
          <w:lang w:val="en-US"/>
        </w:rPr>
        <w:t>d</w:t>
      </w:r>
      <w:r w:rsidR="005A5F90">
        <w:rPr>
          <w:sz w:val="24"/>
          <w:szCs w:val="24"/>
          <w:lang w:val="en-US"/>
        </w:rPr>
        <w:t xml:space="preserve"> on the model estimated using </w:t>
      </w:r>
      <w:r w:rsidR="005A5F90" w:rsidRPr="00CC0A06">
        <w:rPr>
          <w:sz w:val="24"/>
          <w:szCs w:val="24"/>
          <w:lang w:val="en-US"/>
        </w:rPr>
        <w:t xml:space="preserve">the </w:t>
      </w:r>
      <w:r w:rsidR="005A5F90">
        <w:rPr>
          <w:sz w:val="24"/>
          <w:szCs w:val="24"/>
          <w:lang w:val="en-US"/>
        </w:rPr>
        <w:t xml:space="preserve">two </w:t>
      </w:r>
      <w:r w:rsidR="005A5F90" w:rsidRPr="00CC0A06">
        <w:rPr>
          <w:sz w:val="24"/>
          <w:szCs w:val="24"/>
          <w:lang w:val="en-US"/>
        </w:rPr>
        <w:t>previous year</w:t>
      </w:r>
      <w:r w:rsidR="005A5F90">
        <w:rPr>
          <w:sz w:val="24"/>
          <w:szCs w:val="24"/>
          <w:lang w:val="en-US"/>
        </w:rPr>
        <w:t>s</w:t>
      </w:r>
      <w:r w:rsidR="005A5F90" w:rsidRPr="00CC0A06">
        <w:rPr>
          <w:sz w:val="24"/>
          <w:szCs w:val="24"/>
          <w:lang w:val="en-US"/>
        </w:rPr>
        <w:t xml:space="preserve">, with the worst forecast </w:t>
      </w:r>
      <w:r w:rsidR="007B1580">
        <w:rPr>
          <w:sz w:val="24"/>
          <w:szCs w:val="24"/>
          <w:lang w:val="en-US"/>
        </w:rPr>
        <w:t xml:space="preserve">being </w:t>
      </w:r>
      <w:r w:rsidR="005A5F90" w:rsidRPr="00CC0A06">
        <w:rPr>
          <w:sz w:val="24"/>
          <w:szCs w:val="24"/>
          <w:lang w:val="en-US"/>
        </w:rPr>
        <w:t>based on the whole period.</w:t>
      </w:r>
      <w:r w:rsidRPr="00CC0A06">
        <w:rPr>
          <w:sz w:val="24"/>
          <w:szCs w:val="24"/>
          <w:lang w:val="en-US"/>
        </w:rPr>
        <w:t xml:space="preserve"> For both </w:t>
      </w:r>
      <w:r w:rsidR="007B1580">
        <w:rPr>
          <w:sz w:val="24"/>
          <w:szCs w:val="24"/>
          <w:lang w:val="en-US"/>
        </w:rPr>
        <w:t xml:space="preserve">the </w:t>
      </w:r>
      <w:r w:rsidR="005A5F90">
        <w:rPr>
          <w:sz w:val="24"/>
          <w:szCs w:val="24"/>
          <w:lang w:val="en-US"/>
        </w:rPr>
        <w:t>FCHI and GDAX</w:t>
      </w:r>
      <w:r w:rsidRPr="00CC0A06">
        <w:rPr>
          <w:sz w:val="24"/>
          <w:szCs w:val="24"/>
          <w:lang w:val="en-US"/>
        </w:rPr>
        <w:t xml:space="preserve"> </w:t>
      </w:r>
      <w:r w:rsidR="005A5F90">
        <w:rPr>
          <w:sz w:val="24"/>
          <w:szCs w:val="24"/>
          <w:lang w:val="en-US"/>
        </w:rPr>
        <w:t>series</w:t>
      </w:r>
      <w:r w:rsidRPr="00CC0A06">
        <w:rPr>
          <w:sz w:val="24"/>
          <w:szCs w:val="24"/>
          <w:lang w:val="en-US"/>
        </w:rPr>
        <w:t xml:space="preserve">, the MSE and Theil’s U </w:t>
      </w:r>
      <w:r w:rsidR="007B1580">
        <w:rPr>
          <w:sz w:val="24"/>
          <w:szCs w:val="24"/>
          <w:lang w:val="en-US"/>
        </w:rPr>
        <w:t>suggest that</w:t>
      </w:r>
      <w:r w:rsidR="007B1580" w:rsidRPr="00CC0A06">
        <w:rPr>
          <w:sz w:val="24"/>
          <w:szCs w:val="24"/>
          <w:lang w:val="en-US"/>
        </w:rPr>
        <w:t xml:space="preserve"> </w:t>
      </w:r>
      <w:r w:rsidRPr="00CC0A06">
        <w:rPr>
          <w:sz w:val="24"/>
          <w:szCs w:val="24"/>
          <w:lang w:val="en-US"/>
        </w:rPr>
        <w:t xml:space="preserve">the forecast based on the previous three years </w:t>
      </w:r>
      <w:r w:rsidR="007B1580">
        <w:rPr>
          <w:sz w:val="24"/>
          <w:szCs w:val="24"/>
          <w:lang w:val="en-US"/>
        </w:rPr>
        <w:t xml:space="preserve">is </w:t>
      </w:r>
      <w:r w:rsidRPr="00CC0A06">
        <w:rPr>
          <w:sz w:val="24"/>
          <w:szCs w:val="24"/>
          <w:lang w:val="en-US"/>
        </w:rPr>
        <w:t>the best, while the forecast based on the whole period is the worst. For</w:t>
      </w:r>
      <w:r w:rsidR="00B853D2">
        <w:rPr>
          <w:sz w:val="24"/>
          <w:szCs w:val="24"/>
          <w:lang w:val="en-US"/>
        </w:rPr>
        <w:t xml:space="preserve"> both</w:t>
      </w:r>
      <w:r w:rsidR="005A5F90">
        <w:rPr>
          <w:sz w:val="24"/>
          <w:szCs w:val="24"/>
          <w:lang w:val="en-US"/>
        </w:rPr>
        <w:t xml:space="preserve"> </w:t>
      </w:r>
      <w:r w:rsidR="007B1580">
        <w:rPr>
          <w:sz w:val="24"/>
          <w:szCs w:val="24"/>
          <w:lang w:val="en-US"/>
        </w:rPr>
        <w:t xml:space="preserve">the </w:t>
      </w:r>
      <w:r w:rsidR="005A5F90">
        <w:rPr>
          <w:sz w:val="24"/>
          <w:szCs w:val="24"/>
          <w:lang w:val="en-US"/>
        </w:rPr>
        <w:t xml:space="preserve">SSMI </w:t>
      </w:r>
      <w:r w:rsidR="00B853D2">
        <w:rPr>
          <w:sz w:val="24"/>
          <w:szCs w:val="24"/>
          <w:lang w:val="en-US"/>
        </w:rPr>
        <w:t xml:space="preserve">and FTMIB </w:t>
      </w:r>
      <w:r w:rsidR="005A5F90">
        <w:rPr>
          <w:sz w:val="24"/>
          <w:szCs w:val="24"/>
          <w:lang w:val="en-US"/>
        </w:rPr>
        <w:t>series</w:t>
      </w:r>
      <w:r w:rsidRPr="00CC0A06">
        <w:rPr>
          <w:sz w:val="24"/>
          <w:szCs w:val="24"/>
          <w:lang w:val="en-US"/>
        </w:rPr>
        <w:t xml:space="preserve">, the best forecast is achieved with the model estimated using just the previous year, with the worst forecast again being based on the whole period. This progressive deterioration </w:t>
      </w:r>
      <w:r w:rsidR="007B1580">
        <w:rPr>
          <w:sz w:val="24"/>
          <w:szCs w:val="24"/>
          <w:lang w:val="en-US"/>
        </w:rPr>
        <w:t xml:space="preserve">in performance </w:t>
      </w:r>
      <w:r w:rsidRPr="00CC0A06">
        <w:rPr>
          <w:sz w:val="24"/>
          <w:szCs w:val="24"/>
          <w:lang w:val="en-US"/>
        </w:rPr>
        <w:t>with longer forecast periods contrasts with the notion that estimated parameters are more accurate with more data. One plausible explanation for this could be that extreme events occurr</w:t>
      </w:r>
      <w:r w:rsidR="007B1580">
        <w:rPr>
          <w:sz w:val="24"/>
          <w:szCs w:val="24"/>
          <w:lang w:val="en-US"/>
        </w:rPr>
        <w:t>ed</w:t>
      </w:r>
      <w:r w:rsidRPr="00CC0A06">
        <w:rPr>
          <w:sz w:val="24"/>
          <w:szCs w:val="24"/>
          <w:lang w:val="en-US"/>
        </w:rPr>
        <w:t xml:space="preserve"> during the forecast period (e.g., cris</w:t>
      </w:r>
      <w:r w:rsidR="007B1580">
        <w:rPr>
          <w:sz w:val="24"/>
          <w:szCs w:val="24"/>
          <w:lang w:val="en-US"/>
        </w:rPr>
        <w:t>e</w:t>
      </w:r>
      <w:r w:rsidRPr="00CC0A06">
        <w:rPr>
          <w:sz w:val="24"/>
          <w:szCs w:val="24"/>
          <w:lang w:val="en-US"/>
        </w:rPr>
        <w:t>s, shocks, news)</w:t>
      </w:r>
      <w:r w:rsidR="007B1580">
        <w:rPr>
          <w:sz w:val="24"/>
          <w:szCs w:val="24"/>
          <w:lang w:val="en-US"/>
        </w:rPr>
        <w:t>, and these</w:t>
      </w:r>
      <w:r w:rsidRPr="00CC0A06">
        <w:rPr>
          <w:sz w:val="24"/>
          <w:szCs w:val="24"/>
          <w:lang w:val="en-US"/>
        </w:rPr>
        <w:t xml:space="preserve"> affect</w:t>
      </w:r>
      <w:r w:rsidR="007B1580">
        <w:rPr>
          <w:sz w:val="24"/>
          <w:szCs w:val="24"/>
          <w:lang w:val="en-US"/>
        </w:rPr>
        <w:t>ed</w:t>
      </w:r>
      <w:r w:rsidRPr="00CC0A06">
        <w:rPr>
          <w:sz w:val="24"/>
          <w:szCs w:val="24"/>
          <w:lang w:val="en-US"/>
        </w:rPr>
        <w:t xml:space="preserve"> the evolution of volatility in the </w:t>
      </w:r>
      <w:r w:rsidR="005A5F90">
        <w:rPr>
          <w:sz w:val="24"/>
          <w:szCs w:val="24"/>
          <w:lang w:val="en-US"/>
        </w:rPr>
        <w:t>stock</w:t>
      </w:r>
      <w:r w:rsidRPr="00CC0A06">
        <w:rPr>
          <w:sz w:val="24"/>
          <w:szCs w:val="24"/>
          <w:lang w:val="en-US"/>
        </w:rPr>
        <w:t xml:space="preserve"> market.</w:t>
      </w:r>
    </w:p>
    <w:p w14:paraId="50A92988" w14:textId="77777777" w:rsidR="00BD21FA" w:rsidRDefault="00BD21FA" w:rsidP="005A5F90">
      <w:pPr>
        <w:spacing w:after="240" w:line="480" w:lineRule="auto"/>
        <w:ind w:firstLine="708"/>
        <w:jc w:val="both"/>
        <w:rPr>
          <w:sz w:val="24"/>
          <w:szCs w:val="24"/>
          <w:lang w:val="en-US"/>
        </w:rPr>
      </w:pPr>
    </w:p>
    <w:p w14:paraId="71842462" w14:textId="77777777" w:rsidR="00BB602F" w:rsidRPr="00B64292" w:rsidRDefault="00A40977" w:rsidP="00B64292">
      <w:pPr>
        <w:tabs>
          <w:tab w:val="left" w:pos="5370"/>
        </w:tabs>
        <w:spacing w:line="480" w:lineRule="auto"/>
        <w:jc w:val="both"/>
        <w:rPr>
          <w:b/>
          <w:sz w:val="28"/>
          <w:szCs w:val="28"/>
          <w:lang w:val="en-US"/>
        </w:rPr>
      </w:pPr>
      <w:r w:rsidRPr="00432750">
        <w:rPr>
          <w:b/>
          <w:sz w:val="28"/>
          <w:szCs w:val="28"/>
          <w:lang w:val="en-US"/>
        </w:rPr>
        <w:lastRenderedPageBreak/>
        <w:t>5.</w:t>
      </w:r>
      <w:r w:rsidR="008C6A0D" w:rsidRPr="00432750">
        <w:rPr>
          <w:b/>
          <w:sz w:val="28"/>
          <w:szCs w:val="28"/>
          <w:lang w:val="en-US"/>
        </w:rPr>
        <w:t xml:space="preserve"> Conclusion</w:t>
      </w:r>
      <w:r w:rsidR="00D666F0">
        <w:rPr>
          <w:b/>
          <w:sz w:val="28"/>
          <w:szCs w:val="28"/>
          <w:lang w:val="en-US"/>
        </w:rPr>
        <w:tab/>
      </w:r>
    </w:p>
    <w:p w14:paraId="7574C407" w14:textId="5C577953" w:rsidR="00CC0A06" w:rsidRPr="00D23333" w:rsidRDefault="007B1580" w:rsidP="00766984">
      <w:pPr>
        <w:spacing w:line="480" w:lineRule="auto"/>
        <w:ind w:firstLine="708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This</w:t>
      </w:r>
      <w:r w:rsidR="00BB602F" w:rsidRPr="00D23333">
        <w:rPr>
          <w:color w:val="auto"/>
          <w:sz w:val="24"/>
          <w:szCs w:val="24"/>
          <w:lang w:val="en-US"/>
        </w:rPr>
        <w:t xml:space="preserve"> study </w:t>
      </w:r>
      <w:r>
        <w:rPr>
          <w:color w:val="auto"/>
          <w:sz w:val="24"/>
          <w:szCs w:val="24"/>
          <w:lang w:val="en-US"/>
        </w:rPr>
        <w:t>sought</w:t>
      </w:r>
      <w:r w:rsidRPr="00D23333">
        <w:rPr>
          <w:color w:val="auto"/>
          <w:sz w:val="24"/>
          <w:szCs w:val="24"/>
          <w:lang w:val="en-US"/>
        </w:rPr>
        <w:t xml:space="preserve"> </w:t>
      </w:r>
      <w:r w:rsidR="00BB602F" w:rsidRPr="00D23333">
        <w:rPr>
          <w:color w:val="auto"/>
          <w:sz w:val="24"/>
          <w:szCs w:val="24"/>
          <w:lang w:val="en-US"/>
        </w:rPr>
        <w:t xml:space="preserve">to investigate </w:t>
      </w:r>
      <w:r>
        <w:rPr>
          <w:color w:val="auto"/>
          <w:sz w:val="24"/>
          <w:szCs w:val="24"/>
          <w:lang w:val="en-US"/>
        </w:rPr>
        <w:t xml:space="preserve">how </w:t>
      </w:r>
      <w:r w:rsidR="00BB602F" w:rsidRPr="00D23333">
        <w:rPr>
          <w:bCs/>
          <w:color w:val="auto"/>
          <w:sz w:val="24"/>
          <w:szCs w:val="24"/>
          <w:lang w:val="en-US"/>
        </w:rPr>
        <w:t xml:space="preserve">decomposing </w:t>
      </w:r>
      <w:r>
        <w:rPr>
          <w:bCs/>
          <w:color w:val="auto"/>
          <w:sz w:val="24"/>
          <w:szCs w:val="24"/>
          <w:lang w:val="en-US"/>
        </w:rPr>
        <w:t xml:space="preserve">the </w:t>
      </w:r>
      <w:r w:rsidR="00BB602F" w:rsidRPr="00D23333">
        <w:rPr>
          <w:bCs/>
          <w:color w:val="auto"/>
          <w:sz w:val="24"/>
          <w:szCs w:val="24"/>
          <w:lang w:val="en-US"/>
        </w:rPr>
        <w:t xml:space="preserve">realized variance into its continuous and jump components </w:t>
      </w:r>
      <w:r>
        <w:rPr>
          <w:bCs/>
          <w:color w:val="auto"/>
          <w:sz w:val="24"/>
          <w:szCs w:val="24"/>
          <w:lang w:val="en-US"/>
        </w:rPr>
        <w:t>could</w:t>
      </w:r>
      <w:r w:rsidRPr="00D23333">
        <w:rPr>
          <w:bCs/>
          <w:color w:val="auto"/>
          <w:sz w:val="24"/>
          <w:szCs w:val="24"/>
          <w:lang w:val="en-US"/>
        </w:rPr>
        <w:t xml:space="preserve"> </w:t>
      </w:r>
      <w:r w:rsidR="00BB602F" w:rsidRPr="00D23333">
        <w:rPr>
          <w:bCs/>
          <w:color w:val="auto"/>
          <w:sz w:val="24"/>
          <w:szCs w:val="24"/>
          <w:lang w:val="en-US"/>
        </w:rPr>
        <w:t xml:space="preserve">improve the predictability of realized volatility </w:t>
      </w:r>
      <w:r>
        <w:rPr>
          <w:bCs/>
          <w:color w:val="auto"/>
          <w:sz w:val="24"/>
          <w:szCs w:val="24"/>
          <w:lang w:val="en-US"/>
        </w:rPr>
        <w:t>in</w:t>
      </w:r>
      <w:r w:rsidR="00BB602F" w:rsidRPr="00D23333">
        <w:rPr>
          <w:bCs/>
          <w:color w:val="auto"/>
          <w:sz w:val="24"/>
          <w:szCs w:val="24"/>
          <w:lang w:val="en-US"/>
        </w:rPr>
        <w:t xml:space="preserve"> stock markets.</w:t>
      </w:r>
      <w:r w:rsidR="00BB602F" w:rsidRPr="00D23333">
        <w:rPr>
          <w:color w:val="auto"/>
          <w:sz w:val="24"/>
          <w:szCs w:val="24"/>
          <w:lang w:val="en-US"/>
        </w:rPr>
        <w:t xml:space="preserve"> We buil</w:t>
      </w:r>
      <w:r>
        <w:rPr>
          <w:color w:val="auto"/>
          <w:sz w:val="24"/>
          <w:szCs w:val="24"/>
          <w:lang w:val="en-US"/>
        </w:rPr>
        <w:t>t</w:t>
      </w:r>
      <w:r w:rsidR="00BB602F" w:rsidRPr="00D23333">
        <w:rPr>
          <w:color w:val="auto"/>
          <w:sz w:val="24"/>
          <w:szCs w:val="24"/>
          <w:lang w:val="en-US"/>
        </w:rPr>
        <w:t xml:space="preserve"> </w:t>
      </w:r>
      <w:r w:rsidR="001310B6" w:rsidRPr="00D23333">
        <w:rPr>
          <w:color w:val="auto"/>
          <w:sz w:val="24"/>
          <w:szCs w:val="24"/>
          <w:lang w:val="en-US"/>
        </w:rPr>
        <w:t>o</w:t>
      </w:r>
      <w:r w:rsidR="00BB602F" w:rsidRPr="00D23333">
        <w:rPr>
          <w:color w:val="auto"/>
          <w:sz w:val="24"/>
          <w:szCs w:val="24"/>
          <w:lang w:val="en-US"/>
        </w:rPr>
        <w:t xml:space="preserve">ur methodology based on </w:t>
      </w:r>
      <w:r w:rsidR="00CC0A06" w:rsidRPr="00D23333">
        <w:rPr>
          <w:color w:val="auto"/>
          <w:sz w:val="24"/>
          <w:szCs w:val="24"/>
          <w:lang w:val="en-US"/>
        </w:rPr>
        <w:t xml:space="preserve">the heterogeneous autoregressive model with </w:t>
      </w:r>
      <w:r>
        <w:rPr>
          <w:color w:val="auto"/>
          <w:sz w:val="24"/>
          <w:szCs w:val="24"/>
          <w:lang w:val="en-US"/>
        </w:rPr>
        <w:t xml:space="preserve">the </w:t>
      </w:r>
      <w:r w:rsidR="00CC0A06" w:rsidRPr="00D23333">
        <w:rPr>
          <w:color w:val="auto"/>
          <w:sz w:val="24"/>
          <w:szCs w:val="24"/>
          <w:lang w:val="en-US"/>
        </w:rPr>
        <w:t>various components of volatilit</w:t>
      </w:r>
      <w:r>
        <w:rPr>
          <w:color w:val="auto"/>
          <w:sz w:val="24"/>
          <w:szCs w:val="24"/>
          <w:lang w:val="en-US"/>
        </w:rPr>
        <w:t>y</w:t>
      </w:r>
      <w:r w:rsidR="00CC0A06" w:rsidRPr="00D23333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en-US"/>
        </w:rPr>
        <w:t>and applied it</w:t>
      </w:r>
      <w:r w:rsidRPr="00D23333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en-US"/>
        </w:rPr>
        <w:t>to</w:t>
      </w:r>
      <w:r w:rsidR="00CC0A06" w:rsidRPr="00D23333">
        <w:rPr>
          <w:color w:val="auto"/>
          <w:sz w:val="24"/>
          <w:szCs w:val="24"/>
          <w:lang w:val="en-US"/>
        </w:rPr>
        <w:t xml:space="preserve"> high</w:t>
      </w:r>
      <w:r>
        <w:rPr>
          <w:color w:val="auto"/>
          <w:sz w:val="24"/>
          <w:szCs w:val="24"/>
          <w:lang w:val="en-US"/>
        </w:rPr>
        <w:t>-</w:t>
      </w:r>
      <w:r w:rsidR="00CC0A06" w:rsidRPr="00D23333">
        <w:rPr>
          <w:color w:val="auto"/>
          <w:sz w:val="24"/>
          <w:szCs w:val="24"/>
          <w:lang w:val="en-US"/>
        </w:rPr>
        <w:t xml:space="preserve">frequency data. </w:t>
      </w:r>
      <w:r>
        <w:rPr>
          <w:color w:val="auto"/>
          <w:sz w:val="24"/>
          <w:szCs w:val="24"/>
          <w:lang w:val="en-US"/>
        </w:rPr>
        <w:t>The e</w:t>
      </w:r>
      <w:r w:rsidR="00CC0A06" w:rsidRPr="00D23333">
        <w:rPr>
          <w:color w:val="auto"/>
          <w:sz w:val="24"/>
          <w:szCs w:val="24"/>
          <w:lang w:val="en-US"/>
        </w:rPr>
        <w:t xml:space="preserve">mpirical results </w:t>
      </w:r>
      <w:r>
        <w:rPr>
          <w:color w:val="auto"/>
          <w:sz w:val="24"/>
          <w:szCs w:val="24"/>
          <w:lang w:val="en-US"/>
        </w:rPr>
        <w:t>suggest</w:t>
      </w:r>
      <w:r w:rsidR="00CC0A06" w:rsidRPr="00D23333">
        <w:rPr>
          <w:color w:val="auto"/>
          <w:sz w:val="24"/>
          <w:szCs w:val="24"/>
          <w:lang w:val="en-US"/>
        </w:rPr>
        <w:t xml:space="preserve"> that volatility jumps have a nega</w:t>
      </w:r>
      <w:r w:rsidR="001310B6" w:rsidRPr="00D23333">
        <w:rPr>
          <w:color w:val="auto"/>
          <w:sz w:val="24"/>
          <w:szCs w:val="24"/>
          <w:lang w:val="en-US"/>
        </w:rPr>
        <w:t>tive effect</w:t>
      </w:r>
      <w:r w:rsidR="00CC0A06" w:rsidRPr="00D23333">
        <w:rPr>
          <w:color w:val="auto"/>
          <w:sz w:val="24"/>
          <w:szCs w:val="24"/>
          <w:lang w:val="en-US"/>
        </w:rPr>
        <w:t xml:space="preserve"> on the persistent component of volatility</w:t>
      </w:r>
      <w:r>
        <w:rPr>
          <w:color w:val="auto"/>
          <w:sz w:val="24"/>
          <w:szCs w:val="24"/>
          <w:lang w:val="en-US"/>
        </w:rPr>
        <w:t>, which is</w:t>
      </w:r>
      <w:r w:rsidR="00CC0A06" w:rsidRPr="00D23333">
        <w:rPr>
          <w:color w:val="auto"/>
          <w:sz w:val="24"/>
          <w:szCs w:val="24"/>
          <w:lang w:val="en-US"/>
        </w:rPr>
        <w:t xml:space="preserve"> in accordance with </w:t>
      </w:r>
      <w:r>
        <w:rPr>
          <w:color w:val="auto"/>
          <w:sz w:val="24"/>
          <w:szCs w:val="24"/>
          <w:lang w:val="en-US"/>
        </w:rPr>
        <w:t xml:space="preserve">the findings of </w:t>
      </w:r>
      <w:r w:rsidR="00CC0A06" w:rsidRPr="00D23333">
        <w:rPr>
          <w:color w:val="auto"/>
          <w:sz w:val="24"/>
          <w:szCs w:val="24"/>
          <w:lang w:val="en-US"/>
        </w:rPr>
        <w:t xml:space="preserve">Anderson et al. (2007). It is </w:t>
      </w:r>
      <w:r>
        <w:rPr>
          <w:color w:val="auto"/>
          <w:sz w:val="24"/>
          <w:szCs w:val="24"/>
          <w:lang w:val="en-US"/>
        </w:rPr>
        <w:t xml:space="preserve">also </w:t>
      </w:r>
      <w:r w:rsidR="00CC0A06" w:rsidRPr="00D23333">
        <w:rPr>
          <w:color w:val="auto"/>
          <w:sz w:val="24"/>
          <w:szCs w:val="24"/>
          <w:lang w:val="en-US"/>
        </w:rPr>
        <w:t>clear from the estimat</w:t>
      </w:r>
      <w:r>
        <w:rPr>
          <w:color w:val="auto"/>
          <w:sz w:val="24"/>
          <w:szCs w:val="24"/>
          <w:lang w:val="en-US"/>
        </w:rPr>
        <w:t>ion</w:t>
      </w:r>
      <w:r w:rsidR="00CC0A06" w:rsidRPr="00D23333">
        <w:rPr>
          <w:color w:val="auto"/>
          <w:sz w:val="24"/>
          <w:szCs w:val="24"/>
          <w:lang w:val="en-US"/>
        </w:rPr>
        <w:t xml:space="preserve"> results that this effect is attenuated over time.</w:t>
      </w:r>
      <w:r w:rsidR="001310B6" w:rsidRPr="00D23333">
        <w:rPr>
          <w:bCs/>
          <w:color w:val="auto"/>
          <w:sz w:val="24"/>
          <w:szCs w:val="24"/>
          <w:lang w:val="en-US"/>
        </w:rPr>
        <w:t xml:space="preserve"> </w:t>
      </w:r>
    </w:p>
    <w:p w14:paraId="1B912746" w14:textId="55A21068" w:rsidR="00122CFF" w:rsidRPr="00FE0F72" w:rsidRDefault="00B64292" w:rsidP="00766984">
      <w:pPr>
        <w:spacing w:line="480" w:lineRule="auto"/>
        <w:ind w:firstLine="708"/>
        <w:jc w:val="both"/>
        <w:rPr>
          <w:color w:val="auto"/>
          <w:lang w:val="en-US"/>
        </w:rPr>
      </w:pPr>
      <w:r w:rsidRPr="00B941BE">
        <w:rPr>
          <w:color w:val="auto"/>
          <w:sz w:val="24"/>
          <w:szCs w:val="24"/>
          <w:lang w:val="en-US"/>
        </w:rPr>
        <w:t xml:space="preserve">The </w:t>
      </w:r>
      <w:r w:rsidR="007757CE" w:rsidRPr="00B941BE">
        <w:rPr>
          <w:color w:val="auto"/>
          <w:sz w:val="24"/>
          <w:szCs w:val="24"/>
          <w:lang w:val="en-US"/>
        </w:rPr>
        <w:t>empirical results</w:t>
      </w:r>
      <w:r w:rsidR="00122CFF" w:rsidRPr="00B941BE">
        <w:rPr>
          <w:color w:val="auto"/>
          <w:sz w:val="24"/>
          <w:szCs w:val="24"/>
          <w:lang w:val="en-US"/>
        </w:rPr>
        <w:t xml:space="preserve"> </w:t>
      </w:r>
      <w:r w:rsidR="007B1580">
        <w:rPr>
          <w:color w:val="auto"/>
          <w:sz w:val="24"/>
          <w:szCs w:val="24"/>
          <w:lang w:val="en-US"/>
        </w:rPr>
        <w:t>reveal</w:t>
      </w:r>
      <w:r w:rsidR="007B1580" w:rsidRPr="00B941BE">
        <w:rPr>
          <w:color w:val="auto"/>
          <w:sz w:val="24"/>
          <w:szCs w:val="24"/>
          <w:lang w:val="en-US"/>
        </w:rPr>
        <w:t xml:space="preserve"> </w:t>
      </w:r>
      <w:r w:rsidR="00122CFF" w:rsidRPr="00B941BE">
        <w:rPr>
          <w:color w:val="auto"/>
          <w:sz w:val="24"/>
          <w:szCs w:val="24"/>
          <w:lang w:val="en-US"/>
        </w:rPr>
        <w:t xml:space="preserve">that jump dynamics are much less </w:t>
      </w:r>
      <w:r w:rsidR="00510177" w:rsidRPr="00B941BE">
        <w:rPr>
          <w:color w:val="auto"/>
          <w:sz w:val="24"/>
          <w:szCs w:val="24"/>
          <w:lang w:val="en-US"/>
        </w:rPr>
        <w:t>predictable</w:t>
      </w:r>
      <w:r w:rsidRPr="00B941BE">
        <w:rPr>
          <w:color w:val="auto"/>
          <w:sz w:val="24"/>
          <w:szCs w:val="24"/>
          <w:lang w:val="en-US"/>
        </w:rPr>
        <w:t xml:space="preserve"> </w:t>
      </w:r>
      <w:r w:rsidR="007B1580">
        <w:rPr>
          <w:color w:val="auto"/>
          <w:sz w:val="24"/>
          <w:szCs w:val="24"/>
          <w:lang w:val="en-US"/>
        </w:rPr>
        <w:t xml:space="preserve">when </w:t>
      </w:r>
      <w:r w:rsidRPr="00FE0F72">
        <w:rPr>
          <w:color w:val="auto"/>
          <w:sz w:val="24"/>
          <w:szCs w:val="24"/>
          <w:lang w:val="en-US"/>
        </w:rPr>
        <w:t>compar</w:t>
      </w:r>
      <w:r w:rsidR="007B1580">
        <w:rPr>
          <w:color w:val="auto"/>
          <w:sz w:val="24"/>
          <w:szCs w:val="24"/>
          <w:lang w:val="en-US"/>
        </w:rPr>
        <w:t>ed</w:t>
      </w:r>
      <w:r w:rsidRPr="00FE0F72">
        <w:rPr>
          <w:color w:val="auto"/>
          <w:sz w:val="24"/>
          <w:szCs w:val="24"/>
          <w:lang w:val="en-US"/>
        </w:rPr>
        <w:t xml:space="preserve"> to</w:t>
      </w:r>
      <w:r w:rsidR="00122CFF" w:rsidRPr="00FE0F72">
        <w:rPr>
          <w:color w:val="auto"/>
          <w:sz w:val="24"/>
          <w:szCs w:val="24"/>
          <w:lang w:val="en-US"/>
        </w:rPr>
        <w:t xml:space="preserve"> continuous sample path dynamics</w:t>
      </w:r>
      <w:r w:rsidR="00122CFF" w:rsidRPr="00FE0F72">
        <w:rPr>
          <w:color w:val="auto"/>
          <w:sz w:val="32"/>
          <w:szCs w:val="32"/>
          <w:lang w:val="en-US"/>
        </w:rPr>
        <w:t>.</w:t>
      </w:r>
      <w:r w:rsidRPr="00FE0F72">
        <w:rPr>
          <w:color w:val="auto"/>
          <w:sz w:val="32"/>
          <w:szCs w:val="32"/>
          <w:lang w:val="en-US"/>
        </w:rPr>
        <w:t xml:space="preserve"> </w:t>
      </w:r>
      <w:r w:rsidRPr="00FE0F72">
        <w:rPr>
          <w:color w:val="auto"/>
          <w:sz w:val="24"/>
          <w:szCs w:val="24"/>
          <w:lang w:val="en-US"/>
        </w:rPr>
        <w:t>Moreover</w:t>
      </w:r>
      <w:r w:rsidR="00122CFF" w:rsidRPr="00FE0F72">
        <w:rPr>
          <w:color w:val="auto"/>
          <w:sz w:val="24"/>
          <w:szCs w:val="24"/>
          <w:lang w:val="en-US"/>
        </w:rPr>
        <w:t xml:space="preserve">, the </w:t>
      </w:r>
      <w:r w:rsidRPr="00FE0F72">
        <w:rPr>
          <w:color w:val="auto"/>
          <w:sz w:val="24"/>
          <w:szCs w:val="24"/>
          <w:lang w:val="en-US"/>
        </w:rPr>
        <w:t xml:space="preserve">use of </w:t>
      </w:r>
      <w:r w:rsidR="00122CFF" w:rsidRPr="00FE0F72">
        <w:rPr>
          <w:color w:val="auto"/>
          <w:sz w:val="24"/>
          <w:szCs w:val="24"/>
          <w:lang w:val="en-US"/>
        </w:rPr>
        <w:t xml:space="preserve">high-frequency data </w:t>
      </w:r>
      <w:r w:rsidRPr="00FE0F72">
        <w:rPr>
          <w:color w:val="auto"/>
          <w:sz w:val="24"/>
          <w:szCs w:val="24"/>
          <w:lang w:val="en-US"/>
        </w:rPr>
        <w:t>enable</w:t>
      </w:r>
      <w:r w:rsidR="007B1580">
        <w:rPr>
          <w:color w:val="auto"/>
          <w:sz w:val="24"/>
          <w:szCs w:val="24"/>
          <w:lang w:val="en-US"/>
        </w:rPr>
        <w:t>s</w:t>
      </w:r>
      <w:r w:rsidRPr="00FE0F72">
        <w:rPr>
          <w:color w:val="auto"/>
          <w:sz w:val="24"/>
          <w:szCs w:val="24"/>
          <w:lang w:val="en-US"/>
        </w:rPr>
        <w:t xml:space="preserve"> us to capture many more jumps than </w:t>
      </w:r>
      <w:r w:rsidR="00122CFF" w:rsidRPr="00FE0F72">
        <w:rPr>
          <w:color w:val="auto"/>
          <w:sz w:val="24"/>
          <w:szCs w:val="24"/>
          <w:lang w:val="en-US"/>
        </w:rPr>
        <w:t xml:space="preserve">models based on daily </w:t>
      </w:r>
      <w:r w:rsidR="005E3C76" w:rsidRPr="00FE0F72">
        <w:rPr>
          <w:color w:val="auto"/>
          <w:sz w:val="24"/>
          <w:szCs w:val="24"/>
          <w:lang w:val="en-US"/>
        </w:rPr>
        <w:t>data</w:t>
      </w:r>
      <w:r w:rsidR="00122CFF" w:rsidRPr="00FE0F72">
        <w:rPr>
          <w:color w:val="auto"/>
          <w:sz w:val="24"/>
          <w:szCs w:val="24"/>
          <w:lang w:val="en-US"/>
        </w:rPr>
        <w:t xml:space="preserve">. </w:t>
      </w:r>
      <w:r w:rsidR="005E3C76" w:rsidRPr="00FE0F72">
        <w:rPr>
          <w:color w:val="auto"/>
          <w:sz w:val="24"/>
          <w:szCs w:val="24"/>
          <w:lang w:val="en-US"/>
        </w:rPr>
        <w:t>I</w:t>
      </w:r>
      <w:r w:rsidR="003D25E3" w:rsidRPr="00FE0F72">
        <w:rPr>
          <w:color w:val="auto"/>
          <w:sz w:val="24"/>
          <w:szCs w:val="24"/>
          <w:lang w:val="en-US"/>
        </w:rPr>
        <w:t>n addition,</w:t>
      </w:r>
      <w:r w:rsidR="00AD0E91" w:rsidRPr="00FE0F72">
        <w:rPr>
          <w:color w:val="auto"/>
          <w:sz w:val="24"/>
          <w:szCs w:val="24"/>
          <w:lang w:val="en-US"/>
        </w:rPr>
        <w:t xml:space="preserve"> </w:t>
      </w:r>
      <w:r w:rsidR="003D25E3" w:rsidRPr="00FE0F72">
        <w:rPr>
          <w:color w:val="auto"/>
          <w:sz w:val="24"/>
          <w:szCs w:val="24"/>
          <w:lang w:val="en-US"/>
        </w:rPr>
        <w:t>i</w:t>
      </w:r>
      <w:r w:rsidR="005E3C76" w:rsidRPr="00FE0F72">
        <w:rPr>
          <w:color w:val="auto"/>
          <w:sz w:val="24"/>
          <w:szCs w:val="24"/>
          <w:lang w:val="en-US"/>
        </w:rPr>
        <w:t>t seems</w:t>
      </w:r>
      <w:r w:rsidR="00122CFF" w:rsidRPr="00FE0F72">
        <w:rPr>
          <w:color w:val="auto"/>
          <w:sz w:val="24"/>
          <w:szCs w:val="24"/>
          <w:lang w:val="en-US"/>
        </w:rPr>
        <w:t xml:space="preserve"> that m</w:t>
      </w:r>
      <w:r w:rsidR="003D25E3" w:rsidRPr="00FE0F72">
        <w:rPr>
          <w:color w:val="auto"/>
          <w:sz w:val="24"/>
          <w:szCs w:val="24"/>
          <w:lang w:val="en-US"/>
        </w:rPr>
        <w:t>any</w:t>
      </w:r>
      <w:r w:rsidR="00122CFF" w:rsidRPr="00FE0F72">
        <w:rPr>
          <w:color w:val="auto"/>
          <w:sz w:val="24"/>
          <w:szCs w:val="24"/>
          <w:lang w:val="en-US"/>
        </w:rPr>
        <w:t xml:space="preserve"> significant j</w:t>
      </w:r>
      <w:r w:rsidR="003D25E3" w:rsidRPr="00FE0F72">
        <w:rPr>
          <w:color w:val="auto"/>
          <w:sz w:val="24"/>
          <w:szCs w:val="24"/>
          <w:lang w:val="en-US"/>
        </w:rPr>
        <w:t>umps are related to</w:t>
      </w:r>
      <w:r w:rsidR="00122CFF" w:rsidRPr="00FE0F72">
        <w:rPr>
          <w:color w:val="auto"/>
          <w:sz w:val="24"/>
          <w:szCs w:val="24"/>
          <w:lang w:val="en-US"/>
        </w:rPr>
        <w:t xml:space="preserve"> </w:t>
      </w:r>
      <w:r w:rsidR="003D25E3" w:rsidRPr="00FE0F72">
        <w:rPr>
          <w:color w:val="auto"/>
          <w:sz w:val="24"/>
          <w:szCs w:val="24"/>
          <w:lang w:val="en-US"/>
        </w:rPr>
        <w:t>historical events or</w:t>
      </w:r>
      <w:r w:rsidR="00122CFF" w:rsidRPr="00FE0F72">
        <w:rPr>
          <w:color w:val="auto"/>
          <w:sz w:val="24"/>
          <w:szCs w:val="24"/>
          <w:lang w:val="en-US"/>
        </w:rPr>
        <w:t xml:space="preserve"> </w:t>
      </w:r>
      <w:r w:rsidR="007B1580" w:rsidRPr="00FB72E1">
        <w:rPr>
          <w:color w:val="auto"/>
          <w:sz w:val="24"/>
          <w:szCs w:val="24"/>
          <w:lang w:val="en-US"/>
        </w:rPr>
        <w:t>announcements</w:t>
      </w:r>
      <w:r w:rsidR="007B1580" w:rsidRPr="007B1580">
        <w:rPr>
          <w:color w:val="auto"/>
          <w:sz w:val="24"/>
          <w:szCs w:val="24"/>
          <w:lang w:val="en-US"/>
        </w:rPr>
        <w:t xml:space="preserve"> </w:t>
      </w:r>
      <w:r w:rsidR="007B1580">
        <w:rPr>
          <w:color w:val="auto"/>
          <w:sz w:val="24"/>
          <w:szCs w:val="24"/>
          <w:lang w:val="en-US"/>
        </w:rPr>
        <w:t xml:space="preserve">of </w:t>
      </w:r>
      <w:r w:rsidR="00122CFF" w:rsidRPr="00FE0F72">
        <w:rPr>
          <w:color w:val="auto"/>
          <w:sz w:val="24"/>
          <w:szCs w:val="24"/>
          <w:lang w:val="en-US"/>
        </w:rPr>
        <w:t>macroeconomic news.</w:t>
      </w:r>
      <w:r w:rsidR="00122CFF" w:rsidRPr="00FE0F72">
        <w:rPr>
          <w:color w:val="auto"/>
          <w:sz w:val="32"/>
          <w:szCs w:val="32"/>
          <w:lang w:val="en-US"/>
        </w:rPr>
        <w:t xml:space="preserve"> </w:t>
      </w:r>
      <w:r w:rsidR="00122CFF" w:rsidRPr="00FE0F72">
        <w:rPr>
          <w:color w:val="auto"/>
          <w:sz w:val="24"/>
          <w:szCs w:val="24"/>
          <w:lang w:val="en-US"/>
        </w:rPr>
        <w:t xml:space="preserve">Finally, </w:t>
      </w:r>
      <w:r w:rsidR="00AC0FFC" w:rsidRPr="00FE0F72">
        <w:rPr>
          <w:color w:val="auto"/>
          <w:sz w:val="24"/>
          <w:szCs w:val="24"/>
          <w:lang w:val="en-US"/>
        </w:rPr>
        <w:t>incorporati</w:t>
      </w:r>
      <w:r w:rsidR="00122CFF" w:rsidRPr="00FE0F72">
        <w:rPr>
          <w:color w:val="auto"/>
          <w:sz w:val="24"/>
          <w:szCs w:val="24"/>
          <w:lang w:val="en-US"/>
        </w:rPr>
        <w:t>ng the c</w:t>
      </w:r>
      <w:r w:rsidR="000468E3" w:rsidRPr="00FE0F72">
        <w:rPr>
          <w:color w:val="auto"/>
          <w:sz w:val="24"/>
          <w:szCs w:val="24"/>
          <w:lang w:val="en-US"/>
        </w:rPr>
        <w:t>ontinuous sample path and jump</w:t>
      </w:r>
      <w:r w:rsidR="00122CFF" w:rsidRPr="00FE0F72">
        <w:rPr>
          <w:color w:val="auto"/>
          <w:sz w:val="24"/>
          <w:szCs w:val="24"/>
          <w:lang w:val="en-US"/>
        </w:rPr>
        <w:t xml:space="preserve"> </w:t>
      </w:r>
      <w:r w:rsidR="000468E3" w:rsidRPr="00FE0F72">
        <w:rPr>
          <w:color w:val="auto"/>
          <w:sz w:val="24"/>
          <w:szCs w:val="24"/>
          <w:lang w:val="en-US"/>
        </w:rPr>
        <w:t xml:space="preserve">component </w:t>
      </w:r>
      <w:r w:rsidR="00122CFF" w:rsidRPr="00FE0F72">
        <w:rPr>
          <w:color w:val="auto"/>
          <w:sz w:val="24"/>
          <w:szCs w:val="24"/>
          <w:lang w:val="en-US"/>
        </w:rPr>
        <w:t xml:space="preserve">measures in </w:t>
      </w:r>
      <w:r w:rsidR="000468E3" w:rsidRPr="00FE0F72">
        <w:rPr>
          <w:color w:val="auto"/>
          <w:sz w:val="24"/>
          <w:szCs w:val="24"/>
          <w:lang w:val="en-US"/>
        </w:rPr>
        <w:t>the</w:t>
      </w:r>
      <w:r w:rsidR="00122CFF" w:rsidRPr="00FE0F72">
        <w:rPr>
          <w:color w:val="auto"/>
          <w:sz w:val="24"/>
          <w:szCs w:val="24"/>
          <w:lang w:val="en-US"/>
        </w:rPr>
        <w:t xml:space="preserve"> volatility forecasting model</w:t>
      </w:r>
      <w:r w:rsidR="007B1580">
        <w:rPr>
          <w:color w:val="auto"/>
          <w:sz w:val="24"/>
          <w:szCs w:val="24"/>
          <w:lang w:val="en-US"/>
        </w:rPr>
        <w:t xml:space="preserve"> ensures</w:t>
      </w:r>
      <w:r w:rsidR="00766984" w:rsidRPr="00FE0F72">
        <w:rPr>
          <w:color w:val="auto"/>
          <w:sz w:val="24"/>
          <w:szCs w:val="24"/>
          <w:lang w:val="en-US"/>
        </w:rPr>
        <w:t xml:space="preserve"> that the</w:t>
      </w:r>
      <w:r w:rsidR="00122CFF" w:rsidRPr="00FE0F72">
        <w:rPr>
          <w:color w:val="auto"/>
          <w:sz w:val="24"/>
          <w:szCs w:val="24"/>
          <w:lang w:val="en-US"/>
        </w:rPr>
        <w:t xml:space="preserve"> continuous part has </w:t>
      </w:r>
      <w:r w:rsidR="00766984" w:rsidRPr="00FE0F72">
        <w:rPr>
          <w:color w:val="auto"/>
          <w:sz w:val="24"/>
          <w:szCs w:val="24"/>
          <w:lang w:val="en-US"/>
        </w:rPr>
        <w:t xml:space="preserve">a relevant </w:t>
      </w:r>
      <w:r w:rsidR="00122CFF" w:rsidRPr="00FE0F72">
        <w:rPr>
          <w:color w:val="auto"/>
          <w:sz w:val="24"/>
          <w:szCs w:val="24"/>
          <w:lang w:val="en-US"/>
        </w:rPr>
        <w:t>predictive power</w:t>
      </w:r>
      <w:r w:rsidR="00766984" w:rsidRPr="00FE0F72">
        <w:rPr>
          <w:color w:val="auto"/>
          <w:sz w:val="24"/>
          <w:szCs w:val="24"/>
          <w:lang w:val="en-US"/>
        </w:rPr>
        <w:t>.</w:t>
      </w:r>
    </w:p>
    <w:p w14:paraId="2A9C5D1B" w14:textId="7D2B796D" w:rsidR="00766984" w:rsidRPr="00D23333" w:rsidRDefault="00766984" w:rsidP="006B57AE">
      <w:pPr>
        <w:spacing w:line="480" w:lineRule="auto"/>
        <w:ind w:firstLine="708"/>
        <w:jc w:val="both"/>
        <w:rPr>
          <w:color w:val="auto"/>
          <w:rtl/>
        </w:rPr>
      </w:pPr>
      <w:r w:rsidRPr="00D23333">
        <w:rPr>
          <w:bCs/>
          <w:color w:val="auto"/>
          <w:sz w:val="24"/>
          <w:szCs w:val="24"/>
          <w:lang w:val="en-US"/>
        </w:rPr>
        <w:t xml:space="preserve">We compared the forecasting abilities of the HAR-RV and HAR-RV-CJ models and </w:t>
      </w:r>
      <w:r w:rsidR="007B1580">
        <w:rPr>
          <w:bCs/>
          <w:color w:val="auto"/>
          <w:sz w:val="24"/>
          <w:szCs w:val="24"/>
          <w:lang w:val="en-US"/>
        </w:rPr>
        <w:t>found</w:t>
      </w:r>
      <w:r w:rsidR="007B1580" w:rsidRPr="00D23333">
        <w:rPr>
          <w:bCs/>
          <w:color w:val="auto"/>
          <w:sz w:val="24"/>
          <w:szCs w:val="24"/>
          <w:lang w:val="en-US"/>
        </w:rPr>
        <w:t xml:space="preserve"> </w:t>
      </w:r>
      <w:r w:rsidRPr="00D23333">
        <w:rPr>
          <w:bCs/>
          <w:color w:val="auto"/>
          <w:sz w:val="24"/>
          <w:szCs w:val="24"/>
          <w:lang w:val="en-US"/>
        </w:rPr>
        <w:t xml:space="preserve">that </w:t>
      </w:r>
      <w:r w:rsidRPr="00D23333">
        <w:rPr>
          <w:color w:val="auto"/>
          <w:sz w:val="24"/>
          <w:szCs w:val="24"/>
          <w:lang w:val="en-US"/>
        </w:rPr>
        <w:t>the HAR-RV-CJ model surpass</w:t>
      </w:r>
      <w:r w:rsidR="007B1580">
        <w:rPr>
          <w:color w:val="auto"/>
          <w:sz w:val="24"/>
          <w:szCs w:val="24"/>
          <w:lang w:val="en-US"/>
        </w:rPr>
        <w:t>ed</w:t>
      </w:r>
      <w:r w:rsidRPr="00D23333">
        <w:rPr>
          <w:color w:val="auto"/>
          <w:sz w:val="24"/>
          <w:szCs w:val="24"/>
          <w:lang w:val="en-US"/>
        </w:rPr>
        <w:t xml:space="preserve"> the HAR-RV model </w:t>
      </w:r>
      <w:r w:rsidR="007B1580">
        <w:rPr>
          <w:color w:val="auto"/>
          <w:sz w:val="24"/>
          <w:szCs w:val="24"/>
          <w:lang w:val="en-US"/>
        </w:rPr>
        <w:t>when</w:t>
      </w:r>
      <w:r w:rsidR="007B1580" w:rsidRPr="00D23333">
        <w:rPr>
          <w:color w:val="auto"/>
          <w:sz w:val="24"/>
          <w:szCs w:val="24"/>
          <w:lang w:val="en-US"/>
        </w:rPr>
        <w:t xml:space="preserve"> </w:t>
      </w:r>
      <w:r w:rsidRPr="00D23333">
        <w:rPr>
          <w:color w:val="auto"/>
          <w:sz w:val="24"/>
          <w:szCs w:val="24"/>
          <w:lang w:val="en-US"/>
        </w:rPr>
        <w:t xml:space="preserve">modeling the realized volatility </w:t>
      </w:r>
      <w:r w:rsidR="007B1580">
        <w:rPr>
          <w:color w:val="auto"/>
          <w:sz w:val="24"/>
          <w:szCs w:val="24"/>
          <w:lang w:val="en-US"/>
        </w:rPr>
        <w:t>of</w:t>
      </w:r>
      <w:r w:rsidRPr="00D23333">
        <w:rPr>
          <w:color w:val="auto"/>
          <w:sz w:val="24"/>
          <w:szCs w:val="24"/>
          <w:lang w:val="en-US"/>
        </w:rPr>
        <w:t xml:space="preserve"> the stock market</w:t>
      </w:r>
      <w:r w:rsidR="007B1580" w:rsidRPr="007B1580">
        <w:rPr>
          <w:color w:val="auto"/>
          <w:sz w:val="24"/>
          <w:szCs w:val="24"/>
          <w:lang w:val="en-US"/>
        </w:rPr>
        <w:t xml:space="preserve"> </w:t>
      </w:r>
      <w:r w:rsidR="007B1580" w:rsidRPr="00D23333">
        <w:rPr>
          <w:color w:val="auto"/>
          <w:sz w:val="24"/>
          <w:szCs w:val="24"/>
          <w:lang w:val="en-US"/>
        </w:rPr>
        <w:t>indices</w:t>
      </w:r>
      <w:r w:rsidRPr="00D23333">
        <w:rPr>
          <w:color w:val="auto"/>
          <w:sz w:val="24"/>
          <w:szCs w:val="24"/>
          <w:lang w:val="en-US"/>
        </w:rPr>
        <w:t>.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 </w:t>
      </w:r>
      <w:r w:rsidR="003272E6" w:rsidRPr="00D23333">
        <w:rPr>
          <w:bCs/>
          <w:color w:val="auto"/>
          <w:sz w:val="24"/>
          <w:szCs w:val="24"/>
          <w:lang w:val="en-US"/>
        </w:rPr>
        <w:t xml:space="preserve">However, the </w:t>
      </w:r>
      <w:r w:rsidR="007B1580" w:rsidRPr="00D23333">
        <w:rPr>
          <w:bCs/>
          <w:color w:val="auto"/>
          <w:sz w:val="24"/>
          <w:szCs w:val="24"/>
          <w:lang w:val="en-US"/>
        </w:rPr>
        <w:t xml:space="preserve">forecast </w:t>
      </w:r>
      <w:r w:rsidR="003272E6" w:rsidRPr="00D23333">
        <w:rPr>
          <w:bCs/>
          <w:color w:val="auto"/>
          <w:sz w:val="24"/>
          <w:szCs w:val="24"/>
          <w:lang w:val="en-US"/>
        </w:rPr>
        <w:t>results for</w:t>
      </w:r>
      <w:r w:rsidR="007B1580">
        <w:rPr>
          <w:bCs/>
          <w:color w:val="auto"/>
          <w:sz w:val="24"/>
          <w:szCs w:val="24"/>
          <w:lang w:val="en-US"/>
        </w:rPr>
        <w:t xml:space="preserve"> the</w:t>
      </w:r>
      <w:r w:rsidR="003272E6" w:rsidRPr="00D23333">
        <w:rPr>
          <w:bCs/>
          <w:color w:val="auto"/>
          <w:sz w:val="24"/>
          <w:szCs w:val="24"/>
          <w:lang w:val="en-US"/>
        </w:rPr>
        <w:t xml:space="preserve"> SSMI and FTMIB series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 </w:t>
      </w:r>
      <w:r w:rsidR="00CE5229">
        <w:rPr>
          <w:bCs/>
          <w:color w:val="auto"/>
          <w:sz w:val="24"/>
          <w:szCs w:val="24"/>
          <w:lang w:val="en-US"/>
        </w:rPr>
        <w:t>suggest</w:t>
      </w:r>
      <w:r w:rsidR="00CE5229" w:rsidRPr="00D23333">
        <w:rPr>
          <w:bCs/>
          <w:color w:val="auto"/>
          <w:sz w:val="24"/>
          <w:szCs w:val="24"/>
          <w:lang w:val="en-US"/>
        </w:rPr>
        <w:t xml:space="preserve"> 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that realized volatility forecasts are better when based on a very short pre-forecast period of </w:t>
      </w:r>
      <w:r w:rsidR="00CE5229">
        <w:rPr>
          <w:bCs/>
          <w:color w:val="auto"/>
          <w:sz w:val="24"/>
          <w:szCs w:val="24"/>
          <w:lang w:val="en-US"/>
        </w:rPr>
        <w:t xml:space="preserve">just 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one year. We could therefore consider that the HAR model is </w:t>
      </w:r>
      <w:r w:rsidR="00CE5229">
        <w:rPr>
          <w:bCs/>
          <w:color w:val="auto"/>
          <w:sz w:val="24"/>
          <w:szCs w:val="24"/>
          <w:lang w:val="en-US"/>
        </w:rPr>
        <w:t xml:space="preserve">perhaps 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not </w:t>
      </w:r>
      <w:r w:rsidR="003272E6" w:rsidRPr="00D23333">
        <w:rPr>
          <w:bCs/>
          <w:color w:val="auto"/>
          <w:sz w:val="24"/>
          <w:szCs w:val="24"/>
          <w:lang w:val="en-US"/>
        </w:rPr>
        <w:t xml:space="preserve">the most 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appropriate </w:t>
      </w:r>
      <w:r w:rsidR="00CE5229">
        <w:rPr>
          <w:bCs/>
          <w:color w:val="auto"/>
          <w:sz w:val="24"/>
          <w:szCs w:val="24"/>
          <w:lang w:val="en-US"/>
        </w:rPr>
        <w:t xml:space="preserve">choice 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for modeling the realized volatility </w:t>
      </w:r>
      <w:r w:rsidR="003272E6" w:rsidRPr="00D23333">
        <w:rPr>
          <w:bCs/>
          <w:color w:val="auto"/>
          <w:sz w:val="24"/>
          <w:szCs w:val="24"/>
          <w:lang w:val="en-US"/>
        </w:rPr>
        <w:t>of these two stock market</w:t>
      </w:r>
      <w:r w:rsidR="00CE5229">
        <w:rPr>
          <w:bCs/>
          <w:color w:val="auto"/>
          <w:sz w:val="24"/>
          <w:szCs w:val="24"/>
          <w:lang w:val="en-US"/>
        </w:rPr>
        <w:t>s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, </w:t>
      </w:r>
      <w:r w:rsidR="006B57AE" w:rsidRPr="00D23333">
        <w:rPr>
          <w:bCs/>
          <w:color w:val="auto"/>
          <w:sz w:val="24"/>
          <w:szCs w:val="24"/>
          <w:lang w:val="en-US"/>
        </w:rPr>
        <w:t xml:space="preserve">implying that 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volatility appears to </w:t>
      </w:r>
      <w:r w:rsidR="00CE5229">
        <w:rPr>
          <w:bCs/>
          <w:color w:val="auto"/>
          <w:sz w:val="24"/>
          <w:szCs w:val="24"/>
          <w:lang w:val="en-US"/>
        </w:rPr>
        <w:t>manifest</w:t>
      </w:r>
      <w:r w:rsidR="00CE5229" w:rsidRPr="00D23333">
        <w:rPr>
          <w:bCs/>
          <w:color w:val="auto"/>
          <w:sz w:val="24"/>
          <w:szCs w:val="24"/>
          <w:lang w:val="en-US"/>
        </w:rPr>
        <w:t xml:space="preserve"> </w:t>
      </w:r>
      <w:r w:rsidR="00A24E3D" w:rsidRPr="00D23333">
        <w:rPr>
          <w:bCs/>
          <w:color w:val="auto"/>
          <w:sz w:val="24"/>
          <w:szCs w:val="24"/>
          <w:lang w:val="en-US"/>
        </w:rPr>
        <w:t>differently</w:t>
      </w:r>
      <w:r w:rsidR="006B57AE" w:rsidRPr="00D23333">
        <w:rPr>
          <w:bCs/>
          <w:color w:val="auto"/>
          <w:sz w:val="24"/>
          <w:szCs w:val="24"/>
          <w:lang w:val="en-US"/>
        </w:rPr>
        <w:t xml:space="preserve"> </w:t>
      </w:r>
      <w:r w:rsidR="00CE5229">
        <w:rPr>
          <w:bCs/>
          <w:color w:val="auto"/>
          <w:sz w:val="24"/>
          <w:szCs w:val="24"/>
          <w:lang w:val="en-US"/>
        </w:rPr>
        <w:t>in different</w:t>
      </w:r>
      <w:r w:rsidR="006B57AE" w:rsidRPr="00D23333">
        <w:rPr>
          <w:bCs/>
          <w:color w:val="auto"/>
          <w:sz w:val="24"/>
          <w:szCs w:val="24"/>
          <w:lang w:val="en-US"/>
        </w:rPr>
        <w:t xml:space="preserve"> stock</w:t>
      </w:r>
      <w:r w:rsidR="00A24E3D" w:rsidRPr="00D23333">
        <w:rPr>
          <w:bCs/>
          <w:color w:val="auto"/>
          <w:sz w:val="24"/>
          <w:szCs w:val="24"/>
          <w:lang w:val="en-US"/>
        </w:rPr>
        <w:t xml:space="preserve"> market</w:t>
      </w:r>
      <w:r w:rsidR="006B57AE" w:rsidRPr="00D23333">
        <w:rPr>
          <w:bCs/>
          <w:color w:val="auto"/>
          <w:sz w:val="24"/>
          <w:szCs w:val="24"/>
          <w:lang w:val="en-US"/>
        </w:rPr>
        <w:t>s.</w:t>
      </w:r>
    </w:p>
    <w:p w14:paraId="4BACA2E2" w14:textId="71E0B291" w:rsidR="00090F44" w:rsidRDefault="00D16A6A" w:rsidP="003053EE">
      <w:pPr>
        <w:spacing w:line="480" w:lineRule="auto"/>
        <w:ind w:firstLine="708"/>
        <w:jc w:val="both"/>
        <w:rPr>
          <w:color w:val="auto"/>
          <w:sz w:val="24"/>
          <w:szCs w:val="24"/>
          <w:lang w:val="en-US"/>
        </w:rPr>
      </w:pPr>
      <w:r w:rsidRPr="00D23333">
        <w:rPr>
          <w:color w:val="auto"/>
          <w:sz w:val="24"/>
          <w:szCs w:val="24"/>
          <w:lang w:val="en-US"/>
        </w:rPr>
        <w:t xml:space="preserve">The empirical results </w:t>
      </w:r>
      <w:r w:rsidR="00F30DF5" w:rsidRPr="00D23333">
        <w:rPr>
          <w:color w:val="auto"/>
          <w:sz w:val="24"/>
          <w:szCs w:val="24"/>
          <w:lang w:val="en-US"/>
        </w:rPr>
        <w:t xml:space="preserve">may </w:t>
      </w:r>
      <w:r w:rsidR="00840883" w:rsidRPr="00D23333">
        <w:rPr>
          <w:color w:val="auto"/>
          <w:sz w:val="24"/>
          <w:szCs w:val="24"/>
          <w:lang w:val="en-US"/>
        </w:rPr>
        <w:t xml:space="preserve">be </w:t>
      </w:r>
      <w:r w:rsidR="007733BF" w:rsidRPr="00D23333">
        <w:rPr>
          <w:color w:val="auto"/>
          <w:sz w:val="24"/>
          <w:szCs w:val="24"/>
          <w:lang w:val="en-US"/>
        </w:rPr>
        <w:t>considered indicative of numerous</w:t>
      </w:r>
      <w:r w:rsidRPr="00D23333">
        <w:rPr>
          <w:color w:val="auto"/>
          <w:sz w:val="24"/>
          <w:szCs w:val="24"/>
          <w:lang w:val="en-US"/>
        </w:rPr>
        <w:t xml:space="preserve"> </w:t>
      </w:r>
      <w:r w:rsidR="007733BF" w:rsidRPr="00D23333">
        <w:rPr>
          <w:color w:val="auto"/>
          <w:sz w:val="24"/>
          <w:szCs w:val="24"/>
          <w:lang w:val="en-US"/>
        </w:rPr>
        <w:t>attractive</w:t>
      </w:r>
      <w:r w:rsidR="00113706" w:rsidRPr="00D23333">
        <w:rPr>
          <w:color w:val="auto"/>
          <w:sz w:val="24"/>
          <w:szCs w:val="24"/>
          <w:lang w:val="en-US"/>
        </w:rPr>
        <w:t xml:space="preserve"> </w:t>
      </w:r>
      <w:r w:rsidR="00CE5229">
        <w:rPr>
          <w:color w:val="auto"/>
          <w:sz w:val="24"/>
          <w:szCs w:val="24"/>
          <w:lang w:val="en-US"/>
        </w:rPr>
        <w:t>avenues for further research</w:t>
      </w:r>
      <w:r w:rsidR="00113706" w:rsidRPr="00D23333">
        <w:rPr>
          <w:color w:val="auto"/>
          <w:sz w:val="24"/>
          <w:szCs w:val="24"/>
          <w:lang w:val="en-US"/>
        </w:rPr>
        <w:t>. First, it appears that</w:t>
      </w:r>
      <w:r w:rsidRPr="00D23333">
        <w:rPr>
          <w:color w:val="auto"/>
          <w:sz w:val="24"/>
          <w:szCs w:val="24"/>
          <w:lang w:val="en-US"/>
        </w:rPr>
        <w:t xml:space="preserve"> modeling and </w:t>
      </w:r>
      <w:r w:rsidR="00113706" w:rsidRPr="00D23333">
        <w:rPr>
          <w:color w:val="auto"/>
          <w:sz w:val="24"/>
          <w:szCs w:val="24"/>
          <w:lang w:val="en-US"/>
        </w:rPr>
        <w:t>predic</w:t>
      </w:r>
      <w:r w:rsidRPr="00D23333">
        <w:rPr>
          <w:color w:val="auto"/>
          <w:sz w:val="24"/>
          <w:szCs w:val="24"/>
          <w:lang w:val="en-US"/>
        </w:rPr>
        <w:t>t</w:t>
      </w:r>
      <w:r w:rsidR="00C030DD" w:rsidRPr="00D23333">
        <w:rPr>
          <w:color w:val="auto"/>
          <w:sz w:val="24"/>
          <w:szCs w:val="24"/>
          <w:lang w:val="en-US"/>
        </w:rPr>
        <w:t>ing the continuous sample path</w:t>
      </w:r>
      <w:r w:rsidRPr="00D23333">
        <w:rPr>
          <w:color w:val="auto"/>
          <w:sz w:val="24"/>
          <w:szCs w:val="24"/>
          <w:lang w:val="en-US"/>
        </w:rPr>
        <w:t xml:space="preserve"> and jump components of the quadratic variation process </w:t>
      </w:r>
      <w:r w:rsidR="00C030DD" w:rsidRPr="00D23333">
        <w:rPr>
          <w:color w:val="auto"/>
          <w:sz w:val="24"/>
          <w:szCs w:val="24"/>
          <w:lang w:val="en-US"/>
        </w:rPr>
        <w:t>separately may</w:t>
      </w:r>
      <w:r w:rsidRPr="00D23333">
        <w:rPr>
          <w:color w:val="auto"/>
          <w:sz w:val="24"/>
          <w:szCs w:val="24"/>
          <w:lang w:val="en-US"/>
        </w:rPr>
        <w:t xml:space="preserve"> </w:t>
      </w:r>
      <w:r w:rsidR="00C030DD" w:rsidRPr="00D23333">
        <w:rPr>
          <w:color w:val="auto"/>
          <w:sz w:val="24"/>
          <w:szCs w:val="24"/>
          <w:lang w:val="en-US"/>
        </w:rPr>
        <w:t>improve</w:t>
      </w:r>
      <w:r w:rsidRPr="00D23333">
        <w:rPr>
          <w:color w:val="auto"/>
          <w:sz w:val="24"/>
          <w:szCs w:val="24"/>
          <w:lang w:val="en-US"/>
        </w:rPr>
        <w:t xml:space="preserve"> pricing decisions. </w:t>
      </w:r>
      <w:r w:rsidR="00A63412" w:rsidRPr="00D23333">
        <w:rPr>
          <w:color w:val="auto"/>
          <w:sz w:val="24"/>
          <w:szCs w:val="24"/>
          <w:lang w:val="en-US"/>
        </w:rPr>
        <w:t>Second</w:t>
      </w:r>
      <w:r w:rsidRPr="00D23333">
        <w:rPr>
          <w:color w:val="auto"/>
          <w:sz w:val="24"/>
          <w:szCs w:val="24"/>
          <w:lang w:val="en-US"/>
        </w:rPr>
        <w:t xml:space="preserve">, empirical observation </w:t>
      </w:r>
      <w:r w:rsidR="00A63412" w:rsidRPr="00D23333">
        <w:rPr>
          <w:color w:val="auto"/>
          <w:sz w:val="24"/>
          <w:szCs w:val="24"/>
          <w:lang w:val="en-US"/>
        </w:rPr>
        <w:t>show</w:t>
      </w:r>
      <w:r w:rsidR="00CE5229">
        <w:rPr>
          <w:color w:val="auto"/>
          <w:sz w:val="24"/>
          <w:szCs w:val="24"/>
          <w:lang w:val="en-US"/>
        </w:rPr>
        <w:t>s</w:t>
      </w:r>
      <w:r w:rsidR="00A63412" w:rsidRPr="00D23333">
        <w:rPr>
          <w:color w:val="auto"/>
          <w:sz w:val="24"/>
          <w:szCs w:val="24"/>
          <w:lang w:val="en-US"/>
        </w:rPr>
        <w:t xml:space="preserve"> that</w:t>
      </w:r>
      <w:r w:rsidRPr="00D23333">
        <w:rPr>
          <w:color w:val="auto"/>
          <w:sz w:val="24"/>
          <w:szCs w:val="24"/>
          <w:lang w:val="en-US"/>
        </w:rPr>
        <w:t xml:space="preserve"> jumps </w:t>
      </w:r>
      <w:r w:rsidR="009E05C8" w:rsidRPr="00D23333">
        <w:rPr>
          <w:color w:val="auto"/>
          <w:sz w:val="24"/>
          <w:szCs w:val="24"/>
          <w:lang w:val="en-US"/>
        </w:rPr>
        <w:t xml:space="preserve">appear </w:t>
      </w:r>
      <w:r w:rsidR="00CE5229" w:rsidRPr="00D23333">
        <w:rPr>
          <w:color w:val="auto"/>
          <w:sz w:val="24"/>
          <w:szCs w:val="24"/>
          <w:lang w:val="en-US"/>
        </w:rPr>
        <w:t xml:space="preserve">habitually </w:t>
      </w:r>
      <w:r w:rsidR="00CE5229">
        <w:rPr>
          <w:color w:val="auto"/>
          <w:sz w:val="24"/>
          <w:szCs w:val="24"/>
          <w:lang w:val="en-US"/>
        </w:rPr>
        <w:t xml:space="preserve">and </w:t>
      </w:r>
      <w:r w:rsidR="009E05C8" w:rsidRPr="00D23333">
        <w:rPr>
          <w:color w:val="auto"/>
          <w:sz w:val="24"/>
          <w:szCs w:val="24"/>
          <w:lang w:val="en-US"/>
        </w:rPr>
        <w:t>instantaneously</w:t>
      </w:r>
      <w:r w:rsidRPr="00D23333">
        <w:rPr>
          <w:color w:val="auto"/>
          <w:sz w:val="24"/>
          <w:szCs w:val="24"/>
          <w:lang w:val="en-US"/>
        </w:rPr>
        <w:t xml:space="preserve"> </w:t>
      </w:r>
      <w:r w:rsidR="009E05C8" w:rsidRPr="00D23333">
        <w:rPr>
          <w:color w:val="auto"/>
          <w:sz w:val="24"/>
          <w:szCs w:val="24"/>
          <w:lang w:val="en-US"/>
        </w:rPr>
        <w:t>among</w:t>
      </w:r>
      <w:r w:rsidR="001B4185" w:rsidRPr="00D23333">
        <w:rPr>
          <w:color w:val="auto"/>
          <w:sz w:val="24"/>
          <w:szCs w:val="24"/>
          <w:lang w:val="en-US"/>
        </w:rPr>
        <w:t xml:space="preserve"> different </w:t>
      </w:r>
      <w:r w:rsidR="001B4185" w:rsidRPr="00D23333">
        <w:rPr>
          <w:color w:val="auto"/>
          <w:sz w:val="24"/>
          <w:szCs w:val="24"/>
          <w:lang w:val="en-US"/>
        </w:rPr>
        <w:lastRenderedPageBreak/>
        <w:t>markets</w:t>
      </w:r>
      <w:r w:rsidR="00CE5229">
        <w:rPr>
          <w:color w:val="auto"/>
          <w:sz w:val="24"/>
          <w:szCs w:val="24"/>
          <w:lang w:val="en-US"/>
        </w:rPr>
        <w:t>,</w:t>
      </w:r>
      <w:r w:rsidR="001B4185" w:rsidRPr="00D23333">
        <w:rPr>
          <w:color w:val="auto"/>
          <w:sz w:val="24"/>
          <w:szCs w:val="24"/>
          <w:lang w:val="en-US"/>
        </w:rPr>
        <w:t xml:space="preserve"> which </w:t>
      </w:r>
      <w:r w:rsidR="00CE5229">
        <w:rPr>
          <w:color w:val="auto"/>
          <w:sz w:val="24"/>
          <w:szCs w:val="24"/>
          <w:lang w:val="en-US"/>
        </w:rPr>
        <w:t>suggests that it may be</w:t>
      </w:r>
      <w:r w:rsidR="001B4185" w:rsidRPr="00D23333">
        <w:rPr>
          <w:color w:val="auto"/>
          <w:sz w:val="24"/>
          <w:szCs w:val="24"/>
          <w:lang w:val="en-US"/>
        </w:rPr>
        <w:t xml:space="preserve"> </w:t>
      </w:r>
      <w:r w:rsidRPr="00D23333">
        <w:rPr>
          <w:color w:val="auto"/>
          <w:sz w:val="24"/>
          <w:szCs w:val="24"/>
          <w:lang w:val="en-US"/>
        </w:rPr>
        <w:t xml:space="preserve">interesting to </w:t>
      </w:r>
      <w:r w:rsidR="00CE5229">
        <w:rPr>
          <w:color w:val="auto"/>
          <w:sz w:val="24"/>
          <w:szCs w:val="24"/>
          <w:lang w:val="en-US"/>
        </w:rPr>
        <w:t>extend</w:t>
      </w:r>
      <w:r w:rsidR="00CE5229" w:rsidRPr="00D23333">
        <w:rPr>
          <w:color w:val="auto"/>
          <w:sz w:val="24"/>
          <w:szCs w:val="24"/>
          <w:lang w:val="en-US"/>
        </w:rPr>
        <w:t xml:space="preserve"> </w:t>
      </w:r>
      <w:r w:rsidR="00D43D10" w:rsidRPr="00D23333">
        <w:rPr>
          <w:color w:val="auto"/>
          <w:sz w:val="24"/>
          <w:szCs w:val="24"/>
          <w:lang w:val="en-US"/>
        </w:rPr>
        <w:t>the present study</w:t>
      </w:r>
      <w:r w:rsidRPr="00D23333">
        <w:rPr>
          <w:color w:val="auto"/>
          <w:sz w:val="24"/>
          <w:szCs w:val="24"/>
          <w:lang w:val="en-US"/>
        </w:rPr>
        <w:t xml:space="preserve"> to a multivariate </w:t>
      </w:r>
      <w:r w:rsidR="00D43D10" w:rsidRPr="00D23333">
        <w:rPr>
          <w:color w:val="auto"/>
          <w:sz w:val="24"/>
          <w:szCs w:val="24"/>
          <w:lang w:val="en-US"/>
        </w:rPr>
        <w:t>framework</w:t>
      </w:r>
      <w:r w:rsidRPr="00D23333">
        <w:rPr>
          <w:color w:val="auto"/>
          <w:sz w:val="24"/>
          <w:szCs w:val="24"/>
          <w:lang w:val="en-US"/>
        </w:rPr>
        <w:t xml:space="preserve">. </w:t>
      </w:r>
    </w:p>
    <w:p w14:paraId="2AB97195" w14:textId="77777777" w:rsidR="00C504CC" w:rsidRPr="00D23333" w:rsidRDefault="00C504CC" w:rsidP="003053EE">
      <w:pPr>
        <w:spacing w:line="480" w:lineRule="auto"/>
        <w:ind w:firstLine="708"/>
        <w:jc w:val="both"/>
        <w:rPr>
          <w:color w:val="auto"/>
          <w:sz w:val="24"/>
          <w:szCs w:val="24"/>
          <w:lang w:val="en-US"/>
        </w:rPr>
      </w:pPr>
    </w:p>
    <w:p w14:paraId="38F19C48" w14:textId="77777777" w:rsidR="003053EE" w:rsidRPr="00D23333" w:rsidRDefault="003053EE" w:rsidP="003053EE">
      <w:pPr>
        <w:spacing w:after="200" w:line="276" w:lineRule="auto"/>
        <w:rPr>
          <w:bCs/>
          <w:color w:val="auto"/>
          <w:sz w:val="24"/>
          <w:szCs w:val="24"/>
          <w:lang w:val="en-US"/>
        </w:rPr>
      </w:pPr>
    </w:p>
    <w:p w14:paraId="28054A61" w14:textId="77777777" w:rsidR="003053EE" w:rsidRPr="00D23333" w:rsidRDefault="003053EE" w:rsidP="003053EE">
      <w:pPr>
        <w:rPr>
          <w:b/>
          <w:bCs/>
          <w:color w:val="auto"/>
          <w:sz w:val="28"/>
          <w:szCs w:val="28"/>
          <w:lang w:val="en-GB"/>
        </w:rPr>
      </w:pPr>
      <w:r w:rsidRPr="00D23333">
        <w:rPr>
          <w:b/>
          <w:bCs/>
          <w:color w:val="auto"/>
          <w:sz w:val="28"/>
          <w:szCs w:val="28"/>
          <w:lang w:val="en-GB"/>
        </w:rPr>
        <w:t>References</w:t>
      </w:r>
    </w:p>
    <w:p w14:paraId="6E032501" w14:textId="77777777" w:rsidR="003053EE" w:rsidRPr="00D23333" w:rsidRDefault="003053EE" w:rsidP="003053EE">
      <w:pPr>
        <w:rPr>
          <w:color w:val="auto"/>
          <w:lang w:val="en-GB"/>
        </w:rPr>
      </w:pPr>
    </w:p>
    <w:p w14:paraId="09AF994B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fldChar w:fldCharType="begin"/>
      </w:r>
      <w:r w:rsidRPr="00D2333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23333">
        <w:rPr>
          <w:rFonts w:ascii="Times New Roman" w:hAnsi="Times New Roman" w:cs="Times New Roman"/>
          <w:sz w:val="24"/>
          <w:szCs w:val="24"/>
        </w:rPr>
        <w:fldChar w:fldCharType="separate"/>
      </w:r>
      <w:r w:rsidRPr="00D23333">
        <w:rPr>
          <w:rFonts w:ascii="Times New Roman" w:hAnsi="Times New Roman" w:cs="Times New Roman"/>
          <w:sz w:val="24"/>
          <w:szCs w:val="24"/>
        </w:rPr>
        <w:t xml:space="preserve">Andersen, Torben G, and Tim Bollerslev. 1998. "Deutsche mark–dollar volatility: intraday activity patterns, macroeconomic announcements, and longer run dependencies." </w:t>
      </w:r>
      <w:r w:rsidRPr="00D23333">
        <w:rPr>
          <w:rFonts w:ascii="Times New Roman" w:hAnsi="Times New Roman" w:cs="Times New Roman"/>
          <w:i/>
          <w:sz w:val="24"/>
          <w:szCs w:val="24"/>
        </w:rPr>
        <w:t>the Journal of Finance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53 (1):219-265.</w:t>
      </w:r>
    </w:p>
    <w:p w14:paraId="30988486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Andersen, Torben G, Tim Bollerslev, and Francis X Diebold. 2007. "Roughing it up: Including jump components in the measurement, modeling, and forecasting of return volatility." </w:t>
      </w:r>
      <w:r w:rsidRPr="00D23333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89 (4):701-720.</w:t>
      </w:r>
    </w:p>
    <w:p w14:paraId="6620DDF2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Andersen, Torben G, Tim Bollerslev, Francis X Diebold, and Paul Labys. 2003. "Modeling and forecasting realized volatility." </w:t>
      </w:r>
      <w:r w:rsidRPr="00D23333">
        <w:rPr>
          <w:rFonts w:ascii="Times New Roman" w:hAnsi="Times New Roman" w:cs="Times New Roman"/>
          <w:i/>
          <w:sz w:val="24"/>
          <w:szCs w:val="24"/>
        </w:rPr>
        <w:t>Econometrica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71 (2):579-625.</w:t>
      </w:r>
    </w:p>
    <w:p w14:paraId="15EF81E1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Andersen, Torben G, Tim Bollerslev, and Xin Huang. 2011. "A reduced form framework for modeling volatility of speculative prices based on realized variation measures."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Econometrics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160 (1):176-189.</w:t>
      </w:r>
    </w:p>
    <w:p w14:paraId="20565CF9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Barndorff-Nielsen, Ole E, and Neil Shephard. 2004. "Power and bipower variation with stochastic volatility and jumps."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financial econometrics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2 (1):1-37.</w:t>
      </w:r>
    </w:p>
    <w:p w14:paraId="2C3973D5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Barndorff-Nielsen, Ole E, and Neil Shephard. 2006. "Econometrics of testing for jumps in financial economics using bipower variation."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financial Econometrics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4 (1):1-30.</w:t>
      </w:r>
    </w:p>
    <w:p w14:paraId="331D6EC6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Barunik, Jozef, Tomas Krehlik, and Lukas Vacha. 2016. "Modeling and forecasting exchange rate volatility in time-frequency domain." </w:t>
      </w:r>
      <w:r w:rsidRPr="00D23333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251 (1):329-340.</w:t>
      </w:r>
    </w:p>
    <w:p w14:paraId="0B2F64D8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Beine, Michel, Jérôme Lahaye, Sébastien Laurent, Christopher J Neely, and Franz C Palm. 2007. "Central bank intervention and exchange rate volatility, its continuous and jump components." </w:t>
      </w:r>
      <w:r w:rsidRPr="00D23333">
        <w:rPr>
          <w:rFonts w:ascii="Times New Roman" w:hAnsi="Times New Roman" w:cs="Times New Roman"/>
          <w:i/>
          <w:sz w:val="24"/>
          <w:szCs w:val="24"/>
        </w:rPr>
        <w:t>International journal of finance &amp; economics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12 (2):201-223.</w:t>
      </w:r>
    </w:p>
    <w:p w14:paraId="343C6DD0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Bollerslev, T., Engle, R. F., &amp; Nelson, D. B. (1994). ARCH models. 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 xml:space="preserve">Handbook of econometrics, </w:t>
      </w:r>
      <w:r w:rsidRPr="00D23333">
        <w:rPr>
          <w:rFonts w:ascii="Times New Roman" w:hAnsi="Times New Roman" w:cs="Times New Roman"/>
          <w:sz w:val="24"/>
          <w:szCs w:val="24"/>
        </w:rPr>
        <w:t>4, 2959-3038.</w:t>
      </w:r>
    </w:p>
    <w:p w14:paraId="0D4D9903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Bollerslev, Tim, Uta Kretschmer, Christian Pigorsch, and George Tauchen. 2009. "A discrete-time model for daily S &amp; P500 returns and realized variations: Jumps and leverage effects."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Econometrics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150 (2):151-166.</w:t>
      </w:r>
    </w:p>
    <w:p w14:paraId="74F3B066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lastRenderedPageBreak/>
        <w:t xml:space="preserve">Busch, T., Christensen, B. J., &amp; Nielsen, M. Ø. (2011). The role of implied volatility in forecasting future realized volatility and jumps in foreign exchange, stock, and bond markets. 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>Journal of Econometrics</w:t>
      </w:r>
      <w:r w:rsidRPr="00D23333">
        <w:rPr>
          <w:rFonts w:ascii="Times New Roman" w:hAnsi="Times New Roman" w:cs="Times New Roman"/>
          <w:sz w:val="24"/>
          <w:szCs w:val="24"/>
        </w:rPr>
        <w:t>, 160(1), 48-57.</w:t>
      </w:r>
    </w:p>
    <w:p w14:paraId="43C32E9E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Corsi, Fulvio. 2009. "A Simple Approximate Long-Memory Model of Realized Volatility."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Financial Econometrics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7 (2):174-196.</w:t>
      </w:r>
    </w:p>
    <w:p w14:paraId="31E03D17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>Corsi Fulvio, Davide Pirino, and Roberto Reno. 2010. "Threshold bipower variation and the impact of jumps on volatility forecasting." 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>Journal of Econometrics</w:t>
      </w:r>
      <w:r w:rsidRPr="00D23333">
        <w:rPr>
          <w:rFonts w:ascii="Times New Roman" w:hAnsi="Times New Roman" w:cs="Times New Roman"/>
          <w:sz w:val="24"/>
          <w:szCs w:val="24"/>
        </w:rPr>
        <w:t> 159 (2): 276-288.</w:t>
      </w:r>
    </w:p>
    <w:p w14:paraId="02945F18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Degiannakis*, S. (2004). Volatility forecasting: evidence from a fractional integrated asymmetric power ARCH skewed-t model. 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>Applied Financial Economics,</w:t>
      </w:r>
      <w:r w:rsidRPr="00D23333">
        <w:rPr>
          <w:rFonts w:ascii="Times New Roman" w:hAnsi="Times New Roman" w:cs="Times New Roman"/>
          <w:sz w:val="24"/>
          <w:szCs w:val="24"/>
        </w:rPr>
        <w:t xml:space="preserve"> 14(18), 1333-1342.</w:t>
      </w:r>
    </w:p>
    <w:p w14:paraId="1110D6FD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>Degiannakis, S. A. (2008). Forecasting Vix.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 xml:space="preserve"> Journal of Money, Investment and Banking,</w:t>
      </w:r>
      <w:r w:rsidRPr="00D23333">
        <w:rPr>
          <w:rFonts w:ascii="Times New Roman" w:hAnsi="Times New Roman" w:cs="Times New Roman"/>
          <w:sz w:val="24"/>
          <w:szCs w:val="24"/>
        </w:rPr>
        <w:t xml:space="preserve"> (4).</w:t>
      </w:r>
    </w:p>
    <w:p w14:paraId="4E147563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>Fernandes, M., Medeiros, M. C., &amp; Scharth, M. (2014). Modeling and predicting the CBOE market volatility index. Journal of Banking &amp; Finance, 40, 1-10.</w:t>
      </w:r>
    </w:p>
    <w:p w14:paraId="01E840C5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French, Kenneth R, G William Schwert, and Robert F Stambaugh. 1987. "Expected stock returns and volatility."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financial Economics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19 (1):3-29.</w:t>
      </w:r>
    </w:p>
    <w:p w14:paraId="460964F6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Fuentes, M. A., Gerig, A., &amp; Vicente, J. (2009). Universal behavior of extreme price movements in stock markets. 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D23333">
        <w:rPr>
          <w:rFonts w:ascii="Times New Roman" w:hAnsi="Times New Roman" w:cs="Times New Roman"/>
          <w:sz w:val="24"/>
          <w:szCs w:val="24"/>
        </w:rPr>
        <w:t>, 4(12).</w:t>
      </w:r>
    </w:p>
    <w:p w14:paraId="71730F54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Hansen, P. R., &amp; Lunde, A. (2005). A forecast comparison of volatility models: does anything beat a GARCH (1, 1)?. 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econometrics, </w:t>
      </w:r>
      <w:r w:rsidRPr="00D23333">
        <w:rPr>
          <w:rFonts w:ascii="Times New Roman" w:hAnsi="Times New Roman" w:cs="Times New Roman"/>
          <w:sz w:val="24"/>
          <w:szCs w:val="24"/>
        </w:rPr>
        <w:t>20(7), 873-889.</w:t>
      </w:r>
    </w:p>
    <w:p w14:paraId="661FF1D0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>Huang, Chuangxia, Xu Gong, Xiaohong Chen, and Fenghua Wen. 2013. "Measuring and forecasting volatility in Chinese stock market using HAR-CJ-M model." In Abstract and Applied Analysis, vol.2013. Hindawi.</w:t>
      </w:r>
    </w:p>
    <w:p w14:paraId="728CB2C5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Koopman, Siem Jan, Borus Jungbacker, and Eugenie Hol. 2005. "Forecasting daily variability of the S&amp;P 100 stock index using historical, realised and implied volatility measurements."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Empirical Finance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12 (3):445-475.</w:t>
      </w:r>
    </w:p>
    <w:p w14:paraId="1AB31339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>Kumar Manish. 2010. "Improving the accuracy: volatility modeling and forecasting using high-frequency data and the variational component." </w:t>
      </w:r>
      <w:r w:rsidRPr="00D23333">
        <w:rPr>
          <w:rFonts w:ascii="Times New Roman" w:hAnsi="Times New Roman" w:cs="Times New Roman"/>
          <w:i/>
          <w:iCs/>
          <w:sz w:val="24"/>
          <w:szCs w:val="24"/>
        </w:rPr>
        <w:t>Journal of Industrial Engineering and Management (JIEM)</w:t>
      </w:r>
      <w:r w:rsidRPr="00D23333">
        <w:rPr>
          <w:rFonts w:ascii="Times New Roman" w:hAnsi="Times New Roman" w:cs="Times New Roman"/>
          <w:sz w:val="24"/>
          <w:szCs w:val="24"/>
        </w:rPr>
        <w:t> 3 (1): 199-220.</w:t>
      </w:r>
    </w:p>
    <w:p w14:paraId="62F53BA9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Lanne, Markku. 2007. "Forecasting realized exchange rate volatility by decomposition." </w:t>
      </w:r>
      <w:r w:rsidRPr="00D23333">
        <w:rPr>
          <w:rFonts w:ascii="Times New Roman" w:hAnsi="Times New Roman" w:cs="Times New Roman"/>
          <w:i/>
          <w:sz w:val="24"/>
          <w:szCs w:val="24"/>
        </w:rPr>
        <w:t>International Journal of Forecasting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23 (2):307-320.</w:t>
      </w:r>
    </w:p>
    <w:p w14:paraId="74FEA6F2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Martens, Martin. 2001. "Forecasting daily exchange rate volatility using intraday returns."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International Money and Finance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20 (1):1-23.</w:t>
      </w:r>
    </w:p>
    <w:p w14:paraId="685788F9" w14:textId="77777777" w:rsidR="003053EE" w:rsidRPr="00D23333" w:rsidRDefault="003053EE" w:rsidP="003053EE">
      <w:pPr>
        <w:pStyle w:val="EndNote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t xml:space="preserve">Müller, Ulrich A., Michel M. Dacorogna, Rakhal D. Davé, Richard B. Olsen, Olivier V. Pictet, and Jacob E. von Weizsäcker. 1997. "Volatilities of different time resolutions — Analyzing the dynamics of market components." </w:t>
      </w:r>
      <w:r w:rsidRPr="00D23333">
        <w:rPr>
          <w:rFonts w:ascii="Times New Roman" w:hAnsi="Times New Roman" w:cs="Times New Roman"/>
          <w:i/>
          <w:sz w:val="24"/>
          <w:szCs w:val="24"/>
        </w:rPr>
        <w:t>Journal of Empirical Finance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4 (2):213-239. </w:t>
      </w:r>
    </w:p>
    <w:p w14:paraId="012EAA6D" w14:textId="77777777" w:rsidR="003053EE" w:rsidRPr="00D23333" w:rsidRDefault="003053EE" w:rsidP="003053E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33">
        <w:rPr>
          <w:rFonts w:ascii="Times New Roman" w:hAnsi="Times New Roman" w:cs="Times New Roman"/>
          <w:sz w:val="24"/>
          <w:szCs w:val="24"/>
        </w:rPr>
        <w:lastRenderedPageBreak/>
        <w:t xml:space="preserve">Pooter, Michiel de, Martin Martens, and Dick van Dijk. 2008. "Predicting the daily covariance matrix for s&amp;p 100 stocks using intraday data—but which frequency to use?" </w:t>
      </w:r>
      <w:r w:rsidRPr="00D23333">
        <w:rPr>
          <w:rFonts w:ascii="Times New Roman" w:hAnsi="Times New Roman" w:cs="Times New Roman"/>
          <w:i/>
          <w:sz w:val="24"/>
          <w:szCs w:val="24"/>
        </w:rPr>
        <w:t>Econometric Reviews</w:t>
      </w:r>
      <w:r w:rsidRPr="00D23333">
        <w:rPr>
          <w:rFonts w:ascii="Times New Roman" w:hAnsi="Times New Roman" w:cs="Times New Roman"/>
          <w:sz w:val="24"/>
          <w:szCs w:val="24"/>
        </w:rPr>
        <w:t xml:space="preserve"> no. 27 (1-3):199-229.</w:t>
      </w:r>
    </w:p>
    <w:p w14:paraId="764CD5A3" w14:textId="77777777" w:rsidR="003053EE" w:rsidRDefault="003053EE" w:rsidP="003053EE">
      <w:pPr>
        <w:jc w:val="both"/>
      </w:pPr>
      <w:r w:rsidRPr="00D23333">
        <w:rPr>
          <w:color w:val="auto"/>
          <w:sz w:val="24"/>
          <w:szCs w:val="24"/>
        </w:rPr>
        <w:fldChar w:fldCharType="end"/>
      </w:r>
    </w:p>
    <w:p w14:paraId="7CACB756" w14:textId="77777777" w:rsidR="001F5C70" w:rsidRDefault="001F5C70" w:rsidP="00787403">
      <w:pPr>
        <w:spacing w:after="200" w:line="276" w:lineRule="auto"/>
        <w:rPr>
          <w:bCs/>
          <w:sz w:val="24"/>
          <w:szCs w:val="24"/>
          <w:lang w:val="en-US"/>
        </w:rPr>
      </w:pPr>
    </w:p>
    <w:p w14:paraId="090263FE" w14:textId="77777777" w:rsidR="0046077F" w:rsidRDefault="0046077F" w:rsidP="0046077F">
      <w:pPr>
        <w:spacing w:after="200" w:line="276" w:lineRule="auto"/>
        <w:rPr>
          <w:bCs/>
          <w:sz w:val="24"/>
          <w:szCs w:val="24"/>
          <w:lang w:val="en-US"/>
        </w:rPr>
      </w:pPr>
    </w:p>
    <w:p w14:paraId="3BC2C397" w14:textId="77777777" w:rsidR="000D422E" w:rsidRDefault="000D422E">
      <w:pPr>
        <w:spacing w:after="200" w:line="276" w:lineRule="auto"/>
        <w:rPr>
          <w:sz w:val="28"/>
          <w:szCs w:val="28"/>
          <w:lang w:val="en-US"/>
        </w:rPr>
      </w:pPr>
    </w:p>
    <w:sectPr w:rsidR="000D422E" w:rsidSect="003D5061">
      <w:footerReference w:type="default" r:id="rId2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DA41" w14:textId="77777777" w:rsidR="008B522B" w:rsidRDefault="008B522B" w:rsidP="007F6EBA">
      <w:r>
        <w:separator/>
      </w:r>
    </w:p>
  </w:endnote>
  <w:endnote w:type="continuationSeparator" w:id="0">
    <w:p w14:paraId="00C7CD29" w14:textId="77777777" w:rsidR="008B522B" w:rsidRDefault="008B522B" w:rsidP="007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E53B" w14:textId="58CBD574" w:rsidR="009E1174" w:rsidRDefault="009E117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11CB5">
      <w:rPr>
        <w:noProof/>
      </w:rPr>
      <w:t>1</w:t>
    </w:r>
    <w:r>
      <w:rPr>
        <w:noProof/>
      </w:rPr>
      <w:fldChar w:fldCharType="end"/>
    </w:r>
  </w:p>
  <w:p w14:paraId="63ABCD5E" w14:textId="77777777" w:rsidR="009E1174" w:rsidRDefault="009E1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A149" w14:textId="77777777" w:rsidR="008B522B" w:rsidRDefault="008B522B" w:rsidP="007F6EBA">
      <w:r>
        <w:separator/>
      </w:r>
    </w:p>
  </w:footnote>
  <w:footnote w:type="continuationSeparator" w:id="0">
    <w:p w14:paraId="2400E8A0" w14:textId="77777777" w:rsidR="008B522B" w:rsidRDefault="008B522B" w:rsidP="007F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7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E1553A"/>
    <w:multiLevelType w:val="hybridMultilevel"/>
    <w:tmpl w:val="2DBE58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1"/>
    <w:rsid w:val="0000364B"/>
    <w:rsid w:val="00005C35"/>
    <w:rsid w:val="00007FAF"/>
    <w:rsid w:val="00020D73"/>
    <w:rsid w:val="00021295"/>
    <w:rsid w:val="000241BB"/>
    <w:rsid w:val="00025090"/>
    <w:rsid w:val="00025352"/>
    <w:rsid w:val="00030256"/>
    <w:rsid w:val="0003127B"/>
    <w:rsid w:val="000320A4"/>
    <w:rsid w:val="00032A80"/>
    <w:rsid w:val="000344AD"/>
    <w:rsid w:val="00037385"/>
    <w:rsid w:val="00041EDA"/>
    <w:rsid w:val="00044E24"/>
    <w:rsid w:val="00045777"/>
    <w:rsid w:val="00045E37"/>
    <w:rsid w:val="000468E3"/>
    <w:rsid w:val="000471B6"/>
    <w:rsid w:val="00047D68"/>
    <w:rsid w:val="0006233A"/>
    <w:rsid w:val="00063C6E"/>
    <w:rsid w:val="0007062F"/>
    <w:rsid w:val="000752DE"/>
    <w:rsid w:val="00075E8D"/>
    <w:rsid w:val="00075FA8"/>
    <w:rsid w:val="00084C2E"/>
    <w:rsid w:val="00090F44"/>
    <w:rsid w:val="0009105E"/>
    <w:rsid w:val="0009165A"/>
    <w:rsid w:val="00094236"/>
    <w:rsid w:val="00096087"/>
    <w:rsid w:val="00097469"/>
    <w:rsid w:val="000A0832"/>
    <w:rsid w:val="000A209D"/>
    <w:rsid w:val="000A55B9"/>
    <w:rsid w:val="000A676F"/>
    <w:rsid w:val="000B2311"/>
    <w:rsid w:val="000B40A3"/>
    <w:rsid w:val="000B50D2"/>
    <w:rsid w:val="000B558C"/>
    <w:rsid w:val="000C06BC"/>
    <w:rsid w:val="000C0BB1"/>
    <w:rsid w:val="000C1A83"/>
    <w:rsid w:val="000C1B1C"/>
    <w:rsid w:val="000C39AB"/>
    <w:rsid w:val="000C5F9B"/>
    <w:rsid w:val="000D001E"/>
    <w:rsid w:val="000D1659"/>
    <w:rsid w:val="000D2513"/>
    <w:rsid w:val="000D320A"/>
    <w:rsid w:val="000D422E"/>
    <w:rsid w:val="000D5A98"/>
    <w:rsid w:val="000D767A"/>
    <w:rsid w:val="000E549C"/>
    <w:rsid w:val="000F2F21"/>
    <w:rsid w:val="000F34A7"/>
    <w:rsid w:val="000F4C9A"/>
    <w:rsid w:val="000F5000"/>
    <w:rsid w:val="000F5005"/>
    <w:rsid w:val="000F58A2"/>
    <w:rsid w:val="000F5F60"/>
    <w:rsid w:val="00106101"/>
    <w:rsid w:val="00106C91"/>
    <w:rsid w:val="00111E65"/>
    <w:rsid w:val="00113706"/>
    <w:rsid w:val="00116D25"/>
    <w:rsid w:val="00122CFF"/>
    <w:rsid w:val="001310B6"/>
    <w:rsid w:val="0013540B"/>
    <w:rsid w:val="001364B8"/>
    <w:rsid w:val="00137BE7"/>
    <w:rsid w:val="00141AB5"/>
    <w:rsid w:val="00146AD9"/>
    <w:rsid w:val="001473A3"/>
    <w:rsid w:val="00147D12"/>
    <w:rsid w:val="00152D63"/>
    <w:rsid w:val="00156668"/>
    <w:rsid w:val="00157665"/>
    <w:rsid w:val="00164796"/>
    <w:rsid w:val="00164B01"/>
    <w:rsid w:val="00172FF3"/>
    <w:rsid w:val="0017321C"/>
    <w:rsid w:val="001743CD"/>
    <w:rsid w:val="00175563"/>
    <w:rsid w:val="0018294D"/>
    <w:rsid w:val="00182A17"/>
    <w:rsid w:val="00182F02"/>
    <w:rsid w:val="001846C3"/>
    <w:rsid w:val="00185245"/>
    <w:rsid w:val="00192B33"/>
    <w:rsid w:val="0019404C"/>
    <w:rsid w:val="0019553A"/>
    <w:rsid w:val="00195CB1"/>
    <w:rsid w:val="001A0B90"/>
    <w:rsid w:val="001A1335"/>
    <w:rsid w:val="001A145E"/>
    <w:rsid w:val="001B3E75"/>
    <w:rsid w:val="001B4185"/>
    <w:rsid w:val="001B4B0B"/>
    <w:rsid w:val="001B7F1C"/>
    <w:rsid w:val="001C09D9"/>
    <w:rsid w:val="001C2FCD"/>
    <w:rsid w:val="001C6D9B"/>
    <w:rsid w:val="001D6FC3"/>
    <w:rsid w:val="001D7C5E"/>
    <w:rsid w:val="001E4B45"/>
    <w:rsid w:val="001E6AA8"/>
    <w:rsid w:val="001E7732"/>
    <w:rsid w:val="001F43BD"/>
    <w:rsid w:val="001F495A"/>
    <w:rsid w:val="001F51BA"/>
    <w:rsid w:val="001F5C70"/>
    <w:rsid w:val="001F6DDC"/>
    <w:rsid w:val="001F7D6C"/>
    <w:rsid w:val="002019B7"/>
    <w:rsid w:val="00202271"/>
    <w:rsid w:val="0020381E"/>
    <w:rsid w:val="00212A72"/>
    <w:rsid w:val="002203CA"/>
    <w:rsid w:val="0022544D"/>
    <w:rsid w:val="00227D89"/>
    <w:rsid w:val="00230600"/>
    <w:rsid w:val="00235F0E"/>
    <w:rsid w:val="00236A23"/>
    <w:rsid w:val="002411C6"/>
    <w:rsid w:val="0024173F"/>
    <w:rsid w:val="002427B8"/>
    <w:rsid w:val="00247060"/>
    <w:rsid w:val="00247870"/>
    <w:rsid w:val="00253AF3"/>
    <w:rsid w:val="00257C7D"/>
    <w:rsid w:val="00261F05"/>
    <w:rsid w:val="00263992"/>
    <w:rsid w:val="00265A6E"/>
    <w:rsid w:val="00266F46"/>
    <w:rsid w:val="00273DD2"/>
    <w:rsid w:val="00275BE9"/>
    <w:rsid w:val="002813F8"/>
    <w:rsid w:val="00282ED2"/>
    <w:rsid w:val="00283327"/>
    <w:rsid w:val="002838D1"/>
    <w:rsid w:val="00284C5D"/>
    <w:rsid w:val="00285A2A"/>
    <w:rsid w:val="0028659E"/>
    <w:rsid w:val="00290238"/>
    <w:rsid w:val="0029437A"/>
    <w:rsid w:val="00294E11"/>
    <w:rsid w:val="00296CB9"/>
    <w:rsid w:val="002A03FA"/>
    <w:rsid w:val="002A04CB"/>
    <w:rsid w:val="002C046A"/>
    <w:rsid w:val="002C37EF"/>
    <w:rsid w:val="002C548E"/>
    <w:rsid w:val="002C701F"/>
    <w:rsid w:val="002D04E7"/>
    <w:rsid w:val="002D0C92"/>
    <w:rsid w:val="002D2AD1"/>
    <w:rsid w:val="002D6733"/>
    <w:rsid w:val="002E0372"/>
    <w:rsid w:val="002E0892"/>
    <w:rsid w:val="002E3A4D"/>
    <w:rsid w:val="002E4118"/>
    <w:rsid w:val="002E4CDA"/>
    <w:rsid w:val="00300B33"/>
    <w:rsid w:val="00303DC4"/>
    <w:rsid w:val="003053EE"/>
    <w:rsid w:val="00313AE3"/>
    <w:rsid w:val="00317EA3"/>
    <w:rsid w:val="00323EC3"/>
    <w:rsid w:val="00325166"/>
    <w:rsid w:val="0032555A"/>
    <w:rsid w:val="003272E6"/>
    <w:rsid w:val="003307ED"/>
    <w:rsid w:val="00334F88"/>
    <w:rsid w:val="00335055"/>
    <w:rsid w:val="00340C4D"/>
    <w:rsid w:val="0034264B"/>
    <w:rsid w:val="0035500A"/>
    <w:rsid w:val="00357907"/>
    <w:rsid w:val="003619FE"/>
    <w:rsid w:val="0036406A"/>
    <w:rsid w:val="003676AB"/>
    <w:rsid w:val="003713D9"/>
    <w:rsid w:val="0037176D"/>
    <w:rsid w:val="00371C28"/>
    <w:rsid w:val="003749EA"/>
    <w:rsid w:val="00374FE0"/>
    <w:rsid w:val="00375A8E"/>
    <w:rsid w:val="00375E1D"/>
    <w:rsid w:val="0037614A"/>
    <w:rsid w:val="003770D1"/>
    <w:rsid w:val="00385ADB"/>
    <w:rsid w:val="00386293"/>
    <w:rsid w:val="0039133C"/>
    <w:rsid w:val="00392830"/>
    <w:rsid w:val="00392C23"/>
    <w:rsid w:val="00396D24"/>
    <w:rsid w:val="003972DD"/>
    <w:rsid w:val="003A1A1E"/>
    <w:rsid w:val="003A5178"/>
    <w:rsid w:val="003A5CE3"/>
    <w:rsid w:val="003A72DA"/>
    <w:rsid w:val="003B2A85"/>
    <w:rsid w:val="003B5920"/>
    <w:rsid w:val="003B7C29"/>
    <w:rsid w:val="003C086F"/>
    <w:rsid w:val="003C5A5C"/>
    <w:rsid w:val="003C6630"/>
    <w:rsid w:val="003D0034"/>
    <w:rsid w:val="003D01E1"/>
    <w:rsid w:val="003D165F"/>
    <w:rsid w:val="003D25E3"/>
    <w:rsid w:val="003D3205"/>
    <w:rsid w:val="003D5061"/>
    <w:rsid w:val="003D5926"/>
    <w:rsid w:val="003D735D"/>
    <w:rsid w:val="003D749A"/>
    <w:rsid w:val="003D775E"/>
    <w:rsid w:val="003D7F9B"/>
    <w:rsid w:val="003E167A"/>
    <w:rsid w:val="003E303A"/>
    <w:rsid w:val="003E3984"/>
    <w:rsid w:val="003E579C"/>
    <w:rsid w:val="003F6055"/>
    <w:rsid w:val="00401629"/>
    <w:rsid w:val="004029B7"/>
    <w:rsid w:val="00407E89"/>
    <w:rsid w:val="00413AA3"/>
    <w:rsid w:val="0042111D"/>
    <w:rsid w:val="00422077"/>
    <w:rsid w:val="004246DD"/>
    <w:rsid w:val="0042475E"/>
    <w:rsid w:val="004306DE"/>
    <w:rsid w:val="00431592"/>
    <w:rsid w:val="00431B5A"/>
    <w:rsid w:val="00432750"/>
    <w:rsid w:val="004337D4"/>
    <w:rsid w:val="00434E78"/>
    <w:rsid w:val="0043731B"/>
    <w:rsid w:val="00442280"/>
    <w:rsid w:val="00442E70"/>
    <w:rsid w:val="004443A6"/>
    <w:rsid w:val="00446803"/>
    <w:rsid w:val="00446F5B"/>
    <w:rsid w:val="00450696"/>
    <w:rsid w:val="00450B1C"/>
    <w:rsid w:val="0046077F"/>
    <w:rsid w:val="00464BF1"/>
    <w:rsid w:val="00471DAF"/>
    <w:rsid w:val="00475BDC"/>
    <w:rsid w:val="0048035F"/>
    <w:rsid w:val="00483C79"/>
    <w:rsid w:val="004869D4"/>
    <w:rsid w:val="004910DB"/>
    <w:rsid w:val="00491539"/>
    <w:rsid w:val="004934FC"/>
    <w:rsid w:val="00493533"/>
    <w:rsid w:val="0049428E"/>
    <w:rsid w:val="004A219F"/>
    <w:rsid w:val="004A3150"/>
    <w:rsid w:val="004A3A8C"/>
    <w:rsid w:val="004B0FA1"/>
    <w:rsid w:val="004B13BB"/>
    <w:rsid w:val="004B723A"/>
    <w:rsid w:val="004B72A2"/>
    <w:rsid w:val="004C57DC"/>
    <w:rsid w:val="004D0608"/>
    <w:rsid w:val="004D4406"/>
    <w:rsid w:val="004D77B8"/>
    <w:rsid w:val="004E0F01"/>
    <w:rsid w:val="004F4559"/>
    <w:rsid w:val="004F4878"/>
    <w:rsid w:val="005022B6"/>
    <w:rsid w:val="0050636F"/>
    <w:rsid w:val="00510177"/>
    <w:rsid w:val="005106DA"/>
    <w:rsid w:val="00513D00"/>
    <w:rsid w:val="00517494"/>
    <w:rsid w:val="00517F31"/>
    <w:rsid w:val="00526B6B"/>
    <w:rsid w:val="005325CB"/>
    <w:rsid w:val="00535887"/>
    <w:rsid w:val="00537330"/>
    <w:rsid w:val="0054044B"/>
    <w:rsid w:val="00541463"/>
    <w:rsid w:val="005436B2"/>
    <w:rsid w:val="00543C53"/>
    <w:rsid w:val="00543CEE"/>
    <w:rsid w:val="00544A9B"/>
    <w:rsid w:val="00544F47"/>
    <w:rsid w:val="005455BF"/>
    <w:rsid w:val="00547447"/>
    <w:rsid w:val="005563B0"/>
    <w:rsid w:val="00560DDE"/>
    <w:rsid w:val="00561EDC"/>
    <w:rsid w:val="005644B0"/>
    <w:rsid w:val="005679D4"/>
    <w:rsid w:val="00580EC9"/>
    <w:rsid w:val="00581CE3"/>
    <w:rsid w:val="005841C6"/>
    <w:rsid w:val="00590E4D"/>
    <w:rsid w:val="005922AB"/>
    <w:rsid w:val="00592363"/>
    <w:rsid w:val="00592773"/>
    <w:rsid w:val="00594166"/>
    <w:rsid w:val="00594FC1"/>
    <w:rsid w:val="00597684"/>
    <w:rsid w:val="005A151C"/>
    <w:rsid w:val="005A2035"/>
    <w:rsid w:val="005A5F90"/>
    <w:rsid w:val="005A6657"/>
    <w:rsid w:val="005B1663"/>
    <w:rsid w:val="005B34EE"/>
    <w:rsid w:val="005B67E0"/>
    <w:rsid w:val="005C7932"/>
    <w:rsid w:val="005D0839"/>
    <w:rsid w:val="005D3BAF"/>
    <w:rsid w:val="005D5782"/>
    <w:rsid w:val="005D5C45"/>
    <w:rsid w:val="005E3C76"/>
    <w:rsid w:val="005E524F"/>
    <w:rsid w:val="005F76D6"/>
    <w:rsid w:val="00604729"/>
    <w:rsid w:val="006057E7"/>
    <w:rsid w:val="006065DF"/>
    <w:rsid w:val="00606B40"/>
    <w:rsid w:val="00611352"/>
    <w:rsid w:val="00611CB5"/>
    <w:rsid w:val="00616EF2"/>
    <w:rsid w:val="006212AA"/>
    <w:rsid w:val="00626AD1"/>
    <w:rsid w:val="00632C90"/>
    <w:rsid w:val="006379AC"/>
    <w:rsid w:val="00640226"/>
    <w:rsid w:val="00644A90"/>
    <w:rsid w:val="0064584D"/>
    <w:rsid w:val="00646B09"/>
    <w:rsid w:val="00647AA4"/>
    <w:rsid w:val="00647D6B"/>
    <w:rsid w:val="006521DF"/>
    <w:rsid w:val="006528A5"/>
    <w:rsid w:val="00655863"/>
    <w:rsid w:val="00656057"/>
    <w:rsid w:val="00657DF3"/>
    <w:rsid w:val="0066265D"/>
    <w:rsid w:val="006676EC"/>
    <w:rsid w:val="00670A58"/>
    <w:rsid w:val="00671389"/>
    <w:rsid w:val="00673A42"/>
    <w:rsid w:val="00680667"/>
    <w:rsid w:val="00686746"/>
    <w:rsid w:val="0069101F"/>
    <w:rsid w:val="006915BC"/>
    <w:rsid w:val="006971BF"/>
    <w:rsid w:val="006A161F"/>
    <w:rsid w:val="006A2218"/>
    <w:rsid w:val="006A5209"/>
    <w:rsid w:val="006B4DBB"/>
    <w:rsid w:val="006B57AE"/>
    <w:rsid w:val="006B64FB"/>
    <w:rsid w:val="006C1393"/>
    <w:rsid w:val="006C22ED"/>
    <w:rsid w:val="006C599B"/>
    <w:rsid w:val="006C614D"/>
    <w:rsid w:val="006D0CBD"/>
    <w:rsid w:val="006D2113"/>
    <w:rsid w:val="006D2C1A"/>
    <w:rsid w:val="006D45D6"/>
    <w:rsid w:val="006E36D9"/>
    <w:rsid w:val="006F1152"/>
    <w:rsid w:val="006F3120"/>
    <w:rsid w:val="007012C1"/>
    <w:rsid w:val="007014A0"/>
    <w:rsid w:val="00701C33"/>
    <w:rsid w:val="007034C5"/>
    <w:rsid w:val="00705025"/>
    <w:rsid w:val="00705297"/>
    <w:rsid w:val="00705BBC"/>
    <w:rsid w:val="007149C9"/>
    <w:rsid w:val="00716402"/>
    <w:rsid w:val="00716F9C"/>
    <w:rsid w:val="0072079A"/>
    <w:rsid w:val="00721844"/>
    <w:rsid w:val="007252C2"/>
    <w:rsid w:val="007325FD"/>
    <w:rsid w:val="00734332"/>
    <w:rsid w:val="007358AF"/>
    <w:rsid w:val="00736710"/>
    <w:rsid w:val="007468FE"/>
    <w:rsid w:val="00747D9B"/>
    <w:rsid w:val="007512D0"/>
    <w:rsid w:val="007523E4"/>
    <w:rsid w:val="00753C9B"/>
    <w:rsid w:val="00753CB0"/>
    <w:rsid w:val="00754C72"/>
    <w:rsid w:val="00761F20"/>
    <w:rsid w:val="00766984"/>
    <w:rsid w:val="0076778B"/>
    <w:rsid w:val="00767CEC"/>
    <w:rsid w:val="00770B70"/>
    <w:rsid w:val="00772571"/>
    <w:rsid w:val="007733BF"/>
    <w:rsid w:val="007757CE"/>
    <w:rsid w:val="00777523"/>
    <w:rsid w:val="007812EB"/>
    <w:rsid w:val="00781693"/>
    <w:rsid w:val="00783263"/>
    <w:rsid w:val="00784763"/>
    <w:rsid w:val="00787403"/>
    <w:rsid w:val="007932B2"/>
    <w:rsid w:val="007950EF"/>
    <w:rsid w:val="0079569D"/>
    <w:rsid w:val="0079666A"/>
    <w:rsid w:val="00797D14"/>
    <w:rsid w:val="007A1151"/>
    <w:rsid w:val="007A2386"/>
    <w:rsid w:val="007A2F5B"/>
    <w:rsid w:val="007A65AD"/>
    <w:rsid w:val="007B0B3D"/>
    <w:rsid w:val="007B1580"/>
    <w:rsid w:val="007B3DA1"/>
    <w:rsid w:val="007C0409"/>
    <w:rsid w:val="007C06F3"/>
    <w:rsid w:val="007C1BEF"/>
    <w:rsid w:val="007C3997"/>
    <w:rsid w:val="007C5BD6"/>
    <w:rsid w:val="007C6463"/>
    <w:rsid w:val="007D470E"/>
    <w:rsid w:val="007D4861"/>
    <w:rsid w:val="007D65FF"/>
    <w:rsid w:val="007D6B1C"/>
    <w:rsid w:val="007E114A"/>
    <w:rsid w:val="007E291C"/>
    <w:rsid w:val="007E332F"/>
    <w:rsid w:val="007E43A9"/>
    <w:rsid w:val="007F59CD"/>
    <w:rsid w:val="007F6DCC"/>
    <w:rsid w:val="007F6EBA"/>
    <w:rsid w:val="00806265"/>
    <w:rsid w:val="00806A8C"/>
    <w:rsid w:val="00816E11"/>
    <w:rsid w:val="00820A43"/>
    <w:rsid w:val="00821EB1"/>
    <w:rsid w:val="00821ED5"/>
    <w:rsid w:val="00822008"/>
    <w:rsid w:val="008226D0"/>
    <w:rsid w:val="008243C7"/>
    <w:rsid w:val="00824880"/>
    <w:rsid w:val="00831AFF"/>
    <w:rsid w:val="00832FF5"/>
    <w:rsid w:val="00833123"/>
    <w:rsid w:val="008341FF"/>
    <w:rsid w:val="00837359"/>
    <w:rsid w:val="00840883"/>
    <w:rsid w:val="00841390"/>
    <w:rsid w:val="00843B7A"/>
    <w:rsid w:val="00844932"/>
    <w:rsid w:val="00844A02"/>
    <w:rsid w:val="008467FE"/>
    <w:rsid w:val="008545F0"/>
    <w:rsid w:val="00854E0D"/>
    <w:rsid w:val="0086340F"/>
    <w:rsid w:val="00864296"/>
    <w:rsid w:val="00874920"/>
    <w:rsid w:val="00876B5B"/>
    <w:rsid w:val="008901C7"/>
    <w:rsid w:val="00890D2D"/>
    <w:rsid w:val="00890E3D"/>
    <w:rsid w:val="008A0125"/>
    <w:rsid w:val="008A346B"/>
    <w:rsid w:val="008A502F"/>
    <w:rsid w:val="008B3880"/>
    <w:rsid w:val="008B522B"/>
    <w:rsid w:val="008B6EF7"/>
    <w:rsid w:val="008C6A0D"/>
    <w:rsid w:val="008D0F32"/>
    <w:rsid w:val="008D18A0"/>
    <w:rsid w:val="008D420B"/>
    <w:rsid w:val="008D439D"/>
    <w:rsid w:val="008D504F"/>
    <w:rsid w:val="008E0DB9"/>
    <w:rsid w:val="008E1EA8"/>
    <w:rsid w:val="008E57CB"/>
    <w:rsid w:val="008F6EF3"/>
    <w:rsid w:val="008F79F2"/>
    <w:rsid w:val="00901F4A"/>
    <w:rsid w:val="00905DB4"/>
    <w:rsid w:val="00907A6B"/>
    <w:rsid w:val="00911788"/>
    <w:rsid w:val="00911DA0"/>
    <w:rsid w:val="009130BC"/>
    <w:rsid w:val="00916610"/>
    <w:rsid w:val="0091699F"/>
    <w:rsid w:val="00920995"/>
    <w:rsid w:val="009228E7"/>
    <w:rsid w:val="009307A1"/>
    <w:rsid w:val="0093093D"/>
    <w:rsid w:val="00930F8D"/>
    <w:rsid w:val="00931BA3"/>
    <w:rsid w:val="00933634"/>
    <w:rsid w:val="0093369D"/>
    <w:rsid w:val="00934127"/>
    <w:rsid w:val="009347D8"/>
    <w:rsid w:val="00934CF3"/>
    <w:rsid w:val="00940E70"/>
    <w:rsid w:val="00943B09"/>
    <w:rsid w:val="00943FDD"/>
    <w:rsid w:val="00946F6A"/>
    <w:rsid w:val="009507D8"/>
    <w:rsid w:val="00956B8D"/>
    <w:rsid w:val="00960BBC"/>
    <w:rsid w:val="00960EBD"/>
    <w:rsid w:val="00961799"/>
    <w:rsid w:val="00972D0D"/>
    <w:rsid w:val="00976D70"/>
    <w:rsid w:val="00977F77"/>
    <w:rsid w:val="009847CE"/>
    <w:rsid w:val="00987BE5"/>
    <w:rsid w:val="009925DF"/>
    <w:rsid w:val="00994F56"/>
    <w:rsid w:val="009953C8"/>
    <w:rsid w:val="009A0B1B"/>
    <w:rsid w:val="009A3FD9"/>
    <w:rsid w:val="009B3C47"/>
    <w:rsid w:val="009B5A78"/>
    <w:rsid w:val="009B79A2"/>
    <w:rsid w:val="009C232D"/>
    <w:rsid w:val="009C7230"/>
    <w:rsid w:val="009D1B0B"/>
    <w:rsid w:val="009D3D7D"/>
    <w:rsid w:val="009D547A"/>
    <w:rsid w:val="009D553E"/>
    <w:rsid w:val="009D6263"/>
    <w:rsid w:val="009E05C8"/>
    <w:rsid w:val="009E1174"/>
    <w:rsid w:val="009E186B"/>
    <w:rsid w:val="009E1982"/>
    <w:rsid w:val="009E2D3D"/>
    <w:rsid w:val="009E41B8"/>
    <w:rsid w:val="009E702C"/>
    <w:rsid w:val="009F4A1D"/>
    <w:rsid w:val="00A01AF1"/>
    <w:rsid w:val="00A02DE8"/>
    <w:rsid w:val="00A12207"/>
    <w:rsid w:val="00A1281B"/>
    <w:rsid w:val="00A12CAE"/>
    <w:rsid w:val="00A13C10"/>
    <w:rsid w:val="00A141CA"/>
    <w:rsid w:val="00A21E3E"/>
    <w:rsid w:val="00A24E3D"/>
    <w:rsid w:val="00A27DD8"/>
    <w:rsid w:val="00A3375E"/>
    <w:rsid w:val="00A40831"/>
    <w:rsid w:val="00A40977"/>
    <w:rsid w:val="00A421BD"/>
    <w:rsid w:val="00A424C8"/>
    <w:rsid w:val="00A42A0D"/>
    <w:rsid w:val="00A45B24"/>
    <w:rsid w:val="00A51DCD"/>
    <w:rsid w:val="00A54C72"/>
    <w:rsid w:val="00A63412"/>
    <w:rsid w:val="00A656B9"/>
    <w:rsid w:val="00A713FE"/>
    <w:rsid w:val="00A7252A"/>
    <w:rsid w:val="00A74755"/>
    <w:rsid w:val="00A75C5B"/>
    <w:rsid w:val="00A80474"/>
    <w:rsid w:val="00A8292B"/>
    <w:rsid w:val="00A85405"/>
    <w:rsid w:val="00A87029"/>
    <w:rsid w:val="00A924CC"/>
    <w:rsid w:val="00A9307E"/>
    <w:rsid w:val="00A93160"/>
    <w:rsid w:val="00A9458F"/>
    <w:rsid w:val="00A97775"/>
    <w:rsid w:val="00A9781B"/>
    <w:rsid w:val="00AA39E2"/>
    <w:rsid w:val="00AA3A0D"/>
    <w:rsid w:val="00AA3AAF"/>
    <w:rsid w:val="00AA465D"/>
    <w:rsid w:val="00AA4DAA"/>
    <w:rsid w:val="00AA51FF"/>
    <w:rsid w:val="00AA5DF9"/>
    <w:rsid w:val="00AB2638"/>
    <w:rsid w:val="00AB3B21"/>
    <w:rsid w:val="00AB6C25"/>
    <w:rsid w:val="00AC0FFC"/>
    <w:rsid w:val="00AC2890"/>
    <w:rsid w:val="00AC2B5B"/>
    <w:rsid w:val="00AC3BF7"/>
    <w:rsid w:val="00AC5444"/>
    <w:rsid w:val="00AD0E91"/>
    <w:rsid w:val="00AD2BA0"/>
    <w:rsid w:val="00AD6997"/>
    <w:rsid w:val="00AD7E58"/>
    <w:rsid w:val="00AE4539"/>
    <w:rsid w:val="00AE522C"/>
    <w:rsid w:val="00AE52F3"/>
    <w:rsid w:val="00AE55BD"/>
    <w:rsid w:val="00AE7368"/>
    <w:rsid w:val="00AF18BC"/>
    <w:rsid w:val="00AF1B0A"/>
    <w:rsid w:val="00AF56A1"/>
    <w:rsid w:val="00B009EB"/>
    <w:rsid w:val="00B02183"/>
    <w:rsid w:val="00B06BC0"/>
    <w:rsid w:val="00B1178F"/>
    <w:rsid w:val="00B23736"/>
    <w:rsid w:val="00B24095"/>
    <w:rsid w:val="00B253B0"/>
    <w:rsid w:val="00B2543C"/>
    <w:rsid w:val="00B30CCA"/>
    <w:rsid w:val="00B4016A"/>
    <w:rsid w:val="00B40F9B"/>
    <w:rsid w:val="00B41115"/>
    <w:rsid w:val="00B419C3"/>
    <w:rsid w:val="00B421FA"/>
    <w:rsid w:val="00B43804"/>
    <w:rsid w:val="00B44A80"/>
    <w:rsid w:val="00B45B51"/>
    <w:rsid w:val="00B45B63"/>
    <w:rsid w:val="00B503C8"/>
    <w:rsid w:val="00B51B94"/>
    <w:rsid w:val="00B52496"/>
    <w:rsid w:val="00B52930"/>
    <w:rsid w:val="00B53D5C"/>
    <w:rsid w:val="00B60740"/>
    <w:rsid w:val="00B63CBB"/>
    <w:rsid w:val="00B64292"/>
    <w:rsid w:val="00B66C71"/>
    <w:rsid w:val="00B757FE"/>
    <w:rsid w:val="00B775F2"/>
    <w:rsid w:val="00B81624"/>
    <w:rsid w:val="00B81891"/>
    <w:rsid w:val="00B81ECE"/>
    <w:rsid w:val="00B853D2"/>
    <w:rsid w:val="00B86081"/>
    <w:rsid w:val="00B87D92"/>
    <w:rsid w:val="00B93CF5"/>
    <w:rsid w:val="00B94198"/>
    <w:rsid w:val="00B941BE"/>
    <w:rsid w:val="00BA0807"/>
    <w:rsid w:val="00BA1338"/>
    <w:rsid w:val="00BA7DCF"/>
    <w:rsid w:val="00BB39A5"/>
    <w:rsid w:val="00BB3BD8"/>
    <w:rsid w:val="00BB47FB"/>
    <w:rsid w:val="00BB602F"/>
    <w:rsid w:val="00BC47A2"/>
    <w:rsid w:val="00BC50C4"/>
    <w:rsid w:val="00BC7C63"/>
    <w:rsid w:val="00BD0EA8"/>
    <w:rsid w:val="00BD14F1"/>
    <w:rsid w:val="00BD1A64"/>
    <w:rsid w:val="00BD21FA"/>
    <w:rsid w:val="00BD35EF"/>
    <w:rsid w:val="00BE599A"/>
    <w:rsid w:val="00BF203F"/>
    <w:rsid w:val="00BF2381"/>
    <w:rsid w:val="00BF366F"/>
    <w:rsid w:val="00C030DD"/>
    <w:rsid w:val="00C03906"/>
    <w:rsid w:val="00C11404"/>
    <w:rsid w:val="00C11D32"/>
    <w:rsid w:val="00C13143"/>
    <w:rsid w:val="00C22303"/>
    <w:rsid w:val="00C23D32"/>
    <w:rsid w:val="00C30835"/>
    <w:rsid w:val="00C332EE"/>
    <w:rsid w:val="00C3484D"/>
    <w:rsid w:val="00C3501F"/>
    <w:rsid w:val="00C3545C"/>
    <w:rsid w:val="00C368DD"/>
    <w:rsid w:val="00C42094"/>
    <w:rsid w:val="00C42913"/>
    <w:rsid w:val="00C44E5E"/>
    <w:rsid w:val="00C47A3F"/>
    <w:rsid w:val="00C504CC"/>
    <w:rsid w:val="00C62C57"/>
    <w:rsid w:val="00C63CCC"/>
    <w:rsid w:val="00C7226B"/>
    <w:rsid w:val="00C72F97"/>
    <w:rsid w:val="00C735FF"/>
    <w:rsid w:val="00C75156"/>
    <w:rsid w:val="00C84F25"/>
    <w:rsid w:val="00C9037B"/>
    <w:rsid w:val="00C91232"/>
    <w:rsid w:val="00C92EDE"/>
    <w:rsid w:val="00C935C6"/>
    <w:rsid w:val="00C943A5"/>
    <w:rsid w:val="00C94470"/>
    <w:rsid w:val="00C94681"/>
    <w:rsid w:val="00C94A9B"/>
    <w:rsid w:val="00C95699"/>
    <w:rsid w:val="00C96047"/>
    <w:rsid w:val="00C967B0"/>
    <w:rsid w:val="00C96CD8"/>
    <w:rsid w:val="00CB5B43"/>
    <w:rsid w:val="00CC0464"/>
    <w:rsid w:val="00CC0A06"/>
    <w:rsid w:val="00CC1EB0"/>
    <w:rsid w:val="00CD2F42"/>
    <w:rsid w:val="00CD3E5D"/>
    <w:rsid w:val="00CE0B13"/>
    <w:rsid w:val="00CE4456"/>
    <w:rsid w:val="00CE5229"/>
    <w:rsid w:val="00CE7A43"/>
    <w:rsid w:val="00CF2D24"/>
    <w:rsid w:val="00CF601B"/>
    <w:rsid w:val="00D00ECD"/>
    <w:rsid w:val="00D02B53"/>
    <w:rsid w:val="00D032FB"/>
    <w:rsid w:val="00D05936"/>
    <w:rsid w:val="00D0696A"/>
    <w:rsid w:val="00D06F5F"/>
    <w:rsid w:val="00D106A7"/>
    <w:rsid w:val="00D16971"/>
    <w:rsid w:val="00D16A6A"/>
    <w:rsid w:val="00D16EE2"/>
    <w:rsid w:val="00D2138B"/>
    <w:rsid w:val="00D23333"/>
    <w:rsid w:val="00D25578"/>
    <w:rsid w:val="00D27514"/>
    <w:rsid w:val="00D358D8"/>
    <w:rsid w:val="00D36F5D"/>
    <w:rsid w:val="00D37531"/>
    <w:rsid w:val="00D4030C"/>
    <w:rsid w:val="00D40844"/>
    <w:rsid w:val="00D40EB7"/>
    <w:rsid w:val="00D42D9D"/>
    <w:rsid w:val="00D4323E"/>
    <w:rsid w:val="00D437F5"/>
    <w:rsid w:val="00D43D10"/>
    <w:rsid w:val="00D4446A"/>
    <w:rsid w:val="00D46AA8"/>
    <w:rsid w:val="00D5675D"/>
    <w:rsid w:val="00D604C5"/>
    <w:rsid w:val="00D620E2"/>
    <w:rsid w:val="00D62F76"/>
    <w:rsid w:val="00D6586B"/>
    <w:rsid w:val="00D666F0"/>
    <w:rsid w:val="00D74F7F"/>
    <w:rsid w:val="00D768E8"/>
    <w:rsid w:val="00D8407C"/>
    <w:rsid w:val="00D87584"/>
    <w:rsid w:val="00D9405A"/>
    <w:rsid w:val="00D95EE8"/>
    <w:rsid w:val="00D95FE5"/>
    <w:rsid w:val="00DA5340"/>
    <w:rsid w:val="00DA6243"/>
    <w:rsid w:val="00DB062C"/>
    <w:rsid w:val="00DB1BF4"/>
    <w:rsid w:val="00DB2BE6"/>
    <w:rsid w:val="00DB4270"/>
    <w:rsid w:val="00DB4D7F"/>
    <w:rsid w:val="00DB571D"/>
    <w:rsid w:val="00DB73EA"/>
    <w:rsid w:val="00DB7DE7"/>
    <w:rsid w:val="00DC1846"/>
    <w:rsid w:val="00DC28A9"/>
    <w:rsid w:val="00DC32DE"/>
    <w:rsid w:val="00DD0458"/>
    <w:rsid w:val="00DD543D"/>
    <w:rsid w:val="00DD60C1"/>
    <w:rsid w:val="00DE02F3"/>
    <w:rsid w:val="00DE0F05"/>
    <w:rsid w:val="00DE1359"/>
    <w:rsid w:val="00DE21D0"/>
    <w:rsid w:val="00DE2695"/>
    <w:rsid w:val="00DE2792"/>
    <w:rsid w:val="00DE2864"/>
    <w:rsid w:val="00DE2E07"/>
    <w:rsid w:val="00DE498C"/>
    <w:rsid w:val="00DE7E06"/>
    <w:rsid w:val="00DF25AC"/>
    <w:rsid w:val="00DF402B"/>
    <w:rsid w:val="00DF4261"/>
    <w:rsid w:val="00E01841"/>
    <w:rsid w:val="00E04615"/>
    <w:rsid w:val="00E046C4"/>
    <w:rsid w:val="00E04D21"/>
    <w:rsid w:val="00E123CD"/>
    <w:rsid w:val="00E17A00"/>
    <w:rsid w:val="00E205A9"/>
    <w:rsid w:val="00E2090B"/>
    <w:rsid w:val="00E21473"/>
    <w:rsid w:val="00E24A6B"/>
    <w:rsid w:val="00E253E5"/>
    <w:rsid w:val="00E25A7D"/>
    <w:rsid w:val="00E27C92"/>
    <w:rsid w:val="00E32B12"/>
    <w:rsid w:val="00E33765"/>
    <w:rsid w:val="00E34C38"/>
    <w:rsid w:val="00E423A8"/>
    <w:rsid w:val="00E442B9"/>
    <w:rsid w:val="00E45CD1"/>
    <w:rsid w:val="00E47855"/>
    <w:rsid w:val="00E47BB3"/>
    <w:rsid w:val="00E5033C"/>
    <w:rsid w:val="00E504D4"/>
    <w:rsid w:val="00E50FFC"/>
    <w:rsid w:val="00E51069"/>
    <w:rsid w:val="00E52915"/>
    <w:rsid w:val="00E52917"/>
    <w:rsid w:val="00E57936"/>
    <w:rsid w:val="00E62B81"/>
    <w:rsid w:val="00E62E8D"/>
    <w:rsid w:val="00E667D3"/>
    <w:rsid w:val="00E71291"/>
    <w:rsid w:val="00E71F15"/>
    <w:rsid w:val="00E71FBC"/>
    <w:rsid w:val="00E81092"/>
    <w:rsid w:val="00E82367"/>
    <w:rsid w:val="00E83B69"/>
    <w:rsid w:val="00E83D16"/>
    <w:rsid w:val="00E850BB"/>
    <w:rsid w:val="00E86F3B"/>
    <w:rsid w:val="00E87109"/>
    <w:rsid w:val="00E90ED3"/>
    <w:rsid w:val="00E9348F"/>
    <w:rsid w:val="00E950D2"/>
    <w:rsid w:val="00E95A7C"/>
    <w:rsid w:val="00EA13DF"/>
    <w:rsid w:val="00EB1488"/>
    <w:rsid w:val="00EB4149"/>
    <w:rsid w:val="00EC0C02"/>
    <w:rsid w:val="00EC145E"/>
    <w:rsid w:val="00EC1653"/>
    <w:rsid w:val="00ED128C"/>
    <w:rsid w:val="00EE3EBB"/>
    <w:rsid w:val="00EE5CC8"/>
    <w:rsid w:val="00EE5FFA"/>
    <w:rsid w:val="00EE6C93"/>
    <w:rsid w:val="00EF1935"/>
    <w:rsid w:val="00EF35F7"/>
    <w:rsid w:val="00EF36FA"/>
    <w:rsid w:val="00EF68FD"/>
    <w:rsid w:val="00F02E3B"/>
    <w:rsid w:val="00F164C1"/>
    <w:rsid w:val="00F23BB2"/>
    <w:rsid w:val="00F25A9F"/>
    <w:rsid w:val="00F3026F"/>
    <w:rsid w:val="00F30DF5"/>
    <w:rsid w:val="00F310CF"/>
    <w:rsid w:val="00F33FCD"/>
    <w:rsid w:val="00F34147"/>
    <w:rsid w:val="00F343BE"/>
    <w:rsid w:val="00F35015"/>
    <w:rsid w:val="00F3662A"/>
    <w:rsid w:val="00F408A1"/>
    <w:rsid w:val="00F4439C"/>
    <w:rsid w:val="00F44A4E"/>
    <w:rsid w:val="00F47ACC"/>
    <w:rsid w:val="00F536DC"/>
    <w:rsid w:val="00F57113"/>
    <w:rsid w:val="00F57397"/>
    <w:rsid w:val="00F62816"/>
    <w:rsid w:val="00F628CE"/>
    <w:rsid w:val="00F704FD"/>
    <w:rsid w:val="00F72D95"/>
    <w:rsid w:val="00F74F0C"/>
    <w:rsid w:val="00F80468"/>
    <w:rsid w:val="00F82EB4"/>
    <w:rsid w:val="00F878E5"/>
    <w:rsid w:val="00F90A60"/>
    <w:rsid w:val="00F93C52"/>
    <w:rsid w:val="00F94932"/>
    <w:rsid w:val="00F96224"/>
    <w:rsid w:val="00FA6BF8"/>
    <w:rsid w:val="00FB29E9"/>
    <w:rsid w:val="00FD5606"/>
    <w:rsid w:val="00FD5CF9"/>
    <w:rsid w:val="00FE0F72"/>
    <w:rsid w:val="00FE765D"/>
    <w:rsid w:val="00FF1C6F"/>
    <w:rsid w:val="00FF2D07"/>
    <w:rsid w:val="00FF33EE"/>
    <w:rsid w:val="00FF34F5"/>
    <w:rsid w:val="00FF4C0B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7BF8"/>
  <w15:docId w15:val="{DAFD2600-6906-43E7-924D-3AB462F5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01"/>
    <w:rPr>
      <w:rFonts w:ascii="Times New Roman" w:eastAsia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385ADB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3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7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5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66265D"/>
    <w:rPr>
      <w:rFonts w:ascii="Times New Roman" w:eastAsia="Times New Roman" w:hAnsi="Times New Roman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7F6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BA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F6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BA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854E0D"/>
    <w:pPr>
      <w:spacing w:after="160"/>
    </w:pPr>
    <w:rPr>
      <w:rFonts w:ascii="Calibri" w:eastAsia="Calibri" w:hAnsi="Calibri" w:cs="Calibri"/>
      <w:noProof/>
      <w:color w:val="auto"/>
      <w:kern w:val="0"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DefaultParagraphFont"/>
    <w:link w:val="EndNoteBibliography"/>
    <w:rsid w:val="00854E0D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EC1653"/>
    <w:rPr>
      <w:color w:val="808080"/>
    </w:rPr>
  </w:style>
  <w:style w:type="paragraph" w:customStyle="1" w:styleId="Default">
    <w:name w:val="Default"/>
    <w:rsid w:val="00F878E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hyperlink" Target="mailto:rim.lamouchi@isg.rnu.tn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rlamouchi@kau.edu.sa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0C1A-E852-48D7-A700-D99249E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5615</Words>
  <Characters>32009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37549</CharactersWithSpaces>
  <SharedDoc>false</SharedDoc>
  <HLinks>
    <vt:vector size="6" baseType="variant"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mailto:abderrazak.benmaatoug@isg.rnu.tn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</dc:creator>
  <cp:keywords/>
  <dc:description/>
  <cp:lastModifiedBy>Administrator</cp:lastModifiedBy>
  <cp:revision>2</cp:revision>
  <cp:lastPrinted>2018-03-10T11:27:00Z</cp:lastPrinted>
  <dcterms:created xsi:type="dcterms:W3CDTF">2020-04-03T21:28:00Z</dcterms:created>
  <dcterms:modified xsi:type="dcterms:W3CDTF">2020-04-03T21:28:00Z</dcterms:modified>
</cp:coreProperties>
</file>