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09" w:rsidRDefault="00143B09" w:rsidP="00B552A8">
      <w:pPr>
        <w:jc w:val="center"/>
        <w:rPr>
          <w:rFonts w:ascii="Times New Roman" w:eastAsia="Calibri" w:hAnsi="Times New Roman" w:cs="Times New Roman"/>
          <w:b/>
          <w:sz w:val="32"/>
          <w:szCs w:val="36"/>
          <w:lang w:val="en-US"/>
        </w:rPr>
      </w:pPr>
      <w:bookmarkStart w:id="0" w:name="_GoBack"/>
      <w:bookmarkEnd w:id="0"/>
    </w:p>
    <w:p w:rsidR="00B552A8" w:rsidRPr="009F7E9F" w:rsidRDefault="00B552A8" w:rsidP="00B552A8">
      <w:pPr>
        <w:jc w:val="center"/>
        <w:rPr>
          <w:rFonts w:ascii="Times New Roman" w:eastAsia="Calibri" w:hAnsi="Times New Roman" w:cs="Times New Roman"/>
          <w:b/>
          <w:sz w:val="32"/>
          <w:szCs w:val="36"/>
          <w:lang w:val="en-US"/>
        </w:rPr>
      </w:pPr>
      <w:r w:rsidRPr="009F7E9F">
        <w:rPr>
          <w:rFonts w:ascii="Times New Roman" w:eastAsia="Calibri" w:hAnsi="Times New Roman" w:cs="Times New Roman"/>
          <w:b/>
          <w:sz w:val="32"/>
          <w:szCs w:val="36"/>
          <w:lang w:val="en-US"/>
        </w:rPr>
        <w:t>Flexibility of the exchange rate regime and exchange regulation in Morocco.</w:t>
      </w:r>
    </w:p>
    <w:p w:rsidR="00143B09" w:rsidRDefault="00143B09" w:rsidP="00B552A8">
      <w:pPr>
        <w:spacing w:after="0"/>
        <w:jc w:val="center"/>
        <w:rPr>
          <w:rFonts w:ascii="Times New Roman" w:eastAsia="Calibri" w:hAnsi="Times New Roman" w:cs="Times New Roman"/>
          <w:b/>
          <w:sz w:val="24"/>
          <w:szCs w:val="24"/>
          <w:lang w:val="en-US"/>
        </w:rPr>
      </w:pPr>
    </w:p>
    <w:p w:rsidR="00B552A8" w:rsidRPr="006A2351" w:rsidRDefault="00B552A8" w:rsidP="00B552A8">
      <w:pPr>
        <w:spacing w:after="0"/>
        <w:jc w:val="center"/>
        <w:rPr>
          <w:rFonts w:ascii="Times New Roman" w:eastAsia="Calibri" w:hAnsi="Times New Roman" w:cs="Times New Roman"/>
          <w:b/>
          <w:sz w:val="24"/>
          <w:szCs w:val="24"/>
          <w:lang w:val="en-US"/>
        </w:rPr>
      </w:pPr>
      <w:r w:rsidRPr="006A2351">
        <w:rPr>
          <w:rFonts w:ascii="Times New Roman" w:eastAsia="Calibri" w:hAnsi="Times New Roman" w:cs="Times New Roman"/>
          <w:b/>
          <w:sz w:val="24"/>
          <w:szCs w:val="24"/>
          <w:lang w:val="en-US"/>
        </w:rPr>
        <w:t>Omar Bakkou</w:t>
      </w:r>
      <w:r w:rsidRPr="0077675D">
        <w:rPr>
          <w:rFonts w:ascii="Times New Roman" w:eastAsia="Calibri" w:hAnsi="Times New Roman" w:cs="Times New Roman"/>
          <w:b/>
          <w:sz w:val="24"/>
          <w:szCs w:val="24"/>
          <w:vertAlign w:val="superscript"/>
        </w:rPr>
        <w:footnoteReference w:id="1"/>
      </w:r>
    </w:p>
    <w:p w:rsidR="00B552A8" w:rsidRPr="006A2351" w:rsidRDefault="00B552A8" w:rsidP="00B552A8">
      <w:pPr>
        <w:spacing w:after="0"/>
        <w:jc w:val="center"/>
        <w:rPr>
          <w:rFonts w:ascii="Times New Roman" w:eastAsia="Calibri" w:hAnsi="Times New Roman" w:cs="Times New Roman"/>
          <w:sz w:val="24"/>
          <w:szCs w:val="24"/>
          <w:lang w:val="en-US"/>
        </w:rPr>
      </w:pPr>
      <w:r w:rsidRPr="006A2351">
        <w:rPr>
          <w:rFonts w:ascii="Times New Roman" w:eastAsia="Calibri" w:hAnsi="Times New Roman" w:cs="Times New Roman"/>
          <w:sz w:val="24"/>
          <w:szCs w:val="24"/>
          <w:lang w:val="en-US"/>
        </w:rPr>
        <w:t>University Mohammed V – Agdal, Rabat</w:t>
      </w:r>
    </w:p>
    <w:p w:rsidR="00B552A8" w:rsidRPr="006A2351" w:rsidRDefault="00B552A8" w:rsidP="00B552A8">
      <w:pPr>
        <w:spacing w:after="0"/>
        <w:jc w:val="center"/>
        <w:rPr>
          <w:rFonts w:ascii="Times New Roman" w:eastAsia="Calibri" w:hAnsi="Times New Roman" w:cs="Times New Roman"/>
          <w:b/>
          <w:sz w:val="24"/>
          <w:szCs w:val="24"/>
          <w:u w:val="single"/>
          <w:lang w:val="en-US"/>
        </w:rPr>
      </w:pPr>
    </w:p>
    <w:p w:rsidR="00B552A8" w:rsidRPr="006A2351" w:rsidRDefault="00B552A8" w:rsidP="00B552A8">
      <w:pPr>
        <w:spacing w:after="0"/>
        <w:jc w:val="center"/>
        <w:rPr>
          <w:rFonts w:ascii="Times New Roman" w:eastAsia="Calibri" w:hAnsi="Times New Roman" w:cs="Times New Roman"/>
          <w:b/>
          <w:sz w:val="24"/>
          <w:szCs w:val="24"/>
          <w:u w:val="single"/>
          <w:lang w:val="en-US"/>
        </w:rPr>
      </w:pPr>
    </w:p>
    <w:p w:rsidR="00143B09" w:rsidRDefault="00143B09" w:rsidP="00B552A8">
      <w:pPr>
        <w:spacing w:after="0"/>
        <w:jc w:val="center"/>
        <w:rPr>
          <w:rFonts w:ascii="Times New Roman" w:eastAsia="Calibri" w:hAnsi="Times New Roman" w:cs="Times New Roman"/>
          <w:b/>
          <w:sz w:val="24"/>
          <w:szCs w:val="24"/>
          <w:u w:val="single"/>
          <w:lang w:val="en-US"/>
        </w:rPr>
      </w:pPr>
    </w:p>
    <w:p w:rsidR="00B552A8" w:rsidRPr="00B552A8" w:rsidRDefault="00B552A8" w:rsidP="00B552A8">
      <w:pPr>
        <w:spacing w:after="0"/>
        <w:jc w:val="center"/>
        <w:rPr>
          <w:rFonts w:ascii="Times New Roman" w:eastAsia="Calibri" w:hAnsi="Times New Roman" w:cs="Times New Roman"/>
          <w:b/>
          <w:sz w:val="24"/>
          <w:szCs w:val="24"/>
          <w:u w:val="single"/>
          <w:lang w:val="en-US"/>
        </w:rPr>
      </w:pPr>
      <w:r w:rsidRPr="00B552A8">
        <w:rPr>
          <w:rFonts w:ascii="Times New Roman" w:eastAsia="Calibri" w:hAnsi="Times New Roman" w:cs="Times New Roman"/>
          <w:b/>
          <w:sz w:val="24"/>
          <w:szCs w:val="24"/>
          <w:u w:val="single"/>
          <w:lang w:val="en-US"/>
        </w:rPr>
        <w:t>Abstract</w:t>
      </w:r>
    </w:p>
    <w:p w:rsidR="00B552A8" w:rsidRDefault="00B552A8" w:rsidP="00B55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p>
    <w:p w:rsidR="00B552A8" w:rsidRDefault="00B552A8" w:rsidP="00B55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r w:rsidRPr="00B552A8">
        <w:rPr>
          <w:rFonts w:ascii="Times New Roman" w:hAnsi="Times New Roman" w:cs="Times New Roman"/>
          <w:sz w:val="24"/>
          <w:szCs w:val="24"/>
          <w:lang w:val="en-US"/>
        </w:rPr>
        <w:t xml:space="preserve">In this paper we analyzed the degree of consistency between the exchange regulations in force in Morocco and the operational framework of the foreign </w:t>
      </w:r>
      <w:r w:rsidR="00E242A0">
        <w:rPr>
          <w:rFonts w:ascii="Times New Roman" w:hAnsi="Times New Roman" w:cs="Times New Roman"/>
          <w:sz w:val="24"/>
          <w:szCs w:val="24"/>
          <w:lang w:val="en-US"/>
        </w:rPr>
        <w:t>forex</w:t>
      </w:r>
      <w:r w:rsidRPr="00B552A8">
        <w:rPr>
          <w:rFonts w:ascii="Times New Roman" w:hAnsi="Times New Roman" w:cs="Times New Roman"/>
          <w:sz w:val="24"/>
          <w:szCs w:val="24"/>
          <w:lang w:val="en-US"/>
        </w:rPr>
        <w:t xml:space="preserve"> under a flexible exchange rate regime. The study </w:t>
      </w:r>
      <w:r w:rsidR="009F7E9F">
        <w:rPr>
          <w:rFonts w:ascii="Times New Roman" w:hAnsi="Times New Roman" w:cs="Times New Roman"/>
          <w:sz w:val="24"/>
          <w:szCs w:val="24"/>
          <w:lang w:val="en-US"/>
        </w:rPr>
        <w:t>showed</w:t>
      </w:r>
      <w:r w:rsidRPr="00B552A8">
        <w:rPr>
          <w:rFonts w:ascii="Times New Roman" w:hAnsi="Times New Roman" w:cs="Times New Roman"/>
          <w:sz w:val="24"/>
          <w:szCs w:val="24"/>
          <w:lang w:val="en-US"/>
        </w:rPr>
        <w:t>, based on a dual approach, theore</w:t>
      </w:r>
      <w:r w:rsidR="009F7E9F">
        <w:rPr>
          <w:rFonts w:ascii="Times New Roman" w:hAnsi="Times New Roman" w:cs="Times New Roman"/>
          <w:sz w:val="24"/>
          <w:szCs w:val="24"/>
          <w:lang w:val="en-US"/>
        </w:rPr>
        <w:t>tical and empirical</w:t>
      </w:r>
      <w:r w:rsidRPr="00B552A8">
        <w:rPr>
          <w:rFonts w:ascii="Times New Roman" w:hAnsi="Times New Roman" w:cs="Times New Roman"/>
          <w:sz w:val="24"/>
          <w:szCs w:val="24"/>
          <w:lang w:val="en-US"/>
        </w:rPr>
        <w:t xml:space="preserve">, that the exchange </w:t>
      </w:r>
      <w:r w:rsidR="001B1A39" w:rsidRPr="00B552A8">
        <w:rPr>
          <w:rFonts w:ascii="Times New Roman" w:hAnsi="Times New Roman" w:cs="Times New Roman"/>
          <w:sz w:val="24"/>
          <w:szCs w:val="24"/>
          <w:lang w:val="en-US"/>
        </w:rPr>
        <w:t>regulation in force in Morocco is</w:t>
      </w:r>
      <w:r w:rsidRPr="00B552A8">
        <w:rPr>
          <w:rFonts w:ascii="Times New Roman" w:hAnsi="Times New Roman" w:cs="Times New Roman"/>
          <w:sz w:val="24"/>
          <w:szCs w:val="24"/>
          <w:lang w:val="en-US"/>
        </w:rPr>
        <w:t xml:space="preserve"> broadly consistent with the scope of operation of the foreign </w:t>
      </w:r>
      <w:r w:rsidR="00E242A0">
        <w:rPr>
          <w:rFonts w:ascii="Times New Roman" w:hAnsi="Times New Roman" w:cs="Times New Roman"/>
          <w:sz w:val="24"/>
          <w:szCs w:val="24"/>
          <w:lang w:val="en-US"/>
        </w:rPr>
        <w:t>forex</w:t>
      </w:r>
      <w:r w:rsidRPr="00B552A8">
        <w:rPr>
          <w:rFonts w:ascii="Times New Roman" w:hAnsi="Times New Roman" w:cs="Times New Roman"/>
          <w:sz w:val="24"/>
          <w:szCs w:val="24"/>
          <w:lang w:val="en-US"/>
        </w:rPr>
        <w:t xml:space="preserve"> under a flexible exchange rate regime.</w:t>
      </w:r>
    </w:p>
    <w:p w:rsidR="006A2351" w:rsidRDefault="006A2351" w:rsidP="00B55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p>
    <w:p w:rsidR="00143B09" w:rsidRDefault="00143B09" w:rsidP="00B55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lang w:val="en-US"/>
        </w:rPr>
      </w:pPr>
    </w:p>
    <w:p w:rsidR="006A2351" w:rsidRDefault="006A2351" w:rsidP="00B55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lang w:val="en-US"/>
        </w:rPr>
      </w:pPr>
      <w:r w:rsidRPr="006A2351">
        <w:rPr>
          <w:rFonts w:ascii="Times New Roman" w:hAnsi="Times New Roman" w:cs="Times New Roman"/>
          <w:b/>
          <w:sz w:val="24"/>
          <w:szCs w:val="24"/>
          <w:lang w:val="en-US"/>
        </w:rPr>
        <w:t xml:space="preserve">Key words: Exchange policy, exchange rate regime, exchange control regime, Moroccan economy. </w:t>
      </w:r>
    </w:p>
    <w:p w:rsidR="006A2351" w:rsidRDefault="006A2351" w:rsidP="00B55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lang w:val="en-US"/>
        </w:rPr>
      </w:pPr>
    </w:p>
    <w:p w:rsidR="001B1A39" w:rsidRDefault="001B1A39" w:rsidP="00B55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lang w:val="en-US"/>
        </w:rPr>
      </w:pPr>
    </w:p>
    <w:p w:rsidR="006A2351" w:rsidRPr="001B1A39" w:rsidRDefault="001B1A39" w:rsidP="006A2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32"/>
          <w:u w:val="single"/>
          <w:lang w:val="en-US" w:eastAsia="fr-FR"/>
        </w:rPr>
      </w:pPr>
      <w:r>
        <w:rPr>
          <w:rFonts w:ascii="Times New Roman" w:eastAsia="Times New Roman" w:hAnsi="Times New Roman" w:cs="Times New Roman"/>
          <w:b/>
          <w:sz w:val="24"/>
          <w:szCs w:val="32"/>
          <w:u w:val="single"/>
          <w:lang w:val="en-US" w:eastAsia="fr-FR"/>
        </w:rPr>
        <w:t>I</w:t>
      </w:r>
      <w:r w:rsidRPr="00B552A8">
        <w:rPr>
          <w:rFonts w:ascii="Times New Roman" w:eastAsia="Times New Roman" w:hAnsi="Times New Roman" w:cs="Times New Roman"/>
          <w:b/>
          <w:sz w:val="24"/>
          <w:szCs w:val="32"/>
          <w:u w:val="single"/>
          <w:lang w:val="en-US" w:eastAsia="fr-FR"/>
        </w:rPr>
        <w:t xml:space="preserve">-/ </w:t>
      </w:r>
      <w:r w:rsidR="006A2351" w:rsidRPr="001B1A39">
        <w:rPr>
          <w:rFonts w:ascii="Times New Roman" w:eastAsia="Times New Roman" w:hAnsi="Times New Roman" w:cs="Times New Roman"/>
          <w:b/>
          <w:sz w:val="24"/>
          <w:szCs w:val="32"/>
          <w:u w:val="single"/>
          <w:lang w:val="en-US" w:eastAsia="fr-FR"/>
        </w:rPr>
        <w:t>Introduction</w:t>
      </w:r>
    </w:p>
    <w:p w:rsidR="006A2351" w:rsidRDefault="00B65EC1" w:rsidP="00B65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B65EC1">
        <w:rPr>
          <w:rFonts w:ascii="Times New Roman" w:hAnsi="Times New Roman" w:cs="Times New Roman"/>
          <w:sz w:val="24"/>
          <w:szCs w:val="24"/>
          <w:lang w:val="en-US"/>
        </w:rPr>
        <w:t>Countries that adopt an exchange rate policy characterized by a fixed exchange rate regime and a relatively restrictive exchange control regime</w:t>
      </w:r>
      <w:r>
        <w:rPr>
          <w:rFonts w:ascii="Times New Roman" w:hAnsi="Times New Roman" w:cs="Times New Roman"/>
          <w:sz w:val="24"/>
          <w:szCs w:val="24"/>
          <w:lang w:val="en-US"/>
        </w:rPr>
        <w:t xml:space="preserve"> </w:t>
      </w:r>
      <w:r w:rsidRPr="00B65EC1">
        <w:rPr>
          <w:rFonts w:ascii="Times New Roman" w:hAnsi="Times New Roman" w:cs="Times New Roman"/>
          <w:sz w:val="24"/>
          <w:szCs w:val="24"/>
          <w:lang w:val="en-US"/>
        </w:rPr>
        <w:t xml:space="preserve">are facing analytically two </w:t>
      </w:r>
      <w:r>
        <w:rPr>
          <w:rFonts w:ascii="Times New Roman" w:hAnsi="Times New Roman" w:cs="Times New Roman"/>
          <w:sz w:val="24"/>
          <w:szCs w:val="24"/>
          <w:lang w:val="en-US"/>
        </w:rPr>
        <w:t>problematic</w:t>
      </w:r>
      <w:r w:rsidRPr="00B65EC1">
        <w:rPr>
          <w:rFonts w:ascii="Times New Roman" w:hAnsi="Times New Roman" w:cs="Times New Roman"/>
          <w:sz w:val="24"/>
          <w:szCs w:val="24"/>
          <w:lang w:val="en-US"/>
        </w:rPr>
        <w:t xml:space="preserve"> relating to optimal choices to be made in terms of their </w:t>
      </w:r>
      <w:r>
        <w:rPr>
          <w:rFonts w:ascii="Times New Roman" w:hAnsi="Times New Roman" w:cs="Times New Roman"/>
          <w:sz w:val="24"/>
          <w:szCs w:val="24"/>
          <w:lang w:val="en-US"/>
        </w:rPr>
        <w:t>ex</w:t>
      </w:r>
      <w:r w:rsidRPr="00B65EC1">
        <w:rPr>
          <w:rFonts w:ascii="Times New Roman" w:hAnsi="Times New Roman" w:cs="Times New Roman"/>
          <w:sz w:val="24"/>
          <w:szCs w:val="24"/>
          <w:lang w:val="en-US"/>
        </w:rPr>
        <w:t>change policies.</w:t>
      </w:r>
    </w:p>
    <w:p w:rsidR="00B65EC1" w:rsidRDefault="00D2220D" w:rsidP="00D22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D2220D">
        <w:rPr>
          <w:rFonts w:ascii="Times New Roman" w:hAnsi="Times New Roman" w:cs="Times New Roman"/>
          <w:sz w:val="24"/>
          <w:szCs w:val="24"/>
          <w:lang w:val="en-US"/>
        </w:rPr>
        <w:t xml:space="preserve">The first issue concerns the question of the economic relevance of each of these components of the </w:t>
      </w:r>
      <w:r>
        <w:rPr>
          <w:rFonts w:ascii="Times New Roman" w:hAnsi="Times New Roman" w:cs="Times New Roman"/>
          <w:sz w:val="24"/>
          <w:szCs w:val="24"/>
          <w:lang w:val="en-US"/>
        </w:rPr>
        <w:t>ex</w:t>
      </w:r>
      <w:r w:rsidRPr="00D2220D">
        <w:rPr>
          <w:rFonts w:ascii="Times New Roman" w:hAnsi="Times New Roman" w:cs="Times New Roman"/>
          <w:sz w:val="24"/>
          <w:szCs w:val="24"/>
          <w:lang w:val="en-US"/>
        </w:rPr>
        <w:t>change policy mentioned above i</w:t>
      </w:r>
      <w:r>
        <w:rPr>
          <w:rFonts w:ascii="Times New Roman" w:hAnsi="Times New Roman" w:cs="Times New Roman"/>
          <w:sz w:val="24"/>
          <w:szCs w:val="24"/>
          <w:lang w:val="en-US"/>
        </w:rPr>
        <w:t>.</w:t>
      </w:r>
      <w:r w:rsidRPr="00D2220D">
        <w:rPr>
          <w:rFonts w:ascii="Times New Roman" w:hAnsi="Times New Roman" w:cs="Times New Roman"/>
          <w:sz w:val="24"/>
          <w:szCs w:val="24"/>
          <w:lang w:val="en-US"/>
        </w:rPr>
        <w:t>e. the relevance of the fixed exchange rate regime</w:t>
      </w:r>
      <w:r>
        <w:rPr>
          <w:rStyle w:val="Appelnotedebasdep"/>
          <w:rFonts w:ascii="Times New Roman" w:hAnsi="Times New Roman" w:cs="Times New Roman"/>
          <w:sz w:val="24"/>
          <w:szCs w:val="24"/>
          <w:lang w:val="en-US"/>
        </w:rPr>
        <w:footnoteReference w:id="2"/>
      </w:r>
      <w:r w:rsidRPr="00D2220D">
        <w:rPr>
          <w:rFonts w:ascii="Times New Roman" w:hAnsi="Times New Roman" w:cs="Times New Roman"/>
          <w:sz w:val="24"/>
          <w:szCs w:val="24"/>
          <w:lang w:val="en-US"/>
        </w:rPr>
        <w:t xml:space="preserve"> and that of the exchange control regime </w:t>
      </w:r>
      <w:r>
        <w:rPr>
          <w:rFonts w:ascii="Times New Roman" w:hAnsi="Times New Roman" w:cs="Times New Roman"/>
          <w:sz w:val="24"/>
          <w:szCs w:val="24"/>
          <w:lang w:val="en-US"/>
        </w:rPr>
        <w:t>individually selected</w:t>
      </w:r>
      <w:r w:rsidRPr="00D2220D">
        <w:rPr>
          <w:rFonts w:ascii="Times New Roman" w:hAnsi="Times New Roman" w:cs="Times New Roman"/>
          <w:sz w:val="24"/>
          <w:szCs w:val="24"/>
          <w:lang w:val="en-US"/>
        </w:rPr>
        <w:t>.</w:t>
      </w:r>
    </w:p>
    <w:p w:rsidR="00D2220D" w:rsidRDefault="00D2220D" w:rsidP="00D22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D2220D">
        <w:rPr>
          <w:rFonts w:ascii="Times New Roman" w:hAnsi="Times New Roman" w:cs="Times New Roman"/>
          <w:sz w:val="24"/>
          <w:szCs w:val="24"/>
          <w:lang w:val="en-US"/>
        </w:rPr>
        <w:t>The second problem</w:t>
      </w:r>
      <w:r>
        <w:rPr>
          <w:rFonts w:ascii="Times New Roman" w:hAnsi="Times New Roman" w:cs="Times New Roman"/>
          <w:sz w:val="24"/>
          <w:szCs w:val="24"/>
          <w:lang w:val="en-US"/>
        </w:rPr>
        <w:t>atic</w:t>
      </w:r>
      <w:r w:rsidRPr="00D2220D">
        <w:rPr>
          <w:rFonts w:ascii="Times New Roman" w:hAnsi="Times New Roman" w:cs="Times New Roman"/>
          <w:sz w:val="24"/>
          <w:szCs w:val="24"/>
          <w:lang w:val="en-US"/>
        </w:rPr>
        <w:t xml:space="preserve"> depends on the conclusions reached at the above </w:t>
      </w:r>
      <w:r>
        <w:rPr>
          <w:rFonts w:ascii="Times New Roman" w:hAnsi="Times New Roman" w:cs="Times New Roman"/>
          <w:sz w:val="24"/>
          <w:szCs w:val="24"/>
          <w:lang w:val="en-US"/>
        </w:rPr>
        <w:t>(</w:t>
      </w:r>
      <w:r w:rsidRPr="00D2220D">
        <w:rPr>
          <w:rFonts w:ascii="Times New Roman" w:hAnsi="Times New Roman" w:cs="Times New Roman"/>
          <w:sz w:val="24"/>
          <w:szCs w:val="24"/>
          <w:lang w:val="en-US"/>
        </w:rPr>
        <w:t>first issue</w:t>
      </w:r>
      <w:r>
        <w:rPr>
          <w:rFonts w:ascii="Times New Roman" w:hAnsi="Times New Roman" w:cs="Times New Roman"/>
          <w:sz w:val="24"/>
          <w:szCs w:val="24"/>
          <w:lang w:val="en-US"/>
        </w:rPr>
        <w:t>)</w:t>
      </w:r>
      <w:r w:rsidRPr="00D2220D">
        <w:rPr>
          <w:rFonts w:ascii="Times New Roman" w:hAnsi="Times New Roman" w:cs="Times New Roman"/>
          <w:sz w:val="24"/>
          <w:szCs w:val="24"/>
          <w:lang w:val="en-US"/>
        </w:rPr>
        <w:t xml:space="preserve"> and focuses on the optimal strategy to implement in terms of the two components of the aforementioned exchange rate policy</w:t>
      </w:r>
      <w:r>
        <w:rPr>
          <w:rStyle w:val="Appelnotedebasdep"/>
          <w:rFonts w:ascii="Times New Roman" w:hAnsi="Times New Roman" w:cs="Times New Roman"/>
          <w:sz w:val="24"/>
          <w:szCs w:val="24"/>
          <w:lang w:val="en-US"/>
        </w:rPr>
        <w:footnoteReference w:id="3"/>
      </w:r>
      <w:r w:rsidRPr="00D2220D">
        <w:rPr>
          <w:rFonts w:ascii="Times New Roman" w:hAnsi="Times New Roman" w:cs="Times New Roman"/>
          <w:sz w:val="24"/>
          <w:szCs w:val="24"/>
          <w:lang w:val="en-US"/>
        </w:rPr>
        <w:t>. This second problem is to actually answer the following three questions:</w:t>
      </w:r>
    </w:p>
    <w:p w:rsidR="00D2220D" w:rsidRDefault="00D2220D" w:rsidP="00CF3DBB">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CF3DBB">
        <w:rPr>
          <w:rFonts w:ascii="Times New Roman" w:hAnsi="Times New Roman" w:cs="Times New Roman"/>
          <w:sz w:val="24"/>
          <w:szCs w:val="24"/>
          <w:lang w:val="en-US"/>
        </w:rPr>
        <w:lastRenderedPageBreak/>
        <w:t xml:space="preserve">If it turns out that it is more relevant for a country to maintain its fixed exchange rate regime and the restrictive exchange control regime in </w:t>
      </w:r>
      <w:r w:rsidR="00CF3DBB" w:rsidRPr="00CF3DBB">
        <w:rPr>
          <w:rFonts w:ascii="Times New Roman" w:hAnsi="Times New Roman" w:cs="Times New Roman"/>
          <w:sz w:val="24"/>
          <w:szCs w:val="24"/>
          <w:lang w:val="en-US"/>
        </w:rPr>
        <w:t>force</w:t>
      </w:r>
      <w:r w:rsidRPr="00CF3DBB">
        <w:rPr>
          <w:rFonts w:ascii="Times New Roman" w:hAnsi="Times New Roman" w:cs="Times New Roman"/>
          <w:sz w:val="24"/>
          <w:szCs w:val="24"/>
          <w:lang w:val="en-US"/>
        </w:rPr>
        <w:t xml:space="preserve">, what is the optimal strategy to glimpse for sequencing the liberalization of its exchange rate </w:t>
      </w:r>
      <w:r w:rsidR="00CF3DBB" w:rsidRPr="00CF3DBB">
        <w:rPr>
          <w:rFonts w:ascii="Times New Roman" w:hAnsi="Times New Roman" w:cs="Times New Roman"/>
          <w:sz w:val="24"/>
          <w:szCs w:val="24"/>
          <w:lang w:val="en-US"/>
        </w:rPr>
        <w:t>policy?</w:t>
      </w:r>
    </w:p>
    <w:p w:rsidR="00CF3DBB" w:rsidRDefault="00CF3DBB" w:rsidP="00CF3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CF3DBB">
        <w:rPr>
          <w:rFonts w:ascii="Times New Roman" w:hAnsi="Times New Roman" w:cs="Times New Roman"/>
          <w:sz w:val="24"/>
          <w:szCs w:val="24"/>
          <w:lang w:val="en-US"/>
        </w:rPr>
        <w:t xml:space="preserve">In other words, since the foreign </w:t>
      </w:r>
      <w:r w:rsidR="00E242A0">
        <w:rPr>
          <w:rFonts w:ascii="Times New Roman" w:hAnsi="Times New Roman" w:cs="Times New Roman"/>
          <w:sz w:val="24"/>
          <w:szCs w:val="24"/>
          <w:lang w:val="en-US"/>
        </w:rPr>
        <w:t>forex</w:t>
      </w:r>
      <w:r w:rsidRPr="00CF3DBB">
        <w:rPr>
          <w:rFonts w:ascii="Times New Roman" w:hAnsi="Times New Roman" w:cs="Times New Roman"/>
          <w:sz w:val="24"/>
          <w:szCs w:val="24"/>
          <w:lang w:val="en-US"/>
        </w:rPr>
        <w:t xml:space="preserve"> liberalization strategies in their general component </w:t>
      </w:r>
      <w:r>
        <w:rPr>
          <w:rFonts w:ascii="Times New Roman" w:hAnsi="Times New Roman" w:cs="Times New Roman"/>
          <w:sz w:val="24"/>
          <w:szCs w:val="24"/>
          <w:lang w:val="en-US"/>
        </w:rPr>
        <w:t xml:space="preserve">i.e </w:t>
      </w:r>
      <w:r w:rsidRPr="00CF3DBB">
        <w:rPr>
          <w:rFonts w:ascii="Times New Roman" w:hAnsi="Times New Roman" w:cs="Times New Roman"/>
          <w:sz w:val="24"/>
          <w:szCs w:val="24"/>
          <w:lang w:val="en-US"/>
        </w:rPr>
        <w:t xml:space="preserve">exchange rate regime and foreign exchange control regime </w:t>
      </w:r>
      <w:r>
        <w:rPr>
          <w:rFonts w:ascii="Times New Roman" w:hAnsi="Times New Roman" w:cs="Times New Roman"/>
          <w:sz w:val="24"/>
          <w:szCs w:val="24"/>
          <w:lang w:val="en-US"/>
        </w:rPr>
        <w:t>individually selected</w:t>
      </w:r>
      <w:r w:rsidRPr="00CF3DBB">
        <w:rPr>
          <w:rFonts w:ascii="Times New Roman" w:hAnsi="Times New Roman" w:cs="Times New Roman"/>
          <w:sz w:val="24"/>
          <w:szCs w:val="24"/>
          <w:lang w:val="en-US"/>
        </w:rPr>
        <w:t>, consist of set of sequences provided in this regard</w:t>
      </w:r>
      <w:r>
        <w:rPr>
          <w:rFonts w:ascii="Times New Roman" w:hAnsi="Times New Roman" w:cs="Times New Roman"/>
          <w:sz w:val="24"/>
          <w:szCs w:val="24"/>
          <w:lang w:val="en-US"/>
        </w:rPr>
        <w:t>,</w:t>
      </w:r>
      <w:r w:rsidRPr="00CF3DBB">
        <w:rPr>
          <w:rFonts w:ascii="Times New Roman" w:hAnsi="Times New Roman" w:cs="Times New Roman"/>
          <w:sz w:val="24"/>
          <w:szCs w:val="24"/>
          <w:lang w:val="en-US"/>
        </w:rPr>
        <w:t xml:space="preserve"> which a consensus seems established at the level of the economic literature, the question concerns the syntax of choices to be made in the matter: it is necessary that the first selected liberalization sequence concerns the exchange rate regime (operating more flexible exchange rate regime first, before the liberalization of the capital account) or first</w:t>
      </w:r>
      <w:r>
        <w:rPr>
          <w:rFonts w:ascii="Times New Roman" w:hAnsi="Times New Roman" w:cs="Times New Roman"/>
          <w:sz w:val="24"/>
          <w:szCs w:val="24"/>
          <w:lang w:val="en-US"/>
        </w:rPr>
        <w:t>,</w:t>
      </w:r>
      <w:r w:rsidRPr="00CF3DBB">
        <w:rPr>
          <w:rFonts w:ascii="Times New Roman" w:hAnsi="Times New Roman" w:cs="Times New Roman"/>
          <w:sz w:val="24"/>
          <w:szCs w:val="24"/>
          <w:lang w:val="en-US"/>
        </w:rPr>
        <w:t xml:space="preserve"> operate liberalization </w:t>
      </w:r>
      <w:r>
        <w:rPr>
          <w:rFonts w:ascii="Times New Roman" w:hAnsi="Times New Roman" w:cs="Times New Roman"/>
          <w:sz w:val="24"/>
          <w:szCs w:val="24"/>
          <w:lang w:val="en-US"/>
        </w:rPr>
        <w:t xml:space="preserve">of </w:t>
      </w:r>
      <w:r w:rsidRPr="00CF3DBB">
        <w:rPr>
          <w:rFonts w:ascii="Times New Roman" w:hAnsi="Times New Roman" w:cs="Times New Roman"/>
          <w:sz w:val="24"/>
          <w:szCs w:val="24"/>
          <w:lang w:val="en-US"/>
        </w:rPr>
        <w:t>capital account either before flexible exchange rate regime</w:t>
      </w:r>
      <w:r>
        <w:rPr>
          <w:rFonts w:ascii="Times New Roman" w:hAnsi="Times New Roman" w:cs="Times New Roman"/>
          <w:sz w:val="24"/>
          <w:szCs w:val="24"/>
          <w:lang w:val="en-US"/>
        </w:rPr>
        <w:t xml:space="preserve"> (that is to say, maintaining a</w:t>
      </w:r>
      <w:r w:rsidRPr="00CF3DBB">
        <w:rPr>
          <w:rFonts w:ascii="Times New Roman" w:hAnsi="Times New Roman" w:cs="Times New Roman"/>
          <w:sz w:val="24"/>
          <w:szCs w:val="24"/>
          <w:lang w:val="en-US"/>
        </w:rPr>
        <w:t xml:space="preserve"> fixed exchange rate regime)</w:t>
      </w:r>
      <w:r>
        <w:rPr>
          <w:rFonts w:ascii="Times New Roman" w:hAnsi="Times New Roman" w:cs="Times New Roman"/>
          <w:sz w:val="24"/>
          <w:szCs w:val="24"/>
          <w:lang w:val="en-US"/>
        </w:rPr>
        <w:t>.</w:t>
      </w:r>
    </w:p>
    <w:p w:rsidR="00CF3DBB" w:rsidRDefault="00CF3DBB" w:rsidP="006F5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CF3DBB">
        <w:rPr>
          <w:rFonts w:ascii="Times New Roman" w:hAnsi="Times New Roman" w:cs="Times New Roman"/>
          <w:sz w:val="24"/>
          <w:szCs w:val="24"/>
          <w:lang w:val="en-US"/>
        </w:rPr>
        <w:t xml:space="preserve">The recommended choices at this level </w:t>
      </w:r>
      <w:r>
        <w:rPr>
          <w:rFonts w:ascii="Times New Roman" w:hAnsi="Times New Roman" w:cs="Times New Roman"/>
          <w:sz w:val="24"/>
          <w:szCs w:val="24"/>
          <w:lang w:val="en-US"/>
        </w:rPr>
        <w:t>- emerge</w:t>
      </w:r>
      <w:r w:rsidRPr="00CF3DBB">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CF3DBB">
        <w:rPr>
          <w:rFonts w:ascii="Times New Roman" w:hAnsi="Times New Roman" w:cs="Times New Roman"/>
          <w:sz w:val="24"/>
          <w:szCs w:val="24"/>
          <w:lang w:val="en-US"/>
        </w:rPr>
        <w:t xml:space="preserve"> a consensus of economists and international institutions, including the IMF- are on the first alternative</w:t>
      </w:r>
      <w:r w:rsidR="0033380C">
        <w:rPr>
          <w:rStyle w:val="Appelnotedebasdep"/>
          <w:rFonts w:ascii="Times New Roman" w:hAnsi="Times New Roman" w:cs="Times New Roman"/>
          <w:sz w:val="24"/>
          <w:szCs w:val="24"/>
          <w:lang w:val="en-US"/>
        </w:rPr>
        <w:footnoteReference w:id="4"/>
      </w:r>
      <w:r w:rsidRPr="00CF3DBB">
        <w:rPr>
          <w:rFonts w:ascii="Times New Roman" w:hAnsi="Times New Roman" w:cs="Times New Roman"/>
          <w:sz w:val="24"/>
          <w:szCs w:val="24"/>
          <w:lang w:val="en-US"/>
        </w:rPr>
        <w:t xml:space="preserve">. This consensus comes from the observation of the </w:t>
      </w:r>
      <w:r w:rsidR="004D694E">
        <w:rPr>
          <w:rFonts w:ascii="Times New Roman" w:hAnsi="Times New Roman" w:cs="Times New Roman"/>
          <w:sz w:val="24"/>
          <w:szCs w:val="24"/>
          <w:lang w:val="en-US"/>
        </w:rPr>
        <w:t>cases</w:t>
      </w:r>
      <w:r w:rsidRPr="00CF3DBB">
        <w:rPr>
          <w:rFonts w:ascii="Times New Roman" w:hAnsi="Times New Roman" w:cs="Times New Roman"/>
          <w:sz w:val="24"/>
          <w:szCs w:val="24"/>
          <w:lang w:val="en-US"/>
        </w:rPr>
        <w:t xml:space="preserve"> of countries that hav</w:t>
      </w:r>
      <w:r>
        <w:rPr>
          <w:rFonts w:ascii="Times New Roman" w:hAnsi="Times New Roman" w:cs="Times New Roman"/>
          <w:sz w:val="24"/>
          <w:szCs w:val="24"/>
          <w:lang w:val="en-US"/>
        </w:rPr>
        <w:t>e experienced currency crises</w:t>
      </w:r>
      <w:r w:rsidR="0033380C">
        <w:rPr>
          <w:rStyle w:val="Appelnotedebasdep"/>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w:t>
      </w:r>
      <w:r w:rsidRPr="00CF3DBB">
        <w:rPr>
          <w:rFonts w:ascii="Times New Roman" w:hAnsi="Times New Roman" w:cs="Times New Roman"/>
          <w:sz w:val="24"/>
          <w:szCs w:val="24"/>
          <w:lang w:val="en-US"/>
        </w:rPr>
        <w:t>Asian c</w:t>
      </w:r>
      <w:r w:rsidR="004D694E">
        <w:rPr>
          <w:rFonts w:ascii="Times New Roman" w:hAnsi="Times New Roman" w:cs="Times New Roman"/>
          <w:sz w:val="24"/>
          <w:szCs w:val="24"/>
          <w:lang w:val="en-US"/>
        </w:rPr>
        <w:t>ountries in 1997</w:t>
      </w:r>
      <w:r w:rsidR="0033380C">
        <w:rPr>
          <w:rStyle w:val="Appelnotedebasdep"/>
          <w:rFonts w:ascii="Times New Roman" w:hAnsi="Times New Roman" w:cs="Times New Roman"/>
          <w:sz w:val="24"/>
          <w:szCs w:val="24"/>
          <w:lang w:val="en-US"/>
        </w:rPr>
        <w:footnoteReference w:id="6"/>
      </w:r>
      <w:r w:rsidR="004D694E">
        <w:rPr>
          <w:rFonts w:ascii="Times New Roman" w:hAnsi="Times New Roman" w:cs="Times New Roman"/>
          <w:sz w:val="24"/>
          <w:szCs w:val="24"/>
          <w:lang w:val="en-US"/>
        </w:rPr>
        <w:t xml:space="preserve">, </w:t>
      </w:r>
      <w:r w:rsidR="0033380C">
        <w:rPr>
          <w:rFonts w:ascii="Times New Roman" w:hAnsi="Times New Roman" w:cs="Times New Roman"/>
          <w:sz w:val="24"/>
          <w:szCs w:val="24"/>
          <w:lang w:val="en-US"/>
        </w:rPr>
        <w:t>Mexico</w:t>
      </w:r>
      <w:r w:rsidR="0033380C">
        <w:rPr>
          <w:rStyle w:val="Appelnotedebasdep"/>
          <w:rFonts w:ascii="Times New Roman" w:hAnsi="Times New Roman" w:cs="Times New Roman"/>
          <w:sz w:val="24"/>
          <w:szCs w:val="24"/>
          <w:lang w:val="en-US"/>
        </w:rPr>
        <w:footnoteReference w:id="7"/>
      </w:r>
      <w:r w:rsidR="0033380C">
        <w:rPr>
          <w:rFonts w:ascii="Times New Roman" w:hAnsi="Times New Roman" w:cs="Times New Roman"/>
          <w:sz w:val="24"/>
          <w:szCs w:val="24"/>
          <w:lang w:val="en-US"/>
        </w:rPr>
        <w:t xml:space="preserve"> and</w:t>
      </w:r>
      <w:r w:rsidRPr="00CF3DBB">
        <w:rPr>
          <w:rFonts w:ascii="Times New Roman" w:hAnsi="Times New Roman" w:cs="Times New Roman"/>
          <w:sz w:val="24"/>
          <w:szCs w:val="24"/>
          <w:lang w:val="en-US"/>
        </w:rPr>
        <w:t xml:space="preserve"> Brazil in 1999) where one of the main causes of such crises lay in</w:t>
      </w:r>
      <w:r w:rsidR="004D694E">
        <w:rPr>
          <w:rFonts w:ascii="Times New Roman" w:hAnsi="Times New Roman" w:cs="Times New Roman"/>
          <w:sz w:val="24"/>
          <w:szCs w:val="24"/>
          <w:lang w:val="en-US"/>
        </w:rPr>
        <w:t xml:space="preserve"> the </w:t>
      </w:r>
      <w:r w:rsidR="004D694E" w:rsidRPr="00CF3DBB">
        <w:rPr>
          <w:rFonts w:ascii="Times New Roman" w:hAnsi="Times New Roman" w:cs="Times New Roman"/>
          <w:sz w:val="24"/>
          <w:szCs w:val="24"/>
          <w:lang w:val="en-US"/>
        </w:rPr>
        <w:t>liberalization</w:t>
      </w:r>
      <w:r w:rsidR="004D694E">
        <w:rPr>
          <w:rFonts w:ascii="Times New Roman" w:hAnsi="Times New Roman" w:cs="Times New Roman"/>
          <w:sz w:val="24"/>
          <w:szCs w:val="24"/>
          <w:lang w:val="en-US"/>
        </w:rPr>
        <w:t xml:space="preserve"> of</w:t>
      </w:r>
      <w:r w:rsidR="004D694E" w:rsidRPr="00CF3DBB">
        <w:rPr>
          <w:rFonts w:ascii="Times New Roman" w:hAnsi="Times New Roman" w:cs="Times New Roman"/>
          <w:sz w:val="24"/>
          <w:szCs w:val="24"/>
          <w:lang w:val="en-US"/>
        </w:rPr>
        <w:t xml:space="preserve"> </w:t>
      </w:r>
      <w:r w:rsidRPr="00CF3DBB">
        <w:rPr>
          <w:rFonts w:ascii="Times New Roman" w:hAnsi="Times New Roman" w:cs="Times New Roman"/>
          <w:sz w:val="24"/>
          <w:szCs w:val="24"/>
          <w:lang w:val="en-US"/>
        </w:rPr>
        <w:t>account capital while maintaining a fixed exchange rate regime</w:t>
      </w:r>
      <w:r w:rsidR="0033380C">
        <w:rPr>
          <w:rStyle w:val="Appelnotedebasdep"/>
          <w:rFonts w:ascii="Times New Roman" w:hAnsi="Times New Roman" w:cs="Times New Roman"/>
          <w:sz w:val="24"/>
          <w:szCs w:val="24"/>
          <w:lang w:val="en-US"/>
        </w:rPr>
        <w:footnoteReference w:id="8"/>
      </w:r>
      <w:r w:rsidRPr="00CF3DBB">
        <w:rPr>
          <w:rFonts w:ascii="Times New Roman" w:hAnsi="Times New Roman" w:cs="Times New Roman"/>
          <w:sz w:val="24"/>
          <w:szCs w:val="24"/>
          <w:lang w:val="en-US"/>
        </w:rPr>
        <w:t xml:space="preserve"> and those countries with generally successful strategies for the other currency policy.</w:t>
      </w:r>
    </w:p>
    <w:p w:rsidR="006F567F" w:rsidRDefault="006F567F" w:rsidP="006F567F">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6F567F">
        <w:rPr>
          <w:rFonts w:ascii="Times New Roman" w:hAnsi="Times New Roman" w:cs="Times New Roman"/>
          <w:sz w:val="24"/>
          <w:szCs w:val="24"/>
          <w:lang w:val="en-US"/>
        </w:rPr>
        <w:t>if it turns out that it is more appropriate for a country to liberal</w:t>
      </w:r>
      <w:r w:rsidR="00574E9D">
        <w:rPr>
          <w:rFonts w:ascii="Times New Roman" w:hAnsi="Times New Roman" w:cs="Times New Roman"/>
          <w:sz w:val="24"/>
          <w:szCs w:val="24"/>
          <w:lang w:val="en-US"/>
        </w:rPr>
        <w:t>ize its exchange control regime</w:t>
      </w:r>
      <w:r w:rsidRPr="006F567F">
        <w:rPr>
          <w:rFonts w:ascii="Times New Roman" w:hAnsi="Times New Roman" w:cs="Times New Roman"/>
          <w:sz w:val="24"/>
          <w:szCs w:val="24"/>
          <w:lang w:val="en-US"/>
        </w:rPr>
        <w:t>, what will be the most appropriate exchange rate regime to better support the liberalization of the exchange control regime ?</w:t>
      </w:r>
    </w:p>
    <w:p w:rsidR="00574E9D" w:rsidRDefault="00574E9D" w:rsidP="00574E9D">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p>
    <w:p w:rsidR="00574E9D" w:rsidRPr="00574E9D" w:rsidRDefault="00574E9D" w:rsidP="00574E9D">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574E9D">
        <w:rPr>
          <w:rFonts w:ascii="Times New Roman" w:hAnsi="Times New Roman" w:cs="Times New Roman"/>
          <w:sz w:val="24"/>
          <w:szCs w:val="24"/>
          <w:lang w:val="en-US"/>
        </w:rPr>
        <w:t>if it turns out that it is more optimal to make the exchange rate regime more flexible , what is the most appropriate degree of openness of the capital acco</w:t>
      </w:r>
      <w:r>
        <w:rPr>
          <w:rFonts w:ascii="Times New Roman" w:hAnsi="Times New Roman" w:cs="Times New Roman"/>
          <w:sz w:val="24"/>
          <w:szCs w:val="24"/>
          <w:lang w:val="en-US"/>
        </w:rPr>
        <w:t>unt (or exchange control regime</w:t>
      </w:r>
      <w:r w:rsidRPr="00574E9D">
        <w:rPr>
          <w:rFonts w:ascii="Times New Roman" w:hAnsi="Times New Roman" w:cs="Times New Roman"/>
          <w:sz w:val="24"/>
          <w:szCs w:val="24"/>
          <w:lang w:val="en-US"/>
        </w:rPr>
        <w:t>) to put consistent both components of the exchange rate policy.</w:t>
      </w:r>
    </w:p>
    <w:p w:rsidR="00574E9D" w:rsidRDefault="00574E9D" w:rsidP="00574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574E9D">
        <w:rPr>
          <w:rFonts w:ascii="Times New Roman" w:hAnsi="Times New Roman" w:cs="Times New Roman"/>
          <w:sz w:val="24"/>
          <w:szCs w:val="24"/>
          <w:lang w:val="en-US"/>
        </w:rPr>
        <w:t xml:space="preserve">These matters within the general problem of the consistency of macroeconomic policies chosen by a country, more exactly between the policy adopted for exchange rate regime and that pursued in the control of foreign exchange are important insofar one of the causes of currency crises that affected the countries of southeast Asia lies in the inconsistency between </w:t>
      </w:r>
      <w:r w:rsidRPr="00574E9D">
        <w:rPr>
          <w:rFonts w:ascii="Times New Roman" w:hAnsi="Times New Roman" w:cs="Times New Roman"/>
          <w:sz w:val="24"/>
          <w:szCs w:val="24"/>
          <w:lang w:val="en-US"/>
        </w:rPr>
        <w:lastRenderedPageBreak/>
        <w:t>the policies that these countries had conducted the opening of their capital account while maintaining their exchange rate regimes fixed</w:t>
      </w:r>
      <w:r>
        <w:rPr>
          <w:rStyle w:val="Appelnotedebasdep"/>
          <w:rFonts w:ascii="Times New Roman" w:hAnsi="Times New Roman" w:cs="Times New Roman"/>
          <w:sz w:val="24"/>
          <w:szCs w:val="24"/>
          <w:lang w:val="en-US"/>
        </w:rPr>
        <w:footnoteReference w:id="9"/>
      </w:r>
      <w:r>
        <w:rPr>
          <w:rFonts w:ascii="Times New Roman" w:hAnsi="Times New Roman" w:cs="Times New Roman"/>
          <w:sz w:val="24"/>
          <w:szCs w:val="24"/>
          <w:lang w:val="en-US"/>
        </w:rPr>
        <w:t>.</w:t>
      </w:r>
    </w:p>
    <w:p w:rsidR="00957343" w:rsidRDefault="00957343" w:rsidP="00574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957343">
        <w:rPr>
          <w:rFonts w:ascii="Times New Roman" w:hAnsi="Times New Roman" w:cs="Times New Roman"/>
          <w:sz w:val="24"/>
          <w:szCs w:val="24"/>
          <w:lang w:val="en-US"/>
        </w:rPr>
        <w:t>In Morocco, the exchange policy is characterized by:</w:t>
      </w:r>
    </w:p>
    <w:p w:rsidR="00957343" w:rsidRDefault="00957343" w:rsidP="00DA4334">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957343">
        <w:rPr>
          <w:rFonts w:ascii="Times New Roman" w:hAnsi="Times New Roman" w:cs="Times New Roman"/>
          <w:sz w:val="24"/>
          <w:szCs w:val="24"/>
          <w:lang w:val="en-US"/>
        </w:rPr>
        <w:t>a</w:t>
      </w:r>
      <w:r>
        <w:rPr>
          <w:rFonts w:ascii="Times New Roman" w:hAnsi="Times New Roman" w:cs="Times New Roman"/>
          <w:sz w:val="24"/>
          <w:szCs w:val="24"/>
          <w:lang w:val="en-US"/>
        </w:rPr>
        <w:t xml:space="preserve">n </w:t>
      </w:r>
      <w:r w:rsidRPr="00957343">
        <w:rPr>
          <w:rFonts w:ascii="Times New Roman" w:hAnsi="Times New Roman" w:cs="Times New Roman"/>
          <w:sz w:val="24"/>
          <w:szCs w:val="24"/>
          <w:lang w:val="en-US"/>
        </w:rPr>
        <w:t xml:space="preserve">exchange </w:t>
      </w:r>
      <w:r>
        <w:rPr>
          <w:rFonts w:ascii="Times New Roman" w:hAnsi="Times New Roman" w:cs="Times New Roman"/>
          <w:sz w:val="24"/>
          <w:szCs w:val="24"/>
          <w:lang w:val="en-US"/>
        </w:rPr>
        <w:t>rate regime qualified (</w:t>
      </w:r>
      <w:r w:rsidRPr="00957343">
        <w:rPr>
          <w:rFonts w:ascii="Times New Roman" w:hAnsi="Times New Roman" w:cs="Times New Roman"/>
          <w:sz w:val="24"/>
          <w:szCs w:val="24"/>
          <w:lang w:val="en-US"/>
        </w:rPr>
        <w:t xml:space="preserve">according to the taxonomy of the IMF) </w:t>
      </w:r>
      <w:r w:rsidR="00DA4334">
        <w:rPr>
          <w:rFonts w:ascii="Times New Roman" w:hAnsi="Times New Roman" w:cs="Times New Roman"/>
          <w:sz w:val="24"/>
          <w:szCs w:val="24"/>
          <w:lang w:val="en-US"/>
        </w:rPr>
        <w:t xml:space="preserve">as </w:t>
      </w:r>
      <w:r w:rsidRPr="00957343">
        <w:rPr>
          <w:rFonts w:ascii="Times New Roman" w:hAnsi="Times New Roman" w:cs="Times New Roman"/>
          <w:sz w:val="24"/>
          <w:szCs w:val="24"/>
          <w:lang w:val="en-US"/>
        </w:rPr>
        <w:t xml:space="preserve">conventional </w:t>
      </w:r>
      <w:r w:rsidR="00DA4334">
        <w:rPr>
          <w:rFonts w:ascii="Times New Roman" w:hAnsi="Times New Roman" w:cs="Times New Roman"/>
          <w:sz w:val="24"/>
          <w:szCs w:val="24"/>
          <w:lang w:val="en-US"/>
        </w:rPr>
        <w:t>peg</w:t>
      </w:r>
      <w:r w:rsidRPr="00957343">
        <w:rPr>
          <w:rFonts w:ascii="Times New Roman" w:hAnsi="Times New Roman" w:cs="Times New Roman"/>
          <w:sz w:val="24"/>
          <w:szCs w:val="24"/>
          <w:lang w:val="en-US"/>
        </w:rPr>
        <w:t xml:space="preserve"> </w:t>
      </w:r>
      <w:r w:rsidR="00DA4334">
        <w:rPr>
          <w:rFonts w:ascii="Times New Roman" w:hAnsi="Times New Roman" w:cs="Times New Roman"/>
          <w:sz w:val="24"/>
          <w:szCs w:val="24"/>
          <w:lang w:val="en-US"/>
        </w:rPr>
        <w:t>regime</w:t>
      </w:r>
      <w:r w:rsidRPr="00957343">
        <w:rPr>
          <w:rFonts w:ascii="Times New Roman" w:hAnsi="Times New Roman" w:cs="Times New Roman"/>
          <w:sz w:val="24"/>
          <w:szCs w:val="24"/>
          <w:lang w:val="en-US"/>
        </w:rPr>
        <w:t xml:space="preserve">. </w:t>
      </w:r>
      <w:r w:rsidR="00DA4334" w:rsidRPr="00DA4334">
        <w:rPr>
          <w:rFonts w:ascii="Times New Roman" w:hAnsi="Times New Roman" w:cs="Times New Roman"/>
          <w:sz w:val="24"/>
          <w:szCs w:val="24"/>
          <w:lang w:val="en-US"/>
        </w:rPr>
        <w:t>This is a diet - usually part</w:t>
      </w:r>
      <w:r w:rsidRPr="00957343">
        <w:rPr>
          <w:rFonts w:ascii="Times New Roman" w:hAnsi="Times New Roman" w:cs="Times New Roman"/>
          <w:sz w:val="24"/>
          <w:szCs w:val="24"/>
          <w:lang w:val="en-US"/>
        </w:rPr>
        <w:t xml:space="preserve">, according to different categorizations ​​of rigid fixity or intermediate regime </w:t>
      </w:r>
      <w:r w:rsidR="00DA4334">
        <w:rPr>
          <w:rFonts w:ascii="Times New Roman" w:hAnsi="Times New Roman" w:cs="Times New Roman"/>
          <w:sz w:val="24"/>
          <w:szCs w:val="24"/>
          <w:lang w:val="en-US"/>
        </w:rPr>
        <w:t>-in which the country (formally</w:t>
      </w:r>
      <w:r w:rsidRPr="00957343">
        <w:rPr>
          <w:rFonts w:ascii="Times New Roman" w:hAnsi="Times New Roman" w:cs="Times New Roman"/>
          <w:sz w:val="24"/>
          <w:szCs w:val="24"/>
          <w:lang w:val="en-US"/>
        </w:rPr>
        <w:t>) its currency at a fixed rate to another currency or a basket of currencies.</w:t>
      </w:r>
    </w:p>
    <w:p w:rsidR="00DA4334" w:rsidRPr="00DA4334" w:rsidRDefault="00DA4334" w:rsidP="00DA4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DA4334">
        <w:rPr>
          <w:rFonts w:ascii="Times New Roman" w:hAnsi="Times New Roman" w:cs="Times New Roman"/>
          <w:sz w:val="24"/>
          <w:szCs w:val="24"/>
          <w:lang w:val="en-US"/>
        </w:rPr>
        <w:t>However, this choice is called to be seen in that several indicators argue for the adoption of a more flexible exchange rate regime</w:t>
      </w:r>
      <w:r>
        <w:rPr>
          <w:rStyle w:val="Appelnotedebasdep"/>
          <w:rFonts w:ascii="Times New Roman" w:hAnsi="Times New Roman" w:cs="Times New Roman"/>
          <w:sz w:val="24"/>
          <w:szCs w:val="24"/>
          <w:lang w:val="en-US"/>
        </w:rPr>
        <w:footnoteReference w:id="10"/>
      </w:r>
      <w:r>
        <w:rPr>
          <w:rFonts w:ascii="Times New Roman" w:hAnsi="Times New Roman" w:cs="Times New Roman"/>
          <w:sz w:val="24"/>
          <w:szCs w:val="24"/>
          <w:lang w:val="en-US"/>
        </w:rPr>
        <w:t>.</w:t>
      </w:r>
    </w:p>
    <w:p w:rsidR="00DA4334" w:rsidRDefault="00EB156B" w:rsidP="00EB156B">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EB156B">
        <w:rPr>
          <w:rFonts w:ascii="Times New Roman" w:hAnsi="Times New Roman" w:cs="Times New Roman"/>
          <w:sz w:val="24"/>
          <w:szCs w:val="24"/>
          <w:lang w:val="en-US"/>
        </w:rPr>
        <w:t>convertible exchange control regime for current operations and financial transactions of non-residents and inconvertible (partially open) for financial transactions of residents.</w:t>
      </w:r>
    </w:p>
    <w:p w:rsidR="006F567F" w:rsidRDefault="0026008D" w:rsidP="00260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Pr>
          <w:rFonts w:ascii="Times New Roman" w:hAnsi="Times New Roman" w:cs="Times New Roman"/>
          <w:sz w:val="24"/>
          <w:szCs w:val="24"/>
          <w:lang w:val="en-US"/>
        </w:rPr>
        <w:t>Morocco is in this regard</w:t>
      </w:r>
      <w:r w:rsidRPr="0026008D">
        <w:rPr>
          <w:rFonts w:ascii="Times New Roman" w:hAnsi="Times New Roman" w:cs="Times New Roman"/>
          <w:sz w:val="24"/>
          <w:szCs w:val="24"/>
          <w:lang w:val="en-US"/>
        </w:rPr>
        <w:t xml:space="preserve">, given </w:t>
      </w:r>
      <w:r>
        <w:rPr>
          <w:rFonts w:ascii="Times New Roman" w:hAnsi="Times New Roman" w:cs="Times New Roman"/>
          <w:sz w:val="24"/>
          <w:szCs w:val="24"/>
          <w:lang w:val="en-US"/>
        </w:rPr>
        <w:t xml:space="preserve">to </w:t>
      </w:r>
      <w:r w:rsidRPr="0026008D">
        <w:rPr>
          <w:rFonts w:ascii="Times New Roman" w:hAnsi="Times New Roman" w:cs="Times New Roman"/>
          <w:sz w:val="24"/>
          <w:szCs w:val="24"/>
          <w:lang w:val="en-US"/>
        </w:rPr>
        <w:t xml:space="preserve">the above conclusions reached in this respect on </w:t>
      </w:r>
      <w:r>
        <w:rPr>
          <w:rFonts w:ascii="Times New Roman" w:hAnsi="Times New Roman" w:cs="Times New Roman"/>
          <w:sz w:val="24"/>
          <w:szCs w:val="24"/>
          <w:lang w:val="en-US"/>
        </w:rPr>
        <w:t xml:space="preserve">exchange </w:t>
      </w:r>
      <w:r w:rsidRPr="0026008D">
        <w:rPr>
          <w:rFonts w:ascii="Times New Roman" w:hAnsi="Times New Roman" w:cs="Times New Roman"/>
          <w:sz w:val="24"/>
          <w:szCs w:val="24"/>
          <w:lang w:val="en-US"/>
        </w:rPr>
        <w:t>rate pol</w:t>
      </w:r>
      <w:r>
        <w:rPr>
          <w:rFonts w:ascii="Times New Roman" w:hAnsi="Times New Roman" w:cs="Times New Roman"/>
          <w:sz w:val="24"/>
          <w:szCs w:val="24"/>
          <w:lang w:val="en-US"/>
        </w:rPr>
        <w:t>icy and exchange control regime</w:t>
      </w:r>
      <w:r w:rsidRPr="0026008D">
        <w:rPr>
          <w:rFonts w:ascii="Times New Roman" w:hAnsi="Times New Roman" w:cs="Times New Roman"/>
          <w:sz w:val="24"/>
          <w:szCs w:val="24"/>
          <w:lang w:val="en-US"/>
        </w:rPr>
        <w:t>, faced for optimal choice to be made</w:t>
      </w:r>
      <w:r>
        <w:rPr>
          <w:rFonts w:ascii="Times New Roman" w:hAnsi="Times New Roman" w:cs="Times New Roman"/>
          <w:sz w:val="24"/>
          <w:szCs w:val="24"/>
          <w:lang w:val="en-US"/>
        </w:rPr>
        <w:t xml:space="preserve"> at their exchange rate policy</w:t>
      </w:r>
      <w:r w:rsidRPr="0026008D">
        <w:rPr>
          <w:rFonts w:ascii="Times New Roman" w:hAnsi="Times New Roman" w:cs="Times New Roman"/>
          <w:sz w:val="24"/>
          <w:szCs w:val="24"/>
          <w:lang w:val="en-US"/>
        </w:rPr>
        <w:t xml:space="preserve"> to the third problematic category</w:t>
      </w:r>
      <w:r>
        <w:rPr>
          <w:rFonts w:ascii="Times New Roman" w:hAnsi="Times New Roman" w:cs="Times New Roman"/>
          <w:sz w:val="24"/>
          <w:szCs w:val="24"/>
          <w:lang w:val="en-US"/>
        </w:rPr>
        <w:t>,</w:t>
      </w:r>
      <w:r w:rsidRPr="0026008D">
        <w:rPr>
          <w:rFonts w:ascii="Times New Roman" w:hAnsi="Times New Roman" w:cs="Times New Roman"/>
          <w:sz w:val="24"/>
          <w:szCs w:val="24"/>
          <w:lang w:val="en-US"/>
        </w:rPr>
        <w:t xml:space="preserve"> to say the degree of openness of the capital account or the optimal part of the exchange regulations to accompany the introduction of a relatively flexible exchange rate regime</w:t>
      </w:r>
      <w:r>
        <w:rPr>
          <w:rFonts w:ascii="Times New Roman" w:hAnsi="Times New Roman" w:cs="Times New Roman"/>
          <w:sz w:val="24"/>
          <w:szCs w:val="24"/>
          <w:lang w:val="en-US"/>
        </w:rPr>
        <w:t>.</w:t>
      </w:r>
    </w:p>
    <w:p w:rsidR="0026008D" w:rsidRDefault="0026008D" w:rsidP="00260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26008D">
        <w:rPr>
          <w:rFonts w:ascii="Times New Roman" w:hAnsi="Times New Roman" w:cs="Times New Roman"/>
          <w:sz w:val="24"/>
          <w:szCs w:val="24"/>
          <w:lang w:val="en-US"/>
        </w:rPr>
        <w:t xml:space="preserve">This article has for purpose to analyze the degree of consistency between the exchange regulations in force in Morocco and the framework for operation of the foreign </w:t>
      </w:r>
      <w:r w:rsidR="00E242A0">
        <w:rPr>
          <w:rFonts w:ascii="Times New Roman" w:hAnsi="Times New Roman" w:cs="Times New Roman"/>
          <w:sz w:val="24"/>
          <w:szCs w:val="24"/>
          <w:lang w:val="en-US"/>
        </w:rPr>
        <w:t>forex</w:t>
      </w:r>
      <w:r w:rsidRPr="0026008D">
        <w:rPr>
          <w:rFonts w:ascii="Times New Roman" w:hAnsi="Times New Roman" w:cs="Times New Roman"/>
          <w:sz w:val="24"/>
          <w:szCs w:val="24"/>
          <w:lang w:val="en-US"/>
        </w:rPr>
        <w:t xml:space="preserve"> under a flexible exchange rate regime.</w:t>
      </w:r>
    </w:p>
    <w:p w:rsidR="0026008D" w:rsidRDefault="0026008D" w:rsidP="00260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26008D">
        <w:rPr>
          <w:rFonts w:ascii="Times New Roman" w:hAnsi="Times New Roman" w:cs="Times New Roman"/>
          <w:sz w:val="24"/>
          <w:szCs w:val="24"/>
          <w:lang w:val="en-US"/>
        </w:rPr>
        <w:t>The methodology to be followed to provide answers to the above- stated questions will be a dual approach</w:t>
      </w:r>
      <w:r>
        <w:rPr>
          <w:rFonts w:ascii="Times New Roman" w:hAnsi="Times New Roman" w:cs="Times New Roman"/>
          <w:sz w:val="24"/>
          <w:szCs w:val="24"/>
          <w:lang w:val="en-US"/>
        </w:rPr>
        <w:t>, theoretical and empirical</w:t>
      </w:r>
      <w:r w:rsidRPr="0026008D">
        <w:rPr>
          <w:rFonts w:ascii="Times New Roman" w:hAnsi="Times New Roman" w:cs="Times New Roman"/>
          <w:sz w:val="24"/>
          <w:szCs w:val="24"/>
          <w:lang w:val="en-US"/>
        </w:rPr>
        <w:t>.</w:t>
      </w:r>
    </w:p>
    <w:p w:rsidR="0026008D" w:rsidRDefault="0026008D" w:rsidP="00260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26008D">
        <w:rPr>
          <w:rFonts w:ascii="Times New Roman" w:hAnsi="Times New Roman" w:cs="Times New Roman"/>
          <w:sz w:val="24"/>
          <w:szCs w:val="24"/>
          <w:lang w:val="en-US"/>
        </w:rPr>
        <w:t>The theoretical approach will be made through the presentation of the relevant factors relating to this theme, collected from the economic literature dealing with this subject.</w:t>
      </w:r>
    </w:p>
    <w:p w:rsidR="0026008D" w:rsidRDefault="00BE6288" w:rsidP="00260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Pr>
          <w:rFonts w:ascii="Times New Roman" w:hAnsi="Times New Roman" w:cs="Times New Roman"/>
          <w:sz w:val="24"/>
          <w:szCs w:val="24"/>
          <w:lang w:val="en-US"/>
        </w:rPr>
        <w:t>As for the empirical approach</w:t>
      </w:r>
      <w:r w:rsidR="0026008D" w:rsidRPr="0026008D">
        <w:rPr>
          <w:rFonts w:ascii="Times New Roman" w:hAnsi="Times New Roman" w:cs="Times New Roman"/>
          <w:sz w:val="24"/>
          <w:szCs w:val="24"/>
          <w:lang w:val="en-US"/>
        </w:rPr>
        <w:t>, it will be done through observation of the relevant provisions (of the exchan</w:t>
      </w:r>
      <w:r w:rsidR="00E242A0">
        <w:rPr>
          <w:rFonts w:ascii="Times New Roman" w:hAnsi="Times New Roman" w:cs="Times New Roman"/>
          <w:sz w:val="24"/>
          <w:szCs w:val="24"/>
          <w:lang w:val="en-US"/>
        </w:rPr>
        <w:t>ge regulations deemed necessary</w:t>
      </w:r>
      <w:r w:rsidR="0026008D" w:rsidRPr="0026008D">
        <w:rPr>
          <w:rFonts w:ascii="Times New Roman" w:hAnsi="Times New Roman" w:cs="Times New Roman"/>
          <w:sz w:val="24"/>
          <w:szCs w:val="24"/>
          <w:lang w:val="en-US"/>
        </w:rPr>
        <w:t xml:space="preserve">, in the light of the conclusions of the theoretical approach for the proper functioning of the </w:t>
      </w:r>
      <w:r w:rsidR="00E242A0">
        <w:rPr>
          <w:rFonts w:ascii="Times New Roman" w:hAnsi="Times New Roman" w:cs="Times New Roman"/>
          <w:sz w:val="24"/>
          <w:szCs w:val="24"/>
          <w:lang w:val="en-US"/>
        </w:rPr>
        <w:t>forex</w:t>
      </w:r>
      <w:r w:rsidR="0026008D" w:rsidRPr="0026008D">
        <w:rPr>
          <w:rFonts w:ascii="Times New Roman" w:hAnsi="Times New Roman" w:cs="Times New Roman"/>
          <w:sz w:val="24"/>
          <w:szCs w:val="24"/>
          <w:lang w:val="en-US"/>
        </w:rPr>
        <w:t xml:space="preserve"> under a flexible exchange rate regime) of the exchange regulations in force in countries more or less comparable in Morocco (</w:t>
      </w:r>
      <w:r w:rsidR="00E242A0">
        <w:rPr>
          <w:rFonts w:ascii="Times New Roman" w:hAnsi="Times New Roman" w:cs="Times New Roman"/>
          <w:sz w:val="24"/>
          <w:szCs w:val="24"/>
          <w:lang w:val="en-US"/>
        </w:rPr>
        <w:t>Tunisia</w:t>
      </w:r>
      <w:r w:rsidR="0026008D" w:rsidRPr="0026008D">
        <w:rPr>
          <w:rFonts w:ascii="Times New Roman" w:hAnsi="Times New Roman" w:cs="Times New Roman"/>
          <w:sz w:val="24"/>
          <w:szCs w:val="24"/>
          <w:lang w:val="en-US"/>
        </w:rPr>
        <w:t xml:space="preserve">, South Africa, India, Ukraine, Indonesia and Thailand) have adopted </w:t>
      </w:r>
      <w:r w:rsidR="00E242A0">
        <w:rPr>
          <w:rFonts w:ascii="Times New Roman" w:hAnsi="Times New Roman" w:cs="Times New Roman"/>
          <w:sz w:val="24"/>
          <w:szCs w:val="24"/>
          <w:lang w:val="en-US"/>
        </w:rPr>
        <w:t xml:space="preserve">a </w:t>
      </w:r>
      <w:r w:rsidR="0026008D" w:rsidRPr="0026008D">
        <w:rPr>
          <w:rFonts w:ascii="Times New Roman" w:hAnsi="Times New Roman" w:cs="Times New Roman"/>
          <w:sz w:val="24"/>
          <w:szCs w:val="24"/>
          <w:lang w:val="en-US"/>
        </w:rPr>
        <w:t>f</w:t>
      </w:r>
      <w:r w:rsidR="00E242A0">
        <w:rPr>
          <w:rFonts w:ascii="Times New Roman" w:hAnsi="Times New Roman" w:cs="Times New Roman"/>
          <w:sz w:val="24"/>
          <w:szCs w:val="24"/>
          <w:lang w:val="en-US"/>
        </w:rPr>
        <w:t>lexible exchange rate regimes</w:t>
      </w:r>
      <w:r w:rsidR="0026008D" w:rsidRPr="0026008D">
        <w:rPr>
          <w:rFonts w:ascii="Times New Roman" w:hAnsi="Times New Roman" w:cs="Times New Roman"/>
          <w:sz w:val="24"/>
          <w:szCs w:val="24"/>
          <w:lang w:val="en-US"/>
        </w:rPr>
        <w:t>.</w:t>
      </w:r>
    </w:p>
    <w:p w:rsidR="00E242A0" w:rsidRDefault="00E242A0" w:rsidP="00260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E242A0">
        <w:rPr>
          <w:rFonts w:ascii="Times New Roman" w:hAnsi="Times New Roman" w:cs="Times New Roman"/>
          <w:sz w:val="24"/>
          <w:szCs w:val="24"/>
          <w:lang w:val="en-US"/>
        </w:rPr>
        <w:t xml:space="preserve">This observation will </w:t>
      </w:r>
      <w:r>
        <w:rPr>
          <w:rFonts w:ascii="Times New Roman" w:hAnsi="Times New Roman" w:cs="Times New Roman"/>
          <w:sz w:val="24"/>
          <w:szCs w:val="24"/>
          <w:lang w:val="en-US"/>
        </w:rPr>
        <w:t>allow</w:t>
      </w:r>
      <w:r w:rsidRPr="00E242A0">
        <w:rPr>
          <w:rFonts w:ascii="Times New Roman" w:hAnsi="Times New Roman" w:cs="Times New Roman"/>
          <w:sz w:val="24"/>
          <w:szCs w:val="24"/>
          <w:lang w:val="en-US"/>
        </w:rPr>
        <w:t xml:space="preserve"> a comparison between the existing exchange regulations in these countries and those in force in Morocco and will </w:t>
      </w:r>
      <w:r w:rsidR="001B1A39">
        <w:rPr>
          <w:rFonts w:ascii="Times New Roman" w:hAnsi="Times New Roman" w:cs="Times New Roman"/>
          <w:sz w:val="24"/>
          <w:szCs w:val="24"/>
          <w:lang w:val="en-US"/>
        </w:rPr>
        <w:t xml:space="preserve">permit </w:t>
      </w:r>
      <w:r w:rsidRPr="00E242A0">
        <w:rPr>
          <w:rFonts w:ascii="Times New Roman" w:hAnsi="Times New Roman" w:cs="Times New Roman"/>
          <w:sz w:val="24"/>
          <w:szCs w:val="24"/>
          <w:lang w:val="en-US"/>
        </w:rPr>
        <w:t xml:space="preserve">for this purpose, to assess the compatibility of the current framework </w:t>
      </w:r>
      <w:r w:rsidR="001B1A39">
        <w:rPr>
          <w:rFonts w:ascii="Times New Roman" w:hAnsi="Times New Roman" w:cs="Times New Roman"/>
          <w:sz w:val="24"/>
          <w:szCs w:val="24"/>
          <w:lang w:val="en-US"/>
        </w:rPr>
        <w:t>of the</w:t>
      </w:r>
      <w:r w:rsidRPr="00E242A0">
        <w:rPr>
          <w:rFonts w:ascii="Times New Roman" w:hAnsi="Times New Roman" w:cs="Times New Roman"/>
          <w:sz w:val="24"/>
          <w:szCs w:val="24"/>
          <w:lang w:val="en-US"/>
        </w:rPr>
        <w:t xml:space="preserve"> </w:t>
      </w:r>
      <w:r w:rsidR="001B1A39" w:rsidRPr="00E242A0">
        <w:rPr>
          <w:rFonts w:ascii="Times New Roman" w:hAnsi="Times New Roman" w:cs="Times New Roman"/>
          <w:sz w:val="24"/>
          <w:szCs w:val="24"/>
          <w:lang w:val="en-US"/>
        </w:rPr>
        <w:t xml:space="preserve">exchange </w:t>
      </w:r>
      <w:r w:rsidRPr="00E242A0">
        <w:rPr>
          <w:rFonts w:ascii="Times New Roman" w:hAnsi="Times New Roman" w:cs="Times New Roman"/>
          <w:sz w:val="24"/>
          <w:szCs w:val="24"/>
          <w:lang w:val="en-US"/>
        </w:rPr>
        <w:t>regulati</w:t>
      </w:r>
      <w:r w:rsidR="001B1A39">
        <w:rPr>
          <w:rFonts w:ascii="Times New Roman" w:hAnsi="Times New Roman" w:cs="Times New Roman"/>
          <w:sz w:val="24"/>
          <w:szCs w:val="24"/>
          <w:lang w:val="en-US"/>
        </w:rPr>
        <w:t>o</w:t>
      </w:r>
      <w:r w:rsidRPr="00E242A0">
        <w:rPr>
          <w:rFonts w:ascii="Times New Roman" w:hAnsi="Times New Roman" w:cs="Times New Roman"/>
          <w:sz w:val="24"/>
          <w:szCs w:val="24"/>
          <w:lang w:val="en-US"/>
        </w:rPr>
        <w:t xml:space="preserve">n </w:t>
      </w:r>
      <w:r w:rsidR="001B1A39">
        <w:rPr>
          <w:rFonts w:ascii="Times New Roman" w:hAnsi="Times New Roman" w:cs="Times New Roman"/>
          <w:sz w:val="24"/>
          <w:szCs w:val="24"/>
          <w:lang w:val="en-US"/>
        </w:rPr>
        <w:t>in</w:t>
      </w:r>
      <w:r w:rsidRPr="00E242A0">
        <w:rPr>
          <w:rFonts w:ascii="Times New Roman" w:hAnsi="Times New Roman" w:cs="Times New Roman"/>
          <w:sz w:val="24"/>
          <w:szCs w:val="24"/>
          <w:lang w:val="en-US"/>
        </w:rPr>
        <w:t xml:space="preserve"> Morocco </w:t>
      </w:r>
      <w:r w:rsidR="001B1A39" w:rsidRPr="00E242A0">
        <w:rPr>
          <w:rFonts w:ascii="Times New Roman" w:hAnsi="Times New Roman" w:cs="Times New Roman"/>
          <w:sz w:val="24"/>
          <w:szCs w:val="24"/>
          <w:lang w:val="en-US"/>
        </w:rPr>
        <w:t xml:space="preserve">with </w:t>
      </w:r>
      <w:r w:rsidRPr="00E242A0">
        <w:rPr>
          <w:rFonts w:ascii="Times New Roman" w:hAnsi="Times New Roman" w:cs="Times New Roman"/>
          <w:sz w:val="24"/>
          <w:szCs w:val="24"/>
          <w:lang w:val="en-US"/>
        </w:rPr>
        <w:t xml:space="preserve">more </w:t>
      </w:r>
      <w:r w:rsidRPr="00E242A0">
        <w:rPr>
          <w:rFonts w:ascii="Times New Roman" w:hAnsi="Times New Roman" w:cs="Times New Roman"/>
          <w:sz w:val="24"/>
          <w:szCs w:val="24"/>
          <w:lang w:val="en-US"/>
        </w:rPr>
        <w:lastRenderedPageBreak/>
        <w:t xml:space="preserve">flexible exchange rate </w:t>
      </w:r>
      <w:r w:rsidR="001B1A39">
        <w:rPr>
          <w:rFonts w:ascii="Times New Roman" w:hAnsi="Times New Roman" w:cs="Times New Roman"/>
          <w:sz w:val="24"/>
          <w:szCs w:val="24"/>
          <w:lang w:val="en-US"/>
        </w:rPr>
        <w:t>regime</w:t>
      </w:r>
      <w:r w:rsidRPr="00E242A0">
        <w:rPr>
          <w:rFonts w:ascii="Times New Roman" w:hAnsi="Times New Roman" w:cs="Times New Roman"/>
          <w:sz w:val="24"/>
          <w:szCs w:val="24"/>
          <w:lang w:val="en-US"/>
        </w:rPr>
        <w:t xml:space="preserve"> and possibly</w:t>
      </w:r>
      <w:r w:rsidR="001B1A39">
        <w:rPr>
          <w:rFonts w:ascii="Times New Roman" w:hAnsi="Times New Roman" w:cs="Times New Roman"/>
          <w:sz w:val="24"/>
          <w:szCs w:val="24"/>
          <w:lang w:val="en-US"/>
        </w:rPr>
        <w:t xml:space="preserve"> suggest</w:t>
      </w:r>
      <w:r w:rsidRPr="00E242A0">
        <w:rPr>
          <w:rFonts w:ascii="Times New Roman" w:hAnsi="Times New Roman" w:cs="Times New Roman"/>
          <w:sz w:val="24"/>
          <w:szCs w:val="24"/>
          <w:lang w:val="en-US"/>
        </w:rPr>
        <w:t xml:space="preserve"> </w:t>
      </w:r>
      <w:r w:rsidR="001B1A39">
        <w:rPr>
          <w:rFonts w:ascii="Times New Roman" w:hAnsi="Times New Roman" w:cs="Times New Roman"/>
          <w:sz w:val="24"/>
          <w:szCs w:val="24"/>
          <w:lang w:val="en-US"/>
        </w:rPr>
        <w:t xml:space="preserve">a </w:t>
      </w:r>
      <w:r w:rsidRPr="00E242A0">
        <w:rPr>
          <w:rFonts w:ascii="Times New Roman" w:hAnsi="Times New Roman" w:cs="Times New Roman"/>
          <w:sz w:val="24"/>
          <w:szCs w:val="24"/>
          <w:lang w:val="en-US"/>
        </w:rPr>
        <w:t>new measures in exchange</w:t>
      </w:r>
      <w:r w:rsidR="001B1A39">
        <w:rPr>
          <w:rFonts w:ascii="Times New Roman" w:hAnsi="Times New Roman" w:cs="Times New Roman"/>
          <w:sz w:val="24"/>
          <w:szCs w:val="24"/>
          <w:lang w:val="en-US"/>
        </w:rPr>
        <w:t xml:space="preserve"> policy which</w:t>
      </w:r>
      <w:r w:rsidRPr="00E242A0">
        <w:rPr>
          <w:rFonts w:ascii="Times New Roman" w:hAnsi="Times New Roman" w:cs="Times New Roman"/>
          <w:sz w:val="24"/>
          <w:szCs w:val="24"/>
          <w:lang w:val="en-US"/>
        </w:rPr>
        <w:t xml:space="preserve"> could better support </w:t>
      </w:r>
      <w:r w:rsidR="001B1A39">
        <w:rPr>
          <w:rFonts w:ascii="Times New Roman" w:hAnsi="Times New Roman" w:cs="Times New Roman"/>
          <w:sz w:val="24"/>
          <w:szCs w:val="24"/>
          <w:lang w:val="en-US"/>
        </w:rPr>
        <w:t>the</w:t>
      </w:r>
      <w:r w:rsidRPr="00E242A0">
        <w:rPr>
          <w:rFonts w:ascii="Times New Roman" w:hAnsi="Times New Roman" w:cs="Times New Roman"/>
          <w:sz w:val="24"/>
          <w:szCs w:val="24"/>
          <w:lang w:val="en-US"/>
        </w:rPr>
        <w:t xml:space="preserve"> exchange rate </w:t>
      </w:r>
      <w:r w:rsidR="001B1A39">
        <w:rPr>
          <w:rFonts w:ascii="Times New Roman" w:hAnsi="Times New Roman" w:cs="Times New Roman"/>
          <w:sz w:val="24"/>
          <w:szCs w:val="24"/>
          <w:lang w:val="en-US"/>
        </w:rPr>
        <w:t>regime</w:t>
      </w:r>
      <w:r>
        <w:rPr>
          <w:rFonts w:ascii="Times New Roman" w:hAnsi="Times New Roman" w:cs="Times New Roman"/>
          <w:sz w:val="24"/>
          <w:szCs w:val="24"/>
          <w:lang w:val="en-US"/>
        </w:rPr>
        <w:t>.</w:t>
      </w:r>
    </w:p>
    <w:p w:rsidR="00143B09" w:rsidRPr="0026008D" w:rsidRDefault="00143B09" w:rsidP="00D9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ara" w:eastAsia="Times New Roman" w:hAnsi="gara" w:cstheme="majorBidi"/>
          <w:b/>
          <w:sz w:val="20"/>
          <w:szCs w:val="32"/>
          <w:u w:val="single"/>
          <w:lang w:val="en-US" w:eastAsia="fr-FR"/>
        </w:rPr>
      </w:pPr>
    </w:p>
    <w:p w:rsidR="00392271" w:rsidRPr="00B552A8" w:rsidRDefault="00392271" w:rsidP="00B55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32"/>
          <w:u w:val="single"/>
          <w:lang w:val="en-US" w:eastAsia="fr-FR"/>
        </w:rPr>
      </w:pPr>
      <w:r w:rsidRPr="00B552A8">
        <w:rPr>
          <w:rFonts w:ascii="Times New Roman" w:eastAsia="Times New Roman" w:hAnsi="Times New Roman" w:cs="Times New Roman"/>
          <w:b/>
          <w:sz w:val="24"/>
          <w:szCs w:val="32"/>
          <w:u w:val="single"/>
          <w:lang w:val="en-US" w:eastAsia="fr-FR"/>
        </w:rPr>
        <w:t>II-/ Exchange regulations framework accompanying the introduction of a flexible exchange rate regime</w:t>
      </w:r>
    </w:p>
    <w:p w:rsidR="00392271" w:rsidRPr="009F7E9F" w:rsidRDefault="00392271" w:rsidP="00D9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ara" w:eastAsia="Times New Roman" w:hAnsi="gara" w:cstheme="majorBidi"/>
          <w:b/>
          <w:sz w:val="20"/>
          <w:szCs w:val="32"/>
          <w:u w:val="single"/>
          <w:lang w:val="en-US" w:eastAsia="fr-FR"/>
        </w:rPr>
      </w:pPr>
    </w:p>
    <w:p w:rsidR="00392271" w:rsidRDefault="00392271" w:rsidP="00392271">
      <w:pPr>
        <w:pStyle w:val="PrformatHTML"/>
        <w:shd w:val="clear" w:color="auto" w:fill="FFFFFF"/>
        <w:spacing w:after="240"/>
        <w:jc w:val="both"/>
        <w:rPr>
          <w:rFonts w:ascii="Times New Roman" w:eastAsiaTheme="minorHAnsi" w:hAnsi="Times New Roman" w:cs="Times New Roman"/>
          <w:sz w:val="24"/>
          <w:szCs w:val="24"/>
          <w:lang w:val="en-US" w:eastAsia="en-US"/>
        </w:rPr>
      </w:pPr>
      <w:r w:rsidRPr="00392271">
        <w:rPr>
          <w:rFonts w:ascii="Times New Roman" w:eastAsiaTheme="minorHAnsi" w:hAnsi="Times New Roman" w:cs="Times New Roman"/>
          <w:sz w:val="24"/>
          <w:szCs w:val="24"/>
          <w:lang w:val="en-US" w:eastAsia="en-US"/>
        </w:rPr>
        <w:t>The framework of the exchange regulations accompanying the introduction of a flexible exchange rate regime can be derived from an indirect way of economic literature (IMF research papers) on the subject</w:t>
      </w:r>
      <w:r>
        <w:rPr>
          <w:rFonts w:ascii="Times New Roman" w:eastAsiaTheme="minorHAnsi" w:hAnsi="Times New Roman" w:cs="Times New Roman"/>
          <w:sz w:val="24"/>
          <w:szCs w:val="24"/>
          <w:lang w:val="en-US" w:eastAsia="en-US"/>
        </w:rPr>
        <w:t xml:space="preserve"> of</w:t>
      </w:r>
      <w:r w:rsidRPr="00392271">
        <w:rPr>
          <w:rFonts w:ascii="Times New Roman" w:eastAsiaTheme="minorHAnsi" w:hAnsi="Times New Roman" w:cs="Times New Roman"/>
          <w:sz w:val="24"/>
          <w:szCs w:val="24"/>
          <w:lang w:val="en-US" w:eastAsia="en-US"/>
        </w:rPr>
        <w:t xml:space="preserve"> the success conditions of a flexible exchange rate regime.</w:t>
      </w:r>
    </w:p>
    <w:p w:rsidR="00392271" w:rsidRDefault="00392271" w:rsidP="00707001">
      <w:pPr>
        <w:pStyle w:val="PrformatHTML"/>
        <w:shd w:val="clear" w:color="auto" w:fill="FFFFFF"/>
        <w:spacing w:after="240"/>
        <w:jc w:val="both"/>
        <w:rPr>
          <w:rFonts w:ascii="Times New Roman" w:eastAsiaTheme="minorHAnsi" w:hAnsi="Times New Roman" w:cs="Times New Roman"/>
          <w:sz w:val="24"/>
          <w:szCs w:val="24"/>
          <w:lang w:val="en-US" w:eastAsia="en-US"/>
        </w:rPr>
      </w:pPr>
      <w:r w:rsidRPr="00392271">
        <w:rPr>
          <w:rFonts w:ascii="Times New Roman" w:eastAsiaTheme="minorHAnsi" w:hAnsi="Times New Roman" w:cs="Times New Roman"/>
          <w:sz w:val="24"/>
          <w:szCs w:val="24"/>
          <w:lang w:val="en-US" w:eastAsia="en-US"/>
        </w:rPr>
        <w:t>These conditions include- in addition to the strategic elements</w:t>
      </w:r>
      <w:r w:rsidR="00707001">
        <w:rPr>
          <w:rStyle w:val="Appelnotedebasdep"/>
          <w:rFonts w:ascii="Times New Roman" w:eastAsiaTheme="minorHAnsi" w:hAnsi="Times New Roman" w:cs="Times New Roman"/>
          <w:sz w:val="24"/>
          <w:szCs w:val="24"/>
          <w:lang w:val="en-US" w:eastAsia="en-US"/>
        </w:rPr>
        <w:footnoteReference w:id="11"/>
      </w:r>
      <w:r w:rsidRPr="00392271">
        <w:rPr>
          <w:rFonts w:ascii="Times New Roman" w:eastAsiaTheme="minorHAnsi" w:hAnsi="Times New Roman" w:cs="Times New Roman"/>
          <w:sz w:val="24"/>
          <w:szCs w:val="24"/>
          <w:lang w:val="en-US" w:eastAsia="en-US"/>
        </w:rPr>
        <w:t xml:space="preserve"> (structural economic factors determining the adoption of a flexible exchange rate regime) - operational elements considered necessary for the establishment of a market for deep and efficient exchange qualities constituting factors / ingredients necessary for a proper functioning of the foreign </w:t>
      </w:r>
      <w:r w:rsidR="00E242A0">
        <w:rPr>
          <w:rFonts w:ascii="Times New Roman" w:eastAsiaTheme="minorHAnsi" w:hAnsi="Times New Roman" w:cs="Times New Roman"/>
          <w:sz w:val="24"/>
          <w:szCs w:val="24"/>
          <w:lang w:val="en-US" w:eastAsia="en-US"/>
        </w:rPr>
        <w:t>forex</w:t>
      </w:r>
      <w:r w:rsidR="00707001">
        <w:rPr>
          <w:rStyle w:val="Appelnotedebasdep"/>
          <w:rFonts w:ascii="Times New Roman" w:eastAsiaTheme="minorHAnsi" w:hAnsi="Times New Roman" w:cs="Times New Roman"/>
          <w:sz w:val="24"/>
          <w:szCs w:val="24"/>
          <w:lang w:val="en-US" w:eastAsia="en-US"/>
        </w:rPr>
        <w:footnoteReference w:id="12"/>
      </w:r>
      <w:r w:rsidR="00707001">
        <w:rPr>
          <w:rFonts w:ascii="Times New Roman" w:eastAsiaTheme="minorHAnsi" w:hAnsi="Times New Roman" w:cs="Times New Roman"/>
          <w:sz w:val="24"/>
          <w:szCs w:val="24"/>
          <w:lang w:val="en-US" w:eastAsia="en-US"/>
        </w:rPr>
        <w:t>.</w:t>
      </w:r>
    </w:p>
    <w:p w:rsidR="00707001" w:rsidRDefault="00707001" w:rsidP="00340A25">
      <w:pPr>
        <w:pStyle w:val="PrformatHTML"/>
        <w:shd w:val="clear" w:color="auto" w:fill="FFFFFF"/>
        <w:spacing w:after="240"/>
        <w:jc w:val="both"/>
        <w:rPr>
          <w:rFonts w:ascii="Times New Roman" w:eastAsiaTheme="minorHAnsi" w:hAnsi="Times New Roman" w:cs="Times New Roman"/>
          <w:sz w:val="24"/>
          <w:szCs w:val="24"/>
          <w:lang w:val="en-US" w:eastAsia="en-US"/>
        </w:rPr>
      </w:pPr>
      <w:r w:rsidRPr="00707001">
        <w:rPr>
          <w:rFonts w:ascii="Times New Roman" w:eastAsiaTheme="minorHAnsi" w:hAnsi="Times New Roman" w:cs="Times New Roman"/>
          <w:sz w:val="24"/>
          <w:szCs w:val="24"/>
          <w:lang w:val="en-US" w:eastAsia="en-US"/>
        </w:rPr>
        <w:t xml:space="preserve">The </w:t>
      </w:r>
      <w:r w:rsidR="00340A25" w:rsidRPr="00707001">
        <w:rPr>
          <w:rFonts w:ascii="Times New Roman" w:eastAsiaTheme="minorHAnsi" w:hAnsi="Times New Roman" w:cs="Times New Roman"/>
          <w:sz w:val="24"/>
          <w:szCs w:val="24"/>
          <w:lang w:val="en-US" w:eastAsia="en-US"/>
        </w:rPr>
        <w:t xml:space="preserve">operational </w:t>
      </w:r>
      <w:r w:rsidRPr="00707001">
        <w:rPr>
          <w:rFonts w:ascii="Times New Roman" w:eastAsiaTheme="minorHAnsi" w:hAnsi="Times New Roman" w:cs="Times New Roman"/>
          <w:sz w:val="24"/>
          <w:szCs w:val="24"/>
          <w:lang w:val="en-US" w:eastAsia="en-US"/>
        </w:rPr>
        <w:t>conditions include a set of elements such as a sufficient number of players on the market, powerful technological infrastructure, a developed money market and a</w:t>
      </w:r>
      <w:r w:rsidR="00340A25">
        <w:rPr>
          <w:rFonts w:ascii="Times New Roman" w:eastAsiaTheme="minorHAnsi" w:hAnsi="Times New Roman" w:cs="Times New Roman"/>
          <w:sz w:val="24"/>
          <w:szCs w:val="24"/>
          <w:lang w:val="en-US" w:eastAsia="en-US"/>
        </w:rPr>
        <w:t xml:space="preserve">n </w:t>
      </w:r>
      <w:r w:rsidR="00340A25" w:rsidRPr="00707001">
        <w:rPr>
          <w:rFonts w:ascii="Times New Roman" w:eastAsiaTheme="minorHAnsi" w:hAnsi="Times New Roman" w:cs="Times New Roman"/>
          <w:sz w:val="24"/>
          <w:szCs w:val="24"/>
          <w:lang w:val="en-US" w:eastAsia="en-US"/>
        </w:rPr>
        <w:t>appropriate exchange contro</w:t>
      </w:r>
      <w:r w:rsidR="00340A25">
        <w:rPr>
          <w:rFonts w:ascii="Times New Roman" w:eastAsiaTheme="minorHAnsi" w:hAnsi="Times New Roman" w:cs="Times New Roman"/>
          <w:sz w:val="24"/>
          <w:szCs w:val="24"/>
          <w:lang w:val="en-US" w:eastAsia="en-US"/>
        </w:rPr>
        <w:t xml:space="preserve">l </w:t>
      </w:r>
      <w:r w:rsidRPr="00707001">
        <w:rPr>
          <w:rFonts w:ascii="Times New Roman" w:eastAsiaTheme="minorHAnsi" w:hAnsi="Times New Roman" w:cs="Times New Roman"/>
          <w:sz w:val="24"/>
          <w:szCs w:val="24"/>
          <w:lang w:val="en-US" w:eastAsia="en-US"/>
        </w:rPr>
        <w:t>framework.</w:t>
      </w:r>
    </w:p>
    <w:p w:rsidR="00340A25" w:rsidRDefault="00340A25" w:rsidP="00A10C82">
      <w:pPr>
        <w:pStyle w:val="PrformatHTML"/>
        <w:shd w:val="clear" w:color="auto" w:fill="FFFFFF"/>
        <w:spacing w:after="240"/>
        <w:jc w:val="both"/>
        <w:rPr>
          <w:rFonts w:ascii="Times New Roman" w:eastAsiaTheme="minorHAnsi" w:hAnsi="Times New Roman" w:cs="Times New Roman"/>
          <w:sz w:val="24"/>
          <w:szCs w:val="24"/>
          <w:lang w:val="en-US" w:eastAsia="en-US"/>
        </w:rPr>
      </w:pPr>
      <w:r w:rsidRPr="00340A25">
        <w:rPr>
          <w:rFonts w:ascii="Times New Roman" w:eastAsiaTheme="minorHAnsi" w:hAnsi="Times New Roman" w:cs="Times New Roman"/>
          <w:sz w:val="24"/>
          <w:szCs w:val="24"/>
          <w:lang w:val="en-US" w:eastAsia="en-US"/>
        </w:rPr>
        <w:t xml:space="preserve">These operational elements can be distinguished according to their impact on the two above mentioned qualities (which are considered necessary for proper functioning of the foreign </w:t>
      </w:r>
      <w:r w:rsidR="00E242A0">
        <w:rPr>
          <w:rFonts w:ascii="Times New Roman" w:eastAsiaTheme="minorHAnsi" w:hAnsi="Times New Roman" w:cs="Times New Roman"/>
          <w:sz w:val="24"/>
          <w:szCs w:val="24"/>
          <w:lang w:val="en-US" w:eastAsia="en-US"/>
        </w:rPr>
        <w:t>forex</w:t>
      </w:r>
      <w:r w:rsidRPr="00340A25">
        <w:rPr>
          <w:rFonts w:ascii="Times New Roman" w:eastAsiaTheme="minorHAnsi" w:hAnsi="Times New Roman" w:cs="Times New Roman"/>
          <w:sz w:val="24"/>
          <w:szCs w:val="24"/>
          <w:lang w:val="en-US" w:eastAsia="en-US"/>
        </w:rPr>
        <w:t xml:space="preserve">) i.e. the depth and efficiency of the foreign </w:t>
      </w:r>
      <w:r w:rsidR="00E242A0">
        <w:rPr>
          <w:rFonts w:ascii="Times New Roman" w:eastAsiaTheme="minorHAnsi" w:hAnsi="Times New Roman" w:cs="Times New Roman"/>
          <w:sz w:val="24"/>
          <w:szCs w:val="24"/>
          <w:lang w:val="en-US" w:eastAsia="en-US"/>
        </w:rPr>
        <w:t>forex</w:t>
      </w:r>
      <w:r w:rsidRPr="00340A25">
        <w:rPr>
          <w:rFonts w:ascii="Times New Roman" w:eastAsiaTheme="minorHAnsi" w:hAnsi="Times New Roman" w:cs="Times New Roman"/>
          <w:sz w:val="24"/>
          <w:szCs w:val="24"/>
          <w:lang w:val="en-US" w:eastAsia="en-US"/>
        </w:rPr>
        <w:t>.</w:t>
      </w:r>
    </w:p>
    <w:p w:rsidR="00A10C82" w:rsidRPr="00B552A8" w:rsidRDefault="0033380C" w:rsidP="009F7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32"/>
          <w:u w:val="single"/>
          <w:lang w:val="en-US"/>
        </w:rPr>
      </w:pPr>
      <w:r>
        <w:rPr>
          <w:rFonts w:ascii="Times New Roman" w:hAnsi="Times New Roman" w:cs="Times New Roman"/>
          <w:b/>
          <w:sz w:val="24"/>
          <w:szCs w:val="32"/>
          <w:u w:val="single"/>
          <w:lang w:val="en-US"/>
        </w:rPr>
        <w:t>II-1</w:t>
      </w:r>
      <w:r w:rsidR="00A10C82" w:rsidRPr="00B552A8">
        <w:rPr>
          <w:rFonts w:ascii="Times New Roman" w:hAnsi="Times New Roman" w:cs="Times New Roman"/>
          <w:b/>
          <w:sz w:val="24"/>
          <w:szCs w:val="32"/>
          <w:u w:val="single"/>
          <w:lang w:val="en-US"/>
        </w:rPr>
        <w:t xml:space="preserve">/ Necessary Conditions for the depth of the foreign </w:t>
      </w:r>
      <w:r w:rsidR="00E242A0">
        <w:rPr>
          <w:rFonts w:ascii="Times New Roman" w:hAnsi="Times New Roman" w:cs="Times New Roman"/>
          <w:b/>
          <w:sz w:val="24"/>
          <w:szCs w:val="32"/>
          <w:u w:val="single"/>
          <w:lang w:val="en-US"/>
        </w:rPr>
        <w:t>forex</w:t>
      </w:r>
    </w:p>
    <w:p w:rsidR="00A10C82" w:rsidRPr="00A10C82" w:rsidRDefault="00A10C82" w:rsidP="004E0389">
      <w:pPr>
        <w:pStyle w:val="PrformatHTML"/>
        <w:shd w:val="clear" w:color="auto" w:fill="FFFFFF"/>
        <w:spacing w:after="240" w:line="276" w:lineRule="auto"/>
        <w:jc w:val="both"/>
        <w:rPr>
          <w:rFonts w:ascii="Times New Roman" w:eastAsiaTheme="minorHAnsi" w:hAnsi="Times New Roman" w:cs="Times New Roman"/>
          <w:sz w:val="24"/>
          <w:szCs w:val="24"/>
          <w:lang w:val="en-US" w:eastAsia="en-US"/>
        </w:rPr>
      </w:pPr>
      <w:r w:rsidRPr="00A10C82">
        <w:rPr>
          <w:rFonts w:ascii="Times New Roman" w:eastAsiaTheme="minorHAnsi" w:hAnsi="Times New Roman" w:cs="Times New Roman"/>
          <w:sz w:val="24"/>
          <w:szCs w:val="24"/>
          <w:lang w:val="en-US" w:eastAsia="en-US"/>
        </w:rPr>
        <w:t xml:space="preserve">The depth of the foreign </w:t>
      </w:r>
      <w:r w:rsidR="00E242A0">
        <w:rPr>
          <w:rFonts w:ascii="Times New Roman" w:eastAsiaTheme="minorHAnsi" w:hAnsi="Times New Roman" w:cs="Times New Roman"/>
          <w:sz w:val="24"/>
          <w:szCs w:val="24"/>
          <w:lang w:val="en-US" w:eastAsia="en-US"/>
        </w:rPr>
        <w:t>forex</w:t>
      </w:r>
      <w:r w:rsidRPr="00A10C82">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designates</w:t>
      </w:r>
      <w:r w:rsidRPr="00A10C82">
        <w:rPr>
          <w:rFonts w:ascii="Times New Roman" w:eastAsiaTheme="minorHAnsi" w:hAnsi="Times New Roman" w:cs="Times New Roman"/>
          <w:sz w:val="24"/>
          <w:szCs w:val="24"/>
          <w:lang w:val="en-US" w:eastAsia="en-US"/>
        </w:rPr>
        <w:t xml:space="preserve"> the degree of liquidity of that market</w:t>
      </w:r>
      <w:r>
        <w:rPr>
          <w:rStyle w:val="Appelnotedebasdep"/>
          <w:rFonts w:ascii="Times New Roman" w:eastAsiaTheme="minorHAnsi" w:hAnsi="Times New Roman" w:cs="Times New Roman"/>
          <w:sz w:val="24"/>
          <w:szCs w:val="24"/>
          <w:lang w:val="en-US" w:eastAsia="en-US"/>
        </w:rPr>
        <w:footnoteReference w:id="13"/>
      </w:r>
      <w:r w:rsidRPr="00A10C82">
        <w:rPr>
          <w:rFonts w:ascii="Times New Roman" w:eastAsiaTheme="minorHAnsi" w:hAnsi="Times New Roman" w:cs="Times New Roman"/>
          <w:sz w:val="24"/>
          <w:szCs w:val="24"/>
          <w:lang w:val="en-US" w:eastAsia="en-US"/>
        </w:rPr>
        <w:t>, which is the degree of importance of the purchase orders and sales in that market</w:t>
      </w:r>
      <w:r w:rsidR="004E0389">
        <w:rPr>
          <w:rStyle w:val="Appelnotedebasdep"/>
          <w:rFonts w:ascii="Times New Roman" w:eastAsiaTheme="minorHAnsi" w:hAnsi="Times New Roman" w:cs="Times New Roman"/>
          <w:sz w:val="24"/>
          <w:szCs w:val="24"/>
          <w:lang w:val="en-US" w:eastAsia="en-US"/>
        </w:rPr>
        <w:footnoteReference w:id="14"/>
      </w:r>
      <w:r>
        <w:rPr>
          <w:rFonts w:ascii="Times New Roman" w:eastAsiaTheme="minorHAnsi" w:hAnsi="Times New Roman" w:cs="Times New Roman"/>
          <w:sz w:val="24"/>
          <w:szCs w:val="24"/>
          <w:lang w:val="en-US" w:eastAsia="en-US"/>
        </w:rPr>
        <w:t>.</w:t>
      </w:r>
    </w:p>
    <w:p w:rsidR="00392271" w:rsidRDefault="004E0389" w:rsidP="004E0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4E0389">
        <w:rPr>
          <w:rFonts w:ascii="Times New Roman" w:hAnsi="Times New Roman" w:cs="Times New Roman"/>
          <w:sz w:val="24"/>
          <w:szCs w:val="24"/>
          <w:lang w:val="en-US"/>
        </w:rPr>
        <w:t xml:space="preserve">The depth </w:t>
      </w:r>
      <w:r>
        <w:rPr>
          <w:rFonts w:ascii="Times New Roman" w:hAnsi="Times New Roman" w:cs="Times New Roman"/>
          <w:sz w:val="24"/>
          <w:szCs w:val="24"/>
          <w:lang w:val="en-US"/>
        </w:rPr>
        <w:t xml:space="preserve">of the </w:t>
      </w:r>
      <w:r w:rsidRPr="004E0389">
        <w:rPr>
          <w:rFonts w:ascii="Times New Roman" w:hAnsi="Times New Roman" w:cs="Times New Roman"/>
          <w:sz w:val="24"/>
          <w:szCs w:val="24"/>
          <w:lang w:val="en-US"/>
        </w:rPr>
        <w:t xml:space="preserve">foreign </w:t>
      </w:r>
      <w:r w:rsidR="00E242A0">
        <w:rPr>
          <w:rFonts w:ascii="Times New Roman" w:hAnsi="Times New Roman" w:cs="Times New Roman"/>
          <w:sz w:val="24"/>
          <w:szCs w:val="24"/>
          <w:lang w:val="en-US"/>
        </w:rPr>
        <w:t>forex</w:t>
      </w:r>
      <w:r w:rsidRPr="004E0389">
        <w:rPr>
          <w:rFonts w:ascii="Times New Roman" w:hAnsi="Times New Roman" w:cs="Times New Roman"/>
          <w:sz w:val="24"/>
          <w:szCs w:val="24"/>
          <w:lang w:val="en-US"/>
        </w:rPr>
        <w:t xml:space="preserve"> is an important criterion for proper operation of </w:t>
      </w:r>
      <w:r>
        <w:rPr>
          <w:rFonts w:ascii="Times New Roman" w:hAnsi="Times New Roman" w:cs="Times New Roman"/>
          <w:sz w:val="24"/>
          <w:szCs w:val="24"/>
          <w:lang w:val="en-US"/>
        </w:rPr>
        <w:t>that</w:t>
      </w:r>
      <w:r w:rsidRPr="004E0389">
        <w:rPr>
          <w:rFonts w:ascii="Times New Roman" w:hAnsi="Times New Roman" w:cs="Times New Roman"/>
          <w:sz w:val="24"/>
          <w:szCs w:val="24"/>
          <w:lang w:val="en-US"/>
        </w:rPr>
        <w:t xml:space="preserve"> market in terms of its virtues in the field, particularly in terms of reducing transaction costs -through the reduction of the spread / gap between the current buyer and seller and minimizing </w:t>
      </w:r>
      <w:r>
        <w:rPr>
          <w:rFonts w:ascii="Times New Roman" w:hAnsi="Times New Roman" w:cs="Times New Roman"/>
          <w:sz w:val="24"/>
          <w:szCs w:val="24"/>
          <w:lang w:val="en-US"/>
        </w:rPr>
        <w:t xml:space="preserve">daily </w:t>
      </w:r>
      <w:r w:rsidRPr="004E0389">
        <w:rPr>
          <w:rFonts w:ascii="Times New Roman" w:hAnsi="Times New Roman" w:cs="Times New Roman"/>
          <w:sz w:val="24"/>
          <w:szCs w:val="24"/>
          <w:lang w:val="en-US"/>
        </w:rPr>
        <w:t>fluctuati</w:t>
      </w:r>
      <w:r>
        <w:rPr>
          <w:rFonts w:ascii="Times New Roman" w:hAnsi="Times New Roman" w:cs="Times New Roman"/>
          <w:sz w:val="24"/>
          <w:szCs w:val="24"/>
          <w:lang w:val="en-US"/>
        </w:rPr>
        <w:t>ons</w:t>
      </w:r>
      <w:r w:rsidRPr="004E0389">
        <w:rPr>
          <w:rFonts w:ascii="Times New Roman" w:hAnsi="Times New Roman" w:cs="Times New Roman"/>
          <w:sz w:val="24"/>
          <w:szCs w:val="24"/>
          <w:lang w:val="en-US"/>
        </w:rPr>
        <w:t>, correcti</w:t>
      </w:r>
      <w:r>
        <w:rPr>
          <w:rFonts w:ascii="Times New Roman" w:hAnsi="Times New Roman" w:cs="Times New Roman"/>
          <w:sz w:val="24"/>
          <w:szCs w:val="24"/>
          <w:lang w:val="en-US"/>
        </w:rPr>
        <w:t>ng imbalances and misalignments</w:t>
      </w:r>
      <w:r w:rsidRPr="004E0389">
        <w:rPr>
          <w:rFonts w:ascii="Times New Roman" w:hAnsi="Times New Roman" w:cs="Times New Roman"/>
          <w:sz w:val="24"/>
          <w:szCs w:val="24"/>
          <w:lang w:val="en-US"/>
        </w:rPr>
        <w:t>, minimizing expectations etc.</w:t>
      </w:r>
    </w:p>
    <w:p w:rsidR="004E0389" w:rsidRDefault="004E0389" w:rsidP="004E0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4E0389">
        <w:rPr>
          <w:rFonts w:ascii="Times New Roman" w:hAnsi="Times New Roman" w:cs="Times New Roman"/>
          <w:sz w:val="24"/>
          <w:szCs w:val="24"/>
          <w:lang w:val="en-US"/>
        </w:rPr>
        <w:t xml:space="preserve">However, the establishment of a deep </w:t>
      </w:r>
      <w:r w:rsidR="00E242A0">
        <w:rPr>
          <w:rFonts w:ascii="Times New Roman" w:hAnsi="Times New Roman" w:cs="Times New Roman"/>
          <w:sz w:val="24"/>
          <w:szCs w:val="24"/>
          <w:lang w:val="en-US"/>
        </w:rPr>
        <w:t>forex</w:t>
      </w:r>
      <w:r w:rsidRPr="004E0389">
        <w:rPr>
          <w:rFonts w:ascii="Times New Roman" w:hAnsi="Times New Roman" w:cs="Times New Roman"/>
          <w:sz w:val="24"/>
          <w:szCs w:val="24"/>
          <w:lang w:val="en-US"/>
        </w:rPr>
        <w:t xml:space="preserve"> requires - in addition to the other elements such restrictions on interbank trading - the elimination of regulati</w:t>
      </w:r>
      <w:r>
        <w:rPr>
          <w:rFonts w:ascii="Times New Roman" w:hAnsi="Times New Roman" w:cs="Times New Roman"/>
          <w:sz w:val="24"/>
          <w:szCs w:val="24"/>
          <w:lang w:val="en-US"/>
        </w:rPr>
        <w:t xml:space="preserve">ons </w:t>
      </w:r>
      <w:r w:rsidR="0014073D" w:rsidRPr="0014073D">
        <w:rPr>
          <w:rFonts w:ascii="Times New Roman" w:hAnsi="Times New Roman" w:cs="Times New Roman"/>
          <w:sz w:val="24"/>
          <w:szCs w:val="24"/>
          <w:lang w:val="en-US"/>
        </w:rPr>
        <w:t xml:space="preserve">suffocating </w:t>
      </w:r>
      <w:r>
        <w:rPr>
          <w:rFonts w:ascii="Times New Roman" w:hAnsi="Times New Roman" w:cs="Times New Roman"/>
          <w:sz w:val="24"/>
          <w:szCs w:val="24"/>
          <w:lang w:val="en-US"/>
        </w:rPr>
        <w:t>market activity</w:t>
      </w:r>
      <w:r w:rsidRPr="004E0389">
        <w:rPr>
          <w:rFonts w:ascii="Times New Roman" w:hAnsi="Times New Roman" w:cs="Times New Roman"/>
          <w:sz w:val="24"/>
          <w:szCs w:val="24"/>
          <w:lang w:val="en-US"/>
        </w:rPr>
        <w:t xml:space="preserve">, including those relating to the following </w:t>
      </w:r>
      <w:r w:rsidR="0014073D">
        <w:rPr>
          <w:rFonts w:ascii="Times New Roman" w:hAnsi="Times New Roman" w:cs="Times New Roman"/>
          <w:sz w:val="24"/>
          <w:szCs w:val="24"/>
          <w:lang w:val="en-US"/>
        </w:rPr>
        <w:t>ex</w:t>
      </w:r>
      <w:r w:rsidRPr="004E0389">
        <w:rPr>
          <w:rFonts w:ascii="Times New Roman" w:hAnsi="Times New Roman" w:cs="Times New Roman"/>
          <w:sz w:val="24"/>
          <w:szCs w:val="24"/>
          <w:lang w:val="en-US"/>
        </w:rPr>
        <w:t>changes</w:t>
      </w:r>
      <w:r w:rsidR="0014073D" w:rsidRPr="004E0389">
        <w:rPr>
          <w:rFonts w:ascii="Times New Roman" w:hAnsi="Times New Roman" w:cs="Times New Roman"/>
          <w:sz w:val="24"/>
          <w:szCs w:val="24"/>
          <w:lang w:val="en-US"/>
        </w:rPr>
        <w:t xml:space="preserve"> regulations</w:t>
      </w:r>
      <w:r w:rsidRPr="004E0389">
        <w:rPr>
          <w:rFonts w:ascii="Times New Roman" w:hAnsi="Times New Roman" w:cs="Times New Roman"/>
          <w:sz w:val="24"/>
          <w:szCs w:val="24"/>
          <w:lang w:val="en-US"/>
        </w:rPr>
        <w:t>:</w:t>
      </w:r>
    </w:p>
    <w:p w:rsidR="0014073D" w:rsidRPr="00C261C4" w:rsidRDefault="00BA0B6B" w:rsidP="00BA0B6B">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BA0B6B">
        <w:rPr>
          <w:rFonts w:asciiTheme="majorBidi" w:eastAsia="Times New Roman" w:hAnsiTheme="majorBidi" w:cstheme="majorBidi"/>
          <w:sz w:val="24"/>
          <w:szCs w:val="24"/>
          <w:lang w:val="en-US" w:eastAsia="fr-FR"/>
        </w:rPr>
        <w:t xml:space="preserve">the relaxation of restrictions on current operations and to some extent those of the capital account to increase the sources and </w:t>
      </w:r>
      <w:r w:rsidR="00C261C4">
        <w:rPr>
          <w:rFonts w:asciiTheme="majorBidi" w:eastAsia="Times New Roman" w:hAnsiTheme="majorBidi" w:cstheme="majorBidi"/>
          <w:sz w:val="24"/>
          <w:szCs w:val="24"/>
          <w:lang w:val="en-US" w:eastAsia="fr-FR"/>
        </w:rPr>
        <w:t xml:space="preserve">the use of </w:t>
      </w:r>
      <w:r w:rsidRPr="00BA0B6B">
        <w:rPr>
          <w:rFonts w:asciiTheme="majorBidi" w:eastAsia="Times New Roman" w:hAnsiTheme="majorBidi" w:cstheme="majorBidi"/>
          <w:sz w:val="24"/>
          <w:szCs w:val="24"/>
          <w:lang w:val="en-US" w:eastAsia="fr-FR"/>
        </w:rPr>
        <w:t>foreign</w:t>
      </w:r>
      <w:r>
        <w:rPr>
          <w:rFonts w:asciiTheme="majorBidi" w:eastAsia="Times New Roman" w:hAnsiTheme="majorBidi" w:cstheme="majorBidi"/>
          <w:sz w:val="24"/>
          <w:szCs w:val="24"/>
          <w:lang w:val="en-US" w:eastAsia="fr-FR"/>
        </w:rPr>
        <w:t xml:space="preserve"> currencies</w:t>
      </w:r>
      <w:r w:rsidRPr="00BA0B6B">
        <w:rPr>
          <w:rFonts w:asciiTheme="majorBidi" w:eastAsia="Times New Roman" w:hAnsiTheme="majorBidi" w:cstheme="majorBidi"/>
          <w:sz w:val="24"/>
          <w:szCs w:val="24"/>
          <w:lang w:val="en-US" w:eastAsia="fr-FR"/>
        </w:rPr>
        <w:t xml:space="preserve"> and also stop the parallel market </w:t>
      </w:r>
      <w:r w:rsidR="00C261C4">
        <w:rPr>
          <w:rFonts w:asciiTheme="majorBidi" w:eastAsia="Times New Roman" w:hAnsiTheme="majorBidi" w:cstheme="majorBidi"/>
          <w:sz w:val="24"/>
          <w:szCs w:val="24"/>
          <w:lang w:val="en-US" w:eastAsia="fr-FR"/>
        </w:rPr>
        <w:t xml:space="preserve">binding the </w:t>
      </w:r>
      <w:r w:rsidR="00E242A0">
        <w:rPr>
          <w:rFonts w:asciiTheme="majorBidi" w:eastAsia="Times New Roman" w:hAnsiTheme="majorBidi" w:cstheme="majorBidi"/>
          <w:sz w:val="24"/>
          <w:szCs w:val="24"/>
          <w:lang w:val="en-US" w:eastAsia="fr-FR"/>
        </w:rPr>
        <w:t>forex</w:t>
      </w:r>
      <w:r w:rsidRPr="00BA0B6B">
        <w:rPr>
          <w:rFonts w:asciiTheme="majorBidi" w:eastAsia="Times New Roman" w:hAnsiTheme="majorBidi" w:cstheme="majorBidi"/>
          <w:sz w:val="24"/>
          <w:szCs w:val="24"/>
          <w:lang w:val="en-US" w:eastAsia="fr-FR"/>
        </w:rPr>
        <w:t>;</w:t>
      </w:r>
    </w:p>
    <w:p w:rsidR="00C261C4" w:rsidRPr="00C261C4" w:rsidRDefault="00C261C4" w:rsidP="00C261C4">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C261C4" w:rsidRDefault="00C261C4" w:rsidP="00C261C4">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C261C4">
        <w:rPr>
          <w:rFonts w:ascii="Times New Roman" w:hAnsi="Times New Roman" w:cs="Times New Roman"/>
          <w:sz w:val="24"/>
          <w:szCs w:val="24"/>
          <w:lang w:val="en-US"/>
        </w:rPr>
        <w:t>relaxation of foreign exchange</w:t>
      </w:r>
      <w:r>
        <w:rPr>
          <w:rFonts w:ascii="Times New Roman" w:hAnsi="Times New Roman" w:cs="Times New Roman"/>
          <w:sz w:val="24"/>
          <w:szCs w:val="24"/>
          <w:lang w:val="en-US"/>
        </w:rPr>
        <w:t xml:space="preserve"> regulations regarding the</w:t>
      </w:r>
      <w:r w:rsidRPr="00C261C4">
        <w:rPr>
          <w:rFonts w:ascii="Times New Roman" w:hAnsi="Times New Roman" w:cs="Times New Roman"/>
          <w:sz w:val="24"/>
          <w:szCs w:val="24"/>
          <w:lang w:val="en-US"/>
        </w:rPr>
        <w:t xml:space="preserve"> surrender requirements to the central bank</w:t>
      </w:r>
      <w:r>
        <w:rPr>
          <w:rFonts w:ascii="Times New Roman" w:hAnsi="Times New Roman" w:cs="Times New Roman"/>
          <w:sz w:val="24"/>
          <w:szCs w:val="24"/>
          <w:lang w:val="en-US"/>
        </w:rPr>
        <w:t>;</w:t>
      </w:r>
    </w:p>
    <w:p w:rsidR="00C261C4" w:rsidRPr="00C261C4" w:rsidRDefault="00C261C4" w:rsidP="00C261C4">
      <w:pPr>
        <w:pStyle w:val="Paragraphedeliste"/>
        <w:rPr>
          <w:rFonts w:ascii="Times New Roman" w:hAnsi="Times New Roman" w:cs="Times New Roman"/>
          <w:sz w:val="24"/>
          <w:szCs w:val="24"/>
          <w:lang w:val="en-US"/>
        </w:rPr>
      </w:pPr>
    </w:p>
    <w:p w:rsidR="00C261C4" w:rsidRDefault="00C261C4" w:rsidP="00C261C4">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C261C4">
        <w:rPr>
          <w:rFonts w:ascii="Times New Roman" w:hAnsi="Times New Roman" w:cs="Times New Roman"/>
          <w:sz w:val="24"/>
          <w:szCs w:val="24"/>
          <w:lang w:val="en-US"/>
        </w:rPr>
        <w:t xml:space="preserve">Liberalization of certain categories of the capital account in the context of compensation transitory </w:t>
      </w:r>
      <w:r>
        <w:rPr>
          <w:rFonts w:ascii="Times New Roman" w:hAnsi="Times New Roman" w:cs="Times New Roman"/>
          <w:sz w:val="24"/>
          <w:szCs w:val="24"/>
          <w:lang w:val="en-US"/>
        </w:rPr>
        <w:t>on the</w:t>
      </w:r>
      <w:r w:rsidR="00B242CD">
        <w:rPr>
          <w:rFonts w:ascii="Times New Roman" w:hAnsi="Times New Roman" w:cs="Times New Roman"/>
          <w:sz w:val="24"/>
          <w:szCs w:val="24"/>
          <w:lang w:val="en-US"/>
        </w:rPr>
        <w:t xml:space="preserve"> current account</w:t>
      </w:r>
      <w:r w:rsidR="00B242CD">
        <w:rPr>
          <w:rStyle w:val="Appelnotedebasdep"/>
          <w:rFonts w:ascii="Times New Roman" w:hAnsi="Times New Roman" w:cs="Times New Roman"/>
          <w:sz w:val="24"/>
          <w:szCs w:val="24"/>
          <w:lang w:val="en-US"/>
        </w:rPr>
        <w:footnoteReference w:id="15"/>
      </w:r>
      <w:r w:rsidR="00B242CD">
        <w:rPr>
          <w:rFonts w:ascii="Times New Roman" w:hAnsi="Times New Roman" w:cs="Times New Roman"/>
          <w:sz w:val="24"/>
          <w:szCs w:val="24"/>
          <w:lang w:val="en-US"/>
        </w:rPr>
        <w:t xml:space="preserve"> </w:t>
      </w:r>
      <w:r w:rsidRPr="00C261C4">
        <w:rPr>
          <w:rFonts w:ascii="Times New Roman" w:hAnsi="Times New Roman" w:cs="Times New Roman"/>
          <w:sz w:val="24"/>
          <w:szCs w:val="24"/>
          <w:lang w:val="en-US"/>
        </w:rPr>
        <w:t>and allow moreover avoid misalignments and / or volatility of the real exchange rate. These categories include transactions on commercial and financial credits</w:t>
      </w:r>
      <w:r>
        <w:rPr>
          <w:rFonts w:ascii="Times New Roman" w:hAnsi="Times New Roman" w:cs="Times New Roman"/>
          <w:sz w:val="24"/>
          <w:szCs w:val="24"/>
          <w:lang w:val="en-US"/>
        </w:rPr>
        <w:t>;</w:t>
      </w:r>
    </w:p>
    <w:p w:rsidR="00C261C4" w:rsidRPr="00C261C4" w:rsidRDefault="00C261C4" w:rsidP="00C261C4">
      <w:pPr>
        <w:pStyle w:val="Paragraphedeliste"/>
        <w:rPr>
          <w:rFonts w:ascii="Times New Roman" w:hAnsi="Times New Roman" w:cs="Times New Roman"/>
          <w:sz w:val="24"/>
          <w:szCs w:val="24"/>
          <w:lang w:val="en-US"/>
        </w:rPr>
      </w:pPr>
    </w:p>
    <w:p w:rsidR="00C261C4" w:rsidRDefault="00B242CD" w:rsidP="00B242CD">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B242CD">
        <w:rPr>
          <w:rFonts w:ascii="Times New Roman" w:hAnsi="Times New Roman" w:cs="Times New Roman"/>
          <w:sz w:val="24"/>
          <w:szCs w:val="24"/>
          <w:lang w:val="en-US"/>
        </w:rPr>
        <w:t xml:space="preserve">However, it is recommended that liberalization is made ​​taking into account the following </w:t>
      </w:r>
      <w:r>
        <w:rPr>
          <w:rFonts w:ascii="Times New Roman" w:hAnsi="Times New Roman" w:cs="Times New Roman"/>
          <w:sz w:val="24"/>
          <w:szCs w:val="24"/>
          <w:lang w:val="en-US"/>
        </w:rPr>
        <w:t>elements</w:t>
      </w:r>
      <w:r w:rsidRPr="00B242CD">
        <w:rPr>
          <w:rFonts w:ascii="Times New Roman" w:hAnsi="Times New Roman" w:cs="Times New Roman"/>
          <w:sz w:val="24"/>
          <w:szCs w:val="24"/>
          <w:lang w:val="en-US"/>
        </w:rPr>
        <w:t>:</w:t>
      </w:r>
    </w:p>
    <w:p w:rsidR="00B242CD" w:rsidRDefault="00B242CD" w:rsidP="00B24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B242CD">
        <w:rPr>
          <w:rFonts w:ascii="Times New Roman" w:hAnsi="Times New Roman" w:cs="Times New Roman"/>
          <w:sz w:val="24"/>
          <w:szCs w:val="24"/>
          <w:lang w:val="en-US"/>
        </w:rPr>
        <w:t xml:space="preserve">The opening of the capital account should be done / not operated asymmetrically to facilitate an orderly resolution of any potential misalignment of </w:t>
      </w:r>
      <w:r>
        <w:rPr>
          <w:rFonts w:ascii="Times New Roman" w:hAnsi="Times New Roman" w:cs="Times New Roman"/>
          <w:sz w:val="24"/>
          <w:szCs w:val="24"/>
          <w:lang w:val="en-US"/>
        </w:rPr>
        <w:t xml:space="preserve">the </w:t>
      </w:r>
      <w:r w:rsidRPr="00B242CD">
        <w:rPr>
          <w:rFonts w:ascii="Times New Roman" w:hAnsi="Times New Roman" w:cs="Times New Roman"/>
          <w:sz w:val="24"/>
          <w:szCs w:val="24"/>
          <w:lang w:val="en-US"/>
        </w:rPr>
        <w:t xml:space="preserve">exchange rates, avoid </w:t>
      </w:r>
      <w:r>
        <w:rPr>
          <w:rFonts w:ascii="Times New Roman" w:hAnsi="Times New Roman" w:cs="Times New Roman"/>
          <w:sz w:val="24"/>
          <w:szCs w:val="24"/>
          <w:lang w:val="en-US"/>
        </w:rPr>
        <w:t xml:space="preserve">default </w:t>
      </w:r>
      <w:r w:rsidRPr="00B242CD">
        <w:rPr>
          <w:rFonts w:ascii="Times New Roman" w:hAnsi="Times New Roman" w:cs="Times New Roman"/>
          <w:sz w:val="24"/>
          <w:szCs w:val="24"/>
          <w:lang w:val="en-US"/>
        </w:rPr>
        <w:t xml:space="preserve">downward pressure or increasing the value of the exchange rate relative to its long-run equilibrium value and to create a sense of the risk of exchange rate in both directions which remains essential to prevent free fall trends sometimes observed in some flexible process of foreign </w:t>
      </w:r>
      <w:r w:rsidR="00E242A0">
        <w:rPr>
          <w:rFonts w:ascii="Times New Roman" w:hAnsi="Times New Roman" w:cs="Times New Roman"/>
          <w:sz w:val="24"/>
          <w:szCs w:val="24"/>
          <w:lang w:val="en-US"/>
        </w:rPr>
        <w:t>forex</w:t>
      </w:r>
      <w:r w:rsidRPr="00B242CD">
        <w:rPr>
          <w:rFonts w:ascii="Times New Roman" w:hAnsi="Times New Roman" w:cs="Times New Roman"/>
          <w:sz w:val="24"/>
          <w:szCs w:val="24"/>
          <w:lang w:val="en-US"/>
        </w:rPr>
        <w:t>s</w:t>
      </w:r>
      <w:r>
        <w:rPr>
          <w:rStyle w:val="Appelnotedebasdep"/>
          <w:rFonts w:ascii="Times New Roman" w:hAnsi="Times New Roman" w:cs="Times New Roman"/>
          <w:sz w:val="24"/>
          <w:szCs w:val="24"/>
          <w:lang w:val="en-US"/>
        </w:rPr>
        <w:footnoteReference w:id="16"/>
      </w:r>
      <w:r w:rsidRPr="00B242CD">
        <w:rPr>
          <w:rFonts w:ascii="Times New Roman" w:hAnsi="Times New Roman" w:cs="Times New Roman"/>
          <w:sz w:val="24"/>
          <w:szCs w:val="24"/>
          <w:lang w:val="en-US"/>
        </w:rPr>
        <w:t>.</w:t>
      </w:r>
    </w:p>
    <w:p w:rsidR="00B242CD" w:rsidRDefault="00B242CD" w:rsidP="00B242CD">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B242CD">
        <w:rPr>
          <w:rFonts w:ascii="Times New Roman" w:hAnsi="Times New Roman" w:cs="Times New Roman"/>
          <w:sz w:val="24"/>
          <w:szCs w:val="24"/>
          <w:lang w:val="en-US"/>
        </w:rPr>
        <w:t xml:space="preserve">The direction and composition of capital account transactions must be well identified in order to avoid the negative macroeconomic effects and </w:t>
      </w:r>
      <w:r>
        <w:rPr>
          <w:rFonts w:ascii="Times New Roman" w:hAnsi="Times New Roman" w:cs="Times New Roman"/>
          <w:sz w:val="24"/>
          <w:szCs w:val="24"/>
          <w:lang w:val="en-US"/>
        </w:rPr>
        <w:t xml:space="preserve">potential </w:t>
      </w:r>
      <w:r w:rsidRPr="00B242CD">
        <w:rPr>
          <w:rFonts w:ascii="Times New Roman" w:hAnsi="Times New Roman" w:cs="Times New Roman"/>
          <w:sz w:val="24"/>
          <w:szCs w:val="24"/>
          <w:lang w:val="en-US"/>
        </w:rPr>
        <w:t>risks</w:t>
      </w:r>
      <w:r>
        <w:rPr>
          <w:rStyle w:val="Appelnotedebasdep"/>
          <w:rFonts w:ascii="Times New Roman" w:hAnsi="Times New Roman" w:cs="Times New Roman"/>
          <w:sz w:val="24"/>
          <w:szCs w:val="24"/>
          <w:lang w:val="en-US"/>
        </w:rPr>
        <w:footnoteReference w:id="17"/>
      </w:r>
      <w:r>
        <w:rPr>
          <w:rFonts w:ascii="Times New Roman" w:hAnsi="Times New Roman" w:cs="Times New Roman"/>
          <w:sz w:val="24"/>
          <w:szCs w:val="24"/>
          <w:lang w:val="en-US"/>
        </w:rPr>
        <w:t>;</w:t>
      </w:r>
    </w:p>
    <w:p w:rsidR="00B242CD" w:rsidRDefault="00B242CD" w:rsidP="00B242CD">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B242CD" w:rsidRDefault="00B242CD" w:rsidP="00B242CD">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B242CD">
        <w:rPr>
          <w:rFonts w:ascii="Times New Roman" w:hAnsi="Times New Roman" w:cs="Times New Roman"/>
          <w:sz w:val="24"/>
          <w:szCs w:val="24"/>
          <w:lang w:val="en-US"/>
        </w:rPr>
        <w:t xml:space="preserve">liberalization of operations for better risk management in general and management of foreign exchange risk in particular for the purpose of improving personal risk management capabilities to support the development of the foreign </w:t>
      </w:r>
      <w:r w:rsidR="00E242A0">
        <w:rPr>
          <w:rFonts w:ascii="Times New Roman" w:hAnsi="Times New Roman" w:cs="Times New Roman"/>
          <w:sz w:val="24"/>
          <w:szCs w:val="24"/>
          <w:lang w:val="en-US"/>
        </w:rPr>
        <w:t>forex</w:t>
      </w:r>
      <w:r>
        <w:rPr>
          <w:rStyle w:val="Appelnotedebasdep"/>
          <w:rFonts w:ascii="Times New Roman" w:hAnsi="Times New Roman" w:cs="Times New Roman"/>
          <w:sz w:val="24"/>
          <w:szCs w:val="24"/>
          <w:lang w:val="en-US"/>
        </w:rPr>
        <w:footnoteReference w:id="18"/>
      </w:r>
      <w:r>
        <w:rPr>
          <w:rFonts w:ascii="Times New Roman" w:hAnsi="Times New Roman" w:cs="Times New Roman"/>
          <w:sz w:val="24"/>
          <w:szCs w:val="24"/>
          <w:lang w:val="en-US"/>
        </w:rPr>
        <w:t>;</w:t>
      </w:r>
    </w:p>
    <w:p w:rsidR="00FA6C25" w:rsidRDefault="00FA6C25" w:rsidP="00FA6C25">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C93073" w:rsidRDefault="00C93073" w:rsidP="00C93073">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C93073">
        <w:rPr>
          <w:rFonts w:ascii="Times New Roman" w:hAnsi="Times New Roman" w:cs="Times New Roman"/>
          <w:sz w:val="24"/>
          <w:szCs w:val="24"/>
          <w:lang w:val="en-US"/>
        </w:rPr>
        <w:t>the elimination of taxes on foreign exchange transactions</w:t>
      </w:r>
    </w:p>
    <w:p w:rsidR="004F3DF4" w:rsidRPr="00B552A8" w:rsidRDefault="004F3DF4" w:rsidP="00D9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6"/>
          <w:szCs w:val="20"/>
          <w:lang w:val="en-US" w:eastAsia="fr-FR"/>
        </w:rPr>
      </w:pPr>
      <w:r w:rsidRPr="00B552A8">
        <w:rPr>
          <w:rFonts w:ascii="Times New Roman" w:eastAsia="Times New Roman" w:hAnsi="Times New Roman" w:cs="Times New Roman"/>
          <w:b/>
          <w:sz w:val="24"/>
          <w:szCs w:val="32"/>
          <w:u w:val="single"/>
          <w:lang w:val="en-US" w:eastAsia="fr-FR"/>
        </w:rPr>
        <w:t xml:space="preserve">II-2/ Conditions Necessary for The efficiency of the </w:t>
      </w:r>
      <w:r w:rsidR="00E242A0">
        <w:rPr>
          <w:rFonts w:ascii="Times New Roman" w:eastAsia="Times New Roman" w:hAnsi="Times New Roman" w:cs="Times New Roman"/>
          <w:b/>
          <w:sz w:val="24"/>
          <w:szCs w:val="32"/>
          <w:u w:val="single"/>
          <w:lang w:val="en-US" w:eastAsia="fr-FR"/>
        </w:rPr>
        <w:t>forex</w:t>
      </w:r>
      <w:r w:rsidRPr="00B552A8">
        <w:rPr>
          <w:rFonts w:ascii="Times New Roman" w:eastAsia="Times New Roman" w:hAnsi="Times New Roman" w:cs="Times New Roman"/>
          <w:b/>
          <w:sz w:val="24"/>
          <w:szCs w:val="32"/>
          <w:u w:val="single"/>
          <w:lang w:val="en-US" w:eastAsia="fr-FR"/>
        </w:rPr>
        <w:t xml:space="preserve"> </w:t>
      </w:r>
    </w:p>
    <w:p w:rsidR="00B552A8" w:rsidRDefault="00B552A8" w:rsidP="00B552A8">
      <w:pPr>
        <w:spacing w:after="0"/>
        <w:jc w:val="both"/>
        <w:rPr>
          <w:rFonts w:ascii="Times New Roman" w:hAnsi="Times New Roman" w:cs="Times New Roman"/>
          <w:sz w:val="24"/>
          <w:szCs w:val="24"/>
          <w:lang w:val="en-US"/>
        </w:rPr>
      </w:pPr>
    </w:p>
    <w:p w:rsidR="004F3DF4" w:rsidRDefault="004F3DF4" w:rsidP="00D93BE3">
      <w:pPr>
        <w:jc w:val="both"/>
        <w:rPr>
          <w:rFonts w:ascii="Times New Roman" w:hAnsi="Times New Roman" w:cs="Times New Roman"/>
          <w:sz w:val="24"/>
          <w:szCs w:val="24"/>
          <w:lang w:val="en-US"/>
        </w:rPr>
      </w:pPr>
      <w:r w:rsidRPr="004F3DF4">
        <w:rPr>
          <w:rFonts w:ascii="Times New Roman" w:hAnsi="Times New Roman" w:cs="Times New Roman"/>
          <w:sz w:val="24"/>
          <w:szCs w:val="24"/>
          <w:lang w:val="en-US"/>
        </w:rPr>
        <w:t xml:space="preserve">The efficiency of the foreign </w:t>
      </w:r>
      <w:r w:rsidR="00E242A0">
        <w:rPr>
          <w:rFonts w:ascii="Times New Roman" w:hAnsi="Times New Roman" w:cs="Times New Roman"/>
          <w:sz w:val="24"/>
          <w:szCs w:val="24"/>
          <w:lang w:val="en-US"/>
        </w:rPr>
        <w:t>forex</w:t>
      </w:r>
      <w:r w:rsidRPr="004F3DF4">
        <w:rPr>
          <w:rFonts w:ascii="Times New Roman" w:hAnsi="Times New Roman" w:cs="Times New Roman"/>
          <w:sz w:val="24"/>
          <w:szCs w:val="24"/>
          <w:lang w:val="en-US"/>
        </w:rPr>
        <w:t xml:space="preserve"> refers to the fact that the exchange rate observed in the market contains all relevant information on exchange rate determinants</w:t>
      </w:r>
      <w:r>
        <w:rPr>
          <w:rStyle w:val="Appelnotedebasdep"/>
          <w:rFonts w:ascii="Times New Roman" w:hAnsi="Times New Roman" w:cs="Times New Roman"/>
          <w:sz w:val="24"/>
          <w:szCs w:val="24"/>
          <w:lang w:val="en-US"/>
        </w:rPr>
        <w:footnoteReference w:id="19"/>
      </w:r>
      <w:r>
        <w:rPr>
          <w:rFonts w:ascii="Times New Roman" w:hAnsi="Times New Roman" w:cs="Times New Roman"/>
          <w:sz w:val="24"/>
          <w:szCs w:val="24"/>
          <w:lang w:val="en-US"/>
        </w:rPr>
        <w:t>.</w:t>
      </w:r>
    </w:p>
    <w:p w:rsidR="004F3DF4" w:rsidRDefault="004F3DF4" w:rsidP="00D93BE3">
      <w:pPr>
        <w:jc w:val="both"/>
        <w:rPr>
          <w:rFonts w:ascii="Times New Roman" w:hAnsi="Times New Roman" w:cs="Times New Roman"/>
          <w:sz w:val="24"/>
          <w:szCs w:val="24"/>
          <w:lang w:val="en-US"/>
        </w:rPr>
      </w:pPr>
      <w:r>
        <w:rPr>
          <w:rFonts w:ascii="Times New Roman" w:hAnsi="Times New Roman" w:cs="Times New Roman"/>
          <w:sz w:val="24"/>
          <w:szCs w:val="24"/>
          <w:lang w:val="en-US"/>
        </w:rPr>
        <w:t>The efficiency criterion allows</w:t>
      </w:r>
      <w:r w:rsidRPr="004F3DF4">
        <w:rPr>
          <w:rFonts w:ascii="Times New Roman" w:hAnsi="Times New Roman" w:cs="Times New Roman"/>
          <w:sz w:val="24"/>
          <w:szCs w:val="24"/>
          <w:lang w:val="en-US"/>
        </w:rPr>
        <w:t>, when filled,</w:t>
      </w:r>
      <w:r>
        <w:rPr>
          <w:rFonts w:ascii="Times New Roman" w:hAnsi="Times New Roman" w:cs="Times New Roman"/>
          <w:sz w:val="24"/>
          <w:szCs w:val="24"/>
          <w:lang w:val="en-US"/>
        </w:rPr>
        <w:t xml:space="preserve"> </w:t>
      </w:r>
      <w:r w:rsidRPr="004F3DF4">
        <w:rPr>
          <w:rFonts w:ascii="Times New Roman" w:hAnsi="Times New Roman" w:cs="Times New Roman"/>
          <w:sz w:val="24"/>
          <w:szCs w:val="24"/>
          <w:lang w:val="en-US"/>
        </w:rPr>
        <w:t xml:space="preserve">to avoid behavior "herding" and "feedback trading" resulting in exchange rate movements outside of the fundamentals and </w:t>
      </w:r>
      <w:r>
        <w:rPr>
          <w:rFonts w:ascii="Times New Roman" w:hAnsi="Times New Roman" w:cs="Times New Roman"/>
          <w:sz w:val="24"/>
          <w:szCs w:val="24"/>
          <w:lang w:val="en-US"/>
        </w:rPr>
        <w:t xml:space="preserve">in </w:t>
      </w:r>
      <w:r w:rsidRPr="004F3DF4">
        <w:rPr>
          <w:rFonts w:ascii="Times New Roman" w:hAnsi="Times New Roman" w:cs="Times New Roman"/>
          <w:sz w:val="24"/>
          <w:szCs w:val="24"/>
          <w:lang w:val="en-US"/>
        </w:rPr>
        <w:t xml:space="preserve">situations qualified </w:t>
      </w:r>
      <w:r>
        <w:rPr>
          <w:rFonts w:ascii="Times New Roman" w:hAnsi="Times New Roman" w:cs="Times New Roman"/>
          <w:sz w:val="24"/>
          <w:szCs w:val="24"/>
          <w:lang w:val="en-US"/>
        </w:rPr>
        <w:t>of "</w:t>
      </w:r>
      <w:r w:rsidRPr="004F3DF4">
        <w:rPr>
          <w:rFonts w:ascii="Times New Roman" w:hAnsi="Times New Roman" w:cs="Times New Roman"/>
          <w:sz w:val="24"/>
          <w:szCs w:val="24"/>
          <w:lang w:val="en-US"/>
        </w:rPr>
        <w:t>situations of market failures</w:t>
      </w:r>
      <w:r>
        <w:rPr>
          <w:rFonts w:ascii="Times New Roman" w:hAnsi="Times New Roman" w:cs="Times New Roman"/>
          <w:sz w:val="24"/>
          <w:szCs w:val="24"/>
          <w:lang w:val="en-US"/>
        </w:rPr>
        <w:t>”.</w:t>
      </w:r>
    </w:p>
    <w:p w:rsidR="004F3DF4" w:rsidRDefault="004F3DF4" w:rsidP="00D93BE3">
      <w:pPr>
        <w:jc w:val="both"/>
        <w:rPr>
          <w:rFonts w:ascii="Times New Roman" w:hAnsi="Times New Roman" w:cs="Times New Roman"/>
          <w:sz w:val="24"/>
          <w:szCs w:val="24"/>
          <w:lang w:val="en-US"/>
        </w:rPr>
      </w:pPr>
      <w:r w:rsidRPr="004F3DF4">
        <w:rPr>
          <w:rFonts w:ascii="Times New Roman" w:hAnsi="Times New Roman" w:cs="Times New Roman"/>
          <w:sz w:val="24"/>
          <w:szCs w:val="24"/>
          <w:lang w:val="en-US"/>
        </w:rPr>
        <w:t xml:space="preserve">Thus, it is generally considered that efficiency stems from a process of learning by the foreign </w:t>
      </w:r>
      <w:r w:rsidR="00E242A0">
        <w:rPr>
          <w:rFonts w:ascii="Times New Roman" w:hAnsi="Times New Roman" w:cs="Times New Roman"/>
          <w:sz w:val="24"/>
          <w:szCs w:val="24"/>
          <w:lang w:val="en-US"/>
        </w:rPr>
        <w:t>forex</w:t>
      </w:r>
      <w:r w:rsidRPr="004F3DF4">
        <w:rPr>
          <w:rFonts w:ascii="Times New Roman" w:hAnsi="Times New Roman" w:cs="Times New Roman"/>
          <w:sz w:val="24"/>
          <w:szCs w:val="24"/>
          <w:lang w:val="en-US"/>
        </w:rPr>
        <w:t xml:space="preserve"> operators and that the </w:t>
      </w:r>
      <w:r w:rsidR="0068344D" w:rsidRPr="004F3DF4">
        <w:rPr>
          <w:rFonts w:ascii="Times New Roman" w:hAnsi="Times New Roman" w:cs="Times New Roman"/>
          <w:sz w:val="24"/>
          <w:szCs w:val="24"/>
          <w:lang w:val="en-US"/>
        </w:rPr>
        <w:t>(learning)</w:t>
      </w:r>
      <w:r w:rsidRPr="004F3DF4">
        <w:rPr>
          <w:rFonts w:ascii="Times New Roman" w:hAnsi="Times New Roman" w:cs="Times New Roman"/>
          <w:sz w:val="24"/>
          <w:szCs w:val="24"/>
          <w:lang w:val="en-US"/>
        </w:rPr>
        <w:t xml:space="preserve"> requires two main conditions for its </w:t>
      </w:r>
      <w:r w:rsidR="0068344D" w:rsidRPr="004F3DF4">
        <w:rPr>
          <w:rFonts w:ascii="Times New Roman" w:hAnsi="Times New Roman" w:cs="Times New Roman"/>
          <w:sz w:val="24"/>
          <w:szCs w:val="24"/>
          <w:lang w:val="en-US"/>
        </w:rPr>
        <w:t>development</w:t>
      </w:r>
      <w:r w:rsidR="0068344D">
        <w:rPr>
          <w:rFonts w:ascii="Times New Roman" w:hAnsi="Times New Roman" w:cs="Times New Roman"/>
          <w:sz w:val="24"/>
          <w:szCs w:val="24"/>
          <w:lang w:val="en-US"/>
        </w:rPr>
        <w:t>:</w:t>
      </w:r>
    </w:p>
    <w:p w:rsidR="004F3DF4" w:rsidRDefault="004F3DF4" w:rsidP="00D93BE3">
      <w:pPr>
        <w:pStyle w:val="Paragraphedeliste"/>
        <w:numPr>
          <w:ilvl w:val="0"/>
          <w:numId w:val="1"/>
        </w:numPr>
        <w:jc w:val="both"/>
        <w:rPr>
          <w:rFonts w:ascii="Times New Roman" w:hAnsi="Times New Roman" w:cs="Times New Roman"/>
          <w:sz w:val="24"/>
          <w:szCs w:val="24"/>
          <w:lang w:val="en-US"/>
        </w:rPr>
      </w:pPr>
      <w:r w:rsidRPr="004F3DF4">
        <w:rPr>
          <w:rFonts w:ascii="Times New Roman" w:hAnsi="Times New Roman" w:cs="Times New Roman"/>
          <w:sz w:val="24"/>
          <w:szCs w:val="24"/>
          <w:lang w:val="en-US"/>
        </w:rPr>
        <w:lastRenderedPageBreak/>
        <w:t>Reducing the role of the central bank in the interbank market through the relaxation of foreign exchange regulations centralized by the central bank</w:t>
      </w:r>
      <w:r w:rsidR="003817B7">
        <w:rPr>
          <w:rFonts w:ascii="Times New Roman" w:hAnsi="Times New Roman" w:cs="Times New Roman"/>
          <w:sz w:val="24"/>
          <w:szCs w:val="24"/>
          <w:lang w:val="en-US"/>
        </w:rPr>
        <w:t>:</w:t>
      </w:r>
      <w:r w:rsidRPr="004F3DF4">
        <w:rPr>
          <w:rFonts w:ascii="Times New Roman" w:hAnsi="Times New Roman" w:cs="Times New Roman"/>
          <w:sz w:val="24"/>
          <w:szCs w:val="24"/>
          <w:lang w:val="en-US"/>
        </w:rPr>
        <w:t xml:space="preserve"> lending currencies</w:t>
      </w:r>
      <w:r w:rsidR="003817B7">
        <w:rPr>
          <w:rFonts w:ascii="Times New Roman" w:hAnsi="Times New Roman" w:cs="Times New Roman"/>
          <w:sz w:val="24"/>
          <w:szCs w:val="24"/>
          <w:lang w:val="en-US"/>
        </w:rPr>
        <w:t>, increasing</w:t>
      </w:r>
      <w:r w:rsidRPr="004F3DF4">
        <w:rPr>
          <w:rFonts w:ascii="Times New Roman" w:hAnsi="Times New Roman" w:cs="Times New Roman"/>
          <w:sz w:val="24"/>
          <w:szCs w:val="24"/>
          <w:lang w:val="en-US"/>
        </w:rPr>
        <w:t xml:space="preserve"> foreign</w:t>
      </w:r>
      <w:r w:rsidR="003817B7">
        <w:rPr>
          <w:rFonts w:ascii="Times New Roman" w:hAnsi="Times New Roman" w:cs="Times New Roman"/>
          <w:sz w:val="24"/>
          <w:szCs w:val="24"/>
          <w:lang w:val="en-US"/>
        </w:rPr>
        <w:t xml:space="preserve"> exchange position of banks etc. ;</w:t>
      </w:r>
    </w:p>
    <w:p w:rsidR="00143B09" w:rsidRDefault="00143B09" w:rsidP="00143B09">
      <w:pPr>
        <w:pStyle w:val="Paragraphedeliste"/>
        <w:jc w:val="both"/>
        <w:rPr>
          <w:rFonts w:ascii="Times New Roman" w:hAnsi="Times New Roman" w:cs="Times New Roman"/>
          <w:sz w:val="24"/>
          <w:szCs w:val="24"/>
          <w:lang w:val="en-US"/>
        </w:rPr>
      </w:pPr>
    </w:p>
    <w:p w:rsidR="003817B7" w:rsidRDefault="003817B7" w:rsidP="00D93BE3">
      <w:pPr>
        <w:pStyle w:val="Paragraphedeliste"/>
        <w:numPr>
          <w:ilvl w:val="0"/>
          <w:numId w:val="1"/>
        </w:numPr>
        <w:jc w:val="both"/>
        <w:rPr>
          <w:rFonts w:ascii="Times New Roman" w:hAnsi="Times New Roman" w:cs="Times New Roman"/>
          <w:sz w:val="24"/>
          <w:szCs w:val="24"/>
          <w:lang w:val="en-US"/>
        </w:rPr>
      </w:pPr>
      <w:r w:rsidRPr="003817B7">
        <w:rPr>
          <w:rFonts w:ascii="Times New Roman" w:hAnsi="Times New Roman" w:cs="Times New Roman"/>
          <w:sz w:val="24"/>
          <w:szCs w:val="24"/>
          <w:lang w:val="en-US"/>
        </w:rPr>
        <w:t>The establishment of an appropriate informational system covering all descriptive and analytical information relevant for the understanding of the economic factors tha</w:t>
      </w:r>
      <w:r>
        <w:rPr>
          <w:rFonts w:ascii="Times New Roman" w:hAnsi="Times New Roman" w:cs="Times New Roman"/>
          <w:sz w:val="24"/>
          <w:szCs w:val="24"/>
          <w:lang w:val="en-US"/>
        </w:rPr>
        <w:t>t influence the currency market</w:t>
      </w:r>
      <w:r w:rsidRPr="003817B7">
        <w:rPr>
          <w:rFonts w:ascii="Times New Roman" w:hAnsi="Times New Roman" w:cs="Times New Roman"/>
          <w:sz w:val="24"/>
          <w:szCs w:val="24"/>
          <w:lang w:val="en-US"/>
        </w:rPr>
        <w:t xml:space="preserve">, including information on the sources and use of currencies. This </w:t>
      </w:r>
      <w:r>
        <w:rPr>
          <w:rFonts w:ascii="Times New Roman" w:hAnsi="Times New Roman" w:cs="Times New Roman"/>
          <w:sz w:val="24"/>
          <w:szCs w:val="24"/>
          <w:lang w:val="en-US"/>
        </w:rPr>
        <w:t>system</w:t>
      </w:r>
      <w:r w:rsidRPr="003817B7">
        <w:rPr>
          <w:rFonts w:ascii="Times New Roman" w:hAnsi="Times New Roman" w:cs="Times New Roman"/>
          <w:sz w:val="24"/>
          <w:szCs w:val="24"/>
          <w:lang w:val="en-US"/>
        </w:rPr>
        <w:t xml:space="preserve"> will allow the </w:t>
      </w:r>
      <w:r w:rsidR="00E242A0">
        <w:rPr>
          <w:rFonts w:ascii="Times New Roman" w:hAnsi="Times New Roman" w:cs="Times New Roman"/>
          <w:sz w:val="24"/>
          <w:szCs w:val="24"/>
          <w:lang w:val="en-US"/>
        </w:rPr>
        <w:t>forex</w:t>
      </w:r>
      <w:r w:rsidRPr="003817B7">
        <w:rPr>
          <w:rFonts w:ascii="Times New Roman" w:hAnsi="Times New Roman" w:cs="Times New Roman"/>
          <w:sz w:val="24"/>
          <w:szCs w:val="24"/>
          <w:lang w:val="en-US"/>
        </w:rPr>
        <w:t xml:space="preserve"> operators </w:t>
      </w:r>
      <w:r>
        <w:rPr>
          <w:rFonts w:ascii="Times New Roman" w:hAnsi="Times New Roman" w:cs="Times New Roman"/>
          <w:sz w:val="24"/>
          <w:szCs w:val="24"/>
          <w:lang w:val="en-US"/>
        </w:rPr>
        <w:t xml:space="preserve">to </w:t>
      </w:r>
      <w:r w:rsidRPr="003817B7">
        <w:rPr>
          <w:rFonts w:ascii="Times New Roman" w:hAnsi="Times New Roman" w:cs="Times New Roman"/>
          <w:sz w:val="24"/>
          <w:szCs w:val="24"/>
          <w:lang w:val="en-US"/>
        </w:rPr>
        <w:t>have the visibility needed to take positions, manage exchange rate ris</w:t>
      </w:r>
      <w:r>
        <w:rPr>
          <w:rFonts w:ascii="Times New Roman" w:hAnsi="Times New Roman" w:cs="Times New Roman"/>
          <w:sz w:val="24"/>
          <w:szCs w:val="24"/>
          <w:lang w:val="en-US"/>
        </w:rPr>
        <w:t>k etc.</w:t>
      </w:r>
    </w:p>
    <w:p w:rsidR="00143B09" w:rsidRDefault="00143B09" w:rsidP="00D93BE3">
      <w:pPr>
        <w:rPr>
          <w:rFonts w:ascii="Times New Roman" w:hAnsi="Times New Roman" w:cs="Times New Roman"/>
          <w:b/>
          <w:sz w:val="24"/>
          <w:szCs w:val="24"/>
          <w:lang w:val="en-US"/>
        </w:rPr>
      </w:pPr>
    </w:p>
    <w:p w:rsidR="003817B7" w:rsidRPr="003817B7" w:rsidRDefault="0033380C" w:rsidP="00D93BE3">
      <w:pPr>
        <w:rPr>
          <w:rFonts w:ascii="Times New Roman" w:hAnsi="Times New Roman" w:cs="Times New Roman"/>
          <w:b/>
          <w:sz w:val="24"/>
          <w:szCs w:val="24"/>
          <w:lang w:val="en-US"/>
        </w:rPr>
      </w:pPr>
      <w:r>
        <w:rPr>
          <w:rFonts w:ascii="Times New Roman" w:hAnsi="Times New Roman" w:cs="Times New Roman"/>
          <w:b/>
          <w:sz w:val="24"/>
          <w:szCs w:val="24"/>
          <w:lang w:val="en-US"/>
        </w:rPr>
        <w:t>II</w:t>
      </w:r>
      <w:r w:rsidRPr="00FA6C25">
        <w:rPr>
          <w:rFonts w:ascii="Times New Roman" w:hAnsi="Times New Roman" w:cs="Times New Roman"/>
          <w:b/>
          <w:sz w:val="24"/>
          <w:szCs w:val="24"/>
          <w:lang w:val="en-US"/>
        </w:rPr>
        <w:t>I-</w:t>
      </w:r>
      <w:r w:rsidR="003817B7" w:rsidRPr="00FA6C25">
        <w:rPr>
          <w:rFonts w:ascii="Times New Roman" w:hAnsi="Times New Roman" w:cs="Times New Roman"/>
          <w:b/>
          <w:sz w:val="24"/>
          <w:szCs w:val="24"/>
          <w:lang w:val="en-US"/>
        </w:rPr>
        <w:t>/</w:t>
      </w:r>
      <w:r w:rsidR="003817B7" w:rsidRPr="003817B7">
        <w:rPr>
          <w:rFonts w:ascii="Times New Roman" w:hAnsi="Times New Roman" w:cs="Times New Roman"/>
          <w:b/>
          <w:sz w:val="24"/>
          <w:szCs w:val="24"/>
          <w:lang w:val="en-US"/>
        </w:rPr>
        <w:t xml:space="preserve"> Empirical approach</w:t>
      </w:r>
    </w:p>
    <w:p w:rsidR="004F3DF4" w:rsidRDefault="003817B7" w:rsidP="00D93BE3">
      <w:pPr>
        <w:jc w:val="both"/>
        <w:rPr>
          <w:rFonts w:ascii="Times New Roman" w:hAnsi="Times New Roman" w:cs="Times New Roman"/>
          <w:sz w:val="24"/>
          <w:szCs w:val="24"/>
          <w:lang w:val="en-US"/>
        </w:rPr>
      </w:pPr>
      <w:r w:rsidRPr="003817B7">
        <w:rPr>
          <w:rFonts w:ascii="Times New Roman" w:hAnsi="Times New Roman" w:cs="Times New Roman"/>
          <w:sz w:val="24"/>
          <w:szCs w:val="24"/>
          <w:lang w:val="en-US"/>
        </w:rPr>
        <w:t xml:space="preserve">This empirical approach is to enrich the resources to provide answers to the main question (forming the objective of the study) evaluating the degree of compatibility of the current </w:t>
      </w:r>
      <w:r w:rsidR="0068344D">
        <w:rPr>
          <w:rFonts w:ascii="Times New Roman" w:hAnsi="Times New Roman" w:cs="Times New Roman"/>
          <w:sz w:val="24"/>
          <w:szCs w:val="24"/>
          <w:lang w:val="en-US"/>
        </w:rPr>
        <w:t>exchange control regime</w:t>
      </w:r>
      <w:r w:rsidRPr="003817B7">
        <w:rPr>
          <w:rFonts w:ascii="Times New Roman" w:hAnsi="Times New Roman" w:cs="Times New Roman"/>
          <w:sz w:val="24"/>
          <w:szCs w:val="24"/>
          <w:lang w:val="en-US"/>
        </w:rPr>
        <w:t xml:space="preserve"> of Morocco with a</w:t>
      </w:r>
      <w:r w:rsidR="0068344D" w:rsidRPr="003817B7">
        <w:rPr>
          <w:rFonts w:ascii="Times New Roman" w:hAnsi="Times New Roman" w:cs="Times New Roman"/>
          <w:sz w:val="24"/>
          <w:szCs w:val="24"/>
          <w:lang w:val="en-US"/>
        </w:rPr>
        <w:t xml:space="preserve"> more</w:t>
      </w:r>
      <w:r w:rsidRPr="003817B7">
        <w:rPr>
          <w:rFonts w:ascii="Times New Roman" w:hAnsi="Times New Roman" w:cs="Times New Roman"/>
          <w:sz w:val="24"/>
          <w:szCs w:val="24"/>
          <w:lang w:val="en-US"/>
        </w:rPr>
        <w:t xml:space="preserve"> </w:t>
      </w:r>
      <w:r w:rsidR="0068344D" w:rsidRPr="003817B7">
        <w:rPr>
          <w:rFonts w:ascii="Times New Roman" w:hAnsi="Times New Roman" w:cs="Times New Roman"/>
          <w:sz w:val="24"/>
          <w:szCs w:val="24"/>
          <w:lang w:val="en-US"/>
        </w:rPr>
        <w:t xml:space="preserve">flexible exchange rate </w:t>
      </w:r>
      <w:r w:rsidR="0068344D">
        <w:rPr>
          <w:rFonts w:ascii="Times New Roman" w:hAnsi="Times New Roman" w:cs="Times New Roman"/>
          <w:sz w:val="24"/>
          <w:szCs w:val="24"/>
          <w:lang w:val="en-US"/>
        </w:rPr>
        <w:t>regime.</w:t>
      </w:r>
    </w:p>
    <w:p w:rsidR="0068344D" w:rsidRDefault="0068344D" w:rsidP="00D93BE3">
      <w:pPr>
        <w:jc w:val="both"/>
        <w:rPr>
          <w:rFonts w:ascii="Times New Roman" w:hAnsi="Times New Roman" w:cs="Times New Roman"/>
          <w:sz w:val="24"/>
          <w:szCs w:val="24"/>
          <w:lang w:val="en-US"/>
        </w:rPr>
      </w:pPr>
      <w:r w:rsidRPr="0068344D">
        <w:rPr>
          <w:rFonts w:ascii="Times New Roman" w:hAnsi="Times New Roman" w:cs="Times New Roman"/>
          <w:sz w:val="24"/>
          <w:szCs w:val="24"/>
          <w:lang w:val="en-US"/>
        </w:rPr>
        <w:t xml:space="preserve">Indeed, in addition to theoretical teaching -which have identified among all the </w:t>
      </w:r>
      <w:r w:rsidR="00AB6CED">
        <w:rPr>
          <w:rFonts w:ascii="Times New Roman" w:hAnsi="Times New Roman" w:cs="Times New Roman"/>
          <w:sz w:val="24"/>
          <w:szCs w:val="24"/>
          <w:lang w:val="en-US"/>
        </w:rPr>
        <w:t>regulations</w:t>
      </w:r>
      <w:r w:rsidRPr="0068344D">
        <w:rPr>
          <w:rFonts w:ascii="Times New Roman" w:hAnsi="Times New Roman" w:cs="Times New Roman"/>
          <w:sz w:val="24"/>
          <w:szCs w:val="24"/>
          <w:lang w:val="en-US"/>
        </w:rPr>
        <w:t xml:space="preserve"> of exchange controls, those considered necessary for the success of an </w:t>
      </w:r>
      <w:r w:rsidR="00AB6CED" w:rsidRPr="0068344D">
        <w:rPr>
          <w:rFonts w:ascii="Times New Roman" w:hAnsi="Times New Roman" w:cs="Times New Roman"/>
          <w:sz w:val="24"/>
          <w:szCs w:val="24"/>
          <w:lang w:val="en-US"/>
        </w:rPr>
        <w:t xml:space="preserve">flexible </w:t>
      </w:r>
      <w:r w:rsidRPr="0068344D">
        <w:rPr>
          <w:rFonts w:ascii="Times New Roman" w:hAnsi="Times New Roman" w:cs="Times New Roman"/>
          <w:sz w:val="24"/>
          <w:szCs w:val="24"/>
          <w:lang w:val="en-US"/>
        </w:rPr>
        <w:t xml:space="preserve">exchange rate regime - </w:t>
      </w:r>
      <w:r w:rsidR="00AB6CED">
        <w:rPr>
          <w:rFonts w:ascii="Times New Roman" w:hAnsi="Times New Roman" w:cs="Times New Roman"/>
          <w:sz w:val="24"/>
          <w:szCs w:val="24"/>
          <w:lang w:val="en-US"/>
        </w:rPr>
        <w:t>analyzing</w:t>
      </w:r>
      <w:r w:rsidRPr="0068344D">
        <w:rPr>
          <w:rFonts w:ascii="Times New Roman" w:hAnsi="Times New Roman" w:cs="Times New Roman"/>
          <w:sz w:val="24"/>
          <w:szCs w:val="24"/>
          <w:lang w:val="en-US"/>
        </w:rPr>
        <w:t xml:space="preserve"> foreign exchange regulations will actually </w:t>
      </w:r>
      <w:r w:rsidR="00AB6CED">
        <w:rPr>
          <w:rFonts w:ascii="Times New Roman" w:hAnsi="Times New Roman" w:cs="Times New Roman"/>
          <w:sz w:val="24"/>
          <w:szCs w:val="24"/>
          <w:lang w:val="en-US"/>
        </w:rPr>
        <w:t>detect</w:t>
      </w:r>
      <w:r w:rsidRPr="0068344D">
        <w:rPr>
          <w:rFonts w:ascii="Times New Roman" w:hAnsi="Times New Roman" w:cs="Times New Roman"/>
          <w:sz w:val="24"/>
          <w:szCs w:val="24"/>
          <w:lang w:val="en-US"/>
        </w:rPr>
        <w:t xml:space="preserve"> the steps taken by countries regarding those </w:t>
      </w:r>
      <w:r w:rsidR="00AB6CED">
        <w:rPr>
          <w:rFonts w:ascii="Times New Roman" w:hAnsi="Times New Roman" w:cs="Times New Roman"/>
          <w:sz w:val="24"/>
          <w:szCs w:val="24"/>
          <w:lang w:val="en-US"/>
        </w:rPr>
        <w:t>regulations</w:t>
      </w:r>
      <w:r w:rsidRPr="0068344D">
        <w:rPr>
          <w:rFonts w:ascii="Times New Roman" w:hAnsi="Times New Roman" w:cs="Times New Roman"/>
          <w:sz w:val="24"/>
          <w:szCs w:val="24"/>
          <w:lang w:val="en-US"/>
        </w:rPr>
        <w:t xml:space="preserve"> and generate accurate and better -argued conclusions.</w:t>
      </w:r>
    </w:p>
    <w:p w:rsidR="00AB6CED" w:rsidRDefault="00AB6CED" w:rsidP="00D93BE3">
      <w:pPr>
        <w:jc w:val="both"/>
        <w:rPr>
          <w:rFonts w:ascii="Times New Roman" w:hAnsi="Times New Roman" w:cs="Times New Roman"/>
          <w:sz w:val="24"/>
          <w:szCs w:val="24"/>
          <w:lang w:val="en-US"/>
        </w:rPr>
      </w:pPr>
      <w:r w:rsidRPr="00AB6CED">
        <w:rPr>
          <w:rFonts w:ascii="Times New Roman" w:hAnsi="Times New Roman" w:cs="Times New Roman"/>
          <w:sz w:val="24"/>
          <w:szCs w:val="24"/>
          <w:lang w:val="en-US"/>
        </w:rPr>
        <w:t>The empirical approach is to compare the relevant elements of</w:t>
      </w:r>
      <w:r>
        <w:rPr>
          <w:rFonts w:ascii="Times New Roman" w:hAnsi="Times New Roman" w:cs="Times New Roman"/>
          <w:sz w:val="24"/>
          <w:szCs w:val="24"/>
          <w:lang w:val="en-US"/>
        </w:rPr>
        <w:t xml:space="preserve"> foreign exchange regulations (</w:t>
      </w:r>
      <w:r w:rsidRPr="00AB6CED">
        <w:rPr>
          <w:rFonts w:ascii="Times New Roman" w:hAnsi="Times New Roman" w:cs="Times New Roman"/>
          <w:sz w:val="24"/>
          <w:szCs w:val="24"/>
          <w:lang w:val="en-US"/>
        </w:rPr>
        <w:t xml:space="preserve">identified above as necessary for the success of </w:t>
      </w:r>
      <w:r w:rsidR="000F6D13">
        <w:rPr>
          <w:rFonts w:ascii="Times New Roman" w:hAnsi="Times New Roman" w:cs="Times New Roman"/>
          <w:sz w:val="24"/>
          <w:szCs w:val="24"/>
          <w:lang w:val="en-US"/>
        </w:rPr>
        <w:t>a flexible exchange rate regime</w:t>
      </w:r>
      <w:r w:rsidRPr="00AB6CED">
        <w:rPr>
          <w:rFonts w:ascii="Times New Roman" w:hAnsi="Times New Roman" w:cs="Times New Roman"/>
          <w:sz w:val="24"/>
          <w:szCs w:val="24"/>
          <w:lang w:val="en-US"/>
        </w:rPr>
        <w:t xml:space="preserve">) in force in a </w:t>
      </w:r>
      <w:r w:rsidR="00771456">
        <w:rPr>
          <w:rFonts w:ascii="Times New Roman" w:hAnsi="Times New Roman" w:cs="Times New Roman"/>
          <w:sz w:val="24"/>
          <w:szCs w:val="24"/>
          <w:lang w:val="en-US"/>
        </w:rPr>
        <w:t>set</w:t>
      </w:r>
      <w:r w:rsidRPr="00AB6CED">
        <w:rPr>
          <w:rFonts w:ascii="Times New Roman" w:hAnsi="Times New Roman" w:cs="Times New Roman"/>
          <w:sz w:val="24"/>
          <w:szCs w:val="24"/>
          <w:lang w:val="en-US"/>
        </w:rPr>
        <w:t xml:space="preserve"> of countries </w:t>
      </w:r>
      <w:r w:rsidR="00FC364C">
        <w:rPr>
          <w:rFonts w:ascii="Times New Roman" w:hAnsi="Times New Roman" w:cs="Times New Roman"/>
          <w:sz w:val="24"/>
          <w:szCs w:val="24"/>
          <w:lang w:val="en-US"/>
        </w:rPr>
        <w:t xml:space="preserve">which </w:t>
      </w:r>
      <w:r w:rsidRPr="00AB6CED">
        <w:rPr>
          <w:rFonts w:ascii="Times New Roman" w:hAnsi="Times New Roman" w:cs="Times New Roman"/>
          <w:sz w:val="24"/>
          <w:szCs w:val="24"/>
          <w:lang w:val="en-US"/>
        </w:rPr>
        <w:t xml:space="preserve">have implemented </w:t>
      </w:r>
      <w:r w:rsidR="00FC364C">
        <w:rPr>
          <w:rFonts w:ascii="Times New Roman" w:hAnsi="Times New Roman" w:cs="Times New Roman"/>
          <w:sz w:val="24"/>
          <w:szCs w:val="24"/>
          <w:lang w:val="en-US"/>
        </w:rPr>
        <w:t xml:space="preserve">exchange </w:t>
      </w:r>
      <w:r w:rsidRPr="00AB6CED">
        <w:rPr>
          <w:rFonts w:ascii="Times New Roman" w:hAnsi="Times New Roman" w:cs="Times New Roman"/>
          <w:sz w:val="24"/>
          <w:szCs w:val="24"/>
          <w:lang w:val="en-US"/>
        </w:rPr>
        <w:t>rate</w:t>
      </w:r>
      <w:r w:rsidR="000F6D13">
        <w:rPr>
          <w:rFonts w:ascii="Times New Roman" w:hAnsi="Times New Roman" w:cs="Times New Roman"/>
          <w:sz w:val="24"/>
          <w:szCs w:val="24"/>
          <w:lang w:val="en-US"/>
        </w:rPr>
        <w:t xml:space="preserve"> regime</w:t>
      </w:r>
      <w:r w:rsidRPr="00AB6CED">
        <w:rPr>
          <w:rFonts w:ascii="Times New Roman" w:hAnsi="Times New Roman" w:cs="Times New Roman"/>
          <w:sz w:val="24"/>
          <w:szCs w:val="24"/>
          <w:lang w:val="en-US"/>
        </w:rPr>
        <w:t xml:space="preserve"> </w:t>
      </w:r>
      <w:r w:rsidR="00FC364C">
        <w:rPr>
          <w:rFonts w:ascii="Times New Roman" w:hAnsi="Times New Roman" w:cs="Times New Roman"/>
          <w:sz w:val="24"/>
          <w:szCs w:val="24"/>
          <w:lang w:val="en-US"/>
        </w:rPr>
        <w:t xml:space="preserve">with </w:t>
      </w:r>
      <w:r w:rsidR="000F6D13">
        <w:rPr>
          <w:rFonts w:ascii="Times New Roman" w:hAnsi="Times New Roman" w:cs="Times New Roman"/>
          <w:sz w:val="24"/>
          <w:szCs w:val="24"/>
          <w:lang w:val="en-US"/>
        </w:rPr>
        <w:t xml:space="preserve">a </w:t>
      </w:r>
      <w:r w:rsidR="00FC364C">
        <w:rPr>
          <w:rFonts w:ascii="Times New Roman" w:hAnsi="Times New Roman" w:cs="Times New Roman"/>
          <w:sz w:val="24"/>
          <w:szCs w:val="24"/>
          <w:lang w:val="en-US"/>
        </w:rPr>
        <w:t>more</w:t>
      </w:r>
      <w:r w:rsidRPr="00AB6CED">
        <w:rPr>
          <w:rFonts w:ascii="Times New Roman" w:hAnsi="Times New Roman" w:cs="Times New Roman"/>
          <w:sz w:val="24"/>
          <w:szCs w:val="24"/>
          <w:lang w:val="en-US"/>
        </w:rPr>
        <w:t xml:space="preserve"> level of fl</w:t>
      </w:r>
      <w:r w:rsidR="000F6D13">
        <w:rPr>
          <w:rFonts w:ascii="Times New Roman" w:hAnsi="Times New Roman" w:cs="Times New Roman"/>
          <w:sz w:val="24"/>
          <w:szCs w:val="24"/>
          <w:lang w:val="en-US"/>
        </w:rPr>
        <w:t>exibility than the existing one</w:t>
      </w:r>
      <w:r w:rsidRPr="00AB6CED">
        <w:rPr>
          <w:rFonts w:ascii="Times New Roman" w:hAnsi="Times New Roman" w:cs="Times New Roman"/>
          <w:sz w:val="24"/>
          <w:szCs w:val="24"/>
          <w:lang w:val="en-US"/>
        </w:rPr>
        <w:t xml:space="preserve"> </w:t>
      </w:r>
      <w:r w:rsidR="00FC364C">
        <w:rPr>
          <w:rFonts w:ascii="Times New Roman" w:hAnsi="Times New Roman" w:cs="Times New Roman"/>
          <w:sz w:val="24"/>
          <w:szCs w:val="24"/>
          <w:lang w:val="en-US"/>
        </w:rPr>
        <w:t>in force</w:t>
      </w:r>
      <w:r w:rsidRPr="00AB6CED">
        <w:rPr>
          <w:rFonts w:ascii="Times New Roman" w:hAnsi="Times New Roman" w:cs="Times New Roman"/>
          <w:sz w:val="24"/>
          <w:szCs w:val="24"/>
          <w:lang w:val="en-US"/>
        </w:rPr>
        <w:t xml:space="preserve"> in Morocco.</w:t>
      </w:r>
    </w:p>
    <w:p w:rsidR="00FC364C" w:rsidRDefault="000F6D13" w:rsidP="00D93BE3">
      <w:pPr>
        <w:jc w:val="both"/>
        <w:rPr>
          <w:rFonts w:ascii="Times New Roman" w:hAnsi="Times New Roman" w:cs="Times New Roman"/>
          <w:sz w:val="24"/>
          <w:szCs w:val="24"/>
          <w:lang w:val="en-US"/>
        </w:rPr>
      </w:pPr>
      <w:r w:rsidRPr="000F6D13">
        <w:rPr>
          <w:rFonts w:ascii="Times New Roman" w:hAnsi="Times New Roman" w:cs="Times New Roman"/>
          <w:sz w:val="24"/>
          <w:szCs w:val="24"/>
          <w:lang w:val="en-US"/>
        </w:rPr>
        <w:t>The countries chosen to establish the comparison</w:t>
      </w:r>
      <w:r>
        <w:rPr>
          <w:rFonts w:ascii="Times New Roman" w:hAnsi="Times New Roman" w:cs="Times New Roman"/>
          <w:sz w:val="24"/>
          <w:szCs w:val="24"/>
          <w:lang w:val="en-US"/>
        </w:rPr>
        <w:t xml:space="preserve"> are:</w:t>
      </w:r>
      <w:r w:rsidRPr="000F6D13">
        <w:rPr>
          <w:rFonts w:ascii="Times New Roman" w:hAnsi="Times New Roman" w:cs="Times New Roman"/>
          <w:sz w:val="24"/>
          <w:szCs w:val="24"/>
          <w:lang w:val="en-US"/>
        </w:rPr>
        <w:t xml:space="preserve"> Tunisia, South Africa, India, Ukraine, Indonesia and Thailand. These countries were selected on the basis of the criterion of gross domestic product per capita and that, in light of the fact that </w:t>
      </w:r>
      <w:r>
        <w:rPr>
          <w:rFonts w:ascii="Times New Roman" w:hAnsi="Times New Roman" w:cs="Times New Roman"/>
          <w:sz w:val="24"/>
          <w:szCs w:val="24"/>
          <w:lang w:val="en-US"/>
        </w:rPr>
        <w:t>it’s</w:t>
      </w:r>
      <w:r w:rsidRPr="000F6D13">
        <w:rPr>
          <w:rFonts w:ascii="Times New Roman" w:hAnsi="Times New Roman" w:cs="Times New Roman"/>
          <w:sz w:val="24"/>
          <w:szCs w:val="24"/>
          <w:lang w:val="en-US"/>
        </w:rPr>
        <w:t xml:space="preserve"> the determining factor of exchange controls, allowing to avoid any allocation </w:t>
      </w:r>
      <w:r w:rsidR="00A700CC">
        <w:rPr>
          <w:rFonts w:ascii="Times New Roman" w:hAnsi="Times New Roman" w:cs="Times New Roman"/>
          <w:sz w:val="24"/>
          <w:szCs w:val="24"/>
          <w:lang w:val="en-US"/>
        </w:rPr>
        <w:t xml:space="preserve">failure </w:t>
      </w:r>
      <w:r w:rsidRPr="000F6D13">
        <w:rPr>
          <w:rFonts w:ascii="Times New Roman" w:hAnsi="Times New Roman" w:cs="Times New Roman"/>
          <w:sz w:val="24"/>
          <w:szCs w:val="24"/>
          <w:lang w:val="en-US"/>
        </w:rPr>
        <w:t>of a given level of exchange controls in the establishment of a more flexible exchange rate regime</w:t>
      </w:r>
      <w:r w:rsidR="00A700CC">
        <w:rPr>
          <w:rStyle w:val="Appelnotedebasdep"/>
          <w:rFonts w:ascii="Times New Roman" w:hAnsi="Times New Roman" w:cs="Times New Roman"/>
          <w:sz w:val="24"/>
          <w:szCs w:val="24"/>
          <w:lang w:val="en-US"/>
        </w:rPr>
        <w:footnoteReference w:id="20"/>
      </w:r>
      <w:r w:rsidR="00A700CC">
        <w:rPr>
          <w:rFonts w:ascii="Times New Roman" w:hAnsi="Times New Roman" w:cs="Times New Roman"/>
          <w:sz w:val="24"/>
          <w:szCs w:val="24"/>
          <w:lang w:val="en-US"/>
        </w:rPr>
        <w:t>.</w:t>
      </w:r>
    </w:p>
    <w:p w:rsidR="00A700CC" w:rsidRDefault="00A700CC" w:rsidP="00D93BE3">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A700CC">
        <w:rPr>
          <w:rFonts w:ascii="Times New Roman" w:hAnsi="Times New Roman" w:cs="Times New Roman"/>
          <w:sz w:val="24"/>
          <w:szCs w:val="24"/>
          <w:lang w:val="en-US"/>
        </w:rPr>
        <w:t>he comparative analysis will be presented in three</w:t>
      </w:r>
      <w:r w:rsidR="006F118A">
        <w:rPr>
          <w:rFonts w:ascii="Times New Roman" w:hAnsi="Times New Roman" w:cs="Times New Roman"/>
          <w:sz w:val="24"/>
          <w:szCs w:val="24"/>
          <w:lang w:val="en-US"/>
        </w:rPr>
        <w:t xml:space="preserve"> summary tables below, showing</w:t>
      </w:r>
      <w:r w:rsidRPr="00A700CC">
        <w:rPr>
          <w:rFonts w:ascii="Times New Roman" w:hAnsi="Times New Roman" w:cs="Times New Roman"/>
          <w:sz w:val="24"/>
          <w:szCs w:val="24"/>
          <w:lang w:val="en-US"/>
        </w:rPr>
        <w:t xml:space="preserve"> the foreign exchange regulations </w:t>
      </w:r>
      <w:r w:rsidR="006F118A" w:rsidRPr="00A700CC">
        <w:rPr>
          <w:rFonts w:ascii="Times New Roman" w:hAnsi="Times New Roman" w:cs="Times New Roman"/>
          <w:sz w:val="24"/>
          <w:szCs w:val="24"/>
          <w:lang w:val="en-US"/>
        </w:rPr>
        <w:t xml:space="preserve">indicated operations before </w:t>
      </w:r>
      <w:r w:rsidRPr="00A700CC">
        <w:rPr>
          <w:rFonts w:ascii="Times New Roman" w:hAnsi="Times New Roman" w:cs="Times New Roman"/>
          <w:sz w:val="24"/>
          <w:szCs w:val="24"/>
          <w:lang w:val="en-US"/>
        </w:rPr>
        <w:t>in force in Morocco and these countries.</w:t>
      </w:r>
    </w:p>
    <w:p w:rsidR="00FA6C25" w:rsidRDefault="00FA6C25" w:rsidP="00D93BE3">
      <w:pPr>
        <w:jc w:val="both"/>
        <w:rPr>
          <w:rFonts w:ascii="Times New Roman" w:hAnsi="Times New Roman" w:cs="Times New Roman"/>
          <w:sz w:val="24"/>
          <w:szCs w:val="24"/>
          <w:lang w:val="en-US"/>
        </w:rPr>
      </w:pPr>
    </w:p>
    <w:p w:rsidR="00FA6C25" w:rsidRDefault="00FA6C25" w:rsidP="00D93BE3">
      <w:pPr>
        <w:jc w:val="both"/>
        <w:rPr>
          <w:rFonts w:ascii="Times New Roman" w:hAnsi="Times New Roman" w:cs="Times New Roman"/>
          <w:sz w:val="24"/>
          <w:szCs w:val="24"/>
          <w:lang w:val="en-US"/>
        </w:rPr>
      </w:pPr>
    </w:p>
    <w:p w:rsidR="00FA6C25" w:rsidRDefault="00FA6C25" w:rsidP="00D93BE3">
      <w:pPr>
        <w:jc w:val="both"/>
        <w:rPr>
          <w:rFonts w:ascii="Times New Roman" w:hAnsi="Times New Roman" w:cs="Times New Roman"/>
          <w:sz w:val="24"/>
          <w:szCs w:val="24"/>
          <w:lang w:val="en-US"/>
        </w:rPr>
      </w:pPr>
    </w:p>
    <w:p w:rsidR="00FA6C25" w:rsidRDefault="00FA6C25" w:rsidP="00D93BE3">
      <w:pPr>
        <w:jc w:val="both"/>
        <w:rPr>
          <w:rFonts w:ascii="Times New Roman" w:hAnsi="Times New Roman" w:cs="Times New Roman"/>
          <w:sz w:val="24"/>
          <w:szCs w:val="24"/>
          <w:lang w:val="en-US"/>
        </w:rPr>
      </w:pPr>
    </w:p>
    <w:p w:rsidR="00FA6C25" w:rsidRDefault="00FA6C25" w:rsidP="00D93BE3">
      <w:pPr>
        <w:jc w:val="both"/>
        <w:rPr>
          <w:rFonts w:ascii="Times New Roman" w:hAnsi="Times New Roman" w:cs="Times New Roman"/>
          <w:sz w:val="24"/>
          <w:szCs w:val="24"/>
          <w:lang w:val="en-US"/>
        </w:rPr>
      </w:pPr>
    </w:p>
    <w:p w:rsidR="00771456" w:rsidRPr="00B552A8" w:rsidRDefault="00771456" w:rsidP="00D93BE3">
      <w:pPr>
        <w:jc w:val="both"/>
        <w:rPr>
          <w:rFonts w:ascii="Times New Roman" w:eastAsia="Times New Roman" w:hAnsi="Times New Roman" w:cs="Times New Roman"/>
          <w:b/>
          <w:sz w:val="24"/>
          <w:szCs w:val="32"/>
          <w:lang w:val="en-US" w:eastAsia="fr-FR"/>
        </w:rPr>
      </w:pPr>
      <w:r w:rsidRPr="00B552A8">
        <w:rPr>
          <w:rFonts w:ascii="Times New Roman" w:eastAsia="Times New Roman" w:hAnsi="Times New Roman" w:cs="Times New Roman"/>
          <w:b/>
          <w:sz w:val="24"/>
          <w:szCs w:val="32"/>
          <w:lang w:val="en-US" w:eastAsia="fr-FR"/>
        </w:rPr>
        <w:lastRenderedPageBreak/>
        <w:t>II</w:t>
      </w:r>
      <w:r w:rsidR="00FA6C25">
        <w:rPr>
          <w:rFonts w:ascii="Times New Roman" w:eastAsia="Times New Roman" w:hAnsi="Times New Roman" w:cs="Times New Roman"/>
          <w:b/>
          <w:sz w:val="24"/>
          <w:szCs w:val="32"/>
          <w:lang w:val="en-US" w:eastAsia="fr-FR"/>
        </w:rPr>
        <w:t>I</w:t>
      </w:r>
      <w:r w:rsidRPr="00B552A8">
        <w:rPr>
          <w:rFonts w:ascii="Times New Roman" w:eastAsia="Times New Roman" w:hAnsi="Times New Roman" w:cs="Times New Roman"/>
          <w:b/>
          <w:sz w:val="24"/>
          <w:szCs w:val="32"/>
          <w:lang w:val="en-US" w:eastAsia="fr-FR"/>
        </w:rPr>
        <w:t>-1/ Regulations relating to reimbursements currency at the central bank (regime of foreign currency accounts</w:t>
      </w:r>
      <w:r w:rsidR="00406E54" w:rsidRPr="00B552A8">
        <w:rPr>
          <w:rStyle w:val="Appelnotedebasdep"/>
          <w:rFonts w:ascii="Times New Roman" w:eastAsia="Times New Roman" w:hAnsi="Times New Roman" w:cs="Times New Roman"/>
          <w:b/>
          <w:sz w:val="24"/>
          <w:szCs w:val="32"/>
          <w:lang w:val="en-US" w:eastAsia="fr-FR"/>
        </w:rPr>
        <w:footnoteReference w:id="21"/>
      </w:r>
      <w:r w:rsidRPr="00B552A8">
        <w:rPr>
          <w:rFonts w:ascii="Times New Roman" w:eastAsia="Times New Roman" w:hAnsi="Times New Roman" w:cs="Times New Roman"/>
          <w:b/>
          <w:sz w:val="24"/>
          <w:szCs w:val="32"/>
          <w:lang w:val="en-US" w:eastAsia="fr-FR"/>
        </w:rPr>
        <w:t xml:space="preserve">) </w:t>
      </w:r>
    </w:p>
    <w:p w:rsidR="00771456" w:rsidRDefault="00771456" w:rsidP="00D93BE3">
      <w:pPr>
        <w:jc w:val="both"/>
        <w:rPr>
          <w:rFonts w:ascii="Times New Roman" w:hAnsi="Times New Roman" w:cs="Times New Roman"/>
          <w:sz w:val="24"/>
          <w:szCs w:val="24"/>
          <w:lang w:val="en-US"/>
        </w:rPr>
      </w:pPr>
      <w:r w:rsidRPr="00771456">
        <w:rPr>
          <w:rFonts w:ascii="Times New Roman" w:hAnsi="Times New Roman" w:cs="Times New Roman"/>
          <w:sz w:val="24"/>
          <w:szCs w:val="24"/>
          <w:lang w:val="en-US"/>
        </w:rPr>
        <w:t>Relevant provisions in force in the countries selected for the comparison (</w:t>
      </w:r>
      <w:r>
        <w:rPr>
          <w:rFonts w:ascii="Times New Roman" w:hAnsi="Times New Roman" w:cs="Times New Roman"/>
          <w:sz w:val="24"/>
          <w:szCs w:val="24"/>
          <w:lang w:val="en-US"/>
        </w:rPr>
        <w:t>a set of countries</w:t>
      </w:r>
      <w:r w:rsidRPr="00771456">
        <w:rPr>
          <w:rFonts w:ascii="Times New Roman" w:hAnsi="Times New Roman" w:cs="Times New Roman"/>
          <w:sz w:val="24"/>
          <w:szCs w:val="24"/>
          <w:lang w:val="en-US"/>
        </w:rPr>
        <w:t>) and Morocco.</w:t>
      </w:r>
    </w:p>
    <w:tbl>
      <w:tblPr>
        <w:tblStyle w:val="Grilledutableau"/>
        <w:tblW w:w="0" w:type="auto"/>
        <w:tblLook w:val="04A0" w:firstRow="1" w:lastRow="0" w:firstColumn="1" w:lastColumn="0" w:noHBand="0" w:noVBand="1"/>
      </w:tblPr>
      <w:tblGrid>
        <w:gridCol w:w="817"/>
        <w:gridCol w:w="5103"/>
        <w:gridCol w:w="3260"/>
      </w:tblGrid>
      <w:tr w:rsidR="00771456" w:rsidRPr="00835735" w:rsidTr="00FA3495">
        <w:tc>
          <w:tcPr>
            <w:tcW w:w="817" w:type="dxa"/>
          </w:tcPr>
          <w:p w:rsidR="00771456" w:rsidRPr="00771456" w:rsidRDefault="00771456" w:rsidP="00D93BE3">
            <w:pPr>
              <w:spacing w:line="276" w:lineRule="auto"/>
              <w:jc w:val="both"/>
              <w:rPr>
                <w:rFonts w:asciiTheme="majorBidi" w:eastAsia="Times New Roman" w:hAnsiTheme="majorBidi" w:cstheme="majorBidi"/>
                <w:b/>
                <w:sz w:val="24"/>
                <w:szCs w:val="24"/>
                <w:lang w:val="en-US" w:eastAsia="fr-FR"/>
              </w:rPr>
            </w:pPr>
          </w:p>
        </w:tc>
        <w:tc>
          <w:tcPr>
            <w:tcW w:w="5103" w:type="dxa"/>
          </w:tcPr>
          <w:p w:rsidR="00771456" w:rsidRPr="00835735" w:rsidRDefault="00771456" w:rsidP="00C93073">
            <w:pPr>
              <w:spacing w:line="276" w:lineRule="auto"/>
              <w:jc w:val="center"/>
              <w:rPr>
                <w:rFonts w:asciiTheme="majorBidi" w:eastAsia="Times New Roman" w:hAnsiTheme="majorBidi" w:cstheme="majorBidi"/>
                <w:b/>
                <w:sz w:val="24"/>
                <w:szCs w:val="24"/>
                <w:lang w:eastAsia="fr-FR"/>
              </w:rPr>
            </w:pPr>
            <w:r>
              <w:rPr>
                <w:rFonts w:asciiTheme="majorBidi" w:eastAsia="Times New Roman" w:hAnsiTheme="majorBidi" w:cstheme="majorBidi"/>
                <w:b/>
                <w:sz w:val="24"/>
                <w:szCs w:val="24"/>
                <w:lang w:eastAsia="fr-FR"/>
              </w:rPr>
              <w:t>Set of countries</w:t>
            </w:r>
          </w:p>
        </w:tc>
        <w:tc>
          <w:tcPr>
            <w:tcW w:w="3260" w:type="dxa"/>
          </w:tcPr>
          <w:p w:rsidR="00771456" w:rsidRPr="00835735" w:rsidRDefault="00771456" w:rsidP="00D93BE3">
            <w:pPr>
              <w:spacing w:line="276" w:lineRule="auto"/>
              <w:jc w:val="center"/>
              <w:rPr>
                <w:rFonts w:asciiTheme="majorBidi" w:eastAsia="Times New Roman" w:hAnsiTheme="majorBidi" w:cstheme="majorBidi"/>
                <w:b/>
                <w:sz w:val="24"/>
                <w:szCs w:val="24"/>
                <w:lang w:eastAsia="fr-FR"/>
              </w:rPr>
            </w:pPr>
            <w:r w:rsidRPr="00DF11F6">
              <w:rPr>
                <w:rFonts w:asciiTheme="majorBidi" w:eastAsia="Times New Roman" w:hAnsiTheme="majorBidi" w:cstheme="majorBidi"/>
                <w:b/>
                <w:sz w:val="24"/>
                <w:szCs w:val="24"/>
                <w:lang w:val="en-US" w:eastAsia="fr-FR"/>
              </w:rPr>
              <w:t>Morocco</w:t>
            </w:r>
          </w:p>
        </w:tc>
      </w:tr>
      <w:tr w:rsidR="00771456" w:rsidRPr="00F16606" w:rsidTr="00C93073">
        <w:trPr>
          <w:cantSplit/>
          <w:trHeight w:val="2358"/>
        </w:trPr>
        <w:tc>
          <w:tcPr>
            <w:tcW w:w="817" w:type="dxa"/>
            <w:textDirection w:val="btLr"/>
          </w:tcPr>
          <w:p w:rsidR="00771456" w:rsidRPr="00771456" w:rsidRDefault="00247F8B" w:rsidP="00D93BE3">
            <w:pPr>
              <w:spacing w:line="276" w:lineRule="auto"/>
              <w:ind w:left="113" w:right="113"/>
              <w:jc w:val="center"/>
              <w:rPr>
                <w:rFonts w:asciiTheme="majorBidi" w:eastAsia="Times New Roman" w:hAnsiTheme="majorBidi" w:cstheme="majorBidi"/>
                <w:b/>
                <w:sz w:val="24"/>
                <w:szCs w:val="24"/>
                <w:lang w:val="en-US" w:eastAsia="fr-FR"/>
              </w:rPr>
            </w:pPr>
            <w:r>
              <w:rPr>
                <w:rFonts w:asciiTheme="majorBidi" w:eastAsia="Times New Roman" w:hAnsiTheme="majorBidi" w:cstheme="majorBidi"/>
                <w:b/>
                <w:sz w:val="24"/>
                <w:szCs w:val="24"/>
                <w:lang w:val="en-US" w:eastAsia="fr-FR"/>
              </w:rPr>
              <w:t xml:space="preserve">Resident </w:t>
            </w:r>
            <w:r w:rsidR="00771456" w:rsidRPr="00771456">
              <w:rPr>
                <w:rFonts w:asciiTheme="majorBidi" w:eastAsia="Times New Roman" w:hAnsiTheme="majorBidi" w:cstheme="majorBidi"/>
                <w:b/>
                <w:sz w:val="24"/>
                <w:szCs w:val="24"/>
                <w:lang w:val="en-US" w:eastAsia="fr-FR"/>
              </w:rPr>
              <w:t>Accounts</w:t>
            </w:r>
          </w:p>
          <w:p w:rsidR="00771456" w:rsidRPr="00835735" w:rsidRDefault="00771456" w:rsidP="00D93BE3">
            <w:pPr>
              <w:spacing w:line="276" w:lineRule="auto"/>
              <w:ind w:left="113" w:right="113"/>
              <w:jc w:val="both"/>
              <w:rPr>
                <w:rFonts w:asciiTheme="majorBidi" w:eastAsia="Times New Roman" w:hAnsiTheme="majorBidi" w:cstheme="majorBidi"/>
                <w:b/>
                <w:sz w:val="24"/>
                <w:szCs w:val="24"/>
                <w:lang w:eastAsia="fr-FR"/>
              </w:rPr>
            </w:pPr>
          </w:p>
        </w:tc>
        <w:tc>
          <w:tcPr>
            <w:tcW w:w="5103" w:type="dxa"/>
          </w:tcPr>
          <w:p w:rsidR="00771456" w:rsidRPr="00C93073" w:rsidRDefault="00771456" w:rsidP="00D93BE3">
            <w:pPr>
              <w:spacing w:line="276" w:lineRule="auto"/>
              <w:jc w:val="both"/>
              <w:rPr>
                <w:rFonts w:asciiTheme="majorBidi" w:eastAsia="Times New Roman" w:hAnsiTheme="majorBidi" w:cstheme="majorBidi"/>
                <w:sz w:val="24"/>
                <w:szCs w:val="24"/>
                <w:lang w:val="en-US" w:eastAsia="fr-FR"/>
              </w:rPr>
            </w:pPr>
            <w:r w:rsidRPr="00771456">
              <w:rPr>
                <w:rFonts w:asciiTheme="majorBidi" w:eastAsia="Times New Roman" w:hAnsiTheme="majorBidi" w:cstheme="majorBidi"/>
                <w:sz w:val="24"/>
                <w:szCs w:val="24"/>
                <w:lang w:val="en-US" w:eastAsia="fr-FR"/>
              </w:rPr>
              <w:t xml:space="preserve">Foreign exchange regulations in </w:t>
            </w:r>
            <w:r w:rsidR="00247F8B">
              <w:rPr>
                <w:rFonts w:asciiTheme="majorBidi" w:eastAsia="Times New Roman" w:hAnsiTheme="majorBidi" w:cstheme="majorBidi"/>
                <w:sz w:val="24"/>
                <w:szCs w:val="24"/>
                <w:lang w:val="en-US" w:eastAsia="fr-FR"/>
              </w:rPr>
              <w:t>all selected countries</w:t>
            </w:r>
            <w:r w:rsidRPr="00771456">
              <w:rPr>
                <w:rFonts w:asciiTheme="majorBidi" w:eastAsia="Times New Roman" w:hAnsiTheme="majorBidi" w:cstheme="majorBidi"/>
                <w:sz w:val="24"/>
                <w:szCs w:val="24"/>
                <w:lang w:val="en-US" w:eastAsia="fr-FR"/>
              </w:rPr>
              <w:t xml:space="preserve"> allows residents</w:t>
            </w:r>
            <w:r w:rsidR="00247F8B" w:rsidRPr="00247F8B">
              <w:rPr>
                <w:rFonts w:asciiTheme="majorBidi" w:eastAsia="Times New Roman" w:hAnsiTheme="majorBidi" w:cstheme="majorBidi"/>
                <w:sz w:val="24"/>
                <w:szCs w:val="24"/>
                <w:lang w:val="en-US" w:eastAsia="fr-FR"/>
              </w:rPr>
              <w:t xml:space="preserve"> generating revenue of exports of goods and services</w:t>
            </w:r>
            <w:r w:rsidRPr="00771456">
              <w:rPr>
                <w:rFonts w:asciiTheme="majorBidi" w:eastAsia="Times New Roman" w:hAnsiTheme="majorBidi" w:cstheme="majorBidi"/>
                <w:sz w:val="24"/>
                <w:szCs w:val="24"/>
                <w:lang w:val="en-US" w:eastAsia="fr-FR"/>
              </w:rPr>
              <w:t xml:space="preserve"> to open foreign currency accounts and </w:t>
            </w:r>
            <w:r w:rsidR="00DF11F6">
              <w:rPr>
                <w:rFonts w:asciiTheme="majorBidi" w:eastAsia="Times New Roman" w:hAnsiTheme="majorBidi" w:cstheme="majorBidi"/>
                <w:sz w:val="24"/>
                <w:szCs w:val="24"/>
                <w:lang w:val="en-US" w:eastAsia="fr-FR"/>
              </w:rPr>
              <w:t>crediting</w:t>
            </w:r>
            <w:r w:rsidRPr="00771456">
              <w:rPr>
                <w:rFonts w:asciiTheme="majorBidi" w:eastAsia="Times New Roman" w:hAnsiTheme="majorBidi" w:cstheme="majorBidi"/>
                <w:sz w:val="24"/>
                <w:szCs w:val="24"/>
                <w:lang w:val="en-US" w:eastAsia="fr-FR"/>
              </w:rPr>
              <w:t xml:space="preserve"> these accounts up to 100 % of revenues generated under it.</w:t>
            </w:r>
          </w:p>
        </w:tc>
        <w:tc>
          <w:tcPr>
            <w:tcW w:w="3260" w:type="dxa"/>
          </w:tcPr>
          <w:p w:rsidR="00771456" w:rsidRPr="00771456" w:rsidRDefault="00771456" w:rsidP="00D93BE3">
            <w:pPr>
              <w:spacing w:line="276" w:lineRule="auto"/>
              <w:jc w:val="both"/>
              <w:rPr>
                <w:rFonts w:asciiTheme="majorBidi" w:eastAsia="Times New Roman" w:hAnsiTheme="majorBidi" w:cstheme="majorBidi"/>
                <w:sz w:val="24"/>
                <w:szCs w:val="24"/>
                <w:lang w:val="en-US" w:eastAsia="fr-FR"/>
              </w:rPr>
            </w:pPr>
          </w:p>
          <w:p w:rsidR="00247F8B" w:rsidRPr="00771456" w:rsidRDefault="00771456" w:rsidP="00D93BE3">
            <w:pPr>
              <w:spacing w:line="276" w:lineRule="auto"/>
              <w:jc w:val="both"/>
              <w:rPr>
                <w:rFonts w:asciiTheme="majorBidi" w:eastAsia="Times New Roman" w:hAnsiTheme="majorBidi" w:cstheme="majorBidi"/>
                <w:sz w:val="24"/>
                <w:szCs w:val="24"/>
                <w:lang w:val="en-US" w:eastAsia="fr-FR"/>
              </w:rPr>
            </w:pPr>
            <w:r w:rsidRPr="00771456">
              <w:rPr>
                <w:rFonts w:asciiTheme="majorBidi" w:eastAsia="Times New Roman" w:hAnsiTheme="majorBidi" w:cstheme="majorBidi"/>
                <w:sz w:val="24"/>
                <w:szCs w:val="24"/>
                <w:lang w:val="en-US" w:eastAsia="fr-FR"/>
              </w:rPr>
              <w:t xml:space="preserve">Exchange regulations allow exporters of goods and services to open foreign currency accounts and </w:t>
            </w:r>
            <w:r w:rsidR="00DF11F6">
              <w:rPr>
                <w:rFonts w:asciiTheme="majorBidi" w:eastAsia="Times New Roman" w:hAnsiTheme="majorBidi" w:cstheme="majorBidi"/>
                <w:sz w:val="24"/>
                <w:szCs w:val="24"/>
                <w:lang w:val="en-US" w:eastAsia="fr-FR"/>
              </w:rPr>
              <w:t>crediting</w:t>
            </w:r>
            <w:r w:rsidRPr="00771456">
              <w:rPr>
                <w:rFonts w:asciiTheme="majorBidi" w:eastAsia="Times New Roman" w:hAnsiTheme="majorBidi" w:cstheme="majorBidi"/>
                <w:sz w:val="24"/>
                <w:szCs w:val="24"/>
                <w:lang w:val="en-US" w:eastAsia="fr-FR"/>
              </w:rPr>
              <w:t xml:space="preserve"> these accounts to 70 % of revenues generated under it.</w:t>
            </w:r>
          </w:p>
        </w:tc>
      </w:tr>
      <w:tr w:rsidR="00771456" w:rsidRPr="00F16606" w:rsidTr="00FA3495">
        <w:trPr>
          <w:cantSplit/>
          <w:trHeight w:val="1134"/>
        </w:trPr>
        <w:tc>
          <w:tcPr>
            <w:tcW w:w="817" w:type="dxa"/>
            <w:textDirection w:val="btLr"/>
          </w:tcPr>
          <w:p w:rsidR="00771456" w:rsidRPr="00835735" w:rsidRDefault="00DF11F6" w:rsidP="00D93BE3">
            <w:pPr>
              <w:spacing w:line="276" w:lineRule="auto"/>
              <w:ind w:left="113" w:right="113"/>
              <w:jc w:val="center"/>
              <w:rPr>
                <w:rFonts w:asciiTheme="majorBidi" w:eastAsia="Times New Roman" w:hAnsiTheme="majorBidi" w:cstheme="majorBidi"/>
                <w:b/>
                <w:sz w:val="24"/>
                <w:szCs w:val="24"/>
                <w:lang w:eastAsia="fr-FR"/>
              </w:rPr>
            </w:pPr>
            <w:r>
              <w:rPr>
                <w:rFonts w:asciiTheme="majorBidi" w:eastAsia="Times New Roman" w:hAnsiTheme="majorBidi" w:cstheme="majorBidi"/>
                <w:b/>
                <w:sz w:val="24"/>
                <w:szCs w:val="24"/>
                <w:lang w:val="en-US" w:eastAsia="fr-FR"/>
              </w:rPr>
              <w:t xml:space="preserve">Non Resident </w:t>
            </w:r>
            <w:r w:rsidRPr="00771456">
              <w:rPr>
                <w:rFonts w:asciiTheme="majorBidi" w:eastAsia="Times New Roman" w:hAnsiTheme="majorBidi" w:cstheme="majorBidi"/>
                <w:b/>
                <w:sz w:val="24"/>
                <w:szCs w:val="24"/>
                <w:lang w:val="en-US" w:eastAsia="fr-FR"/>
              </w:rPr>
              <w:t>Accounts</w:t>
            </w:r>
          </w:p>
        </w:tc>
        <w:tc>
          <w:tcPr>
            <w:tcW w:w="5103" w:type="dxa"/>
          </w:tcPr>
          <w:p w:rsidR="00771456" w:rsidRDefault="00DF11F6" w:rsidP="00D93BE3">
            <w:pPr>
              <w:spacing w:line="276" w:lineRule="auto"/>
              <w:jc w:val="both"/>
              <w:rPr>
                <w:rFonts w:asciiTheme="majorBidi" w:eastAsia="Times New Roman" w:hAnsiTheme="majorBidi" w:cstheme="majorBidi"/>
                <w:sz w:val="24"/>
                <w:szCs w:val="24"/>
                <w:lang w:val="en-US" w:eastAsia="fr-FR"/>
              </w:rPr>
            </w:pPr>
            <w:r w:rsidRPr="00DF11F6">
              <w:rPr>
                <w:rFonts w:asciiTheme="majorBidi" w:eastAsia="Times New Roman" w:hAnsiTheme="majorBidi" w:cstheme="majorBidi"/>
                <w:sz w:val="24"/>
                <w:szCs w:val="24"/>
                <w:lang w:val="en-US" w:eastAsia="fr-FR"/>
              </w:rPr>
              <w:t>Foreign exchange regulation gi</w:t>
            </w:r>
            <w:r w:rsidR="00406E54">
              <w:rPr>
                <w:rFonts w:asciiTheme="majorBidi" w:eastAsia="Times New Roman" w:hAnsiTheme="majorBidi" w:cstheme="majorBidi"/>
                <w:sz w:val="24"/>
                <w:szCs w:val="24"/>
                <w:lang w:val="en-US" w:eastAsia="fr-FR"/>
              </w:rPr>
              <w:t>ves the possibility for non</w:t>
            </w:r>
            <w:r w:rsidRPr="00DF11F6">
              <w:rPr>
                <w:rFonts w:asciiTheme="majorBidi" w:eastAsia="Times New Roman" w:hAnsiTheme="majorBidi" w:cstheme="majorBidi"/>
                <w:sz w:val="24"/>
                <w:szCs w:val="24"/>
                <w:lang w:val="en-US" w:eastAsia="fr-FR"/>
              </w:rPr>
              <w:t xml:space="preserve">-residents to open foreign currency accounts and maintain resources accordingly received in </w:t>
            </w:r>
            <w:r w:rsidR="00406E54">
              <w:rPr>
                <w:rFonts w:asciiTheme="majorBidi" w:eastAsia="Times New Roman" w:hAnsiTheme="majorBidi" w:cstheme="majorBidi"/>
                <w:sz w:val="24"/>
                <w:szCs w:val="24"/>
                <w:lang w:val="en-US" w:eastAsia="fr-FR"/>
              </w:rPr>
              <w:t>these</w:t>
            </w:r>
            <w:r w:rsidRPr="00DF11F6">
              <w:rPr>
                <w:rFonts w:asciiTheme="majorBidi" w:eastAsia="Times New Roman" w:hAnsiTheme="majorBidi" w:cstheme="majorBidi"/>
                <w:sz w:val="24"/>
                <w:szCs w:val="24"/>
                <w:lang w:val="en-US" w:eastAsia="fr-FR"/>
              </w:rPr>
              <w:t xml:space="preserve"> accounts / and this in all </w:t>
            </w:r>
            <w:r w:rsidR="00406E54">
              <w:rPr>
                <w:rFonts w:asciiTheme="majorBidi" w:eastAsia="Times New Roman" w:hAnsiTheme="majorBidi" w:cstheme="majorBidi"/>
                <w:sz w:val="24"/>
                <w:szCs w:val="24"/>
                <w:lang w:val="en-US" w:eastAsia="fr-FR"/>
              </w:rPr>
              <w:t xml:space="preserve">selected </w:t>
            </w:r>
            <w:r w:rsidRPr="00DF11F6">
              <w:rPr>
                <w:rFonts w:asciiTheme="majorBidi" w:eastAsia="Times New Roman" w:hAnsiTheme="majorBidi" w:cstheme="majorBidi"/>
                <w:sz w:val="24"/>
                <w:szCs w:val="24"/>
                <w:lang w:val="en-US" w:eastAsia="fr-FR"/>
              </w:rPr>
              <w:t>countries.</w:t>
            </w:r>
          </w:p>
          <w:p w:rsidR="00406E54" w:rsidRPr="00DF11F6" w:rsidRDefault="00406E54" w:rsidP="00D93BE3">
            <w:pPr>
              <w:spacing w:line="276" w:lineRule="auto"/>
              <w:jc w:val="both"/>
              <w:rPr>
                <w:rFonts w:asciiTheme="majorBidi" w:eastAsia="Times New Roman" w:hAnsiTheme="majorBidi" w:cstheme="majorBidi"/>
                <w:sz w:val="24"/>
                <w:szCs w:val="24"/>
                <w:lang w:val="en-US" w:eastAsia="fr-FR"/>
              </w:rPr>
            </w:pPr>
          </w:p>
          <w:p w:rsidR="00771456" w:rsidRPr="00406E54" w:rsidRDefault="00406E54" w:rsidP="00D93BE3">
            <w:pPr>
              <w:spacing w:line="276" w:lineRule="auto"/>
              <w:jc w:val="both"/>
              <w:rPr>
                <w:rFonts w:asciiTheme="majorBidi" w:eastAsia="Times New Roman" w:hAnsiTheme="majorBidi" w:cstheme="majorBidi"/>
                <w:b/>
                <w:sz w:val="24"/>
                <w:szCs w:val="24"/>
                <w:lang w:val="en-US" w:eastAsia="fr-FR"/>
              </w:rPr>
            </w:pPr>
            <w:r w:rsidRPr="00406E54">
              <w:rPr>
                <w:rFonts w:asciiTheme="majorBidi" w:eastAsia="Times New Roman" w:hAnsiTheme="majorBidi" w:cstheme="majorBidi"/>
                <w:sz w:val="24"/>
                <w:szCs w:val="24"/>
                <w:lang w:val="en-US" w:eastAsia="fr-FR"/>
              </w:rPr>
              <w:t>This facility covers also the term deposit accounts in Uk</w:t>
            </w:r>
            <w:r>
              <w:rPr>
                <w:rFonts w:asciiTheme="majorBidi" w:eastAsia="Times New Roman" w:hAnsiTheme="majorBidi" w:cstheme="majorBidi"/>
                <w:sz w:val="24"/>
                <w:szCs w:val="24"/>
                <w:lang w:val="en-US" w:eastAsia="fr-FR"/>
              </w:rPr>
              <w:t>raine, Argentina and Indonesia.</w:t>
            </w:r>
          </w:p>
        </w:tc>
        <w:tc>
          <w:tcPr>
            <w:tcW w:w="3260" w:type="dxa"/>
          </w:tcPr>
          <w:p w:rsidR="00771456" w:rsidRPr="00406E54" w:rsidRDefault="00406E54" w:rsidP="00D93BE3">
            <w:pPr>
              <w:spacing w:line="276" w:lineRule="auto"/>
              <w:jc w:val="both"/>
              <w:rPr>
                <w:rFonts w:asciiTheme="majorBidi" w:eastAsia="Times New Roman" w:hAnsiTheme="majorBidi" w:cstheme="majorBidi"/>
                <w:b/>
                <w:sz w:val="24"/>
                <w:szCs w:val="24"/>
                <w:lang w:val="en-US" w:eastAsia="fr-FR"/>
              </w:rPr>
            </w:pPr>
            <w:r w:rsidRPr="00406E54">
              <w:rPr>
                <w:rFonts w:asciiTheme="majorBidi" w:hAnsiTheme="majorBidi" w:cstheme="majorBidi"/>
                <w:sz w:val="24"/>
                <w:szCs w:val="24"/>
                <w:lang w:val="en-US"/>
              </w:rPr>
              <w:t>Permission granted to approved intermediary banks to open these ac</w:t>
            </w:r>
            <w:r>
              <w:rPr>
                <w:rFonts w:asciiTheme="majorBidi" w:hAnsiTheme="majorBidi" w:cstheme="majorBidi"/>
                <w:sz w:val="24"/>
                <w:szCs w:val="24"/>
                <w:lang w:val="en-US"/>
              </w:rPr>
              <w:t>counts on behalf of foreign non</w:t>
            </w:r>
            <w:r w:rsidRPr="00406E54">
              <w:rPr>
                <w:rFonts w:asciiTheme="majorBidi" w:hAnsiTheme="majorBidi" w:cstheme="majorBidi"/>
                <w:sz w:val="24"/>
                <w:szCs w:val="24"/>
                <w:lang w:val="en-US"/>
              </w:rPr>
              <w:t xml:space="preserve">-resident individuals or Moroccan nationality and on behalf of non-resident </w:t>
            </w:r>
            <w:r>
              <w:rPr>
                <w:rFonts w:asciiTheme="majorBidi" w:hAnsiTheme="majorBidi" w:cstheme="majorBidi"/>
                <w:sz w:val="24"/>
                <w:szCs w:val="24"/>
                <w:lang w:val="en-US"/>
              </w:rPr>
              <w:t>corporations</w:t>
            </w:r>
            <w:r w:rsidRPr="00406E54">
              <w:rPr>
                <w:rFonts w:asciiTheme="majorBidi" w:hAnsiTheme="majorBidi" w:cstheme="majorBidi"/>
                <w:sz w:val="24"/>
                <w:szCs w:val="24"/>
                <w:lang w:val="en-US"/>
              </w:rPr>
              <w:t>.</w:t>
            </w:r>
          </w:p>
        </w:tc>
      </w:tr>
    </w:tbl>
    <w:p w:rsidR="00771456" w:rsidRPr="00406E54" w:rsidRDefault="00771456" w:rsidP="00FA6C25">
      <w:pPr>
        <w:spacing w:after="0"/>
        <w:jc w:val="both"/>
        <w:rPr>
          <w:rFonts w:ascii="inherit" w:hAnsi="inherit"/>
          <w:color w:val="212121"/>
          <w:lang w:val="en-US"/>
        </w:rPr>
      </w:pPr>
    </w:p>
    <w:p w:rsidR="00FC236F" w:rsidRDefault="00FC236F" w:rsidP="00D93BE3">
      <w:pPr>
        <w:rPr>
          <w:rFonts w:ascii="gara" w:eastAsia="Times New Roman" w:hAnsi="gara" w:cstheme="majorBidi"/>
          <w:b/>
          <w:sz w:val="24"/>
          <w:szCs w:val="32"/>
          <w:u w:val="single"/>
          <w:lang w:val="en-US" w:eastAsia="fr-FR"/>
        </w:rPr>
      </w:pPr>
      <w:r w:rsidRPr="00FC236F">
        <w:rPr>
          <w:rFonts w:asciiTheme="majorBidi" w:eastAsia="Times New Roman" w:hAnsiTheme="majorBidi" w:cstheme="majorBidi"/>
          <w:b/>
          <w:sz w:val="24"/>
          <w:szCs w:val="24"/>
          <w:u w:val="single"/>
          <w:lang w:val="en-US" w:eastAsia="fr-FR"/>
        </w:rPr>
        <w:t>Commentary</w:t>
      </w:r>
    </w:p>
    <w:p w:rsidR="00771456" w:rsidRDefault="00FC236F" w:rsidP="00D93BE3">
      <w:pPr>
        <w:jc w:val="both"/>
        <w:rPr>
          <w:rFonts w:ascii="Times New Roman" w:eastAsia="Times New Roman" w:hAnsi="Times New Roman" w:cs="Times New Roman"/>
          <w:sz w:val="24"/>
          <w:szCs w:val="32"/>
          <w:lang w:val="en-US" w:eastAsia="fr-FR"/>
        </w:rPr>
      </w:pPr>
      <w:r w:rsidRPr="00FC236F">
        <w:rPr>
          <w:rFonts w:ascii="Times New Roman" w:eastAsia="Times New Roman" w:hAnsi="Times New Roman" w:cs="Times New Roman"/>
          <w:sz w:val="24"/>
          <w:szCs w:val="32"/>
          <w:lang w:val="en-US" w:eastAsia="fr-FR"/>
        </w:rPr>
        <w:t xml:space="preserve">Morocco's foreign exchange regulation relating to this arrangement seems less favorable than that </w:t>
      </w:r>
      <w:r>
        <w:rPr>
          <w:rFonts w:ascii="Times New Roman" w:eastAsia="Times New Roman" w:hAnsi="Times New Roman" w:cs="Times New Roman"/>
          <w:sz w:val="24"/>
          <w:szCs w:val="32"/>
          <w:lang w:val="en-US" w:eastAsia="fr-FR"/>
        </w:rPr>
        <w:t>in force in</w:t>
      </w:r>
      <w:r w:rsidRPr="00FC236F">
        <w:rPr>
          <w:rFonts w:ascii="Times New Roman" w:eastAsia="Times New Roman" w:hAnsi="Times New Roman" w:cs="Times New Roman"/>
          <w:sz w:val="24"/>
          <w:szCs w:val="32"/>
          <w:lang w:val="en-US" w:eastAsia="fr-FR"/>
        </w:rPr>
        <w:t xml:space="preserve"> other countries to the extent that exporters can </w:t>
      </w:r>
      <w:r w:rsidR="00892A1F">
        <w:rPr>
          <w:rFonts w:ascii="Times New Roman" w:eastAsia="Times New Roman" w:hAnsi="Times New Roman" w:cs="Times New Roman"/>
          <w:sz w:val="24"/>
          <w:szCs w:val="32"/>
          <w:lang w:val="en-US" w:eastAsia="fr-FR"/>
        </w:rPr>
        <w:t>deposit</w:t>
      </w:r>
      <w:r w:rsidRPr="00FC236F">
        <w:rPr>
          <w:rFonts w:ascii="Times New Roman" w:eastAsia="Times New Roman" w:hAnsi="Times New Roman" w:cs="Times New Roman"/>
          <w:sz w:val="24"/>
          <w:szCs w:val="32"/>
          <w:lang w:val="en-US" w:eastAsia="fr-FR"/>
        </w:rPr>
        <w:t xml:space="preserve"> only 70% of revenues from exports in foreign currency accounts. However, the statistics relating to the use of such accounts by the operators show that th</w:t>
      </w:r>
      <w:r w:rsidR="00892A1F">
        <w:rPr>
          <w:rFonts w:ascii="Times New Roman" w:eastAsia="Times New Roman" w:hAnsi="Times New Roman" w:cs="Times New Roman"/>
          <w:sz w:val="24"/>
          <w:szCs w:val="32"/>
          <w:lang w:val="en-US" w:eastAsia="fr-FR"/>
        </w:rPr>
        <w:t xml:space="preserve">is facility </w:t>
      </w:r>
      <w:r w:rsidRPr="00FC236F">
        <w:rPr>
          <w:rFonts w:ascii="Times New Roman" w:eastAsia="Times New Roman" w:hAnsi="Times New Roman" w:cs="Times New Roman"/>
          <w:sz w:val="24"/>
          <w:szCs w:val="32"/>
          <w:lang w:val="en-US" w:eastAsia="fr-FR"/>
        </w:rPr>
        <w:t>awarded under that far exceed the needs of operators.</w:t>
      </w:r>
    </w:p>
    <w:p w:rsidR="003676A4" w:rsidRDefault="00892A1F" w:rsidP="00D93BE3">
      <w:pPr>
        <w:spacing w:after="0"/>
        <w:jc w:val="both"/>
        <w:rPr>
          <w:rFonts w:ascii="Times New Roman" w:eastAsia="Times New Roman" w:hAnsi="Times New Roman" w:cs="Times New Roman"/>
          <w:sz w:val="24"/>
          <w:szCs w:val="32"/>
          <w:lang w:val="en-US" w:eastAsia="fr-FR"/>
        </w:rPr>
      </w:pPr>
      <w:r w:rsidRPr="00892A1F">
        <w:rPr>
          <w:rFonts w:ascii="Times New Roman" w:eastAsia="Times New Roman" w:hAnsi="Times New Roman" w:cs="Times New Roman"/>
          <w:sz w:val="24"/>
          <w:szCs w:val="32"/>
          <w:lang w:val="en-US" w:eastAsia="fr-FR"/>
        </w:rPr>
        <w:t>According to information from the Department of Statistics of Forei</w:t>
      </w:r>
      <w:r>
        <w:rPr>
          <w:rFonts w:ascii="Times New Roman" w:eastAsia="Times New Roman" w:hAnsi="Times New Roman" w:cs="Times New Roman"/>
          <w:sz w:val="24"/>
          <w:szCs w:val="32"/>
          <w:lang w:val="en-US" w:eastAsia="fr-FR"/>
        </w:rPr>
        <w:t xml:space="preserve">gn trade of the Exchange </w:t>
      </w:r>
    </w:p>
    <w:p w:rsidR="00892A1F" w:rsidRDefault="00892A1F" w:rsidP="00D93BE3">
      <w:pPr>
        <w:jc w:val="both"/>
        <w:rPr>
          <w:rFonts w:ascii="Times New Roman" w:eastAsia="Times New Roman" w:hAnsi="Times New Roman" w:cs="Times New Roman"/>
          <w:sz w:val="24"/>
          <w:szCs w:val="32"/>
          <w:lang w:val="en-US" w:eastAsia="fr-FR"/>
        </w:rPr>
      </w:pPr>
      <w:r>
        <w:rPr>
          <w:rFonts w:ascii="Times New Roman" w:eastAsia="Times New Roman" w:hAnsi="Times New Roman" w:cs="Times New Roman"/>
          <w:sz w:val="24"/>
          <w:szCs w:val="32"/>
          <w:lang w:val="en-US" w:eastAsia="fr-FR"/>
        </w:rPr>
        <w:t>Office</w:t>
      </w:r>
      <w:r w:rsidRPr="00892A1F">
        <w:rPr>
          <w:rFonts w:ascii="Times New Roman" w:eastAsia="Times New Roman" w:hAnsi="Times New Roman" w:cs="Times New Roman"/>
          <w:sz w:val="24"/>
          <w:szCs w:val="32"/>
          <w:lang w:val="en-US" w:eastAsia="fr-FR"/>
        </w:rPr>
        <w:t xml:space="preserve">, these accounts are </w:t>
      </w:r>
      <w:r w:rsidR="00023306" w:rsidRPr="00892A1F">
        <w:rPr>
          <w:rFonts w:ascii="Times New Roman" w:eastAsia="Times New Roman" w:hAnsi="Times New Roman" w:cs="Times New Roman"/>
          <w:sz w:val="24"/>
          <w:szCs w:val="32"/>
          <w:lang w:val="en-US" w:eastAsia="fr-FR"/>
        </w:rPr>
        <w:t xml:space="preserve">only </w:t>
      </w:r>
      <w:r w:rsidRPr="00892A1F">
        <w:rPr>
          <w:rFonts w:ascii="Times New Roman" w:eastAsia="Times New Roman" w:hAnsi="Times New Roman" w:cs="Times New Roman"/>
          <w:sz w:val="24"/>
          <w:szCs w:val="32"/>
          <w:lang w:val="en-US" w:eastAsia="fr-FR"/>
        </w:rPr>
        <w:t xml:space="preserve">used </w:t>
      </w:r>
      <w:r w:rsidR="00023306">
        <w:rPr>
          <w:rFonts w:ascii="Times New Roman" w:eastAsia="Times New Roman" w:hAnsi="Times New Roman" w:cs="Times New Roman"/>
          <w:sz w:val="24"/>
          <w:szCs w:val="32"/>
          <w:lang w:val="en-US" w:eastAsia="fr-FR"/>
        </w:rPr>
        <w:t>up to</w:t>
      </w:r>
      <w:r w:rsidRPr="00892A1F">
        <w:rPr>
          <w:rFonts w:ascii="Times New Roman" w:eastAsia="Times New Roman" w:hAnsi="Times New Roman" w:cs="Times New Roman"/>
          <w:sz w:val="24"/>
          <w:szCs w:val="32"/>
          <w:lang w:val="en-US" w:eastAsia="fr-FR"/>
        </w:rPr>
        <w:t xml:space="preserve"> ... %</w:t>
      </w:r>
      <w:r w:rsidR="00812CF3">
        <w:rPr>
          <w:rFonts w:ascii="Times New Roman" w:eastAsia="Times New Roman" w:hAnsi="Times New Roman" w:cs="Times New Roman"/>
          <w:sz w:val="24"/>
          <w:szCs w:val="32"/>
          <w:lang w:val="en-US" w:eastAsia="fr-FR"/>
        </w:rPr>
        <w:t>.</w:t>
      </w:r>
    </w:p>
    <w:p w:rsidR="00FA6C25" w:rsidRDefault="00FA6C25" w:rsidP="00D93BE3">
      <w:pPr>
        <w:jc w:val="both"/>
        <w:rPr>
          <w:rFonts w:ascii="Times New Roman" w:eastAsia="Times New Roman" w:hAnsi="Times New Roman" w:cs="Times New Roman"/>
          <w:sz w:val="24"/>
          <w:szCs w:val="32"/>
          <w:lang w:val="en-US" w:eastAsia="fr-FR"/>
        </w:rPr>
      </w:pPr>
    </w:p>
    <w:p w:rsidR="00FA6C25" w:rsidRDefault="00FA6C25" w:rsidP="00D93BE3">
      <w:pPr>
        <w:jc w:val="both"/>
        <w:rPr>
          <w:rFonts w:ascii="Times New Roman" w:eastAsia="Times New Roman" w:hAnsi="Times New Roman" w:cs="Times New Roman"/>
          <w:sz w:val="24"/>
          <w:szCs w:val="32"/>
          <w:lang w:val="en-US" w:eastAsia="fr-FR"/>
        </w:rPr>
      </w:pPr>
    </w:p>
    <w:p w:rsidR="00FA6C25" w:rsidRDefault="00FA6C25" w:rsidP="00D93BE3">
      <w:pPr>
        <w:jc w:val="both"/>
        <w:rPr>
          <w:rFonts w:ascii="Times New Roman" w:eastAsia="Times New Roman" w:hAnsi="Times New Roman" w:cs="Times New Roman"/>
          <w:sz w:val="24"/>
          <w:szCs w:val="32"/>
          <w:lang w:val="en-US" w:eastAsia="fr-FR"/>
        </w:rPr>
      </w:pPr>
    </w:p>
    <w:p w:rsidR="00FA6C25" w:rsidRDefault="00FA6C25" w:rsidP="00D93BE3">
      <w:pPr>
        <w:jc w:val="both"/>
        <w:rPr>
          <w:rFonts w:ascii="Times New Roman" w:eastAsia="Times New Roman" w:hAnsi="Times New Roman" w:cs="Times New Roman"/>
          <w:sz w:val="24"/>
          <w:szCs w:val="32"/>
          <w:lang w:val="en-US" w:eastAsia="fr-FR"/>
        </w:rPr>
      </w:pPr>
    </w:p>
    <w:p w:rsidR="00F03AD1" w:rsidRDefault="00F03AD1" w:rsidP="00D93BE3">
      <w:pPr>
        <w:jc w:val="both"/>
        <w:rPr>
          <w:rFonts w:ascii="Times New Roman" w:eastAsia="Times New Roman" w:hAnsi="Times New Roman" w:cs="Times New Roman"/>
          <w:sz w:val="24"/>
          <w:szCs w:val="32"/>
          <w:lang w:val="en-US" w:eastAsia="fr-FR"/>
        </w:rPr>
      </w:pPr>
      <w:r w:rsidRPr="00835735">
        <w:rPr>
          <w:rFonts w:asciiTheme="majorBidi" w:eastAsia="Times New Roman" w:hAnsiTheme="majorBidi" w:cstheme="majorBidi"/>
          <w:b/>
          <w:sz w:val="24"/>
          <w:szCs w:val="24"/>
          <w:lang w:eastAsia="fr-FR"/>
        </w:rPr>
        <w:lastRenderedPageBreak/>
        <w:t>II</w:t>
      </w:r>
      <w:r w:rsidR="00FA6C25">
        <w:rPr>
          <w:rFonts w:asciiTheme="majorBidi" w:eastAsia="Times New Roman" w:hAnsiTheme="majorBidi" w:cstheme="majorBidi"/>
          <w:b/>
          <w:sz w:val="24"/>
          <w:szCs w:val="24"/>
          <w:lang w:eastAsia="fr-FR"/>
        </w:rPr>
        <w:t>I</w:t>
      </w:r>
      <w:r w:rsidRPr="00835735">
        <w:rPr>
          <w:rFonts w:asciiTheme="majorBidi" w:eastAsia="Times New Roman" w:hAnsiTheme="majorBidi" w:cstheme="majorBidi"/>
          <w:b/>
          <w:sz w:val="24"/>
          <w:szCs w:val="24"/>
          <w:lang w:eastAsia="fr-FR"/>
        </w:rPr>
        <w:t>-2/</w:t>
      </w:r>
      <w:r>
        <w:rPr>
          <w:rFonts w:asciiTheme="majorBidi" w:eastAsia="Times New Roman" w:hAnsiTheme="majorBidi" w:cstheme="majorBidi"/>
          <w:b/>
          <w:sz w:val="24"/>
          <w:szCs w:val="24"/>
          <w:lang w:eastAsia="fr-FR"/>
        </w:rPr>
        <w:t xml:space="preserve"> </w:t>
      </w:r>
      <w:r w:rsidRPr="00F03AD1">
        <w:rPr>
          <w:rFonts w:asciiTheme="majorBidi" w:eastAsia="Times New Roman" w:hAnsiTheme="majorBidi" w:cstheme="majorBidi"/>
          <w:b/>
          <w:sz w:val="24"/>
          <w:szCs w:val="24"/>
          <w:lang w:eastAsia="fr-FR"/>
        </w:rPr>
        <w:t xml:space="preserve">Trade </w:t>
      </w:r>
      <w:r w:rsidRPr="00F03AD1">
        <w:rPr>
          <w:rFonts w:asciiTheme="majorBidi" w:eastAsia="Times New Roman" w:hAnsiTheme="majorBidi" w:cstheme="majorBidi"/>
          <w:b/>
          <w:sz w:val="24"/>
          <w:szCs w:val="24"/>
          <w:lang w:val="en-US" w:eastAsia="fr-FR"/>
        </w:rPr>
        <w:t>credits</w:t>
      </w:r>
      <w:r>
        <w:rPr>
          <w:rFonts w:ascii="Times New Roman" w:eastAsia="Times New Roman" w:hAnsi="Times New Roman" w:cs="Times New Roman"/>
          <w:sz w:val="24"/>
          <w:szCs w:val="32"/>
          <w:lang w:val="en-US" w:eastAsia="fr-FR"/>
        </w:rPr>
        <w:t xml:space="preserve"> </w:t>
      </w:r>
    </w:p>
    <w:tbl>
      <w:tblPr>
        <w:tblStyle w:val="Grilledutableau"/>
        <w:tblW w:w="9747" w:type="dxa"/>
        <w:tblLook w:val="04A0" w:firstRow="1" w:lastRow="0" w:firstColumn="1" w:lastColumn="0" w:noHBand="0" w:noVBand="1"/>
      </w:tblPr>
      <w:tblGrid>
        <w:gridCol w:w="548"/>
        <w:gridCol w:w="5519"/>
        <w:gridCol w:w="3680"/>
      </w:tblGrid>
      <w:tr w:rsidR="00C93073" w:rsidRPr="00392271" w:rsidTr="00812CF3">
        <w:trPr>
          <w:cantSplit/>
          <w:trHeight w:val="374"/>
        </w:trPr>
        <w:tc>
          <w:tcPr>
            <w:tcW w:w="548" w:type="dxa"/>
            <w:textDirection w:val="btLr"/>
            <w:vAlign w:val="center"/>
          </w:tcPr>
          <w:p w:rsidR="00C93073" w:rsidRDefault="00C93073" w:rsidP="00D93BE3">
            <w:pPr>
              <w:ind w:left="113" w:right="113"/>
              <w:jc w:val="center"/>
              <w:rPr>
                <w:rFonts w:asciiTheme="majorBidi" w:eastAsia="Times New Roman" w:hAnsiTheme="majorBidi" w:cstheme="majorBidi"/>
                <w:b/>
                <w:sz w:val="24"/>
                <w:szCs w:val="24"/>
                <w:lang w:eastAsia="fr-FR"/>
              </w:rPr>
            </w:pPr>
          </w:p>
        </w:tc>
        <w:tc>
          <w:tcPr>
            <w:tcW w:w="5519" w:type="dxa"/>
            <w:vAlign w:val="center"/>
          </w:tcPr>
          <w:p w:rsidR="00C93073" w:rsidRPr="00835735" w:rsidRDefault="00C93073" w:rsidP="00C93073">
            <w:pPr>
              <w:spacing w:line="276" w:lineRule="auto"/>
              <w:jc w:val="center"/>
              <w:rPr>
                <w:rFonts w:asciiTheme="majorBidi" w:eastAsia="Times New Roman" w:hAnsiTheme="majorBidi" w:cstheme="majorBidi"/>
                <w:b/>
                <w:sz w:val="24"/>
                <w:szCs w:val="24"/>
                <w:lang w:eastAsia="fr-FR"/>
              </w:rPr>
            </w:pPr>
            <w:r>
              <w:rPr>
                <w:rFonts w:asciiTheme="majorBidi" w:eastAsia="Times New Roman" w:hAnsiTheme="majorBidi" w:cstheme="majorBidi"/>
                <w:b/>
                <w:sz w:val="24"/>
                <w:szCs w:val="24"/>
                <w:lang w:eastAsia="fr-FR"/>
              </w:rPr>
              <w:t>Set of countries</w:t>
            </w:r>
          </w:p>
        </w:tc>
        <w:tc>
          <w:tcPr>
            <w:tcW w:w="3680" w:type="dxa"/>
            <w:vAlign w:val="center"/>
          </w:tcPr>
          <w:p w:rsidR="00C93073" w:rsidRPr="00835735" w:rsidRDefault="00C93073" w:rsidP="00C93073">
            <w:pPr>
              <w:spacing w:line="276" w:lineRule="auto"/>
              <w:jc w:val="center"/>
              <w:rPr>
                <w:rFonts w:asciiTheme="majorBidi" w:eastAsia="Times New Roman" w:hAnsiTheme="majorBidi" w:cstheme="majorBidi"/>
                <w:b/>
                <w:sz w:val="24"/>
                <w:szCs w:val="24"/>
                <w:lang w:eastAsia="fr-FR"/>
              </w:rPr>
            </w:pPr>
            <w:r w:rsidRPr="00DF11F6">
              <w:rPr>
                <w:rFonts w:asciiTheme="majorBidi" w:eastAsia="Times New Roman" w:hAnsiTheme="majorBidi" w:cstheme="majorBidi"/>
                <w:b/>
                <w:sz w:val="24"/>
                <w:szCs w:val="24"/>
                <w:lang w:val="en-US" w:eastAsia="fr-FR"/>
              </w:rPr>
              <w:t>Morocco</w:t>
            </w:r>
          </w:p>
        </w:tc>
      </w:tr>
      <w:tr w:rsidR="00C93073" w:rsidRPr="00F16606" w:rsidTr="00C93073">
        <w:trPr>
          <w:cantSplit/>
          <w:trHeight w:val="1134"/>
        </w:trPr>
        <w:tc>
          <w:tcPr>
            <w:tcW w:w="548" w:type="dxa"/>
            <w:textDirection w:val="btLr"/>
            <w:vAlign w:val="center"/>
          </w:tcPr>
          <w:p w:rsidR="00C93073" w:rsidRPr="00835735" w:rsidRDefault="00812CF3" w:rsidP="00D93BE3">
            <w:pPr>
              <w:spacing w:line="276" w:lineRule="auto"/>
              <w:ind w:left="113" w:right="113"/>
              <w:jc w:val="center"/>
              <w:rPr>
                <w:rFonts w:asciiTheme="majorBidi" w:eastAsia="Times New Roman" w:hAnsiTheme="majorBidi" w:cstheme="majorBidi"/>
                <w:b/>
                <w:sz w:val="24"/>
                <w:szCs w:val="24"/>
                <w:lang w:eastAsia="fr-FR"/>
              </w:rPr>
            </w:pPr>
            <w:r>
              <w:rPr>
                <w:rFonts w:asciiTheme="majorBidi" w:eastAsia="Times New Roman" w:hAnsiTheme="majorBidi" w:cstheme="majorBidi"/>
                <w:b/>
                <w:noProof/>
                <w:sz w:val="24"/>
                <w:szCs w:val="24"/>
                <w:lang w:eastAsia="fr-FR"/>
              </w:rPr>
              <mc:AlternateContent>
                <mc:Choice Requires="wps">
                  <w:drawing>
                    <wp:anchor distT="0" distB="0" distL="114300" distR="114300" simplePos="0" relativeHeight="251659264" behindDoc="0" locked="0" layoutInCell="1" allowOverlap="1" wp14:anchorId="262A6ED8" wp14:editId="44EB0E3D">
                      <wp:simplePos x="0" y="0"/>
                      <wp:positionH relativeFrom="column">
                        <wp:posOffset>-300355</wp:posOffset>
                      </wp:positionH>
                      <wp:positionV relativeFrom="paragraph">
                        <wp:posOffset>9172575</wp:posOffset>
                      </wp:positionV>
                      <wp:extent cx="61722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6642E" id="Rectangle 1" o:spid="_x0000_s1026" style="position:absolute;margin-left:-23.65pt;margin-top:722.25pt;width:48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" fillcolor="#4f81bd [3204]" strokecolor="#243f60 [1604]" strokeweight="2pt"/>
                  </w:pict>
                </mc:Fallback>
              </mc:AlternateContent>
            </w:r>
            <w:r w:rsidR="00C93073">
              <w:rPr>
                <w:rFonts w:asciiTheme="majorBidi" w:eastAsia="Times New Roman" w:hAnsiTheme="majorBidi" w:cstheme="majorBidi"/>
                <w:b/>
                <w:sz w:val="24"/>
                <w:szCs w:val="24"/>
                <w:lang w:eastAsia="fr-FR"/>
              </w:rPr>
              <w:t>For</w:t>
            </w:r>
            <w:r w:rsidR="00C93073" w:rsidRPr="00835735">
              <w:rPr>
                <w:rFonts w:asciiTheme="majorBidi" w:eastAsia="Times New Roman" w:hAnsiTheme="majorBidi" w:cstheme="majorBidi"/>
                <w:b/>
                <w:sz w:val="24"/>
                <w:szCs w:val="24"/>
                <w:lang w:eastAsia="fr-FR"/>
              </w:rPr>
              <w:t xml:space="preserve"> </w:t>
            </w:r>
            <w:r w:rsidR="00C93073" w:rsidRPr="00F03AD1">
              <w:rPr>
                <w:rFonts w:asciiTheme="majorBidi" w:eastAsia="Times New Roman" w:hAnsiTheme="majorBidi" w:cstheme="majorBidi"/>
                <w:b/>
                <w:sz w:val="24"/>
                <w:szCs w:val="24"/>
                <w:lang w:val="en-US" w:eastAsia="fr-FR"/>
              </w:rPr>
              <w:t>residents</w:t>
            </w:r>
          </w:p>
        </w:tc>
        <w:tc>
          <w:tcPr>
            <w:tcW w:w="5519" w:type="dxa"/>
          </w:tcPr>
          <w:p w:rsidR="00C93073" w:rsidRDefault="00C93073" w:rsidP="00D93BE3">
            <w:pPr>
              <w:spacing w:line="276" w:lineRule="auto"/>
              <w:jc w:val="both"/>
              <w:rPr>
                <w:rFonts w:asciiTheme="majorBidi" w:eastAsia="Times New Roman" w:hAnsiTheme="majorBidi" w:cstheme="majorBidi"/>
                <w:sz w:val="24"/>
                <w:szCs w:val="24"/>
                <w:lang w:val="en-US" w:eastAsia="fr-FR"/>
              </w:rPr>
            </w:pPr>
            <w:r w:rsidRPr="007D7976">
              <w:rPr>
                <w:rFonts w:asciiTheme="majorBidi" w:eastAsia="Times New Roman" w:hAnsiTheme="majorBidi" w:cstheme="majorBidi"/>
                <w:sz w:val="24"/>
                <w:szCs w:val="24"/>
                <w:lang w:val="en-US" w:eastAsia="fr-FR"/>
              </w:rPr>
              <w:t>-</w:t>
            </w:r>
            <w:r w:rsidRPr="007D7976">
              <w:rPr>
                <w:lang w:val="en-US"/>
              </w:rPr>
              <w:t xml:space="preserve"> </w:t>
            </w:r>
            <w:r>
              <w:rPr>
                <w:rFonts w:asciiTheme="majorBidi" w:eastAsia="Times New Roman" w:hAnsiTheme="majorBidi" w:cstheme="majorBidi"/>
                <w:sz w:val="24"/>
                <w:szCs w:val="24"/>
                <w:lang w:val="en-US" w:eastAsia="fr-FR"/>
              </w:rPr>
              <w:t>General authorization (total freedom</w:t>
            </w:r>
            <w:r w:rsidRPr="007D7976">
              <w:rPr>
                <w:rFonts w:asciiTheme="majorBidi" w:eastAsia="Times New Roman" w:hAnsiTheme="majorBidi" w:cstheme="majorBidi"/>
                <w:sz w:val="24"/>
                <w:szCs w:val="24"/>
                <w:lang w:val="en-US" w:eastAsia="fr-FR"/>
              </w:rPr>
              <w:t xml:space="preserve">) and without limit for the </w:t>
            </w:r>
            <w:r>
              <w:rPr>
                <w:rFonts w:asciiTheme="majorBidi" w:eastAsia="Times New Roman" w:hAnsiTheme="majorBidi" w:cstheme="majorBidi"/>
                <w:sz w:val="24"/>
                <w:szCs w:val="24"/>
                <w:lang w:val="en-US" w:eastAsia="fr-FR"/>
              </w:rPr>
              <w:t>realization</w:t>
            </w:r>
            <w:r w:rsidRPr="007D7976">
              <w:rPr>
                <w:rFonts w:asciiTheme="majorBidi" w:eastAsia="Times New Roman" w:hAnsiTheme="majorBidi" w:cstheme="majorBidi"/>
                <w:sz w:val="24"/>
                <w:szCs w:val="24"/>
                <w:lang w:val="en-US" w:eastAsia="fr-FR"/>
              </w:rPr>
              <w:t xml:space="preserve"> of those transactions in South Africa, Ukraine, Indonesia and Thailand</w:t>
            </w:r>
            <w:r>
              <w:rPr>
                <w:rFonts w:asciiTheme="majorBidi" w:eastAsia="Times New Roman" w:hAnsiTheme="majorBidi" w:cstheme="majorBidi"/>
                <w:sz w:val="24"/>
                <w:szCs w:val="24"/>
                <w:lang w:val="en-US" w:eastAsia="fr-FR"/>
              </w:rPr>
              <w:t>.</w:t>
            </w:r>
          </w:p>
          <w:p w:rsidR="00C93073" w:rsidRPr="007D7976" w:rsidRDefault="00C93073" w:rsidP="00D93BE3">
            <w:pPr>
              <w:spacing w:line="276" w:lineRule="auto"/>
              <w:jc w:val="both"/>
              <w:rPr>
                <w:rFonts w:asciiTheme="majorBidi" w:eastAsia="Times New Roman" w:hAnsiTheme="majorBidi" w:cstheme="majorBidi"/>
                <w:sz w:val="24"/>
                <w:szCs w:val="24"/>
                <w:lang w:val="en-US" w:eastAsia="fr-FR"/>
              </w:rPr>
            </w:pPr>
            <w:r w:rsidRPr="007D7976">
              <w:rPr>
                <w:rFonts w:asciiTheme="majorBidi" w:eastAsia="Times New Roman" w:hAnsiTheme="majorBidi" w:cstheme="majorBidi"/>
                <w:sz w:val="24"/>
                <w:szCs w:val="24"/>
                <w:lang w:val="en-US" w:eastAsia="fr-FR"/>
              </w:rPr>
              <w:t>-</w:t>
            </w:r>
            <w:r w:rsidRPr="007D7976">
              <w:rPr>
                <w:lang w:val="en-US"/>
              </w:rPr>
              <w:t xml:space="preserve"> </w:t>
            </w:r>
            <w:r>
              <w:rPr>
                <w:rFonts w:asciiTheme="majorBidi" w:eastAsia="Times New Roman" w:hAnsiTheme="majorBidi" w:cstheme="majorBidi"/>
                <w:sz w:val="24"/>
                <w:szCs w:val="24"/>
                <w:lang w:val="en-US" w:eastAsia="fr-FR"/>
              </w:rPr>
              <w:t>P</w:t>
            </w:r>
            <w:r w:rsidRPr="007D7976">
              <w:rPr>
                <w:rFonts w:asciiTheme="majorBidi" w:eastAsia="Times New Roman" w:hAnsiTheme="majorBidi" w:cstheme="majorBidi"/>
                <w:sz w:val="24"/>
                <w:szCs w:val="24"/>
                <w:lang w:val="en-US" w:eastAsia="fr-FR"/>
              </w:rPr>
              <w:t xml:space="preserve">artial </w:t>
            </w:r>
            <w:r w:rsidRPr="00DE37B5">
              <w:rPr>
                <w:rFonts w:asciiTheme="majorBidi" w:eastAsia="Times New Roman" w:hAnsiTheme="majorBidi" w:cstheme="majorBidi"/>
                <w:sz w:val="24"/>
                <w:szCs w:val="24"/>
                <w:lang w:val="en-US" w:eastAsia="fr-FR"/>
              </w:rPr>
              <w:t>authorizat</w:t>
            </w:r>
            <w:r>
              <w:rPr>
                <w:rFonts w:asciiTheme="majorBidi" w:eastAsia="Times New Roman" w:hAnsiTheme="majorBidi" w:cstheme="majorBidi"/>
                <w:sz w:val="24"/>
                <w:szCs w:val="24"/>
                <w:lang w:val="en-US" w:eastAsia="fr-FR"/>
              </w:rPr>
              <w:t>ion in annual maximum amounts (plafond</w:t>
            </w:r>
            <w:r w:rsidRPr="00DE37B5">
              <w:rPr>
                <w:rFonts w:asciiTheme="majorBidi" w:eastAsia="Times New Roman" w:hAnsiTheme="majorBidi" w:cstheme="majorBidi"/>
                <w:sz w:val="24"/>
                <w:szCs w:val="24"/>
                <w:lang w:val="en-US" w:eastAsia="fr-FR"/>
              </w:rPr>
              <w:t xml:space="preserve">) </w:t>
            </w:r>
            <w:r w:rsidRPr="007D7976">
              <w:rPr>
                <w:rFonts w:asciiTheme="majorBidi" w:eastAsia="Times New Roman" w:hAnsiTheme="majorBidi" w:cstheme="majorBidi"/>
                <w:sz w:val="24"/>
                <w:szCs w:val="24"/>
                <w:lang w:val="en-US" w:eastAsia="fr-FR"/>
              </w:rPr>
              <w:t>or delineation of categories of eligible operators to achieve the said transactions in other countries</w:t>
            </w:r>
            <w:r>
              <w:rPr>
                <w:rFonts w:asciiTheme="majorBidi" w:eastAsia="Times New Roman" w:hAnsiTheme="majorBidi" w:cstheme="majorBidi"/>
                <w:sz w:val="24"/>
                <w:szCs w:val="24"/>
                <w:lang w:val="en-US" w:eastAsia="fr-FR"/>
              </w:rPr>
              <w:t xml:space="preserve"> </w:t>
            </w:r>
            <w:r w:rsidRPr="007D7976">
              <w:rPr>
                <w:rFonts w:asciiTheme="majorBidi" w:eastAsia="Times New Roman" w:hAnsiTheme="majorBidi" w:cstheme="majorBidi"/>
                <w:sz w:val="24"/>
                <w:szCs w:val="24"/>
                <w:lang w:val="en-US" w:eastAsia="fr-FR"/>
              </w:rPr>
              <w:t>:</w:t>
            </w:r>
          </w:p>
          <w:p w:rsidR="00C93073" w:rsidRPr="00C93073" w:rsidRDefault="00C93073" w:rsidP="00D93BE3">
            <w:pPr>
              <w:spacing w:line="276" w:lineRule="auto"/>
              <w:jc w:val="both"/>
              <w:rPr>
                <w:rFonts w:asciiTheme="majorBidi" w:eastAsia="Times New Roman" w:hAnsiTheme="majorBidi" w:cstheme="majorBidi"/>
                <w:sz w:val="12"/>
                <w:szCs w:val="24"/>
                <w:lang w:val="en-US" w:eastAsia="fr-FR"/>
              </w:rPr>
            </w:pPr>
          </w:p>
          <w:p w:rsidR="00C93073" w:rsidRPr="00F03AD1" w:rsidRDefault="00C93073" w:rsidP="00D93BE3">
            <w:pPr>
              <w:spacing w:line="276" w:lineRule="auto"/>
              <w:jc w:val="both"/>
              <w:rPr>
                <w:rFonts w:asciiTheme="majorBidi" w:eastAsia="Times New Roman" w:hAnsiTheme="majorBidi" w:cstheme="majorBidi"/>
                <w:sz w:val="24"/>
                <w:szCs w:val="24"/>
                <w:lang w:val="en-US" w:eastAsia="fr-FR"/>
              </w:rPr>
            </w:pPr>
            <w:r w:rsidRPr="00F03AD1">
              <w:rPr>
                <w:rFonts w:asciiTheme="majorBidi" w:eastAsia="Times New Roman" w:hAnsiTheme="majorBidi" w:cstheme="majorBidi"/>
                <w:b/>
                <w:sz w:val="24"/>
                <w:szCs w:val="24"/>
                <w:lang w:val="en-US" w:eastAsia="fr-FR"/>
              </w:rPr>
              <w:t xml:space="preserve">Tunisia </w:t>
            </w:r>
            <w:r w:rsidRPr="00F03AD1">
              <w:rPr>
                <w:rFonts w:asciiTheme="majorBidi" w:eastAsia="Times New Roman" w:hAnsiTheme="majorBidi" w:cstheme="majorBidi"/>
                <w:sz w:val="24"/>
                <w:szCs w:val="24"/>
                <w:lang w:val="en-US" w:eastAsia="fr-FR"/>
              </w:rPr>
              <w:t xml:space="preserve"> </w:t>
            </w:r>
          </w:p>
          <w:p w:rsidR="00C93073" w:rsidRPr="0064610A" w:rsidRDefault="00C93073" w:rsidP="00D93BE3">
            <w:pPr>
              <w:spacing w:line="276" w:lineRule="auto"/>
              <w:jc w:val="both"/>
              <w:rPr>
                <w:rFonts w:asciiTheme="majorBidi" w:eastAsia="Times New Roman" w:hAnsiTheme="majorBidi" w:cstheme="majorBidi"/>
                <w:sz w:val="24"/>
                <w:szCs w:val="24"/>
                <w:lang w:val="en-US" w:eastAsia="fr-FR"/>
              </w:rPr>
            </w:pPr>
            <w:r w:rsidRPr="0064610A">
              <w:rPr>
                <w:rFonts w:asciiTheme="majorBidi" w:eastAsia="Times New Roman" w:hAnsiTheme="majorBidi" w:cstheme="majorBidi"/>
                <w:sz w:val="24"/>
                <w:szCs w:val="24"/>
                <w:lang w:val="en-US" w:eastAsia="fr-FR"/>
              </w:rPr>
              <w:t>General authorization for credit institutions to carry out such transactions;</w:t>
            </w:r>
          </w:p>
          <w:p w:rsidR="00C93073" w:rsidRDefault="00C93073" w:rsidP="00D93BE3">
            <w:pPr>
              <w:spacing w:line="276" w:lineRule="auto"/>
              <w:jc w:val="both"/>
              <w:rPr>
                <w:rFonts w:asciiTheme="majorBidi" w:eastAsia="Times New Roman" w:hAnsiTheme="majorBidi" w:cstheme="majorBidi"/>
                <w:sz w:val="24"/>
                <w:szCs w:val="24"/>
                <w:lang w:val="en-US" w:eastAsia="fr-FR"/>
              </w:rPr>
            </w:pPr>
            <w:r w:rsidRPr="0064610A">
              <w:rPr>
                <w:rFonts w:asciiTheme="majorBidi" w:eastAsia="Times New Roman" w:hAnsiTheme="majorBidi" w:cstheme="majorBidi"/>
                <w:sz w:val="24"/>
                <w:szCs w:val="24"/>
                <w:lang w:val="en-US" w:eastAsia="fr-FR"/>
              </w:rPr>
              <w:t>Authorized within the limits of a maximum annual amount of 10 million TD (</w:t>
            </w:r>
            <w:r>
              <w:rPr>
                <w:rFonts w:asciiTheme="majorBidi" w:eastAsia="Times New Roman" w:hAnsiTheme="majorBidi" w:cstheme="majorBidi"/>
                <w:sz w:val="24"/>
                <w:szCs w:val="24"/>
                <w:lang w:val="en-US" w:eastAsia="fr-FR"/>
              </w:rPr>
              <w:t>50 million</w:t>
            </w:r>
            <w:r w:rsidRPr="0064610A">
              <w:rPr>
                <w:rFonts w:asciiTheme="majorBidi" w:eastAsia="Times New Roman" w:hAnsiTheme="majorBidi" w:cstheme="majorBidi"/>
                <w:sz w:val="24"/>
                <w:szCs w:val="24"/>
                <w:lang w:val="en-US" w:eastAsia="fr-FR"/>
              </w:rPr>
              <w:t xml:space="preserve"> dirhams) For companies with a rating from</w:t>
            </w:r>
            <w:r>
              <w:rPr>
                <w:rFonts w:asciiTheme="majorBidi" w:eastAsia="Times New Roman" w:hAnsiTheme="majorBidi" w:cstheme="majorBidi"/>
                <w:sz w:val="24"/>
                <w:szCs w:val="24"/>
                <w:lang w:val="en-US" w:eastAsia="fr-FR"/>
              </w:rPr>
              <w:t xml:space="preserve"> ”A”</w:t>
            </w:r>
            <w:r w:rsidRPr="0064610A">
              <w:rPr>
                <w:rFonts w:asciiTheme="majorBidi" w:eastAsia="Times New Roman" w:hAnsiTheme="majorBidi" w:cstheme="majorBidi"/>
                <w:sz w:val="24"/>
                <w:szCs w:val="24"/>
                <w:lang w:val="en-US" w:eastAsia="fr-FR"/>
              </w:rPr>
              <w:t xml:space="preserve"> rating agency or on the stock exchange and 3</w:t>
            </w:r>
            <w:r>
              <w:rPr>
                <w:rFonts w:asciiTheme="majorBidi" w:eastAsia="Times New Roman" w:hAnsiTheme="majorBidi" w:cstheme="majorBidi"/>
                <w:sz w:val="24"/>
                <w:szCs w:val="24"/>
                <w:lang w:val="en-US" w:eastAsia="fr-FR"/>
              </w:rPr>
              <w:t xml:space="preserve"> million TD for other companies</w:t>
            </w:r>
            <w:r w:rsidRPr="0064610A">
              <w:rPr>
                <w:rFonts w:asciiTheme="majorBidi" w:eastAsia="Times New Roman" w:hAnsiTheme="majorBidi" w:cstheme="majorBidi"/>
                <w:sz w:val="24"/>
                <w:szCs w:val="24"/>
                <w:lang w:val="en-US" w:eastAsia="fr-FR"/>
              </w:rPr>
              <w:t>.</w:t>
            </w:r>
          </w:p>
          <w:p w:rsidR="00C93073" w:rsidRPr="00C93073" w:rsidRDefault="00C93073" w:rsidP="00D93BE3">
            <w:pPr>
              <w:spacing w:line="276" w:lineRule="auto"/>
              <w:jc w:val="both"/>
              <w:rPr>
                <w:rFonts w:asciiTheme="majorBidi" w:eastAsia="Times New Roman" w:hAnsiTheme="majorBidi" w:cstheme="majorBidi"/>
                <w:sz w:val="12"/>
                <w:szCs w:val="24"/>
                <w:lang w:val="en-US" w:eastAsia="fr-FR"/>
              </w:rPr>
            </w:pPr>
          </w:p>
          <w:p w:rsidR="00C93073" w:rsidRPr="00531E04" w:rsidRDefault="00C93073" w:rsidP="00D93BE3">
            <w:pPr>
              <w:spacing w:line="276" w:lineRule="auto"/>
              <w:jc w:val="both"/>
              <w:rPr>
                <w:rFonts w:asciiTheme="majorBidi" w:eastAsia="Times New Roman" w:hAnsiTheme="majorBidi" w:cstheme="majorBidi"/>
                <w:b/>
                <w:sz w:val="24"/>
                <w:szCs w:val="24"/>
                <w:lang w:val="en-US" w:eastAsia="fr-FR"/>
              </w:rPr>
            </w:pPr>
            <w:r>
              <w:rPr>
                <w:rFonts w:asciiTheme="majorBidi" w:eastAsia="Times New Roman" w:hAnsiTheme="majorBidi" w:cstheme="majorBidi"/>
                <w:b/>
                <w:sz w:val="24"/>
                <w:szCs w:val="24"/>
                <w:lang w:val="en-US" w:eastAsia="fr-FR"/>
              </w:rPr>
              <w:t>India</w:t>
            </w:r>
            <w:r w:rsidRPr="00531E04">
              <w:rPr>
                <w:rFonts w:asciiTheme="majorBidi" w:eastAsia="Times New Roman" w:hAnsiTheme="majorBidi" w:cstheme="majorBidi"/>
                <w:b/>
                <w:sz w:val="24"/>
                <w:szCs w:val="24"/>
                <w:lang w:val="en-US" w:eastAsia="fr-FR"/>
              </w:rPr>
              <w:t xml:space="preserve"> </w:t>
            </w:r>
          </w:p>
          <w:p w:rsidR="00C93073" w:rsidRPr="00531E04" w:rsidRDefault="00C93073" w:rsidP="00D93BE3">
            <w:pPr>
              <w:spacing w:line="276" w:lineRule="auto"/>
              <w:jc w:val="both"/>
              <w:rPr>
                <w:rFonts w:asciiTheme="majorBidi" w:eastAsia="Times New Roman" w:hAnsiTheme="majorBidi" w:cstheme="majorBidi"/>
                <w:sz w:val="24"/>
                <w:szCs w:val="24"/>
                <w:lang w:val="en-US" w:eastAsia="fr-FR"/>
              </w:rPr>
            </w:pPr>
            <w:r w:rsidRPr="00531E04">
              <w:rPr>
                <w:rFonts w:asciiTheme="majorBidi" w:eastAsia="Times New Roman" w:hAnsiTheme="majorBidi" w:cstheme="majorBidi"/>
                <w:sz w:val="24"/>
                <w:szCs w:val="24"/>
                <w:lang w:val="en-US" w:eastAsia="fr-FR"/>
              </w:rPr>
              <w:t xml:space="preserve">General authorization for </w:t>
            </w:r>
            <w:r>
              <w:rPr>
                <w:rFonts w:asciiTheme="majorBidi" w:eastAsia="Times New Roman" w:hAnsiTheme="majorBidi" w:cstheme="majorBidi"/>
                <w:sz w:val="24"/>
                <w:szCs w:val="24"/>
                <w:lang w:val="en-US" w:eastAsia="fr-FR"/>
              </w:rPr>
              <w:t xml:space="preserve">credits </w:t>
            </w:r>
            <w:r w:rsidRPr="00531E04">
              <w:rPr>
                <w:rFonts w:asciiTheme="majorBidi" w:eastAsia="Times New Roman" w:hAnsiTheme="majorBidi" w:cstheme="majorBidi"/>
                <w:sz w:val="24"/>
                <w:szCs w:val="24"/>
                <w:lang w:val="en-US" w:eastAsia="fr-FR"/>
              </w:rPr>
              <w:t xml:space="preserve">related to the import of capital goods in the limit of 20 million US dollars </w:t>
            </w:r>
            <w:r>
              <w:rPr>
                <w:rFonts w:asciiTheme="majorBidi" w:eastAsia="Times New Roman" w:hAnsiTheme="majorBidi" w:cstheme="majorBidi"/>
                <w:sz w:val="24"/>
                <w:szCs w:val="24"/>
                <w:lang w:val="en-US" w:eastAsia="fr-FR"/>
              </w:rPr>
              <w:t>per year</w:t>
            </w:r>
            <w:r w:rsidRPr="00531E04">
              <w:rPr>
                <w:rFonts w:asciiTheme="majorBidi" w:eastAsia="Times New Roman" w:hAnsiTheme="majorBidi" w:cstheme="majorBidi"/>
                <w:sz w:val="24"/>
                <w:szCs w:val="24"/>
                <w:lang w:val="en-US" w:eastAsia="fr-FR"/>
              </w:rPr>
              <w:t xml:space="preserve"> and provid</w:t>
            </w:r>
            <w:r>
              <w:rPr>
                <w:rFonts w:asciiTheme="majorBidi" w:eastAsia="Times New Roman" w:hAnsiTheme="majorBidi" w:cstheme="majorBidi"/>
                <w:sz w:val="24"/>
                <w:szCs w:val="24"/>
                <w:lang w:val="en-US" w:eastAsia="fr-FR"/>
              </w:rPr>
              <w:t>ed that the maturity of 3 years</w:t>
            </w:r>
            <w:r w:rsidRPr="00531E04">
              <w:rPr>
                <w:rFonts w:asciiTheme="majorBidi" w:eastAsia="Times New Roman" w:hAnsiTheme="majorBidi" w:cstheme="majorBidi"/>
                <w:sz w:val="24"/>
                <w:szCs w:val="24"/>
                <w:lang w:val="en-US" w:eastAsia="fr-FR"/>
              </w:rPr>
              <w:t>.</w:t>
            </w:r>
          </w:p>
        </w:tc>
        <w:tc>
          <w:tcPr>
            <w:tcW w:w="3680" w:type="dxa"/>
          </w:tcPr>
          <w:p w:rsidR="00C93073" w:rsidRPr="00BE3A57" w:rsidRDefault="00C93073" w:rsidP="00D93BE3">
            <w:pPr>
              <w:spacing w:line="276" w:lineRule="auto"/>
              <w:jc w:val="both"/>
              <w:rPr>
                <w:rFonts w:asciiTheme="majorBidi" w:eastAsia="Times New Roman" w:hAnsiTheme="majorBidi" w:cstheme="majorBidi"/>
                <w:sz w:val="24"/>
                <w:szCs w:val="24"/>
                <w:lang w:val="en-US" w:eastAsia="fr-FR"/>
              </w:rPr>
            </w:pPr>
            <w:r w:rsidRPr="00BE3A57">
              <w:rPr>
                <w:rFonts w:asciiTheme="majorBidi" w:eastAsia="Times New Roman" w:hAnsiTheme="majorBidi" w:cstheme="majorBidi"/>
                <w:sz w:val="24"/>
                <w:szCs w:val="24"/>
                <w:lang w:val="en-US" w:eastAsia="fr-FR"/>
              </w:rPr>
              <w:t>Free for both the direct realization of such operations by foreign trade operators or through authorized intermediaries banks.</w:t>
            </w:r>
          </w:p>
        </w:tc>
      </w:tr>
      <w:tr w:rsidR="00C93073" w:rsidRPr="00F16606" w:rsidTr="00C93073">
        <w:trPr>
          <w:cantSplit/>
          <w:trHeight w:val="1134"/>
        </w:trPr>
        <w:tc>
          <w:tcPr>
            <w:tcW w:w="548" w:type="dxa"/>
            <w:textDirection w:val="btLr"/>
            <w:vAlign w:val="center"/>
          </w:tcPr>
          <w:p w:rsidR="00C93073" w:rsidRPr="00835735" w:rsidRDefault="00C93073" w:rsidP="00D93BE3">
            <w:pPr>
              <w:spacing w:line="276" w:lineRule="auto"/>
              <w:ind w:left="113" w:right="113"/>
              <w:jc w:val="center"/>
              <w:rPr>
                <w:rFonts w:asciiTheme="majorBidi" w:eastAsia="Times New Roman" w:hAnsiTheme="majorBidi" w:cstheme="majorBidi"/>
                <w:b/>
                <w:sz w:val="24"/>
                <w:szCs w:val="24"/>
                <w:lang w:eastAsia="fr-FR"/>
              </w:rPr>
            </w:pPr>
            <w:r>
              <w:rPr>
                <w:rFonts w:asciiTheme="majorBidi" w:eastAsia="Times New Roman" w:hAnsiTheme="majorBidi" w:cstheme="majorBidi"/>
                <w:b/>
                <w:sz w:val="24"/>
                <w:szCs w:val="24"/>
                <w:lang w:eastAsia="fr-FR"/>
              </w:rPr>
              <w:t>For non-</w:t>
            </w:r>
            <w:r w:rsidRPr="007D223A">
              <w:rPr>
                <w:rFonts w:asciiTheme="majorBidi" w:eastAsia="Times New Roman" w:hAnsiTheme="majorBidi" w:cstheme="majorBidi"/>
                <w:b/>
                <w:sz w:val="24"/>
                <w:szCs w:val="24"/>
                <w:lang w:val="en-US" w:eastAsia="fr-FR"/>
              </w:rPr>
              <w:t>residents</w:t>
            </w:r>
          </w:p>
        </w:tc>
        <w:tc>
          <w:tcPr>
            <w:tcW w:w="5519" w:type="dxa"/>
          </w:tcPr>
          <w:p w:rsidR="00C93073" w:rsidRPr="00531E04" w:rsidRDefault="00C93073" w:rsidP="00D93BE3">
            <w:pPr>
              <w:spacing w:line="276" w:lineRule="auto"/>
              <w:jc w:val="both"/>
              <w:rPr>
                <w:rFonts w:asciiTheme="majorBidi" w:eastAsia="Times New Roman" w:hAnsiTheme="majorBidi" w:cstheme="majorBidi"/>
                <w:b/>
                <w:sz w:val="24"/>
                <w:szCs w:val="24"/>
                <w:lang w:val="en-US" w:eastAsia="fr-FR"/>
              </w:rPr>
            </w:pPr>
            <w:r w:rsidRPr="00531E04">
              <w:rPr>
                <w:rFonts w:asciiTheme="majorBidi" w:eastAsia="Times New Roman" w:hAnsiTheme="majorBidi" w:cstheme="majorBidi"/>
                <w:sz w:val="24"/>
                <w:szCs w:val="24"/>
                <w:lang w:val="en-US" w:eastAsia="fr-FR"/>
              </w:rPr>
              <w:t xml:space="preserve">General authorization </w:t>
            </w:r>
            <w:r w:rsidRPr="00531E04">
              <w:rPr>
                <w:rFonts w:asciiTheme="majorBidi" w:eastAsia="Times New Roman" w:hAnsiTheme="majorBidi" w:cstheme="majorBidi"/>
                <w:b/>
                <w:sz w:val="24"/>
                <w:szCs w:val="24"/>
                <w:lang w:val="en-US" w:eastAsia="fr-FR"/>
              </w:rPr>
              <w:t xml:space="preserve">in Ukraine and Thailand. </w:t>
            </w:r>
          </w:p>
          <w:p w:rsidR="00C93073" w:rsidRPr="00531E04" w:rsidRDefault="00C93073" w:rsidP="00D93BE3">
            <w:pPr>
              <w:spacing w:line="276" w:lineRule="auto"/>
              <w:jc w:val="both"/>
              <w:rPr>
                <w:rFonts w:asciiTheme="majorBidi" w:eastAsia="Times New Roman" w:hAnsiTheme="majorBidi" w:cstheme="majorBidi"/>
                <w:b/>
                <w:sz w:val="24"/>
                <w:szCs w:val="24"/>
                <w:lang w:val="en-US" w:eastAsia="fr-FR"/>
              </w:rPr>
            </w:pPr>
            <w:r w:rsidRPr="00531E04">
              <w:rPr>
                <w:rFonts w:asciiTheme="majorBidi" w:eastAsia="Times New Roman" w:hAnsiTheme="majorBidi" w:cstheme="majorBidi"/>
                <w:sz w:val="24"/>
                <w:szCs w:val="24"/>
                <w:lang w:val="en-US" w:eastAsia="fr-FR"/>
              </w:rPr>
              <w:t xml:space="preserve">Partial authorization </w:t>
            </w:r>
            <w:r w:rsidRPr="00531E04">
              <w:rPr>
                <w:rFonts w:asciiTheme="majorBidi" w:eastAsia="Times New Roman" w:hAnsiTheme="majorBidi" w:cstheme="majorBidi"/>
                <w:b/>
                <w:sz w:val="24"/>
                <w:szCs w:val="24"/>
                <w:lang w:val="en-US" w:eastAsia="fr-FR"/>
              </w:rPr>
              <w:t>in these countries :</w:t>
            </w:r>
          </w:p>
          <w:p w:rsidR="00C93073" w:rsidRPr="00F03AD1" w:rsidRDefault="00C93073" w:rsidP="00D93BE3">
            <w:pPr>
              <w:spacing w:line="276" w:lineRule="auto"/>
              <w:ind w:left="-2"/>
              <w:contextualSpacing/>
              <w:jc w:val="both"/>
              <w:rPr>
                <w:rFonts w:asciiTheme="majorBidi" w:eastAsia="Times New Roman" w:hAnsiTheme="majorBidi" w:cstheme="majorBidi"/>
                <w:b/>
                <w:sz w:val="24"/>
                <w:szCs w:val="24"/>
                <w:lang w:val="en-US" w:eastAsia="fr-FR"/>
              </w:rPr>
            </w:pPr>
            <w:r>
              <w:rPr>
                <w:rFonts w:asciiTheme="majorBidi" w:eastAsia="Times New Roman" w:hAnsiTheme="majorBidi" w:cstheme="majorBidi"/>
                <w:b/>
                <w:sz w:val="24"/>
                <w:szCs w:val="24"/>
                <w:lang w:val="en-US" w:eastAsia="fr-FR"/>
              </w:rPr>
              <w:t>India</w:t>
            </w:r>
          </w:p>
          <w:p w:rsidR="00C93073" w:rsidRPr="00F03AD1" w:rsidRDefault="00C93073" w:rsidP="00D93BE3">
            <w:pPr>
              <w:spacing w:line="276" w:lineRule="auto"/>
              <w:ind w:left="-2"/>
              <w:contextualSpacing/>
              <w:jc w:val="both"/>
              <w:rPr>
                <w:rFonts w:asciiTheme="majorBidi" w:eastAsia="Times New Roman" w:hAnsiTheme="majorBidi" w:cstheme="majorBidi"/>
                <w:sz w:val="24"/>
                <w:szCs w:val="24"/>
                <w:lang w:val="en-US" w:eastAsia="fr-FR"/>
              </w:rPr>
            </w:pPr>
            <w:r w:rsidRPr="004911A1">
              <w:rPr>
                <w:rFonts w:asciiTheme="majorBidi" w:eastAsia="Times New Roman" w:hAnsiTheme="majorBidi" w:cstheme="majorBidi"/>
                <w:sz w:val="24"/>
                <w:szCs w:val="24"/>
                <w:lang w:val="en-US" w:eastAsia="fr-FR"/>
              </w:rPr>
              <w:t>General authorization and without limit for such transaction when they are linked to imports of services</w:t>
            </w:r>
            <w:r w:rsidRPr="00F03AD1">
              <w:rPr>
                <w:rFonts w:asciiTheme="majorBidi" w:eastAsia="Times New Roman" w:hAnsiTheme="majorBidi" w:cstheme="majorBidi"/>
                <w:sz w:val="24"/>
                <w:szCs w:val="24"/>
                <w:lang w:val="en-US" w:eastAsia="fr-FR"/>
              </w:rPr>
              <w:t xml:space="preserve">. </w:t>
            </w:r>
          </w:p>
          <w:p w:rsidR="00C93073" w:rsidRPr="004911A1" w:rsidRDefault="00C93073" w:rsidP="00D93BE3">
            <w:pPr>
              <w:spacing w:line="276" w:lineRule="auto"/>
              <w:jc w:val="both"/>
              <w:rPr>
                <w:rFonts w:asciiTheme="majorBidi" w:eastAsia="Times New Roman" w:hAnsiTheme="majorBidi" w:cstheme="majorBidi"/>
                <w:sz w:val="24"/>
                <w:szCs w:val="24"/>
                <w:lang w:val="en-US" w:eastAsia="fr-FR"/>
              </w:rPr>
            </w:pPr>
            <w:r w:rsidRPr="004911A1">
              <w:rPr>
                <w:rFonts w:asciiTheme="majorBidi" w:eastAsia="Times New Roman" w:hAnsiTheme="majorBidi" w:cstheme="majorBidi"/>
                <w:sz w:val="24"/>
                <w:szCs w:val="24"/>
                <w:lang w:val="en-US" w:eastAsia="fr-FR"/>
              </w:rPr>
              <w:t>General authorization for buyer</w:t>
            </w:r>
            <w:r>
              <w:rPr>
                <w:rFonts w:asciiTheme="majorBidi" w:eastAsia="Times New Roman" w:hAnsiTheme="majorBidi" w:cstheme="majorBidi"/>
                <w:sz w:val="24"/>
                <w:szCs w:val="24"/>
                <w:lang w:val="en-US" w:eastAsia="fr-FR"/>
              </w:rPr>
              <w:t xml:space="preserve"> credits</w:t>
            </w:r>
            <w:r w:rsidRPr="004911A1">
              <w:rPr>
                <w:rFonts w:asciiTheme="majorBidi" w:eastAsia="Times New Roman" w:hAnsiTheme="majorBidi" w:cstheme="majorBidi"/>
                <w:sz w:val="24"/>
                <w:szCs w:val="24"/>
                <w:lang w:val="en-US" w:eastAsia="fr-FR"/>
              </w:rPr>
              <w:t xml:space="preserve"> </w:t>
            </w:r>
            <w:r>
              <w:rPr>
                <w:rFonts w:asciiTheme="majorBidi" w:eastAsia="Times New Roman" w:hAnsiTheme="majorBidi" w:cstheme="majorBidi"/>
                <w:sz w:val="24"/>
                <w:szCs w:val="24"/>
                <w:lang w:val="en-US" w:eastAsia="fr-FR"/>
              </w:rPr>
              <w:t>related to</w:t>
            </w:r>
            <w:r w:rsidRPr="004911A1">
              <w:rPr>
                <w:rFonts w:asciiTheme="majorBidi" w:eastAsia="Times New Roman" w:hAnsiTheme="majorBidi" w:cstheme="majorBidi"/>
                <w:sz w:val="24"/>
                <w:szCs w:val="24"/>
                <w:lang w:val="en-US" w:eastAsia="fr-FR"/>
              </w:rPr>
              <w:t xml:space="preserve"> for transactions involving capital equipment and turnkey projects in India.</w:t>
            </w:r>
          </w:p>
        </w:tc>
        <w:tc>
          <w:tcPr>
            <w:tcW w:w="3680" w:type="dxa"/>
          </w:tcPr>
          <w:p w:rsidR="00C93073" w:rsidRPr="004911A1" w:rsidRDefault="00C93073" w:rsidP="00D93BE3">
            <w:pPr>
              <w:spacing w:line="276" w:lineRule="auto"/>
              <w:jc w:val="both"/>
              <w:rPr>
                <w:rFonts w:asciiTheme="majorBidi" w:eastAsia="Times New Roman" w:hAnsiTheme="majorBidi" w:cstheme="majorBidi"/>
                <w:b/>
                <w:sz w:val="24"/>
                <w:szCs w:val="24"/>
                <w:lang w:val="en-US" w:eastAsia="fr-FR"/>
              </w:rPr>
            </w:pPr>
          </w:p>
        </w:tc>
      </w:tr>
      <w:tr w:rsidR="00C93073" w:rsidRPr="00F16606" w:rsidTr="00C93073">
        <w:trPr>
          <w:cantSplit/>
          <w:trHeight w:val="1134"/>
        </w:trPr>
        <w:tc>
          <w:tcPr>
            <w:tcW w:w="548" w:type="dxa"/>
            <w:textDirection w:val="btLr"/>
          </w:tcPr>
          <w:p w:rsidR="00C93073" w:rsidRPr="004911A1" w:rsidRDefault="00C93073" w:rsidP="00D93BE3">
            <w:pPr>
              <w:spacing w:line="276" w:lineRule="auto"/>
              <w:ind w:left="113" w:right="113"/>
              <w:jc w:val="center"/>
              <w:rPr>
                <w:rFonts w:asciiTheme="majorBidi" w:eastAsia="Times New Roman" w:hAnsiTheme="majorBidi" w:cstheme="majorBidi"/>
                <w:b/>
                <w:sz w:val="24"/>
                <w:szCs w:val="24"/>
                <w:lang w:val="en-US" w:eastAsia="fr-FR"/>
              </w:rPr>
            </w:pPr>
          </w:p>
        </w:tc>
        <w:tc>
          <w:tcPr>
            <w:tcW w:w="5519" w:type="dxa"/>
          </w:tcPr>
          <w:p w:rsidR="00C93073" w:rsidRPr="00C31EA1" w:rsidRDefault="00C93073" w:rsidP="00D93BE3">
            <w:pPr>
              <w:spacing w:line="276" w:lineRule="auto"/>
              <w:ind w:left="-2"/>
              <w:contextualSpacing/>
              <w:jc w:val="both"/>
              <w:rPr>
                <w:rFonts w:asciiTheme="majorBidi" w:eastAsia="Times New Roman" w:hAnsiTheme="majorBidi" w:cstheme="majorBidi"/>
                <w:b/>
                <w:sz w:val="24"/>
                <w:szCs w:val="24"/>
                <w:lang w:val="en-US" w:eastAsia="fr-FR"/>
              </w:rPr>
            </w:pPr>
            <w:r w:rsidRPr="00C31EA1">
              <w:rPr>
                <w:rFonts w:asciiTheme="majorBidi" w:eastAsia="Times New Roman" w:hAnsiTheme="majorBidi" w:cstheme="majorBidi"/>
                <w:b/>
                <w:sz w:val="24"/>
                <w:szCs w:val="24"/>
                <w:lang w:val="en-US" w:eastAsia="fr-FR"/>
              </w:rPr>
              <w:t xml:space="preserve">Indonesia </w:t>
            </w:r>
          </w:p>
          <w:p w:rsidR="00C93073" w:rsidRDefault="00C93073" w:rsidP="00D93BE3">
            <w:pPr>
              <w:spacing w:line="276" w:lineRule="auto"/>
              <w:ind w:left="-2"/>
              <w:contextualSpacing/>
              <w:jc w:val="both"/>
              <w:rPr>
                <w:rFonts w:asciiTheme="majorBidi" w:eastAsia="Times New Roman" w:hAnsiTheme="majorBidi" w:cstheme="majorBidi"/>
                <w:sz w:val="24"/>
                <w:szCs w:val="24"/>
                <w:lang w:val="en-US" w:eastAsia="fr-FR"/>
              </w:rPr>
            </w:pPr>
            <w:r w:rsidRPr="00C31EA1">
              <w:rPr>
                <w:rFonts w:asciiTheme="majorBidi" w:eastAsia="Times New Roman" w:hAnsiTheme="majorBidi" w:cstheme="majorBidi"/>
                <w:sz w:val="24"/>
                <w:szCs w:val="24"/>
                <w:lang w:val="en-US" w:eastAsia="fr-FR"/>
              </w:rPr>
              <w:t>General authorization for transactions undertaken by operators other than banks and obligation to a special authorization for transactions by banking organizations.</w:t>
            </w:r>
          </w:p>
          <w:p w:rsidR="00C93073" w:rsidRPr="0075273A" w:rsidRDefault="00C93073" w:rsidP="00D93BE3">
            <w:pPr>
              <w:spacing w:line="276" w:lineRule="auto"/>
              <w:jc w:val="both"/>
              <w:rPr>
                <w:rFonts w:asciiTheme="majorBidi" w:eastAsia="Times New Roman" w:hAnsiTheme="majorBidi" w:cstheme="majorBidi"/>
                <w:b/>
                <w:sz w:val="24"/>
                <w:szCs w:val="24"/>
                <w:lang w:val="en-US" w:eastAsia="fr-FR"/>
              </w:rPr>
            </w:pPr>
            <w:r w:rsidRPr="0075273A">
              <w:rPr>
                <w:rFonts w:asciiTheme="majorBidi" w:eastAsia="Times New Roman" w:hAnsiTheme="majorBidi" w:cstheme="majorBidi"/>
                <w:sz w:val="24"/>
                <w:szCs w:val="24"/>
                <w:lang w:val="en-US" w:eastAsia="fr-FR"/>
              </w:rPr>
              <w:t xml:space="preserve">General restrictions in </w:t>
            </w:r>
            <w:r w:rsidRPr="0075273A">
              <w:rPr>
                <w:rFonts w:asciiTheme="majorBidi" w:eastAsia="Times New Roman" w:hAnsiTheme="majorBidi" w:cstheme="majorBidi"/>
                <w:b/>
                <w:sz w:val="24"/>
                <w:szCs w:val="24"/>
                <w:lang w:val="en-US" w:eastAsia="fr-FR"/>
              </w:rPr>
              <w:t>South Africa</w:t>
            </w:r>
            <w:r w:rsidRPr="0075273A">
              <w:rPr>
                <w:rFonts w:asciiTheme="majorBidi" w:eastAsia="Times New Roman" w:hAnsiTheme="majorBidi" w:cstheme="majorBidi"/>
                <w:sz w:val="24"/>
                <w:szCs w:val="24"/>
                <w:lang w:val="en-US" w:eastAsia="fr-FR"/>
              </w:rPr>
              <w:t xml:space="preserve"> and </w:t>
            </w:r>
            <w:r w:rsidRPr="0075273A">
              <w:rPr>
                <w:rFonts w:asciiTheme="majorBidi" w:eastAsia="Times New Roman" w:hAnsiTheme="majorBidi" w:cstheme="majorBidi"/>
                <w:b/>
                <w:sz w:val="24"/>
                <w:szCs w:val="24"/>
                <w:lang w:val="en-US" w:eastAsia="fr-FR"/>
              </w:rPr>
              <w:t>Tunisia</w:t>
            </w:r>
            <w:r>
              <w:rPr>
                <w:rStyle w:val="Appelnotedebasdep"/>
                <w:rFonts w:asciiTheme="majorBidi" w:eastAsia="Times New Roman" w:hAnsiTheme="majorBidi" w:cstheme="majorBidi"/>
                <w:b/>
                <w:sz w:val="24"/>
                <w:szCs w:val="24"/>
                <w:lang w:val="en-US" w:eastAsia="fr-FR"/>
              </w:rPr>
              <w:footnoteReference w:id="22"/>
            </w:r>
          </w:p>
        </w:tc>
        <w:tc>
          <w:tcPr>
            <w:tcW w:w="3680" w:type="dxa"/>
          </w:tcPr>
          <w:p w:rsidR="00C93073" w:rsidRPr="0075273A" w:rsidRDefault="00C93073" w:rsidP="00D93BE3">
            <w:pPr>
              <w:spacing w:line="276" w:lineRule="auto"/>
              <w:ind w:left="33"/>
              <w:contextualSpacing/>
              <w:jc w:val="both"/>
              <w:rPr>
                <w:rFonts w:asciiTheme="majorBidi" w:eastAsia="Times New Roman" w:hAnsiTheme="majorBidi" w:cstheme="majorBidi"/>
                <w:b/>
                <w:sz w:val="24"/>
                <w:szCs w:val="24"/>
                <w:lang w:val="en-US" w:eastAsia="fr-FR"/>
              </w:rPr>
            </w:pPr>
          </w:p>
        </w:tc>
      </w:tr>
    </w:tbl>
    <w:p w:rsidR="00FA6C25" w:rsidRDefault="00FA6C25" w:rsidP="00FA6C25">
      <w:pPr>
        <w:spacing w:after="0"/>
        <w:jc w:val="both"/>
        <w:rPr>
          <w:rFonts w:ascii="Times New Roman" w:eastAsia="Times New Roman" w:hAnsi="Times New Roman" w:cs="Times New Roman"/>
          <w:b/>
          <w:sz w:val="24"/>
          <w:szCs w:val="32"/>
          <w:lang w:val="en-US" w:eastAsia="fr-FR"/>
        </w:rPr>
      </w:pPr>
    </w:p>
    <w:p w:rsidR="00FA6C25" w:rsidRDefault="00FA6C25" w:rsidP="00D93BE3">
      <w:pPr>
        <w:jc w:val="both"/>
        <w:rPr>
          <w:rFonts w:ascii="Times New Roman" w:eastAsia="Times New Roman" w:hAnsi="Times New Roman" w:cs="Times New Roman"/>
          <w:b/>
          <w:sz w:val="24"/>
          <w:szCs w:val="32"/>
          <w:lang w:val="en-US" w:eastAsia="fr-FR"/>
        </w:rPr>
      </w:pPr>
    </w:p>
    <w:p w:rsidR="0075273A" w:rsidRDefault="0075273A" w:rsidP="00D93BE3">
      <w:pPr>
        <w:jc w:val="both"/>
        <w:rPr>
          <w:rFonts w:ascii="Times New Roman" w:eastAsia="Times New Roman" w:hAnsi="Times New Roman" w:cs="Times New Roman"/>
          <w:b/>
          <w:sz w:val="24"/>
          <w:szCs w:val="32"/>
          <w:lang w:val="en-US" w:eastAsia="fr-FR"/>
        </w:rPr>
      </w:pPr>
      <w:r w:rsidRPr="0075273A">
        <w:rPr>
          <w:rFonts w:ascii="Times New Roman" w:eastAsia="Times New Roman" w:hAnsi="Times New Roman" w:cs="Times New Roman"/>
          <w:b/>
          <w:sz w:val="24"/>
          <w:szCs w:val="32"/>
          <w:lang w:val="en-US" w:eastAsia="fr-FR"/>
        </w:rPr>
        <w:lastRenderedPageBreak/>
        <w:t xml:space="preserve">Commentary </w:t>
      </w:r>
    </w:p>
    <w:p w:rsidR="0075273A" w:rsidRDefault="0075273A" w:rsidP="00D93BE3">
      <w:pPr>
        <w:jc w:val="both"/>
        <w:rPr>
          <w:rFonts w:ascii="Times New Roman" w:eastAsia="Times New Roman" w:hAnsi="Times New Roman" w:cs="Times New Roman"/>
          <w:sz w:val="24"/>
          <w:szCs w:val="32"/>
          <w:lang w:val="en-US" w:eastAsia="fr-FR"/>
        </w:rPr>
      </w:pPr>
      <w:r w:rsidRPr="0075273A">
        <w:rPr>
          <w:rFonts w:ascii="Times New Roman" w:eastAsia="Times New Roman" w:hAnsi="Times New Roman" w:cs="Times New Roman"/>
          <w:sz w:val="24"/>
          <w:szCs w:val="32"/>
          <w:lang w:val="en-US" w:eastAsia="fr-FR"/>
        </w:rPr>
        <w:t>Exchange regulations for trade credit is generally liberal whatsoever for loans granted by residents to non-residents than those granted by non-residents to residents.</w:t>
      </w:r>
    </w:p>
    <w:p w:rsidR="0075273A" w:rsidRDefault="0075273A" w:rsidP="00D93BE3">
      <w:pPr>
        <w:jc w:val="both"/>
        <w:rPr>
          <w:rFonts w:ascii="Times New Roman" w:eastAsia="Times New Roman" w:hAnsi="Times New Roman" w:cs="Times New Roman"/>
          <w:sz w:val="24"/>
          <w:szCs w:val="32"/>
          <w:lang w:val="en-US" w:eastAsia="fr-FR"/>
        </w:rPr>
      </w:pPr>
      <w:r w:rsidRPr="0075273A">
        <w:rPr>
          <w:rFonts w:ascii="Times New Roman" w:eastAsia="Times New Roman" w:hAnsi="Times New Roman" w:cs="Times New Roman"/>
          <w:sz w:val="24"/>
          <w:szCs w:val="32"/>
          <w:lang w:val="en-US" w:eastAsia="fr-FR"/>
        </w:rPr>
        <w:t xml:space="preserve">Indeed, </w:t>
      </w:r>
      <w:r>
        <w:rPr>
          <w:rFonts w:ascii="Times New Roman" w:eastAsia="Times New Roman" w:hAnsi="Times New Roman" w:cs="Times New Roman"/>
          <w:sz w:val="24"/>
          <w:szCs w:val="32"/>
          <w:lang w:val="en-US" w:eastAsia="fr-FR"/>
        </w:rPr>
        <w:t xml:space="preserve">concerning </w:t>
      </w:r>
      <w:r w:rsidRPr="0075273A">
        <w:rPr>
          <w:rFonts w:ascii="Times New Roman" w:eastAsia="Times New Roman" w:hAnsi="Times New Roman" w:cs="Times New Roman"/>
          <w:sz w:val="24"/>
          <w:szCs w:val="32"/>
          <w:lang w:val="en-US" w:eastAsia="fr-FR"/>
        </w:rPr>
        <w:t>loans granted by non-residents to residents, exchange regulation of Morocco is more favorable / liberal than those in force in Tunisia and India.</w:t>
      </w:r>
    </w:p>
    <w:p w:rsidR="0075273A" w:rsidRDefault="0075273A" w:rsidP="00D93BE3">
      <w:pPr>
        <w:jc w:val="both"/>
        <w:rPr>
          <w:rFonts w:ascii="Times New Roman" w:eastAsia="Times New Roman" w:hAnsi="Times New Roman" w:cs="Times New Roman"/>
          <w:sz w:val="24"/>
          <w:szCs w:val="32"/>
          <w:lang w:val="en-US" w:eastAsia="fr-FR"/>
        </w:rPr>
      </w:pPr>
      <w:r>
        <w:rPr>
          <w:rFonts w:ascii="Times New Roman" w:eastAsia="Times New Roman" w:hAnsi="Times New Roman" w:cs="Times New Roman"/>
          <w:sz w:val="24"/>
          <w:szCs w:val="32"/>
          <w:lang w:val="en-US" w:eastAsia="fr-FR"/>
        </w:rPr>
        <w:t xml:space="preserve">Also, </w:t>
      </w:r>
      <w:r w:rsidRPr="0075273A">
        <w:rPr>
          <w:rFonts w:ascii="Times New Roman" w:eastAsia="Times New Roman" w:hAnsi="Times New Roman" w:cs="Times New Roman"/>
          <w:sz w:val="24"/>
          <w:szCs w:val="32"/>
          <w:lang w:val="en-US" w:eastAsia="fr-FR"/>
        </w:rPr>
        <w:t>regulation</w:t>
      </w:r>
      <w:r>
        <w:rPr>
          <w:rFonts w:ascii="Times New Roman" w:eastAsia="Times New Roman" w:hAnsi="Times New Roman" w:cs="Times New Roman"/>
          <w:sz w:val="24"/>
          <w:szCs w:val="32"/>
          <w:lang w:val="en-US" w:eastAsia="fr-FR"/>
        </w:rPr>
        <w:t xml:space="preserve"> regarding</w:t>
      </w:r>
      <w:r w:rsidRPr="0075273A">
        <w:rPr>
          <w:rFonts w:ascii="Times New Roman" w:eastAsia="Times New Roman" w:hAnsi="Times New Roman" w:cs="Times New Roman"/>
          <w:sz w:val="24"/>
          <w:szCs w:val="32"/>
          <w:lang w:val="en-US" w:eastAsia="fr-FR"/>
        </w:rPr>
        <w:t xml:space="preserve"> loans grante</w:t>
      </w:r>
      <w:r>
        <w:rPr>
          <w:rFonts w:ascii="Times New Roman" w:eastAsia="Times New Roman" w:hAnsi="Times New Roman" w:cs="Times New Roman"/>
          <w:sz w:val="24"/>
          <w:szCs w:val="32"/>
          <w:lang w:val="en-US" w:eastAsia="fr-FR"/>
        </w:rPr>
        <w:t>d by residents to non-residents</w:t>
      </w:r>
      <w:r w:rsidRPr="0075273A">
        <w:rPr>
          <w:rFonts w:ascii="Times New Roman" w:eastAsia="Times New Roman" w:hAnsi="Times New Roman" w:cs="Times New Roman"/>
          <w:sz w:val="24"/>
          <w:szCs w:val="32"/>
          <w:lang w:val="en-US" w:eastAsia="fr-FR"/>
        </w:rPr>
        <w:t xml:space="preserve"> </w:t>
      </w:r>
      <w:r w:rsidR="00D61C15">
        <w:rPr>
          <w:rFonts w:ascii="Times New Roman" w:eastAsia="Times New Roman" w:hAnsi="Times New Roman" w:cs="Times New Roman"/>
          <w:sz w:val="24"/>
          <w:szCs w:val="32"/>
          <w:lang w:val="en-US" w:eastAsia="fr-FR"/>
        </w:rPr>
        <w:t>is more liberal than that</w:t>
      </w:r>
      <w:r w:rsidRPr="0075273A">
        <w:rPr>
          <w:rFonts w:ascii="Times New Roman" w:eastAsia="Times New Roman" w:hAnsi="Times New Roman" w:cs="Times New Roman"/>
          <w:sz w:val="24"/>
          <w:szCs w:val="32"/>
          <w:lang w:val="en-US" w:eastAsia="fr-FR"/>
        </w:rPr>
        <w:t xml:space="preserve"> in force in Tunisia and India and less liberal than </w:t>
      </w:r>
      <w:r w:rsidR="00D61C15">
        <w:rPr>
          <w:rFonts w:ascii="Times New Roman" w:eastAsia="Times New Roman" w:hAnsi="Times New Roman" w:cs="Times New Roman"/>
          <w:sz w:val="24"/>
          <w:szCs w:val="32"/>
          <w:lang w:val="en-US" w:eastAsia="fr-FR"/>
        </w:rPr>
        <w:t xml:space="preserve">that </w:t>
      </w:r>
      <w:r w:rsidRPr="0075273A">
        <w:rPr>
          <w:rFonts w:ascii="Times New Roman" w:eastAsia="Times New Roman" w:hAnsi="Times New Roman" w:cs="Times New Roman"/>
          <w:sz w:val="24"/>
          <w:szCs w:val="32"/>
          <w:lang w:val="en-US" w:eastAsia="fr-FR"/>
        </w:rPr>
        <w:t>in Ukraine and Thailand.</w:t>
      </w:r>
    </w:p>
    <w:p w:rsidR="00D61C15" w:rsidRDefault="00D61C15" w:rsidP="00D93BE3">
      <w:pPr>
        <w:spacing w:before="240"/>
        <w:jc w:val="both"/>
        <w:rPr>
          <w:rFonts w:asciiTheme="majorBidi" w:eastAsia="Times New Roman" w:hAnsiTheme="majorBidi" w:cstheme="majorBidi"/>
          <w:b/>
          <w:sz w:val="24"/>
          <w:szCs w:val="24"/>
          <w:lang w:val="en-US" w:eastAsia="fr-FR"/>
        </w:rPr>
      </w:pPr>
      <w:r w:rsidRPr="00835735">
        <w:rPr>
          <w:rFonts w:asciiTheme="majorBidi" w:eastAsia="Times New Roman" w:hAnsiTheme="majorBidi" w:cstheme="majorBidi"/>
          <w:b/>
          <w:sz w:val="24"/>
          <w:szCs w:val="24"/>
          <w:lang w:eastAsia="fr-FR"/>
        </w:rPr>
        <w:t>II</w:t>
      </w:r>
      <w:r w:rsidR="00FA6C25">
        <w:rPr>
          <w:rFonts w:asciiTheme="majorBidi" w:eastAsia="Times New Roman" w:hAnsiTheme="majorBidi" w:cstheme="majorBidi"/>
          <w:b/>
          <w:sz w:val="24"/>
          <w:szCs w:val="24"/>
          <w:lang w:eastAsia="fr-FR"/>
        </w:rPr>
        <w:t>I</w:t>
      </w:r>
      <w:r w:rsidRPr="00835735">
        <w:rPr>
          <w:rFonts w:asciiTheme="majorBidi" w:eastAsia="Times New Roman" w:hAnsiTheme="majorBidi" w:cstheme="majorBidi"/>
          <w:b/>
          <w:sz w:val="24"/>
          <w:szCs w:val="24"/>
          <w:lang w:eastAsia="fr-FR"/>
        </w:rPr>
        <w:t>-3/</w:t>
      </w:r>
      <w:r>
        <w:rPr>
          <w:rFonts w:asciiTheme="majorBidi" w:eastAsia="Times New Roman" w:hAnsiTheme="majorBidi" w:cstheme="majorBidi"/>
          <w:b/>
          <w:sz w:val="24"/>
          <w:szCs w:val="24"/>
          <w:lang w:eastAsia="fr-FR"/>
        </w:rPr>
        <w:t xml:space="preserve"> F</w:t>
      </w:r>
      <w:r w:rsidRPr="00D61C15">
        <w:rPr>
          <w:rFonts w:asciiTheme="majorBidi" w:eastAsia="Times New Roman" w:hAnsiTheme="majorBidi" w:cstheme="majorBidi"/>
          <w:b/>
          <w:sz w:val="24"/>
          <w:szCs w:val="24"/>
          <w:lang w:eastAsia="fr-FR"/>
        </w:rPr>
        <w:t xml:space="preserve">inancial </w:t>
      </w:r>
      <w:r w:rsidRPr="00D61C15">
        <w:rPr>
          <w:rFonts w:asciiTheme="majorBidi" w:eastAsia="Times New Roman" w:hAnsiTheme="majorBidi" w:cstheme="majorBidi"/>
          <w:b/>
          <w:sz w:val="24"/>
          <w:szCs w:val="24"/>
          <w:lang w:val="en-US" w:eastAsia="fr-FR"/>
        </w:rPr>
        <w:t>credits</w:t>
      </w:r>
    </w:p>
    <w:tbl>
      <w:tblPr>
        <w:tblStyle w:val="Grilledutableau"/>
        <w:tblW w:w="9923" w:type="dxa"/>
        <w:tblInd w:w="-176" w:type="dxa"/>
        <w:tblLook w:val="04A0" w:firstRow="1" w:lastRow="0" w:firstColumn="1" w:lastColumn="0" w:noHBand="0" w:noVBand="1"/>
      </w:tblPr>
      <w:tblGrid>
        <w:gridCol w:w="710"/>
        <w:gridCol w:w="5528"/>
        <w:gridCol w:w="3685"/>
      </w:tblGrid>
      <w:tr w:rsidR="00F03AD1" w:rsidRPr="00835735" w:rsidTr="00F03AD1">
        <w:tc>
          <w:tcPr>
            <w:tcW w:w="710" w:type="dxa"/>
          </w:tcPr>
          <w:p w:rsidR="00F03AD1" w:rsidRPr="00835735" w:rsidRDefault="00F03AD1" w:rsidP="00D93BE3">
            <w:pPr>
              <w:spacing w:line="276" w:lineRule="auto"/>
              <w:jc w:val="both"/>
              <w:rPr>
                <w:rFonts w:asciiTheme="majorBidi" w:eastAsia="Times New Roman" w:hAnsiTheme="majorBidi" w:cstheme="majorBidi"/>
                <w:b/>
                <w:sz w:val="24"/>
                <w:szCs w:val="24"/>
                <w:lang w:eastAsia="fr-FR"/>
              </w:rPr>
            </w:pPr>
          </w:p>
        </w:tc>
        <w:tc>
          <w:tcPr>
            <w:tcW w:w="5528" w:type="dxa"/>
          </w:tcPr>
          <w:p w:rsidR="00BE3A57" w:rsidRPr="00835735" w:rsidRDefault="00F03AD1" w:rsidP="00C93073">
            <w:pPr>
              <w:spacing w:line="276" w:lineRule="auto"/>
              <w:jc w:val="center"/>
              <w:rPr>
                <w:rFonts w:asciiTheme="majorBidi" w:eastAsia="Times New Roman" w:hAnsiTheme="majorBidi" w:cstheme="majorBidi"/>
                <w:b/>
                <w:sz w:val="24"/>
                <w:szCs w:val="24"/>
                <w:lang w:eastAsia="fr-FR"/>
              </w:rPr>
            </w:pPr>
            <w:r>
              <w:rPr>
                <w:rFonts w:asciiTheme="majorBidi" w:eastAsia="Times New Roman" w:hAnsiTheme="majorBidi" w:cstheme="majorBidi"/>
                <w:b/>
                <w:sz w:val="24"/>
                <w:szCs w:val="24"/>
                <w:lang w:eastAsia="fr-FR"/>
              </w:rPr>
              <w:t>Set of countries</w:t>
            </w:r>
          </w:p>
        </w:tc>
        <w:tc>
          <w:tcPr>
            <w:tcW w:w="3685" w:type="dxa"/>
          </w:tcPr>
          <w:p w:rsidR="00F03AD1" w:rsidRPr="00835735" w:rsidRDefault="00F03AD1" w:rsidP="00D93BE3">
            <w:pPr>
              <w:spacing w:line="276" w:lineRule="auto"/>
              <w:jc w:val="center"/>
              <w:rPr>
                <w:rFonts w:asciiTheme="majorBidi" w:eastAsia="Times New Roman" w:hAnsiTheme="majorBidi" w:cstheme="majorBidi"/>
                <w:b/>
                <w:sz w:val="24"/>
                <w:szCs w:val="24"/>
                <w:lang w:eastAsia="fr-FR"/>
              </w:rPr>
            </w:pPr>
            <w:r w:rsidRPr="00DF11F6">
              <w:rPr>
                <w:rFonts w:asciiTheme="majorBidi" w:eastAsia="Times New Roman" w:hAnsiTheme="majorBidi" w:cstheme="majorBidi"/>
                <w:b/>
                <w:sz w:val="24"/>
                <w:szCs w:val="24"/>
                <w:lang w:val="en-US" w:eastAsia="fr-FR"/>
              </w:rPr>
              <w:t>Morocco</w:t>
            </w:r>
          </w:p>
        </w:tc>
      </w:tr>
      <w:tr w:rsidR="00F03AD1" w:rsidRPr="00F16606" w:rsidTr="00812CF3">
        <w:trPr>
          <w:cantSplit/>
          <w:trHeight w:val="8985"/>
        </w:trPr>
        <w:tc>
          <w:tcPr>
            <w:tcW w:w="710" w:type="dxa"/>
            <w:textDirection w:val="btLr"/>
            <w:vAlign w:val="center"/>
          </w:tcPr>
          <w:p w:rsidR="00F03AD1" w:rsidRPr="00835735" w:rsidRDefault="007D223A" w:rsidP="00D93BE3">
            <w:pPr>
              <w:spacing w:line="276" w:lineRule="auto"/>
              <w:ind w:left="113" w:right="113"/>
              <w:jc w:val="center"/>
              <w:rPr>
                <w:rFonts w:asciiTheme="majorBidi" w:eastAsia="Times New Roman" w:hAnsiTheme="majorBidi" w:cstheme="majorBidi"/>
                <w:b/>
                <w:sz w:val="24"/>
                <w:szCs w:val="24"/>
                <w:lang w:eastAsia="fr-FR"/>
              </w:rPr>
            </w:pPr>
            <w:r>
              <w:rPr>
                <w:rFonts w:asciiTheme="majorBidi" w:eastAsia="Times New Roman" w:hAnsiTheme="majorBidi" w:cstheme="majorBidi"/>
                <w:b/>
                <w:sz w:val="24"/>
                <w:szCs w:val="24"/>
                <w:lang w:eastAsia="fr-FR"/>
              </w:rPr>
              <w:t xml:space="preserve">For </w:t>
            </w:r>
            <w:r w:rsidR="00F03AD1" w:rsidRPr="007D223A">
              <w:rPr>
                <w:rFonts w:asciiTheme="majorBidi" w:eastAsia="Times New Roman" w:hAnsiTheme="majorBidi" w:cstheme="majorBidi"/>
                <w:b/>
                <w:sz w:val="24"/>
                <w:szCs w:val="24"/>
                <w:lang w:val="en-US" w:eastAsia="fr-FR"/>
              </w:rPr>
              <w:t>r</w:t>
            </w:r>
            <w:r w:rsidRPr="007D223A">
              <w:rPr>
                <w:rFonts w:asciiTheme="majorBidi" w:eastAsia="Times New Roman" w:hAnsiTheme="majorBidi" w:cstheme="majorBidi"/>
                <w:b/>
                <w:sz w:val="24"/>
                <w:szCs w:val="24"/>
                <w:lang w:val="en-US" w:eastAsia="fr-FR"/>
              </w:rPr>
              <w:t>e</w:t>
            </w:r>
            <w:r w:rsidR="00F03AD1" w:rsidRPr="007D223A">
              <w:rPr>
                <w:rFonts w:asciiTheme="majorBidi" w:eastAsia="Times New Roman" w:hAnsiTheme="majorBidi" w:cstheme="majorBidi"/>
                <w:b/>
                <w:sz w:val="24"/>
                <w:szCs w:val="24"/>
                <w:lang w:val="en-US" w:eastAsia="fr-FR"/>
              </w:rPr>
              <w:t>sidents</w:t>
            </w:r>
          </w:p>
        </w:tc>
        <w:tc>
          <w:tcPr>
            <w:tcW w:w="5528" w:type="dxa"/>
          </w:tcPr>
          <w:p w:rsidR="00F03AD1" w:rsidRDefault="00F03AD1" w:rsidP="00D93BE3">
            <w:pPr>
              <w:spacing w:line="276" w:lineRule="auto"/>
              <w:jc w:val="both"/>
              <w:rPr>
                <w:rFonts w:asciiTheme="majorBidi" w:eastAsia="Times New Roman" w:hAnsiTheme="majorBidi" w:cstheme="majorBidi"/>
                <w:sz w:val="24"/>
                <w:szCs w:val="24"/>
                <w:lang w:val="en-US" w:eastAsia="fr-FR"/>
              </w:rPr>
            </w:pPr>
            <w:r w:rsidRPr="007D7976">
              <w:rPr>
                <w:rFonts w:asciiTheme="majorBidi" w:eastAsia="Times New Roman" w:hAnsiTheme="majorBidi" w:cstheme="majorBidi"/>
                <w:sz w:val="24"/>
                <w:szCs w:val="24"/>
                <w:lang w:val="en-US" w:eastAsia="fr-FR"/>
              </w:rPr>
              <w:t>-</w:t>
            </w:r>
            <w:r w:rsidRPr="007D7976">
              <w:rPr>
                <w:lang w:val="en-US"/>
              </w:rPr>
              <w:t xml:space="preserve"> </w:t>
            </w:r>
            <w:r w:rsidRPr="00F03AD1">
              <w:rPr>
                <w:rFonts w:asciiTheme="majorBidi" w:eastAsia="Times New Roman" w:hAnsiTheme="majorBidi" w:cstheme="majorBidi"/>
                <w:sz w:val="24"/>
                <w:szCs w:val="24"/>
                <w:lang w:val="en-US" w:eastAsia="fr-FR"/>
              </w:rPr>
              <w:t xml:space="preserve">General authorization to carry out such operations in </w:t>
            </w:r>
            <w:r w:rsidRPr="00F03AD1">
              <w:rPr>
                <w:rFonts w:asciiTheme="majorBidi" w:eastAsia="Times New Roman" w:hAnsiTheme="majorBidi" w:cstheme="majorBidi"/>
                <w:b/>
                <w:sz w:val="24"/>
                <w:szCs w:val="24"/>
                <w:lang w:val="en-US" w:eastAsia="fr-FR"/>
              </w:rPr>
              <w:t>Ukraine</w:t>
            </w:r>
            <w:r w:rsidRPr="00F03AD1">
              <w:rPr>
                <w:rFonts w:asciiTheme="majorBidi" w:eastAsia="Times New Roman" w:hAnsiTheme="majorBidi" w:cstheme="majorBidi"/>
                <w:sz w:val="24"/>
                <w:szCs w:val="24"/>
                <w:lang w:val="en-US" w:eastAsia="fr-FR"/>
              </w:rPr>
              <w:t xml:space="preserve"> and </w:t>
            </w:r>
            <w:r w:rsidRPr="00F03AD1">
              <w:rPr>
                <w:rFonts w:asciiTheme="majorBidi" w:eastAsia="Times New Roman" w:hAnsiTheme="majorBidi" w:cstheme="majorBidi"/>
                <w:b/>
                <w:sz w:val="24"/>
                <w:szCs w:val="24"/>
                <w:lang w:val="en-US" w:eastAsia="fr-FR"/>
              </w:rPr>
              <w:t>Indonesia</w:t>
            </w:r>
            <w:r w:rsidRPr="00F03AD1">
              <w:rPr>
                <w:rFonts w:asciiTheme="majorBidi" w:eastAsia="Times New Roman" w:hAnsiTheme="majorBidi" w:cstheme="majorBidi"/>
                <w:sz w:val="24"/>
                <w:szCs w:val="24"/>
                <w:lang w:val="en-US" w:eastAsia="fr-FR"/>
              </w:rPr>
              <w:t>.</w:t>
            </w:r>
          </w:p>
          <w:p w:rsidR="00F03AD1" w:rsidRDefault="007D223A" w:rsidP="00D93BE3">
            <w:pPr>
              <w:spacing w:line="276" w:lineRule="auto"/>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P</w:t>
            </w:r>
            <w:r w:rsidRPr="007D223A">
              <w:rPr>
                <w:rFonts w:asciiTheme="majorBidi" w:eastAsia="Times New Roman" w:hAnsiTheme="majorBidi" w:cstheme="majorBidi"/>
                <w:sz w:val="24"/>
                <w:szCs w:val="24"/>
                <w:lang w:val="en-US" w:eastAsia="fr-FR"/>
              </w:rPr>
              <w:t xml:space="preserve">artial authorization in other countries consisting of </w:t>
            </w:r>
            <w:r>
              <w:rPr>
                <w:rFonts w:asciiTheme="majorBidi" w:eastAsia="Times New Roman" w:hAnsiTheme="majorBidi" w:cstheme="majorBidi"/>
                <w:sz w:val="24"/>
                <w:szCs w:val="24"/>
                <w:lang w:val="en-US" w:eastAsia="fr-FR"/>
              </w:rPr>
              <w:t>some</w:t>
            </w:r>
            <w:r w:rsidRPr="007D223A">
              <w:rPr>
                <w:rFonts w:asciiTheme="majorBidi" w:eastAsia="Times New Roman" w:hAnsiTheme="majorBidi" w:cstheme="majorBidi"/>
                <w:sz w:val="24"/>
                <w:szCs w:val="24"/>
                <w:lang w:val="en-US" w:eastAsia="fr-FR"/>
              </w:rPr>
              <w:t xml:space="preserve"> restrictions in the form of annual amounts ceilings or on the transaction currency of denomination or eligible operators to carry out those operations :</w:t>
            </w:r>
          </w:p>
          <w:p w:rsidR="007D223A" w:rsidRPr="007D223A" w:rsidRDefault="007D223A" w:rsidP="00D93BE3">
            <w:pPr>
              <w:spacing w:line="276" w:lineRule="auto"/>
              <w:jc w:val="both"/>
              <w:rPr>
                <w:rFonts w:asciiTheme="majorBidi" w:eastAsia="Times New Roman" w:hAnsiTheme="majorBidi" w:cstheme="majorBidi"/>
                <w:b/>
                <w:sz w:val="24"/>
                <w:szCs w:val="24"/>
                <w:lang w:val="en-US" w:eastAsia="fr-FR"/>
              </w:rPr>
            </w:pPr>
            <w:r w:rsidRPr="007D223A">
              <w:rPr>
                <w:rFonts w:asciiTheme="majorBidi" w:eastAsia="Times New Roman" w:hAnsiTheme="majorBidi" w:cstheme="majorBidi"/>
                <w:b/>
                <w:sz w:val="24"/>
                <w:szCs w:val="24"/>
                <w:lang w:val="en-US" w:eastAsia="fr-FR"/>
              </w:rPr>
              <w:t>India</w:t>
            </w:r>
          </w:p>
          <w:p w:rsidR="007D223A" w:rsidRDefault="007D223A" w:rsidP="00D93BE3">
            <w:pPr>
              <w:spacing w:line="276" w:lineRule="auto"/>
              <w:jc w:val="both"/>
              <w:rPr>
                <w:rFonts w:asciiTheme="majorBidi" w:eastAsia="Times New Roman" w:hAnsiTheme="majorBidi" w:cstheme="majorBidi"/>
                <w:sz w:val="24"/>
                <w:szCs w:val="24"/>
                <w:lang w:val="en-US" w:eastAsia="fr-FR"/>
              </w:rPr>
            </w:pPr>
            <w:r w:rsidRPr="007D223A">
              <w:rPr>
                <w:rFonts w:asciiTheme="majorBidi" w:eastAsia="Times New Roman" w:hAnsiTheme="majorBidi" w:cstheme="majorBidi"/>
                <w:sz w:val="24"/>
                <w:szCs w:val="24"/>
                <w:lang w:val="en-US" w:eastAsia="fr-FR"/>
              </w:rPr>
              <w:t>General authori</w:t>
            </w:r>
            <w:r>
              <w:rPr>
                <w:rFonts w:asciiTheme="majorBidi" w:eastAsia="Times New Roman" w:hAnsiTheme="majorBidi" w:cstheme="majorBidi"/>
                <w:sz w:val="24"/>
                <w:szCs w:val="24"/>
                <w:lang w:val="en-US" w:eastAsia="fr-FR"/>
              </w:rPr>
              <w:t>za</w:t>
            </w:r>
            <w:r w:rsidRPr="007D223A">
              <w:rPr>
                <w:rFonts w:asciiTheme="majorBidi" w:eastAsia="Times New Roman" w:hAnsiTheme="majorBidi" w:cstheme="majorBidi"/>
                <w:sz w:val="24"/>
                <w:szCs w:val="24"/>
                <w:lang w:val="en-US" w:eastAsia="fr-FR"/>
              </w:rPr>
              <w:t>t</w:t>
            </w:r>
            <w:r>
              <w:rPr>
                <w:rFonts w:asciiTheme="majorBidi" w:eastAsia="Times New Roman" w:hAnsiTheme="majorBidi" w:cstheme="majorBidi"/>
                <w:sz w:val="24"/>
                <w:szCs w:val="24"/>
                <w:lang w:val="en-US" w:eastAsia="fr-FR"/>
              </w:rPr>
              <w:t>ion</w:t>
            </w:r>
            <w:r w:rsidRPr="007D223A">
              <w:rPr>
                <w:rFonts w:asciiTheme="majorBidi" w:eastAsia="Times New Roman" w:hAnsiTheme="majorBidi" w:cstheme="majorBidi"/>
                <w:sz w:val="24"/>
                <w:szCs w:val="24"/>
                <w:lang w:val="en-US" w:eastAsia="fr-FR"/>
              </w:rPr>
              <w:t xml:space="preserve"> within the limit of an annual ceiling of 500 million US dollars per company and an overall ceiling fixed annually for all transactions made by the economy as such. (This ceiling was set at US $ 40 billion in 2010</w:t>
            </w:r>
            <w:r>
              <w:rPr>
                <w:rFonts w:asciiTheme="majorBidi" w:eastAsia="Times New Roman" w:hAnsiTheme="majorBidi" w:cstheme="majorBidi"/>
                <w:sz w:val="24"/>
                <w:szCs w:val="24"/>
                <w:lang w:val="en-US" w:eastAsia="fr-FR"/>
              </w:rPr>
              <w:t>).</w:t>
            </w:r>
          </w:p>
          <w:p w:rsidR="007D223A" w:rsidRDefault="007D223A" w:rsidP="00D93BE3">
            <w:pPr>
              <w:spacing w:line="276" w:lineRule="auto"/>
              <w:jc w:val="both"/>
              <w:rPr>
                <w:rFonts w:asciiTheme="majorBidi" w:eastAsia="Times New Roman" w:hAnsiTheme="majorBidi" w:cstheme="majorBidi"/>
                <w:b/>
                <w:sz w:val="24"/>
                <w:szCs w:val="24"/>
                <w:lang w:val="en-US" w:eastAsia="fr-FR"/>
              </w:rPr>
            </w:pPr>
            <w:r w:rsidRPr="007D223A">
              <w:rPr>
                <w:rFonts w:asciiTheme="majorBidi" w:eastAsia="Times New Roman" w:hAnsiTheme="majorBidi" w:cstheme="majorBidi"/>
                <w:b/>
                <w:sz w:val="24"/>
                <w:szCs w:val="24"/>
                <w:lang w:val="en-US" w:eastAsia="fr-FR"/>
              </w:rPr>
              <w:t xml:space="preserve">Tunisia </w:t>
            </w:r>
          </w:p>
          <w:p w:rsidR="007D223A" w:rsidRPr="007D223A" w:rsidRDefault="007D223A" w:rsidP="00D93BE3">
            <w:pPr>
              <w:spacing w:line="276" w:lineRule="auto"/>
              <w:jc w:val="both"/>
              <w:rPr>
                <w:rFonts w:asciiTheme="majorBidi" w:eastAsia="Times New Roman" w:hAnsiTheme="majorBidi" w:cstheme="majorBidi"/>
                <w:sz w:val="24"/>
                <w:szCs w:val="24"/>
                <w:lang w:val="en-US" w:eastAsia="fr-FR"/>
              </w:rPr>
            </w:pPr>
            <w:r w:rsidRPr="007D223A">
              <w:rPr>
                <w:rFonts w:asciiTheme="majorBidi" w:eastAsia="Times New Roman" w:hAnsiTheme="majorBidi" w:cstheme="majorBidi"/>
                <w:sz w:val="24"/>
                <w:szCs w:val="24"/>
                <w:lang w:val="en-US" w:eastAsia="fr-FR"/>
              </w:rPr>
              <w:t>General authorization for credit institutions to carry out such transactions;</w:t>
            </w:r>
          </w:p>
          <w:p w:rsidR="007D223A" w:rsidRDefault="007D223A" w:rsidP="00D93BE3">
            <w:pPr>
              <w:spacing w:line="276" w:lineRule="auto"/>
              <w:jc w:val="both"/>
              <w:rPr>
                <w:rFonts w:asciiTheme="majorBidi" w:eastAsia="Times New Roman" w:hAnsiTheme="majorBidi" w:cstheme="majorBidi"/>
                <w:sz w:val="24"/>
                <w:szCs w:val="24"/>
                <w:lang w:val="en-US" w:eastAsia="fr-FR"/>
              </w:rPr>
            </w:pPr>
            <w:r w:rsidRPr="007D223A">
              <w:rPr>
                <w:rFonts w:asciiTheme="majorBidi" w:eastAsia="Times New Roman" w:hAnsiTheme="majorBidi" w:cstheme="majorBidi"/>
                <w:sz w:val="24"/>
                <w:szCs w:val="24"/>
                <w:lang w:val="en-US" w:eastAsia="fr-FR"/>
              </w:rPr>
              <w:t>Authorized within the limits of a maximum annual amount of 10 million TD (</w:t>
            </w:r>
            <w:r>
              <w:rPr>
                <w:rFonts w:asciiTheme="majorBidi" w:eastAsia="Times New Roman" w:hAnsiTheme="majorBidi" w:cstheme="majorBidi"/>
                <w:sz w:val="24"/>
                <w:szCs w:val="24"/>
                <w:lang w:val="en-US" w:eastAsia="fr-FR"/>
              </w:rPr>
              <w:t>50 million</w:t>
            </w:r>
            <w:r w:rsidRPr="0064610A">
              <w:rPr>
                <w:rFonts w:asciiTheme="majorBidi" w:eastAsia="Times New Roman" w:hAnsiTheme="majorBidi" w:cstheme="majorBidi"/>
                <w:sz w:val="24"/>
                <w:szCs w:val="24"/>
                <w:lang w:val="en-US" w:eastAsia="fr-FR"/>
              </w:rPr>
              <w:t xml:space="preserve"> dirhams</w:t>
            </w:r>
            <w:r w:rsidRPr="007D223A">
              <w:rPr>
                <w:rFonts w:asciiTheme="majorBidi" w:eastAsia="Times New Roman" w:hAnsiTheme="majorBidi" w:cstheme="majorBidi"/>
                <w:sz w:val="24"/>
                <w:szCs w:val="24"/>
                <w:lang w:val="en-US" w:eastAsia="fr-FR"/>
              </w:rPr>
              <w:t xml:space="preserve">) For companies with </w:t>
            </w:r>
            <w:r>
              <w:rPr>
                <w:rFonts w:asciiTheme="majorBidi" w:eastAsia="Times New Roman" w:hAnsiTheme="majorBidi" w:cstheme="majorBidi"/>
                <w:sz w:val="24"/>
                <w:szCs w:val="24"/>
                <w:lang w:val="en-US" w:eastAsia="fr-FR"/>
              </w:rPr>
              <w:t>“A”</w:t>
            </w:r>
            <w:r w:rsidRPr="007D223A">
              <w:rPr>
                <w:rFonts w:asciiTheme="majorBidi" w:eastAsia="Times New Roman" w:hAnsiTheme="majorBidi" w:cstheme="majorBidi"/>
                <w:sz w:val="24"/>
                <w:szCs w:val="24"/>
                <w:lang w:val="en-US" w:eastAsia="fr-FR"/>
              </w:rPr>
              <w:t xml:space="preserve"> rating from a rating agency or on the stock exchange and 3 million TD for other companies.</w:t>
            </w:r>
          </w:p>
          <w:p w:rsidR="007D223A" w:rsidRPr="007D223A" w:rsidRDefault="007D223A" w:rsidP="00D93BE3">
            <w:pPr>
              <w:spacing w:line="276" w:lineRule="auto"/>
              <w:jc w:val="both"/>
              <w:rPr>
                <w:rFonts w:asciiTheme="majorBidi" w:eastAsia="Times New Roman" w:hAnsiTheme="majorBidi" w:cstheme="majorBidi"/>
                <w:b/>
                <w:sz w:val="24"/>
                <w:szCs w:val="24"/>
                <w:lang w:val="en-US" w:eastAsia="fr-FR"/>
              </w:rPr>
            </w:pPr>
            <w:r w:rsidRPr="007D223A">
              <w:rPr>
                <w:rFonts w:asciiTheme="majorBidi" w:eastAsia="Times New Roman" w:hAnsiTheme="majorBidi" w:cstheme="majorBidi"/>
                <w:b/>
                <w:sz w:val="24"/>
                <w:szCs w:val="24"/>
                <w:lang w:val="en-US" w:eastAsia="fr-FR"/>
              </w:rPr>
              <w:t xml:space="preserve">Thailand </w:t>
            </w:r>
          </w:p>
          <w:p w:rsidR="007D223A" w:rsidRPr="007D223A" w:rsidRDefault="007D223A" w:rsidP="00D93BE3">
            <w:pPr>
              <w:spacing w:line="276" w:lineRule="auto"/>
              <w:jc w:val="both"/>
              <w:rPr>
                <w:rFonts w:asciiTheme="majorBidi" w:eastAsia="Times New Roman" w:hAnsiTheme="majorBidi" w:cstheme="majorBidi"/>
                <w:sz w:val="24"/>
                <w:szCs w:val="24"/>
                <w:lang w:val="en-US" w:eastAsia="fr-FR"/>
              </w:rPr>
            </w:pPr>
            <w:r w:rsidRPr="007D223A">
              <w:rPr>
                <w:rFonts w:asciiTheme="majorBidi" w:eastAsia="Times New Roman" w:hAnsiTheme="majorBidi" w:cstheme="majorBidi"/>
                <w:sz w:val="24"/>
                <w:szCs w:val="24"/>
                <w:lang w:val="en-US" w:eastAsia="fr-FR"/>
              </w:rPr>
              <w:t>Subject to authorization for the banking sector as they are incurred in national currency.</w:t>
            </w:r>
          </w:p>
          <w:p w:rsidR="007D223A" w:rsidRPr="00C93073" w:rsidRDefault="007D223A" w:rsidP="00D93BE3">
            <w:pPr>
              <w:spacing w:line="276" w:lineRule="auto"/>
              <w:jc w:val="both"/>
              <w:rPr>
                <w:rFonts w:asciiTheme="majorBidi" w:eastAsia="Times New Roman" w:hAnsiTheme="majorBidi" w:cstheme="majorBidi"/>
                <w:sz w:val="12"/>
                <w:szCs w:val="24"/>
                <w:lang w:val="en-US" w:eastAsia="fr-FR"/>
              </w:rPr>
            </w:pPr>
          </w:p>
          <w:p w:rsidR="00812CF3" w:rsidRDefault="007D223A" w:rsidP="00D93BE3">
            <w:pPr>
              <w:spacing w:line="276" w:lineRule="auto"/>
              <w:jc w:val="both"/>
              <w:rPr>
                <w:rFonts w:asciiTheme="majorBidi" w:eastAsia="Times New Roman" w:hAnsiTheme="majorBidi" w:cstheme="majorBidi"/>
                <w:sz w:val="24"/>
                <w:szCs w:val="24"/>
                <w:lang w:val="en-US" w:eastAsia="fr-FR"/>
              </w:rPr>
            </w:pPr>
            <w:r w:rsidRPr="007D223A">
              <w:rPr>
                <w:rFonts w:asciiTheme="majorBidi" w:eastAsia="Times New Roman" w:hAnsiTheme="majorBidi" w:cstheme="majorBidi"/>
                <w:sz w:val="24"/>
                <w:szCs w:val="24"/>
                <w:lang w:val="en-US" w:eastAsia="fr-FR"/>
              </w:rPr>
              <w:t xml:space="preserve">Subject to authorization in </w:t>
            </w:r>
            <w:r w:rsidRPr="007D223A">
              <w:rPr>
                <w:rFonts w:asciiTheme="majorBidi" w:eastAsia="Times New Roman" w:hAnsiTheme="majorBidi" w:cstheme="majorBidi"/>
                <w:b/>
                <w:sz w:val="24"/>
                <w:szCs w:val="24"/>
                <w:lang w:val="en-US" w:eastAsia="fr-FR"/>
              </w:rPr>
              <w:t>South Africa</w:t>
            </w:r>
            <w:r w:rsidRPr="007D223A">
              <w:rPr>
                <w:rFonts w:asciiTheme="majorBidi" w:eastAsia="Times New Roman" w:hAnsiTheme="majorBidi" w:cstheme="majorBidi"/>
                <w:sz w:val="24"/>
                <w:szCs w:val="24"/>
                <w:lang w:val="en-US" w:eastAsia="fr-FR"/>
              </w:rPr>
              <w:t>.</w:t>
            </w:r>
          </w:p>
          <w:p w:rsidR="00812CF3" w:rsidRDefault="00812CF3" w:rsidP="00D93BE3">
            <w:pPr>
              <w:spacing w:line="276" w:lineRule="auto"/>
              <w:jc w:val="both"/>
              <w:rPr>
                <w:rFonts w:asciiTheme="majorBidi" w:eastAsia="Times New Roman" w:hAnsiTheme="majorBidi" w:cstheme="majorBidi"/>
                <w:sz w:val="24"/>
                <w:szCs w:val="24"/>
                <w:lang w:val="en-US" w:eastAsia="fr-FR"/>
              </w:rPr>
            </w:pPr>
          </w:p>
          <w:p w:rsidR="00BE3A57" w:rsidRPr="00812CF3" w:rsidRDefault="00812CF3" w:rsidP="00812CF3">
            <w:pPr>
              <w:spacing w:line="276" w:lineRule="auto"/>
              <w:jc w:val="both"/>
              <w:rPr>
                <w:rFonts w:asciiTheme="majorBidi" w:eastAsia="Times New Roman" w:hAnsiTheme="majorBidi" w:cstheme="majorBidi"/>
                <w:sz w:val="24"/>
                <w:szCs w:val="24"/>
                <w:lang w:val="en-US" w:eastAsia="fr-FR"/>
              </w:rPr>
            </w:pPr>
            <w:r w:rsidRPr="00F03AD1">
              <w:rPr>
                <w:rFonts w:asciiTheme="majorBidi" w:eastAsia="Times New Roman" w:hAnsiTheme="majorBidi" w:cstheme="majorBidi"/>
                <w:sz w:val="24"/>
                <w:szCs w:val="24"/>
                <w:lang w:val="en-US" w:eastAsia="fr-FR"/>
              </w:rPr>
              <w:t>General authorization</w:t>
            </w:r>
            <w:r>
              <w:rPr>
                <w:rFonts w:asciiTheme="majorBidi" w:eastAsia="Times New Roman" w:hAnsiTheme="majorBidi" w:cstheme="majorBidi"/>
                <w:sz w:val="24"/>
                <w:szCs w:val="24"/>
                <w:lang w:val="en-US" w:eastAsia="fr-FR"/>
              </w:rPr>
              <w:t xml:space="preserve"> in </w:t>
            </w:r>
            <w:r w:rsidRPr="0089338A">
              <w:rPr>
                <w:rFonts w:asciiTheme="majorBidi" w:eastAsia="Times New Roman" w:hAnsiTheme="majorBidi" w:cstheme="majorBidi"/>
                <w:b/>
                <w:sz w:val="24"/>
                <w:szCs w:val="24"/>
                <w:lang w:val="en-US" w:eastAsia="fr-FR"/>
              </w:rPr>
              <w:t>Ukraine</w:t>
            </w:r>
            <w:r>
              <w:rPr>
                <w:rFonts w:asciiTheme="majorBidi" w:eastAsia="Times New Roman" w:hAnsiTheme="majorBidi" w:cstheme="majorBidi"/>
                <w:b/>
                <w:sz w:val="24"/>
                <w:szCs w:val="24"/>
                <w:lang w:val="en-US" w:eastAsia="fr-FR"/>
              </w:rPr>
              <w:t xml:space="preserve"> </w:t>
            </w:r>
            <w:r w:rsidRPr="0089338A">
              <w:rPr>
                <w:rFonts w:asciiTheme="majorBidi" w:eastAsia="Times New Roman" w:hAnsiTheme="majorBidi" w:cstheme="majorBidi"/>
                <w:sz w:val="24"/>
                <w:szCs w:val="24"/>
                <w:lang w:val="en-US" w:eastAsia="fr-FR"/>
              </w:rPr>
              <w:t>provided that such credits are granted to non - resident financial institutions.</w:t>
            </w:r>
          </w:p>
        </w:tc>
        <w:tc>
          <w:tcPr>
            <w:tcW w:w="3685" w:type="dxa"/>
          </w:tcPr>
          <w:p w:rsidR="00F03AD1" w:rsidRPr="00531E04" w:rsidRDefault="00F03AD1" w:rsidP="00D93BE3">
            <w:pPr>
              <w:spacing w:line="276" w:lineRule="auto"/>
              <w:jc w:val="both"/>
              <w:rPr>
                <w:rFonts w:asciiTheme="majorBidi" w:eastAsia="Times New Roman" w:hAnsiTheme="majorBidi" w:cstheme="majorBidi"/>
                <w:b/>
                <w:sz w:val="24"/>
                <w:szCs w:val="24"/>
                <w:lang w:val="en-US" w:eastAsia="fr-FR"/>
              </w:rPr>
            </w:pPr>
          </w:p>
          <w:p w:rsidR="00F03AD1" w:rsidRPr="00BE3A57" w:rsidRDefault="00BE3A57" w:rsidP="00D93BE3">
            <w:pPr>
              <w:spacing w:line="276" w:lineRule="auto"/>
              <w:jc w:val="both"/>
              <w:rPr>
                <w:rFonts w:asciiTheme="majorBidi" w:eastAsia="Times New Roman" w:hAnsiTheme="majorBidi" w:cstheme="majorBidi"/>
                <w:sz w:val="24"/>
                <w:szCs w:val="24"/>
                <w:lang w:val="en-US" w:eastAsia="fr-FR"/>
              </w:rPr>
            </w:pPr>
            <w:r w:rsidRPr="00BE3A57">
              <w:rPr>
                <w:rFonts w:asciiTheme="majorBidi" w:eastAsia="Times New Roman" w:hAnsiTheme="majorBidi" w:cstheme="majorBidi"/>
                <w:sz w:val="24"/>
                <w:szCs w:val="24"/>
                <w:lang w:val="en-US" w:eastAsia="fr-FR"/>
              </w:rPr>
              <w:t>Subject to the approval of the Exchange Office. However, the approved intermediary banks may grant loans in dirhams non-resident foreign</w:t>
            </w:r>
            <w:r>
              <w:rPr>
                <w:rFonts w:asciiTheme="majorBidi" w:eastAsia="Times New Roman" w:hAnsiTheme="majorBidi" w:cstheme="majorBidi"/>
                <w:sz w:val="24"/>
                <w:szCs w:val="24"/>
                <w:lang w:val="en-US" w:eastAsia="fr-FR"/>
              </w:rPr>
              <w:t>ers</w:t>
            </w:r>
            <w:r w:rsidRPr="00BE3A57">
              <w:rPr>
                <w:rFonts w:asciiTheme="majorBidi" w:eastAsia="Times New Roman" w:hAnsiTheme="majorBidi" w:cstheme="majorBidi"/>
                <w:sz w:val="24"/>
                <w:szCs w:val="24"/>
                <w:lang w:val="en-US" w:eastAsia="fr-FR"/>
              </w:rPr>
              <w:t xml:space="preserve"> and Moroccans living abroad for the acquisition or construction of </w:t>
            </w:r>
            <w:r>
              <w:rPr>
                <w:rFonts w:asciiTheme="majorBidi" w:eastAsia="Times New Roman" w:hAnsiTheme="majorBidi" w:cstheme="majorBidi"/>
                <w:sz w:val="24"/>
                <w:szCs w:val="24"/>
                <w:lang w:val="en-US" w:eastAsia="fr-FR"/>
              </w:rPr>
              <w:t xml:space="preserve">realty </w:t>
            </w:r>
            <w:r w:rsidRPr="00BE3A57">
              <w:rPr>
                <w:rFonts w:asciiTheme="majorBidi" w:eastAsia="Times New Roman" w:hAnsiTheme="majorBidi" w:cstheme="majorBidi"/>
                <w:sz w:val="24"/>
                <w:szCs w:val="24"/>
                <w:lang w:val="en-US" w:eastAsia="fr-FR"/>
              </w:rPr>
              <w:t>in Morocco. These credits can reach up to 70 % of the price of the property to the acquisition or construction</w:t>
            </w:r>
            <w:r w:rsidR="00DE7707">
              <w:rPr>
                <w:rStyle w:val="Appelnotedebasdep"/>
                <w:rFonts w:asciiTheme="majorBidi" w:eastAsia="Times New Roman" w:hAnsiTheme="majorBidi" w:cstheme="majorBidi"/>
                <w:sz w:val="24"/>
                <w:szCs w:val="24"/>
                <w:lang w:val="en-US" w:eastAsia="fr-FR"/>
              </w:rPr>
              <w:footnoteReference w:id="23"/>
            </w:r>
            <w:r w:rsidRPr="00BE3A57">
              <w:rPr>
                <w:rFonts w:asciiTheme="majorBidi" w:eastAsia="Times New Roman" w:hAnsiTheme="majorBidi" w:cstheme="majorBidi"/>
                <w:sz w:val="24"/>
                <w:szCs w:val="24"/>
                <w:lang w:val="en-US" w:eastAsia="fr-FR"/>
              </w:rPr>
              <w:t>.</w:t>
            </w:r>
          </w:p>
        </w:tc>
      </w:tr>
      <w:tr w:rsidR="0089338A" w:rsidRPr="00F16606" w:rsidTr="009D2E05">
        <w:trPr>
          <w:cantSplit/>
          <w:trHeight w:val="2278"/>
        </w:trPr>
        <w:tc>
          <w:tcPr>
            <w:tcW w:w="710" w:type="dxa"/>
            <w:textDirection w:val="btLr"/>
            <w:vAlign w:val="center"/>
          </w:tcPr>
          <w:p w:rsidR="0089338A" w:rsidRPr="00835735" w:rsidRDefault="0089338A" w:rsidP="00D93BE3">
            <w:pPr>
              <w:spacing w:line="276" w:lineRule="auto"/>
              <w:ind w:left="113" w:right="113"/>
              <w:jc w:val="center"/>
              <w:rPr>
                <w:rFonts w:asciiTheme="majorBidi" w:eastAsia="Times New Roman" w:hAnsiTheme="majorBidi" w:cstheme="majorBidi"/>
                <w:b/>
                <w:sz w:val="24"/>
                <w:szCs w:val="24"/>
                <w:lang w:eastAsia="fr-FR"/>
              </w:rPr>
            </w:pPr>
            <w:r>
              <w:rPr>
                <w:rFonts w:asciiTheme="majorBidi" w:eastAsia="Times New Roman" w:hAnsiTheme="majorBidi" w:cstheme="majorBidi"/>
                <w:b/>
                <w:sz w:val="24"/>
                <w:szCs w:val="24"/>
                <w:lang w:eastAsia="fr-FR"/>
              </w:rPr>
              <w:lastRenderedPageBreak/>
              <w:t>for non-</w:t>
            </w:r>
            <w:r w:rsidRPr="007D223A">
              <w:rPr>
                <w:rFonts w:asciiTheme="majorBidi" w:eastAsia="Times New Roman" w:hAnsiTheme="majorBidi" w:cstheme="majorBidi"/>
                <w:b/>
                <w:sz w:val="24"/>
                <w:szCs w:val="24"/>
                <w:lang w:val="en-US" w:eastAsia="fr-FR"/>
              </w:rPr>
              <w:t>residents</w:t>
            </w:r>
          </w:p>
        </w:tc>
        <w:tc>
          <w:tcPr>
            <w:tcW w:w="5528" w:type="dxa"/>
          </w:tcPr>
          <w:p w:rsidR="0089338A" w:rsidRPr="000801BF" w:rsidRDefault="0089338A" w:rsidP="00D93BE3">
            <w:pPr>
              <w:spacing w:line="276" w:lineRule="auto"/>
              <w:jc w:val="both"/>
              <w:rPr>
                <w:rFonts w:asciiTheme="majorBidi" w:eastAsia="Times New Roman" w:hAnsiTheme="majorBidi" w:cstheme="majorBidi"/>
                <w:sz w:val="12"/>
                <w:szCs w:val="24"/>
                <w:lang w:val="en-US" w:eastAsia="fr-FR"/>
              </w:rPr>
            </w:pPr>
          </w:p>
          <w:p w:rsidR="0089338A" w:rsidRDefault="0089338A" w:rsidP="00D93BE3">
            <w:pPr>
              <w:spacing w:line="276" w:lineRule="auto"/>
              <w:jc w:val="both"/>
              <w:rPr>
                <w:rFonts w:asciiTheme="majorBidi" w:eastAsia="Times New Roman" w:hAnsiTheme="majorBidi" w:cstheme="majorBidi"/>
                <w:sz w:val="24"/>
                <w:szCs w:val="24"/>
                <w:lang w:val="en-US" w:eastAsia="fr-FR"/>
              </w:rPr>
            </w:pPr>
            <w:r w:rsidRPr="0089338A">
              <w:rPr>
                <w:rFonts w:asciiTheme="majorBidi" w:eastAsia="Times New Roman" w:hAnsiTheme="majorBidi" w:cstheme="majorBidi"/>
                <w:sz w:val="24"/>
                <w:szCs w:val="24"/>
                <w:lang w:val="en-US" w:eastAsia="fr-FR"/>
              </w:rPr>
              <w:t xml:space="preserve">Differential </w:t>
            </w:r>
            <w:r>
              <w:rPr>
                <w:rFonts w:asciiTheme="majorBidi" w:eastAsia="Times New Roman" w:hAnsiTheme="majorBidi" w:cstheme="majorBidi"/>
                <w:sz w:val="24"/>
                <w:szCs w:val="24"/>
                <w:lang w:val="en-US" w:eastAsia="fr-FR"/>
              </w:rPr>
              <w:t xml:space="preserve">regulatory </w:t>
            </w:r>
            <w:r w:rsidRPr="0089338A">
              <w:rPr>
                <w:rFonts w:asciiTheme="majorBidi" w:eastAsia="Times New Roman" w:hAnsiTheme="majorBidi" w:cstheme="majorBidi"/>
                <w:sz w:val="24"/>
                <w:szCs w:val="24"/>
                <w:lang w:val="en-US" w:eastAsia="fr-FR"/>
              </w:rPr>
              <w:t>provisions depending on the quality of stakeholders in the transaction and / or by currency of denomination (depending whether domestic or foreign) of completion of th</w:t>
            </w:r>
            <w:r>
              <w:rPr>
                <w:rFonts w:asciiTheme="majorBidi" w:eastAsia="Times New Roman" w:hAnsiTheme="majorBidi" w:cstheme="majorBidi"/>
                <w:sz w:val="24"/>
                <w:szCs w:val="24"/>
                <w:lang w:val="en-US" w:eastAsia="fr-FR"/>
              </w:rPr>
              <w:t>e transaction. (</w:t>
            </w:r>
            <w:r w:rsidRPr="0089338A">
              <w:rPr>
                <w:rFonts w:asciiTheme="majorBidi" w:eastAsia="Times New Roman" w:hAnsiTheme="majorBidi" w:cstheme="majorBidi"/>
                <w:sz w:val="24"/>
                <w:szCs w:val="24"/>
                <w:lang w:val="en-US" w:eastAsia="fr-FR"/>
              </w:rPr>
              <w:t>Case of Thailand</w:t>
            </w:r>
            <w:r>
              <w:rPr>
                <w:rFonts w:asciiTheme="majorBidi" w:eastAsia="Times New Roman" w:hAnsiTheme="majorBidi" w:cstheme="majorBidi"/>
                <w:sz w:val="24"/>
                <w:szCs w:val="24"/>
                <w:lang w:val="en-US" w:eastAsia="fr-FR"/>
              </w:rPr>
              <w:t>).</w:t>
            </w:r>
          </w:p>
          <w:p w:rsidR="0089338A" w:rsidRPr="0089338A" w:rsidRDefault="0089338A" w:rsidP="00D93BE3">
            <w:pPr>
              <w:spacing w:line="276" w:lineRule="auto"/>
              <w:jc w:val="both"/>
              <w:rPr>
                <w:rFonts w:asciiTheme="majorBidi" w:eastAsia="Times New Roman" w:hAnsiTheme="majorBidi" w:cstheme="majorBidi"/>
                <w:b/>
                <w:sz w:val="24"/>
                <w:szCs w:val="24"/>
                <w:lang w:val="en-US" w:eastAsia="fr-FR"/>
              </w:rPr>
            </w:pPr>
            <w:r w:rsidRPr="0089338A">
              <w:rPr>
                <w:rFonts w:asciiTheme="majorBidi" w:eastAsia="Times New Roman" w:hAnsiTheme="majorBidi" w:cstheme="majorBidi"/>
                <w:b/>
                <w:sz w:val="24"/>
                <w:szCs w:val="24"/>
                <w:lang w:val="en-US" w:eastAsia="fr-FR"/>
              </w:rPr>
              <w:t>Thailand</w:t>
            </w:r>
          </w:p>
          <w:p w:rsidR="0089338A" w:rsidRDefault="00113714" w:rsidP="00D93BE3">
            <w:pPr>
              <w:spacing w:line="276" w:lineRule="auto"/>
              <w:jc w:val="both"/>
              <w:rPr>
                <w:rFonts w:asciiTheme="majorBidi" w:eastAsia="Times New Roman" w:hAnsiTheme="majorBidi" w:cstheme="majorBidi"/>
                <w:sz w:val="24"/>
                <w:szCs w:val="24"/>
                <w:lang w:val="en-US" w:eastAsia="fr-FR"/>
              </w:rPr>
            </w:pPr>
            <w:r w:rsidRPr="00113714">
              <w:rPr>
                <w:rFonts w:asciiTheme="majorBidi" w:eastAsia="Times New Roman" w:hAnsiTheme="majorBidi" w:cstheme="majorBidi"/>
                <w:sz w:val="24"/>
                <w:szCs w:val="24"/>
                <w:lang w:val="en-US" w:eastAsia="fr-FR"/>
              </w:rPr>
              <w:t>General authorization for such transactions when contracted between a resident enterprise and its subsidiary established abroad; authorization up to a maximum of US $ 50 million for other transactions.</w:t>
            </w:r>
          </w:p>
          <w:p w:rsidR="00113714" w:rsidRPr="00812CF3" w:rsidRDefault="00113714" w:rsidP="00D93BE3">
            <w:pPr>
              <w:spacing w:line="276" w:lineRule="auto"/>
              <w:jc w:val="both"/>
              <w:rPr>
                <w:rFonts w:asciiTheme="majorBidi" w:eastAsia="Times New Roman" w:hAnsiTheme="majorBidi" w:cstheme="majorBidi"/>
                <w:sz w:val="12"/>
                <w:szCs w:val="24"/>
                <w:lang w:val="en-US" w:eastAsia="fr-FR"/>
              </w:rPr>
            </w:pPr>
          </w:p>
          <w:p w:rsidR="00113714" w:rsidRDefault="00113714" w:rsidP="00D93BE3">
            <w:pPr>
              <w:spacing w:line="276" w:lineRule="auto"/>
              <w:jc w:val="both"/>
              <w:rPr>
                <w:rFonts w:asciiTheme="majorBidi" w:eastAsia="Times New Roman" w:hAnsiTheme="majorBidi" w:cstheme="majorBidi"/>
                <w:sz w:val="24"/>
                <w:szCs w:val="24"/>
                <w:lang w:val="en-US" w:eastAsia="fr-FR"/>
              </w:rPr>
            </w:pPr>
            <w:r w:rsidRPr="00113714">
              <w:rPr>
                <w:rFonts w:asciiTheme="majorBidi" w:eastAsia="Times New Roman" w:hAnsiTheme="majorBidi" w:cstheme="majorBidi"/>
                <w:sz w:val="24"/>
                <w:szCs w:val="24"/>
                <w:lang w:val="en-US" w:eastAsia="fr-FR"/>
              </w:rPr>
              <w:t>General authorization for loans granted by financial institutions in domestic currency, up to a maximum amount of 300 million Baht for loans to legal ent</w:t>
            </w:r>
            <w:r>
              <w:rPr>
                <w:rFonts w:asciiTheme="majorBidi" w:eastAsia="Times New Roman" w:hAnsiTheme="majorBidi" w:cstheme="majorBidi"/>
                <w:sz w:val="24"/>
                <w:szCs w:val="24"/>
                <w:lang w:val="en-US" w:eastAsia="fr-FR"/>
              </w:rPr>
              <w:t>ities and 5 million for those (</w:t>
            </w:r>
            <w:r w:rsidRPr="00113714">
              <w:rPr>
                <w:rFonts w:asciiTheme="majorBidi" w:eastAsia="Times New Roman" w:hAnsiTheme="majorBidi" w:cstheme="majorBidi"/>
                <w:sz w:val="24"/>
                <w:szCs w:val="24"/>
                <w:lang w:val="en-US" w:eastAsia="fr-FR"/>
              </w:rPr>
              <w:t>loans) granted to individuals</w:t>
            </w:r>
            <w:r>
              <w:rPr>
                <w:rFonts w:asciiTheme="majorBidi" w:eastAsia="Times New Roman" w:hAnsiTheme="majorBidi" w:cstheme="majorBidi"/>
                <w:sz w:val="24"/>
                <w:szCs w:val="24"/>
                <w:lang w:val="en-US" w:eastAsia="fr-FR"/>
              </w:rPr>
              <w:t>.</w:t>
            </w:r>
          </w:p>
          <w:p w:rsidR="00113714" w:rsidRDefault="00113714" w:rsidP="00D93BE3">
            <w:pPr>
              <w:spacing w:line="276" w:lineRule="auto"/>
              <w:jc w:val="both"/>
              <w:rPr>
                <w:rFonts w:asciiTheme="majorBidi" w:eastAsia="Times New Roman" w:hAnsiTheme="majorBidi" w:cstheme="majorBidi"/>
                <w:b/>
                <w:sz w:val="24"/>
                <w:szCs w:val="24"/>
                <w:lang w:val="en-US" w:eastAsia="fr-FR"/>
              </w:rPr>
            </w:pPr>
            <w:r w:rsidRPr="00113714">
              <w:rPr>
                <w:rFonts w:asciiTheme="majorBidi" w:eastAsia="Times New Roman" w:hAnsiTheme="majorBidi" w:cstheme="majorBidi"/>
                <w:b/>
                <w:sz w:val="24"/>
                <w:szCs w:val="24"/>
                <w:lang w:val="en-US" w:eastAsia="fr-FR"/>
              </w:rPr>
              <w:t xml:space="preserve">India </w:t>
            </w:r>
          </w:p>
          <w:p w:rsidR="00113714" w:rsidRDefault="00113714" w:rsidP="00D93BE3">
            <w:pPr>
              <w:spacing w:line="276" w:lineRule="auto"/>
              <w:jc w:val="both"/>
              <w:rPr>
                <w:rFonts w:asciiTheme="majorBidi" w:eastAsia="Times New Roman" w:hAnsiTheme="majorBidi" w:cstheme="majorBidi"/>
                <w:sz w:val="24"/>
                <w:szCs w:val="24"/>
                <w:lang w:val="en-US" w:eastAsia="fr-FR"/>
              </w:rPr>
            </w:pPr>
            <w:r w:rsidRPr="00113714">
              <w:rPr>
                <w:rFonts w:asciiTheme="majorBidi" w:eastAsia="Times New Roman" w:hAnsiTheme="majorBidi" w:cstheme="majorBidi"/>
                <w:sz w:val="24"/>
                <w:szCs w:val="24"/>
                <w:lang w:val="en-US" w:eastAsia="fr-FR"/>
              </w:rPr>
              <w:t>General authorization for such transactions incurred by resident companies with their subsidiaries abroad or with the staff of such subsidiaries.</w:t>
            </w:r>
          </w:p>
          <w:p w:rsidR="00113714" w:rsidRPr="000E16D7" w:rsidRDefault="00113714" w:rsidP="00D93BE3">
            <w:pPr>
              <w:spacing w:line="276" w:lineRule="auto"/>
              <w:jc w:val="both"/>
              <w:rPr>
                <w:rFonts w:asciiTheme="majorBidi" w:eastAsia="Times New Roman" w:hAnsiTheme="majorBidi" w:cstheme="majorBidi"/>
                <w:sz w:val="12"/>
                <w:szCs w:val="24"/>
                <w:lang w:val="en-US" w:eastAsia="fr-FR"/>
              </w:rPr>
            </w:pPr>
          </w:p>
          <w:p w:rsidR="00113714" w:rsidRDefault="00113714" w:rsidP="00D93BE3">
            <w:pPr>
              <w:spacing w:line="276" w:lineRule="auto"/>
              <w:jc w:val="both"/>
              <w:rPr>
                <w:rFonts w:asciiTheme="majorBidi" w:eastAsia="Times New Roman" w:hAnsiTheme="majorBidi" w:cstheme="majorBidi"/>
                <w:sz w:val="24"/>
                <w:szCs w:val="24"/>
                <w:lang w:val="en-US" w:eastAsia="fr-FR"/>
              </w:rPr>
            </w:pPr>
            <w:r w:rsidRPr="00113714">
              <w:rPr>
                <w:rFonts w:asciiTheme="majorBidi" w:eastAsia="Times New Roman" w:hAnsiTheme="majorBidi" w:cstheme="majorBidi"/>
                <w:sz w:val="24"/>
                <w:szCs w:val="24"/>
                <w:lang w:val="en-US" w:eastAsia="fr-FR"/>
              </w:rPr>
              <w:t>General authorization within the limit of an annual ceiling of 10 million for loans by resident banking entities.</w:t>
            </w:r>
          </w:p>
          <w:p w:rsidR="00113714" w:rsidRPr="000E16D7" w:rsidRDefault="00113714" w:rsidP="00D93BE3">
            <w:pPr>
              <w:spacing w:line="276" w:lineRule="auto"/>
              <w:jc w:val="both"/>
              <w:rPr>
                <w:rFonts w:asciiTheme="majorBidi" w:eastAsia="Times New Roman" w:hAnsiTheme="majorBidi" w:cstheme="majorBidi"/>
                <w:sz w:val="12"/>
                <w:szCs w:val="24"/>
                <w:lang w:val="en-US" w:eastAsia="fr-FR"/>
              </w:rPr>
            </w:pPr>
          </w:p>
          <w:p w:rsidR="00113714" w:rsidRPr="0089338A" w:rsidRDefault="00113714" w:rsidP="00D93BE3">
            <w:pPr>
              <w:spacing w:line="276" w:lineRule="auto"/>
              <w:jc w:val="both"/>
              <w:rPr>
                <w:rFonts w:asciiTheme="majorBidi" w:eastAsia="Times New Roman" w:hAnsiTheme="majorBidi" w:cstheme="majorBidi"/>
                <w:sz w:val="24"/>
                <w:szCs w:val="24"/>
                <w:lang w:val="en-US" w:eastAsia="fr-FR"/>
              </w:rPr>
            </w:pPr>
            <w:r w:rsidRPr="00113714">
              <w:rPr>
                <w:rFonts w:asciiTheme="majorBidi" w:eastAsia="Times New Roman" w:hAnsiTheme="majorBidi" w:cstheme="majorBidi"/>
                <w:sz w:val="24"/>
                <w:szCs w:val="24"/>
                <w:lang w:val="en-US" w:eastAsia="fr-FR"/>
              </w:rPr>
              <w:t xml:space="preserve">Subject to authorization </w:t>
            </w:r>
            <w:r>
              <w:rPr>
                <w:rFonts w:asciiTheme="majorBidi" w:eastAsia="Times New Roman" w:hAnsiTheme="majorBidi" w:cstheme="majorBidi"/>
                <w:sz w:val="24"/>
                <w:szCs w:val="24"/>
                <w:lang w:val="en-US" w:eastAsia="fr-FR"/>
              </w:rPr>
              <w:t xml:space="preserve">in </w:t>
            </w:r>
            <w:r w:rsidRPr="00113714">
              <w:rPr>
                <w:rFonts w:asciiTheme="majorBidi" w:eastAsia="Times New Roman" w:hAnsiTheme="majorBidi" w:cstheme="majorBidi"/>
                <w:b/>
                <w:sz w:val="24"/>
                <w:szCs w:val="24"/>
                <w:lang w:val="en-US" w:eastAsia="fr-FR"/>
              </w:rPr>
              <w:t>Tunisia</w:t>
            </w:r>
            <w:r>
              <w:rPr>
                <w:rFonts w:asciiTheme="majorBidi" w:eastAsia="Times New Roman" w:hAnsiTheme="majorBidi" w:cstheme="majorBidi"/>
                <w:sz w:val="24"/>
                <w:szCs w:val="24"/>
                <w:lang w:val="en-US" w:eastAsia="fr-FR"/>
              </w:rPr>
              <w:t xml:space="preserve"> and</w:t>
            </w:r>
            <w:r w:rsidRPr="00113714">
              <w:rPr>
                <w:rFonts w:asciiTheme="majorBidi" w:eastAsia="Times New Roman" w:hAnsiTheme="majorBidi" w:cstheme="majorBidi"/>
                <w:sz w:val="24"/>
                <w:szCs w:val="24"/>
                <w:lang w:val="en-US" w:eastAsia="fr-FR"/>
              </w:rPr>
              <w:t xml:space="preserve"> </w:t>
            </w:r>
            <w:r w:rsidRPr="00113714">
              <w:rPr>
                <w:rFonts w:asciiTheme="majorBidi" w:eastAsia="Times New Roman" w:hAnsiTheme="majorBidi" w:cstheme="majorBidi"/>
                <w:b/>
                <w:sz w:val="24"/>
                <w:szCs w:val="24"/>
                <w:lang w:val="en-US" w:eastAsia="fr-FR"/>
              </w:rPr>
              <w:t>South Africa</w:t>
            </w:r>
            <w:r>
              <w:rPr>
                <w:rStyle w:val="Appelnotedebasdep"/>
                <w:rFonts w:asciiTheme="majorBidi" w:eastAsia="Times New Roman" w:hAnsiTheme="majorBidi" w:cstheme="majorBidi"/>
                <w:b/>
                <w:sz w:val="24"/>
                <w:szCs w:val="24"/>
                <w:lang w:val="en-US" w:eastAsia="fr-FR"/>
              </w:rPr>
              <w:footnoteReference w:id="24"/>
            </w:r>
            <w:r>
              <w:rPr>
                <w:rFonts w:asciiTheme="majorBidi" w:eastAsia="Times New Roman" w:hAnsiTheme="majorBidi" w:cstheme="majorBidi"/>
                <w:b/>
                <w:sz w:val="24"/>
                <w:szCs w:val="24"/>
                <w:lang w:val="en-US" w:eastAsia="fr-FR"/>
              </w:rPr>
              <w:t>.</w:t>
            </w:r>
          </w:p>
        </w:tc>
        <w:tc>
          <w:tcPr>
            <w:tcW w:w="3685" w:type="dxa"/>
          </w:tcPr>
          <w:p w:rsidR="0089338A" w:rsidRPr="004911A1" w:rsidRDefault="0089338A" w:rsidP="00D93BE3">
            <w:pPr>
              <w:spacing w:line="276" w:lineRule="auto"/>
              <w:jc w:val="both"/>
              <w:rPr>
                <w:rFonts w:asciiTheme="majorBidi" w:eastAsia="Times New Roman" w:hAnsiTheme="majorBidi" w:cstheme="majorBidi"/>
                <w:b/>
                <w:sz w:val="24"/>
                <w:szCs w:val="24"/>
                <w:lang w:val="en-US" w:eastAsia="fr-FR"/>
              </w:rPr>
            </w:pPr>
          </w:p>
        </w:tc>
      </w:tr>
    </w:tbl>
    <w:p w:rsidR="00D61C15" w:rsidRPr="00812CF3" w:rsidRDefault="00F03AD1" w:rsidP="000801BF">
      <w:pPr>
        <w:spacing w:after="0"/>
        <w:rPr>
          <w:rFonts w:ascii="Times New Roman" w:eastAsia="Times New Roman" w:hAnsi="Times New Roman" w:cs="Times New Roman"/>
          <w:sz w:val="12"/>
          <w:szCs w:val="32"/>
          <w:lang w:val="en-US" w:eastAsia="fr-FR"/>
        </w:rPr>
      </w:pPr>
      <w:r>
        <w:rPr>
          <w:rFonts w:ascii="Times New Roman" w:eastAsia="Times New Roman" w:hAnsi="Times New Roman" w:cs="Times New Roman"/>
          <w:sz w:val="24"/>
          <w:szCs w:val="32"/>
          <w:lang w:val="en-US" w:eastAsia="fr-FR"/>
        </w:rPr>
        <w:t xml:space="preserve"> </w:t>
      </w:r>
    </w:p>
    <w:p w:rsidR="00113714" w:rsidRPr="00113714" w:rsidRDefault="00113714" w:rsidP="00D93BE3">
      <w:pPr>
        <w:rPr>
          <w:rFonts w:ascii="Times New Roman" w:eastAsia="Times New Roman" w:hAnsi="Times New Roman" w:cs="Times New Roman"/>
          <w:b/>
          <w:sz w:val="24"/>
          <w:szCs w:val="32"/>
          <w:lang w:val="en-US" w:eastAsia="fr-FR"/>
        </w:rPr>
      </w:pPr>
      <w:r w:rsidRPr="00113714">
        <w:rPr>
          <w:rFonts w:ascii="Times New Roman" w:eastAsia="Times New Roman" w:hAnsi="Times New Roman" w:cs="Times New Roman"/>
          <w:b/>
          <w:sz w:val="24"/>
          <w:szCs w:val="32"/>
          <w:lang w:val="en-US" w:eastAsia="fr-FR"/>
        </w:rPr>
        <w:t xml:space="preserve">Commentary </w:t>
      </w:r>
    </w:p>
    <w:p w:rsidR="000E16D7" w:rsidRDefault="001F182C" w:rsidP="00D93BE3">
      <w:pPr>
        <w:rPr>
          <w:rFonts w:ascii="Times New Roman" w:eastAsia="Times New Roman" w:hAnsi="Times New Roman" w:cs="Times New Roman"/>
          <w:sz w:val="24"/>
          <w:szCs w:val="32"/>
          <w:lang w:val="en-US" w:eastAsia="fr-FR"/>
        </w:rPr>
      </w:pPr>
      <w:r>
        <w:rPr>
          <w:rFonts w:ascii="Times New Roman" w:eastAsia="Times New Roman" w:hAnsi="Times New Roman" w:cs="Times New Roman"/>
          <w:sz w:val="24"/>
          <w:szCs w:val="32"/>
          <w:lang w:val="en-US" w:eastAsia="fr-FR"/>
        </w:rPr>
        <w:t>Regarding</w:t>
      </w:r>
      <w:r w:rsidR="00113714" w:rsidRPr="00113714">
        <w:rPr>
          <w:rFonts w:ascii="Times New Roman" w:eastAsia="Times New Roman" w:hAnsi="Times New Roman" w:cs="Times New Roman"/>
          <w:sz w:val="24"/>
          <w:szCs w:val="32"/>
          <w:lang w:val="en-US" w:eastAsia="fr-FR"/>
        </w:rPr>
        <w:t xml:space="preserve"> financial credits for residents, </w:t>
      </w:r>
      <w:r w:rsidRPr="001F182C">
        <w:rPr>
          <w:rFonts w:ascii="Times New Roman" w:eastAsia="Times New Roman" w:hAnsi="Times New Roman" w:cs="Times New Roman"/>
          <w:sz w:val="24"/>
          <w:szCs w:val="32"/>
          <w:lang w:val="en-US" w:eastAsia="fr-FR"/>
        </w:rPr>
        <w:t xml:space="preserve">Morocco's exchange regulation </w:t>
      </w:r>
      <w:r w:rsidR="00113714" w:rsidRPr="00113714">
        <w:rPr>
          <w:rFonts w:ascii="Times New Roman" w:eastAsia="Times New Roman" w:hAnsi="Times New Roman" w:cs="Times New Roman"/>
          <w:sz w:val="24"/>
          <w:szCs w:val="32"/>
          <w:lang w:val="en-US" w:eastAsia="fr-FR"/>
        </w:rPr>
        <w:t>is more liberal compared to other countries as that in force in South Africa, less liberal than that in force in Ukraine and Indonesia</w:t>
      </w:r>
      <w:r>
        <w:rPr>
          <w:rFonts w:ascii="Times New Roman" w:eastAsia="Times New Roman" w:hAnsi="Times New Roman" w:cs="Times New Roman"/>
          <w:sz w:val="24"/>
          <w:szCs w:val="32"/>
          <w:lang w:val="en-US" w:eastAsia="fr-FR"/>
        </w:rPr>
        <w:t>, and it’s is different (</w:t>
      </w:r>
      <w:r w:rsidR="00113714" w:rsidRPr="00113714">
        <w:rPr>
          <w:rFonts w:ascii="Times New Roman" w:eastAsia="Times New Roman" w:hAnsi="Times New Roman" w:cs="Times New Roman"/>
          <w:sz w:val="24"/>
          <w:szCs w:val="32"/>
          <w:lang w:val="en-US" w:eastAsia="fr-FR"/>
        </w:rPr>
        <w:t>unique or difficult comparable) than that in India and Tunisia.</w:t>
      </w:r>
    </w:p>
    <w:p w:rsidR="00D61C15" w:rsidRDefault="00113714" w:rsidP="00812CF3">
      <w:pPr>
        <w:spacing w:after="0"/>
        <w:rPr>
          <w:rFonts w:ascii="Times New Roman" w:eastAsia="Times New Roman" w:hAnsi="Times New Roman" w:cs="Times New Roman"/>
          <w:sz w:val="24"/>
          <w:szCs w:val="32"/>
          <w:lang w:val="en-US" w:eastAsia="fr-FR"/>
        </w:rPr>
      </w:pPr>
      <w:r w:rsidRPr="00113714">
        <w:rPr>
          <w:rFonts w:ascii="Times New Roman" w:eastAsia="Times New Roman" w:hAnsi="Times New Roman" w:cs="Times New Roman"/>
          <w:sz w:val="24"/>
          <w:szCs w:val="32"/>
          <w:lang w:val="en-US" w:eastAsia="fr-FR"/>
        </w:rPr>
        <w:t>Indeed, in Tunisia, the exchange provisions differentiates / operates the difference according to the operators contracting the appropriations, while that of Morocco puts more emphasis on the nature of the object of such credits operations (trade and investment).</w:t>
      </w:r>
    </w:p>
    <w:p w:rsidR="001F182C" w:rsidRDefault="001F182C" w:rsidP="00812CF3">
      <w:pPr>
        <w:spacing w:after="0"/>
        <w:rPr>
          <w:rFonts w:ascii="Times New Roman" w:eastAsia="Times New Roman" w:hAnsi="Times New Roman" w:cs="Times New Roman"/>
          <w:sz w:val="24"/>
          <w:szCs w:val="32"/>
          <w:lang w:val="en-US" w:eastAsia="fr-FR"/>
        </w:rPr>
      </w:pPr>
      <w:r w:rsidRPr="001F182C">
        <w:rPr>
          <w:rFonts w:ascii="Times New Roman" w:eastAsia="Times New Roman" w:hAnsi="Times New Roman" w:cs="Times New Roman"/>
          <w:sz w:val="24"/>
          <w:szCs w:val="32"/>
          <w:lang w:val="en-US" w:eastAsia="fr-FR"/>
        </w:rPr>
        <w:t>In lending by residents to non-residents financiers, the Exchange Reg</w:t>
      </w:r>
      <w:r>
        <w:rPr>
          <w:rFonts w:ascii="Times New Roman" w:eastAsia="Times New Roman" w:hAnsi="Times New Roman" w:cs="Times New Roman"/>
          <w:sz w:val="24"/>
          <w:szCs w:val="32"/>
          <w:lang w:val="en-US" w:eastAsia="fr-FR"/>
        </w:rPr>
        <w:t xml:space="preserve">ulation of Morocco is similar to that in force in </w:t>
      </w:r>
      <w:r w:rsidRPr="001F182C">
        <w:rPr>
          <w:rFonts w:ascii="Times New Roman" w:eastAsia="Times New Roman" w:hAnsi="Times New Roman" w:cs="Times New Roman"/>
          <w:sz w:val="24"/>
          <w:szCs w:val="32"/>
          <w:lang w:val="en-US" w:eastAsia="fr-FR"/>
        </w:rPr>
        <w:t xml:space="preserve">Tunisia, South Africa and Indonesia (Since </w:t>
      </w:r>
      <w:r>
        <w:rPr>
          <w:rFonts w:ascii="Times New Roman" w:eastAsia="Times New Roman" w:hAnsi="Times New Roman" w:cs="Times New Roman"/>
          <w:sz w:val="24"/>
          <w:szCs w:val="32"/>
          <w:lang w:val="en-US" w:eastAsia="fr-FR"/>
        </w:rPr>
        <w:t>this</w:t>
      </w:r>
      <w:r w:rsidRPr="001F182C">
        <w:rPr>
          <w:rFonts w:ascii="Times New Roman" w:eastAsia="Times New Roman" w:hAnsi="Times New Roman" w:cs="Times New Roman"/>
          <w:sz w:val="24"/>
          <w:szCs w:val="32"/>
          <w:lang w:val="en-US" w:eastAsia="fr-FR"/>
        </w:rPr>
        <w:t xml:space="preserve"> Operations are generally Subjected to authorization In Morocco and in these countries).</w:t>
      </w:r>
    </w:p>
    <w:p w:rsidR="000E16D7" w:rsidRDefault="00BE3A57" w:rsidP="00D93BE3">
      <w:pPr>
        <w:rPr>
          <w:rFonts w:ascii="Times New Roman" w:eastAsia="Times New Roman" w:hAnsi="Times New Roman" w:cs="Times New Roman"/>
          <w:sz w:val="24"/>
          <w:szCs w:val="32"/>
          <w:lang w:val="en-US" w:eastAsia="fr-FR"/>
        </w:rPr>
      </w:pPr>
      <w:r>
        <w:rPr>
          <w:rFonts w:ascii="Times New Roman" w:eastAsia="Times New Roman" w:hAnsi="Times New Roman" w:cs="Times New Roman"/>
          <w:sz w:val="24"/>
          <w:szCs w:val="32"/>
          <w:lang w:val="en-US" w:eastAsia="fr-FR"/>
        </w:rPr>
        <w:t>However</w:t>
      </w:r>
      <w:r w:rsidR="001F182C" w:rsidRPr="001F182C">
        <w:rPr>
          <w:rFonts w:ascii="Times New Roman" w:eastAsia="Times New Roman" w:hAnsi="Times New Roman" w:cs="Times New Roman"/>
          <w:sz w:val="24"/>
          <w:szCs w:val="32"/>
          <w:lang w:val="en-US" w:eastAsia="fr-FR"/>
        </w:rPr>
        <w:t>, the exchange regulation of Morocco is less liberal than that in force in Thailand and India</w:t>
      </w:r>
      <w:r>
        <w:rPr>
          <w:rFonts w:ascii="Times New Roman" w:eastAsia="Times New Roman" w:hAnsi="Times New Roman" w:cs="Times New Roman"/>
          <w:sz w:val="24"/>
          <w:szCs w:val="32"/>
          <w:lang w:val="en-US" w:eastAsia="fr-FR"/>
        </w:rPr>
        <w:t>.</w:t>
      </w:r>
    </w:p>
    <w:p w:rsidR="000E16D7" w:rsidRDefault="00BE3A57" w:rsidP="00D93BE3">
      <w:pPr>
        <w:rPr>
          <w:rFonts w:asciiTheme="majorBidi" w:eastAsia="Times New Roman" w:hAnsiTheme="majorBidi" w:cstheme="majorBidi"/>
          <w:b/>
          <w:sz w:val="24"/>
          <w:szCs w:val="24"/>
          <w:lang w:eastAsia="fr-FR"/>
        </w:rPr>
      </w:pPr>
      <w:r w:rsidRPr="00835735">
        <w:rPr>
          <w:rFonts w:asciiTheme="majorBidi" w:eastAsia="Times New Roman" w:hAnsiTheme="majorBidi" w:cstheme="majorBidi"/>
          <w:b/>
          <w:sz w:val="24"/>
          <w:szCs w:val="24"/>
          <w:lang w:eastAsia="fr-FR"/>
        </w:rPr>
        <w:lastRenderedPageBreak/>
        <w:t>II</w:t>
      </w:r>
      <w:r w:rsidR="00FA6C25">
        <w:rPr>
          <w:rFonts w:asciiTheme="majorBidi" w:eastAsia="Times New Roman" w:hAnsiTheme="majorBidi" w:cstheme="majorBidi"/>
          <w:b/>
          <w:sz w:val="24"/>
          <w:szCs w:val="24"/>
          <w:lang w:eastAsia="fr-FR"/>
        </w:rPr>
        <w:t>I</w:t>
      </w:r>
      <w:r w:rsidRPr="00835735">
        <w:rPr>
          <w:rFonts w:asciiTheme="majorBidi" w:eastAsia="Times New Roman" w:hAnsiTheme="majorBidi" w:cstheme="majorBidi"/>
          <w:b/>
          <w:sz w:val="24"/>
          <w:szCs w:val="24"/>
          <w:lang w:eastAsia="fr-FR"/>
        </w:rPr>
        <w:t>-4/</w:t>
      </w:r>
      <w:r>
        <w:rPr>
          <w:rFonts w:asciiTheme="majorBidi" w:eastAsia="Times New Roman" w:hAnsiTheme="majorBidi" w:cstheme="majorBidi"/>
          <w:b/>
          <w:sz w:val="24"/>
          <w:szCs w:val="24"/>
          <w:lang w:eastAsia="fr-FR"/>
        </w:rPr>
        <w:t xml:space="preserve"> </w:t>
      </w:r>
      <w:r w:rsidRPr="00BE3A57">
        <w:rPr>
          <w:rFonts w:asciiTheme="majorBidi" w:eastAsia="Times New Roman" w:hAnsiTheme="majorBidi" w:cstheme="majorBidi"/>
          <w:b/>
          <w:sz w:val="24"/>
          <w:szCs w:val="24"/>
          <w:lang w:eastAsia="fr-FR"/>
        </w:rPr>
        <w:t xml:space="preserve">Financial </w:t>
      </w:r>
      <w:r w:rsidRPr="00BE3A57">
        <w:rPr>
          <w:rFonts w:asciiTheme="majorBidi" w:eastAsia="Times New Roman" w:hAnsiTheme="majorBidi" w:cstheme="majorBidi"/>
          <w:b/>
          <w:sz w:val="24"/>
          <w:szCs w:val="24"/>
          <w:lang w:val="en-US" w:eastAsia="fr-FR"/>
        </w:rPr>
        <w:t>derivatives</w:t>
      </w:r>
    </w:p>
    <w:tbl>
      <w:tblPr>
        <w:tblStyle w:val="Grilledutableau"/>
        <w:tblW w:w="9213" w:type="dxa"/>
        <w:tblInd w:w="-176" w:type="dxa"/>
        <w:tblLook w:val="04A0" w:firstRow="1" w:lastRow="0" w:firstColumn="1" w:lastColumn="0" w:noHBand="0" w:noVBand="1"/>
      </w:tblPr>
      <w:tblGrid>
        <w:gridCol w:w="5528"/>
        <w:gridCol w:w="3685"/>
      </w:tblGrid>
      <w:tr w:rsidR="0002437C" w:rsidRPr="00835735" w:rsidTr="00812CF3">
        <w:trPr>
          <w:trHeight w:val="306"/>
        </w:trPr>
        <w:tc>
          <w:tcPr>
            <w:tcW w:w="5528" w:type="dxa"/>
          </w:tcPr>
          <w:p w:rsidR="0002437C" w:rsidRPr="00835735" w:rsidRDefault="0002437C" w:rsidP="000E16D7">
            <w:pPr>
              <w:spacing w:line="276" w:lineRule="auto"/>
              <w:jc w:val="center"/>
              <w:rPr>
                <w:rFonts w:asciiTheme="majorBidi" w:eastAsia="Times New Roman" w:hAnsiTheme="majorBidi" w:cstheme="majorBidi"/>
                <w:b/>
                <w:sz w:val="24"/>
                <w:szCs w:val="24"/>
                <w:lang w:eastAsia="fr-FR"/>
              </w:rPr>
            </w:pPr>
            <w:r>
              <w:rPr>
                <w:rFonts w:asciiTheme="majorBidi" w:eastAsia="Times New Roman" w:hAnsiTheme="majorBidi" w:cstheme="majorBidi"/>
                <w:b/>
                <w:sz w:val="24"/>
                <w:szCs w:val="24"/>
                <w:lang w:eastAsia="fr-FR"/>
              </w:rPr>
              <w:t>Set of countries</w:t>
            </w:r>
          </w:p>
        </w:tc>
        <w:tc>
          <w:tcPr>
            <w:tcW w:w="3685" w:type="dxa"/>
          </w:tcPr>
          <w:p w:rsidR="0002437C" w:rsidRPr="00835735" w:rsidRDefault="0002437C" w:rsidP="00D93BE3">
            <w:pPr>
              <w:spacing w:line="276" w:lineRule="auto"/>
              <w:jc w:val="center"/>
              <w:rPr>
                <w:rFonts w:asciiTheme="majorBidi" w:eastAsia="Times New Roman" w:hAnsiTheme="majorBidi" w:cstheme="majorBidi"/>
                <w:b/>
                <w:sz w:val="24"/>
                <w:szCs w:val="24"/>
                <w:lang w:eastAsia="fr-FR"/>
              </w:rPr>
            </w:pPr>
            <w:r w:rsidRPr="00DF11F6">
              <w:rPr>
                <w:rFonts w:asciiTheme="majorBidi" w:eastAsia="Times New Roman" w:hAnsiTheme="majorBidi" w:cstheme="majorBidi"/>
                <w:b/>
                <w:sz w:val="24"/>
                <w:szCs w:val="24"/>
                <w:lang w:val="en-US" w:eastAsia="fr-FR"/>
              </w:rPr>
              <w:t>Morocco</w:t>
            </w:r>
          </w:p>
        </w:tc>
      </w:tr>
      <w:tr w:rsidR="0002437C" w:rsidRPr="00F16606" w:rsidTr="000E16D7">
        <w:trPr>
          <w:cantSplit/>
          <w:trHeight w:val="11198"/>
        </w:trPr>
        <w:tc>
          <w:tcPr>
            <w:tcW w:w="5528" w:type="dxa"/>
          </w:tcPr>
          <w:p w:rsidR="0002437C" w:rsidRDefault="0002437C" w:rsidP="00D93BE3">
            <w:pPr>
              <w:spacing w:line="276" w:lineRule="auto"/>
              <w:jc w:val="both"/>
              <w:rPr>
                <w:rFonts w:asciiTheme="majorBidi" w:eastAsia="Times New Roman" w:hAnsiTheme="majorBidi" w:cstheme="majorBidi"/>
                <w:sz w:val="24"/>
                <w:szCs w:val="24"/>
                <w:lang w:val="en-US" w:eastAsia="fr-FR"/>
              </w:rPr>
            </w:pPr>
            <w:r w:rsidRPr="003636F5">
              <w:rPr>
                <w:rFonts w:asciiTheme="majorBidi" w:eastAsia="Times New Roman" w:hAnsiTheme="majorBidi" w:cstheme="majorBidi"/>
                <w:sz w:val="24"/>
                <w:szCs w:val="24"/>
                <w:lang w:val="en-US" w:eastAsia="fr-FR"/>
              </w:rPr>
              <w:t>Liberal framework for operations related to these transactions in South Africa either side of assets (</w:t>
            </w:r>
            <w:r>
              <w:rPr>
                <w:rFonts w:asciiTheme="majorBidi" w:eastAsia="Times New Roman" w:hAnsiTheme="majorBidi" w:cstheme="majorBidi"/>
                <w:sz w:val="24"/>
                <w:szCs w:val="24"/>
                <w:lang w:val="en-US" w:eastAsia="fr-FR"/>
              </w:rPr>
              <w:t>hedging</w:t>
            </w:r>
            <w:r w:rsidRPr="003636F5">
              <w:rPr>
                <w:rFonts w:asciiTheme="majorBidi" w:eastAsia="Times New Roman" w:hAnsiTheme="majorBidi" w:cstheme="majorBidi"/>
                <w:sz w:val="24"/>
                <w:szCs w:val="24"/>
                <w:lang w:val="en-US" w:eastAsia="fr-FR"/>
              </w:rPr>
              <w:t xml:space="preserve"> with </w:t>
            </w:r>
            <w:r>
              <w:rPr>
                <w:rFonts w:asciiTheme="majorBidi" w:eastAsia="Times New Roman" w:hAnsiTheme="majorBidi" w:cstheme="majorBidi"/>
                <w:sz w:val="24"/>
                <w:szCs w:val="24"/>
                <w:lang w:val="en-US" w:eastAsia="fr-FR"/>
              </w:rPr>
              <w:t>non</w:t>
            </w:r>
            <w:r w:rsidRPr="003636F5">
              <w:rPr>
                <w:rFonts w:asciiTheme="majorBidi" w:eastAsia="Times New Roman" w:hAnsiTheme="majorBidi" w:cstheme="majorBidi"/>
                <w:sz w:val="24"/>
                <w:szCs w:val="24"/>
                <w:lang w:val="en-US" w:eastAsia="fr-FR"/>
              </w:rPr>
              <w:t>-residents ) and por</w:t>
            </w:r>
            <w:r>
              <w:rPr>
                <w:rFonts w:asciiTheme="majorBidi" w:eastAsia="Times New Roman" w:hAnsiTheme="majorBidi" w:cstheme="majorBidi"/>
                <w:sz w:val="24"/>
                <w:szCs w:val="24"/>
                <w:lang w:val="en-US" w:eastAsia="fr-FR"/>
              </w:rPr>
              <w:t>tfolio investment liabilities (hedging</w:t>
            </w:r>
            <w:r w:rsidRPr="003636F5">
              <w:rPr>
                <w:rFonts w:asciiTheme="majorBidi" w:eastAsia="Times New Roman" w:hAnsiTheme="majorBidi" w:cstheme="majorBidi"/>
                <w:sz w:val="24"/>
                <w:szCs w:val="24"/>
                <w:lang w:val="en-US" w:eastAsia="fr-FR"/>
              </w:rPr>
              <w:t xml:space="preserve"> by non-residents to residents )</w:t>
            </w:r>
            <w:r>
              <w:rPr>
                <w:rFonts w:asciiTheme="majorBidi" w:eastAsia="Times New Roman" w:hAnsiTheme="majorBidi" w:cstheme="majorBidi"/>
                <w:sz w:val="24"/>
                <w:szCs w:val="24"/>
                <w:lang w:val="en-US" w:eastAsia="fr-FR"/>
              </w:rPr>
              <w:t xml:space="preserve"> :</w:t>
            </w:r>
          </w:p>
          <w:p w:rsidR="0002437C" w:rsidRDefault="0002437C" w:rsidP="00D93BE3">
            <w:pPr>
              <w:spacing w:line="276" w:lineRule="auto"/>
              <w:jc w:val="both"/>
              <w:rPr>
                <w:rFonts w:asciiTheme="majorBidi" w:eastAsia="Times New Roman" w:hAnsiTheme="majorBidi" w:cstheme="majorBidi"/>
                <w:sz w:val="24"/>
                <w:szCs w:val="24"/>
                <w:lang w:val="en-US" w:eastAsia="fr-FR"/>
              </w:rPr>
            </w:pPr>
          </w:p>
          <w:p w:rsidR="0002437C" w:rsidRDefault="0002437C" w:rsidP="00D93BE3">
            <w:pPr>
              <w:pStyle w:val="Paragraphedeliste"/>
              <w:numPr>
                <w:ilvl w:val="0"/>
                <w:numId w:val="1"/>
              </w:numPr>
              <w:spacing w:line="276" w:lineRule="auto"/>
              <w:jc w:val="both"/>
              <w:rPr>
                <w:rFonts w:asciiTheme="majorBidi" w:eastAsia="Times New Roman" w:hAnsiTheme="majorBidi" w:cstheme="majorBidi"/>
                <w:sz w:val="24"/>
                <w:szCs w:val="24"/>
                <w:lang w:val="en-US" w:eastAsia="fr-FR"/>
              </w:rPr>
            </w:pPr>
            <w:r w:rsidRPr="003636F5">
              <w:rPr>
                <w:rFonts w:asciiTheme="majorBidi" w:eastAsia="Times New Roman" w:hAnsiTheme="majorBidi" w:cstheme="majorBidi"/>
                <w:sz w:val="24"/>
                <w:szCs w:val="24"/>
                <w:lang w:val="en-US" w:eastAsia="fr-FR"/>
              </w:rPr>
              <w:t>General authorization for residents to engage in hedging transactions with non-residents (</w:t>
            </w:r>
            <w:r>
              <w:rPr>
                <w:rFonts w:asciiTheme="majorBidi" w:eastAsia="Times New Roman" w:hAnsiTheme="majorBidi" w:cstheme="majorBidi"/>
                <w:sz w:val="24"/>
                <w:szCs w:val="24"/>
                <w:lang w:val="en-US" w:eastAsia="fr-FR"/>
              </w:rPr>
              <w:t>in the international market</w:t>
            </w:r>
            <w:r w:rsidRPr="003636F5">
              <w:rPr>
                <w:rFonts w:asciiTheme="majorBidi" w:eastAsia="Times New Roman" w:hAnsiTheme="majorBidi" w:cstheme="majorBidi"/>
                <w:sz w:val="24"/>
                <w:szCs w:val="24"/>
                <w:lang w:val="en-US" w:eastAsia="fr-FR"/>
              </w:rPr>
              <w:t>), provided that the transaction be perform</w:t>
            </w:r>
            <w:r>
              <w:rPr>
                <w:rFonts w:asciiTheme="majorBidi" w:eastAsia="Times New Roman" w:hAnsiTheme="majorBidi" w:cstheme="majorBidi"/>
                <w:sz w:val="24"/>
                <w:szCs w:val="24"/>
                <w:lang w:val="en-US" w:eastAsia="fr-FR"/>
              </w:rPr>
              <w:t>ed by the approved intermediary;</w:t>
            </w:r>
          </w:p>
          <w:p w:rsidR="0002437C" w:rsidRDefault="0002437C" w:rsidP="00D93BE3">
            <w:pPr>
              <w:pStyle w:val="Paragraphedeliste"/>
              <w:numPr>
                <w:ilvl w:val="0"/>
                <w:numId w:val="1"/>
              </w:numPr>
              <w:spacing w:line="276" w:lineRule="auto"/>
              <w:jc w:val="both"/>
              <w:rPr>
                <w:rFonts w:asciiTheme="majorBidi" w:eastAsia="Times New Roman" w:hAnsiTheme="majorBidi" w:cstheme="majorBidi"/>
                <w:sz w:val="24"/>
                <w:szCs w:val="24"/>
                <w:lang w:val="en-US" w:eastAsia="fr-FR"/>
              </w:rPr>
            </w:pPr>
            <w:r w:rsidRPr="003636F5">
              <w:rPr>
                <w:rFonts w:asciiTheme="majorBidi" w:eastAsia="Times New Roman" w:hAnsiTheme="majorBidi" w:cstheme="majorBidi"/>
                <w:sz w:val="24"/>
                <w:szCs w:val="24"/>
                <w:lang w:val="en-US" w:eastAsia="fr-FR"/>
              </w:rPr>
              <w:t>General authorization for non-residents to hedge with residents through the purchas</w:t>
            </w:r>
            <w:r>
              <w:rPr>
                <w:rFonts w:asciiTheme="majorBidi" w:eastAsia="Times New Roman" w:hAnsiTheme="majorBidi" w:cstheme="majorBidi"/>
                <w:sz w:val="24"/>
                <w:szCs w:val="24"/>
                <w:lang w:val="en-US" w:eastAsia="fr-FR"/>
              </w:rPr>
              <w:t>ing</w:t>
            </w:r>
            <w:r w:rsidRPr="003636F5">
              <w:rPr>
                <w:rFonts w:asciiTheme="majorBidi" w:eastAsia="Times New Roman" w:hAnsiTheme="majorBidi" w:cstheme="majorBidi"/>
                <w:sz w:val="24"/>
                <w:szCs w:val="24"/>
                <w:lang w:val="en-US" w:eastAsia="fr-FR"/>
              </w:rPr>
              <w:t xml:space="preserve"> of financial products on the domestic financial market.</w:t>
            </w:r>
          </w:p>
          <w:p w:rsidR="0002437C" w:rsidRDefault="0002437C" w:rsidP="00D93BE3">
            <w:pPr>
              <w:spacing w:line="276" w:lineRule="auto"/>
              <w:jc w:val="both"/>
              <w:rPr>
                <w:rFonts w:asciiTheme="majorBidi" w:eastAsia="Times New Roman" w:hAnsiTheme="majorBidi" w:cstheme="majorBidi"/>
                <w:sz w:val="24"/>
                <w:szCs w:val="24"/>
                <w:lang w:val="en-US" w:eastAsia="fr-FR"/>
              </w:rPr>
            </w:pPr>
          </w:p>
          <w:p w:rsidR="0002437C" w:rsidRDefault="0002437C" w:rsidP="00D93BE3">
            <w:pPr>
              <w:spacing w:line="276" w:lineRule="auto"/>
              <w:jc w:val="both"/>
              <w:rPr>
                <w:rFonts w:asciiTheme="majorBidi" w:eastAsia="Times New Roman" w:hAnsiTheme="majorBidi" w:cstheme="majorBidi"/>
                <w:b/>
                <w:sz w:val="24"/>
                <w:szCs w:val="24"/>
                <w:lang w:val="en-US" w:eastAsia="fr-FR"/>
              </w:rPr>
            </w:pPr>
            <w:r w:rsidRPr="0054439C">
              <w:rPr>
                <w:rFonts w:asciiTheme="majorBidi" w:eastAsia="Times New Roman" w:hAnsiTheme="majorBidi" w:cstheme="majorBidi"/>
                <w:b/>
                <w:sz w:val="24"/>
                <w:szCs w:val="24"/>
                <w:lang w:val="en-US" w:eastAsia="fr-FR"/>
              </w:rPr>
              <w:t>Liberal framework of the asset</w:t>
            </w:r>
            <w:r>
              <w:rPr>
                <w:rFonts w:asciiTheme="majorBidi" w:eastAsia="Times New Roman" w:hAnsiTheme="majorBidi" w:cstheme="majorBidi"/>
                <w:b/>
                <w:sz w:val="24"/>
                <w:szCs w:val="24"/>
                <w:lang w:val="en-US" w:eastAsia="fr-FR"/>
              </w:rPr>
              <w:t xml:space="preserve"> side (</w:t>
            </w:r>
            <w:r w:rsidRPr="0054439C">
              <w:rPr>
                <w:rFonts w:asciiTheme="majorBidi" w:eastAsia="Times New Roman" w:hAnsiTheme="majorBidi" w:cstheme="majorBidi"/>
                <w:b/>
                <w:sz w:val="24"/>
                <w:szCs w:val="24"/>
                <w:lang w:val="en-US" w:eastAsia="fr-FR"/>
              </w:rPr>
              <w:t>hedging</w:t>
            </w:r>
            <w:r>
              <w:rPr>
                <w:rFonts w:asciiTheme="majorBidi" w:eastAsia="Times New Roman" w:hAnsiTheme="majorBidi" w:cstheme="majorBidi"/>
                <w:b/>
                <w:sz w:val="24"/>
                <w:szCs w:val="24"/>
                <w:lang w:val="en-US" w:eastAsia="fr-FR"/>
              </w:rPr>
              <w:t xml:space="preserve"> of residents from non</w:t>
            </w:r>
            <w:r w:rsidRPr="0054439C">
              <w:rPr>
                <w:rFonts w:asciiTheme="majorBidi" w:eastAsia="Times New Roman" w:hAnsiTheme="majorBidi" w:cstheme="majorBidi"/>
                <w:b/>
                <w:sz w:val="24"/>
                <w:szCs w:val="24"/>
                <w:lang w:val="en-US" w:eastAsia="fr-FR"/>
              </w:rPr>
              <w:t>-residents</w:t>
            </w:r>
            <w:r>
              <w:rPr>
                <w:rFonts w:asciiTheme="majorBidi" w:eastAsia="Times New Roman" w:hAnsiTheme="majorBidi" w:cstheme="majorBidi"/>
                <w:b/>
                <w:sz w:val="24"/>
                <w:szCs w:val="24"/>
                <w:lang w:val="en-US" w:eastAsia="fr-FR"/>
              </w:rPr>
              <w:t>)</w:t>
            </w:r>
            <w:r w:rsidRPr="0054439C">
              <w:rPr>
                <w:rFonts w:asciiTheme="majorBidi" w:eastAsia="Times New Roman" w:hAnsiTheme="majorBidi" w:cstheme="majorBidi"/>
                <w:b/>
                <w:sz w:val="24"/>
                <w:szCs w:val="24"/>
                <w:lang w:val="en-US" w:eastAsia="fr-FR"/>
              </w:rPr>
              <w:t xml:space="preserve"> and restr</w:t>
            </w:r>
            <w:r>
              <w:rPr>
                <w:rFonts w:asciiTheme="majorBidi" w:eastAsia="Times New Roman" w:hAnsiTheme="majorBidi" w:cstheme="majorBidi"/>
                <w:b/>
                <w:sz w:val="24"/>
                <w:szCs w:val="24"/>
                <w:lang w:val="en-US" w:eastAsia="fr-FR"/>
              </w:rPr>
              <w:t>ictive investment liabilities (</w:t>
            </w:r>
            <w:r w:rsidRPr="0054439C">
              <w:rPr>
                <w:rFonts w:asciiTheme="majorBidi" w:eastAsia="Times New Roman" w:hAnsiTheme="majorBidi" w:cstheme="majorBidi"/>
                <w:b/>
                <w:sz w:val="24"/>
                <w:szCs w:val="24"/>
                <w:lang w:val="en-US" w:eastAsia="fr-FR"/>
              </w:rPr>
              <w:t>non-</w:t>
            </w:r>
            <w:r>
              <w:rPr>
                <w:rFonts w:asciiTheme="majorBidi" w:eastAsia="Times New Roman" w:hAnsiTheme="majorBidi" w:cstheme="majorBidi"/>
                <w:b/>
                <w:sz w:val="24"/>
                <w:szCs w:val="24"/>
                <w:lang w:val="en-US" w:eastAsia="fr-FR"/>
              </w:rPr>
              <w:t>residents to residents hedging</w:t>
            </w:r>
            <w:r w:rsidRPr="0054439C">
              <w:rPr>
                <w:rFonts w:asciiTheme="majorBidi" w:eastAsia="Times New Roman" w:hAnsiTheme="majorBidi" w:cstheme="majorBidi"/>
                <w:b/>
                <w:sz w:val="24"/>
                <w:szCs w:val="24"/>
                <w:lang w:val="en-US" w:eastAsia="fr-FR"/>
              </w:rPr>
              <w:t>) in Indonesia:</w:t>
            </w:r>
          </w:p>
          <w:p w:rsidR="000E16D7" w:rsidRDefault="000E16D7" w:rsidP="00D93BE3">
            <w:pPr>
              <w:spacing w:line="276" w:lineRule="auto"/>
              <w:jc w:val="both"/>
              <w:rPr>
                <w:rFonts w:asciiTheme="majorBidi" w:eastAsia="Times New Roman" w:hAnsiTheme="majorBidi" w:cstheme="majorBidi"/>
                <w:b/>
                <w:sz w:val="24"/>
                <w:szCs w:val="24"/>
                <w:lang w:val="en-US" w:eastAsia="fr-FR"/>
              </w:rPr>
            </w:pPr>
          </w:p>
          <w:p w:rsidR="0002437C" w:rsidRDefault="0002437C" w:rsidP="00D93BE3">
            <w:pPr>
              <w:pStyle w:val="Paragraphedeliste"/>
              <w:numPr>
                <w:ilvl w:val="0"/>
                <w:numId w:val="1"/>
              </w:numPr>
              <w:spacing w:line="276" w:lineRule="auto"/>
              <w:jc w:val="both"/>
              <w:rPr>
                <w:rFonts w:asciiTheme="majorBidi" w:eastAsia="Times New Roman" w:hAnsiTheme="majorBidi" w:cstheme="majorBidi"/>
                <w:sz w:val="24"/>
                <w:szCs w:val="24"/>
                <w:lang w:val="en-US" w:eastAsia="fr-FR"/>
              </w:rPr>
            </w:pPr>
            <w:r w:rsidRPr="0054439C">
              <w:rPr>
                <w:rFonts w:asciiTheme="majorBidi" w:eastAsia="Times New Roman" w:hAnsiTheme="majorBidi" w:cstheme="majorBidi"/>
                <w:sz w:val="24"/>
                <w:szCs w:val="24"/>
                <w:lang w:val="en-US" w:eastAsia="fr-FR"/>
              </w:rPr>
              <w:t xml:space="preserve">General authorization for the operations of the regulations for hedge against the risk of fluctuations </w:t>
            </w:r>
            <w:r>
              <w:rPr>
                <w:rFonts w:asciiTheme="majorBidi" w:eastAsia="Times New Roman" w:hAnsiTheme="majorBidi" w:cstheme="majorBidi"/>
                <w:sz w:val="24"/>
                <w:szCs w:val="24"/>
                <w:lang w:val="en-US" w:eastAsia="fr-FR"/>
              </w:rPr>
              <w:t>of</w:t>
            </w:r>
            <w:r w:rsidRPr="0054439C">
              <w:rPr>
                <w:rFonts w:asciiTheme="majorBidi" w:eastAsia="Times New Roman" w:hAnsiTheme="majorBidi" w:cstheme="majorBidi"/>
                <w:sz w:val="24"/>
                <w:szCs w:val="24"/>
                <w:lang w:val="en-US" w:eastAsia="fr-FR"/>
              </w:rPr>
              <w:t xml:space="preserve"> exchange rates (regardless of the type of instrument : forward , s</w:t>
            </w:r>
            <w:r>
              <w:rPr>
                <w:rFonts w:asciiTheme="majorBidi" w:eastAsia="Times New Roman" w:hAnsiTheme="majorBidi" w:cstheme="majorBidi"/>
                <w:sz w:val="24"/>
                <w:szCs w:val="24"/>
                <w:lang w:val="en-US" w:eastAsia="fr-FR"/>
              </w:rPr>
              <w:t>waps or options) Backed import</w:t>
            </w:r>
            <w:r w:rsidRPr="0054439C">
              <w:rPr>
                <w:rFonts w:asciiTheme="majorBidi" w:eastAsia="Times New Roman" w:hAnsiTheme="majorBidi" w:cstheme="majorBidi"/>
                <w:sz w:val="24"/>
                <w:szCs w:val="24"/>
                <w:lang w:val="en-US" w:eastAsia="fr-FR"/>
              </w:rPr>
              <w:t>, export and investment;</w:t>
            </w:r>
          </w:p>
          <w:p w:rsidR="0002437C" w:rsidRDefault="0002437C" w:rsidP="00D93BE3">
            <w:pPr>
              <w:pStyle w:val="Paragraphedeliste"/>
              <w:numPr>
                <w:ilvl w:val="0"/>
                <w:numId w:val="1"/>
              </w:numPr>
              <w:spacing w:line="276" w:lineRule="auto"/>
              <w:jc w:val="both"/>
              <w:rPr>
                <w:rFonts w:asciiTheme="majorBidi" w:eastAsia="Times New Roman" w:hAnsiTheme="majorBidi" w:cstheme="majorBidi"/>
                <w:sz w:val="24"/>
                <w:szCs w:val="24"/>
                <w:lang w:val="en-US" w:eastAsia="fr-FR"/>
              </w:rPr>
            </w:pPr>
            <w:r w:rsidRPr="0054439C">
              <w:rPr>
                <w:rFonts w:asciiTheme="majorBidi" w:eastAsia="Times New Roman" w:hAnsiTheme="majorBidi" w:cstheme="majorBidi"/>
                <w:sz w:val="24"/>
                <w:szCs w:val="24"/>
                <w:lang w:val="en-US" w:eastAsia="fr-FR"/>
              </w:rPr>
              <w:t>General authorization for the same operations indicated / above mentioned non-asset backed transactions / underlying (imports, exports and investments) to a maximum of US $ 1 million per customer.</w:t>
            </w:r>
          </w:p>
          <w:p w:rsidR="0002437C" w:rsidRDefault="0002437C" w:rsidP="00D93BE3">
            <w:pPr>
              <w:spacing w:line="276" w:lineRule="auto"/>
              <w:jc w:val="both"/>
              <w:rPr>
                <w:rFonts w:asciiTheme="majorBidi" w:eastAsia="Times New Roman" w:hAnsiTheme="majorBidi" w:cstheme="majorBidi"/>
                <w:sz w:val="24"/>
                <w:szCs w:val="24"/>
                <w:lang w:val="en-US" w:eastAsia="fr-FR"/>
              </w:rPr>
            </w:pPr>
          </w:p>
          <w:p w:rsidR="0002437C" w:rsidRDefault="0002437C" w:rsidP="000E16D7">
            <w:pPr>
              <w:spacing w:line="276" w:lineRule="auto"/>
              <w:jc w:val="both"/>
              <w:rPr>
                <w:rFonts w:asciiTheme="majorBidi" w:eastAsia="Times New Roman" w:hAnsiTheme="majorBidi" w:cstheme="majorBidi"/>
                <w:b/>
                <w:sz w:val="24"/>
                <w:szCs w:val="24"/>
                <w:lang w:val="en-US" w:eastAsia="fr-FR"/>
              </w:rPr>
            </w:pPr>
            <w:r w:rsidRPr="0054439C">
              <w:rPr>
                <w:rFonts w:asciiTheme="majorBidi" w:eastAsia="Times New Roman" w:hAnsiTheme="majorBidi" w:cstheme="majorBidi"/>
                <w:b/>
                <w:sz w:val="24"/>
                <w:szCs w:val="24"/>
                <w:lang w:val="en-US" w:eastAsia="fr-FR"/>
              </w:rPr>
              <w:t>Restrictive regulatory framework for such transactions in other countries :</w:t>
            </w:r>
          </w:p>
          <w:p w:rsidR="000E16D7" w:rsidRPr="000E16D7" w:rsidRDefault="000E16D7" w:rsidP="000E16D7">
            <w:pPr>
              <w:spacing w:line="276" w:lineRule="auto"/>
              <w:jc w:val="both"/>
              <w:rPr>
                <w:rFonts w:asciiTheme="majorBidi" w:eastAsia="Times New Roman" w:hAnsiTheme="majorBidi" w:cstheme="majorBidi"/>
                <w:b/>
                <w:sz w:val="12"/>
                <w:szCs w:val="24"/>
                <w:lang w:val="en-US" w:eastAsia="fr-FR"/>
              </w:rPr>
            </w:pPr>
          </w:p>
          <w:p w:rsidR="0002437C" w:rsidRDefault="0002437C" w:rsidP="00D93BE3">
            <w:pPr>
              <w:spacing w:line="276" w:lineRule="auto"/>
              <w:jc w:val="both"/>
              <w:rPr>
                <w:rFonts w:asciiTheme="majorBidi" w:eastAsia="Times New Roman" w:hAnsiTheme="majorBidi" w:cstheme="majorBidi"/>
                <w:b/>
                <w:sz w:val="24"/>
                <w:szCs w:val="24"/>
                <w:lang w:val="en-US" w:eastAsia="fr-FR"/>
              </w:rPr>
            </w:pPr>
            <w:r w:rsidRPr="0054439C">
              <w:rPr>
                <w:rFonts w:asciiTheme="majorBidi" w:eastAsia="Times New Roman" w:hAnsiTheme="majorBidi" w:cstheme="majorBidi"/>
                <w:b/>
                <w:sz w:val="24"/>
                <w:szCs w:val="24"/>
                <w:lang w:val="en-US" w:eastAsia="fr-FR"/>
              </w:rPr>
              <w:t>Thailand</w:t>
            </w:r>
          </w:p>
          <w:p w:rsidR="000E16D7" w:rsidRPr="000E16D7" w:rsidRDefault="000E16D7" w:rsidP="00D93BE3">
            <w:pPr>
              <w:spacing w:line="276" w:lineRule="auto"/>
              <w:jc w:val="both"/>
              <w:rPr>
                <w:rFonts w:asciiTheme="majorBidi" w:eastAsia="Times New Roman" w:hAnsiTheme="majorBidi" w:cstheme="majorBidi"/>
                <w:b/>
                <w:sz w:val="12"/>
                <w:szCs w:val="24"/>
                <w:lang w:val="en-US" w:eastAsia="fr-FR"/>
              </w:rPr>
            </w:pPr>
          </w:p>
          <w:p w:rsidR="0002437C" w:rsidRPr="000E16D7" w:rsidRDefault="0002437C" w:rsidP="000E16D7">
            <w:pPr>
              <w:spacing w:line="276" w:lineRule="auto"/>
              <w:jc w:val="both"/>
              <w:rPr>
                <w:rFonts w:asciiTheme="majorBidi" w:eastAsia="Times New Roman" w:hAnsiTheme="majorBidi" w:cstheme="majorBidi"/>
                <w:sz w:val="24"/>
                <w:szCs w:val="24"/>
                <w:lang w:val="en-US" w:eastAsia="fr-FR"/>
              </w:rPr>
            </w:pPr>
            <w:r w:rsidRPr="0054439C">
              <w:rPr>
                <w:rFonts w:asciiTheme="majorBidi" w:eastAsia="Times New Roman" w:hAnsiTheme="majorBidi" w:cstheme="majorBidi"/>
                <w:sz w:val="24"/>
                <w:szCs w:val="24"/>
                <w:lang w:val="en-US" w:eastAsia="fr-FR"/>
              </w:rPr>
              <w:t>Remittances by residents for settlement of transactions in financial derivatives are subject to approval</w:t>
            </w:r>
            <w:r w:rsidR="000E16D7">
              <w:rPr>
                <w:rStyle w:val="Appelnotedebasdep"/>
                <w:rFonts w:asciiTheme="majorBidi" w:eastAsia="Times New Roman" w:hAnsiTheme="majorBidi" w:cstheme="majorBidi"/>
                <w:sz w:val="24"/>
                <w:szCs w:val="24"/>
                <w:lang w:val="en-US" w:eastAsia="fr-FR"/>
              </w:rPr>
              <w:footnoteReference w:id="25"/>
            </w:r>
            <w:r w:rsidRPr="0054439C">
              <w:rPr>
                <w:rFonts w:asciiTheme="majorBidi" w:eastAsia="Times New Roman" w:hAnsiTheme="majorBidi" w:cstheme="majorBidi"/>
                <w:sz w:val="24"/>
                <w:szCs w:val="24"/>
                <w:lang w:val="en-US" w:eastAsia="fr-FR"/>
              </w:rPr>
              <w:t>.</w:t>
            </w:r>
          </w:p>
        </w:tc>
        <w:tc>
          <w:tcPr>
            <w:tcW w:w="3685" w:type="dxa"/>
          </w:tcPr>
          <w:p w:rsidR="0002437C" w:rsidRPr="003636F5" w:rsidRDefault="0002437C" w:rsidP="00D93BE3">
            <w:pPr>
              <w:spacing w:line="276" w:lineRule="auto"/>
              <w:jc w:val="both"/>
              <w:rPr>
                <w:rFonts w:asciiTheme="majorBidi" w:eastAsia="Times New Roman" w:hAnsiTheme="majorBidi" w:cstheme="majorBidi"/>
                <w:b/>
                <w:sz w:val="24"/>
                <w:szCs w:val="24"/>
                <w:lang w:val="en-US" w:eastAsia="fr-FR"/>
              </w:rPr>
            </w:pPr>
          </w:p>
          <w:p w:rsidR="0002437C" w:rsidRPr="003636F5" w:rsidRDefault="0002437C" w:rsidP="00D93BE3">
            <w:pPr>
              <w:spacing w:line="276" w:lineRule="auto"/>
              <w:jc w:val="both"/>
              <w:rPr>
                <w:rFonts w:asciiTheme="majorBidi" w:eastAsia="Times New Roman" w:hAnsiTheme="majorBidi" w:cstheme="majorBidi"/>
                <w:sz w:val="24"/>
                <w:szCs w:val="24"/>
                <w:lang w:val="en-US" w:eastAsia="fr-FR"/>
              </w:rPr>
            </w:pPr>
            <w:r w:rsidRPr="0002437C">
              <w:rPr>
                <w:rFonts w:asciiTheme="majorBidi" w:eastAsia="Times New Roman" w:hAnsiTheme="majorBidi" w:cstheme="majorBidi"/>
                <w:sz w:val="24"/>
                <w:szCs w:val="24"/>
                <w:lang w:val="en-US" w:eastAsia="fr-FR"/>
              </w:rPr>
              <w:t xml:space="preserve">General authorization for intermediary banks </w:t>
            </w:r>
            <w:r>
              <w:rPr>
                <w:rFonts w:asciiTheme="majorBidi" w:eastAsia="Times New Roman" w:hAnsiTheme="majorBidi" w:cstheme="majorBidi"/>
                <w:sz w:val="24"/>
                <w:szCs w:val="24"/>
                <w:lang w:val="en-US" w:eastAsia="fr-FR"/>
              </w:rPr>
              <w:t xml:space="preserve">to </w:t>
            </w:r>
            <w:r w:rsidRPr="0002437C">
              <w:rPr>
                <w:rFonts w:asciiTheme="majorBidi" w:eastAsia="Times New Roman" w:hAnsiTheme="majorBidi" w:cstheme="majorBidi"/>
                <w:sz w:val="24"/>
                <w:szCs w:val="24"/>
                <w:lang w:val="en-US" w:eastAsia="fr-FR"/>
              </w:rPr>
              <w:t>offer</w:t>
            </w:r>
            <w:r>
              <w:rPr>
                <w:rFonts w:asciiTheme="majorBidi" w:eastAsia="Times New Roman" w:hAnsiTheme="majorBidi" w:cstheme="majorBidi"/>
                <w:sz w:val="24"/>
                <w:szCs w:val="24"/>
                <w:lang w:val="en-US" w:eastAsia="fr-FR"/>
              </w:rPr>
              <w:t xml:space="preserve"> to</w:t>
            </w:r>
            <w:r w:rsidRPr="0002437C">
              <w:rPr>
                <w:rFonts w:asciiTheme="majorBidi" w:eastAsia="Times New Roman" w:hAnsiTheme="majorBidi" w:cstheme="majorBidi"/>
                <w:sz w:val="24"/>
                <w:szCs w:val="24"/>
                <w:lang w:val="en-US" w:eastAsia="fr-FR"/>
              </w:rPr>
              <w:t xml:space="preserve"> their customers options to exchange dirhams and foreign currencies or exchange currencies against currencies, excluding any instruments from abroad. To hedge against the risks assumed with regard to their customers, the approved intermediary banks should contact the local interbank market. Nevertheless, when the market does not allow them to find the right </w:t>
            </w:r>
            <w:r>
              <w:rPr>
                <w:rFonts w:asciiTheme="majorBidi" w:eastAsia="Times New Roman" w:hAnsiTheme="majorBidi" w:cstheme="majorBidi"/>
                <w:sz w:val="24"/>
                <w:szCs w:val="24"/>
                <w:lang w:val="en-US" w:eastAsia="fr-FR"/>
              </w:rPr>
              <w:t>hedging</w:t>
            </w:r>
            <w:r w:rsidRPr="0002437C">
              <w:rPr>
                <w:rFonts w:asciiTheme="majorBidi" w:eastAsia="Times New Roman" w:hAnsiTheme="majorBidi" w:cstheme="majorBidi"/>
                <w:sz w:val="24"/>
                <w:szCs w:val="24"/>
                <w:lang w:val="en-US" w:eastAsia="fr-FR"/>
              </w:rPr>
              <w:t xml:space="preserve">, they are allowed to go to the international market to </w:t>
            </w:r>
            <w:r>
              <w:rPr>
                <w:rFonts w:asciiTheme="majorBidi" w:eastAsia="Times New Roman" w:hAnsiTheme="majorBidi" w:cstheme="majorBidi"/>
                <w:sz w:val="24"/>
                <w:szCs w:val="24"/>
                <w:lang w:val="en-US" w:eastAsia="fr-FR"/>
              </w:rPr>
              <w:t>hedge</w:t>
            </w:r>
            <w:r w:rsidRPr="0002437C">
              <w:rPr>
                <w:rFonts w:asciiTheme="majorBidi" w:eastAsia="Times New Roman" w:hAnsiTheme="majorBidi" w:cstheme="majorBidi"/>
                <w:sz w:val="24"/>
                <w:szCs w:val="24"/>
                <w:lang w:val="en-US" w:eastAsia="fr-FR"/>
              </w:rPr>
              <w:t xml:space="preserve"> their currency against foreign currencies. </w:t>
            </w:r>
            <w:r>
              <w:rPr>
                <w:rFonts w:asciiTheme="majorBidi" w:eastAsia="Times New Roman" w:hAnsiTheme="majorBidi" w:cstheme="majorBidi"/>
                <w:sz w:val="24"/>
                <w:szCs w:val="24"/>
                <w:lang w:val="en-US" w:eastAsia="fr-FR"/>
              </w:rPr>
              <w:t>These</w:t>
            </w:r>
            <w:r w:rsidRPr="0002437C">
              <w:rPr>
                <w:rFonts w:asciiTheme="majorBidi" w:eastAsia="Times New Roman" w:hAnsiTheme="majorBidi" w:cstheme="majorBidi"/>
                <w:sz w:val="24"/>
                <w:szCs w:val="24"/>
                <w:lang w:val="en-US" w:eastAsia="fr-FR"/>
              </w:rPr>
              <w:t xml:space="preserve"> transactions are hedged against foreign exchange options purchased by customers.</w:t>
            </w:r>
          </w:p>
        </w:tc>
      </w:tr>
      <w:tr w:rsidR="0002437C" w:rsidRPr="00F16606" w:rsidTr="0002437C">
        <w:trPr>
          <w:cantSplit/>
          <w:trHeight w:val="2278"/>
        </w:trPr>
        <w:tc>
          <w:tcPr>
            <w:tcW w:w="5528" w:type="dxa"/>
          </w:tcPr>
          <w:p w:rsidR="000E16D7" w:rsidRDefault="000E16D7" w:rsidP="000E16D7">
            <w:pPr>
              <w:spacing w:line="276" w:lineRule="auto"/>
              <w:jc w:val="both"/>
              <w:rPr>
                <w:rFonts w:asciiTheme="majorBidi" w:eastAsia="Times New Roman" w:hAnsiTheme="majorBidi" w:cstheme="majorBidi"/>
                <w:b/>
                <w:sz w:val="24"/>
                <w:szCs w:val="24"/>
                <w:lang w:val="en-US" w:eastAsia="fr-FR"/>
              </w:rPr>
            </w:pPr>
            <w:r>
              <w:rPr>
                <w:rFonts w:asciiTheme="majorBidi" w:eastAsia="Times New Roman" w:hAnsiTheme="majorBidi" w:cstheme="majorBidi"/>
                <w:b/>
                <w:sz w:val="24"/>
                <w:szCs w:val="24"/>
                <w:lang w:val="en-US" w:eastAsia="fr-FR"/>
              </w:rPr>
              <w:lastRenderedPageBreak/>
              <w:t xml:space="preserve">Ukraine </w:t>
            </w:r>
          </w:p>
          <w:p w:rsidR="000E16D7" w:rsidRPr="0002437C" w:rsidRDefault="000E16D7" w:rsidP="000E16D7">
            <w:pPr>
              <w:spacing w:line="276" w:lineRule="auto"/>
              <w:jc w:val="both"/>
              <w:rPr>
                <w:rFonts w:asciiTheme="majorBidi" w:eastAsia="Times New Roman" w:hAnsiTheme="majorBidi" w:cstheme="majorBidi"/>
                <w:b/>
                <w:sz w:val="12"/>
                <w:szCs w:val="24"/>
                <w:lang w:val="en-US" w:eastAsia="fr-FR"/>
              </w:rPr>
            </w:pPr>
          </w:p>
          <w:p w:rsidR="00DE7707" w:rsidRDefault="000E16D7" w:rsidP="000E16D7">
            <w:pPr>
              <w:spacing w:line="276" w:lineRule="auto"/>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A</w:t>
            </w:r>
            <w:r w:rsidRPr="0054439C">
              <w:rPr>
                <w:rFonts w:asciiTheme="majorBidi" w:eastAsia="Times New Roman" w:hAnsiTheme="majorBidi" w:cstheme="majorBidi"/>
                <w:sz w:val="24"/>
                <w:szCs w:val="24"/>
                <w:lang w:val="en-US" w:eastAsia="fr-FR"/>
              </w:rPr>
              <w:t>ll transactions in respect in financial derivatives are subject to authorization, except for the following</w:t>
            </w:r>
            <w:r>
              <w:rPr>
                <w:rFonts w:asciiTheme="majorBidi" w:eastAsia="Times New Roman" w:hAnsiTheme="majorBidi" w:cstheme="majorBidi"/>
                <w:sz w:val="24"/>
                <w:szCs w:val="24"/>
                <w:lang w:val="en-US" w:eastAsia="fr-FR"/>
              </w:rPr>
              <w:t xml:space="preserve"> :</w:t>
            </w:r>
          </w:p>
          <w:p w:rsidR="000E16D7" w:rsidRDefault="000E16D7" w:rsidP="000E16D7">
            <w:pPr>
              <w:spacing w:line="276" w:lineRule="auto"/>
              <w:jc w:val="both"/>
              <w:rPr>
                <w:rFonts w:asciiTheme="majorBidi" w:eastAsia="Times New Roman" w:hAnsiTheme="majorBidi" w:cstheme="majorBidi"/>
                <w:sz w:val="24"/>
                <w:szCs w:val="24"/>
                <w:lang w:val="en-US" w:eastAsia="fr-FR"/>
              </w:rPr>
            </w:pPr>
          </w:p>
          <w:p w:rsidR="00DE7707" w:rsidRDefault="00DE7707" w:rsidP="00DE7707">
            <w:pPr>
              <w:pStyle w:val="Paragraphedeliste"/>
              <w:numPr>
                <w:ilvl w:val="0"/>
                <w:numId w:val="1"/>
              </w:numPr>
              <w:spacing w:line="276" w:lineRule="auto"/>
              <w:jc w:val="both"/>
              <w:rPr>
                <w:rFonts w:asciiTheme="majorBidi" w:eastAsia="Times New Roman" w:hAnsiTheme="majorBidi" w:cstheme="majorBidi"/>
                <w:sz w:val="24"/>
                <w:szCs w:val="24"/>
                <w:lang w:val="en-US" w:eastAsia="fr-FR"/>
              </w:rPr>
            </w:pPr>
            <w:r w:rsidRPr="0002437C">
              <w:rPr>
                <w:rFonts w:asciiTheme="majorBidi" w:eastAsia="Times New Roman" w:hAnsiTheme="majorBidi" w:cstheme="majorBidi"/>
                <w:sz w:val="24"/>
                <w:szCs w:val="24"/>
                <w:lang w:val="en-US" w:eastAsia="fr-FR"/>
              </w:rPr>
              <w:t>Hedging against the risk of fluctuations in exchange rates of the national currency relating to import and export operations.</w:t>
            </w:r>
          </w:p>
          <w:p w:rsidR="00DE7707" w:rsidRDefault="00DE7707" w:rsidP="00DE7707">
            <w:pPr>
              <w:pStyle w:val="Paragraphedeliste"/>
              <w:spacing w:line="276" w:lineRule="auto"/>
              <w:jc w:val="both"/>
              <w:rPr>
                <w:rFonts w:asciiTheme="majorBidi" w:eastAsia="Times New Roman" w:hAnsiTheme="majorBidi" w:cstheme="majorBidi"/>
                <w:sz w:val="24"/>
                <w:szCs w:val="24"/>
                <w:lang w:val="en-US" w:eastAsia="fr-FR"/>
              </w:rPr>
            </w:pPr>
          </w:p>
          <w:p w:rsidR="00DE7707" w:rsidRDefault="00DE7707" w:rsidP="00DE7707">
            <w:pPr>
              <w:pStyle w:val="Paragraphedeliste"/>
              <w:numPr>
                <w:ilvl w:val="0"/>
                <w:numId w:val="1"/>
              </w:numPr>
              <w:spacing w:line="276" w:lineRule="auto"/>
              <w:jc w:val="both"/>
              <w:rPr>
                <w:rFonts w:asciiTheme="majorBidi" w:eastAsia="Times New Roman" w:hAnsiTheme="majorBidi" w:cstheme="majorBidi"/>
                <w:sz w:val="24"/>
                <w:szCs w:val="24"/>
                <w:lang w:val="en-US" w:eastAsia="fr-FR"/>
              </w:rPr>
            </w:pPr>
            <w:r w:rsidRPr="0054439C">
              <w:rPr>
                <w:rFonts w:asciiTheme="majorBidi" w:eastAsia="Times New Roman" w:hAnsiTheme="majorBidi" w:cstheme="majorBidi"/>
                <w:sz w:val="24"/>
                <w:szCs w:val="24"/>
                <w:lang w:val="en-US" w:eastAsia="fr-FR"/>
              </w:rPr>
              <w:t>Futures hedging against foreign currencies made ​​by authorized intermediaries to operators for their own accounts or for the account of traders</w:t>
            </w:r>
            <w:r>
              <w:rPr>
                <w:rFonts w:asciiTheme="majorBidi" w:eastAsia="Times New Roman" w:hAnsiTheme="majorBidi" w:cstheme="majorBidi"/>
                <w:sz w:val="24"/>
                <w:szCs w:val="24"/>
                <w:lang w:val="en-US" w:eastAsia="fr-FR"/>
              </w:rPr>
              <w:t>.</w:t>
            </w:r>
          </w:p>
          <w:p w:rsidR="0002437C" w:rsidRDefault="0002437C" w:rsidP="00D93BE3">
            <w:pPr>
              <w:spacing w:line="276" w:lineRule="auto"/>
              <w:jc w:val="both"/>
              <w:rPr>
                <w:rFonts w:asciiTheme="majorBidi" w:eastAsia="Times New Roman" w:hAnsiTheme="majorBidi" w:cstheme="majorBidi"/>
                <w:sz w:val="24"/>
                <w:szCs w:val="24"/>
                <w:lang w:val="en-US" w:eastAsia="fr-FR"/>
              </w:rPr>
            </w:pPr>
          </w:p>
          <w:p w:rsidR="0002437C" w:rsidRDefault="0002437C" w:rsidP="00D93BE3">
            <w:pPr>
              <w:spacing w:line="276" w:lineRule="auto"/>
              <w:jc w:val="both"/>
              <w:rPr>
                <w:rFonts w:asciiTheme="majorBidi" w:eastAsia="Times New Roman" w:hAnsiTheme="majorBidi" w:cstheme="majorBidi"/>
                <w:b/>
                <w:sz w:val="24"/>
                <w:szCs w:val="24"/>
                <w:lang w:val="en-US" w:eastAsia="fr-FR"/>
              </w:rPr>
            </w:pPr>
            <w:r w:rsidRPr="0002437C">
              <w:rPr>
                <w:rFonts w:asciiTheme="majorBidi" w:eastAsia="Times New Roman" w:hAnsiTheme="majorBidi" w:cstheme="majorBidi"/>
                <w:b/>
                <w:sz w:val="24"/>
                <w:szCs w:val="24"/>
                <w:lang w:val="en-US" w:eastAsia="fr-FR"/>
              </w:rPr>
              <w:t xml:space="preserve">India </w:t>
            </w:r>
          </w:p>
          <w:p w:rsidR="0002437C" w:rsidRDefault="0002437C" w:rsidP="00D93BE3">
            <w:pPr>
              <w:spacing w:line="276" w:lineRule="auto"/>
              <w:rPr>
                <w:rFonts w:asciiTheme="majorBidi" w:eastAsia="Times New Roman" w:hAnsiTheme="majorBidi" w:cstheme="majorBidi"/>
                <w:sz w:val="24"/>
                <w:szCs w:val="24"/>
                <w:lang w:val="en-US" w:eastAsia="fr-FR"/>
              </w:rPr>
            </w:pPr>
          </w:p>
          <w:p w:rsidR="0002437C" w:rsidRDefault="0002437C" w:rsidP="00D93BE3">
            <w:pPr>
              <w:spacing w:line="276" w:lineRule="auto"/>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A</w:t>
            </w:r>
            <w:r w:rsidRPr="0002437C">
              <w:rPr>
                <w:rFonts w:asciiTheme="majorBidi" w:eastAsia="Times New Roman" w:hAnsiTheme="majorBidi" w:cstheme="majorBidi"/>
                <w:sz w:val="24"/>
                <w:szCs w:val="24"/>
                <w:lang w:val="en-US" w:eastAsia="fr-FR"/>
              </w:rPr>
              <w:t xml:space="preserve">ll transactions in </w:t>
            </w:r>
            <w:r>
              <w:rPr>
                <w:rFonts w:asciiTheme="majorBidi" w:eastAsia="Times New Roman" w:hAnsiTheme="majorBidi" w:cstheme="majorBidi"/>
                <w:sz w:val="24"/>
                <w:szCs w:val="24"/>
                <w:lang w:val="en-US" w:eastAsia="fr-FR"/>
              </w:rPr>
              <w:t>financial derivatives</w:t>
            </w:r>
            <w:r w:rsidRPr="0002437C">
              <w:rPr>
                <w:rFonts w:asciiTheme="majorBidi" w:eastAsia="Times New Roman" w:hAnsiTheme="majorBidi" w:cstheme="majorBidi"/>
                <w:sz w:val="24"/>
                <w:szCs w:val="24"/>
                <w:lang w:val="en-US" w:eastAsia="fr-FR"/>
              </w:rPr>
              <w:t xml:space="preserve"> are subject to authorization, except for operations of hedging transactions by authorized dealers in foreign exchange fluctuation risk backed dividend transfer operations </w:t>
            </w:r>
            <w:r>
              <w:rPr>
                <w:rFonts w:asciiTheme="majorBidi" w:eastAsia="Times New Roman" w:hAnsiTheme="majorBidi" w:cstheme="majorBidi"/>
                <w:sz w:val="24"/>
                <w:szCs w:val="24"/>
                <w:lang w:val="en-US" w:eastAsia="fr-FR"/>
              </w:rPr>
              <w:t>of foreign direct investors not</w:t>
            </w:r>
            <w:r w:rsidRPr="0002437C">
              <w:rPr>
                <w:rFonts w:asciiTheme="majorBidi" w:eastAsia="Times New Roman" w:hAnsiTheme="majorBidi" w:cstheme="majorBidi"/>
                <w:sz w:val="24"/>
                <w:szCs w:val="24"/>
                <w:lang w:val="en-US" w:eastAsia="fr-FR"/>
              </w:rPr>
              <w:t>-residents.</w:t>
            </w:r>
          </w:p>
          <w:p w:rsidR="0002437C" w:rsidRDefault="0002437C" w:rsidP="00D93BE3">
            <w:pPr>
              <w:spacing w:line="276" w:lineRule="auto"/>
              <w:rPr>
                <w:rFonts w:asciiTheme="majorBidi" w:eastAsia="Times New Roman" w:hAnsiTheme="majorBidi" w:cstheme="majorBidi"/>
                <w:sz w:val="24"/>
                <w:szCs w:val="24"/>
                <w:lang w:val="en-US" w:eastAsia="fr-FR"/>
              </w:rPr>
            </w:pPr>
          </w:p>
          <w:p w:rsidR="0002437C" w:rsidRDefault="0002437C" w:rsidP="00D93BE3">
            <w:pPr>
              <w:spacing w:line="276" w:lineRule="auto"/>
              <w:rPr>
                <w:rFonts w:asciiTheme="majorBidi" w:eastAsia="Times New Roman" w:hAnsiTheme="majorBidi" w:cstheme="majorBidi"/>
                <w:b/>
                <w:sz w:val="24"/>
                <w:szCs w:val="24"/>
                <w:lang w:val="en-US" w:eastAsia="fr-FR"/>
              </w:rPr>
            </w:pPr>
            <w:r w:rsidRPr="0002437C">
              <w:rPr>
                <w:rFonts w:asciiTheme="majorBidi" w:eastAsia="Times New Roman" w:hAnsiTheme="majorBidi" w:cstheme="majorBidi"/>
                <w:b/>
                <w:sz w:val="24"/>
                <w:szCs w:val="24"/>
                <w:lang w:val="en-US" w:eastAsia="fr-FR"/>
              </w:rPr>
              <w:t>Tunisia</w:t>
            </w:r>
          </w:p>
          <w:p w:rsidR="0002437C" w:rsidRDefault="0002437C" w:rsidP="00D93BE3">
            <w:pPr>
              <w:spacing w:line="276" w:lineRule="auto"/>
              <w:rPr>
                <w:rFonts w:asciiTheme="majorBidi" w:eastAsia="Times New Roman" w:hAnsiTheme="majorBidi" w:cstheme="majorBidi"/>
                <w:b/>
                <w:sz w:val="24"/>
                <w:szCs w:val="24"/>
                <w:lang w:val="en-US" w:eastAsia="fr-FR"/>
              </w:rPr>
            </w:pPr>
          </w:p>
          <w:p w:rsidR="0002437C" w:rsidRPr="0002437C" w:rsidRDefault="0002437C" w:rsidP="00D93BE3">
            <w:pPr>
              <w:spacing w:line="276" w:lineRule="auto"/>
              <w:jc w:val="both"/>
              <w:rPr>
                <w:rFonts w:asciiTheme="majorBidi" w:eastAsia="Times New Roman" w:hAnsiTheme="majorBidi" w:cstheme="majorBidi"/>
                <w:sz w:val="24"/>
                <w:szCs w:val="24"/>
                <w:lang w:val="en-US" w:eastAsia="fr-FR"/>
              </w:rPr>
            </w:pPr>
            <w:r w:rsidRPr="0002437C">
              <w:rPr>
                <w:rFonts w:asciiTheme="majorBidi" w:eastAsia="Times New Roman" w:hAnsiTheme="majorBidi" w:cstheme="majorBidi"/>
                <w:sz w:val="24"/>
                <w:szCs w:val="24"/>
                <w:lang w:val="en-US" w:eastAsia="fr-FR"/>
              </w:rPr>
              <w:t xml:space="preserve">All transactions in </w:t>
            </w:r>
            <w:r>
              <w:rPr>
                <w:rFonts w:asciiTheme="majorBidi" w:eastAsia="Times New Roman" w:hAnsiTheme="majorBidi" w:cstheme="majorBidi"/>
                <w:sz w:val="24"/>
                <w:szCs w:val="24"/>
                <w:lang w:val="en-US" w:eastAsia="fr-FR"/>
              </w:rPr>
              <w:t>financial derivatives</w:t>
            </w:r>
            <w:r w:rsidRPr="0002437C">
              <w:rPr>
                <w:rFonts w:asciiTheme="majorBidi" w:eastAsia="Times New Roman" w:hAnsiTheme="majorBidi" w:cstheme="majorBidi"/>
                <w:sz w:val="24"/>
                <w:szCs w:val="24"/>
                <w:lang w:val="en-US" w:eastAsia="fr-FR"/>
              </w:rPr>
              <w:t xml:space="preserve"> are subject to authorization, except for foreign excha</w:t>
            </w:r>
            <w:r>
              <w:rPr>
                <w:rFonts w:asciiTheme="majorBidi" w:eastAsia="Times New Roman" w:hAnsiTheme="majorBidi" w:cstheme="majorBidi"/>
                <w:sz w:val="24"/>
                <w:szCs w:val="24"/>
                <w:lang w:val="en-US" w:eastAsia="fr-FR"/>
              </w:rPr>
              <w:t>nge swap transactions with non-</w:t>
            </w:r>
            <w:r w:rsidRPr="0002437C">
              <w:rPr>
                <w:rFonts w:asciiTheme="majorBidi" w:eastAsia="Times New Roman" w:hAnsiTheme="majorBidi" w:cstheme="majorBidi"/>
                <w:sz w:val="24"/>
                <w:szCs w:val="24"/>
                <w:lang w:val="en-US" w:eastAsia="fr-FR"/>
              </w:rPr>
              <w:t xml:space="preserve">resident banks and foreign correspondents whether </w:t>
            </w:r>
            <w:r>
              <w:rPr>
                <w:rFonts w:asciiTheme="majorBidi" w:eastAsia="Times New Roman" w:hAnsiTheme="majorBidi" w:cstheme="majorBidi"/>
                <w:sz w:val="24"/>
                <w:szCs w:val="24"/>
                <w:lang w:val="en-US" w:eastAsia="fr-FR"/>
              </w:rPr>
              <w:t xml:space="preserve">foreign </w:t>
            </w:r>
            <w:r w:rsidRPr="0002437C">
              <w:rPr>
                <w:rFonts w:asciiTheme="majorBidi" w:eastAsia="Times New Roman" w:hAnsiTheme="majorBidi" w:cstheme="majorBidi"/>
                <w:sz w:val="24"/>
                <w:szCs w:val="24"/>
                <w:lang w:val="en-US" w:eastAsia="fr-FR"/>
              </w:rPr>
              <w:t xml:space="preserve">currency against foreign currency </w:t>
            </w:r>
            <w:r>
              <w:rPr>
                <w:rFonts w:asciiTheme="majorBidi" w:eastAsia="Times New Roman" w:hAnsiTheme="majorBidi" w:cstheme="majorBidi"/>
                <w:sz w:val="24"/>
                <w:szCs w:val="24"/>
                <w:lang w:val="en-US" w:eastAsia="fr-FR"/>
              </w:rPr>
              <w:t xml:space="preserve">or foreign </w:t>
            </w:r>
            <w:r w:rsidRPr="0002437C">
              <w:rPr>
                <w:rFonts w:asciiTheme="majorBidi" w:eastAsia="Times New Roman" w:hAnsiTheme="majorBidi" w:cstheme="majorBidi"/>
                <w:sz w:val="24"/>
                <w:szCs w:val="24"/>
                <w:lang w:val="en-US" w:eastAsia="fr-FR"/>
              </w:rPr>
              <w:t>currency against dinars.</w:t>
            </w:r>
          </w:p>
        </w:tc>
        <w:tc>
          <w:tcPr>
            <w:tcW w:w="3685" w:type="dxa"/>
          </w:tcPr>
          <w:p w:rsidR="0002437C" w:rsidRPr="004911A1" w:rsidRDefault="0002437C" w:rsidP="00D93BE3">
            <w:pPr>
              <w:spacing w:line="276" w:lineRule="auto"/>
              <w:jc w:val="both"/>
              <w:rPr>
                <w:rFonts w:asciiTheme="majorBidi" w:eastAsia="Times New Roman" w:hAnsiTheme="majorBidi" w:cstheme="majorBidi"/>
                <w:b/>
                <w:sz w:val="24"/>
                <w:szCs w:val="24"/>
                <w:lang w:val="en-US" w:eastAsia="fr-FR"/>
              </w:rPr>
            </w:pPr>
          </w:p>
        </w:tc>
      </w:tr>
    </w:tbl>
    <w:p w:rsidR="00BE3A57" w:rsidRDefault="00BE3A57" w:rsidP="00D93BE3">
      <w:pPr>
        <w:rPr>
          <w:rFonts w:asciiTheme="majorBidi" w:eastAsia="Times New Roman" w:hAnsiTheme="majorBidi" w:cstheme="majorBidi"/>
          <w:b/>
          <w:sz w:val="24"/>
          <w:szCs w:val="24"/>
          <w:lang w:val="en-US" w:eastAsia="fr-FR"/>
        </w:rPr>
      </w:pPr>
    </w:p>
    <w:p w:rsidR="00DB6134" w:rsidRPr="00392271" w:rsidRDefault="00DB6134" w:rsidP="00D93BE3">
      <w:pPr>
        <w:rPr>
          <w:rFonts w:asciiTheme="majorBidi" w:eastAsia="Times New Roman" w:hAnsiTheme="majorBidi" w:cstheme="majorBidi"/>
          <w:b/>
          <w:sz w:val="24"/>
          <w:szCs w:val="24"/>
          <w:lang w:val="en-US" w:eastAsia="fr-FR"/>
        </w:rPr>
      </w:pPr>
      <w:r w:rsidRPr="00DB6134">
        <w:rPr>
          <w:rFonts w:asciiTheme="majorBidi" w:eastAsia="Times New Roman" w:hAnsiTheme="majorBidi" w:cstheme="majorBidi"/>
          <w:b/>
          <w:sz w:val="24"/>
          <w:szCs w:val="24"/>
          <w:lang w:val="en-US" w:eastAsia="fr-FR"/>
        </w:rPr>
        <w:t>Commentary</w:t>
      </w:r>
    </w:p>
    <w:p w:rsidR="00DB6134" w:rsidRDefault="00DB6134" w:rsidP="00D93BE3">
      <w:pPr>
        <w:rPr>
          <w:rFonts w:asciiTheme="majorBidi" w:eastAsia="Times New Roman" w:hAnsiTheme="majorBidi" w:cstheme="majorBidi"/>
          <w:sz w:val="24"/>
          <w:szCs w:val="24"/>
          <w:lang w:val="en-US" w:eastAsia="fr-FR"/>
        </w:rPr>
      </w:pPr>
      <w:r w:rsidRPr="00DB6134">
        <w:rPr>
          <w:rFonts w:asciiTheme="majorBidi" w:eastAsia="Times New Roman" w:hAnsiTheme="majorBidi" w:cstheme="majorBidi"/>
          <w:sz w:val="24"/>
          <w:szCs w:val="24"/>
          <w:lang w:val="en-US" w:eastAsia="fr-FR"/>
        </w:rPr>
        <w:t>Foreign exchange regulations in different countries are generally restrictive with the exception of Indonesia which has a regulatory framework that can be a model for Morocco.</w:t>
      </w:r>
    </w:p>
    <w:p w:rsidR="00DB6134" w:rsidRDefault="00DB6134" w:rsidP="00D93BE3">
      <w:p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br w:type="page"/>
      </w:r>
    </w:p>
    <w:p w:rsidR="00DB6134" w:rsidRDefault="00DB6134" w:rsidP="00D93BE3">
      <w:pPr>
        <w:rPr>
          <w:rFonts w:asciiTheme="majorBidi" w:eastAsia="Times New Roman" w:hAnsiTheme="majorBidi" w:cstheme="majorBidi"/>
          <w:b/>
          <w:sz w:val="24"/>
          <w:szCs w:val="24"/>
          <w:lang w:val="en-US" w:eastAsia="fr-FR"/>
        </w:rPr>
      </w:pPr>
      <w:r w:rsidRPr="00DB6134">
        <w:rPr>
          <w:rFonts w:asciiTheme="majorBidi" w:eastAsia="Times New Roman" w:hAnsiTheme="majorBidi" w:cstheme="majorBidi"/>
          <w:b/>
          <w:sz w:val="24"/>
          <w:szCs w:val="24"/>
          <w:lang w:val="en-US" w:eastAsia="fr-FR"/>
        </w:rPr>
        <w:lastRenderedPageBreak/>
        <w:t xml:space="preserve">Conclusion </w:t>
      </w:r>
    </w:p>
    <w:p w:rsidR="00DB6134" w:rsidRDefault="00DB6134" w:rsidP="00B552A8">
      <w:pPr>
        <w:spacing w:after="0"/>
        <w:rPr>
          <w:rFonts w:asciiTheme="majorBidi" w:eastAsia="Times New Roman" w:hAnsiTheme="majorBidi" w:cstheme="majorBidi"/>
          <w:sz w:val="24"/>
          <w:szCs w:val="24"/>
          <w:lang w:val="en-US" w:eastAsia="fr-FR"/>
        </w:rPr>
      </w:pPr>
      <w:r w:rsidRPr="00DB6134">
        <w:rPr>
          <w:rFonts w:asciiTheme="majorBidi" w:eastAsia="Times New Roman" w:hAnsiTheme="majorBidi" w:cstheme="majorBidi"/>
          <w:sz w:val="24"/>
          <w:szCs w:val="24"/>
          <w:lang w:val="en-US" w:eastAsia="fr-FR"/>
        </w:rPr>
        <w:t>This study yielded the following key findings</w:t>
      </w:r>
      <w:r>
        <w:rPr>
          <w:rFonts w:asciiTheme="majorBidi" w:eastAsia="Times New Roman" w:hAnsiTheme="majorBidi" w:cstheme="majorBidi"/>
          <w:sz w:val="24"/>
          <w:szCs w:val="24"/>
          <w:lang w:val="en-US" w:eastAsia="fr-FR"/>
        </w:rPr>
        <w:t>:</w:t>
      </w:r>
    </w:p>
    <w:p w:rsidR="00DB6134" w:rsidRDefault="00DB6134" w:rsidP="00B552A8">
      <w:pPr>
        <w:pStyle w:val="Paragraphedeliste"/>
        <w:numPr>
          <w:ilvl w:val="0"/>
          <w:numId w:val="2"/>
        </w:numPr>
        <w:spacing w:after="0"/>
        <w:rPr>
          <w:rFonts w:asciiTheme="majorBidi" w:eastAsia="Times New Roman" w:hAnsiTheme="majorBidi" w:cstheme="majorBidi"/>
          <w:sz w:val="24"/>
          <w:szCs w:val="24"/>
          <w:lang w:val="en-US" w:eastAsia="fr-FR"/>
        </w:rPr>
      </w:pPr>
      <w:r w:rsidRPr="00DB6134">
        <w:rPr>
          <w:rFonts w:asciiTheme="majorBidi" w:eastAsia="Times New Roman" w:hAnsiTheme="majorBidi" w:cstheme="majorBidi"/>
          <w:sz w:val="24"/>
          <w:szCs w:val="24"/>
          <w:lang w:val="en-US" w:eastAsia="fr-FR"/>
        </w:rPr>
        <w:t xml:space="preserve">The foreign exchange regulation in force in Morocco is broadly compatible and consistent with the operational framework of the foreign </w:t>
      </w:r>
      <w:r w:rsidR="00E242A0">
        <w:rPr>
          <w:rFonts w:asciiTheme="majorBidi" w:eastAsia="Times New Roman" w:hAnsiTheme="majorBidi" w:cstheme="majorBidi"/>
          <w:sz w:val="24"/>
          <w:szCs w:val="24"/>
          <w:lang w:val="en-US" w:eastAsia="fr-FR"/>
        </w:rPr>
        <w:t>forex</w:t>
      </w:r>
      <w:r w:rsidRPr="00DB6134">
        <w:rPr>
          <w:rFonts w:asciiTheme="majorBidi" w:eastAsia="Times New Roman" w:hAnsiTheme="majorBidi" w:cstheme="majorBidi"/>
          <w:sz w:val="24"/>
          <w:szCs w:val="24"/>
          <w:lang w:val="en-US" w:eastAsia="fr-FR"/>
        </w:rPr>
        <w:t xml:space="preserve"> under a flexible exchange rate regime.</w:t>
      </w:r>
    </w:p>
    <w:p w:rsidR="00DB6134" w:rsidRDefault="00DB6134" w:rsidP="00B552A8">
      <w:pPr>
        <w:spacing w:after="0"/>
        <w:jc w:val="both"/>
        <w:rPr>
          <w:rFonts w:asciiTheme="majorBidi" w:eastAsia="Times New Roman" w:hAnsiTheme="majorBidi" w:cstheme="majorBidi"/>
          <w:sz w:val="24"/>
          <w:szCs w:val="24"/>
          <w:lang w:val="en-US" w:eastAsia="fr-FR"/>
        </w:rPr>
      </w:pPr>
      <w:r w:rsidRPr="00DB6134">
        <w:rPr>
          <w:rFonts w:asciiTheme="majorBidi" w:eastAsia="Times New Roman" w:hAnsiTheme="majorBidi" w:cstheme="majorBidi"/>
          <w:sz w:val="24"/>
          <w:szCs w:val="24"/>
          <w:lang w:val="en-US" w:eastAsia="fr-FR"/>
        </w:rPr>
        <w:t xml:space="preserve">This conclusion follows from the observation of the relevant exchange regulations in force in Morocco and </w:t>
      </w:r>
      <w:r>
        <w:rPr>
          <w:rFonts w:asciiTheme="majorBidi" w:eastAsia="Times New Roman" w:hAnsiTheme="majorBidi" w:cstheme="majorBidi"/>
          <w:sz w:val="24"/>
          <w:szCs w:val="24"/>
          <w:lang w:val="en-US" w:eastAsia="fr-FR"/>
        </w:rPr>
        <w:t>other ones</w:t>
      </w:r>
      <w:r w:rsidRPr="00DB6134">
        <w:rPr>
          <w:rFonts w:asciiTheme="majorBidi" w:eastAsia="Times New Roman" w:hAnsiTheme="majorBidi" w:cstheme="majorBidi"/>
          <w:sz w:val="24"/>
          <w:szCs w:val="24"/>
          <w:lang w:val="en-US" w:eastAsia="fr-FR"/>
        </w:rPr>
        <w:t xml:space="preserve"> in comparable countries </w:t>
      </w:r>
      <w:r>
        <w:rPr>
          <w:rFonts w:asciiTheme="majorBidi" w:eastAsia="Times New Roman" w:hAnsiTheme="majorBidi" w:cstheme="majorBidi"/>
          <w:sz w:val="24"/>
          <w:szCs w:val="24"/>
          <w:lang w:val="en-US" w:eastAsia="fr-FR"/>
        </w:rPr>
        <w:t>to</w:t>
      </w:r>
      <w:r w:rsidRPr="00DB6134">
        <w:rPr>
          <w:rFonts w:asciiTheme="majorBidi" w:eastAsia="Times New Roman" w:hAnsiTheme="majorBidi" w:cstheme="majorBidi"/>
          <w:sz w:val="24"/>
          <w:szCs w:val="24"/>
          <w:lang w:val="en-US" w:eastAsia="fr-FR"/>
        </w:rPr>
        <w:t xml:space="preserve"> Morocco </w:t>
      </w:r>
      <w:r>
        <w:rPr>
          <w:rFonts w:asciiTheme="majorBidi" w:eastAsia="Times New Roman" w:hAnsiTheme="majorBidi" w:cstheme="majorBidi"/>
          <w:sz w:val="24"/>
          <w:szCs w:val="24"/>
          <w:lang w:val="en-US" w:eastAsia="fr-FR"/>
        </w:rPr>
        <w:t xml:space="preserve">that </w:t>
      </w:r>
      <w:r w:rsidRPr="00DB6134">
        <w:rPr>
          <w:rFonts w:asciiTheme="majorBidi" w:eastAsia="Times New Roman" w:hAnsiTheme="majorBidi" w:cstheme="majorBidi"/>
          <w:sz w:val="24"/>
          <w:szCs w:val="24"/>
          <w:lang w:val="en-US" w:eastAsia="fr-FR"/>
        </w:rPr>
        <w:t>have adopted flexible exchange rate regimes. Indeed, this observation has revealed the following key facts:</w:t>
      </w:r>
    </w:p>
    <w:p w:rsidR="00DB6134" w:rsidRDefault="00772BA5" w:rsidP="00D93BE3">
      <w:pPr>
        <w:pStyle w:val="Paragraphedeliste"/>
        <w:numPr>
          <w:ilvl w:val="0"/>
          <w:numId w:val="1"/>
        </w:numPr>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E</w:t>
      </w:r>
      <w:r w:rsidRPr="00DB6134">
        <w:rPr>
          <w:rFonts w:asciiTheme="majorBidi" w:eastAsia="Times New Roman" w:hAnsiTheme="majorBidi" w:cstheme="majorBidi"/>
          <w:sz w:val="24"/>
          <w:szCs w:val="24"/>
          <w:lang w:val="en-US" w:eastAsia="fr-FR"/>
        </w:rPr>
        <w:t xml:space="preserve">xchange </w:t>
      </w:r>
      <w:r>
        <w:rPr>
          <w:rFonts w:asciiTheme="majorBidi" w:eastAsia="Times New Roman" w:hAnsiTheme="majorBidi" w:cstheme="majorBidi"/>
          <w:sz w:val="24"/>
          <w:szCs w:val="24"/>
          <w:lang w:val="en-US" w:eastAsia="fr-FR"/>
        </w:rPr>
        <w:t>regulation of Morocco</w:t>
      </w:r>
      <w:r w:rsidR="00DB6134" w:rsidRPr="00DB6134">
        <w:rPr>
          <w:rFonts w:asciiTheme="majorBidi" w:eastAsia="Times New Roman" w:hAnsiTheme="majorBidi" w:cstheme="majorBidi"/>
          <w:sz w:val="24"/>
          <w:szCs w:val="24"/>
          <w:lang w:val="en-US" w:eastAsia="fr-FR"/>
        </w:rPr>
        <w:t xml:space="preserve"> is generally more liberal than that in force in some countries with flexible exchange rate regime such as Tunisia;</w:t>
      </w:r>
    </w:p>
    <w:p w:rsidR="00772BA5" w:rsidRPr="00B552A8" w:rsidRDefault="00772BA5" w:rsidP="00D93BE3">
      <w:pPr>
        <w:pStyle w:val="Paragraphedeliste"/>
        <w:jc w:val="both"/>
        <w:rPr>
          <w:rFonts w:asciiTheme="majorBidi" w:eastAsia="Times New Roman" w:hAnsiTheme="majorBidi" w:cstheme="majorBidi"/>
          <w:sz w:val="10"/>
          <w:szCs w:val="24"/>
          <w:lang w:val="en-US" w:eastAsia="fr-FR"/>
        </w:rPr>
      </w:pPr>
    </w:p>
    <w:p w:rsidR="00772BA5" w:rsidRDefault="00772BA5" w:rsidP="00D93BE3">
      <w:pPr>
        <w:pStyle w:val="Paragraphedeliste"/>
        <w:numPr>
          <w:ilvl w:val="0"/>
          <w:numId w:val="1"/>
        </w:numPr>
        <w:jc w:val="both"/>
        <w:rPr>
          <w:rFonts w:asciiTheme="majorBidi" w:eastAsia="Times New Roman" w:hAnsiTheme="majorBidi" w:cstheme="majorBidi"/>
          <w:sz w:val="24"/>
          <w:szCs w:val="24"/>
          <w:lang w:val="en-US" w:eastAsia="fr-FR"/>
        </w:rPr>
      </w:pPr>
      <w:r w:rsidRPr="00772BA5">
        <w:rPr>
          <w:rFonts w:asciiTheme="majorBidi" w:eastAsia="Times New Roman" w:hAnsiTheme="majorBidi" w:cstheme="majorBidi"/>
          <w:sz w:val="24"/>
          <w:szCs w:val="24"/>
          <w:lang w:val="en-US" w:eastAsia="fr-FR"/>
        </w:rPr>
        <w:t>the exchange regulation of Morocco is relatively not less liberal than those existing in other countries selected for the comparison</w:t>
      </w:r>
      <w:r>
        <w:rPr>
          <w:rFonts w:asciiTheme="majorBidi" w:eastAsia="Times New Roman" w:hAnsiTheme="majorBidi" w:cstheme="majorBidi"/>
          <w:sz w:val="24"/>
          <w:szCs w:val="24"/>
          <w:lang w:val="en-US" w:eastAsia="fr-FR"/>
        </w:rPr>
        <w:t>,</w:t>
      </w:r>
      <w:r w:rsidRPr="00772BA5">
        <w:rPr>
          <w:rFonts w:asciiTheme="majorBidi" w:eastAsia="Times New Roman" w:hAnsiTheme="majorBidi" w:cstheme="majorBidi"/>
          <w:sz w:val="24"/>
          <w:szCs w:val="24"/>
          <w:lang w:val="en-US" w:eastAsia="fr-FR"/>
        </w:rPr>
        <w:t xml:space="preserve"> in that </w:t>
      </w:r>
      <w:r>
        <w:rPr>
          <w:rFonts w:asciiTheme="majorBidi" w:eastAsia="Times New Roman" w:hAnsiTheme="majorBidi" w:cstheme="majorBidi"/>
          <w:sz w:val="24"/>
          <w:szCs w:val="24"/>
          <w:lang w:val="en-US" w:eastAsia="fr-FR"/>
        </w:rPr>
        <w:t>their regulation framework</w:t>
      </w:r>
      <w:r w:rsidRPr="00772BA5">
        <w:rPr>
          <w:rFonts w:asciiTheme="majorBidi" w:eastAsia="Times New Roman" w:hAnsiTheme="majorBidi" w:cstheme="majorBidi"/>
          <w:sz w:val="24"/>
          <w:szCs w:val="24"/>
          <w:lang w:val="en-US" w:eastAsia="fr-FR"/>
        </w:rPr>
        <w:t xml:space="preserve"> contains provisions (as for example those relating to trade credit, financial credit and financial derivatives ) which are either the same degree of liberalization or are more liberal than those of the comparative countries;</w:t>
      </w:r>
    </w:p>
    <w:p w:rsidR="00772BA5" w:rsidRPr="00B552A8" w:rsidRDefault="00772BA5" w:rsidP="00D93BE3">
      <w:pPr>
        <w:pStyle w:val="Paragraphedeliste"/>
        <w:rPr>
          <w:rFonts w:asciiTheme="majorBidi" w:eastAsia="Times New Roman" w:hAnsiTheme="majorBidi" w:cstheme="majorBidi"/>
          <w:sz w:val="10"/>
          <w:szCs w:val="24"/>
          <w:lang w:val="en-US" w:eastAsia="fr-FR"/>
        </w:rPr>
      </w:pPr>
    </w:p>
    <w:p w:rsidR="00772BA5" w:rsidRDefault="00772BA5" w:rsidP="00D93BE3">
      <w:pPr>
        <w:pStyle w:val="Paragraphedeliste"/>
        <w:numPr>
          <w:ilvl w:val="0"/>
          <w:numId w:val="1"/>
        </w:numPr>
        <w:jc w:val="both"/>
        <w:rPr>
          <w:rFonts w:asciiTheme="majorBidi" w:eastAsia="Times New Roman" w:hAnsiTheme="majorBidi" w:cstheme="majorBidi"/>
          <w:sz w:val="24"/>
          <w:szCs w:val="24"/>
          <w:lang w:val="en-US" w:eastAsia="fr-FR"/>
        </w:rPr>
      </w:pPr>
      <w:r w:rsidRPr="00772BA5">
        <w:rPr>
          <w:rFonts w:asciiTheme="majorBidi" w:eastAsia="Times New Roman" w:hAnsiTheme="majorBidi" w:cstheme="majorBidi"/>
          <w:sz w:val="24"/>
          <w:szCs w:val="24"/>
          <w:lang w:val="en-US" w:eastAsia="fr-FR"/>
        </w:rPr>
        <w:t xml:space="preserve">the potential </w:t>
      </w:r>
      <w:r>
        <w:rPr>
          <w:rFonts w:asciiTheme="majorBidi" w:eastAsia="Times New Roman" w:hAnsiTheme="majorBidi" w:cstheme="majorBidi"/>
          <w:sz w:val="24"/>
          <w:szCs w:val="24"/>
          <w:lang w:val="en-US" w:eastAsia="fr-FR"/>
        </w:rPr>
        <w:t xml:space="preserve">offered by the </w:t>
      </w:r>
      <w:r w:rsidRPr="00772BA5">
        <w:rPr>
          <w:rFonts w:asciiTheme="majorBidi" w:eastAsia="Times New Roman" w:hAnsiTheme="majorBidi" w:cstheme="majorBidi"/>
          <w:sz w:val="24"/>
          <w:szCs w:val="24"/>
          <w:lang w:val="en-US" w:eastAsia="fr-FR"/>
        </w:rPr>
        <w:t>exchange regulations currently in force in Morocco is not yet fully exploited and that, as shown by the statistics on the use of foreign currency accounts by exporters of goods and services: and also those relating trade finance</w:t>
      </w:r>
      <w:r>
        <w:rPr>
          <w:rFonts w:asciiTheme="majorBidi" w:eastAsia="Times New Roman" w:hAnsiTheme="majorBidi" w:cstheme="majorBidi"/>
          <w:sz w:val="24"/>
          <w:szCs w:val="24"/>
          <w:lang w:val="en-US" w:eastAsia="fr-FR"/>
        </w:rPr>
        <w:t>;</w:t>
      </w:r>
    </w:p>
    <w:p w:rsidR="00772BA5" w:rsidRPr="00B552A8" w:rsidRDefault="00772BA5" w:rsidP="00D93BE3">
      <w:pPr>
        <w:pStyle w:val="Paragraphedeliste"/>
        <w:rPr>
          <w:rFonts w:asciiTheme="majorBidi" w:eastAsia="Times New Roman" w:hAnsiTheme="majorBidi" w:cstheme="majorBidi"/>
          <w:sz w:val="10"/>
          <w:szCs w:val="24"/>
          <w:lang w:val="en-US" w:eastAsia="fr-FR"/>
        </w:rPr>
      </w:pPr>
    </w:p>
    <w:p w:rsidR="00772BA5" w:rsidRDefault="00403DD5" w:rsidP="00B552A8">
      <w:pPr>
        <w:pStyle w:val="Paragraphedeliste"/>
        <w:numPr>
          <w:ilvl w:val="0"/>
          <w:numId w:val="2"/>
        </w:numPr>
        <w:spacing w:after="0"/>
        <w:jc w:val="both"/>
        <w:rPr>
          <w:rFonts w:asciiTheme="majorBidi" w:eastAsia="Times New Roman" w:hAnsiTheme="majorBidi" w:cstheme="majorBidi"/>
          <w:sz w:val="24"/>
          <w:szCs w:val="24"/>
          <w:lang w:val="en-US" w:eastAsia="fr-FR"/>
        </w:rPr>
      </w:pPr>
      <w:r w:rsidRPr="00403DD5">
        <w:rPr>
          <w:rFonts w:asciiTheme="majorBidi" w:eastAsia="Times New Roman" w:hAnsiTheme="majorBidi" w:cstheme="majorBidi"/>
          <w:sz w:val="24"/>
          <w:szCs w:val="24"/>
          <w:lang w:val="en-US" w:eastAsia="fr-FR"/>
        </w:rPr>
        <w:t xml:space="preserve">The exchange regulation </w:t>
      </w:r>
      <w:r w:rsidR="007A7038">
        <w:rPr>
          <w:rFonts w:asciiTheme="majorBidi" w:eastAsia="Times New Roman" w:hAnsiTheme="majorBidi" w:cstheme="majorBidi"/>
          <w:sz w:val="24"/>
          <w:szCs w:val="24"/>
          <w:lang w:val="en-US" w:eastAsia="fr-FR"/>
        </w:rPr>
        <w:t>in</w:t>
      </w:r>
      <w:r w:rsidRPr="00403DD5">
        <w:rPr>
          <w:rFonts w:asciiTheme="majorBidi" w:eastAsia="Times New Roman" w:hAnsiTheme="majorBidi" w:cstheme="majorBidi"/>
          <w:sz w:val="24"/>
          <w:szCs w:val="24"/>
          <w:lang w:val="en-US" w:eastAsia="fr-FR"/>
        </w:rPr>
        <w:t xml:space="preserve"> Morocco, however, must incorporate into its standby device -in addition to the usual parameters considered in the process of </w:t>
      </w:r>
      <w:r>
        <w:rPr>
          <w:rFonts w:asciiTheme="majorBidi" w:eastAsia="Times New Roman" w:hAnsiTheme="majorBidi" w:cstheme="majorBidi"/>
          <w:sz w:val="24"/>
          <w:szCs w:val="24"/>
          <w:lang w:val="en-US" w:eastAsia="fr-FR"/>
        </w:rPr>
        <w:t xml:space="preserve">the </w:t>
      </w:r>
      <w:r w:rsidRPr="00403DD5">
        <w:rPr>
          <w:rFonts w:asciiTheme="majorBidi" w:eastAsia="Times New Roman" w:hAnsiTheme="majorBidi" w:cstheme="majorBidi"/>
          <w:sz w:val="24"/>
          <w:szCs w:val="24"/>
          <w:lang w:val="en-US" w:eastAsia="fr-FR"/>
        </w:rPr>
        <w:t xml:space="preserve">opening </w:t>
      </w:r>
      <w:r>
        <w:rPr>
          <w:rFonts w:asciiTheme="majorBidi" w:eastAsia="Times New Roman" w:hAnsiTheme="majorBidi" w:cstheme="majorBidi"/>
          <w:sz w:val="24"/>
          <w:szCs w:val="24"/>
          <w:lang w:val="en-US" w:eastAsia="fr-FR"/>
        </w:rPr>
        <w:t xml:space="preserve">of </w:t>
      </w:r>
      <w:r w:rsidRPr="00403DD5">
        <w:rPr>
          <w:rFonts w:asciiTheme="majorBidi" w:eastAsia="Times New Roman" w:hAnsiTheme="majorBidi" w:cstheme="majorBidi"/>
          <w:sz w:val="24"/>
          <w:szCs w:val="24"/>
          <w:lang w:val="en-US" w:eastAsia="fr-FR"/>
        </w:rPr>
        <w:t>the capital account such as those related to structural savings</w:t>
      </w:r>
      <w:r w:rsidR="007A7038">
        <w:rPr>
          <w:rFonts w:asciiTheme="majorBidi" w:eastAsia="Times New Roman" w:hAnsiTheme="majorBidi" w:cstheme="majorBidi"/>
          <w:sz w:val="24"/>
          <w:szCs w:val="24"/>
          <w:lang w:val="en-US" w:eastAsia="fr-FR"/>
        </w:rPr>
        <w:t>,</w:t>
      </w:r>
      <w:r w:rsidRPr="00403DD5">
        <w:rPr>
          <w:rFonts w:asciiTheme="majorBidi" w:eastAsia="Times New Roman" w:hAnsiTheme="majorBidi" w:cstheme="majorBidi"/>
          <w:sz w:val="24"/>
          <w:szCs w:val="24"/>
          <w:lang w:val="en-US" w:eastAsia="fr-FR"/>
        </w:rPr>
        <w:t xml:space="preserve"> current account, exchange reserves, etc.</w:t>
      </w:r>
      <w:r>
        <w:rPr>
          <w:rFonts w:asciiTheme="majorBidi" w:eastAsia="Times New Roman" w:hAnsiTheme="majorBidi" w:cstheme="majorBidi"/>
          <w:sz w:val="24"/>
          <w:szCs w:val="24"/>
          <w:lang w:val="en-US" w:eastAsia="fr-FR"/>
        </w:rPr>
        <w:t xml:space="preserve"> </w:t>
      </w:r>
      <w:r w:rsidRPr="00403DD5">
        <w:rPr>
          <w:rFonts w:asciiTheme="majorBidi" w:eastAsia="Times New Roman" w:hAnsiTheme="majorBidi" w:cstheme="majorBidi"/>
          <w:sz w:val="24"/>
          <w:szCs w:val="24"/>
          <w:lang w:val="en-US" w:eastAsia="fr-FR"/>
        </w:rPr>
        <w:t xml:space="preserve">- specific needs for the necessary material for a proper functioning of the foreign </w:t>
      </w:r>
      <w:r w:rsidR="00E242A0">
        <w:rPr>
          <w:rFonts w:asciiTheme="majorBidi" w:eastAsia="Times New Roman" w:hAnsiTheme="majorBidi" w:cstheme="majorBidi"/>
          <w:sz w:val="24"/>
          <w:szCs w:val="24"/>
          <w:lang w:val="en-US" w:eastAsia="fr-FR"/>
        </w:rPr>
        <w:t>forex</w:t>
      </w:r>
      <w:r w:rsidRPr="00403DD5">
        <w:rPr>
          <w:rFonts w:asciiTheme="majorBidi" w:eastAsia="Times New Roman" w:hAnsiTheme="majorBidi" w:cstheme="majorBidi"/>
          <w:sz w:val="24"/>
          <w:szCs w:val="24"/>
          <w:lang w:val="en-US" w:eastAsia="fr-FR"/>
        </w:rPr>
        <w:t xml:space="preserve"> under a flexible exchange rate regime. In this respect, liberal </w:t>
      </w:r>
      <w:r>
        <w:rPr>
          <w:rFonts w:asciiTheme="majorBidi" w:eastAsia="Times New Roman" w:hAnsiTheme="majorBidi" w:cstheme="majorBidi"/>
          <w:sz w:val="24"/>
          <w:szCs w:val="24"/>
          <w:lang w:val="en-US" w:eastAsia="fr-FR"/>
        </w:rPr>
        <w:t>regulations</w:t>
      </w:r>
      <w:r w:rsidRPr="00403DD5">
        <w:rPr>
          <w:rFonts w:asciiTheme="majorBidi" w:eastAsia="Times New Roman" w:hAnsiTheme="majorBidi" w:cstheme="majorBidi"/>
          <w:sz w:val="24"/>
          <w:szCs w:val="24"/>
          <w:lang w:val="en-US" w:eastAsia="fr-FR"/>
        </w:rPr>
        <w:t>, among others based on those in force in some countries of the comparative, can be considered, including:</w:t>
      </w:r>
    </w:p>
    <w:p w:rsidR="00B552A8" w:rsidRPr="00B552A8" w:rsidRDefault="00B552A8" w:rsidP="00B552A8">
      <w:pPr>
        <w:pStyle w:val="Paragraphedeliste"/>
        <w:spacing w:after="0"/>
        <w:ind w:left="360"/>
        <w:jc w:val="both"/>
        <w:rPr>
          <w:rFonts w:asciiTheme="majorBidi" w:eastAsia="Times New Roman" w:hAnsiTheme="majorBidi" w:cstheme="majorBidi"/>
          <w:sz w:val="10"/>
          <w:szCs w:val="24"/>
          <w:lang w:val="en-US" w:eastAsia="fr-FR"/>
        </w:rPr>
      </w:pPr>
    </w:p>
    <w:p w:rsidR="007A7038" w:rsidRPr="008D5136" w:rsidRDefault="007A7038" w:rsidP="00D93BE3">
      <w:pPr>
        <w:jc w:val="both"/>
        <w:rPr>
          <w:rFonts w:asciiTheme="majorBidi" w:eastAsia="Times New Roman" w:hAnsiTheme="majorBidi" w:cstheme="majorBidi"/>
          <w:sz w:val="24"/>
          <w:szCs w:val="24"/>
          <w:lang w:val="en-US" w:eastAsia="fr-FR"/>
        </w:rPr>
      </w:pPr>
      <w:r w:rsidRPr="008D5136">
        <w:rPr>
          <w:rFonts w:asciiTheme="majorBidi" w:eastAsia="Times New Roman" w:hAnsiTheme="majorBidi" w:cstheme="majorBidi"/>
          <w:sz w:val="24"/>
          <w:szCs w:val="24"/>
          <w:lang w:val="en-US" w:eastAsia="fr-FR"/>
        </w:rPr>
        <w:t xml:space="preserve">In terms of transactions relating to financial </w:t>
      </w:r>
      <w:r w:rsidR="008D5136" w:rsidRPr="008D5136">
        <w:rPr>
          <w:rFonts w:asciiTheme="majorBidi" w:eastAsia="Times New Roman" w:hAnsiTheme="majorBidi" w:cstheme="majorBidi"/>
          <w:sz w:val="24"/>
          <w:szCs w:val="24"/>
          <w:lang w:val="en-US" w:eastAsia="fr-FR"/>
        </w:rPr>
        <w:t>derivatives:</w:t>
      </w:r>
    </w:p>
    <w:p w:rsidR="008D5136" w:rsidRDefault="008D5136" w:rsidP="00D93BE3">
      <w:pPr>
        <w:pStyle w:val="PrformatHTML"/>
        <w:numPr>
          <w:ilvl w:val="0"/>
          <w:numId w:val="1"/>
        </w:numPr>
        <w:shd w:val="clear" w:color="auto" w:fill="FFFFFF"/>
        <w:spacing w:line="276" w:lineRule="auto"/>
        <w:rPr>
          <w:rFonts w:asciiTheme="majorBidi" w:hAnsiTheme="majorBidi" w:cstheme="majorBidi"/>
          <w:sz w:val="24"/>
          <w:szCs w:val="24"/>
          <w:lang w:val="en-US"/>
        </w:rPr>
      </w:pPr>
      <w:r w:rsidRPr="008D5136">
        <w:rPr>
          <w:rFonts w:asciiTheme="majorBidi" w:hAnsiTheme="majorBidi" w:cstheme="majorBidi"/>
          <w:sz w:val="24"/>
          <w:szCs w:val="24"/>
          <w:lang w:val="en-US"/>
        </w:rPr>
        <w:t>The measured expansion of liberal framework in exchange for these operations</w:t>
      </w:r>
      <w:r>
        <w:rPr>
          <w:rFonts w:asciiTheme="majorBidi" w:hAnsiTheme="majorBidi" w:cstheme="majorBidi"/>
          <w:sz w:val="24"/>
          <w:szCs w:val="24"/>
          <w:lang w:val="en-US"/>
        </w:rPr>
        <w:t>:</w:t>
      </w:r>
    </w:p>
    <w:p w:rsidR="008D5136" w:rsidRPr="00B552A8" w:rsidRDefault="008D5136" w:rsidP="00D93BE3">
      <w:pPr>
        <w:pStyle w:val="PrformatHTML"/>
        <w:shd w:val="clear" w:color="auto" w:fill="FFFFFF"/>
        <w:spacing w:line="276" w:lineRule="auto"/>
        <w:ind w:left="720"/>
        <w:rPr>
          <w:rFonts w:asciiTheme="majorBidi" w:hAnsiTheme="majorBidi" w:cstheme="majorBidi"/>
          <w:sz w:val="10"/>
          <w:szCs w:val="24"/>
          <w:lang w:val="en-US"/>
        </w:rPr>
      </w:pPr>
    </w:p>
    <w:p w:rsidR="008D5136" w:rsidRDefault="008D5136" w:rsidP="00D93BE3">
      <w:pPr>
        <w:pStyle w:val="PrformatHTML"/>
        <w:numPr>
          <w:ilvl w:val="0"/>
          <w:numId w:val="1"/>
        </w:numPr>
        <w:shd w:val="clear" w:color="auto" w:fill="FFFFFF"/>
        <w:spacing w:line="276" w:lineRule="auto"/>
        <w:rPr>
          <w:rFonts w:asciiTheme="majorBidi" w:hAnsiTheme="majorBidi" w:cstheme="majorBidi"/>
          <w:sz w:val="24"/>
          <w:szCs w:val="24"/>
          <w:lang w:val="en-US"/>
        </w:rPr>
      </w:pPr>
      <w:r>
        <w:rPr>
          <w:rFonts w:asciiTheme="majorBidi" w:hAnsiTheme="majorBidi" w:cstheme="majorBidi"/>
          <w:sz w:val="24"/>
          <w:szCs w:val="24"/>
          <w:lang w:val="en-US"/>
        </w:rPr>
        <w:t>Regarding other non-</w:t>
      </w:r>
      <w:r w:rsidRPr="008D5136">
        <w:rPr>
          <w:rFonts w:asciiTheme="majorBidi" w:hAnsiTheme="majorBidi" w:cstheme="majorBidi"/>
          <w:sz w:val="24"/>
          <w:szCs w:val="24"/>
          <w:lang w:val="en-US"/>
        </w:rPr>
        <w:t>liberalized transactions</w:t>
      </w:r>
      <w:r>
        <w:rPr>
          <w:rFonts w:asciiTheme="majorBidi" w:hAnsiTheme="majorBidi" w:cstheme="majorBidi"/>
          <w:sz w:val="24"/>
          <w:szCs w:val="24"/>
          <w:lang w:val="en-US"/>
        </w:rPr>
        <w:t>,</w:t>
      </w:r>
      <w:r w:rsidRPr="008D5136">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Pr="008D5136">
        <w:rPr>
          <w:rFonts w:asciiTheme="majorBidi" w:hAnsiTheme="majorBidi" w:cstheme="majorBidi"/>
          <w:sz w:val="24"/>
          <w:szCs w:val="24"/>
          <w:lang w:val="en-US"/>
        </w:rPr>
        <w:t xml:space="preserve">he establishment </w:t>
      </w:r>
      <w:r>
        <w:rPr>
          <w:rFonts w:asciiTheme="majorBidi" w:hAnsiTheme="majorBidi" w:cstheme="majorBidi"/>
          <w:sz w:val="24"/>
          <w:szCs w:val="24"/>
          <w:lang w:val="en-US"/>
        </w:rPr>
        <w:t xml:space="preserve">of </w:t>
      </w:r>
      <w:r w:rsidRPr="008D5136">
        <w:rPr>
          <w:rFonts w:asciiTheme="majorBidi" w:hAnsiTheme="majorBidi" w:cstheme="majorBidi"/>
          <w:sz w:val="24"/>
          <w:szCs w:val="24"/>
          <w:lang w:val="en-US"/>
        </w:rPr>
        <w:t>annual ceilings for payments for non-residents on these instruments, like t</w:t>
      </w:r>
      <w:r>
        <w:rPr>
          <w:rFonts w:asciiTheme="majorBidi" w:hAnsiTheme="majorBidi" w:cstheme="majorBidi"/>
          <w:sz w:val="24"/>
          <w:szCs w:val="24"/>
          <w:lang w:val="en-US"/>
        </w:rPr>
        <w:t>he provisions in force in India;</w:t>
      </w:r>
    </w:p>
    <w:p w:rsidR="008D5136" w:rsidRPr="00B552A8" w:rsidRDefault="008D5136" w:rsidP="00D93BE3">
      <w:pPr>
        <w:pStyle w:val="Paragraphedeliste"/>
        <w:spacing w:after="0"/>
        <w:rPr>
          <w:rFonts w:asciiTheme="majorBidi" w:hAnsiTheme="majorBidi" w:cstheme="majorBidi"/>
          <w:sz w:val="10"/>
          <w:szCs w:val="24"/>
          <w:lang w:val="en-US"/>
        </w:rPr>
      </w:pPr>
    </w:p>
    <w:p w:rsidR="008D5136" w:rsidRDefault="008D5136" w:rsidP="00D93BE3">
      <w:pPr>
        <w:pStyle w:val="PrformatHTML"/>
        <w:shd w:val="clear" w:color="auto" w:fill="FFFFFF"/>
        <w:spacing w:line="276" w:lineRule="auto"/>
        <w:jc w:val="both"/>
        <w:rPr>
          <w:rFonts w:asciiTheme="majorBidi" w:hAnsiTheme="majorBidi" w:cstheme="majorBidi"/>
          <w:sz w:val="24"/>
          <w:szCs w:val="24"/>
          <w:lang w:val="en-US"/>
        </w:rPr>
      </w:pPr>
      <w:r w:rsidRPr="008D5136">
        <w:rPr>
          <w:rFonts w:asciiTheme="majorBidi" w:hAnsiTheme="majorBidi" w:cstheme="majorBidi"/>
          <w:sz w:val="24"/>
          <w:szCs w:val="24"/>
          <w:lang w:val="en-US"/>
        </w:rPr>
        <w:t>In terms of other capital account transactions, and given the symmetry parameter on the foreign exchange regulations related to these operations as deemed necessary to avoid destabilizing pressures, particularly in periods of turbulence on the international financial market, of regulatory liberalization modes unconventional exchange should be studied such</w:t>
      </w:r>
      <w:r>
        <w:rPr>
          <w:rFonts w:asciiTheme="majorBidi" w:hAnsiTheme="majorBidi" w:cstheme="majorBidi"/>
          <w:sz w:val="24"/>
          <w:szCs w:val="24"/>
          <w:lang w:val="en-US"/>
        </w:rPr>
        <w:t>:</w:t>
      </w:r>
    </w:p>
    <w:p w:rsidR="00254BFF" w:rsidRPr="00B552A8" w:rsidRDefault="00254BFF" w:rsidP="00D93BE3">
      <w:pPr>
        <w:pStyle w:val="PrformatHTML"/>
        <w:shd w:val="clear" w:color="auto" w:fill="FFFFFF"/>
        <w:spacing w:line="276" w:lineRule="auto"/>
        <w:jc w:val="both"/>
        <w:rPr>
          <w:rFonts w:asciiTheme="majorBidi" w:hAnsiTheme="majorBidi" w:cstheme="majorBidi"/>
          <w:sz w:val="10"/>
          <w:szCs w:val="24"/>
          <w:lang w:val="en-US"/>
        </w:rPr>
      </w:pPr>
    </w:p>
    <w:p w:rsidR="00B552A8" w:rsidRDefault="00D93BE3" w:rsidP="00B552A8">
      <w:pPr>
        <w:pStyle w:val="PrformatHTML"/>
        <w:numPr>
          <w:ilvl w:val="0"/>
          <w:numId w:val="1"/>
        </w:numPr>
        <w:shd w:val="clear" w:color="auto" w:fill="FFFFFF"/>
        <w:spacing w:line="276" w:lineRule="auto"/>
        <w:jc w:val="both"/>
        <w:rPr>
          <w:rFonts w:asciiTheme="majorBidi" w:hAnsiTheme="majorBidi" w:cstheme="majorBidi"/>
          <w:sz w:val="24"/>
          <w:szCs w:val="24"/>
          <w:lang w:val="en-US"/>
        </w:rPr>
      </w:pPr>
      <w:r w:rsidRPr="00D93BE3">
        <w:rPr>
          <w:rFonts w:asciiTheme="majorBidi" w:hAnsiTheme="majorBidi" w:cstheme="majorBidi"/>
          <w:sz w:val="24"/>
          <w:szCs w:val="24"/>
          <w:lang w:val="en-US"/>
        </w:rPr>
        <w:t>The liberalization provisions for example for financial credits for non-residents to the extent of not definitively established ceilings and determined annually based on changes in national and international capital markets</w:t>
      </w:r>
      <w:r w:rsidR="00B552A8">
        <w:rPr>
          <w:rFonts w:asciiTheme="majorBidi" w:hAnsiTheme="majorBidi" w:cstheme="majorBidi"/>
          <w:sz w:val="24"/>
          <w:szCs w:val="24"/>
          <w:lang w:val="en-US"/>
        </w:rPr>
        <w:t>;</w:t>
      </w:r>
    </w:p>
    <w:p w:rsidR="008D5136" w:rsidRPr="00B552A8" w:rsidRDefault="00D93BE3" w:rsidP="00B552A8">
      <w:pPr>
        <w:pStyle w:val="PrformatHTML"/>
        <w:numPr>
          <w:ilvl w:val="0"/>
          <w:numId w:val="1"/>
        </w:numPr>
        <w:shd w:val="clear" w:color="auto" w:fill="FFFFFF"/>
        <w:spacing w:line="276" w:lineRule="auto"/>
        <w:jc w:val="both"/>
        <w:rPr>
          <w:rFonts w:asciiTheme="majorBidi" w:hAnsiTheme="majorBidi" w:cstheme="majorBidi"/>
          <w:sz w:val="24"/>
          <w:szCs w:val="24"/>
          <w:lang w:val="en-US"/>
        </w:rPr>
      </w:pPr>
      <w:r w:rsidRPr="00B552A8">
        <w:rPr>
          <w:rFonts w:asciiTheme="majorBidi" w:hAnsiTheme="majorBidi" w:cstheme="majorBidi"/>
          <w:sz w:val="24"/>
          <w:szCs w:val="24"/>
          <w:lang w:val="en-US"/>
        </w:rPr>
        <w:t>The controlled liberalization of the capital account provisions consisting of the establishment sterilization fund</w:t>
      </w:r>
      <w:r>
        <w:rPr>
          <w:rStyle w:val="Appelnotedebasdep"/>
          <w:rFonts w:asciiTheme="majorBidi" w:hAnsiTheme="majorBidi" w:cstheme="majorBidi"/>
          <w:sz w:val="24"/>
          <w:szCs w:val="24"/>
          <w:lang w:val="en-US"/>
        </w:rPr>
        <w:footnoteReference w:id="26"/>
      </w:r>
      <w:r w:rsidR="00B552A8" w:rsidRPr="00B552A8">
        <w:rPr>
          <w:rFonts w:asciiTheme="majorBidi" w:hAnsiTheme="majorBidi" w:cstheme="majorBidi"/>
          <w:sz w:val="24"/>
          <w:szCs w:val="24"/>
          <w:lang w:val="en-US"/>
        </w:rPr>
        <w:t>.</w:t>
      </w:r>
    </w:p>
    <w:p w:rsidR="00FA6C25" w:rsidRDefault="00FA6C25" w:rsidP="00D93BE3">
      <w:pPr>
        <w:jc w:val="both"/>
        <w:rPr>
          <w:rFonts w:asciiTheme="majorBidi" w:eastAsia="Times New Roman" w:hAnsiTheme="majorBidi" w:cstheme="majorBidi"/>
          <w:b/>
          <w:sz w:val="24"/>
          <w:szCs w:val="24"/>
          <w:lang w:val="en-US" w:eastAsia="fr-FR"/>
        </w:rPr>
      </w:pPr>
    </w:p>
    <w:p w:rsidR="008D5136" w:rsidRPr="00B552A8" w:rsidRDefault="00B552A8" w:rsidP="00D93BE3">
      <w:pPr>
        <w:jc w:val="both"/>
        <w:rPr>
          <w:rFonts w:asciiTheme="majorBidi" w:eastAsia="Times New Roman" w:hAnsiTheme="majorBidi" w:cstheme="majorBidi"/>
          <w:b/>
          <w:sz w:val="24"/>
          <w:szCs w:val="24"/>
          <w:lang w:val="en-US" w:eastAsia="fr-FR"/>
        </w:rPr>
      </w:pPr>
      <w:r w:rsidRPr="00B552A8">
        <w:rPr>
          <w:rFonts w:asciiTheme="majorBidi" w:eastAsia="Times New Roman" w:hAnsiTheme="majorBidi" w:cstheme="majorBidi"/>
          <w:b/>
          <w:sz w:val="24"/>
          <w:szCs w:val="24"/>
          <w:lang w:val="en-US" w:eastAsia="fr-FR"/>
        </w:rPr>
        <w:lastRenderedPageBreak/>
        <w:t>Bibliography</w:t>
      </w:r>
    </w:p>
    <w:p w:rsidR="00FA6C25" w:rsidRDefault="00FA6C25" w:rsidP="00FA6C25">
      <w:pPr>
        <w:pStyle w:val="Paragraphedeliste"/>
        <w:numPr>
          <w:ilvl w:val="0"/>
          <w:numId w:val="1"/>
        </w:numPr>
        <w:jc w:val="both"/>
        <w:rPr>
          <w:rFonts w:ascii="Times New Roman" w:eastAsia="Times New Roman" w:hAnsi="Times New Roman" w:cs="Times New Roman"/>
          <w:sz w:val="24"/>
          <w:szCs w:val="24"/>
          <w:lang w:val="en-US" w:eastAsia="fr-FR"/>
        </w:rPr>
      </w:pPr>
      <w:r w:rsidRPr="00FA6C25">
        <w:rPr>
          <w:rFonts w:ascii="Times New Roman" w:eastAsia="Times New Roman" w:hAnsi="Times New Roman" w:cs="Times New Roman"/>
          <w:sz w:val="24"/>
          <w:szCs w:val="24"/>
          <w:lang w:eastAsia="fr-FR"/>
        </w:rPr>
        <w:t xml:space="preserve">Atish R. Ghosh et Jonathan D. Ostry, Le choix du régime de change Nouveau, regard sur une vieille question : faut-il choisir un régime fixe ou flottant ou une solution intermédiaire? </w:t>
      </w:r>
      <w:r w:rsidRPr="00FA6C25">
        <w:rPr>
          <w:rFonts w:ascii="Times New Roman" w:eastAsia="Times New Roman" w:hAnsi="Times New Roman" w:cs="Times New Roman"/>
          <w:sz w:val="24"/>
          <w:szCs w:val="24"/>
          <w:lang w:val="en-US" w:eastAsia="fr-FR"/>
        </w:rPr>
        <w:t>Finances &amp; Développement Décembre 2009</w:t>
      </w:r>
      <w:r>
        <w:rPr>
          <w:rFonts w:ascii="Times New Roman" w:eastAsia="Times New Roman" w:hAnsi="Times New Roman" w:cs="Times New Roman"/>
          <w:sz w:val="24"/>
          <w:szCs w:val="24"/>
          <w:lang w:val="en-US" w:eastAsia="fr-FR"/>
        </w:rPr>
        <w:t>;</w:t>
      </w:r>
    </w:p>
    <w:p w:rsidR="00FA6C25" w:rsidRDefault="00FA6C25" w:rsidP="00FA6C25">
      <w:pPr>
        <w:pStyle w:val="Paragraphedeliste"/>
        <w:numPr>
          <w:ilvl w:val="0"/>
          <w:numId w:val="1"/>
        </w:numPr>
        <w:jc w:val="both"/>
        <w:rPr>
          <w:rFonts w:ascii="Times New Roman" w:eastAsia="Times New Roman" w:hAnsi="Times New Roman" w:cs="Times New Roman"/>
          <w:sz w:val="24"/>
          <w:szCs w:val="24"/>
          <w:lang w:val="en-US" w:eastAsia="fr-FR"/>
        </w:rPr>
      </w:pPr>
      <w:r w:rsidRPr="00FA6C25">
        <w:rPr>
          <w:rFonts w:ascii="Times New Roman" w:eastAsia="Times New Roman" w:hAnsi="Times New Roman" w:cs="Times New Roman"/>
          <w:sz w:val="24"/>
          <w:szCs w:val="24"/>
          <w:lang w:val="en-US" w:eastAsia="fr-FR"/>
        </w:rPr>
        <w:t xml:space="preserve">Fahrettin Yagci, Choice of Exchange Rate Regimes for Developing Countries, Africa Region Working Paper </w:t>
      </w:r>
      <w:r>
        <w:rPr>
          <w:rFonts w:ascii="Times New Roman" w:eastAsia="Times New Roman" w:hAnsi="Times New Roman" w:cs="Times New Roman"/>
          <w:sz w:val="24"/>
          <w:szCs w:val="24"/>
          <w:lang w:val="en-US" w:eastAsia="fr-FR"/>
        </w:rPr>
        <w:t>Series No.16 April 2001;</w:t>
      </w:r>
    </w:p>
    <w:p w:rsidR="00FA6C25" w:rsidRDefault="00FA6C25" w:rsidP="00FA6C25">
      <w:pPr>
        <w:pStyle w:val="Paragraphedeliste"/>
        <w:numPr>
          <w:ilvl w:val="0"/>
          <w:numId w:val="1"/>
        </w:numPr>
        <w:jc w:val="both"/>
        <w:rPr>
          <w:rFonts w:ascii="Times New Roman" w:eastAsia="Times New Roman" w:hAnsi="Times New Roman" w:cs="Times New Roman"/>
          <w:sz w:val="24"/>
          <w:szCs w:val="24"/>
          <w:lang w:val="en-US" w:eastAsia="fr-FR"/>
        </w:rPr>
      </w:pPr>
      <w:r w:rsidRPr="00FA6C25">
        <w:rPr>
          <w:rFonts w:ascii="Times New Roman" w:eastAsia="Times New Roman" w:hAnsi="Times New Roman" w:cs="Times New Roman"/>
          <w:sz w:val="24"/>
          <w:szCs w:val="24"/>
          <w:lang w:val="en-US" w:eastAsia="fr-FR"/>
        </w:rPr>
        <w:t>Barry Eichengreen, China.s Exchange Rate Regime: The Long and Short of It,University of California Berkeley,March 23, 2006</w:t>
      </w:r>
      <w:r>
        <w:rPr>
          <w:rFonts w:ascii="Times New Roman" w:eastAsia="Times New Roman" w:hAnsi="Times New Roman" w:cs="Times New Roman"/>
          <w:sz w:val="24"/>
          <w:szCs w:val="24"/>
          <w:lang w:val="en-US" w:eastAsia="fr-FR"/>
        </w:rPr>
        <w:t>;</w:t>
      </w:r>
    </w:p>
    <w:p w:rsidR="00FA6C25" w:rsidRDefault="00FA6C25" w:rsidP="00FA6C25">
      <w:pPr>
        <w:pStyle w:val="Paragraphedeliste"/>
        <w:numPr>
          <w:ilvl w:val="0"/>
          <w:numId w:val="1"/>
        </w:numPr>
        <w:jc w:val="both"/>
        <w:rPr>
          <w:rFonts w:ascii="Times New Roman" w:eastAsia="Times New Roman" w:hAnsi="Times New Roman" w:cs="Times New Roman"/>
          <w:sz w:val="24"/>
          <w:szCs w:val="24"/>
          <w:lang w:val="en-US" w:eastAsia="fr-FR"/>
        </w:rPr>
      </w:pPr>
      <w:r w:rsidRPr="00FA6C25">
        <w:rPr>
          <w:rFonts w:ascii="Times New Roman" w:eastAsia="Times New Roman" w:hAnsi="Times New Roman" w:cs="Times New Roman"/>
          <w:sz w:val="24"/>
          <w:szCs w:val="24"/>
          <w:lang w:val="en-US" w:eastAsia="fr-FR"/>
        </w:rPr>
        <w:t>Benu Shneider , Issues in capital Account Convertibility in Developing Countries, Overseas Developement Institute, Portland House , Stag Place, London , June 2000</w:t>
      </w:r>
      <w:r>
        <w:rPr>
          <w:rFonts w:ascii="Times New Roman" w:eastAsia="Times New Roman" w:hAnsi="Times New Roman" w:cs="Times New Roman"/>
          <w:sz w:val="24"/>
          <w:szCs w:val="24"/>
          <w:lang w:val="en-US" w:eastAsia="fr-FR"/>
        </w:rPr>
        <w:t>;</w:t>
      </w:r>
    </w:p>
    <w:p w:rsidR="00FA6C25" w:rsidRPr="00FA6C25" w:rsidRDefault="00FA6C25" w:rsidP="00FA6C25">
      <w:pPr>
        <w:pStyle w:val="Paragraphedeliste"/>
        <w:numPr>
          <w:ilvl w:val="0"/>
          <w:numId w:val="1"/>
        </w:numPr>
        <w:jc w:val="both"/>
        <w:rPr>
          <w:rFonts w:ascii="Times New Roman" w:eastAsia="Times New Roman" w:hAnsi="Times New Roman" w:cs="Times New Roman"/>
          <w:sz w:val="24"/>
          <w:szCs w:val="24"/>
          <w:lang w:val="en-US" w:eastAsia="fr-FR"/>
        </w:rPr>
      </w:pPr>
      <w:r w:rsidRPr="00FA6C25">
        <w:rPr>
          <w:rFonts w:ascii="Times New Roman" w:eastAsia="Times New Roman" w:hAnsi="Times New Roman" w:cs="Times New Roman"/>
          <w:sz w:val="24"/>
          <w:szCs w:val="24"/>
          <w:lang w:val="en-US" w:eastAsia="fr-FR"/>
        </w:rPr>
        <w:t>Barry Bosworth, Managing Capital Inflows: What Have We Learned, Emerging Markets Forum: International Capital Flows, Domestic Capital Markets, Growth and Development in Emerging Market Countries,</w:t>
      </w:r>
      <w:r>
        <w:rPr>
          <w:rFonts w:ascii="Times New Roman" w:eastAsia="Times New Roman" w:hAnsi="Times New Roman" w:cs="Times New Roman"/>
          <w:sz w:val="24"/>
          <w:szCs w:val="24"/>
          <w:lang w:val="en-US" w:eastAsia="fr-FR"/>
        </w:rPr>
        <w:t xml:space="preserve"> </w:t>
      </w:r>
      <w:r w:rsidRPr="00FA6C25">
        <w:rPr>
          <w:rFonts w:ascii="Times New Roman" w:eastAsia="Times New Roman" w:hAnsi="Times New Roman" w:cs="Times New Roman"/>
          <w:sz w:val="24"/>
          <w:szCs w:val="24"/>
          <w:lang w:val="en-US" w:eastAsia="fr-FR"/>
        </w:rPr>
        <w:t>December 9-11, 2005, Templeton College, Oxford</w:t>
      </w:r>
      <w:r>
        <w:rPr>
          <w:rFonts w:ascii="Times New Roman" w:eastAsia="Times New Roman" w:hAnsi="Times New Roman" w:cs="Times New Roman"/>
          <w:sz w:val="24"/>
          <w:szCs w:val="24"/>
          <w:lang w:val="en-US" w:eastAsia="fr-FR"/>
        </w:rPr>
        <w:t xml:space="preserve"> ;</w:t>
      </w:r>
    </w:p>
    <w:p w:rsidR="00403DD5" w:rsidRPr="009F7E9F" w:rsidRDefault="009F7E9F" w:rsidP="009F7E9F">
      <w:pPr>
        <w:pStyle w:val="Paragraphedeliste"/>
        <w:numPr>
          <w:ilvl w:val="0"/>
          <w:numId w:val="1"/>
        </w:numPr>
        <w:jc w:val="both"/>
        <w:rPr>
          <w:rFonts w:ascii="Times New Roman" w:eastAsia="Times New Roman" w:hAnsi="Times New Roman" w:cs="Times New Roman"/>
          <w:sz w:val="28"/>
          <w:szCs w:val="24"/>
          <w:lang w:val="en-US" w:eastAsia="fr-FR"/>
        </w:rPr>
      </w:pPr>
      <w:r w:rsidRPr="009F7E9F">
        <w:rPr>
          <w:rFonts w:ascii="Times New Roman" w:hAnsi="Times New Roman" w:cs="Times New Roman"/>
          <w:sz w:val="24"/>
          <w:lang w:val="en-US"/>
        </w:rPr>
        <w:t>Stefan Ingves, IMF, From Fixed to Float: Operational Aspects of Moving Toward Exchange Rate Flexibility</w:t>
      </w:r>
      <w:r>
        <w:rPr>
          <w:rFonts w:ascii="Times New Roman" w:hAnsi="Times New Roman" w:cs="Times New Roman"/>
          <w:sz w:val="24"/>
          <w:lang w:val="en-US"/>
        </w:rPr>
        <w:t xml:space="preserve">, </w:t>
      </w:r>
      <w:r w:rsidRPr="009F7E9F">
        <w:rPr>
          <w:rFonts w:ascii="Times New Roman" w:hAnsi="Times New Roman" w:cs="Times New Roman"/>
          <w:sz w:val="24"/>
          <w:lang w:val="en-US"/>
        </w:rPr>
        <w:t>November 19, 2004</w:t>
      </w:r>
      <w:r>
        <w:rPr>
          <w:rFonts w:ascii="Times New Roman" w:hAnsi="Times New Roman" w:cs="Times New Roman"/>
          <w:sz w:val="24"/>
          <w:lang w:val="en-US"/>
        </w:rPr>
        <w:t xml:space="preserve"> ;</w:t>
      </w:r>
    </w:p>
    <w:p w:rsidR="009F7E9F" w:rsidRDefault="009F7E9F" w:rsidP="009F7E9F">
      <w:pPr>
        <w:pStyle w:val="Paragraphedeliste"/>
        <w:numPr>
          <w:ilvl w:val="0"/>
          <w:numId w:val="1"/>
        </w:numPr>
        <w:jc w:val="both"/>
        <w:rPr>
          <w:rFonts w:ascii="Times New Roman" w:eastAsia="Times New Roman" w:hAnsi="Times New Roman" w:cs="Times New Roman"/>
          <w:sz w:val="24"/>
          <w:szCs w:val="24"/>
          <w:lang w:val="en-US" w:eastAsia="fr-FR"/>
        </w:rPr>
      </w:pPr>
      <w:r w:rsidRPr="009F7E9F">
        <w:rPr>
          <w:rFonts w:ascii="Times New Roman" w:eastAsia="Times New Roman" w:hAnsi="Times New Roman" w:cs="Times New Roman"/>
          <w:sz w:val="24"/>
          <w:szCs w:val="24"/>
          <w:lang w:val="en-US" w:eastAsia="fr-FR"/>
        </w:rPr>
        <w:t xml:space="preserve">Rupa Duttagupta, Gilda Fernandez, and Cem Karacadag, IMF Working Paper, From Fixed to Float: Operational Aspects of Moving Toward, Exchange Rate Flexibility, July 2004; </w:t>
      </w:r>
    </w:p>
    <w:p w:rsidR="009F7E9F" w:rsidRDefault="009F7E9F" w:rsidP="009F7E9F">
      <w:pPr>
        <w:pStyle w:val="Paragraphedeliste"/>
        <w:numPr>
          <w:ilvl w:val="0"/>
          <w:numId w:val="1"/>
        </w:numPr>
        <w:jc w:val="both"/>
        <w:rPr>
          <w:rFonts w:ascii="Times New Roman" w:eastAsia="Times New Roman" w:hAnsi="Times New Roman" w:cs="Times New Roman"/>
          <w:sz w:val="24"/>
          <w:szCs w:val="24"/>
          <w:lang w:eastAsia="fr-FR"/>
        </w:rPr>
      </w:pPr>
      <w:r w:rsidRPr="009F7E9F">
        <w:rPr>
          <w:rFonts w:ascii="Times New Roman" w:eastAsia="Times New Roman" w:hAnsi="Times New Roman" w:cs="Times New Roman"/>
          <w:sz w:val="24"/>
          <w:szCs w:val="24"/>
          <w:lang w:eastAsia="fr-FR"/>
        </w:rPr>
        <w:t>M. Aglietta, macroéco</w:t>
      </w:r>
      <w:r w:rsidR="00FA6C25">
        <w:rPr>
          <w:rFonts w:ascii="Times New Roman" w:eastAsia="Times New Roman" w:hAnsi="Times New Roman" w:cs="Times New Roman"/>
          <w:sz w:val="24"/>
          <w:szCs w:val="24"/>
          <w:lang w:eastAsia="fr-FR"/>
        </w:rPr>
        <w:t>nomie financière ;</w:t>
      </w:r>
    </w:p>
    <w:p w:rsidR="00FA6C25" w:rsidRDefault="00FA6C25" w:rsidP="00FA6C25">
      <w:pPr>
        <w:pStyle w:val="Paragraphedeliste"/>
        <w:numPr>
          <w:ilvl w:val="0"/>
          <w:numId w:val="1"/>
        </w:numPr>
        <w:jc w:val="both"/>
        <w:rPr>
          <w:rFonts w:ascii="Times New Roman" w:eastAsia="Times New Roman" w:hAnsi="Times New Roman" w:cs="Times New Roman"/>
          <w:sz w:val="24"/>
          <w:szCs w:val="24"/>
          <w:lang w:val="en-US" w:eastAsia="fr-FR"/>
        </w:rPr>
      </w:pPr>
      <w:r w:rsidRPr="00FA6C25">
        <w:rPr>
          <w:rFonts w:ascii="Times New Roman" w:eastAsia="Times New Roman" w:hAnsi="Times New Roman" w:cs="Times New Roman"/>
          <w:sz w:val="24"/>
          <w:szCs w:val="24"/>
          <w:lang w:val="en-US" w:eastAsia="fr-FR"/>
        </w:rPr>
        <w:t>Bakkou Omar, The Suitable Exchange Rate Regime for the Moroccan Economy, International Journal of Economics and Financial Issues, Vol. 4, No. 3, 2014</w:t>
      </w:r>
      <w:r w:rsidR="00143B09">
        <w:rPr>
          <w:rFonts w:ascii="Times New Roman" w:eastAsia="Times New Roman" w:hAnsi="Times New Roman" w:cs="Times New Roman"/>
          <w:sz w:val="24"/>
          <w:szCs w:val="24"/>
          <w:lang w:val="en-US" w:eastAsia="fr-FR"/>
        </w:rPr>
        <w:t>;</w:t>
      </w:r>
    </w:p>
    <w:p w:rsidR="00143B09" w:rsidRPr="00FA6C25" w:rsidRDefault="00143B09" w:rsidP="00143B09">
      <w:pPr>
        <w:pStyle w:val="Paragraphedeliste"/>
        <w:numPr>
          <w:ilvl w:val="0"/>
          <w:numId w:val="1"/>
        </w:numPr>
        <w:jc w:val="both"/>
        <w:rPr>
          <w:rFonts w:ascii="Times New Roman" w:eastAsia="Times New Roman" w:hAnsi="Times New Roman" w:cs="Times New Roman"/>
          <w:sz w:val="24"/>
          <w:szCs w:val="24"/>
          <w:lang w:val="en-US" w:eastAsia="fr-FR"/>
        </w:rPr>
      </w:pPr>
      <w:r w:rsidRPr="00143B09">
        <w:rPr>
          <w:rFonts w:ascii="Times New Roman" w:eastAsia="Times New Roman" w:hAnsi="Times New Roman" w:cs="Times New Roman"/>
          <w:sz w:val="24"/>
          <w:szCs w:val="24"/>
          <w:lang w:val="en-US" w:eastAsia="fr-FR"/>
        </w:rPr>
        <w:t>The IMF’s approach to Capial Account Liberalization, International Monetary Fund, 2005</w:t>
      </w:r>
      <w:r>
        <w:rPr>
          <w:rFonts w:ascii="Times New Roman" w:eastAsia="Times New Roman" w:hAnsi="Times New Roman" w:cs="Times New Roman"/>
          <w:sz w:val="24"/>
          <w:szCs w:val="24"/>
          <w:lang w:val="en-US" w:eastAsia="fr-FR"/>
        </w:rPr>
        <w:t>.</w:t>
      </w:r>
    </w:p>
    <w:sectPr w:rsidR="00143B09" w:rsidRPr="00FA6C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63" w:rsidRDefault="00005163" w:rsidP="004F3DF4">
      <w:pPr>
        <w:spacing w:after="0" w:line="240" w:lineRule="auto"/>
      </w:pPr>
      <w:r>
        <w:separator/>
      </w:r>
    </w:p>
  </w:endnote>
  <w:endnote w:type="continuationSeparator" w:id="0">
    <w:p w:rsidR="00005163" w:rsidRDefault="00005163" w:rsidP="004F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ara">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63" w:rsidRDefault="00005163" w:rsidP="004F3DF4">
      <w:pPr>
        <w:spacing w:after="0" w:line="240" w:lineRule="auto"/>
      </w:pPr>
      <w:r>
        <w:separator/>
      </w:r>
    </w:p>
  </w:footnote>
  <w:footnote w:type="continuationSeparator" w:id="0">
    <w:p w:rsidR="00005163" w:rsidRDefault="00005163" w:rsidP="004F3DF4">
      <w:pPr>
        <w:spacing w:after="0" w:line="240" w:lineRule="auto"/>
      </w:pPr>
      <w:r>
        <w:continuationSeparator/>
      </w:r>
    </w:p>
  </w:footnote>
  <w:footnote w:id="1">
    <w:p w:rsidR="00B552A8" w:rsidRPr="00F16606" w:rsidRDefault="00B552A8" w:rsidP="00B552A8">
      <w:pPr>
        <w:pStyle w:val="Notedebasdepage"/>
        <w:rPr>
          <w:rFonts w:ascii="Garamond" w:hAnsi="Garamond"/>
        </w:rPr>
      </w:pPr>
      <w:r w:rsidRPr="002E2750">
        <w:rPr>
          <w:rStyle w:val="Appelnotedebasdep"/>
          <w:rFonts w:ascii="Garamond" w:hAnsi="Garamond"/>
        </w:rPr>
        <w:footnoteRef/>
      </w:r>
      <w:r w:rsidRPr="00F16606">
        <w:rPr>
          <w:rFonts w:ascii="Garamond" w:hAnsi="Garamond"/>
        </w:rPr>
        <w:t xml:space="preserve"> BAKKOU@oc.gov.ma</w:t>
      </w:r>
    </w:p>
  </w:footnote>
  <w:footnote w:id="2">
    <w:p w:rsidR="00D2220D" w:rsidRPr="00F16606" w:rsidRDefault="00D2220D">
      <w:pPr>
        <w:pStyle w:val="Notedebasdepage"/>
        <w:rPr>
          <w:lang w:val="en-US"/>
        </w:rPr>
      </w:pPr>
      <w:r>
        <w:rPr>
          <w:rStyle w:val="Appelnotedebasdep"/>
        </w:rPr>
        <w:footnoteRef/>
      </w:r>
      <w:r w:rsidRPr="00D2220D">
        <w:t xml:space="preserve"> Atish R. Ghosh et Jonathan D. Ostry, Le choix du régime de change Nouveau</w:t>
      </w:r>
      <w:r>
        <w:t>,</w:t>
      </w:r>
      <w:r w:rsidRPr="00D2220D">
        <w:t xml:space="preserve"> regard sur une vieille question : faut-il choisir un régime fixe ou flottant ou une solution intermédiaire? </w:t>
      </w:r>
      <w:r w:rsidRPr="00F16606">
        <w:rPr>
          <w:lang w:val="en-US"/>
        </w:rPr>
        <w:t>Finances &amp; Développement Décembre 2009, page 38.</w:t>
      </w:r>
    </w:p>
  </w:footnote>
  <w:footnote w:id="3">
    <w:p w:rsidR="00D2220D" w:rsidRPr="00D2220D" w:rsidRDefault="00D2220D">
      <w:pPr>
        <w:pStyle w:val="Notedebasdepage"/>
        <w:rPr>
          <w:lang w:val="en-US"/>
        </w:rPr>
      </w:pPr>
      <w:r>
        <w:rPr>
          <w:rStyle w:val="Appelnotedebasdep"/>
        </w:rPr>
        <w:footnoteRef/>
      </w:r>
      <w:r w:rsidRPr="00D2220D">
        <w:rPr>
          <w:lang w:val="en-US"/>
        </w:rPr>
        <w:t xml:space="preserve"> Fahrettin Yagci, Choice </w:t>
      </w:r>
      <w:r w:rsidR="0033380C" w:rsidRPr="00D2220D">
        <w:rPr>
          <w:lang w:val="en-US"/>
        </w:rPr>
        <w:t>of Exchange Rate Regimes for</w:t>
      </w:r>
      <w:r w:rsidRPr="00D2220D">
        <w:rPr>
          <w:lang w:val="en-US"/>
        </w:rPr>
        <w:t xml:space="preserve"> Developing Countries, Africa Region Working Paper Series No.16 April 2001, page16.</w:t>
      </w:r>
    </w:p>
  </w:footnote>
  <w:footnote w:id="4">
    <w:p w:rsidR="0033380C" w:rsidRPr="0033380C" w:rsidRDefault="0033380C">
      <w:pPr>
        <w:pStyle w:val="Notedebasdepage"/>
        <w:rPr>
          <w:lang w:val="en-US"/>
        </w:rPr>
      </w:pPr>
      <w:r>
        <w:rPr>
          <w:rStyle w:val="Appelnotedebasdep"/>
        </w:rPr>
        <w:footnoteRef/>
      </w:r>
      <w:r w:rsidRPr="0033380C">
        <w:rPr>
          <w:lang w:val="en-US"/>
        </w:rPr>
        <w:t xml:space="preserve"> Barry Eichengreen, China.s Exchange Rate Regime: The Long and Short of It,University of California Berkeley,March 23, 2006,page 9.</w:t>
      </w:r>
    </w:p>
  </w:footnote>
  <w:footnote w:id="5">
    <w:p w:rsidR="0033380C" w:rsidRPr="0033380C" w:rsidRDefault="0033380C">
      <w:pPr>
        <w:pStyle w:val="Notedebasdepage"/>
        <w:rPr>
          <w:lang w:val="en-US"/>
        </w:rPr>
      </w:pPr>
      <w:r>
        <w:rPr>
          <w:rStyle w:val="Appelnotedebasdep"/>
        </w:rPr>
        <w:footnoteRef/>
      </w:r>
      <w:r w:rsidRPr="0033380C">
        <w:rPr>
          <w:lang w:val="en-US"/>
        </w:rPr>
        <w:t xml:space="preserve"> Benu Shneider , Issues in capital Account Convertibility in Developing Countries, Overseas Developement Institute, Portland House , Stag Place, London , June 2000, page , page 33-34</w:t>
      </w:r>
    </w:p>
  </w:footnote>
  <w:footnote w:id="6">
    <w:p w:rsidR="0033380C" w:rsidRPr="0033380C" w:rsidRDefault="0033380C">
      <w:pPr>
        <w:pStyle w:val="Notedebasdepage"/>
        <w:rPr>
          <w:lang w:val="en-US"/>
        </w:rPr>
      </w:pPr>
      <w:r>
        <w:rPr>
          <w:rStyle w:val="Appelnotedebasdep"/>
        </w:rPr>
        <w:footnoteRef/>
      </w:r>
      <w:r w:rsidRPr="0033380C">
        <w:rPr>
          <w:lang w:val="en-US"/>
        </w:rPr>
        <w:t xml:space="preserve"> </w:t>
      </w:r>
      <w:r>
        <w:rPr>
          <w:lang w:val="en-US"/>
        </w:rPr>
        <w:t>C</w:t>
      </w:r>
      <w:r w:rsidRPr="0033380C">
        <w:rPr>
          <w:lang w:val="en-US"/>
        </w:rPr>
        <w:t>apital bank</w:t>
      </w:r>
      <w:r>
        <w:rPr>
          <w:lang w:val="en-US"/>
        </w:rPr>
        <w:t>s flow</w:t>
      </w:r>
      <w:r w:rsidRPr="0033380C">
        <w:rPr>
          <w:lang w:val="en-US"/>
        </w:rPr>
        <w:t xml:space="preserve"> in the short term, however, not covered with maintenance of </w:t>
      </w:r>
      <w:r>
        <w:rPr>
          <w:lang w:val="en-US"/>
        </w:rPr>
        <w:t xml:space="preserve">the </w:t>
      </w:r>
      <w:r w:rsidRPr="0033380C">
        <w:rPr>
          <w:lang w:val="en-US"/>
        </w:rPr>
        <w:t>controls</w:t>
      </w:r>
      <w:r>
        <w:rPr>
          <w:lang w:val="en-US"/>
        </w:rPr>
        <w:t xml:space="preserve"> of non</w:t>
      </w:r>
      <w:r w:rsidRPr="0033380C">
        <w:rPr>
          <w:lang w:val="en-US"/>
        </w:rPr>
        <w:t>-residents financial operations</w:t>
      </w:r>
      <w:r>
        <w:rPr>
          <w:lang w:val="en-US"/>
        </w:rPr>
        <w:t xml:space="preserve"> </w:t>
      </w:r>
      <w:r w:rsidRPr="0033380C">
        <w:rPr>
          <w:lang w:val="en-US"/>
        </w:rPr>
        <w:t>(Indonesia liberalized those of residents) who fueled a speculative bubble in the financial an</w:t>
      </w:r>
      <w:r>
        <w:rPr>
          <w:lang w:val="en-US"/>
        </w:rPr>
        <w:t>d real estate assets and reverse</w:t>
      </w:r>
      <w:r w:rsidRPr="0033380C">
        <w:rPr>
          <w:lang w:val="en-US"/>
        </w:rPr>
        <w:t xml:space="preserve"> of the trend, including repayment of private loans from banks and declining foreign exchange reserves that caused the currency crisis of 1997)</w:t>
      </w:r>
      <w:r>
        <w:rPr>
          <w:lang w:val="en-US"/>
        </w:rPr>
        <w:t>.</w:t>
      </w:r>
    </w:p>
  </w:footnote>
  <w:footnote w:id="7">
    <w:p w:rsidR="0033380C" w:rsidRPr="0033380C" w:rsidRDefault="0033380C" w:rsidP="0033380C">
      <w:pPr>
        <w:pStyle w:val="PrformatHTML"/>
        <w:shd w:val="clear" w:color="auto" w:fill="FFFFFF"/>
        <w:rPr>
          <w:rFonts w:ascii="inherit" w:hAnsi="inherit"/>
          <w:color w:val="212121"/>
          <w:lang w:val="en-US"/>
        </w:rPr>
      </w:pPr>
      <w:r>
        <w:rPr>
          <w:rStyle w:val="Appelnotedebasdep"/>
        </w:rPr>
        <w:footnoteRef/>
      </w:r>
      <w:r>
        <w:rPr>
          <w:lang w:val="en-US"/>
        </w:rPr>
        <w:t xml:space="preserve"> I</w:t>
      </w:r>
      <w:r w:rsidRPr="0033380C">
        <w:rPr>
          <w:rFonts w:ascii="inherit" w:hAnsi="inherit"/>
          <w:color w:val="212121"/>
          <w:lang w:val="en-US"/>
        </w:rPr>
        <w:t>ncrease in the current account deficit and declining level of savings that generated large deficits during the period extending from 1989 to 1993</w:t>
      </w:r>
      <w:r>
        <w:rPr>
          <w:rFonts w:ascii="inherit" w:hAnsi="inherit"/>
          <w:color w:val="212121"/>
          <w:lang w:val="en-US"/>
        </w:rPr>
        <w:t>.</w:t>
      </w:r>
    </w:p>
  </w:footnote>
  <w:footnote w:id="8">
    <w:p w:rsidR="0033380C" w:rsidRPr="0033380C" w:rsidRDefault="0033380C">
      <w:pPr>
        <w:pStyle w:val="Notedebasdepage"/>
        <w:rPr>
          <w:lang w:val="en-US"/>
        </w:rPr>
      </w:pPr>
      <w:r>
        <w:rPr>
          <w:rStyle w:val="Appelnotedebasdep"/>
        </w:rPr>
        <w:footnoteRef/>
      </w:r>
      <w:r w:rsidRPr="0033380C">
        <w:rPr>
          <w:lang w:val="en-US"/>
        </w:rPr>
        <w:t xml:space="preserve"> Barry Bosworth, Managing Capital Inflows: What Have We Learned, Emerging Markets Forum:</w:t>
      </w:r>
      <w:r>
        <w:rPr>
          <w:lang w:val="en-US"/>
        </w:rPr>
        <w:t xml:space="preserve"> </w:t>
      </w:r>
      <w:r w:rsidRPr="0033380C">
        <w:rPr>
          <w:lang w:val="en-US"/>
        </w:rPr>
        <w:t>International Capital Flows, Domestic Capital Markets, Growth and Development in Emerging Market Countries,</w:t>
      </w:r>
      <w:r w:rsidR="00FA6C25">
        <w:rPr>
          <w:lang w:val="en-US"/>
        </w:rPr>
        <w:t xml:space="preserve"> </w:t>
      </w:r>
      <w:r w:rsidRPr="0033380C">
        <w:rPr>
          <w:lang w:val="en-US"/>
        </w:rPr>
        <w:t>December 9-11, 2005, Templeton College, Oxford, page 13.</w:t>
      </w:r>
    </w:p>
  </w:footnote>
  <w:footnote w:id="9">
    <w:p w:rsidR="00574E9D" w:rsidRPr="00574E9D" w:rsidRDefault="00574E9D">
      <w:pPr>
        <w:pStyle w:val="Notedebasdepage"/>
        <w:rPr>
          <w:lang w:val="en-US"/>
        </w:rPr>
      </w:pPr>
      <w:r>
        <w:rPr>
          <w:rStyle w:val="Appelnotedebasdep"/>
        </w:rPr>
        <w:footnoteRef/>
      </w:r>
      <w:r w:rsidRPr="00574E9D">
        <w:rPr>
          <w:lang w:val="en-US"/>
        </w:rPr>
        <w:t xml:space="preserve"> </w:t>
      </w:r>
      <w:r w:rsidR="00143B09" w:rsidRPr="00143B09">
        <w:rPr>
          <w:lang w:val="en-US"/>
        </w:rPr>
        <w:t>The IMF’s approach to Capial Account Liberalization, International Monetary Fund, 2005, page 97.</w:t>
      </w:r>
    </w:p>
  </w:footnote>
  <w:footnote w:id="10">
    <w:p w:rsidR="00DA4334" w:rsidRPr="00DA4334" w:rsidRDefault="00DA4334" w:rsidP="00DA4334">
      <w:pPr>
        <w:pStyle w:val="Notedebasdepage"/>
        <w:jc w:val="both"/>
        <w:rPr>
          <w:lang w:val="en-US"/>
        </w:rPr>
      </w:pPr>
      <w:r>
        <w:rPr>
          <w:rStyle w:val="Appelnotedebasdep"/>
        </w:rPr>
        <w:footnoteRef/>
      </w:r>
      <w:r w:rsidRPr="00DA4334">
        <w:rPr>
          <w:lang w:val="en-US"/>
        </w:rPr>
        <w:t xml:space="preserve"> </w:t>
      </w:r>
      <w:r w:rsidR="0026008D">
        <w:rPr>
          <w:lang w:val="en-US"/>
        </w:rPr>
        <w:t>Bakkou O</w:t>
      </w:r>
      <w:r w:rsidRPr="00DA4334">
        <w:rPr>
          <w:lang w:val="en-US"/>
        </w:rPr>
        <w:t xml:space="preserve">mar, The Suitable Exchange Rate </w:t>
      </w:r>
      <w:r>
        <w:rPr>
          <w:lang w:val="en-US"/>
        </w:rPr>
        <w:t>Regime for the Moroccan Economy</w:t>
      </w:r>
      <w:r w:rsidRPr="00DA4334">
        <w:rPr>
          <w:lang w:val="en-US"/>
        </w:rPr>
        <w:t>, International Journal of Economics and Financial Issues,</w:t>
      </w:r>
      <w:r>
        <w:rPr>
          <w:lang w:val="en-US"/>
        </w:rPr>
        <w:t xml:space="preserve"> </w:t>
      </w:r>
      <w:r w:rsidRPr="00DA4334">
        <w:rPr>
          <w:lang w:val="en-US"/>
        </w:rPr>
        <w:t>Vol. 4, No. 3, 2014,</w:t>
      </w:r>
      <w:r w:rsidR="0026008D">
        <w:rPr>
          <w:lang w:val="en-US"/>
        </w:rPr>
        <w:t xml:space="preserve"> </w:t>
      </w:r>
      <w:r w:rsidRPr="00DA4334">
        <w:rPr>
          <w:lang w:val="en-US"/>
        </w:rPr>
        <w:t>page 620-621.</w:t>
      </w:r>
    </w:p>
  </w:footnote>
  <w:footnote w:id="11">
    <w:p w:rsidR="00707001" w:rsidRPr="00707001" w:rsidRDefault="00707001">
      <w:pPr>
        <w:pStyle w:val="Notedebasdepage"/>
        <w:rPr>
          <w:lang w:val="en-US"/>
        </w:rPr>
      </w:pPr>
      <w:r>
        <w:rPr>
          <w:rStyle w:val="Appelnotedebasdep"/>
        </w:rPr>
        <w:footnoteRef/>
      </w:r>
      <w:r w:rsidRPr="00707001">
        <w:rPr>
          <w:lang w:val="en-US"/>
        </w:rPr>
        <w:t xml:space="preserve"> These factors mainly include the size of the economy (GDP, population etc ...) and the degree of diversification</w:t>
      </w:r>
      <w:r>
        <w:rPr>
          <w:lang w:val="en-US"/>
        </w:rPr>
        <w:t>.</w:t>
      </w:r>
    </w:p>
  </w:footnote>
  <w:footnote w:id="12">
    <w:p w:rsidR="00707001" w:rsidRPr="004E0389" w:rsidRDefault="00707001" w:rsidP="009F7E9F">
      <w:pPr>
        <w:pStyle w:val="Notedebasdepage"/>
        <w:rPr>
          <w:lang w:val="en-US"/>
        </w:rPr>
      </w:pPr>
      <w:r>
        <w:rPr>
          <w:rStyle w:val="Appelnotedebasdep"/>
        </w:rPr>
        <w:footnoteRef/>
      </w:r>
      <w:r w:rsidRPr="004E0389">
        <w:rPr>
          <w:lang w:val="en-US"/>
        </w:rPr>
        <w:t xml:space="preserve"> Stefan Ingves,</w:t>
      </w:r>
      <w:r w:rsidR="004E0389" w:rsidRPr="004E0389">
        <w:rPr>
          <w:lang w:val="en-US"/>
        </w:rPr>
        <w:t xml:space="preserve"> </w:t>
      </w:r>
      <w:r w:rsidR="009F7E9F" w:rsidRPr="009F7E9F">
        <w:rPr>
          <w:lang w:val="en-US"/>
        </w:rPr>
        <w:t>IMF</w:t>
      </w:r>
      <w:r w:rsidR="009F7E9F">
        <w:rPr>
          <w:lang w:val="en-US"/>
        </w:rPr>
        <w:t xml:space="preserve">, </w:t>
      </w:r>
      <w:r w:rsidR="009F7E9F" w:rsidRPr="009F7E9F">
        <w:rPr>
          <w:lang w:val="en-US"/>
        </w:rPr>
        <w:t>From Fixed to Float:</w:t>
      </w:r>
      <w:r w:rsidR="009F7E9F">
        <w:rPr>
          <w:lang w:val="en-US"/>
        </w:rPr>
        <w:t xml:space="preserve"> </w:t>
      </w:r>
      <w:r w:rsidR="009F7E9F" w:rsidRPr="009F7E9F">
        <w:rPr>
          <w:lang w:val="en-US"/>
        </w:rPr>
        <w:t xml:space="preserve">Operational Aspects of Moving Toward Exchange Rate Flexibility </w:t>
      </w:r>
      <w:r w:rsidR="004E0389" w:rsidRPr="004E0389">
        <w:rPr>
          <w:lang w:val="en-US"/>
        </w:rPr>
        <w:t>previously cited</w:t>
      </w:r>
      <w:r w:rsidRPr="004E0389">
        <w:rPr>
          <w:lang w:val="en-US"/>
        </w:rPr>
        <w:t>, page 9</w:t>
      </w:r>
      <w:r w:rsidR="004E0389" w:rsidRPr="004E0389">
        <w:rPr>
          <w:lang w:val="en-US"/>
        </w:rPr>
        <w:t>.</w:t>
      </w:r>
    </w:p>
  </w:footnote>
  <w:footnote w:id="13">
    <w:p w:rsidR="00A10C82" w:rsidRPr="004E0389" w:rsidRDefault="00A10C82">
      <w:pPr>
        <w:pStyle w:val="Notedebasdepage"/>
        <w:rPr>
          <w:lang w:val="en-US"/>
        </w:rPr>
      </w:pPr>
      <w:r>
        <w:rPr>
          <w:rStyle w:val="Appelnotedebasdep"/>
        </w:rPr>
        <w:footnoteRef/>
      </w:r>
      <w:r w:rsidRPr="004E0389">
        <w:rPr>
          <w:lang w:val="en-US"/>
        </w:rPr>
        <w:t xml:space="preserve"> </w:t>
      </w:r>
      <w:r w:rsidR="009F7E9F" w:rsidRPr="009F7E9F">
        <w:rPr>
          <w:lang w:val="en-US"/>
        </w:rPr>
        <w:t>Rupa Duttagupta, Gilda Fernandez, and Cem Karacadag, IMF Working Paper, From Fixed to Float: Operational Aspects of Moving Toward, Exchange Rate Flexibility, July 2004;</w:t>
      </w:r>
    </w:p>
  </w:footnote>
  <w:footnote w:id="14">
    <w:p w:rsidR="004E0389" w:rsidRPr="004E0389" w:rsidRDefault="004E0389">
      <w:pPr>
        <w:pStyle w:val="Notedebasdepage"/>
        <w:rPr>
          <w:lang w:val="en-US"/>
        </w:rPr>
      </w:pPr>
      <w:r>
        <w:rPr>
          <w:rStyle w:val="Appelnotedebasdep"/>
        </w:rPr>
        <w:footnoteRef/>
      </w:r>
      <w:r w:rsidRPr="004E0389">
        <w:rPr>
          <w:lang w:val="en-US"/>
        </w:rPr>
        <w:t xml:space="preserve"> S.Ingves, previously cited, page 9.</w:t>
      </w:r>
    </w:p>
  </w:footnote>
  <w:footnote w:id="15">
    <w:p w:rsidR="00B242CD" w:rsidRPr="00B242CD" w:rsidRDefault="00B242CD">
      <w:pPr>
        <w:pStyle w:val="Notedebasdepage"/>
        <w:rPr>
          <w:lang w:val="en-US"/>
        </w:rPr>
      </w:pPr>
      <w:r>
        <w:rPr>
          <w:rStyle w:val="Appelnotedebasdep"/>
        </w:rPr>
        <w:footnoteRef/>
      </w:r>
      <w:r w:rsidRPr="00B242CD">
        <w:rPr>
          <w:lang w:val="en-US"/>
        </w:rPr>
        <w:t xml:space="preserve"> </w:t>
      </w:r>
      <w:r w:rsidRPr="004E0389">
        <w:rPr>
          <w:lang w:val="en-US"/>
        </w:rPr>
        <w:t>S.Ingves, previously cited, page 9.</w:t>
      </w:r>
    </w:p>
  </w:footnote>
  <w:footnote w:id="16">
    <w:p w:rsidR="00B242CD" w:rsidRPr="00B242CD" w:rsidRDefault="00B242CD">
      <w:pPr>
        <w:pStyle w:val="Notedebasdepage"/>
        <w:rPr>
          <w:lang w:val="en-US"/>
        </w:rPr>
      </w:pPr>
      <w:r>
        <w:rPr>
          <w:rStyle w:val="Appelnotedebasdep"/>
        </w:rPr>
        <w:footnoteRef/>
      </w:r>
      <w:r w:rsidRPr="00B242CD">
        <w:rPr>
          <w:lang w:val="en-US"/>
        </w:rPr>
        <w:t xml:space="preserve"> </w:t>
      </w:r>
      <w:r w:rsidRPr="004E0389">
        <w:rPr>
          <w:lang w:val="en-US"/>
        </w:rPr>
        <w:t>S.Ingves, previously cited, page 9.</w:t>
      </w:r>
      <w:r>
        <w:rPr>
          <w:lang w:val="en-US"/>
        </w:rPr>
        <w:t xml:space="preserve"> </w:t>
      </w:r>
    </w:p>
  </w:footnote>
  <w:footnote w:id="17">
    <w:p w:rsidR="00B242CD" w:rsidRPr="00B242CD" w:rsidRDefault="00B242CD">
      <w:pPr>
        <w:pStyle w:val="Notedebasdepage"/>
        <w:rPr>
          <w:lang w:val="en-US"/>
        </w:rPr>
      </w:pPr>
      <w:r>
        <w:rPr>
          <w:rStyle w:val="Appelnotedebasdep"/>
        </w:rPr>
        <w:footnoteRef/>
      </w:r>
      <w:r w:rsidRPr="00B242CD">
        <w:rPr>
          <w:lang w:val="en-US"/>
        </w:rPr>
        <w:t xml:space="preserve"> </w:t>
      </w:r>
      <w:r w:rsidRPr="004E0389">
        <w:rPr>
          <w:lang w:val="en-US"/>
        </w:rPr>
        <w:t>S.Ingves, previously cited, page 9.</w:t>
      </w:r>
    </w:p>
  </w:footnote>
  <w:footnote w:id="18">
    <w:p w:rsidR="00B242CD" w:rsidRPr="00B242CD" w:rsidRDefault="00B242CD">
      <w:pPr>
        <w:pStyle w:val="Notedebasdepage"/>
        <w:rPr>
          <w:lang w:val="en-US"/>
        </w:rPr>
      </w:pPr>
      <w:r>
        <w:rPr>
          <w:rStyle w:val="Appelnotedebasdep"/>
        </w:rPr>
        <w:footnoteRef/>
      </w:r>
      <w:r w:rsidRPr="00B242CD">
        <w:rPr>
          <w:lang w:val="en-US"/>
        </w:rPr>
        <w:t xml:space="preserve"> </w:t>
      </w:r>
      <w:r w:rsidRPr="004E0389">
        <w:rPr>
          <w:lang w:val="en-US"/>
        </w:rPr>
        <w:t>S.Ingves, previously cited, page 9.</w:t>
      </w:r>
    </w:p>
  </w:footnote>
  <w:footnote w:id="19">
    <w:p w:rsidR="004F3DF4" w:rsidRDefault="004F3DF4">
      <w:pPr>
        <w:pStyle w:val="Notedebasdepage"/>
      </w:pPr>
      <w:r>
        <w:rPr>
          <w:rStyle w:val="Appelnotedebasdep"/>
        </w:rPr>
        <w:footnoteRef/>
      </w:r>
      <w:r>
        <w:t xml:space="preserve"> </w:t>
      </w:r>
      <w:r w:rsidRPr="00707001">
        <w:t>M. Aglietta, macroéconomie financière, édition  page 41.</w:t>
      </w:r>
    </w:p>
  </w:footnote>
  <w:footnote w:id="20">
    <w:p w:rsidR="00A700CC" w:rsidRPr="00406E54" w:rsidRDefault="00A700CC" w:rsidP="00406E54">
      <w:pPr>
        <w:pStyle w:val="PrformatHTML"/>
        <w:shd w:val="clear" w:color="auto" w:fill="FFFFFF"/>
        <w:rPr>
          <w:rFonts w:ascii="inherit" w:hAnsi="inherit"/>
          <w:color w:val="212121"/>
          <w:lang w:val="en-US"/>
        </w:rPr>
      </w:pPr>
      <w:r>
        <w:rPr>
          <w:rStyle w:val="Appelnotedebasdep"/>
        </w:rPr>
        <w:footnoteRef/>
      </w:r>
      <w:r w:rsidRPr="00A700CC">
        <w:rPr>
          <w:lang w:val="en-US"/>
        </w:rPr>
        <w:t xml:space="preserve"> </w:t>
      </w:r>
      <w:r w:rsidRPr="00A700CC">
        <w:rPr>
          <w:rFonts w:ascii="inherit" w:hAnsi="inherit"/>
          <w:color w:val="212121"/>
          <w:lang w:val="en-US"/>
        </w:rPr>
        <w:t>See</w:t>
      </w:r>
      <w:r>
        <w:rPr>
          <w:rFonts w:ascii="inherit" w:hAnsi="inherit"/>
          <w:color w:val="212121"/>
          <w:lang w:val="en-US"/>
        </w:rPr>
        <w:t xml:space="preserve"> Annex n°.. </w:t>
      </w:r>
      <w:r w:rsidRPr="00A700CC">
        <w:rPr>
          <w:rFonts w:ascii="inherit" w:hAnsi="inherit"/>
          <w:color w:val="212121"/>
          <w:lang w:val="en-US"/>
        </w:rPr>
        <w:t xml:space="preserve"> link between GDP per capita and exchange controls.</w:t>
      </w:r>
    </w:p>
  </w:footnote>
  <w:footnote w:id="21">
    <w:p w:rsidR="00406E54" w:rsidRPr="00406E54" w:rsidRDefault="00406E54" w:rsidP="00406E54">
      <w:pPr>
        <w:pStyle w:val="PrformatHTML"/>
        <w:shd w:val="clear" w:color="auto" w:fill="FFFFFF"/>
        <w:rPr>
          <w:rFonts w:ascii="inherit" w:hAnsi="inherit"/>
          <w:color w:val="212121"/>
          <w:lang w:val="en-US"/>
        </w:rPr>
      </w:pPr>
      <w:r>
        <w:rPr>
          <w:rStyle w:val="Appelnotedebasdep"/>
        </w:rPr>
        <w:footnoteRef/>
      </w:r>
      <w:r w:rsidRPr="00406E54">
        <w:rPr>
          <w:lang w:val="en-US"/>
        </w:rPr>
        <w:t xml:space="preserve"> </w:t>
      </w:r>
      <w:r w:rsidRPr="00406E54">
        <w:rPr>
          <w:rFonts w:ascii="inherit" w:hAnsi="inherit"/>
          <w:color w:val="212121"/>
          <w:lang w:val="en-US"/>
        </w:rPr>
        <w:t xml:space="preserve">The </w:t>
      </w:r>
      <w:r>
        <w:rPr>
          <w:rFonts w:ascii="inherit" w:hAnsi="inherit"/>
          <w:color w:val="212121"/>
          <w:lang w:val="en-US"/>
        </w:rPr>
        <w:t>regulations</w:t>
      </w:r>
      <w:r w:rsidRPr="00406E54">
        <w:rPr>
          <w:rFonts w:ascii="inherit" w:hAnsi="inherit"/>
          <w:color w:val="212121"/>
          <w:lang w:val="en-US"/>
        </w:rPr>
        <w:t xml:space="preserve"> relating to the surrender requirement obligation by key operators of the exchange market i</w:t>
      </w:r>
      <w:r>
        <w:rPr>
          <w:rFonts w:ascii="inherit" w:hAnsi="inherit"/>
          <w:color w:val="212121"/>
          <w:lang w:val="en-US"/>
        </w:rPr>
        <w:t>.</w:t>
      </w:r>
      <w:r w:rsidRPr="00406E54">
        <w:rPr>
          <w:rFonts w:ascii="inherit" w:hAnsi="inherit"/>
          <w:color w:val="212121"/>
          <w:lang w:val="en-US"/>
        </w:rPr>
        <w:t>e banking organizations can be approached through two exchange measures namely whether to allow opening of foreign currency accounts</w:t>
      </w:r>
      <w:r>
        <w:rPr>
          <w:rFonts w:ascii="inherit" w:hAnsi="inherit"/>
          <w:color w:val="212121"/>
          <w:lang w:val="en-US"/>
        </w:rPr>
        <w:t xml:space="preserve"> by residents and non-residents</w:t>
      </w:r>
      <w:r w:rsidRPr="00406E54">
        <w:rPr>
          <w:rFonts w:ascii="inherit" w:hAnsi="inherit"/>
          <w:color w:val="212121"/>
          <w:lang w:val="en-US"/>
        </w:rPr>
        <w:t>, as well as the degree of width " fork" of the potential beneficiaries operator</w:t>
      </w:r>
      <w:r w:rsidR="009F7E9F">
        <w:rPr>
          <w:rFonts w:ascii="inherit" w:hAnsi="inherit"/>
          <w:color w:val="212121"/>
          <w:lang w:val="en-US"/>
        </w:rPr>
        <w:t>s of the measure and percentage</w:t>
      </w:r>
      <w:r w:rsidRPr="00406E54">
        <w:rPr>
          <w:rFonts w:ascii="inherit" w:hAnsi="inherit"/>
          <w:color w:val="212121"/>
          <w:lang w:val="en-US"/>
        </w:rPr>
        <w:t>), the share of foreign currency that can be maintained in such accounts</w:t>
      </w:r>
      <w:r>
        <w:rPr>
          <w:rFonts w:ascii="inherit" w:hAnsi="inherit"/>
          <w:color w:val="212121"/>
          <w:lang w:val="en-US"/>
        </w:rPr>
        <w:t>.</w:t>
      </w:r>
    </w:p>
    <w:p w:rsidR="00406E54" w:rsidRPr="00406E54" w:rsidRDefault="00406E54">
      <w:pPr>
        <w:pStyle w:val="Notedebasdepage"/>
        <w:rPr>
          <w:lang w:val="en-US"/>
        </w:rPr>
      </w:pPr>
    </w:p>
  </w:footnote>
  <w:footnote w:id="22">
    <w:p w:rsidR="00C93073" w:rsidRPr="00DE7707" w:rsidRDefault="00C93073" w:rsidP="00DE7707">
      <w:pPr>
        <w:pStyle w:val="Notedebasdepage"/>
        <w:jc w:val="both"/>
        <w:rPr>
          <w:lang w:val="en-US"/>
        </w:rPr>
      </w:pPr>
      <w:r>
        <w:rPr>
          <w:rStyle w:val="Appelnotedebasdep"/>
        </w:rPr>
        <w:footnoteRef/>
      </w:r>
      <w:r w:rsidRPr="00DE7707">
        <w:rPr>
          <w:lang w:val="en-US"/>
        </w:rPr>
        <w:t xml:space="preserve"> Trade credit can be granted exclusively to non-resident companies operating in Tunisia through foreign currency sources at their disposal or procured on the interbank foreign exchange market or outside of these resources by businesses services established in Tunisia.</w:t>
      </w:r>
    </w:p>
  </w:footnote>
  <w:footnote w:id="23">
    <w:p w:rsidR="00DE7707" w:rsidRPr="00DE7707" w:rsidRDefault="00DE7707">
      <w:pPr>
        <w:pStyle w:val="Notedebasdepage"/>
        <w:rPr>
          <w:lang w:val="en-US"/>
        </w:rPr>
      </w:pPr>
      <w:r>
        <w:rPr>
          <w:rStyle w:val="Appelnotedebasdep"/>
        </w:rPr>
        <w:footnoteRef/>
      </w:r>
      <w:r w:rsidRPr="00DE7707">
        <w:rPr>
          <w:lang w:val="en-US"/>
        </w:rPr>
        <w:t xml:space="preserve"> The repayment of these loans should be done by attracting foreign </w:t>
      </w:r>
      <w:r>
        <w:rPr>
          <w:lang w:val="en-US"/>
        </w:rPr>
        <w:t xml:space="preserve">currencies </w:t>
      </w:r>
      <w:r w:rsidRPr="00DE7707">
        <w:rPr>
          <w:lang w:val="en-US"/>
        </w:rPr>
        <w:t xml:space="preserve">or an account in </w:t>
      </w:r>
      <w:r>
        <w:rPr>
          <w:lang w:val="en-US"/>
        </w:rPr>
        <w:t xml:space="preserve">convertibles </w:t>
      </w:r>
      <w:r w:rsidRPr="00DE7707">
        <w:rPr>
          <w:lang w:val="en-US"/>
        </w:rPr>
        <w:t>dirhams</w:t>
      </w:r>
      <w:r>
        <w:rPr>
          <w:lang w:val="en-US"/>
        </w:rPr>
        <w:t>.</w:t>
      </w:r>
    </w:p>
  </w:footnote>
  <w:footnote w:id="24">
    <w:p w:rsidR="00113714" w:rsidRPr="00113714" w:rsidRDefault="00113714" w:rsidP="009F7E9F">
      <w:pPr>
        <w:pStyle w:val="Notedebasdepage"/>
        <w:jc w:val="both"/>
        <w:rPr>
          <w:lang w:val="en-US"/>
        </w:rPr>
      </w:pPr>
      <w:r>
        <w:rPr>
          <w:rStyle w:val="Appelnotedebasdep"/>
        </w:rPr>
        <w:footnoteRef/>
      </w:r>
      <w:r w:rsidRPr="00113714">
        <w:rPr>
          <w:lang w:val="en-US"/>
        </w:rPr>
        <w:t xml:space="preserve"> With the exception of the following:</w:t>
      </w:r>
    </w:p>
    <w:p w:rsidR="00113714" w:rsidRPr="00113714" w:rsidRDefault="00113714" w:rsidP="009F7E9F">
      <w:pPr>
        <w:pStyle w:val="Notedebasdepage"/>
        <w:jc w:val="both"/>
        <w:rPr>
          <w:lang w:val="en-US"/>
        </w:rPr>
      </w:pPr>
      <w:r>
        <w:rPr>
          <w:lang w:val="en-US"/>
        </w:rPr>
        <w:t>The financial loans to non</w:t>
      </w:r>
      <w:r w:rsidRPr="00113714">
        <w:rPr>
          <w:lang w:val="en-US"/>
        </w:rPr>
        <w:t>-residents in order to finance direct investments in the country.</w:t>
      </w:r>
    </w:p>
    <w:p w:rsidR="00113714" w:rsidRPr="00113714" w:rsidRDefault="00113714" w:rsidP="009F7E9F">
      <w:pPr>
        <w:pStyle w:val="Notedebasdepage"/>
        <w:jc w:val="both"/>
        <w:rPr>
          <w:lang w:val="en-US"/>
        </w:rPr>
      </w:pPr>
      <w:r w:rsidRPr="00113714">
        <w:rPr>
          <w:lang w:val="en-US"/>
        </w:rPr>
        <w:t>those which may be granted by any resident entity to a non-resident individual in the limit of an annual maximum amount of 1 million Rand and Indonesia</w:t>
      </w:r>
    </w:p>
  </w:footnote>
  <w:footnote w:id="25">
    <w:p w:rsidR="000E16D7" w:rsidRPr="000E16D7" w:rsidRDefault="000E16D7" w:rsidP="000E16D7">
      <w:pPr>
        <w:pStyle w:val="Notedebasdepage"/>
        <w:jc w:val="both"/>
        <w:rPr>
          <w:lang w:val="en-US"/>
        </w:rPr>
      </w:pPr>
      <w:r>
        <w:rPr>
          <w:rStyle w:val="Appelnotedebasdep"/>
        </w:rPr>
        <w:footnoteRef/>
      </w:r>
      <w:r w:rsidRPr="000E16D7">
        <w:rPr>
          <w:lang w:val="en-US"/>
        </w:rPr>
        <w:t xml:space="preserve"> Remittance of funds by resident</w:t>
      </w:r>
      <w:r>
        <w:rPr>
          <w:lang w:val="en-US"/>
        </w:rPr>
        <w:t xml:space="preserve">s for settlement of derivatives </w:t>
      </w:r>
      <w:r w:rsidRPr="000E16D7">
        <w:rPr>
          <w:lang w:val="en-US"/>
        </w:rPr>
        <w:t>transactions requires BOT approval. H</w:t>
      </w:r>
      <w:r>
        <w:rPr>
          <w:lang w:val="en-US"/>
        </w:rPr>
        <w:t xml:space="preserve">owever, institutional investors </w:t>
      </w:r>
      <w:r w:rsidRPr="000E16D7">
        <w:rPr>
          <w:lang w:val="en-US"/>
        </w:rPr>
        <w:t>may engage with foreign counterparties in derivatives transactions</w:t>
      </w:r>
      <w:r>
        <w:rPr>
          <w:lang w:val="en-US"/>
        </w:rPr>
        <w:t xml:space="preserve"> </w:t>
      </w:r>
      <w:r w:rsidRPr="000E16D7">
        <w:rPr>
          <w:lang w:val="en-US"/>
        </w:rPr>
        <w:t>linked to foreign variables not involvi</w:t>
      </w:r>
      <w:r>
        <w:rPr>
          <w:lang w:val="en-US"/>
        </w:rPr>
        <w:t xml:space="preserve">ng foreign exchange and baht to </w:t>
      </w:r>
      <w:r w:rsidRPr="000E16D7">
        <w:rPr>
          <w:lang w:val="en-US"/>
        </w:rPr>
        <w:t>hedge risk exposure and enhance return on investment.</w:t>
      </w:r>
    </w:p>
  </w:footnote>
  <w:footnote w:id="26">
    <w:p w:rsidR="00D93BE3" w:rsidRPr="00DE7707" w:rsidRDefault="00D93BE3">
      <w:pPr>
        <w:pStyle w:val="Notedebasdepage"/>
        <w:rPr>
          <w:lang w:val="en-US"/>
        </w:rPr>
      </w:pPr>
      <w:r>
        <w:rPr>
          <w:rStyle w:val="Appelnotedebasdep"/>
        </w:rPr>
        <w:footnoteRef/>
      </w:r>
      <w:r w:rsidRPr="00DE7707">
        <w:rPr>
          <w:lang w:val="en-US"/>
        </w:rPr>
        <w:t xml:space="preserve"> </w:t>
      </w:r>
      <w:r w:rsidR="00DE7707">
        <w:rPr>
          <w:lang w:val="en-US"/>
        </w:rPr>
        <w:t>See a</w:t>
      </w:r>
      <w:r w:rsidR="00DE7707" w:rsidRPr="00DE7707">
        <w:rPr>
          <w:lang w:val="en-US"/>
        </w:rPr>
        <w:t>nnex</w:t>
      </w:r>
      <w:r w:rsidR="00DE7707">
        <w:rPr>
          <w:lang w:val="en-US"/>
        </w:rPr>
        <w:t xml:space="preserve"> n°</w:t>
      </w:r>
      <w:r w:rsidR="00DE7707" w:rsidRPr="00DE7707">
        <w:rPr>
          <w:lang w:val="en-US"/>
        </w:rPr>
        <w:t xml:space="preserve"> 4 for a detailed presentation of this instrument</w:t>
      </w:r>
      <w:r w:rsidR="00DE7707">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50D70"/>
    <w:multiLevelType w:val="hybridMultilevel"/>
    <w:tmpl w:val="643267A4"/>
    <w:lvl w:ilvl="0" w:tplc="94BEA2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471052"/>
    <w:multiLevelType w:val="hybridMultilevel"/>
    <w:tmpl w:val="74E265A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DD0228E"/>
    <w:multiLevelType w:val="hybridMultilevel"/>
    <w:tmpl w:val="7F32092A"/>
    <w:lvl w:ilvl="0" w:tplc="694ADD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D75043"/>
    <w:multiLevelType w:val="hybridMultilevel"/>
    <w:tmpl w:val="8D1016B4"/>
    <w:lvl w:ilvl="0" w:tplc="55C24476">
      <w:start w:val="2"/>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F4"/>
    <w:rsid w:val="00005163"/>
    <w:rsid w:val="00023306"/>
    <w:rsid w:val="0002437C"/>
    <w:rsid w:val="000801BF"/>
    <w:rsid w:val="000E16D7"/>
    <w:rsid w:val="000F08A5"/>
    <w:rsid w:val="000F6D13"/>
    <w:rsid w:val="00113714"/>
    <w:rsid w:val="0014073D"/>
    <w:rsid w:val="00143B09"/>
    <w:rsid w:val="00153CF0"/>
    <w:rsid w:val="001B1A39"/>
    <w:rsid w:val="001F182C"/>
    <w:rsid w:val="00247F8B"/>
    <w:rsid w:val="00254BFF"/>
    <w:rsid w:val="00256E73"/>
    <w:rsid w:val="0026008D"/>
    <w:rsid w:val="003147D5"/>
    <w:rsid w:val="0033380C"/>
    <w:rsid w:val="00340A25"/>
    <w:rsid w:val="003636F5"/>
    <w:rsid w:val="003676A4"/>
    <w:rsid w:val="003817B7"/>
    <w:rsid w:val="00392271"/>
    <w:rsid w:val="00403DD5"/>
    <w:rsid w:val="00406E54"/>
    <w:rsid w:val="004911A1"/>
    <w:rsid w:val="004D694E"/>
    <w:rsid w:val="004E0389"/>
    <w:rsid w:val="004F3DF4"/>
    <w:rsid w:val="00531E04"/>
    <w:rsid w:val="0054439C"/>
    <w:rsid w:val="00574E9D"/>
    <w:rsid w:val="0064610A"/>
    <w:rsid w:val="0068344D"/>
    <w:rsid w:val="006A2351"/>
    <w:rsid w:val="006F118A"/>
    <w:rsid w:val="006F567F"/>
    <w:rsid w:val="00707001"/>
    <w:rsid w:val="0075273A"/>
    <w:rsid w:val="00771456"/>
    <w:rsid w:val="00772BA5"/>
    <w:rsid w:val="007A7038"/>
    <w:rsid w:val="007D223A"/>
    <w:rsid w:val="007D7976"/>
    <w:rsid w:val="007E508A"/>
    <w:rsid w:val="00812CF3"/>
    <w:rsid w:val="00892A1F"/>
    <w:rsid w:val="0089338A"/>
    <w:rsid w:val="008D5136"/>
    <w:rsid w:val="00950875"/>
    <w:rsid w:val="00957343"/>
    <w:rsid w:val="009F7E9F"/>
    <w:rsid w:val="00A10C82"/>
    <w:rsid w:val="00A3059F"/>
    <w:rsid w:val="00A700CC"/>
    <w:rsid w:val="00AB6CED"/>
    <w:rsid w:val="00B242CD"/>
    <w:rsid w:val="00B552A8"/>
    <w:rsid w:val="00B65EC1"/>
    <w:rsid w:val="00B75818"/>
    <w:rsid w:val="00BA0B6B"/>
    <w:rsid w:val="00BE3A57"/>
    <w:rsid w:val="00BE6288"/>
    <w:rsid w:val="00C261C4"/>
    <w:rsid w:val="00C31EA1"/>
    <w:rsid w:val="00C67BD4"/>
    <w:rsid w:val="00C93073"/>
    <w:rsid w:val="00CF3DBB"/>
    <w:rsid w:val="00D15BB2"/>
    <w:rsid w:val="00D2220D"/>
    <w:rsid w:val="00D61C15"/>
    <w:rsid w:val="00D7179A"/>
    <w:rsid w:val="00D93BE3"/>
    <w:rsid w:val="00DA4334"/>
    <w:rsid w:val="00DB6134"/>
    <w:rsid w:val="00DE37B5"/>
    <w:rsid w:val="00DE7707"/>
    <w:rsid w:val="00DF11F6"/>
    <w:rsid w:val="00E242A0"/>
    <w:rsid w:val="00E55685"/>
    <w:rsid w:val="00EB156B"/>
    <w:rsid w:val="00F03AD1"/>
    <w:rsid w:val="00F16606"/>
    <w:rsid w:val="00FA6C25"/>
    <w:rsid w:val="00FC236F"/>
    <w:rsid w:val="00FC3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ED28C-6AEE-4EDF-90EE-A2E85B33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4F3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4F3DF4"/>
    <w:rPr>
      <w:rFonts w:ascii="Courier New" w:eastAsia="Times New Roman" w:hAnsi="Courier New" w:cs="Courier New"/>
      <w:sz w:val="20"/>
      <w:szCs w:val="20"/>
      <w:lang w:eastAsia="fr-FR"/>
    </w:rPr>
  </w:style>
  <w:style w:type="paragraph" w:styleId="Notedebasdepage">
    <w:name w:val="footnote text"/>
    <w:basedOn w:val="Normal"/>
    <w:link w:val="NotedebasdepageCar"/>
    <w:unhideWhenUsed/>
    <w:rsid w:val="004F3DF4"/>
    <w:pPr>
      <w:spacing w:after="0" w:line="240" w:lineRule="auto"/>
    </w:pPr>
    <w:rPr>
      <w:sz w:val="20"/>
      <w:szCs w:val="20"/>
    </w:rPr>
  </w:style>
  <w:style w:type="character" w:customStyle="1" w:styleId="NotedebasdepageCar">
    <w:name w:val="Note de bas de page Car"/>
    <w:basedOn w:val="Policepardfaut"/>
    <w:link w:val="Notedebasdepage"/>
    <w:rsid w:val="004F3DF4"/>
    <w:rPr>
      <w:sz w:val="20"/>
      <w:szCs w:val="20"/>
    </w:rPr>
  </w:style>
  <w:style w:type="character" w:styleId="Appelnotedebasdep">
    <w:name w:val="footnote reference"/>
    <w:basedOn w:val="Policepardfaut"/>
    <w:uiPriority w:val="99"/>
    <w:unhideWhenUsed/>
    <w:rsid w:val="004F3DF4"/>
    <w:rPr>
      <w:vertAlign w:val="superscript"/>
    </w:rPr>
  </w:style>
  <w:style w:type="paragraph" w:styleId="Paragraphedeliste">
    <w:name w:val="List Paragraph"/>
    <w:basedOn w:val="Normal"/>
    <w:uiPriority w:val="34"/>
    <w:qFormat/>
    <w:rsid w:val="004F3DF4"/>
    <w:pPr>
      <w:ind w:left="720"/>
      <w:contextualSpacing/>
    </w:pPr>
  </w:style>
  <w:style w:type="table" w:styleId="Grilledutableau">
    <w:name w:val="Table Grid"/>
    <w:basedOn w:val="TableauNormal"/>
    <w:uiPriority w:val="59"/>
    <w:rsid w:val="0077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2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382">
      <w:bodyDiv w:val="1"/>
      <w:marLeft w:val="0"/>
      <w:marRight w:val="0"/>
      <w:marTop w:val="0"/>
      <w:marBottom w:val="0"/>
      <w:divBdr>
        <w:top w:val="none" w:sz="0" w:space="0" w:color="auto"/>
        <w:left w:val="none" w:sz="0" w:space="0" w:color="auto"/>
        <w:bottom w:val="none" w:sz="0" w:space="0" w:color="auto"/>
        <w:right w:val="none" w:sz="0" w:space="0" w:color="auto"/>
      </w:divBdr>
    </w:div>
    <w:div w:id="22289095">
      <w:bodyDiv w:val="1"/>
      <w:marLeft w:val="0"/>
      <w:marRight w:val="0"/>
      <w:marTop w:val="0"/>
      <w:marBottom w:val="0"/>
      <w:divBdr>
        <w:top w:val="none" w:sz="0" w:space="0" w:color="auto"/>
        <w:left w:val="none" w:sz="0" w:space="0" w:color="auto"/>
        <w:bottom w:val="none" w:sz="0" w:space="0" w:color="auto"/>
        <w:right w:val="none" w:sz="0" w:space="0" w:color="auto"/>
      </w:divBdr>
    </w:div>
    <w:div w:id="27878314">
      <w:bodyDiv w:val="1"/>
      <w:marLeft w:val="0"/>
      <w:marRight w:val="0"/>
      <w:marTop w:val="0"/>
      <w:marBottom w:val="0"/>
      <w:divBdr>
        <w:top w:val="none" w:sz="0" w:space="0" w:color="auto"/>
        <w:left w:val="none" w:sz="0" w:space="0" w:color="auto"/>
        <w:bottom w:val="none" w:sz="0" w:space="0" w:color="auto"/>
        <w:right w:val="none" w:sz="0" w:space="0" w:color="auto"/>
      </w:divBdr>
    </w:div>
    <w:div w:id="47146582">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86535654">
      <w:bodyDiv w:val="1"/>
      <w:marLeft w:val="0"/>
      <w:marRight w:val="0"/>
      <w:marTop w:val="0"/>
      <w:marBottom w:val="0"/>
      <w:divBdr>
        <w:top w:val="none" w:sz="0" w:space="0" w:color="auto"/>
        <w:left w:val="none" w:sz="0" w:space="0" w:color="auto"/>
        <w:bottom w:val="none" w:sz="0" w:space="0" w:color="auto"/>
        <w:right w:val="none" w:sz="0" w:space="0" w:color="auto"/>
      </w:divBdr>
    </w:div>
    <w:div w:id="88433127">
      <w:bodyDiv w:val="1"/>
      <w:marLeft w:val="0"/>
      <w:marRight w:val="0"/>
      <w:marTop w:val="0"/>
      <w:marBottom w:val="0"/>
      <w:divBdr>
        <w:top w:val="none" w:sz="0" w:space="0" w:color="auto"/>
        <w:left w:val="none" w:sz="0" w:space="0" w:color="auto"/>
        <w:bottom w:val="none" w:sz="0" w:space="0" w:color="auto"/>
        <w:right w:val="none" w:sz="0" w:space="0" w:color="auto"/>
      </w:divBdr>
    </w:div>
    <w:div w:id="132263088">
      <w:bodyDiv w:val="1"/>
      <w:marLeft w:val="0"/>
      <w:marRight w:val="0"/>
      <w:marTop w:val="0"/>
      <w:marBottom w:val="0"/>
      <w:divBdr>
        <w:top w:val="none" w:sz="0" w:space="0" w:color="auto"/>
        <w:left w:val="none" w:sz="0" w:space="0" w:color="auto"/>
        <w:bottom w:val="none" w:sz="0" w:space="0" w:color="auto"/>
        <w:right w:val="none" w:sz="0" w:space="0" w:color="auto"/>
      </w:divBdr>
    </w:div>
    <w:div w:id="159321383">
      <w:bodyDiv w:val="1"/>
      <w:marLeft w:val="0"/>
      <w:marRight w:val="0"/>
      <w:marTop w:val="0"/>
      <w:marBottom w:val="0"/>
      <w:divBdr>
        <w:top w:val="none" w:sz="0" w:space="0" w:color="auto"/>
        <w:left w:val="none" w:sz="0" w:space="0" w:color="auto"/>
        <w:bottom w:val="none" w:sz="0" w:space="0" w:color="auto"/>
        <w:right w:val="none" w:sz="0" w:space="0" w:color="auto"/>
      </w:divBdr>
    </w:div>
    <w:div w:id="161749150">
      <w:bodyDiv w:val="1"/>
      <w:marLeft w:val="0"/>
      <w:marRight w:val="0"/>
      <w:marTop w:val="0"/>
      <w:marBottom w:val="0"/>
      <w:divBdr>
        <w:top w:val="none" w:sz="0" w:space="0" w:color="auto"/>
        <w:left w:val="none" w:sz="0" w:space="0" w:color="auto"/>
        <w:bottom w:val="none" w:sz="0" w:space="0" w:color="auto"/>
        <w:right w:val="none" w:sz="0" w:space="0" w:color="auto"/>
      </w:divBdr>
    </w:div>
    <w:div w:id="165094676">
      <w:bodyDiv w:val="1"/>
      <w:marLeft w:val="0"/>
      <w:marRight w:val="0"/>
      <w:marTop w:val="0"/>
      <w:marBottom w:val="0"/>
      <w:divBdr>
        <w:top w:val="none" w:sz="0" w:space="0" w:color="auto"/>
        <w:left w:val="none" w:sz="0" w:space="0" w:color="auto"/>
        <w:bottom w:val="none" w:sz="0" w:space="0" w:color="auto"/>
        <w:right w:val="none" w:sz="0" w:space="0" w:color="auto"/>
      </w:divBdr>
    </w:div>
    <w:div w:id="172653353">
      <w:bodyDiv w:val="1"/>
      <w:marLeft w:val="0"/>
      <w:marRight w:val="0"/>
      <w:marTop w:val="0"/>
      <w:marBottom w:val="0"/>
      <w:divBdr>
        <w:top w:val="none" w:sz="0" w:space="0" w:color="auto"/>
        <w:left w:val="none" w:sz="0" w:space="0" w:color="auto"/>
        <w:bottom w:val="none" w:sz="0" w:space="0" w:color="auto"/>
        <w:right w:val="none" w:sz="0" w:space="0" w:color="auto"/>
      </w:divBdr>
    </w:div>
    <w:div w:id="189802838">
      <w:bodyDiv w:val="1"/>
      <w:marLeft w:val="0"/>
      <w:marRight w:val="0"/>
      <w:marTop w:val="0"/>
      <w:marBottom w:val="0"/>
      <w:divBdr>
        <w:top w:val="none" w:sz="0" w:space="0" w:color="auto"/>
        <w:left w:val="none" w:sz="0" w:space="0" w:color="auto"/>
        <w:bottom w:val="none" w:sz="0" w:space="0" w:color="auto"/>
        <w:right w:val="none" w:sz="0" w:space="0" w:color="auto"/>
      </w:divBdr>
    </w:div>
    <w:div w:id="191575175">
      <w:bodyDiv w:val="1"/>
      <w:marLeft w:val="0"/>
      <w:marRight w:val="0"/>
      <w:marTop w:val="0"/>
      <w:marBottom w:val="0"/>
      <w:divBdr>
        <w:top w:val="none" w:sz="0" w:space="0" w:color="auto"/>
        <w:left w:val="none" w:sz="0" w:space="0" w:color="auto"/>
        <w:bottom w:val="none" w:sz="0" w:space="0" w:color="auto"/>
        <w:right w:val="none" w:sz="0" w:space="0" w:color="auto"/>
      </w:divBdr>
    </w:div>
    <w:div w:id="214975421">
      <w:bodyDiv w:val="1"/>
      <w:marLeft w:val="0"/>
      <w:marRight w:val="0"/>
      <w:marTop w:val="0"/>
      <w:marBottom w:val="0"/>
      <w:divBdr>
        <w:top w:val="none" w:sz="0" w:space="0" w:color="auto"/>
        <w:left w:val="none" w:sz="0" w:space="0" w:color="auto"/>
        <w:bottom w:val="none" w:sz="0" w:space="0" w:color="auto"/>
        <w:right w:val="none" w:sz="0" w:space="0" w:color="auto"/>
      </w:divBdr>
    </w:div>
    <w:div w:id="225144382">
      <w:bodyDiv w:val="1"/>
      <w:marLeft w:val="0"/>
      <w:marRight w:val="0"/>
      <w:marTop w:val="0"/>
      <w:marBottom w:val="0"/>
      <w:divBdr>
        <w:top w:val="none" w:sz="0" w:space="0" w:color="auto"/>
        <w:left w:val="none" w:sz="0" w:space="0" w:color="auto"/>
        <w:bottom w:val="none" w:sz="0" w:space="0" w:color="auto"/>
        <w:right w:val="none" w:sz="0" w:space="0" w:color="auto"/>
      </w:divBdr>
    </w:div>
    <w:div w:id="252588575">
      <w:bodyDiv w:val="1"/>
      <w:marLeft w:val="0"/>
      <w:marRight w:val="0"/>
      <w:marTop w:val="0"/>
      <w:marBottom w:val="0"/>
      <w:divBdr>
        <w:top w:val="none" w:sz="0" w:space="0" w:color="auto"/>
        <w:left w:val="none" w:sz="0" w:space="0" w:color="auto"/>
        <w:bottom w:val="none" w:sz="0" w:space="0" w:color="auto"/>
        <w:right w:val="none" w:sz="0" w:space="0" w:color="auto"/>
      </w:divBdr>
    </w:div>
    <w:div w:id="254019703">
      <w:bodyDiv w:val="1"/>
      <w:marLeft w:val="0"/>
      <w:marRight w:val="0"/>
      <w:marTop w:val="0"/>
      <w:marBottom w:val="0"/>
      <w:divBdr>
        <w:top w:val="none" w:sz="0" w:space="0" w:color="auto"/>
        <w:left w:val="none" w:sz="0" w:space="0" w:color="auto"/>
        <w:bottom w:val="none" w:sz="0" w:space="0" w:color="auto"/>
        <w:right w:val="none" w:sz="0" w:space="0" w:color="auto"/>
      </w:divBdr>
    </w:div>
    <w:div w:id="275915673">
      <w:bodyDiv w:val="1"/>
      <w:marLeft w:val="0"/>
      <w:marRight w:val="0"/>
      <w:marTop w:val="0"/>
      <w:marBottom w:val="0"/>
      <w:divBdr>
        <w:top w:val="none" w:sz="0" w:space="0" w:color="auto"/>
        <w:left w:val="none" w:sz="0" w:space="0" w:color="auto"/>
        <w:bottom w:val="none" w:sz="0" w:space="0" w:color="auto"/>
        <w:right w:val="none" w:sz="0" w:space="0" w:color="auto"/>
      </w:divBdr>
    </w:div>
    <w:div w:id="307832478">
      <w:bodyDiv w:val="1"/>
      <w:marLeft w:val="0"/>
      <w:marRight w:val="0"/>
      <w:marTop w:val="0"/>
      <w:marBottom w:val="0"/>
      <w:divBdr>
        <w:top w:val="none" w:sz="0" w:space="0" w:color="auto"/>
        <w:left w:val="none" w:sz="0" w:space="0" w:color="auto"/>
        <w:bottom w:val="none" w:sz="0" w:space="0" w:color="auto"/>
        <w:right w:val="none" w:sz="0" w:space="0" w:color="auto"/>
      </w:divBdr>
    </w:div>
    <w:div w:id="324553438">
      <w:bodyDiv w:val="1"/>
      <w:marLeft w:val="0"/>
      <w:marRight w:val="0"/>
      <w:marTop w:val="0"/>
      <w:marBottom w:val="0"/>
      <w:divBdr>
        <w:top w:val="none" w:sz="0" w:space="0" w:color="auto"/>
        <w:left w:val="none" w:sz="0" w:space="0" w:color="auto"/>
        <w:bottom w:val="none" w:sz="0" w:space="0" w:color="auto"/>
        <w:right w:val="none" w:sz="0" w:space="0" w:color="auto"/>
      </w:divBdr>
    </w:div>
    <w:div w:id="339088565">
      <w:bodyDiv w:val="1"/>
      <w:marLeft w:val="0"/>
      <w:marRight w:val="0"/>
      <w:marTop w:val="0"/>
      <w:marBottom w:val="0"/>
      <w:divBdr>
        <w:top w:val="none" w:sz="0" w:space="0" w:color="auto"/>
        <w:left w:val="none" w:sz="0" w:space="0" w:color="auto"/>
        <w:bottom w:val="none" w:sz="0" w:space="0" w:color="auto"/>
        <w:right w:val="none" w:sz="0" w:space="0" w:color="auto"/>
      </w:divBdr>
    </w:div>
    <w:div w:id="353505130">
      <w:bodyDiv w:val="1"/>
      <w:marLeft w:val="0"/>
      <w:marRight w:val="0"/>
      <w:marTop w:val="0"/>
      <w:marBottom w:val="0"/>
      <w:divBdr>
        <w:top w:val="none" w:sz="0" w:space="0" w:color="auto"/>
        <w:left w:val="none" w:sz="0" w:space="0" w:color="auto"/>
        <w:bottom w:val="none" w:sz="0" w:space="0" w:color="auto"/>
        <w:right w:val="none" w:sz="0" w:space="0" w:color="auto"/>
      </w:divBdr>
    </w:div>
    <w:div w:id="354699797">
      <w:bodyDiv w:val="1"/>
      <w:marLeft w:val="0"/>
      <w:marRight w:val="0"/>
      <w:marTop w:val="0"/>
      <w:marBottom w:val="0"/>
      <w:divBdr>
        <w:top w:val="none" w:sz="0" w:space="0" w:color="auto"/>
        <w:left w:val="none" w:sz="0" w:space="0" w:color="auto"/>
        <w:bottom w:val="none" w:sz="0" w:space="0" w:color="auto"/>
        <w:right w:val="none" w:sz="0" w:space="0" w:color="auto"/>
      </w:divBdr>
    </w:div>
    <w:div w:id="371534716">
      <w:bodyDiv w:val="1"/>
      <w:marLeft w:val="0"/>
      <w:marRight w:val="0"/>
      <w:marTop w:val="0"/>
      <w:marBottom w:val="0"/>
      <w:divBdr>
        <w:top w:val="none" w:sz="0" w:space="0" w:color="auto"/>
        <w:left w:val="none" w:sz="0" w:space="0" w:color="auto"/>
        <w:bottom w:val="none" w:sz="0" w:space="0" w:color="auto"/>
        <w:right w:val="none" w:sz="0" w:space="0" w:color="auto"/>
      </w:divBdr>
    </w:div>
    <w:div w:id="374550076">
      <w:bodyDiv w:val="1"/>
      <w:marLeft w:val="0"/>
      <w:marRight w:val="0"/>
      <w:marTop w:val="0"/>
      <w:marBottom w:val="0"/>
      <w:divBdr>
        <w:top w:val="none" w:sz="0" w:space="0" w:color="auto"/>
        <w:left w:val="none" w:sz="0" w:space="0" w:color="auto"/>
        <w:bottom w:val="none" w:sz="0" w:space="0" w:color="auto"/>
        <w:right w:val="none" w:sz="0" w:space="0" w:color="auto"/>
      </w:divBdr>
    </w:div>
    <w:div w:id="406416398">
      <w:bodyDiv w:val="1"/>
      <w:marLeft w:val="0"/>
      <w:marRight w:val="0"/>
      <w:marTop w:val="0"/>
      <w:marBottom w:val="0"/>
      <w:divBdr>
        <w:top w:val="none" w:sz="0" w:space="0" w:color="auto"/>
        <w:left w:val="none" w:sz="0" w:space="0" w:color="auto"/>
        <w:bottom w:val="none" w:sz="0" w:space="0" w:color="auto"/>
        <w:right w:val="none" w:sz="0" w:space="0" w:color="auto"/>
      </w:divBdr>
    </w:div>
    <w:div w:id="417216827">
      <w:bodyDiv w:val="1"/>
      <w:marLeft w:val="0"/>
      <w:marRight w:val="0"/>
      <w:marTop w:val="0"/>
      <w:marBottom w:val="0"/>
      <w:divBdr>
        <w:top w:val="none" w:sz="0" w:space="0" w:color="auto"/>
        <w:left w:val="none" w:sz="0" w:space="0" w:color="auto"/>
        <w:bottom w:val="none" w:sz="0" w:space="0" w:color="auto"/>
        <w:right w:val="none" w:sz="0" w:space="0" w:color="auto"/>
      </w:divBdr>
    </w:div>
    <w:div w:id="433867083">
      <w:bodyDiv w:val="1"/>
      <w:marLeft w:val="0"/>
      <w:marRight w:val="0"/>
      <w:marTop w:val="0"/>
      <w:marBottom w:val="0"/>
      <w:divBdr>
        <w:top w:val="none" w:sz="0" w:space="0" w:color="auto"/>
        <w:left w:val="none" w:sz="0" w:space="0" w:color="auto"/>
        <w:bottom w:val="none" w:sz="0" w:space="0" w:color="auto"/>
        <w:right w:val="none" w:sz="0" w:space="0" w:color="auto"/>
      </w:divBdr>
    </w:div>
    <w:div w:id="468517480">
      <w:bodyDiv w:val="1"/>
      <w:marLeft w:val="0"/>
      <w:marRight w:val="0"/>
      <w:marTop w:val="0"/>
      <w:marBottom w:val="0"/>
      <w:divBdr>
        <w:top w:val="none" w:sz="0" w:space="0" w:color="auto"/>
        <w:left w:val="none" w:sz="0" w:space="0" w:color="auto"/>
        <w:bottom w:val="none" w:sz="0" w:space="0" w:color="auto"/>
        <w:right w:val="none" w:sz="0" w:space="0" w:color="auto"/>
      </w:divBdr>
    </w:div>
    <w:div w:id="471404573">
      <w:bodyDiv w:val="1"/>
      <w:marLeft w:val="0"/>
      <w:marRight w:val="0"/>
      <w:marTop w:val="0"/>
      <w:marBottom w:val="0"/>
      <w:divBdr>
        <w:top w:val="none" w:sz="0" w:space="0" w:color="auto"/>
        <w:left w:val="none" w:sz="0" w:space="0" w:color="auto"/>
        <w:bottom w:val="none" w:sz="0" w:space="0" w:color="auto"/>
        <w:right w:val="none" w:sz="0" w:space="0" w:color="auto"/>
      </w:divBdr>
    </w:div>
    <w:div w:id="488134596">
      <w:bodyDiv w:val="1"/>
      <w:marLeft w:val="0"/>
      <w:marRight w:val="0"/>
      <w:marTop w:val="0"/>
      <w:marBottom w:val="0"/>
      <w:divBdr>
        <w:top w:val="none" w:sz="0" w:space="0" w:color="auto"/>
        <w:left w:val="none" w:sz="0" w:space="0" w:color="auto"/>
        <w:bottom w:val="none" w:sz="0" w:space="0" w:color="auto"/>
        <w:right w:val="none" w:sz="0" w:space="0" w:color="auto"/>
      </w:divBdr>
    </w:div>
    <w:div w:id="519393346">
      <w:bodyDiv w:val="1"/>
      <w:marLeft w:val="0"/>
      <w:marRight w:val="0"/>
      <w:marTop w:val="0"/>
      <w:marBottom w:val="0"/>
      <w:divBdr>
        <w:top w:val="none" w:sz="0" w:space="0" w:color="auto"/>
        <w:left w:val="none" w:sz="0" w:space="0" w:color="auto"/>
        <w:bottom w:val="none" w:sz="0" w:space="0" w:color="auto"/>
        <w:right w:val="none" w:sz="0" w:space="0" w:color="auto"/>
      </w:divBdr>
    </w:div>
    <w:div w:id="526455056">
      <w:bodyDiv w:val="1"/>
      <w:marLeft w:val="0"/>
      <w:marRight w:val="0"/>
      <w:marTop w:val="0"/>
      <w:marBottom w:val="0"/>
      <w:divBdr>
        <w:top w:val="none" w:sz="0" w:space="0" w:color="auto"/>
        <w:left w:val="none" w:sz="0" w:space="0" w:color="auto"/>
        <w:bottom w:val="none" w:sz="0" w:space="0" w:color="auto"/>
        <w:right w:val="none" w:sz="0" w:space="0" w:color="auto"/>
      </w:divBdr>
    </w:div>
    <w:div w:id="568004688">
      <w:bodyDiv w:val="1"/>
      <w:marLeft w:val="0"/>
      <w:marRight w:val="0"/>
      <w:marTop w:val="0"/>
      <w:marBottom w:val="0"/>
      <w:divBdr>
        <w:top w:val="none" w:sz="0" w:space="0" w:color="auto"/>
        <w:left w:val="none" w:sz="0" w:space="0" w:color="auto"/>
        <w:bottom w:val="none" w:sz="0" w:space="0" w:color="auto"/>
        <w:right w:val="none" w:sz="0" w:space="0" w:color="auto"/>
      </w:divBdr>
    </w:div>
    <w:div w:id="594240940">
      <w:bodyDiv w:val="1"/>
      <w:marLeft w:val="0"/>
      <w:marRight w:val="0"/>
      <w:marTop w:val="0"/>
      <w:marBottom w:val="0"/>
      <w:divBdr>
        <w:top w:val="none" w:sz="0" w:space="0" w:color="auto"/>
        <w:left w:val="none" w:sz="0" w:space="0" w:color="auto"/>
        <w:bottom w:val="none" w:sz="0" w:space="0" w:color="auto"/>
        <w:right w:val="none" w:sz="0" w:space="0" w:color="auto"/>
      </w:divBdr>
    </w:div>
    <w:div w:id="614755723">
      <w:bodyDiv w:val="1"/>
      <w:marLeft w:val="0"/>
      <w:marRight w:val="0"/>
      <w:marTop w:val="0"/>
      <w:marBottom w:val="0"/>
      <w:divBdr>
        <w:top w:val="none" w:sz="0" w:space="0" w:color="auto"/>
        <w:left w:val="none" w:sz="0" w:space="0" w:color="auto"/>
        <w:bottom w:val="none" w:sz="0" w:space="0" w:color="auto"/>
        <w:right w:val="none" w:sz="0" w:space="0" w:color="auto"/>
      </w:divBdr>
    </w:div>
    <w:div w:id="637303170">
      <w:bodyDiv w:val="1"/>
      <w:marLeft w:val="0"/>
      <w:marRight w:val="0"/>
      <w:marTop w:val="0"/>
      <w:marBottom w:val="0"/>
      <w:divBdr>
        <w:top w:val="none" w:sz="0" w:space="0" w:color="auto"/>
        <w:left w:val="none" w:sz="0" w:space="0" w:color="auto"/>
        <w:bottom w:val="none" w:sz="0" w:space="0" w:color="auto"/>
        <w:right w:val="none" w:sz="0" w:space="0" w:color="auto"/>
      </w:divBdr>
    </w:div>
    <w:div w:id="640691314">
      <w:bodyDiv w:val="1"/>
      <w:marLeft w:val="0"/>
      <w:marRight w:val="0"/>
      <w:marTop w:val="0"/>
      <w:marBottom w:val="0"/>
      <w:divBdr>
        <w:top w:val="none" w:sz="0" w:space="0" w:color="auto"/>
        <w:left w:val="none" w:sz="0" w:space="0" w:color="auto"/>
        <w:bottom w:val="none" w:sz="0" w:space="0" w:color="auto"/>
        <w:right w:val="none" w:sz="0" w:space="0" w:color="auto"/>
      </w:divBdr>
    </w:div>
    <w:div w:id="645207201">
      <w:bodyDiv w:val="1"/>
      <w:marLeft w:val="0"/>
      <w:marRight w:val="0"/>
      <w:marTop w:val="0"/>
      <w:marBottom w:val="0"/>
      <w:divBdr>
        <w:top w:val="none" w:sz="0" w:space="0" w:color="auto"/>
        <w:left w:val="none" w:sz="0" w:space="0" w:color="auto"/>
        <w:bottom w:val="none" w:sz="0" w:space="0" w:color="auto"/>
        <w:right w:val="none" w:sz="0" w:space="0" w:color="auto"/>
      </w:divBdr>
    </w:div>
    <w:div w:id="648248762">
      <w:bodyDiv w:val="1"/>
      <w:marLeft w:val="0"/>
      <w:marRight w:val="0"/>
      <w:marTop w:val="0"/>
      <w:marBottom w:val="0"/>
      <w:divBdr>
        <w:top w:val="none" w:sz="0" w:space="0" w:color="auto"/>
        <w:left w:val="none" w:sz="0" w:space="0" w:color="auto"/>
        <w:bottom w:val="none" w:sz="0" w:space="0" w:color="auto"/>
        <w:right w:val="none" w:sz="0" w:space="0" w:color="auto"/>
      </w:divBdr>
    </w:div>
    <w:div w:id="655034013">
      <w:bodyDiv w:val="1"/>
      <w:marLeft w:val="0"/>
      <w:marRight w:val="0"/>
      <w:marTop w:val="0"/>
      <w:marBottom w:val="0"/>
      <w:divBdr>
        <w:top w:val="none" w:sz="0" w:space="0" w:color="auto"/>
        <w:left w:val="none" w:sz="0" w:space="0" w:color="auto"/>
        <w:bottom w:val="none" w:sz="0" w:space="0" w:color="auto"/>
        <w:right w:val="none" w:sz="0" w:space="0" w:color="auto"/>
      </w:divBdr>
    </w:div>
    <w:div w:id="656541741">
      <w:bodyDiv w:val="1"/>
      <w:marLeft w:val="0"/>
      <w:marRight w:val="0"/>
      <w:marTop w:val="0"/>
      <w:marBottom w:val="0"/>
      <w:divBdr>
        <w:top w:val="none" w:sz="0" w:space="0" w:color="auto"/>
        <w:left w:val="none" w:sz="0" w:space="0" w:color="auto"/>
        <w:bottom w:val="none" w:sz="0" w:space="0" w:color="auto"/>
        <w:right w:val="none" w:sz="0" w:space="0" w:color="auto"/>
      </w:divBdr>
    </w:div>
    <w:div w:id="658768590">
      <w:bodyDiv w:val="1"/>
      <w:marLeft w:val="0"/>
      <w:marRight w:val="0"/>
      <w:marTop w:val="0"/>
      <w:marBottom w:val="0"/>
      <w:divBdr>
        <w:top w:val="none" w:sz="0" w:space="0" w:color="auto"/>
        <w:left w:val="none" w:sz="0" w:space="0" w:color="auto"/>
        <w:bottom w:val="none" w:sz="0" w:space="0" w:color="auto"/>
        <w:right w:val="none" w:sz="0" w:space="0" w:color="auto"/>
      </w:divBdr>
    </w:div>
    <w:div w:id="661933124">
      <w:bodyDiv w:val="1"/>
      <w:marLeft w:val="0"/>
      <w:marRight w:val="0"/>
      <w:marTop w:val="0"/>
      <w:marBottom w:val="0"/>
      <w:divBdr>
        <w:top w:val="none" w:sz="0" w:space="0" w:color="auto"/>
        <w:left w:val="none" w:sz="0" w:space="0" w:color="auto"/>
        <w:bottom w:val="none" w:sz="0" w:space="0" w:color="auto"/>
        <w:right w:val="none" w:sz="0" w:space="0" w:color="auto"/>
      </w:divBdr>
    </w:div>
    <w:div w:id="663819624">
      <w:bodyDiv w:val="1"/>
      <w:marLeft w:val="0"/>
      <w:marRight w:val="0"/>
      <w:marTop w:val="0"/>
      <w:marBottom w:val="0"/>
      <w:divBdr>
        <w:top w:val="none" w:sz="0" w:space="0" w:color="auto"/>
        <w:left w:val="none" w:sz="0" w:space="0" w:color="auto"/>
        <w:bottom w:val="none" w:sz="0" w:space="0" w:color="auto"/>
        <w:right w:val="none" w:sz="0" w:space="0" w:color="auto"/>
      </w:divBdr>
    </w:div>
    <w:div w:id="686172759">
      <w:bodyDiv w:val="1"/>
      <w:marLeft w:val="0"/>
      <w:marRight w:val="0"/>
      <w:marTop w:val="0"/>
      <w:marBottom w:val="0"/>
      <w:divBdr>
        <w:top w:val="none" w:sz="0" w:space="0" w:color="auto"/>
        <w:left w:val="none" w:sz="0" w:space="0" w:color="auto"/>
        <w:bottom w:val="none" w:sz="0" w:space="0" w:color="auto"/>
        <w:right w:val="none" w:sz="0" w:space="0" w:color="auto"/>
      </w:divBdr>
    </w:div>
    <w:div w:id="688262463">
      <w:bodyDiv w:val="1"/>
      <w:marLeft w:val="0"/>
      <w:marRight w:val="0"/>
      <w:marTop w:val="0"/>
      <w:marBottom w:val="0"/>
      <w:divBdr>
        <w:top w:val="none" w:sz="0" w:space="0" w:color="auto"/>
        <w:left w:val="none" w:sz="0" w:space="0" w:color="auto"/>
        <w:bottom w:val="none" w:sz="0" w:space="0" w:color="auto"/>
        <w:right w:val="none" w:sz="0" w:space="0" w:color="auto"/>
      </w:divBdr>
    </w:div>
    <w:div w:id="726953429">
      <w:bodyDiv w:val="1"/>
      <w:marLeft w:val="0"/>
      <w:marRight w:val="0"/>
      <w:marTop w:val="0"/>
      <w:marBottom w:val="0"/>
      <w:divBdr>
        <w:top w:val="none" w:sz="0" w:space="0" w:color="auto"/>
        <w:left w:val="none" w:sz="0" w:space="0" w:color="auto"/>
        <w:bottom w:val="none" w:sz="0" w:space="0" w:color="auto"/>
        <w:right w:val="none" w:sz="0" w:space="0" w:color="auto"/>
      </w:divBdr>
    </w:div>
    <w:div w:id="748114398">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0"/>
      <w:marRight w:val="0"/>
      <w:marTop w:val="0"/>
      <w:marBottom w:val="0"/>
      <w:divBdr>
        <w:top w:val="none" w:sz="0" w:space="0" w:color="auto"/>
        <w:left w:val="none" w:sz="0" w:space="0" w:color="auto"/>
        <w:bottom w:val="none" w:sz="0" w:space="0" w:color="auto"/>
        <w:right w:val="none" w:sz="0" w:space="0" w:color="auto"/>
      </w:divBdr>
    </w:div>
    <w:div w:id="803348928">
      <w:bodyDiv w:val="1"/>
      <w:marLeft w:val="0"/>
      <w:marRight w:val="0"/>
      <w:marTop w:val="0"/>
      <w:marBottom w:val="0"/>
      <w:divBdr>
        <w:top w:val="none" w:sz="0" w:space="0" w:color="auto"/>
        <w:left w:val="none" w:sz="0" w:space="0" w:color="auto"/>
        <w:bottom w:val="none" w:sz="0" w:space="0" w:color="auto"/>
        <w:right w:val="none" w:sz="0" w:space="0" w:color="auto"/>
      </w:divBdr>
    </w:div>
    <w:div w:id="815027581">
      <w:bodyDiv w:val="1"/>
      <w:marLeft w:val="0"/>
      <w:marRight w:val="0"/>
      <w:marTop w:val="0"/>
      <w:marBottom w:val="0"/>
      <w:divBdr>
        <w:top w:val="none" w:sz="0" w:space="0" w:color="auto"/>
        <w:left w:val="none" w:sz="0" w:space="0" w:color="auto"/>
        <w:bottom w:val="none" w:sz="0" w:space="0" w:color="auto"/>
        <w:right w:val="none" w:sz="0" w:space="0" w:color="auto"/>
      </w:divBdr>
    </w:div>
    <w:div w:id="818041406">
      <w:bodyDiv w:val="1"/>
      <w:marLeft w:val="0"/>
      <w:marRight w:val="0"/>
      <w:marTop w:val="0"/>
      <w:marBottom w:val="0"/>
      <w:divBdr>
        <w:top w:val="none" w:sz="0" w:space="0" w:color="auto"/>
        <w:left w:val="none" w:sz="0" w:space="0" w:color="auto"/>
        <w:bottom w:val="none" w:sz="0" w:space="0" w:color="auto"/>
        <w:right w:val="none" w:sz="0" w:space="0" w:color="auto"/>
      </w:divBdr>
    </w:div>
    <w:div w:id="844903270">
      <w:bodyDiv w:val="1"/>
      <w:marLeft w:val="0"/>
      <w:marRight w:val="0"/>
      <w:marTop w:val="0"/>
      <w:marBottom w:val="0"/>
      <w:divBdr>
        <w:top w:val="none" w:sz="0" w:space="0" w:color="auto"/>
        <w:left w:val="none" w:sz="0" w:space="0" w:color="auto"/>
        <w:bottom w:val="none" w:sz="0" w:space="0" w:color="auto"/>
        <w:right w:val="none" w:sz="0" w:space="0" w:color="auto"/>
      </w:divBdr>
    </w:div>
    <w:div w:id="888883075">
      <w:bodyDiv w:val="1"/>
      <w:marLeft w:val="0"/>
      <w:marRight w:val="0"/>
      <w:marTop w:val="0"/>
      <w:marBottom w:val="0"/>
      <w:divBdr>
        <w:top w:val="none" w:sz="0" w:space="0" w:color="auto"/>
        <w:left w:val="none" w:sz="0" w:space="0" w:color="auto"/>
        <w:bottom w:val="none" w:sz="0" w:space="0" w:color="auto"/>
        <w:right w:val="none" w:sz="0" w:space="0" w:color="auto"/>
      </w:divBdr>
    </w:div>
    <w:div w:id="908153412">
      <w:bodyDiv w:val="1"/>
      <w:marLeft w:val="0"/>
      <w:marRight w:val="0"/>
      <w:marTop w:val="0"/>
      <w:marBottom w:val="0"/>
      <w:divBdr>
        <w:top w:val="none" w:sz="0" w:space="0" w:color="auto"/>
        <w:left w:val="none" w:sz="0" w:space="0" w:color="auto"/>
        <w:bottom w:val="none" w:sz="0" w:space="0" w:color="auto"/>
        <w:right w:val="none" w:sz="0" w:space="0" w:color="auto"/>
      </w:divBdr>
    </w:div>
    <w:div w:id="920918119">
      <w:bodyDiv w:val="1"/>
      <w:marLeft w:val="0"/>
      <w:marRight w:val="0"/>
      <w:marTop w:val="0"/>
      <w:marBottom w:val="0"/>
      <w:divBdr>
        <w:top w:val="none" w:sz="0" w:space="0" w:color="auto"/>
        <w:left w:val="none" w:sz="0" w:space="0" w:color="auto"/>
        <w:bottom w:val="none" w:sz="0" w:space="0" w:color="auto"/>
        <w:right w:val="none" w:sz="0" w:space="0" w:color="auto"/>
      </w:divBdr>
    </w:div>
    <w:div w:id="930237171">
      <w:bodyDiv w:val="1"/>
      <w:marLeft w:val="0"/>
      <w:marRight w:val="0"/>
      <w:marTop w:val="0"/>
      <w:marBottom w:val="0"/>
      <w:divBdr>
        <w:top w:val="none" w:sz="0" w:space="0" w:color="auto"/>
        <w:left w:val="none" w:sz="0" w:space="0" w:color="auto"/>
        <w:bottom w:val="none" w:sz="0" w:space="0" w:color="auto"/>
        <w:right w:val="none" w:sz="0" w:space="0" w:color="auto"/>
      </w:divBdr>
    </w:div>
    <w:div w:id="946352201">
      <w:bodyDiv w:val="1"/>
      <w:marLeft w:val="0"/>
      <w:marRight w:val="0"/>
      <w:marTop w:val="0"/>
      <w:marBottom w:val="0"/>
      <w:divBdr>
        <w:top w:val="none" w:sz="0" w:space="0" w:color="auto"/>
        <w:left w:val="none" w:sz="0" w:space="0" w:color="auto"/>
        <w:bottom w:val="none" w:sz="0" w:space="0" w:color="auto"/>
        <w:right w:val="none" w:sz="0" w:space="0" w:color="auto"/>
      </w:divBdr>
    </w:div>
    <w:div w:id="952635481">
      <w:bodyDiv w:val="1"/>
      <w:marLeft w:val="0"/>
      <w:marRight w:val="0"/>
      <w:marTop w:val="0"/>
      <w:marBottom w:val="0"/>
      <w:divBdr>
        <w:top w:val="none" w:sz="0" w:space="0" w:color="auto"/>
        <w:left w:val="none" w:sz="0" w:space="0" w:color="auto"/>
        <w:bottom w:val="none" w:sz="0" w:space="0" w:color="auto"/>
        <w:right w:val="none" w:sz="0" w:space="0" w:color="auto"/>
      </w:divBdr>
    </w:div>
    <w:div w:id="952786025">
      <w:bodyDiv w:val="1"/>
      <w:marLeft w:val="0"/>
      <w:marRight w:val="0"/>
      <w:marTop w:val="0"/>
      <w:marBottom w:val="0"/>
      <w:divBdr>
        <w:top w:val="none" w:sz="0" w:space="0" w:color="auto"/>
        <w:left w:val="none" w:sz="0" w:space="0" w:color="auto"/>
        <w:bottom w:val="none" w:sz="0" w:space="0" w:color="auto"/>
        <w:right w:val="none" w:sz="0" w:space="0" w:color="auto"/>
      </w:divBdr>
    </w:div>
    <w:div w:id="1064529001">
      <w:bodyDiv w:val="1"/>
      <w:marLeft w:val="0"/>
      <w:marRight w:val="0"/>
      <w:marTop w:val="0"/>
      <w:marBottom w:val="0"/>
      <w:divBdr>
        <w:top w:val="none" w:sz="0" w:space="0" w:color="auto"/>
        <w:left w:val="none" w:sz="0" w:space="0" w:color="auto"/>
        <w:bottom w:val="none" w:sz="0" w:space="0" w:color="auto"/>
        <w:right w:val="none" w:sz="0" w:space="0" w:color="auto"/>
      </w:divBdr>
    </w:div>
    <w:div w:id="1069963001">
      <w:bodyDiv w:val="1"/>
      <w:marLeft w:val="0"/>
      <w:marRight w:val="0"/>
      <w:marTop w:val="0"/>
      <w:marBottom w:val="0"/>
      <w:divBdr>
        <w:top w:val="none" w:sz="0" w:space="0" w:color="auto"/>
        <w:left w:val="none" w:sz="0" w:space="0" w:color="auto"/>
        <w:bottom w:val="none" w:sz="0" w:space="0" w:color="auto"/>
        <w:right w:val="none" w:sz="0" w:space="0" w:color="auto"/>
      </w:divBdr>
    </w:div>
    <w:div w:id="1087651663">
      <w:bodyDiv w:val="1"/>
      <w:marLeft w:val="0"/>
      <w:marRight w:val="0"/>
      <w:marTop w:val="0"/>
      <w:marBottom w:val="0"/>
      <w:divBdr>
        <w:top w:val="none" w:sz="0" w:space="0" w:color="auto"/>
        <w:left w:val="none" w:sz="0" w:space="0" w:color="auto"/>
        <w:bottom w:val="none" w:sz="0" w:space="0" w:color="auto"/>
        <w:right w:val="none" w:sz="0" w:space="0" w:color="auto"/>
      </w:divBdr>
    </w:div>
    <w:div w:id="1092900143">
      <w:bodyDiv w:val="1"/>
      <w:marLeft w:val="0"/>
      <w:marRight w:val="0"/>
      <w:marTop w:val="0"/>
      <w:marBottom w:val="0"/>
      <w:divBdr>
        <w:top w:val="none" w:sz="0" w:space="0" w:color="auto"/>
        <w:left w:val="none" w:sz="0" w:space="0" w:color="auto"/>
        <w:bottom w:val="none" w:sz="0" w:space="0" w:color="auto"/>
        <w:right w:val="none" w:sz="0" w:space="0" w:color="auto"/>
      </w:divBdr>
    </w:div>
    <w:div w:id="1102411845">
      <w:bodyDiv w:val="1"/>
      <w:marLeft w:val="0"/>
      <w:marRight w:val="0"/>
      <w:marTop w:val="0"/>
      <w:marBottom w:val="0"/>
      <w:divBdr>
        <w:top w:val="none" w:sz="0" w:space="0" w:color="auto"/>
        <w:left w:val="none" w:sz="0" w:space="0" w:color="auto"/>
        <w:bottom w:val="none" w:sz="0" w:space="0" w:color="auto"/>
        <w:right w:val="none" w:sz="0" w:space="0" w:color="auto"/>
      </w:divBdr>
    </w:div>
    <w:div w:id="1139154713">
      <w:bodyDiv w:val="1"/>
      <w:marLeft w:val="0"/>
      <w:marRight w:val="0"/>
      <w:marTop w:val="0"/>
      <w:marBottom w:val="0"/>
      <w:divBdr>
        <w:top w:val="none" w:sz="0" w:space="0" w:color="auto"/>
        <w:left w:val="none" w:sz="0" w:space="0" w:color="auto"/>
        <w:bottom w:val="none" w:sz="0" w:space="0" w:color="auto"/>
        <w:right w:val="none" w:sz="0" w:space="0" w:color="auto"/>
      </w:divBdr>
    </w:div>
    <w:div w:id="1153302614">
      <w:bodyDiv w:val="1"/>
      <w:marLeft w:val="0"/>
      <w:marRight w:val="0"/>
      <w:marTop w:val="0"/>
      <w:marBottom w:val="0"/>
      <w:divBdr>
        <w:top w:val="none" w:sz="0" w:space="0" w:color="auto"/>
        <w:left w:val="none" w:sz="0" w:space="0" w:color="auto"/>
        <w:bottom w:val="none" w:sz="0" w:space="0" w:color="auto"/>
        <w:right w:val="none" w:sz="0" w:space="0" w:color="auto"/>
      </w:divBdr>
    </w:div>
    <w:div w:id="1164780027">
      <w:bodyDiv w:val="1"/>
      <w:marLeft w:val="0"/>
      <w:marRight w:val="0"/>
      <w:marTop w:val="0"/>
      <w:marBottom w:val="0"/>
      <w:divBdr>
        <w:top w:val="none" w:sz="0" w:space="0" w:color="auto"/>
        <w:left w:val="none" w:sz="0" w:space="0" w:color="auto"/>
        <w:bottom w:val="none" w:sz="0" w:space="0" w:color="auto"/>
        <w:right w:val="none" w:sz="0" w:space="0" w:color="auto"/>
      </w:divBdr>
    </w:div>
    <w:div w:id="1206411181">
      <w:bodyDiv w:val="1"/>
      <w:marLeft w:val="0"/>
      <w:marRight w:val="0"/>
      <w:marTop w:val="0"/>
      <w:marBottom w:val="0"/>
      <w:divBdr>
        <w:top w:val="none" w:sz="0" w:space="0" w:color="auto"/>
        <w:left w:val="none" w:sz="0" w:space="0" w:color="auto"/>
        <w:bottom w:val="none" w:sz="0" w:space="0" w:color="auto"/>
        <w:right w:val="none" w:sz="0" w:space="0" w:color="auto"/>
      </w:divBdr>
    </w:div>
    <w:div w:id="1250389938">
      <w:bodyDiv w:val="1"/>
      <w:marLeft w:val="0"/>
      <w:marRight w:val="0"/>
      <w:marTop w:val="0"/>
      <w:marBottom w:val="0"/>
      <w:divBdr>
        <w:top w:val="none" w:sz="0" w:space="0" w:color="auto"/>
        <w:left w:val="none" w:sz="0" w:space="0" w:color="auto"/>
        <w:bottom w:val="none" w:sz="0" w:space="0" w:color="auto"/>
        <w:right w:val="none" w:sz="0" w:space="0" w:color="auto"/>
      </w:divBdr>
    </w:div>
    <w:div w:id="1254437837">
      <w:bodyDiv w:val="1"/>
      <w:marLeft w:val="0"/>
      <w:marRight w:val="0"/>
      <w:marTop w:val="0"/>
      <w:marBottom w:val="0"/>
      <w:divBdr>
        <w:top w:val="none" w:sz="0" w:space="0" w:color="auto"/>
        <w:left w:val="none" w:sz="0" w:space="0" w:color="auto"/>
        <w:bottom w:val="none" w:sz="0" w:space="0" w:color="auto"/>
        <w:right w:val="none" w:sz="0" w:space="0" w:color="auto"/>
      </w:divBdr>
    </w:div>
    <w:div w:id="1263613713">
      <w:bodyDiv w:val="1"/>
      <w:marLeft w:val="0"/>
      <w:marRight w:val="0"/>
      <w:marTop w:val="0"/>
      <w:marBottom w:val="0"/>
      <w:divBdr>
        <w:top w:val="none" w:sz="0" w:space="0" w:color="auto"/>
        <w:left w:val="none" w:sz="0" w:space="0" w:color="auto"/>
        <w:bottom w:val="none" w:sz="0" w:space="0" w:color="auto"/>
        <w:right w:val="none" w:sz="0" w:space="0" w:color="auto"/>
      </w:divBdr>
    </w:div>
    <w:div w:id="1266688023">
      <w:bodyDiv w:val="1"/>
      <w:marLeft w:val="0"/>
      <w:marRight w:val="0"/>
      <w:marTop w:val="0"/>
      <w:marBottom w:val="0"/>
      <w:divBdr>
        <w:top w:val="none" w:sz="0" w:space="0" w:color="auto"/>
        <w:left w:val="none" w:sz="0" w:space="0" w:color="auto"/>
        <w:bottom w:val="none" w:sz="0" w:space="0" w:color="auto"/>
        <w:right w:val="none" w:sz="0" w:space="0" w:color="auto"/>
      </w:divBdr>
    </w:div>
    <w:div w:id="1275137506">
      <w:bodyDiv w:val="1"/>
      <w:marLeft w:val="0"/>
      <w:marRight w:val="0"/>
      <w:marTop w:val="0"/>
      <w:marBottom w:val="0"/>
      <w:divBdr>
        <w:top w:val="none" w:sz="0" w:space="0" w:color="auto"/>
        <w:left w:val="none" w:sz="0" w:space="0" w:color="auto"/>
        <w:bottom w:val="none" w:sz="0" w:space="0" w:color="auto"/>
        <w:right w:val="none" w:sz="0" w:space="0" w:color="auto"/>
      </w:divBdr>
    </w:div>
    <w:div w:id="1290435586">
      <w:bodyDiv w:val="1"/>
      <w:marLeft w:val="0"/>
      <w:marRight w:val="0"/>
      <w:marTop w:val="0"/>
      <w:marBottom w:val="0"/>
      <w:divBdr>
        <w:top w:val="none" w:sz="0" w:space="0" w:color="auto"/>
        <w:left w:val="none" w:sz="0" w:space="0" w:color="auto"/>
        <w:bottom w:val="none" w:sz="0" w:space="0" w:color="auto"/>
        <w:right w:val="none" w:sz="0" w:space="0" w:color="auto"/>
      </w:divBdr>
    </w:div>
    <w:div w:id="1292519377">
      <w:bodyDiv w:val="1"/>
      <w:marLeft w:val="0"/>
      <w:marRight w:val="0"/>
      <w:marTop w:val="0"/>
      <w:marBottom w:val="0"/>
      <w:divBdr>
        <w:top w:val="none" w:sz="0" w:space="0" w:color="auto"/>
        <w:left w:val="none" w:sz="0" w:space="0" w:color="auto"/>
        <w:bottom w:val="none" w:sz="0" w:space="0" w:color="auto"/>
        <w:right w:val="none" w:sz="0" w:space="0" w:color="auto"/>
      </w:divBdr>
    </w:div>
    <w:div w:id="1300577861">
      <w:bodyDiv w:val="1"/>
      <w:marLeft w:val="0"/>
      <w:marRight w:val="0"/>
      <w:marTop w:val="0"/>
      <w:marBottom w:val="0"/>
      <w:divBdr>
        <w:top w:val="none" w:sz="0" w:space="0" w:color="auto"/>
        <w:left w:val="none" w:sz="0" w:space="0" w:color="auto"/>
        <w:bottom w:val="none" w:sz="0" w:space="0" w:color="auto"/>
        <w:right w:val="none" w:sz="0" w:space="0" w:color="auto"/>
      </w:divBdr>
    </w:div>
    <w:div w:id="1302924128">
      <w:bodyDiv w:val="1"/>
      <w:marLeft w:val="0"/>
      <w:marRight w:val="0"/>
      <w:marTop w:val="0"/>
      <w:marBottom w:val="0"/>
      <w:divBdr>
        <w:top w:val="none" w:sz="0" w:space="0" w:color="auto"/>
        <w:left w:val="none" w:sz="0" w:space="0" w:color="auto"/>
        <w:bottom w:val="none" w:sz="0" w:space="0" w:color="auto"/>
        <w:right w:val="none" w:sz="0" w:space="0" w:color="auto"/>
      </w:divBdr>
    </w:div>
    <w:div w:id="1305424549">
      <w:bodyDiv w:val="1"/>
      <w:marLeft w:val="0"/>
      <w:marRight w:val="0"/>
      <w:marTop w:val="0"/>
      <w:marBottom w:val="0"/>
      <w:divBdr>
        <w:top w:val="none" w:sz="0" w:space="0" w:color="auto"/>
        <w:left w:val="none" w:sz="0" w:space="0" w:color="auto"/>
        <w:bottom w:val="none" w:sz="0" w:space="0" w:color="auto"/>
        <w:right w:val="none" w:sz="0" w:space="0" w:color="auto"/>
      </w:divBdr>
    </w:div>
    <w:div w:id="1305545618">
      <w:bodyDiv w:val="1"/>
      <w:marLeft w:val="0"/>
      <w:marRight w:val="0"/>
      <w:marTop w:val="0"/>
      <w:marBottom w:val="0"/>
      <w:divBdr>
        <w:top w:val="none" w:sz="0" w:space="0" w:color="auto"/>
        <w:left w:val="none" w:sz="0" w:space="0" w:color="auto"/>
        <w:bottom w:val="none" w:sz="0" w:space="0" w:color="auto"/>
        <w:right w:val="none" w:sz="0" w:space="0" w:color="auto"/>
      </w:divBdr>
    </w:div>
    <w:div w:id="1306203564">
      <w:bodyDiv w:val="1"/>
      <w:marLeft w:val="0"/>
      <w:marRight w:val="0"/>
      <w:marTop w:val="0"/>
      <w:marBottom w:val="0"/>
      <w:divBdr>
        <w:top w:val="none" w:sz="0" w:space="0" w:color="auto"/>
        <w:left w:val="none" w:sz="0" w:space="0" w:color="auto"/>
        <w:bottom w:val="none" w:sz="0" w:space="0" w:color="auto"/>
        <w:right w:val="none" w:sz="0" w:space="0" w:color="auto"/>
      </w:divBdr>
    </w:div>
    <w:div w:id="1322739154">
      <w:bodyDiv w:val="1"/>
      <w:marLeft w:val="0"/>
      <w:marRight w:val="0"/>
      <w:marTop w:val="0"/>
      <w:marBottom w:val="0"/>
      <w:divBdr>
        <w:top w:val="none" w:sz="0" w:space="0" w:color="auto"/>
        <w:left w:val="none" w:sz="0" w:space="0" w:color="auto"/>
        <w:bottom w:val="none" w:sz="0" w:space="0" w:color="auto"/>
        <w:right w:val="none" w:sz="0" w:space="0" w:color="auto"/>
      </w:divBdr>
    </w:div>
    <w:div w:id="1323849493">
      <w:bodyDiv w:val="1"/>
      <w:marLeft w:val="0"/>
      <w:marRight w:val="0"/>
      <w:marTop w:val="0"/>
      <w:marBottom w:val="0"/>
      <w:divBdr>
        <w:top w:val="none" w:sz="0" w:space="0" w:color="auto"/>
        <w:left w:val="none" w:sz="0" w:space="0" w:color="auto"/>
        <w:bottom w:val="none" w:sz="0" w:space="0" w:color="auto"/>
        <w:right w:val="none" w:sz="0" w:space="0" w:color="auto"/>
      </w:divBdr>
    </w:div>
    <w:div w:id="1324434309">
      <w:bodyDiv w:val="1"/>
      <w:marLeft w:val="0"/>
      <w:marRight w:val="0"/>
      <w:marTop w:val="0"/>
      <w:marBottom w:val="0"/>
      <w:divBdr>
        <w:top w:val="none" w:sz="0" w:space="0" w:color="auto"/>
        <w:left w:val="none" w:sz="0" w:space="0" w:color="auto"/>
        <w:bottom w:val="none" w:sz="0" w:space="0" w:color="auto"/>
        <w:right w:val="none" w:sz="0" w:space="0" w:color="auto"/>
      </w:divBdr>
    </w:div>
    <w:div w:id="1339425285">
      <w:bodyDiv w:val="1"/>
      <w:marLeft w:val="0"/>
      <w:marRight w:val="0"/>
      <w:marTop w:val="0"/>
      <w:marBottom w:val="0"/>
      <w:divBdr>
        <w:top w:val="none" w:sz="0" w:space="0" w:color="auto"/>
        <w:left w:val="none" w:sz="0" w:space="0" w:color="auto"/>
        <w:bottom w:val="none" w:sz="0" w:space="0" w:color="auto"/>
        <w:right w:val="none" w:sz="0" w:space="0" w:color="auto"/>
      </w:divBdr>
    </w:div>
    <w:div w:id="1356611327">
      <w:bodyDiv w:val="1"/>
      <w:marLeft w:val="0"/>
      <w:marRight w:val="0"/>
      <w:marTop w:val="0"/>
      <w:marBottom w:val="0"/>
      <w:divBdr>
        <w:top w:val="none" w:sz="0" w:space="0" w:color="auto"/>
        <w:left w:val="none" w:sz="0" w:space="0" w:color="auto"/>
        <w:bottom w:val="none" w:sz="0" w:space="0" w:color="auto"/>
        <w:right w:val="none" w:sz="0" w:space="0" w:color="auto"/>
      </w:divBdr>
    </w:div>
    <w:div w:id="1359089976">
      <w:bodyDiv w:val="1"/>
      <w:marLeft w:val="0"/>
      <w:marRight w:val="0"/>
      <w:marTop w:val="0"/>
      <w:marBottom w:val="0"/>
      <w:divBdr>
        <w:top w:val="none" w:sz="0" w:space="0" w:color="auto"/>
        <w:left w:val="none" w:sz="0" w:space="0" w:color="auto"/>
        <w:bottom w:val="none" w:sz="0" w:space="0" w:color="auto"/>
        <w:right w:val="none" w:sz="0" w:space="0" w:color="auto"/>
      </w:divBdr>
    </w:div>
    <w:div w:id="1376588622">
      <w:bodyDiv w:val="1"/>
      <w:marLeft w:val="0"/>
      <w:marRight w:val="0"/>
      <w:marTop w:val="0"/>
      <w:marBottom w:val="0"/>
      <w:divBdr>
        <w:top w:val="none" w:sz="0" w:space="0" w:color="auto"/>
        <w:left w:val="none" w:sz="0" w:space="0" w:color="auto"/>
        <w:bottom w:val="none" w:sz="0" w:space="0" w:color="auto"/>
        <w:right w:val="none" w:sz="0" w:space="0" w:color="auto"/>
      </w:divBdr>
    </w:div>
    <w:div w:id="1380596438">
      <w:bodyDiv w:val="1"/>
      <w:marLeft w:val="0"/>
      <w:marRight w:val="0"/>
      <w:marTop w:val="0"/>
      <w:marBottom w:val="0"/>
      <w:divBdr>
        <w:top w:val="none" w:sz="0" w:space="0" w:color="auto"/>
        <w:left w:val="none" w:sz="0" w:space="0" w:color="auto"/>
        <w:bottom w:val="none" w:sz="0" w:space="0" w:color="auto"/>
        <w:right w:val="none" w:sz="0" w:space="0" w:color="auto"/>
      </w:divBdr>
    </w:div>
    <w:div w:id="1390493984">
      <w:bodyDiv w:val="1"/>
      <w:marLeft w:val="0"/>
      <w:marRight w:val="0"/>
      <w:marTop w:val="0"/>
      <w:marBottom w:val="0"/>
      <w:divBdr>
        <w:top w:val="none" w:sz="0" w:space="0" w:color="auto"/>
        <w:left w:val="none" w:sz="0" w:space="0" w:color="auto"/>
        <w:bottom w:val="none" w:sz="0" w:space="0" w:color="auto"/>
        <w:right w:val="none" w:sz="0" w:space="0" w:color="auto"/>
      </w:divBdr>
    </w:div>
    <w:div w:id="1401753625">
      <w:bodyDiv w:val="1"/>
      <w:marLeft w:val="0"/>
      <w:marRight w:val="0"/>
      <w:marTop w:val="0"/>
      <w:marBottom w:val="0"/>
      <w:divBdr>
        <w:top w:val="none" w:sz="0" w:space="0" w:color="auto"/>
        <w:left w:val="none" w:sz="0" w:space="0" w:color="auto"/>
        <w:bottom w:val="none" w:sz="0" w:space="0" w:color="auto"/>
        <w:right w:val="none" w:sz="0" w:space="0" w:color="auto"/>
      </w:divBdr>
    </w:div>
    <w:div w:id="1413620027">
      <w:bodyDiv w:val="1"/>
      <w:marLeft w:val="0"/>
      <w:marRight w:val="0"/>
      <w:marTop w:val="0"/>
      <w:marBottom w:val="0"/>
      <w:divBdr>
        <w:top w:val="none" w:sz="0" w:space="0" w:color="auto"/>
        <w:left w:val="none" w:sz="0" w:space="0" w:color="auto"/>
        <w:bottom w:val="none" w:sz="0" w:space="0" w:color="auto"/>
        <w:right w:val="none" w:sz="0" w:space="0" w:color="auto"/>
      </w:divBdr>
    </w:div>
    <w:div w:id="1430586825">
      <w:bodyDiv w:val="1"/>
      <w:marLeft w:val="0"/>
      <w:marRight w:val="0"/>
      <w:marTop w:val="0"/>
      <w:marBottom w:val="0"/>
      <w:divBdr>
        <w:top w:val="none" w:sz="0" w:space="0" w:color="auto"/>
        <w:left w:val="none" w:sz="0" w:space="0" w:color="auto"/>
        <w:bottom w:val="none" w:sz="0" w:space="0" w:color="auto"/>
        <w:right w:val="none" w:sz="0" w:space="0" w:color="auto"/>
      </w:divBdr>
    </w:div>
    <w:div w:id="1481311132">
      <w:bodyDiv w:val="1"/>
      <w:marLeft w:val="0"/>
      <w:marRight w:val="0"/>
      <w:marTop w:val="0"/>
      <w:marBottom w:val="0"/>
      <w:divBdr>
        <w:top w:val="none" w:sz="0" w:space="0" w:color="auto"/>
        <w:left w:val="none" w:sz="0" w:space="0" w:color="auto"/>
        <w:bottom w:val="none" w:sz="0" w:space="0" w:color="auto"/>
        <w:right w:val="none" w:sz="0" w:space="0" w:color="auto"/>
      </w:divBdr>
    </w:div>
    <w:div w:id="1500080757">
      <w:bodyDiv w:val="1"/>
      <w:marLeft w:val="0"/>
      <w:marRight w:val="0"/>
      <w:marTop w:val="0"/>
      <w:marBottom w:val="0"/>
      <w:divBdr>
        <w:top w:val="none" w:sz="0" w:space="0" w:color="auto"/>
        <w:left w:val="none" w:sz="0" w:space="0" w:color="auto"/>
        <w:bottom w:val="none" w:sz="0" w:space="0" w:color="auto"/>
        <w:right w:val="none" w:sz="0" w:space="0" w:color="auto"/>
      </w:divBdr>
    </w:div>
    <w:div w:id="1516773883">
      <w:bodyDiv w:val="1"/>
      <w:marLeft w:val="0"/>
      <w:marRight w:val="0"/>
      <w:marTop w:val="0"/>
      <w:marBottom w:val="0"/>
      <w:divBdr>
        <w:top w:val="none" w:sz="0" w:space="0" w:color="auto"/>
        <w:left w:val="none" w:sz="0" w:space="0" w:color="auto"/>
        <w:bottom w:val="none" w:sz="0" w:space="0" w:color="auto"/>
        <w:right w:val="none" w:sz="0" w:space="0" w:color="auto"/>
      </w:divBdr>
    </w:div>
    <w:div w:id="1538812809">
      <w:bodyDiv w:val="1"/>
      <w:marLeft w:val="0"/>
      <w:marRight w:val="0"/>
      <w:marTop w:val="0"/>
      <w:marBottom w:val="0"/>
      <w:divBdr>
        <w:top w:val="none" w:sz="0" w:space="0" w:color="auto"/>
        <w:left w:val="none" w:sz="0" w:space="0" w:color="auto"/>
        <w:bottom w:val="none" w:sz="0" w:space="0" w:color="auto"/>
        <w:right w:val="none" w:sz="0" w:space="0" w:color="auto"/>
      </w:divBdr>
    </w:div>
    <w:div w:id="1555850565">
      <w:bodyDiv w:val="1"/>
      <w:marLeft w:val="0"/>
      <w:marRight w:val="0"/>
      <w:marTop w:val="0"/>
      <w:marBottom w:val="0"/>
      <w:divBdr>
        <w:top w:val="none" w:sz="0" w:space="0" w:color="auto"/>
        <w:left w:val="none" w:sz="0" w:space="0" w:color="auto"/>
        <w:bottom w:val="none" w:sz="0" w:space="0" w:color="auto"/>
        <w:right w:val="none" w:sz="0" w:space="0" w:color="auto"/>
      </w:divBdr>
    </w:div>
    <w:div w:id="1573273563">
      <w:bodyDiv w:val="1"/>
      <w:marLeft w:val="0"/>
      <w:marRight w:val="0"/>
      <w:marTop w:val="0"/>
      <w:marBottom w:val="0"/>
      <w:divBdr>
        <w:top w:val="none" w:sz="0" w:space="0" w:color="auto"/>
        <w:left w:val="none" w:sz="0" w:space="0" w:color="auto"/>
        <w:bottom w:val="none" w:sz="0" w:space="0" w:color="auto"/>
        <w:right w:val="none" w:sz="0" w:space="0" w:color="auto"/>
      </w:divBdr>
    </w:div>
    <w:div w:id="1588462075">
      <w:bodyDiv w:val="1"/>
      <w:marLeft w:val="0"/>
      <w:marRight w:val="0"/>
      <w:marTop w:val="0"/>
      <w:marBottom w:val="0"/>
      <w:divBdr>
        <w:top w:val="none" w:sz="0" w:space="0" w:color="auto"/>
        <w:left w:val="none" w:sz="0" w:space="0" w:color="auto"/>
        <w:bottom w:val="none" w:sz="0" w:space="0" w:color="auto"/>
        <w:right w:val="none" w:sz="0" w:space="0" w:color="auto"/>
      </w:divBdr>
    </w:div>
    <w:div w:id="1592396709">
      <w:bodyDiv w:val="1"/>
      <w:marLeft w:val="0"/>
      <w:marRight w:val="0"/>
      <w:marTop w:val="0"/>
      <w:marBottom w:val="0"/>
      <w:divBdr>
        <w:top w:val="none" w:sz="0" w:space="0" w:color="auto"/>
        <w:left w:val="none" w:sz="0" w:space="0" w:color="auto"/>
        <w:bottom w:val="none" w:sz="0" w:space="0" w:color="auto"/>
        <w:right w:val="none" w:sz="0" w:space="0" w:color="auto"/>
      </w:divBdr>
    </w:div>
    <w:div w:id="1606840212">
      <w:bodyDiv w:val="1"/>
      <w:marLeft w:val="0"/>
      <w:marRight w:val="0"/>
      <w:marTop w:val="0"/>
      <w:marBottom w:val="0"/>
      <w:divBdr>
        <w:top w:val="none" w:sz="0" w:space="0" w:color="auto"/>
        <w:left w:val="none" w:sz="0" w:space="0" w:color="auto"/>
        <w:bottom w:val="none" w:sz="0" w:space="0" w:color="auto"/>
        <w:right w:val="none" w:sz="0" w:space="0" w:color="auto"/>
      </w:divBdr>
    </w:div>
    <w:div w:id="1609045270">
      <w:bodyDiv w:val="1"/>
      <w:marLeft w:val="0"/>
      <w:marRight w:val="0"/>
      <w:marTop w:val="0"/>
      <w:marBottom w:val="0"/>
      <w:divBdr>
        <w:top w:val="none" w:sz="0" w:space="0" w:color="auto"/>
        <w:left w:val="none" w:sz="0" w:space="0" w:color="auto"/>
        <w:bottom w:val="none" w:sz="0" w:space="0" w:color="auto"/>
        <w:right w:val="none" w:sz="0" w:space="0" w:color="auto"/>
      </w:divBdr>
    </w:div>
    <w:div w:id="1612935456">
      <w:bodyDiv w:val="1"/>
      <w:marLeft w:val="0"/>
      <w:marRight w:val="0"/>
      <w:marTop w:val="0"/>
      <w:marBottom w:val="0"/>
      <w:divBdr>
        <w:top w:val="none" w:sz="0" w:space="0" w:color="auto"/>
        <w:left w:val="none" w:sz="0" w:space="0" w:color="auto"/>
        <w:bottom w:val="none" w:sz="0" w:space="0" w:color="auto"/>
        <w:right w:val="none" w:sz="0" w:space="0" w:color="auto"/>
      </w:divBdr>
    </w:div>
    <w:div w:id="1628125131">
      <w:bodyDiv w:val="1"/>
      <w:marLeft w:val="0"/>
      <w:marRight w:val="0"/>
      <w:marTop w:val="0"/>
      <w:marBottom w:val="0"/>
      <w:divBdr>
        <w:top w:val="none" w:sz="0" w:space="0" w:color="auto"/>
        <w:left w:val="none" w:sz="0" w:space="0" w:color="auto"/>
        <w:bottom w:val="none" w:sz="0" w:space="0" w:color="auto"/>
        <w:right w:val="none" w:sz="0" w:space="0" w:color="auto"/>
      </w:divBdr>
    </w:div>
    <w:div w:id="1670213408">
      <w:bodyDiv w:val="1"/>
      <w:marLeft w:val="0"/>
      <w:marRight w:val="0"/>
      <w:marTop w:val="0"/>
      <w:marBottom w:val="0"/>
      <w:divBdr>
        <w:top w:val="none" w:sz="0" w:space="0" w:color="auto"/>
        <w:left w:val="none" w:sz="0" w:space="0" w:color="auto"/>
        <w:bottom w:val="none" w:sz="0" w:space="0" w:color="auto"/>
        <w:right w:val="none" w:sz="0" w:space="0" w:color="auto"/>
      </w:divBdr>
    </w:div>
    <w:div w:id="1689674357">
      <w:bodyDiv w:val="1"/>
      <w:marLeft w:val="0"/>
      <w:marRight w:val="0"/>
      <w:marTop w:val="0"/>
      <w:marBottom w:val="0"/>
      <w:divBdr>
        <w:top w:val="none" w:sz="0" w:space="0" w:color="auto"/>
        <w:left w:val="none" w:sz="0" w:space="0" w:color="auto"/>
        <w:bottom w:val="none" w:sz="0" w:space="0" w:color="auto"/>
        <w:right w:val="none" w:sz="0" w:space="0" w:color="auto"/>
      </w:divBdr>
    </w:div>
    <w:div w:id="1700351659">
      <w:bodyDiv w:val="1"/>
      <w:marLeft w:val="0"/>
      <w:marRight w:val="0"/>
      <w:marTop w:val="0"/>
      <w:marBottom w:val="0"/>
      <w:divBdr>
        <w:top w:val="none" w:sz="0" w:space="0" w:color="auto"/>
        <w:left w:val="none" w:sz="0" w:space="0" w:color="auto"/>
        <w:bottom w:val="none" w:sz="0" w:space="0" w:color="auto"/>
        <w:right w:val="none" w:sz="0" w:space="0" w:color="auto"/>
      </w:divBdr>
    </w:div>
    <w:div w:id="1721130485">
      <w:bodyDiv w:val="1"/>
      <w:marLeft w:val="0"/>
      <w:marRight w:val="0"/>
      <w:marTop w:val="0"/>
      <w:marBottom w:val="0"/>
      <w:divBdr>
        <w:top w:val="none" w:sz="0" w:space="0" w:color="auto"/>
        <w:left w:val="none" w:sz="0" w:space="0" w:color="auto"/>
        <w:bottom w:val="none" w:sz="0" w:space="0" w:color="auto"/>
        <w:right w:val="none" w:sz="0" w:space="0" w:color="auto"/>
      </w:divBdr>
    </w:div>
    <w:div w:id="1753963134">
      <w:bodyDiv w:val="1"/>
      <w:marLeft w:val="0"/>
      <w:marRight w:val="0"/>
      <w:marTop w:val="0"/>
      <w:marBottom w:val="0"/>
      <w:divBdr>
        <w:top w:val="none" w:sz="0" w:space="0" w:color="auto"/>
        <w:left w:val="none" w:sz="0" w:space="0" w:color="auto"/>
        <w:bottom w:val="none" w:sz="0" w:space="0" w:color="auto"/>
        <w:right w:val="none" w:sz="0" w:space="0" w:color="auto"/>
      </w:divBdr>
    </w:div>
    <w:div w:id="1761757123">
      <w:bodyDiv w:val="1"/>
      <w:marLeft w:val="0"/>
      <w:marRight w:val="0"/>
      <w:marTop w:val="0"/>
      <w:marBottom w:val="0"/>
      <w:divBdr>
        <w:top w:val="none" w:sz="0" w:space="0" w:color="auto"/>
        <w:left w:val="none" w:sz="0" w:space="0" w:color="auto"/>
        <w:bottom w:val="none" w:sz="0" w:space="0" w:color="auto"/>
        <w:right w:val="none" w:sz="0" w:space="0" w:color="auto"/>
      </w:divBdr>
    </w:div>
    <w:div w:id="1761902099">
      <w:bodyDiv w:val="1"/>
      <w:marLeft w:val="0"/>
      <w:marRight w:val="0"/>
      <w:marTop w:val="0"/>
      <w:marBottom w:val="0"/>
      <w:divBdr>
        <w:top w:val="none" w:sz="0" w:space="0" w:color="auto"/>
        <w:left w:val="none" w:sz="0" w:space="0" w:color="auto"/>
        <w:bottom w:val="none" w:sz="0" w:space="0" w:color="auto"/>
        <w:right w:val="none" w:sz="0" w:space="0" w:color="auto"/>
      </w:divBdr>
    </w:div>
    <w:div w:id="1767268862">
      <w:bodyDiv w:val="1"/>
      <w:marLeft w:val="0"/>
      <w:marRight w:val="0"/>
      <w:marTop w:val="0"/>
      <w:marBottom w:val="0"/>
      <w:divBdr>
        <w:top w:val="none" w:sz="0" w:space="0" w:color="auto"/>
        <w:left w:val="none" w:sz="0" w:space="0" w:color="auto"/>
        <w:bottom w:val="none" w:sz="0" w:space="0" w:color="auto"/>
        <w:right w:val="none" w:sz="0" w:space="0" w:color="auto"/>
      </w:divBdr>
    </w:div>
    <w:div w:id="1801260691">
      <w:bodyDiv w:val="1"/>
      <w:marLeft w:val="0"/>
      <w:marRight w:val="0"/>
      <w:marTop w:val="0"/>
      <w:marBottom w:val="0"/>
      <w:divBdr>
        <w:top w:val="none" w:sz="0" w:space="0" w:color="auto"/>
        <w:left w:val="none" w:sz="0" w:space="0" w:color="auto"/>
        <w:bottom w:val="none" w:sz="0" w:space="0" w:color="auto"/>
        <w:right w:val="none" w:sz="0" w:space="0" w:color="auto"/>
      </w:divBdr>
    </w:div>
    <w:div w:id="1812357124">
      <w:bodyDiv w:val="1"/>
      <w:marLeft w:val="0"/>
      <w:marRight w:val="0"/>
      <w:marTop w:val="0"/>
      <w:marBottom w:val="0"/>
      <w:divBdr>
        <w:top w:val="none" w:sz="0" w:space="0" w:color="auto"/>
        <w:left w:val="none" w:sz="0" w:space="0" w:color="auto"/>
        <w:bottom w:val="none" w:sz="0" w:space="0" w:color="auto"/>
        <w:right w:val="none" w:sz="0" w:space="0" w:color="auto"/>
      </w:divBdr>
    </w:div>
    <w:div w:id="1815027426">
      <w:bodyDiv w:val="1"/>
      <w:marLeft w:val="0"/>
      <w:marRight w:val="0"/>
      <w:marTop w:val="0"/>
      <w:marBottom w:val="0"/>
      <w:divBdr>
        <w:top w:val="none" w:sz="0" w:space="0" w:color="auto"/>
        <w:left w:val="none" w:sz="0" w:space="0" w:color="auto"/>
        <w:bottom w:val="none" w:sz="0" w:space="0" w:color="auto"/>
        <w:right w:val="none" w:sz="0" w:space="0" w:color="auto"/>
      </w:divBdr>
    </w:div>
    <w:div w:id="1854883062">
      <w:bodyDiv w:val="1"/>
      <w:marLeft w:val="0"/>
      <w:marRight w:val="0"/>
      <w:marTop w:val="0"/>
      <w:marBottom w:val="0"/>
      <w:divBdr>
        <w:top w:val="none" w:sz="0" w:space="0" w:color="auto"/>
        <w:left w:val="none" w:sz="0" w:space="0" w:color="auto"/>
        <w:bottom w:val="none" w:sz="0" w:space="0" w:color="auto"/>
        <w:right w:val="none" w:sz="0" w:space="0" w:color="auto"/>
      </w:divBdr>
    </w:div>
    <w:div w:id="1898395294">
      <w:bodyDiv w:val="1"/>
      <w:marLeft w:val="0"/>
      <w:marRight w:val="0"/>
      <w:marTop w:val="0"/>
      <w:marBottom w:val="0"/>
      <w:divBdr>
        <w:top w:val="none" w:sz="0" w:space="0" w:color="auto"/>
        <w:left w:val="none" w:sz="0" w:space="0" w:color="auto"/>
        <w:bottom w:val="none" w:sz="0" w:space="0" w:color="auto"/>
        <w:right w:val="none" w:sz="0" w:space="0" w:color="auto"/>
      </w:divBdr>
    </w:div>
    <w:div w:id="1908883445">
      <w:bodyDiv w:val="1"/>
      <w:marLeft w:val="0"/>
      <w:marRight w:val="0"/>
      <w:marTop w:val="0"/>
      <w:marBottom w:val="0"/>
      <w:divBdr>
        <w:top w:val="none" w:sz="0" w:space="0" w:color="auto"/>
        <w:left w:val="none" w:sz="0" w:space="0" w:color="auto"/>
        <w:bottom w:val="none" w:sz="0" w:space="0" w:color="auto"/>
        <w:right w:val="none" w:sz="0" w:space="0" w:color="auto"/>
      </w:divBdr>
    </w:div>
    <w:div w:id="1917737035">
      <w:bodyDiv w:val="1"/>
      <w:marLeft w:val="0"/>
      <w:marRight w:val="0"/>
      <w:marTop w:val="0"/>
      <w:marBottom w:val="0"/>
      <w:divBdr>
        <w:top w:val="none" w:sz="0" w:space="0" w:color="auto"/>
        <w:left w:val="none" w:sz="0" w:space="0" w:color="auto"/>
        <w:bottom w:val="none" w:sz="0" w:space="0" w:color="auto"/>
        <w:right w:val="none" w:sz="0" w:space="0" w:color="auto"/>
      </w:divBdr>
    </w:div>
    <w:div w:id="1930308949">
      <w:bodyDiv w:val="1"/>
      <w:marLeft w:val="0"/>
      <w:marRight w:val="0"/>
      <w:marTop w:val="0"/>
      <w:marBottom w:val="0"/>
      <w:divBdr>
        <w:top w:val="none" w:sz="0" w:space="0" w:color="auto"/>
        <w:left w:val="none" w:sz="0" w:space="0" w:color="auto"/>
        <w:bottom w:val="none" w:sz="0" w:space="0" w:color="auto"/>
        <w:right w:val="none" w:sz="0" w:space="0" w:color="auto"/>
      </w:divBdr>
    </w:div>
    <w:div w:id="1951353822">
      <w:bodyDiv w:val="1"/>
      <w:marLeft w:val="0"/>
      <w:marRight w:val="0"/>
      <w:marTop w:val="0"/>
      <w:marBottom w:val="0"/>
      <w:divBdr>
        <w:top w:val="none" w:sz="0" w:space="0" w:color="auto"/>
        <w:left w:val="none" w:sz="0" w:space="0" w:color="auto"/>
        <w:bottom w:val="none" w:sz="0" w:space="0" w:color="auto"/>
        <w:right w:val="none" w:sz="0" w:space="0" w:color="auto"/>
      </w:divBdr>
    </w:div>
    <w:div w:id="1960337083">
      <w:bodyDiv w:val="1"/>
      <w:marLeft w:val="0"/>
      <w:marRight w:val="0"/>
      <w:marTop w:val="0"/>
      <w:marBottom w:val="0"/>
      <w:divBdr>
        <w:top w:val="none" w:sz="0" w:space="0" w:color="auto"/>
        <w:left w:val="none" w:sz="0" w:space="0" w:color="auto"/>
        <w:bottom w:val="none" w:sz="0" w:space="0" w:color="auto"/>
        <w:right w:val="none" w:sz="0" w:space="0" w:color="auto"/>
      </w:divBdr>
    </w:div>
    <w:div w:id="1962611224">
      <w:bodyDiv w:val="1"/>
      <w:marLeft w:val="0"/>
      <w:marRight w:val="0"/>
      <w:marTop w:val="0"/>
      <w:marBottom w:val="0"/>
      <w:divBdr>
        <w:top w:val="none" w:sz="0" w:space="0" w:color="auto"/>
        <w:left w:val="none" w:sz="0" w:space="0" w:color="auto"/>
        <w:bottom w:val="none" w:sz="0" w:space="0" w:color="auto"/>
        <w:right w:val="none" w:sz="0" w:space="0" w:color="auto"/>
      </w:divBdr>
    </w:div>
    <w:div w:id="1993214363">
      <w:bodyDiv w:val="1"/>
      <w:marLeft w:val="0"/>
      <w:marRight w:val="0"/>
      <w:marTop w:val="0"/>
      <w:marBottom w:val="0"/>
      <w:divBdr>
        <w:top w:val="none" w:sz="0" w:space="0" w:color="auto"/>
        <w:left w:val="none" w:sz="0" w:space="0" w:color="auto"/>
        <w:bottom w:val="none" w:sz="0" w:space="0" w:color="auto"/>
        <w:right w:val="none" w:sz="0" w:space="0" w:color="auto"/>
      </w:divBdr>
    </w:div>
    <w:div w:id="1994019363">
      <w:bodyDiv w:val="1"/>
      <w:marLeft w:val="0"/>
      <w:marRight w:val="0"/>
      <w:marTop w:val="0"/>
      <w:marBottom w:val="0"/>
      <w:divBdr>
        <w:top w:val="none" w:sz="0" w:space="0" w:color="auto"/>
        <w:left w:val="none" w:sz="0" w:space="0" w:color="auto"/>
        <w:bottom w:val="none" w:sz="0" w:space="0" w:color="auto"/>
        <w:right w:val="none" w:sz="0" w:space="0" w:color="auto"/>
      </w:divBdr>
    </w:div>
    <w:div w:id="2024624064">
      <w:bodyDiv w:val="1"/>
      <w:marLeft w:val="0"/>
      <w:marRight w:val="0"/>
      <w:marTop w:val="0"/>
      <w:marBottom w:val="0"/>
      <w:divBdr>
        <w:top w:val="none" w:sz="0" w:space="0" w:color="auto"/>
        <w:left w:val="none" w:sz="0" w:space="0" w:color="auto"/>
        <w:bottom w:val="none" w:sz="0" w:space="0" w:color="auto"/>
        <w:right w:val="none" w:sz="0" w:space="0" w:color="auto"/>
      </w:divBdr>
    </w:div>
    <w:div w:id="2041741086">
      <w:bodyDiv w:val="1"/>
      <w:marLeft w:val="0"/>
      <w:marRight w:val="0"/>
      <w:marTop w:val="0"/>
      <w:marBottom w:val="0"/>
      <w:divBdr>
        <w:top w:val="none" w:sz="0" w:space="0" w:color="auto"/>
        <w:left w:val="none" w:sz="0" w:space="0" w:color="auto"/>
        <w:bottom w:val="none" w:sz="0" w:space="0" w:color="auto"/>
        <w:right w:val="none" w:sz="0" w:space="0" w:color="auto"/>
      </w:divBdr>
    </w:div>
    <w:div w:id="2048332314">
      <w:bodyDiv w:val="1"/>
      <w:marLeft w:val="0"/>
      <w:marRight w:val="0"/>
      <w:marTop w:val="0"/>
      <w:marBottom w:val="0"/>
      <w:divBdr>
        <w:top w:val="none" w:sz="0" w:space="0" w:color="auto"/>
        <w:left w:val="none" w:sz="0" w:space="0" w:color="auto"/>
        <w:bottom w:val="none" w:sz="0" w:space="0" w:color="auto"/>
        <w:right w:val="none" w:sz="0" w:space="0" w:color="auto"/>
      </w:divBdr>
    </w:div>
    <w:div w:id="2058359188">
      <w:bodyDiv w:val="1"/>
      <w:marLeft w:val="0"/>
      <w:marRight w:val="0"/>
      <w:marTop w:val="0"/>
      <w:marBottom w:val="0"/>
      <w:divBdr>
        <w:top w:val="none" w:sz="0" w:space="0" w:color="auto"/>
        <w:left w:val="none" w:sz="0" w:space="0" w:color="auto"/>
        <w:bottom w:val="none" w:sz="0" w:space="0" w:color="auto"/>
        <w:right w:val="none" w:sz="0" w:space="0" w:color="auto"/>
      </w:divBdr>
    </w:div>
    <w:div w:id="2105297495">
      <w:bodyDiv w:val="1"/>
      <w:marLeft w:val="0"/>
      <w:marRight w:val="0"/>
      <w:marTop w:val="0"/>
      <w:marBottom w:val="0"/>
      <w:divBdr>
        <w:top w:val="none" w:sz="0" w:space="0" w:color="auto"/>
        <w:left w:val="none" w:sz="0" w:space="0" w:color="auto"/>
        <w:bottom w:val="none" w:sz="0" w:space="0" w:color="auto"/>
        <w:right w:val="none" w:sz="0" w:space="0" w:color="auto"/>
      </w:divBdr>
    </w:div>
    <w:div w:id="2124840274">
      <w:bodyDiv w:val="1"/>
      <w:marLeft w:val="0"/>
      <w:marRight w:val="0"/>
      <w:marTop w:val="0"/>
      <w:marBottom w:val="0"/>
      <w:divBdr>
        <w:top w:val="none" w:sz="0" w:space="0" w:color="auto"/>
        <w:left w:val="none" w:sz="0" w:space="0" w:color="auto"/>
        <w:bottom w:val="none" w:sz="0" w:space="0" w:color="auto"/>
        <w:right w:val="none" w:sz="0" w:space="0" w:color="auto"/>
      </w:divBdr>
    </w:div>
    <w:div w:id="21370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13FF-BF61-481C-96DD-863E1502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4262</Words>
  <Characters>23444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belhaddad</dc:creator>
  <cp:lastModifiedBy>Jalal CHERKAOUI DEQAQI</cp:lastModifiedBy>
  <cp:revision>2</cp:revision>
  <dcterms:created xsi:type="dcterms:W3CDTF">2015-04-13T09:58:00Z</dcterms:created>
  <dcterms:modified xsi:type="dcterms:W3CDTF">2015-04-13T09:58:00Z</dcterms:modified>
</cp:coreProperties>
</file>