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F0" w:rsidRDefault="00C729F0" w:rsidP="00141422">
      <w:pPr>
        <w:pStyle w:val="Titleofpaper-line1"/>
        <w:spacing w:line="276" w:lineRule="auto"/>
        <w:rPr>
          <w:color w:val="auto"/>
          <w:sz w:val="24"/>
          <w:szCs w:val="24"/>
          <w:lang w:val="en-AU"/>
        </w:rPr>
      </w:pPr>
    </w:p>
    <w:p w:rsidR="00950CC0" w:rsidRPr="00D64F8C" w:rsidRDefault="003567E3" w:rsidP="00141422">
      <w:pPr>
        <w:pStyle w:val="Titleofpaper-line1"/>
        <w:spacing w:line="276" w:lineRule="auto"/>
        <w:rPr>
          <w:color w:val="auto"/>
          <w:sz w:val="24"/>
          <w:szCs w:val="24"/>
          <w:lang w:val="en-AU"/>
        </w:rPr>
      </w:pPr>
      <w:r w:rsidRPr="00D64F8C">
        <w:rPr>
          <w:color w:val="auto"/>
          <w:sz w:val="24"/>
          <w:szCs w:val="24"/>
          <w:lang w:val="en-AU"/>
        </w:rPr>
        <w:t>Capital</w:t>
      </w:r>
      <w:r w:rsidR="0080024B" w:rsidRPr="00D64F8C">
        <w:rPr>
          <w:color w:val="auto"/>
          <w:sz w:val="24"/>
          <w:szCs w:val="24"/>
          <w:lang w:val="en-AU"/>
        </w:rPr>
        <w:t xml:space="preserve"> </w:t>
      </w:r>
      <w:r w:rsidR="00EA5DBD" w:rsidRPr="00D64F8C">
        <w:rPr>
          <w:color w:val="auto"/>
          <w:sz w:val="24"/>
          <w:szCs w:val="24"/>
          <w:lang w:val="en-AU"/>
        </w:rPr>
        <w:t>Inf</w:t>
      </w:r>
      <w:r w:rsidR="0080024B" w:rsidRPr="00D64F8C">
        <w:rPr>
          <w:color w:val="auto"/>
          <w:sz w:val="24"/>
          <w:szCs w:val="24"/>
          <w:lang w:val="en-AU"/>
        </w:rPr>
        <w:t xml:space="preserve">lows and </w:t>
      </w:r>
      <w:r w:rsidR="00DA0183" w:rsidRPr="00D64F8C">
        <w:rPr>
          <w:color w:val="auto"/>
          <w:sz w:val="24"/>
          <w:szCs w:val="24"/>
          <w:lang w:val="en-AU"/>
        </w:rPr>
        <w:t>Economic G</w:t>
      </w:r>
      <w:r w:rsidR="00C500A3" w:rsidRPr="00D64F8C">
        <w:rPr>
          <w:color w:val="auto"/>
          <w:sz w:val="24"/>
          <w:szCs w:val="24"/>
          <w:lang w:val="en-AU"/>
        </w:rPr>
        <w:t>rowth</w:t>
      </w:r>
      <w:r w:rsidR="0080024B" w:rsidRPr="00D64F8C">
        <w:rPr>
          <w:color w:val="auto"/>
          <w:sz w:val="24"/>
          <w:szCs w:val="24"/>
          <w:lang w:val="en-AU"/>
        </w:rPr>
        <w:t xml:space="preserve"> in Selected COMESA Member Countries</w:t>
      </w:r>
    </w:p>
    <w:p w:rsidR="00155DCB" w:rsidRPr="00D64F8C" w:rsidRDefault="00155DCB" w:rsidP="00141422">
      <w:pPr>
        <w:pStyle w:val="Titleofpaper-line1"/>
        <w:spacing w:line="276" w:lineRule="auto"/>
        <w:rPr>
          <w:color w:val="auto"/>
          <w:sz w:val="24"/>
          <w:szCs w:val="24"/>
          <w:lang w:val="en-AU"/>
        </w:rPr>
      </w:pPr>
    </w:p>
    <w:p w:rsidR="00C729F0" w:rsidRDefault="00C729F0" w:rsidP="00141422">
      <w:pPr>
        <w:pStyle w:val="Titleofpaper-line1"/>
        <w:spacing w:line="276" w:lineRule="auto"/>
        <w:rPr>
          <w:color w:val="auto"/>
          <w:sz w:val="24"/>
          <w:szCs w:val="24"/>
          <w:lang w:val="en-AU"/>
        </w:rPr>
      </w:pPr>
    </w:p>
    <w:p w:rsidR="00155DCB" w:rsidRPr="00D64F8C" w:rsidRDefault="00155DCB" w:rsidP="00141422">
      <w:pPr>
        <w:pStyle w:val="Titleofpaper-line1"/>
        <w:spacing w:line="276" w:lineRule="auto"/>
        <w:rPr>
          <w:color w:val="auto"/>
          <w:sz w:val="24"/>
          <w:szCs w:val="24"/>
          <w:lang w:val="en-AU"/>
        </w:rPr>
      </w:pPr>
      <w:r w:rsidRPr="00D64F8C">
        <w:rPr>
          <w:color w:val="auto"/>
          <w:sz w:val="24"/>
          <w:szCs w:val="24"/>
          <w:lang w:val="en-AU"/>
        </w:rPr>
        <w:t>Lucas Njoroge</w:t>
      </w:r>
      <w:r w:rsidRPr="00D64F8C">
        <w:rPr>
          <w:rStyle w:val="FootnoteReference"/>
          <w:color w:val="auto"/>
          <w:sz w:val="24"/>
          <w:szCs w:val="24"/>
          <w:lang w:val="en-AU"/>
        </w:rPr>
        <w:footnoteReference w:id="1"/>
      </w:r>
    </w:p>
    <w:p w:rsidR="00155DCB" w:rsidRPr="00D64F8C" w:rsidRDefault="00155DCB" w:rsidP="00141422">
      <w:pPr>
        <w:pStyle w:val="Titleofpaper-line1"/>
        <w:spacing w:line="276" w:lineRule="auto"/>
        <w:rPr>
          <w:color w:val="auto"/>
          <w:sz w:val="24"/>
          <w:szCs w:val="24"/>
          <w:lang w:val="en-AU"/>
        </w:rPr>
      </w:pPr>
    </w:p>
    <w:p w:rsidR="00D626F1" w:rsidRPr="00D64F8C" w:rsidRDefault="00D626F1" w:rsidP="00141422">
      <w:pPr>
        <w:pStyle w:val="Titleofpaper-line1"/>
        <w:spacing w:line="276" w:lineRule="auto"/>
        <w:rPr>
          <w:color w:val="auto"/>
          <w:sz w:val="24"/>
          <w:szCs w:val="24"/>
          <w:lang w:val="en-AU"/>
        </w:rPr>
      </w:pPr>
    </w:p>
    <w:p w:rsidR="00C729F0" w:rsidRDefault="00C729F0" w:rsidP="00141422">
      <w:pPr>
        <w:pStyle w:val="Titleofpaper-line1"/>
        <w:spacing w:line="276" w:lineRule="auto"/>
        <w:rPr>
          <w:color w:val="auto"/>
          <w:sz w:val="24"/>
          <w:szCs w:val="24"/>
          <w:lang w:val="en-AU"/>
        </w:rPr>
      </w:pPr>
    </w:p>
    <w:p w:rsidR="00155DCB" w:rsidRPr="00D64F8C" w:rsidRDefault="00155DCB" w:rsidP="00141422">
      <w:pPr>
        <w:pStyle w:val="Titleofpaper-line1"/>
        <w:spacing w:line="276" w:lineRule="auto"/>
        <w:rPr>
          <w:color w:val="auto"/>
          <w:sz w:val="24"/>
          <w:szCs w:val="24"/>
          <w:lang w:val="en-AU"/>
        </w:rPr>
      </w:pPr>
      <w:r w:rsidRPr="00D64F8C">
        <w:rPr>
          <w:color w:val="auto"/>
          <w:sz w:val="24"/>
          <w:szCs w:val="24"/>
          <w:lang w:val="en-AU"/>
        </w:rPr>
        <w:t>Abstract</w:t>
      </w:r>
    </w:p>
    <w:p w:rsidR="00F43CFC" w:rsidRDefault="00155DCB" w:rsidP="00141422">
      <w:pPr>
        <w:pStyle w:val="Abstracttext"/>
        <w:spacing w:line="276" w:lineRule="auto"/>
        <w:rPr>
          <w:color w:val="auto"/>
        </w:rPr>
      </w:pPr>
      <w:r w:rsidRPr="00D64F8C">
        <w:rPr>
          <w:color w:val="auto"/>
        </w:rPr>
        <w:t xml:space="preserve">This </w:t>
      </w:r>
      <w:r w:rsidR="00D626F1" w:rsidRPr="00D64F8C">
        <w:rPr>
          <w:color w:val="auto"/>
        </w:rPr>
        <w:t>study</w:t>
      </w:r>
      <w:r w:rsidRPr="00D64F8C">
        <w:rPr>
          <w:color w:val="auto"/>
        </w:rPr>
        <w:t xml:space="preserve"> examines the impact of capital inflows (FDI, ODA and Remittances) on economic growth in COMESA member countries. Applying System GMM estimation, the study finds a positive and significant relationship between capital inflows </w:t>
      </w:r>
      <w:r w:rsidR="00395BF8" w:rsidRPr="00D64F8C">
        <w:rPr>
          <w:color w:val="auto"/>
        </w:rPr>
        <w:t xml:space="preserve">(except remittances) </w:t>
      </w:r>
      <w:r w:rsidRPr="00D64F8C">
        <w:rPr>
          <w:color w:val="auto"/>
        </w:rPr>
        <w:t>and GDP per capita growth, supporting the positive role capital inflows play in bridging the savings and investment gap</w:t>
      </w:r>
      <w:r w:rsidR="00F43CFC" w:rsidRPr="00D64F8C">
        <w:rPr>
          <w:color w:val="auto"/>
        </w:rPr>
        <w:t xml:space="preserve">, </w:t>
      </w:r>
      <w:r w:rsidR="00395BF8" w:rsidRPr="00D64F8C">
        <w:rPr>
          <w:color w:val="auto"/>
        </w:rPr>
        <w:t xml:space="preserve">by </w:t>
      </w:r>
      <w:r w:rsidRPr="00D64F8C">
        <w:rPr>
          <w:color w:val="auto"/>
        </w:rPr>
        <w:t xml:space="preserve">providing finance for investment. </w:t>
      </w:r>
      <w:r w:rsidR="006D4211" w:rsidRPr="00D64F8C">
        <w:rPr>
          <w:color w:val="auto"/>
        </w:rPr>
        <w:t>However,</w:t>
      </w:r>
      <w:r w:rsidR="00D626F1" w:rsidRPr="00D64F8C">
        <w:rPr>
          <w:color w:val="auto"/>
        </w:rPr>
        <w:t xml:space="preserve"> remittances do not significantly influence GDP per capital growth</w:t>
      </w:r>
      <w:r w:rsidR="00F43CFC" w:rsidRPr="00D64F8C">
        <w:rPr>
          <w:color w:val="auto"/>
        </w:rPr>
        <w:t>. Remittances contribute positively to GDP per capita growth only when interact</w:t>
      </w:r>
      <w:r w:rsidR="0035796B">
        <w:rPr>
          <w:color w:val="auto"/>
        </w:rPr>
        <w:t>ed</w:t>
      </w:r>
      <w:r w:rsidR="00F43CFC" w:rsidRPr="00D64F8C">
        <w:rPr>
          <w:color w:val="auto"/>
        </w:rPr>
        <w:t xml:space="preserve"> with a variable for domestic financial depth</w:t>
      </w:r>
      <w:r w:rsidR="0035796B">
        <w:rPr>
          <w:color w:val="auto"/>
        </w:rPr>
        <w:t xml:space="preserve">. </w:t>
      </w:r>
    </w:p>
    <w:p w:rsidR="0035796B" w:rsidRPr="00D64F8C" w:rsidRDefault="0035796B" w:rsidP="00141422">
      <w:pPr>
        <w:pStyle w:val="Abstracttext"/>
        <w:spacing w:line="276" w:lineRule="auto"/>
        <w:rPr>
          <w:color w:val="auto"/>
        </w:rPr>
      </w:pPr>
    </w:p>
    <w:p w:rsidR="003F3BD2" w:rsidRDefault="003F3BD2" w:rsidP="00141422">
      <w:pPr>
        <w:pStyle w:val="Abstracttext"/>
        <w:spacing w:line="276" w:lineRule="auto"/>
        <w:rPr>
          <w:color w:val="auto"/>
        </w:rPr>
      </w:pPr>
      <w:r w:rsidRPr="00D64F8C">
        <w:rPr>
          <w:color w:val="auto"/>
        </w:rPr>
        <w:t xml:space="preserve">Examining whether capital inflows adversely affect economic growth, the study finds that except for the remittances whose effect is not significant, capital inflows (FDI, ODA and total inflows) leads to an appreciation of the REER, </w:t>
      </w:r>
      <w:r w:rsidR="00155DCB" w:rsidRPr="00D64F8C">
        <w:rPr>
          <w:color w:val="auto"/>
        </w:rPr>
        <w:t>that may be detrimental to growth.</w:t>
      </w:r>
      <w:r w:rsidR="00D626F1" w:rsidRPr="00D64F8C">
        <w:rPr>
          <w:color w:val="auto"/>
        </w:rPr>
        <w:t xml:space="preserve"> </w:t>
      </w:r>
      <w:r w:rsidR="0035796B">
        <w:rPr>
          <w:color w:val="auto"/>
        </w:rPr>
        <w:t xml:space="preserve">The parameter for remittances does not </w:t>
      </w:r>
      <w:r w:rsidRPr="00D64F8C">
        <w:rPr>
          <w:color w:val="auto"/>
        </w:rPr>
        <w:t>significan</w:t>
      </w:r>
      <w:r w:rsidR="0035796B">
        <w:rPr>
          <w:color w:val="auto"/>
        </w:rPr>
        <w:t xml:space="preserve">tly </w:t>
      </w:r>
      <w:r w:rsidRPr="00D64F8C">
        <w:rPr>
          <w:color w:val="auto"/>
        </w:rPr>
        <w:t>effect REER</w:t>
      </w:r>
      <w:r w:rsidR="0035796B">
        <w:rPr>
          <w:color w:val="auto"/>
        </w:rPr>
        <w:t xml:space="preserve">, implying that remittances are in </w:t>
      </w:r>
      <w:r w:rsidR="0035796B" w:rsidRPr="00D64F8C">
        <w:rPr>
          <w:color w:val="auto"/>
        </w:rPr>
        <w:t>most</w:t>
      </w:r>
      <w:r w:rsidR="0035796B">
        <w:rPr>
          <w:color w:val="auto"/>
        </w:rPr>
        <w:t xml:space="preserve"> cases </w:t>
      </w:r>
      <w:r w:rsidR="0035796B" w:rsidRPr="00D64F8C">
        <w:rPr>
          <w:color w:val="auto"/>
        </w:rPr>
        <w:t>used to smoothen households’ consumptions during macroeconomic shocks</w:t>
      </w:r>
      <w:r w:rsidR="0035796B">
        <w:rPr>
          <w:color w:val="auto"/>
        </w:rPr>
        <w:t xml:space="preserve"> and hence are </w:t>
      </w:r>
      <w:r w:rsidRPr="00D64F8C">
        <w:rPr>
          <w:color w:val="auto"/>
        </w:rPr>
        <w:t xml:space="preserve">counter-cyclical </w:t>
      </w:r>
      <w:r w:rsidR="0035796B">
        <w:rPr>
          <w:color w:val="auto"/>
        </w:rPr>
        <w:t xml:space="preserve">in </w:t>
      </w:r>
      <w:r w:rsidRPr="00D64F8C">
        <w:rPr>
          <w:color w:val="auto"/>
        </w:rPr>
        <w:t xml:space="preserve">nature. </w:t>
      </w:r>
      <w:r w:rsidR="0035796B">
        <w:rPr>
          <w:color w:val="auto"/>
        </w:rPr>
        <w:t>The study recommends, among others, financial sector reforms that will ensure increased depth of the domestic financial sector</w:t>
      </w:r>
      <w:r w:rsidR="00B268E3">
        <w:rPr>
          <w:color w:val="auto"/>
        </w:rPr>
        <w:t>, capable of harnessing and providing efficient vehicles that can direct remittances for investment</w:t>
      </w:r>
      <w:r w:rsidR="0035796B">
        <w:rPr>
          <w:color w:val="auto"/>
        </w:rPr>
        <w:t xml:space="preserve">.  </w:t>
      </w:r>
    </w:p>
    <w:p w:rsidR="00155DCB" w:rsidRPr="00D64F8C" w:rsidRDefault="00155DCB" w:rsidP="00141422">
      <w:pPr>
        <w:pStyle w:val="Abstracttext"/>
        <w:spacing w:line="276" w:lineRule="auto"/>
        <w:rPr>
          <w:color w:val="auto"/>
        </w:rPr>
      </w:pPr>
    </w:p>
    <w:p w:rsidR="00D626F1" w:rsidRPr="00D64F8C" w:rsidRDefault="006D4211" w:rsidP="00141422">
      <w:pPr>
        <w:pStyle w:val="Abstracttext"/>
        <w:spacing w:line="276" w:lineRule="auto"/>
        <w:rPr>
          <w:color w:val="auto"/>
        </w:rPr>
      </w:pPr>
      <w:r w:rsidRPr="00D64F8C">
        <w:rPr>
          <w:b/>
          <w:color w:val="auto"/>
        </w:rPr>
        <w:t xml:space="preserve">JEL Classification Numbers: </w:t>
      </w:r>
      <w:r w:rsidR="00D465E7" w:rsidRPr="00D64F8C">
        <w:rPr>
          <w:color w:val="auto"/>
        </w:rPr>
        <w:t>F15, F21, F24, F35, F43 &amp; F45</w:t>
      </w:r>
    </w:p>
    <w:p w:rsidR="006D4211" w:rsidRPr="00D64F8C" w:rsidRDefault="006D4211" w:rsidP="00141422">
      <w:pPr>
        <w:pStyle w:val="Abstracttext"/>
        <w:spacing w:line="276" w:lineRule="auto"/>
        <w:rPr>
          <w:color w:val="auto"/>
        </w:rPr>
      </w:pPr>
      <w:r w:rsidRPr="00D64F8C">
        <w:rPr>
          <w:b/>
          <w:color w:val="auto"/>
        </w:rPr>
        <w:t xml:space="preserve">Keywords: </w:t>
      </w:r>
      <w:r w:rsidRPr="00D64F8C">
        <w:rPr>
          <w:color w:val="auto"/>
        </w:rPr>
        <w:t>Capital inflows, Economic Growth, COMESA</w:t>
      </w:r>
    </w:p>
    <w:p w:rsidR="00C41552" w:rsidRPr="00D64F8C" w:rsidRDefault="00C41552" w:rsidP="00141422">
      <w:pPr>
        <w:pStyle w:val="Abstracttext"/>
        <w:spacing w:line="276" w:lineRule="auto"/>
        <w:rPr>
          <w:color w:val="auto"/>
        </w:rPr>
      </w:pPr>
    </w:p>
    <w:p w:rsidR="00D465E7" w:rsidRPr="00D64F8C" w:rsidRDefault="00D465E7" w:rsidP="00141422">
      <w:pPr>
        <w:pStyle w:val="Abstracttext"/>
        <w:spacing w:line="276" w:lineRule="auto"/>
        <w:rPr>
          <w:color w:val="auto"/>
        </w:rPr>
      </w:pPr>
    </w:p>
    <w:p w:rsidR="00D465E7" w:rsidRPr="00D64F8C" w:rsidRDefault="00D465E7" w:rsidP="00141422">
      <w:pPr>
        <w:pStyle w:val="Abstracttext"/>
        <w:spacing w:line="276" w:lineRule="auto"/>
        <w:rPr>
          <w:color w:val="auto"/>
        </w:rPr>
      </w:pPr>
    </w:p>
    <w:p w:rsidR="00D465E7" w:rsidRDefault="00D465E7"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729F0" w:rsidRDefault="00C729F0" w:rsidP="00141422">
      <w:pPr>
        <w:pStyle w:val="Abstracttext"/>
        <w:spacing w:line="276" w:lineRule="auto"/>
        <w:rPr>
          <w:color w:val="auto"/>
        </w:rPr>
      </w:pPr>
    </w:p>
    <w:p w:rsidR="00C41552" w:rsidRPr="00D64F8C" w:rsidRDefault="00C41552" w:rsidP="00141422">
      <w:pPr>
        <w:pStyle w:val="HeadingNumbering1"/>
        <w:numPr>
          <w:ilvl w:val="0"/>
          <w:numId w:val="1"/>
        </w:numPr>
        <w:rPr>
          <w:sz w:val="24"/>
          <w:szCs w:val="24"/>
        </w:rPr>
      </w:pPr>
      <w:r w:rsidRPr="00D64F8C">
        <w:rPr>
          <w:sz w:val="24"/>
          <w:szCs w:val="24"/>
        </w:rPr>
        <w:lastRenderedPageBreak/>
        <w:t>Introduction</w:t>
      </w:r>
    </w:p>
    <w:p w:rsidR="00BD30CD" w:rsidRPr="00D64F8C" w:rsidRDefault="003567E3" w:rsidP="00141422">
      <w:pPr>
        <w:pStyle w:val="Abstracttext"/>
        <w:spacing w:line="276" w:lineRule="auto"/>
        <w:rPr>
          <w:color w:val="auto"/>
        </w:rPr>
      </w:pPr>
      <w:r w:rsidRPr="00D64F8C">
        <w:rPr>
          <w:color w:val="auto"/>
        </w:rPr>
        <w:t>Capital</w:t>
      </w:r>
      <w:r w:rsidR="0080024B" w:rsidRPr="00D64F8C">
        <w:rPr>
          <w:color w:val="auto"/>
        </w:rPr>
        <w:t xml:space="preserve"> </w:t>
      </w:r>
      <w:r w:rsidR="00C500A3" w:rsidRPr="00D64F8C">
        <w:rPr>
          <w:color w:val="auto"/>
        </w:rPr>
        <w:t>in</w:t>
      </w:r>
      <w:r w:rsidR="0080024B" w:rsidRPr="00D64F8C">
        <w:rPr>
          <w:color w:val="auto"/>
        </w:rPr>
        <w:t xml:space="preserve">flows in form of </w:t>
      </w:r>
      <w:r w:rsidR="000771F5" w:rsidRPr="00D64F8C">
        <w:rPr>
          <w:color w:val="auto"/>
        </w:rPr>
        <w:t>F</w:t>
      </w:r>
      <w:r w:rsidR="0080024B" w:rsidRPr="00D64F8C">
        <w:rPr>
          <w:color w:val="auto"/>
        </w:rPr>
        <w:t xml:space="preserve">oreign </w:t>
      </w:r>
      <w:r w:rsidR="000771F5" w:rsidRPr="00D64F8C">
        <w:rPr>
          <w:color w:val="auto"/>
        </w:rPr>
        <w:t>D</w:t>
      </w:r>
      <w:r w:rsidR="0080024B" w:rsidRPr="00D64F8C">
        <w:rPr>
          <w:color w:val="auto"/>
        </w:rPr>
        <w:t xml:space="preserve">irect </w:t>
      </w:r>
      <w:r w:rsidR="000771F5" w:rsidRPr="00D64F8C">
        <w:rPr>
          <w:color w:val="auto"/>
        </w:rPr>
        <w:t>i</w:t>
      </w:r>
      <w:r w:rsidR="0080024B" w:rsidRPr="00D64F8C">
        <w:rPr>
          <w:color w:val="auto"/>
        </w:rPr>
        <w:t>nvestments (FDI), Remittances</w:t>
      </w:r>
      <w:r w:rsidR="000771F5" w:rsidRPr="00D64F8C">
        <w:rPr>
          <w:color w:val="auto"/>
        </w:rPr>
        <w:t xml:space="preserve"> (REM)</w:t>
      </w:r>
      <w:r w:rsidR="0080024B" w:rsidRPr="00D64F8C">
        <w:rPr>
          <w:color w:val="auto"/>
        </w:rPr>
        <w:t>, and Official Development Assistance (ODA) play</w:t>
      </w:r>
      <w:r w:rsidR="00E67008" w:rsidRPr="00D64F8C">
        <w:rPr>
          <w:color w:val="auto"/>
        </w:rPr>
        <w:t>s</w:t>
      </w:r>
      <w:r w:rsidR="0080024B" w:rsidRPr="00D64F8C">
        <w:rPr>
          <w:color w:val="auto"/>
        </w:rPr>
        <w:t xml:space="preserve"> a</w:t>
      </w:r>
      <w:r w:rsidR="000771F5" w:rsidRPr="00D64F8C">
        <w:rPr>
          <w:color w:val="auto"/>
        </w:rPr>
        <w:t xml:space="preserve">n important </w:t>
      </w:r>
      <w:r w:rsidR="0080024B" w:rsidRPr="00D64F8C">
        <w:rPr>
          <w:color w:val="auto"/>
        </w:rPr>
        <w:t>role in bridging the resource gap required for investment and economic growth especially in African countries. Most countries in the Common Market for Eastern and Southern Africa (COMESA) region</w:t>
      </w:r>
      <w:r w:rsidR="00AE18CA" w:rsidRPr="00D64F8C">
        <w:rPr>
          <w:color w:val="auto"/>
        </w:rPr>
        <w:t xml:space="preserve"> are characterized by an overwhelming demand for investment required to accelerate economic growth and consequently reduce poverty, against limited</w:t>
      </w:r>
      <w:r w:rsidR="0080024B" w:rsidRPr="00D64F8C">
        <w:rPr>
          <w:color w:val="auto"/>
        </w:rPr>
        <w:t xml:space="preserve"> </w:t>
      </w:r>
      <w:r w:rsidR="00AE18CA" w:rsidRPr="00D64F8C">
        <w:rPr>
          <w:color w:val="auto"/>
        </w:rPr>
        <w:t>and scarce resources for undertaking such investments, while tax revenues and savings remain low compared to the rest of the world.</w:t>
      </w:r>
      <w:r w:rsidR="006D6229" w:rsidRPr="00D64F8C">
        <w:rPr>
          <w:color w:val="auto"/>
        </w:rPr>
        <w:t xml:space="preserve"> Consequently, external sources of finance</w:t>
      </w:r>
      <w:r w:rsidR="00994AE3" w:rsidRPr="00D64F8C">
        <w:rPr>
          <w:color w:val="auto"/>
        </w:rPr>
        <w:t xml:space="preserve"> such as FDI, Remittances, </w:t>
      </w:r>
      <w:r w:rsidR="00F014D3" w:rsidRPr="00D64F8C">
        <w:rPr>
          <w:color w:val="auto"/>
        </w:rPr>
        <w:t xml:space="preserve">and </w:t>
      </w:r>
      <w:r w:rsidR="00994AE3" w:rsidRPr="00D64F8C">
        <w:rPr>
          <w:color w:val="auto"/>
        </w:rPr>
        <w:t>ODA</w:t>
      </w:r>
      <w:r w:rsidR="009C358A" w:rsidRPr="00D64F8C">
        <w:rPr>
          <w:color w:val="auto"/>
        </w:rPr>
        <w:t xml:space="preserve"> </w:t>
      </w:r>
      <w:r w:rsidR="006D6229" w:rsidRPr="00D64F8C">
        <w:rPr>
          <w:color w:val="auto"/>
        </w:rPr>
        <w:t>have gained prominence as alternative source</w:t>
      </w:r>
      <w:r w:rsidR="0063235B" w:rsidRPr="00D64F8C">
        <w:rPr>
          <w:color w:val="auto"/>
        </w:rPr>
        <w:t>s</w:t>
      </w:r>
      <w:r w:rsidR="006D6229" w:rsidRPr="00D64F8C">
        <w:rPr>
          <w:color w:val="auto"/>
        </w:rPr>
        <w:t xml:space="preserve"> of finance for these countries.</w:t>
      </w:r>
      <w:r w:rsidR="00E67008" w:rsidRPr="00D64F8C">
        <w:rPr>
          <w:color w:val="auto"/>
        </w:rPr>
        <w:t xml:space="preserve"> </w:t>
      </w:r>
      <w:r w:rsidR="000771F5" w:rsidRPr="00D64F8C">
        <w:rPr>
          <w:color w:val="auto"/>
        </w:rPr>
        <w:t>This study does</w:t>
      </w:r>
      <w:r w:rsidR="00187395" w:rsidRPr="00D64F8C">
        <w:rPr>
          <w:color w:val="auto"/>
        </w:rPr>
        <w:t xml:space="preserve"> not consider </w:t>
      </w:r>
      <w:r w:rsidR="000771F5" w:rsidRPr="00D64F8C">
        <w:rPr>
          <w:color w:val="auto"/>
        </w:rPr>
        <w:t xml:space="preserve">other categories of inflows such as </w:t>
      </w:r>
      <w:r w:rsidR="00187395" w:rsidRPr="00D64F8C">
        <w:rPr>
          <w:color w:val="auto"/>
        </w:rPr>
        <w:t xml:space="preserve">portfolio inflows due to, among others, there levels </w:t>
      </w:r>
      <w:r w:rsidR="000771F5" w:rsidRPr="00D64F8C">
        <w:rPr>
          <w:color w:val="auto"/>
        </w:rPr>
        <w:t>are</w:t>
      </w:r>
      <w:r w:rsidR="00187395" w:rsidRPr="00D64F8C">
        <w:rPr>
          <w:color w:val="auto"/>
        </w:rPr>
        <w:t xml:space="preserve"> still ve</w:t>
      </w:r>
      <w:r w:rsidR="000771F5" w:rsidRPr="00D64F8C">
        <w:rPr>
          <w:color w:val="auto"/>
        </w:rPr>
        <w:t>ry low and therefore the data is</w:t>
      </w:r>
      <w:r w:rsidR="00187395" w:rsidRPr="00D64F8C">
        <w:rPr>
          <w:color w:val="auto"/>
        </w:rPr>
        <w:t xml:space="preserve"> unavailable or extremely scanty over the study period, for most of these countries.</w:t>
      </w:r>
    </w:p>
    <w:p w:rsidR="00BD30CD" w:rsidRPr="00D64F8C" w:rsidRDefault="00BD30CD" w:rsidP="00141422">
      <w:pPr>
        <w:pStyle w:val="Abstracttext"/>
        <w:spacing w:line="276" w:lineRule="auto"/>
        <w:rPr>
          <w:color w:val="auto"/>
        </w:rPr>
      </w:pPr>
    </w:p>
    <w:p w:rsidR="00BD30CD" w:rsidRPr="00D64F8C" w:rsidRDefault="000771F5" w:rsidP="00141422">
      <w:pPr>
        <w:pStyle w:val="Abstracttext"/>
        <w:spacing w:line="276" w:lineRule="auto"/>
        <w:rPr>
          <w:color w:val="auto"/>
        </w:rPr>
      </w:pPr>
      <w:r w:rsidRPr="00D64F8C">
        <w:rPr>
          <w:color w:val="auto"/>
        </w:rPr>
        <w:t>C</w:t>
      </w:r>
      <w:r w:rsidR="003567E3" w:rsidRPr="00D64F8C">
        <w:rPr>
          <w:color w:val="auto"/>
        </w:rPr>
        <w:t>apital</w:t>
      </w:r>
      <w:r w:rsidR="00E67008" w:rsidRPr="00D64F8C">
        <w:rPr>
          <w:color w:val="auto"/>
        </w:rPr>
        <w:t xml:space="preserve"> inflows can also </w:t>
      </w:r>
      <w:r w:rsidR="00F014D3" w:rsidRPr="00D64F8C">
        <w:rPr>
          <w:color w:val="auto"/>
        </w:rPr>
        <w:t xml:space="preserve">have </w:t>
      </w:r>
      <w:r w:rsidR="00E67008" w:rsidRPr="00D64F8C">
        <w:rPr>
          <w:color w:val="auto"/>
        </w:rPr>
        <w:t xml:space="preserve">adverse impact on growth through the appreciation of the exchange rate. </w:t>
      </w:r>
      <w:r w:rsidR="009D3A83" w:rsidRPr="00D64F8C">
        <w:rPr>
          <w:color w:val="auto"/>
        </w:rPr>
        <w:t xml:space="preserve">The appreciation of the exchange rate can have a negative multiplier effect on the economy if it leads to a contraction of net exports and a rise in the demand for imports. </w:t>
      </w:r>
      <w:r w:rsidR="0063235B" w:rsidRPr="00D64F8C">
        <w:rPr>
          <w:color w:val="auto"/>
        </w:rPr>
        <w:t xml:space="preserve">Real appreciation of the exchange rate leads to loss of </w:t>
      </w:r>
      <w:r w:rsidR="00061474" w:rsidRPr="00D64F8C">
        <w:rPr>
          <w:color w:val="auto"/>
        </w:rPr>
        <w:t>competitiveness</w:t>
      </w:r>
      <w:r w:rsidR="0063235B" w:rsidRPr="00D64F8C">
        <w:rPr>
          <w:color w:val="auto"/>
        </w:rPr>
        <w:t xml:space="preserve"> widen</w:t>
      </w:r>
      <w:r w:rsidR="00EC4E92" w:rsidRPr="00D64F8C">
        <w:rPr>
          <w:color w:val="auto"/>
        </w:rPr>
        <w:t>s</w:t>
      </w:r>
      <w:r w:rsidR="0063235B" w:rsidRPr="00D64F8C">
        <w:rPr>
          <w:color w:val="auto"/>
        </w:rPr>
        <w:t xml:space="preserve"> the current account deficit as imports increase</w:t>
      </w:r>
      <w:r w:rsidR="00EC4E92" w:rsidRPr="00D64F8C">
        <w:rPr>
          <w:color w:val="auto"/>
        </w:rPr>
        <w:t>s</w:t>
      </w:r>
      <w:r w:rsidR="0063235B" w:rsidRPr="00D64F8C">
        <w:rPr>
          <w:color w:val="auto"/>
        </w:rPr>
        <w:t xml:space="preserve"> and exports decrease</w:t>
      </w:r>
      <w:r w:rsidR="00EC4E92" w:rsidRPr="00D64F8C">
        <w:rPr>
          <w:color w:val="auto"/>
        </w:rPr>
        <w:t>s</w:t>
      </w:r>
      <w:r w:rsidR="0063235B" w:rsidRPr="00D64F8C">
        <w:rPr>
          <w:color w:val="auto"/>
        </w:rPr>
        <w:t xml:space="preserve">. </w:t>
      </w:r>
      <w:r w:rsidR="003567E3" w:rsidRPr="00D64F8C">
        <w:rPr>
          <w:color w:val="auto"/>
        </w:rPr>
        <w:t>Capital</w:t>
      </w:r>
      <w:r w:rsidR="001C5130" w:rsidRPr="00D64F8C">
        <w:rPr>
          <w:color w:val="auto"/>
        </w:rPr>
        <w:t xml:space="preserve"> inflows have been associated with challenges in macroeconomic management and pressure in asset markets in a number of emerging economies </w:t>
      </w:r>
      <w:r w:rsidR="00F014D3" w:rsidRPr="00D64F8C">
        <w:rPr>
          <w:color w:val="auto"/>
        </w:rPr>
        <w:t xml:space="preserve">and developing economies </w:t>
      </w:r>
      <w:r w:rsidR="001C5130" w:rsidRPr="00D64F8C">
        <w:rPr>
          <w:color w:val="auto"/>
        </w:rPr>
        <w:t>(P</w:t>
      </w:r>
      <w:r w:rsidR="0008201C" w:rsidRPr="00D64F8C">
        <w:rPr>
          <w:color w:val="auto"/>
        </w:rPr>
        <w:t xml:space="preserve">radhan </w:t>
      </w:r>
      <w:r w:rsidR="0008201C" w:rsidRPr="00D64F8C">
        <w:rPr>
          <w:i/>
          <w:color w:val="auto"/>
        </w:rPr>
        <w:t>et al.</w:t>
      </w:r>
      <w:r w:rsidR="0008201C" w:rsidRPr="00D64F8C">
        <w:rPr>
          <w:color w:val="auto"/>
        </w:rPr>
        <w:t xml:space="preserve"> 2011)</w:t>
      </w:r>
      <w:r w:rsidR="0013515E">
        <w:rPr>
          <w:color w:val="auto"/>
        </w:rPr>
        <w:t xml:space="preserve"> </w:t>
      </w:r>
      <w:r w:rsidR="00F342E4">
        <w:rPr>
          <w:color w:val="auto"/>
        </w:rPr>
        <w:t>[45]</w:t>
      </w:r>
      <w:r w:rsidR="0008201C" w:rsidRPr="00D64F8C">
        <w:rPr>
          <w:color w:val="auto"/>
        </w:rPr>
        <w:t xml:space="preserve">. </w:t>
      </w:r>
      <w:r w:rsidR="00BD30CD" w:rsidRPr="00D64F8C">
        <w:rPr>
          <w:color w:val="auto"/>
        </w:rPr>
        <w:t xml:space="preserve">At the extreme, excessive </w:t>
      </w:r>
      <w:r w:rsidR="00507A2F" w:rsidRPr="00D64F8C">
        <w:rPr>
          <w:color w:val="auto"/>
        </w:rPr>
        <w:t>buildup</w:t>
      </w:r>
      <w:r w:rsidR="00BD30CD" w:rsidRPr="00D64F8C">
        <w:rPr>
          <w:color w:val="auto"/>
        </w:rPr>
        <w:t xml:space="preserve"> of short-term </w:t>
      </w:r>
      <w:r w:rsidR="00C500A3" w:rsidRPr="00D64F8C">
        <w:rPr>
          <w:color w:val="auto"/>
        </w:rPr>
        <w:t>capital inflows</w:t>
      </w:r>
      <w:r w:rsidR="00BD30CD" w:rsidRPr="00D64F8C">
        <w:rPr>
          <w:color w:val="auto"/>
        </w:rPr>
        <w:t xml:space="preserve"> have been associated with vulnerability and financial crisis (Rodrik and Velasco, 1999)</w:t>
      </w:r>
      <w:r w:rsidR="00F342E4" w:rsidRPr="00F342E4">
        <w:rPr>
          <w:color w:val="auto"/>
        </w:rPr>
        <w:t xml:space="preserve"> </w:t>
      </w:r>
      <w:r w:rsidR="00F342E4">
        <w:rPr>
          <w:color w:val="auto"/>
        </w:rPr>
        <w:t>[</w:t>
      </w:r>
      <w:r w:rsidR="0013515E">
        <w:rPr>
          <w:color w:val="auto"/>
        </w:rPr>
        <w:t>47</w:t>
      </w:r>
      <w:r w:rsidR="00F342E4">
        <w:rPr>
          <w:color w:val="auto"/>
        </w:rPr>
        <w:t>]</w:t>
      </w:r>
      <w:r w:rsidR="00E71C72" w:rsidRPr="00D64F8C">
        <w:rPr>
          <w:color w:val="auto"/>
        </w:rPr>
        <w:t xml:space="preserve">. </w:t>
      </w:r>
    </w:p>
    <w:p w:rsidR="00F014D3" w:rsidRPr="00D64F8C" w:rsidRDefault="00F014D3" w:rsidP="00141422">
      <w:pPr>
        <w:pStyle w:val="Abstracttext"/>
        <w:spacing w:line="276" w:lineRule="auto"/>
        <w:rPr>
          <w:color w:val="auto"/>
        </w:rPr>
      </w:pPr>
    </w:p>
    <w:p w:rsidR="00516494" w:rsidRPr="00D64F8C" w:rsidRDefault="00516494" w:rsidP="00141422">
      <w:pPr>
        <w:pStyle w:val="Abstracttext"/>
        <w:spacing w:line="276" w:lineRule="auto"/>
        <w:rPr>
          <w:color w:val="auto"/>
        </w:rPr>
      </w:pPr>
      <w:r w:rsidRPr="00D64F8C">
        <w:rPr>
          <w:color w:val="auto"/>
        </w:rPr>
        <w:t>Since most countries in the COMESA region have flexible exchange rate regimes, capital inflows leads to an appreciation of the real exchange rate due to increased supply of the foreign currency, that drives up the value of the domestic currency. This is through a rise in the nominal exchange rate rather than a rise in domestic prices. Capital inflows generates increased demand for both tradable and non-tradable</w:t>
      </w:r>
      <w:r w:rsidR="009A05B8" w:rsidRPr="00D64F8C">
        <w:rPr>
          <w:color w:val="auto"/>
        </w:rPr>
        <w:t xml:space="preserve"> good</w:t>
      </w:r>
      <w:r w:rsidRPr="00D64F8C">
        <w:rPr>
          <w:color w:val="auto"/>
        </w:rPr>
        <w:t xml:space="preserve">s and both </w:t>
      </w:r>
      <w:r w:rsidR="009A05B8" w:rsidRPr="00D64F8C">
        <w:rPr>
          <w:color w:val="auto"/>
        </w:rPr>
        <w:t xml:space="preserve">lead </w:t>
      </w:r>
      <w:r w:rsidRPr="00D64F8C">
        <w:rPr>
          <w:color w:val="auto"/>
        </w:rPr>
        <w:t>to a higher relative price of non-tradable</w:t>
      </w:r>
      <w:r w:rsidR="009A05B8" w:rsidRPr="00D64F8C">
        <w:rPr>
          <w:color w:val="auto"/>
        </w:rPr>
        <w:t xml:space="preserve"> good</w:t>
      </w:r>
      <w:r w:rsidRPr="00D64F8C">
        <w:rPr>
          <w:color w:val="auto"/>
        </w:rPr>
        <w:t>s, and to a real appreciation. Real appreciation of the exchange rate weakens the competitiveness of the country’s exports and causes its export to decline. With time, resources (capital and labour) tend to shift to the production of domestic goods that are not traded internationally to meet the increase in domestic demand.</w:t>
      </w:r>
    </w:p>
    <w:p w:rsidR="00516494" w:rsidRPr="00D64F8C" w:rsidRDefault="00516494" w:rsidP="00141422">
      <w:pPr>
        <w:pStyle w:val="Abstracttext"/>
        <w:spacing w:line="276" w:lineRule="auto"/>
        <w:rPr>
          <w:color w:val="auto"/>
        </w:rPr>
      </w:pPr>
    </w:p>
    <w:p w:rsidR="00A56106" w:rsidRPr="00D64F8C" w:rsidRDefault="00A56106" w:rsidP="00141422">
      <w:pPr>
        <w:pStyle w:val="Abstracttext"/>
        <w:spacing w:line="276" w:lineRule="auto"/>
        <w:rPr>
          <w:color w:val="auto"/>
        </w:rPr>
      </w:pPr>
    </w:p>
    <w:p w:rsidR="006D6229" w:rsidRPr="00D64F8C" w:rsidRDefault="00EC4E92" w:rsidP="00141422">
      <w:pPr>
        <w:pStyle w:val="Abstracttext"/>
        <w:spacing w:line="276" w:lineRule="auto"/>
        <w:rPr>
          <w:color w:val="auto"/>
        </w:rPr>
      </w:pPr>
      <w:r w:rsidRPr="00D64F8C">
        <w:rPr>
          <w:color w:val="auto"/>
        </w:rPr>
        <w:t>S</w:t>
      </w:r>
      <w:r w:rsidR="00A56106" w:rsidRPr="00D64F8C">
        <w:rPr>
          <w:color w:val="auto"/>
        </w:rPr>
        <w:t xml:space="preserve">tudies </w:t>
      </w:r>
      <w:r w:rsidR="005942D5" w:rsidRPr="00D64F8C">
        <w:rPr>
          <w:color w:val="auto"/>
        </w:rPr>
        <w:t>on</w:t>
      </w:r>
      <w:r w:rsidR="00A56106" w:rsidRPr="00D64F8C">
        <w:rPr>
          <w:color w:val="auto"/>
        </w:rPr>
        <w:t xml:space="preserve"> the relationship between </w:t>
      </w:r>
      <w:r w:rsidR="00C500A3" w:rsidRPr="00D64F8C">
        <w:rPr>
          <w:color w:val="auto"/>
        </w:rPr>
        <w:t>capital inflows</w:t>
      </w:r>
      <w:r w:rsidR="00A56106" w:rsidRPr="00D64F8C">
        <w:rPr>
          <w:color w:val="auto"/>
        </w:rPr>
        <w:t xml:space="preserve"> and economic growth</w:t>
      </w:r>
      <w:r w:rsidR="005942D5" w:rsidRPr="00D64F8C">
        <w:rPr>
          <w:color w:val="auto"/>
        </w:rPr>
        <w:t xml:space="preserve"> remains inconclusive</w:t>
      </w:r>
      <w:r w:rsidR="00A56106" w:rsidRPr="00D64F8C">
        <w:rPr>
          <w:color w:val="auto"/>
        </w:rPr>
        <w:t xml:space="preserve"> with some empirical studies supporting a positive relationship </w:t>
      </w:r>
      <w:r w:rsidR="005942D5" w:rsidRPr="00D64F8C">
        <w:rPr>
          <w:color w:val="auto"/>
        </w:rPr>
        <w:t>(Cho and Tien, 2014</w:t>
      </w:r>
      <w:r w:rsidR="0013515E">
        <w:rPr>
          <w:color w:val="auto"/>
        </w:rPr>
        <w:t xml:space="preserve"> [19]</w:t>
      </w:r>
      <w:r w:rsidR="005942D5" w:rsidRPr="00D64F8C">
        <w:rPr>
          <w:color w:val="auto"/>
        </w:rPr>
        <w:t>, and Omri and Kahouli, 2014</w:t>
      </w:r>
      <w:r w:rsidR="0013515E">
        <w:rPr>
          <w:color w:val="auto"/>
        </w:rPr>
        <w:t xml:space="preserve"> [44]</w:t>
      </w:r>
      <w:r w:rsidR="005942D5" w:rsidRPr="00D64F8C">
        <w:rPr>
          <w:color w:val="auto"/>
        </w:rPr>
        <w:t xml:space="preserve">) while </w:t>
      </w:r>
      <w:r w:rsidR="00A56106" w:rsidRPr="00D64F8C">
        <w:rPr>
          <w:color w:val="auto"/>
        </w:rPr>
        <w:t xml:space="preserve">others </w:t>
      </w:r>
      <w:r w:rsidR="005942D5" w:rsidRPr="00D64F8C">
        <w:rPr>
          <w:color w:val="auto"/>
        </w:rPr>
        <w:t xml:space="preserve">find </w:t>
      </w:r>
      <w:r w:rsidR="00A56106" w:rsidRPr="00D64F8C">
        <w:rPr>
          <w:color w:val="auto"/>
        </w:rPr>
        <w:t>a negative relationship</w:t>
      </w:r>
      <w:r w:rsidR="005942D5" w:rsidRPr="00D64F8C">
        <w:rPr>
          <w:color w:val="auto"/>
        </w:rPr>
        <w:t xml:space="preserve"> (MacDonald, 2015</w:t>
      </w:r>
      <w:r w:rsidR="0013515E">
        <w:rPr>
          <w:color w:val="auto"/>
        </w:rPr>
        <w:t xml:space="preserve"> [38]</w:t>
      </w:r>
      <w:r w:rsidR="005942D5" w:rsidRPr="00D64F8C">
        <w:rPr>
          <w:color w:val="auto"/>
        </w:rPr>
        <w:t xml:space="preserve"> and Gourinchas and Jeanne, 2013</w:t>
      </w:r>
      <w:r w:rsidR="0013515E">
        <w:rPr>
          <w:color w:val="auto"/>
        </w:rPr>
        <w:t xml:space="preserve"> [28</w:t>
      </w:r>
      <w:bookmarkStart w:id="0" w:name="_GoBack"/>
      <w:bookmarkEnd w:id="0"/>
      <w:r w:rsidR="0013515E">
        <w:rPr>
          <w:color w:val="auto"/>
        </w:rPr>
        <w:t>]</w:t>
      </w:r>
      <w:r w:rsidR="005942D5" w:rsidRPr="00D64F8C">
        <w:rPr>
          <w:color w:val="auto"/>
        </w:rPr>
        <w:t>)</w:t>
      </w:r>
      <w:r w:rsidR="00A56106" w:rsidRPr="00D64F8C">
        <w:rPr>
          <w:color w:val="auto"/>
        </w:rPr>
        <w:t xml:space="preserve">. </w:t>
      </w:r>
      <w:r w:rsidR="00507A2F" w:rsidRPr="00D64F8C">
        <w:rPr>
          <w:color w:val="auto"/>
        </w:rPr>
        <w:t xml:space="preserve">The negative relationship is generally explained by the macroeconomic challenges that emanate from sharp surges in </w:t>
      </w:r>
      <w:r w:rsidR="003567E3" w:rsidRPr="00D64F8C">
        <w:rPr>
          <w:color w:val="auto"/>
        </w:rPr>
        <w:t>capital</w:t>
      </w:r>
      <w:r w:rsidR="00507A2F" w:rsidRPr="00D64F8C">
        <w:rPr>
          <w:color w:val="auto"/>
        </w:rPr>
        <w:t xml:space="preserve"> inflows and tend to run counter to the objectives of domestic macroeconomic stabilization. </w:t>
      </w:r>
      <w:r w:rsidR="007C5767" w:rsidRPr="00D64F8C">
        <w:rPr>
          <w:color w:val="auto"/>
        </w:rPr>
        <w:t xml:space="preserve">Studies on the subject in the </w:t>
      </w:r>
      <w:r w:rsidR="00601480" w:rsidRPr="00D64F8C">
        <w:rPr>
          <w:color w:val="auto"/>
        </w:rPr>
        <w:t xml:space="preserve">COMESA </w:t>
      </w:r>
      <w:r w:rsidR="007C5767" w:rsidRPr="00D64F8C">
        <w:rPr>
          <w:color w:val="auto"/>
        </w:rPr>
        <w:t xml:space="preserve">region remain scanty partly due to little importance given to other flows except ODA and partly due to little evidence concerning portfolio flows and other flows to the region until </w:t>
      </w:r>
      <w:r w:rsidR="00F014D3" w:rsidRPr="00D64F8C">
        <w:rPr>
          <w:color w:val="auto"/>
        </w:rPr>
        <w:t>recently</w:t>
      </w:r>
      <w:r w:rsidR="007C5767" w:rsidRPr="00D64F8C">
        <w:rPr>
          <w:color w:val="auto"/>
        </w:rPr>
        <w:t xml:space="preserve">. Understanding how the various categories of </w:t>
      </w:r>
      <w:r w:rsidR="00C500A3" w:rsidRPr="00D64F8C">
        <w:rPr>
          <w:color w:val="auto"/>
        </w:rPr>
        <w:t>capital inflows</w:t>
      </w:r>
      <w:r w:rsidR="007C5767" w:rsidRPr="00D64F8C">
        <w:rPr>
          <w:color w:val="auto"/>
        </w:rPr>
        <w:t xml:space="preserve"> influence </w:t>
      </w:r>
      <w:r w:rsidR="007C5767" w:rsidRPr="00D64F8C">
        <w:rPr>
          <w:color w:val="auto"/>
        </w:rPr>
        <w:lastRenderedPageBreak/>
        <w:t xml:space="preserve">growth is especially important given that most economies in the COMESA region have fully or partially liberalized their capital account and operate flexible exchange rate regimes. The need for the region to deepen capital and financial market integration remains a priority as the region strive to harmonize monetary and financial systems. Assessing the influence of </w:t>
      </w:r>
      <w:r w:rsidR="003567E3" w:rsidRPr="00D64F8C">
        <w:rPr>
          <w:color w:val="auto"/>
        </w:rPr>
        <w:t>capital</w:t>
      </w:r>
      <w:r w:rsidR="007C5767" w:rsidRPr="00D64F8C">
        <w:rPr>
          <w:color w:val="auto"/>
        </w:rPr>
        <w:t xml:space="preserve"> </w:t>
      </w:r>
      <w:r w:rsidR="00061474" w:rsidRPr="00D64F8C">
        <w:rPr>
          <w:color w:val="auto"/>
        </w:rPr>
        <w:t>in</w:t>
      </w:r>
      <w:r w:rsidR="007C5767" w:rsidRPr="00D64F8C">
        <w:rPr>
          <w:color w:val="auto"/>
        </w:rPr>
        <w:t>flows o</w:t>
      </w:r>
      <w:r w:rsidRPr="00D64F8C">
        <w:rPr>
          <w:color w:val="auto"/>
        </w:rPr>
        <w:t>n</w:t>
      </w:r>
      <w:r w:rsidR="007C5767" w:rsidRPr="00D64F8C">
        <w:rPr>
          <w:color w:val="auto"/>
        </w:rPr>
        <w:t xml:space="preserve"> economic </w:t>
      </w:r>
      <w:r w:rsidR="00061474" w:rsidRPr="00D64F8C">
        <w:rPr>
          <w:color w:val="auto"/>
        </w:rPr>
        <w:t xml:space="preserve">growth </w:t>
      </w:r>
      <w:r w:rsidR="00236FE0" w:rsidRPr="00D64F8C">
        <w:rPr>
          <w:color w:val="auto"/>
        </w:rPr>
        <w:t xml:space="preserve">for the region provides valuable input for designing appropriate macroeconomic and financial sector policies that will hasten monetary and financial integration of the region in readiness to the eventual establishment </w:t>
      </w:r>
      <w:r w:rsidR="009A05B8" w:rsidRPr="00D64F8C">
        <w:rPr>
          <w:color w:val="auto"/>
        </w:rPr>
        <w:t>of</w:t>
      </w:r>
      <w:r w:rsidR="00236FE0" w:rsidRPr="00D64F8C">
        <w:rPr>
          <w:color w:val="auto"/>
        </w:rPr>
        <w:t xml:space="preserve"> COMESA Monetary union.</w:t>
      </w:r>
      <w:r w:rsidR="007C5767" w:rsidRPr="00D64F8C">
        <w:rPr>
          <w:color w:val="auto"/>
        </w:rPr>
        <w:t xml:space="preserve"> </w:t>
      </w:r>
    </w:p>
    <w:p w:rsidR="006D6229" w:rsidRPr="00D64F8C" w:rsidRDefault="006D6229" w:rsidP="00141422">
      <w:pPr>
        <w:pStyle w:val="Abstracttext"/>
        <w:spacing w:line="276" w:lineRule="auto"/>
        <w:rPr>
          <w:color w:val="auto"/>
        </w:rPr>
      </w:pPr>
    </w:p>
    <w:p w:rsidR="00737574" w:rsidRPr="00793DEE" w:rsidRDefault="00021323" w:rsidP="00793DEE">
      <w:pPr>
        <w:pStyle w:val="Abstracttext"/>
        <w:spacing w:line="276" w:lineRule="auto"/>
        <w:rPr>
          <w:b/>
          <w:i/>
          <w:color w:val="auto"/>
        </w:rPr>
      </w:pPr>
      <w:r w:rsidRPr="00793DEE">
        <w:rPr>
          <w:b/>
          <w:i/>
          <w:color w:val="auto"/>
        </w:rPr>
        <w:t xml:space="preserve">1.1 </w:t>
      </w:r>
      <w:r w:rsidR="00737574" w:rsidRPr="00793DEE">
        <w:rPr>
          <w:b/>
          <w:i/>
          <w:color w:val="auto"/>
        </w:rPr>
        <w:t xml:space="preserve">Trends in </w:t>
      </w:r>
      <w:r w:rsidR="00C500A3" w:rsidRPr="00793DEE">
        <w:rPr>
          <w:b/>
          <w:i/>
          <w:color w:val="auto"/>
        </w:rPr>
        <w:t>Capital inflows</w:t>
      </w:r>
      <w:r w:rsidR="00737574" w:rsidRPr="00793DEE">
        <w:rPr>
          <w:b/>
          <w:i/>
          <w:color w:val="auto"/>
        </w:rPr>
        <w:t xml:space="preserve"> </w:t>
      </w:r>
    </w:p>
    <w:p w:rsidR="00737574" w:rsidRPr="00D64F8C" w:rsidRDefault="00737574" w:rsidP="00141422">
      <w:pPr>
        <w:pStyle w:val="Abstracttext"/>
        <w:spacing w:line="276" w:lineRule="auto"/>
        <w:rPr>
          <w:color w:val="auto"/>
        </w:rPr>
      </w:pPr>
      <w:r w:rsidRPr="00D64F8C">
        <w:rPr>
          <w:color w:val="auto"/>
        </w:rPr>
        <w:t xml:space="preserve">The region have been attracting </w:t>
      </w:r>
      <w:r w:rsidR="00FC1D03" w:rsidRPr="00D64F8C">
        <w:rPr>
          <w:color w:val="auto"/>
        </w:rPr>
        <w:t xml:space="preserve">sizeable amount of </w:t>
      </w:r>
      <w:r w:rsidR="00C500A3" w:rsidRPr="00D64F8C">
        <w:rPr>
          <w:color w:val="auto"/>
        </w:rPr>
        <w:t>capital inflows</w:t>
      </w:r>
      <w:r w:rsidR="00FC1D03" w:rsidRPr="00D64F8C">
        <w:rPr>
          <w:color w:val="auto"/>
        </w:rPr>
        <w:t xml:space="preserve"> </w:t>
      </w:r>
      <w:r w:rsidR="00997E72" w:rsidRPr="00D64F8C">
        <w:rPr>
          <w:color w:val="auto"/>
        </w:rPr>
        <w:t xml:space="preserve">over time. Foreign direct investment as a percentage of GDP (FDI) has been on an upward trend, increasing from regional average low of 1.1 percent of GDP in 1996 to a pick of 5 percent of GDP in 2007. </w:t>
      </w:r>
      <w:r w:rsidRPr="00D64F8C">
        <w:rPr>
          <w:color w:val="auto"/>
        </w:rPr>
        <w:t>Th</w:t>
      </w:r>
      <w:r w:rsidR="00997E72" w:rsidRPr="00D64F8C">
        <w:rPr>
          <w:color w:val="auto"/>
        </w:rPr>
        <w:t>is</w:t>
      </w:r>
      <w:r w:rsidRPr="00D64F8C">
        <w:rPr>
          <w:color w:val="auto"/>
        </w:rPr>
        <w:t xml:space="preserve"> trend reversed sharply </w:t>
      </w:r>
      <w:r w:rsidR="00997E72" w:rsidRPr="00D64F8C">
        <w:rPr>
          <w:color w:val="auto"/>
        </w:rPr>
        <w:t>following substantial tightening of credit conditions in international markets on the onset of the global financial crisis. FDI flows recovered from a</w:t>
      </w:r>
      <w:r w:rsidR="00606B7C" w:rsidRPr="00D64F8C">
        <w:rPr>
          <w:color w:val="auto"/>
        </w:rPr>
        <w:t xml:space="preserve"> COMESA </w:t>
      </w:r>
      <w:r w:rsidR="001F5239" w:rsidRPr="00D64F8C">
        <w:rPr>
          <w:color w:val="auto"/>
        </w:rPr>
        <w:t xml:space="preserve">average </w:t>
      </w:r>
      <w:r w:rsidR="00997E72" w:rsidRPr="00D64F8C">
        <w:rPr>
          <w:color w:val="auto"/>
        </w:rPr>
        <w:t xml:space="preserve">low </w:t>
      </w:r>
      <w:r w:rsidR="001F5239" w:rsidRPr="00D64F8C">
        <w:rPr>
          <w:color w:val="auto"/>
        </w:rPr>
        <w:t xml:space="preserve">of 3.6 percent in </w:t>
      </w:r>
      <w:r w:rsidR="00997E72" w:rsidRPr="00D64F8C">
        <w:rPr>
          <w:color w:val="auto"/>
        </w:rPr>
        <w:t>2009</w:t>
      </w:r>
      <w:r w:rsidR="00606B7C" w:rsidRPr="00D64F8C">
        <w:rPr>
          <w:color w:val="auto"/>
        </w:rPr>
        <w:t xml:space="preserve"> to a peak of an average of 6.5 percent of GDP in 2012,</w:t>
      </w:r>
      <w:r w:rsidR="00997E72" w:rsidRPr="00D64F8C">
        <w:rPr>
          <w:color w:val="auto"/>
        </w:rPr>
        <w:t xml:space="preserve"> </w:t>
      </w:r>
      <w:r w:rsidR="001F5239" w:rsidRPr="00D64F8C">
        <w:rPr>
          <w:color w:val="auto"/>
        </w:rPr>
        <w:t>because</w:t>
      </w:r>
      <w:r w:rsidR="00997E72" w:rsidRPr="00D64F8C">
        <w:rPr>
          <w:color w:val="auto"/>
        </w:rPr>
        <w:t xml:space="preserve"> of various policy measures implemented in developed countries to deal with the global financial crisis including fiscal and monetary stimulus packages and measures to recapitalize financial institutions. </w:t>
      </w:r>
      <w:r w:rsidR="00606B7C" w:rsidRPr="00D64F8C">
        <w:rPr>
          <w:color w:val="auto"/>
        </w:rPr>
        <w:t>The FDI inflows to the region have since been on a downward trend</w:t>
      </w:r>
      <w:r w:rsidR="0016524F" w:rsidRPr="00D64F8C">
        <w:rPr>
          <w:color w:val="auto"/>
        </w:rPr>
        <w:t xml:space="preserve"> attributed to among others, change in </w:t>
      </w:r>
      <w:r w:rsidR="0013515E" w:rsidRPr="00D64F8C">
        <w:rPr>
          <w:color w:val="auto"/>
        </w:rPr>
        <w:t>investors’</w:t>
      </w:r>
      <w:r w:rsidR="0016524F" w:rsidRPr="00D64F8C">
        <w:rPr>
          <w:color w:val="auto"/>
        </w:rPr>
        <w:t xml:space="preserve"> </w:t>
      </w:r>
      <w:r w:rsidR="00E1166E" w:rsidRPr="00D64F8C">
        <w:rPr>
          <w:color w:val="auto"/>
        </w:rPr>
        <w:t>confidence</w:t>
      </w:r>
      <w:r w:rsidR="0016524F" w:rsidRPr="00D64F8C">
        <w:rPr>
          <w:color w:val="auto"/>
        </w:rPr>
        <w:t>, slow economic growth and competition from other destinations for investment</w:t>
      </w:r>
      <w:r w:rsidR="00E1166E" w:rsidRPr="00D64F8C">
        <w:rPr>
          <w:color w:val="auto"/>
        </w:rPr>
        <w:t xml:space="preserve"> (Figure 1).</w:t>
      </w:r>
    </w:p>
    <w:p w:rsidR="002B6D29" w:rsidRPr="00D64F8C" w:rsidRDefault="002B6D29" w:rsidP="00141422">
      <w:pPr>
        <w:pStyle w:val="Abstracttext"/>
        <w:spacing w:line="276" w:lineRule="auto"/>
        <w:rPr>
          <w:color w:val="auto"/>
        </w:rPr>
      </w:pPr>
    </w:p>
    <w:p w:rsidR="00116438" w:rsidRPr="00141422" w:rsidRDefault="002B6D29" w:rsidP="00141422">
      <w:pPr>
        <w:pStyle w:val="Abstracttext"/>
        <w:spacing w:line="276" w:lineRule="auto"/>
        <w:rPr>
          <w:b/>
          <w:color w:val="auto"/>
        </w:rPr>
      </w:pPr>
      <w:r w:rsidRPr="00141422">
        <w:rPr>
          <w:b/>
          <w:color w:val="auto"/>
        </w:rPr>
        <w:t xml:space="preserve">Figure 1: </w:t>
      </w:r>
      <w:r w:rsidR="001F5239" w:rsidRPr="00141422">
        <w:rPr>
          <w:b/>
          <w:color w:val="auto"/>
        </w:rPr>
        <w:t xml:space="preserve">COMESA </w:t>
      </w:r>
      <w:r w:rsidR="00997E72" w:rsidRPr="00141422">
        <w:rPr>
          <w:b/>
          <w:color w:val="auto"/>
        </w:rPr>
        <w:t xml:space="preserve">Average </w:t>
      </w:r>
      <w:r w:rsidR="00E1166E" w:rsidRPr="00141422">
        <w:rPr>
          <w:b/>
          <w:color w:val="auto"/>
        </w:rPr>
        <w:t>FDI, ODA</w:t>
      </w:r>
      <w:r w:rsidRPr="00141422">
        <w:rPr>
          <w:b/>
          <w:color w:val="auto"/>
        </w:rPr>
        <w:t xml:space="preserve"> and</w:t>
      </w:r>
      <w:r w:rsidR="00E1166E" w:rsidRPr="00141422">
        <w:rPr>
          <w:b/>
          <w:color w:val="auto"/>
        </w:rPr>
        <w:t xml:space="preserve"> Remittances flow as a percentage of </w:t>
      </w:r>
      <w:r w:rsidRPr="00141422">
        <w:rPr>
          <w:b/>
          <w:color w:val="auto"/>
        </w:rPr>
        <w:t>GDP</w:t>
      </w:r>
    </w:p>
    <w:p w:rsidR="00FC1D03" w:rsidRPr="00D64F8C" w:rsidRDefault="00FC1D03" w:rsidP="00141422">
      <w:pPr>
        <w:pStyle w:val="Abstracttext"/>
        <w:spacing w:line="276" w:lineRule="auto"/>
        <w:rPr>
          <w:color w:val="auto"/>
        </w:rPr>
      </w:pPr>
    </w:p>
    <w:p w:rsidR="00116438" w:rsidRPr="00D64F8C" w:rsidRDefault="00E1166E" w:rsidP="00141422">
      <w:pPr>
        <w:pStyle w:val="Abstracttext"/>
        <w:spacing w:line="276" w:lineRule="auto"/>
        <w:rPr>
          <w:color w:val="auto"/>
        </w:rPr>
      </w:pPr>
      <w:r w:rsidRPr="00D64F8C">
        <w:rPr>
          <w:noProof/>
          <w:color w:val="auto"/>
          <w:lang w:eastAsia="en-US"/>
        </w:rPr>
        <w:drawing>
          <wp:inline distT="0" distB="0" distL="0" distR="0" wp14:anchorId="1BE5D9A5" wp14:editId="0A6C7C8C">
            <wp:extent cx="5588635" cy="2387600"/>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6324" w:rsidRDefault="00B44AC1" w:rsidP="00141422">
      <w:pPr>
        <w:pStyle w:val="Abstracttext"/>
        <w:spacing w:line="276" w:lineRule="auto"/>
        <w:rPr>
          <w:color w:val="auto"/>
        </w:rPr>
      </w:pPr>
      <w:r w:rsidRPr="00D64F8C">
        <w:rPr>
          <w:color w:val="auto"/>
        </w:rPr>
        <w:t>COMESA average net</w:t>
      </w:r>
      <w:r w:rsidR="0016524F" w:rsidRPr="00D64F8C">
        <w:rPr>
          <w:color w:val="auto"/>
        </w:rPr>
        <w:t xml:space="preserve"> ODA received as a percentage of </w:t>
      </w:r>
      <w:r w:rsidR="009650E3" w:rsidRPr="00D64F8C">
        <w:rPr>
          <w:color w:val="auto"/>
        </w:rPr>
        <w:t>GDP</w:t>
      </w:r>
      <w:r w:rsidRPr="00D64F8C">
        <w:rPr>
          <w:color w:val="auto"/>
        </w:rPr>
        <w:t xml:space="preserve"> has been </w:t>
      </w:r>
      <w:r w:rsidR="009650E3" w:rsidRPr="00D64F8C">
        <w:rPr>
          <w:color w:val="auto"/>
        </w:rPr>
        <w:t>generally on</w:t>
      </w:r>
      <w:r w:rsidRPr="00D64F8C">
        <w:rPr>
          <w:color w:val="auto"/>
        </w:rPr>
        <w:t xml:space="preserve"> the decline</w:t>
      </w:r>
      <w:r w:rsidR="00E1166E" w:rsidRPr="00D64F8C">
        <w:rPr>
          <w:color w:val="auto"/>
        </w:rPr>
        <w:t>,</w:t>
      </w:r>
      <w:r w:rsidR="009650E3" w:rsidRPr="00D64F8C">
        <w:rPr>
          <w:color w:val="auto"/>
        </w:rPr>
        <w:t xml:space="preserve"> from a</w:t>
      </w:r>
      <w:r w:rsidR="00ED24A1" w:rsidRPr="00D64F8C">
        <w:rPr>
          <w:color w:val="auto"/>
        </w:rPr>
        <w:t xml:space="preserve"> COMESA average </w:t>
      </w:r>
      <w:r w:rsidR="009650E3" w:rsidRPr="00D64F8C">
        <w:rPr>
          <w:color w:val="auto"/>
        </w:rPr>
        <w:t xml:space="preserve">peak of </w:t>
      </w:r>
      <w:r w:rsidR="00E1166E" w:rsidRPr="00D64F8C">
        <w:rPr>
          <w:color w:val="auto"/>
        </w:rPr>
        <w:t>14</w:t>
      </w:r>
      <w:r w:rsidR="009650E3" w:rsidRPr="00D64F8C">
        <w:rPr>
          <w:color w:val="auto"/>
        </w:rPr>
        <w:t xml:space="preserve"> percent</w:t>
      </w:r>
      <w:r w:rsidR="00E1166E" w:rsidRPr="00D64F8C">
        <w:rPr>
          <w:color w:val="auto"/>
        </w:rPr>
        <w:t xml:space="preserve"> of GDP</w:t>
      </w:r>
      <w:r w:rsidR="009650E3" w:rsidRPr="00D64F8C">
        <w:rPr>
          <w:color w:val="auto"/>
        </w:rPr>
        <w:t xml:space="preserve"> in </w:t>
      </w:r>
      <w:r w:rsidR="00E1166E" w:rsidRPr="00D64F8C">
        <w:rPr>
          <w:color w:val="auto"/>
        </w:rPr>
        <w:t>1995</w:t>
      </w:r>
      <w:r w:rsidR="009650E3" w:rsidRPr="00D64F8C">
        <w:rPr>
          <w:color w:val="auto"/>
        </w:rPr>
        <w:t xml:space="preserve"> to an average low of </w:t>
      </w:r>
      <w:r w:rsidR="00E1166E" w:rsidRPr="00D64F8C">
        <w:rPr>
          <w:color w:val="auto"/>
        </w:rPr>
        <w:t>5.4</w:t>
      </w:r>
      <w:r w:rsidR="009650E3" w:rsidRPr="00D64F8C">
        <w:rPr>
          <w:color w:val="auto"/>
        </w:rPr>
        <w:t xml:space="preserve"> percent</w:t>
      </w:r>
      <w:r w:rsidR="00EC4E92" w:rsidRPr="00D64F8C">
        <w:rPr>
          <w:color w:val="auto"/>
        </w:rPr>
        <w:t xml:space="preserve"> of GDP</w:t>
      </w:r>
      <w:r w:rsidR="009650E3" w:rsidRPr="00D64F8C">
        <w:rPr>
          <w:color w:val="auto"/>
        </w:rPr>
        <w:t xml:space="preserve"> in 20</w:t>
      </w:r>
      <w:r w:rsidR="00E1166E" w:rsidRPr="00D64F8C">
        <w:rPr>
          <w:color w:val="auto"/>
        </w:rPr>
        <w:t xml:space="preserve">15. The decline </w:t>
      </w:r>
      <w:r w:rsidR="009650E3" w:rsidRPr="00D64F8C">
        <w:rPr>
          <w:color w:val="auto"/>
        </w:rPr>
        <w:t>can be attributed to among others, donor fatigue and change in development partners</w:t>
      </w:r>
      <w:r w:rsidR="00ED24A1" w:rsidRPr="00D64F8C">
        <w:rPr>
          <w:color w:val="auto"/>
        </w:rPr>
        <w:t>’</w:t>
      </w:r>
      <w:r w:rsidR="009650E3" w:rsidRPr="00D64F8C">
        <w:rPr>
          <w:color w:val="auto"/>
        </w:rPr>
        <w:t xml:space="preserve"> approach to foreign aid that has tilted </w:t>
      </w:r>
      <w:r w:rsidR="00ED24A1" w:rsidRPr="00D64F8C">
        <w:rPr>
          <w:color w:val="auto"/>
        </w:rPr>
        <w:t xml:space="preserve">more </w:t>
      </w:r>
      <w:r w:rsidR="009650E3" w:rsidRPr="00D64F8C">
        <w:rPr>
          <w:color w:val="auto"/>
        </w:rPr>
        <w:t xml:space="preserve">towards project and programmes support. On the contrary, </w:t>
      </w:r>
      <w:r w:rsidR="00506E8C" w:rsidRPr="00D64F8C">
        <w:rPr>
          <w:color w:val="auto"/>
        </w:rPr>
        <w:t xml:space="preserve">COMESA average </w:t>
      </w:r>
      <w:r w:rsidR="009650E3" w:rsidRPr="00D64F8C">
        <w:rPr>
          <w:color w:val="auto"/>
        </w:rPr>
        <w:t xml:space="preserve">personal remittances received as a percentage of GDP (REM) have remained resilient, steadily increasing from </w:t>
      </w:r>
      <w:r w:rsidR="00506E8C" w:rsidRPr="00D64F8C">
        <w:rPr>
          <w:color w:val="auto"/>
        </w:rPr>
        <w:t>2.6 percent</w:t>
      </w:r>
      <w:r w:rsidR="00EC4E92" w:rsidRPr="00D64F8C">
        <w:rPr>
          <w:color w:val="auto"/>
        </w:rPr>
        <w:t xml:space="preserve"> of GDP</w:t>
      </w:r>
      <w:r w:rsidR="00506E8C" w:rsidRPr="00D64F8C">
        <w:rPr>
          <w:color w:val="auto"/>
        </w:rPr>
        <w:t xml:space="preserve"> in 1995 to a COMESA average of 3.8 percent</w:t>
      </w:r>
      <w:r w:rsidR="00EC4E92" w:rsidRPr="00D64F8C">
        <w:rPr>
          <w:color w:val="auto"/>
        </w:rPr>
        <w:t xml:space="preserve"> of GDP</w:t>
      </w:r>
      <w:r w:rsidR="00506E8C" w:rsidRPr="00D64F8C">
        <w:rPr>
          <w:color w:val="auto"/>
        </w:rPr>
        <w:t xml:space="preserve"> in 2018, reflecting among other, the increasing importance of remittances inflows to the region</w:t>
      </w:r>
      <w:r w:rsidR="00ED24A1" w:rsidRPr="00D64F8C">
        <w:rPr>
          <w:color w:val="auto"/>
        </w:rPr>
        <w:t xml:space="preserve"> (Figure 1)</w:t>
      </w:r>
      <w:r w:rsidR="00506E8C" w:rsidRPr="00D64F8C">
        <w:rPr>
          <w:color w:val="auto"/>
        </w:rPr>
        <w:t>.</w:t>
      </w:r>
    </w:p>
    <w:p w:rsidR="0013515E" w:rsidRPr="00D64F8C" w:rsidRDefault="0013515E" w:rsidP="00141422">
      <w:pPr>
        <w:pStyle w:val="Abstracttext"/>
        <w:spacing w:line="276" w:lineRule="auto"/>
        <w:rPr>
          <w:color w:val="auto"/>
        </w:rPr>
      </w:pPr>
    </w:p>
    <w:p w:rsidR="002B6D29" w:rsidRPr="00141422" w:rsidRDefault="002B6D29" w:rsidP="00141422">
      <w:pPr>
        <w:pStyle w:val="Abstracttext"/>
        <w:spacing w:line="276" w:lineRule="auto"/>
        <w:rPr>
          <w:b/>
          <w:color w:val="auto"/>
        </w:rPr>
      </w:pPr>
      <w:r w:rsidRPr="00141422">
        <w:rPr>
          <w:b/>
          <w:color w:val="auto"/>
        </w:rPr>
        <w:lastRenderedPageBreak/>
        <w:t xml:space="preserve">Figure 2: </w:t>
      </w:r>
      <w:r w:rsidR="004B7F14" w:rsidRPr="00141422">
        <w:rPr>
          <w:b/>
          <w:color w:val="auto"/>
        </w:rPr>
        <w:t xml:space="preserve">COMESA Total </w:t>
      </w:r>
      <w:r w:rsidR="0023402B" w:rsidRPr="00141422">
        <w:rPr>
          <w:b/>
          <w:color w:val="auto"/>
        </w:rPr>
        <w:t>Capital</w:t>
      </w:r>
      <w:r w:rsidRPr="00141422">
        <w:rPr>
          <w:b/>
          <w:color w:val="auto"/>
        </w:rPr>
        <w:t xml:space="preserve"> </w:t>
      </w:r>
      <w:r w:rsidR="004B7F14" w:rsidRPr="00141422">
        <w:rPr>
          <w:b/>
          <w:color w:val="auto"/>
        </w:rPr>
        <w:t>Inf</w:t>
      </w:r>
      <w:r w:rsidRPr="00141422">
        <w:rPr>
          <w:b/>
          <w:color w:val="auto"/>
        </w:rPr>
        <w:t xml:space="preserve">lows and </w:t>
      </w:r>
      <w:r w:rsidR="004B7F14" w:rsidRPr="00141422">
        <w:rPr>
          <w:b/>
          <w:color w:val="auto"/>
        </w:rPr>
        <w:t>REER</w:t>
      </w:r>
    </w:p>
    <w:p w:rsidR="002B6D29" w:rsidRPr="00D64F8C" w:rsidRDefault="002B6D29" w:rsidP="00141422">
      <w:pPr>
        <w:pStyle w:val="Abstracttext"/>
        <w:spacing w:line="276" w:lineRule="auto"/>
        <w:rPr>
          <w:color w:val="auto"/>
        </w:rPr>
      </w:pPr>
    </w:p>
    <w:p w:rsidR="002B6D29" w:rsidRPr="00D64F8C" w:rsidRDefault="00661F4E" w:rsidP="00141422">
      <w:pPr>
        <w:pStyle w:val="Abstracttext"/>
        <w:spacing w:line="276" w:lineRule="auto"/>
        <w:rPr>
          <w:color w:val="auto"/>
        </w:rPr>
      </w:pPr>
      <w:r w:rsidRPr="00D64F8C">
        <w:rPr>
          <w:noProof/>
          <w:color w:val="auto"/>
          <w:lang w:eastAsia="en-US"/>
        </w:rPr>
        <w:drawing>
          <wp:inline distT="0" distB="0" distL="0" distR="0" wp14:anchorId="110F8D3D" wp14:editId="42C31518">
            <wp:extent cx="5617845" cy="2540000"/>
            <wp:effectExtent l="0" t="0" r="190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6D29" w:rsidRDefault="007C1803" w:rsidP="00141422">
      <w:pPr>
        <w:pStyle w:val="Abstracttext"/>
        <w:spacing w:line="276" w:lineRule="auto"/>
        <w:rPr>
          <w:color w:val="auto"/>
        </w:rPr>
      </w:pPr>
      <w:r w:rsidRPr="00D64F8C">
        <w:rPr>
          <w:color w:val="auto"/>
        </w:rPr>
        <w:t xml:space="preserve">Figure 2 indicates that total capital inflows </w:t>
      </w:r>
      <w:r w:rsidR="000C196F" w:rsidRPr="00D64F8C">
        <w:rPr>
          <w:color w:val="auto"/>
        </w:rPr>
        <w:t xml:space="preserve">as a percentage of GDP (sum of the average net FDI, net ODA and </w:t>
      </w:r>
      <w:r w:rsidR="009A05B8" w:rsidRPr="00D64F8C">
        <w:rPr>
          <w:color w:val="auto"/>
        </w:rPr>
        <w:t>Remittances</w:t>
      </w:r>
      <w:r w:rsidR="000C196F" w:rsidRPr="00D64F8C">
        <w:rPr>
          <w:color w:val="auto"/>
        </w:rPr>
        <w:t xml:space="preserve">) </w:t>
      </w:r>
      <w:r w:rsidRPr="00D64F8C">
        <w:rPr>
          <w:color w:val="auto"/>
        </w:rPr>
        <w:t xml:space="preserve">to the region influences the REER with a lag.  </w:t>
      </w:r>
      <w:r w:rsidR="000C196F" w:rsidRPr="00D64F8C">
        <w:rPr>
          <w:color w:val="auto"/>
        </w:rPr>
        <w:t>From a peak of 18.5 percent of GDP in 1995, capital inflows to the region seemed to influence the REER in subsequent years, appreciating the regional average REER index from 112.3</w:t>
      </w:r>
      <w:r w:rsidR="00FE717D" w:rsidRPr="00D64F8C">
        <w:rPr>
          <w:color w:val="auto"/>
        </w:rPr>
        <w:t xml:space="preserve"> in 1995</w:t>
      </w:r>
      <w:r w:rsidR="000C196F" w:rsidRPr="00D64F8C">
        <w:rPr>
          <w:color w:val="auto"/>
        </w:rPr>
        <w:t xml:space="preserve"> to a peak of </w:t>
      </w:r>
      <w:r w:rsidR="00FE717D" w:rsidRPr="00D64F8C">
        <w:rPr>
          <w:color w:val="auto"/>
        </w:rPr>
        <w:t xml:space="preserve">123.7 in 2000. An increase in the REER index indicates an appreciation of the regional average REER index (reflecting that on average, COMESA regional currencies appreciated over the period) </w:t>
      </w:r>
      <w:r w:rsidR="00524028" w:rsidRPr="00D64F8C">
        <w:rPr>
          <w:color w:val="auto"/>
        </w:rPr>
        <w:t xml:space="preserve">against a basket of currencies of trading partners. </w:t>
      </w:r>
      <w:r w:rsidR="00FE717D" w:rsidRPr="00D64F8C">
        <w:rPr>
          <w:color w:val="auto"/>
        </w:rPr>
        <w:t xml:space="preserve">However, subsequent decline in </w:t>
      </w:r>
      <w:r w:rsidR="00524028" w:rsidRPr="00D64F8C">
        <w:rPr>
          <w:color w:val="auto"/>
        </w:rPr>
        <w:t xml:space="preserve">average </w:t>
      </w:r>
      <w:r w:rsidR="00FE717D" w:rsidRPr="00D64F8C">
        <w:rPr>
          <w:color w:val="auto"/>
        </w:rPr>
        <w:t>total capital outflow to the lowest point of 11.3 percent</w:t>
      </w:r>
      <w:r w:rsidR="00EC4E92" w:rsidRPr="00D64F8C">
        <w:rPr>
          <w:color w:val="auto"/>
        </w:rPr>
        <w:t xml:space="preserve"> of GDP</w:t>
      </w:r>
      <w:r w:rsidR="00FE717D" w:rsidRPr="00D64F8C">
        <w:rPr>
          <w:color w:val="auto"/>
        </w:rPr>
        <w:t xml:space="preserve"> in 1997 may have influenced the REER depreciation over the period 2000 to 2004. </w:t>
      </w:r>
      <w:r w:rsidR="00524028" w:rsidRPr="00D64F8C">
        <w:rPr>
          <w:color w:val="auto"/>
        </w:rPr>
        <w:t xml:space="preserve">Subsequent periods have generally indicated high and almost stable total capital inflows that have translated into stable but steadily appreciating regional currencies except after 2015 when the average REER index started to depreciate </w:t>
      </w:r>
      <w:r w:rsidR="00ED24A1" w:rsidRPr="00D64F8C">
        <w:rPr>
          <w:color w:val="auto"/>
        </w:rPr>
        <w:t>possibly</w:t>
      </w:r>
      <w:r w:rsidR="00524028" w:rsidRPr="00D64F8C">
        <w:rPr>
          <w:color w:val="auto"/>
        </w:rPr>
        <w:t xml:space="preserve"> due to declining average total capital inflows over the period 2012 to 2017.</w:t>
      </w:r>
      <w:r w:rsidR="000C196F" w:rsidRPr="00D64F8C">
        <w:rPr>
          <w:color w:val="auto"/>
        </w:rPr>
        <w:t xml:space="preserve"> </w:t>
      </w:r>
    </w:p>
    <w:p w:rsidR="00141422" w:rsidRPr="00D64F8C" w:rsidRDefault="00141422" w:rsidP="00141422">
      <w:pPr>
        <w:pStyle w:val="Abstracttext"/>
        <w:spacing w:line="276" w:lineRule="auto"/>
        <w:rPr>
          <w:color w:val="auto"/>
        </w:rPr>
      </w:pPr>
    </w:p>
    <w:p w:rsidR="002B6D29" w:rsidRPr="00141422" w:rsidRDefault="002B6D29" w:rsidP="00141422">
      <w:pPr>
        <w:pStyle w:val="Abstracttext"/>
        <w:spacing w:line="276" w:lineRule="auto"/>
        <w:rPr>
          <w:b/>
          <w:color w:val="auto"/>
        </w:rPr>
      </w:pPr>
      <w:r w:rsidRPr="00141422">
        <w:rPr>
          <w:b/>
          <w:color w:val="auto"/>
        </w:rPr>
        <w:t xml:space="preserve">Figure 3: </w:t>
      </w:r>
      <w:r w:rsidR="00FA6692" w:rsidRPr="00141422">
        <w:rPr>
          <w:b/>
          <w:color w:val="auto"/>
        </w:rPr>
        <w:t xml:space="preserve">COMESA Average </w:t>
      </w:r>
      <w:r w:rsidRPr="00141422">
        <w:rPr>
          <w:b/>
          <w:color w:val="auto"/>
        </w:rPr>
        <w:t>REER and GDP per capital growth</w:t>
      </w:r>
    </w:p>
    <w:p w:rsidR="00956324" w:rsidRPr="00D64F8C" w:rsidRDefault="00956324" w:rsidP="00141422">
      <w:pPr>
        <w:pStyle w:val="Abstracttext"/>
        <w:spacing w:line="276" w:lineRule="auto"/>
        <w:rPr>
          <w:color w:val="auto"/>
        </w:rPr>
      </w:pPr>
    </w:p>
    <w:p w:rsidR="002B6D29" w:rsidRPr="00D64F8C" w:rsidRDefault="002B6D29" w:rsidP="00141422">
      <w:pPr>
        <w:pStyle w:val="Abstracttext"/>
        <w:spacing w:line="276" w:lineRule="auto"/>
        <w:rPr>
          <w:color w:val="auto"/>
        </w:rPr>
      </w:pPr>
      <w:r w:rsidRPr="00D64F8C">
        <w:rPr>
          <w:noProof/>
          <w:color w:val="auto"/>
          <w:lang w:eastAsia="en-US"/>
        </w:rPr>
        <w:drawing>
          <wp:inline distT="0" distB="0" distL="0" distR="0" wp14:anchorId="3DF6587A" wp14:editId="3F3F262F">
            <wp:extent cx="5588000" cy="238125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1474" w:rsidRPr="00D64F8C" w:rsidRDefault="00061474" w:rsidP="00141422">
      <w:pPr>
        <w:pStyle w:val="Abstracttext"/>
        <w:spacing w:line="276" w:lineRule="auto"/>
        <w:rPr>
          <w:color w:val="auto"/>
        </w:rPr>
      </w:pPr>
    </w:p>
    <w:p w:rsidR="000467A9" w:rsidRPr="00D64F8C" w:rsidRDefault="009C6139" w:rsidP="00141422">
      <w:pPr>
        <w:pStyle w:val="Abstracttext"/>
        <w:spacing w:line="276" w:lineRule="auto"/>
        <w:rPr>
          <w:color w:val="auto"/>
        </w:rPr>
      </w:pPr>
      <w:r w:rsidRPr="00D64F8C">
        <w:rPr>
          <w:color w:val="auto"/>
        </w:rPr>
        <w:lastRenderedPageBreak/>
        <w:t>Figure 3 depicts almost an inverse relationship between GDP per capita growth and the REER. Starting with an appreciation of the REER of 14.5 percent between 1995 and 2000, the economy seems to have slowed down by 2.6 percent in GDP per capita terms over the same period</w:t>
      </w:r>
      <w:r w:rsidR="001226BE" w:rsidRPr="00D64F8C">
        <w:rPr>
          <w:color w:val="auto"/>
        </w:rPr>
        <w:t>. On the contrary, over the period 2002 to 2007, the REER depreciated by 7.2 percent while the GDP per capita grew by 4.4 percent. The impact of the global financial cri</w:t>
      </w:r>
      <w:r w:rsidR="00ED24A1" w:rsidRPr="00D64F8C">
        <w:rPr>
          <w:color w:val="auto"/>
        </w:rPr>
        <w:t>sis indicate a 3.1 percent drop in the region’s average GDP per capital growth from 4.3 percent in 2007 to 1.2 percent in 2008. However, with the region’s economies relatively less integrated with the advanced economies, COMESA economies recovered relatively faster posting an average regional growth of GDP per capital of 4.1 percent by 2011. T</w:t>
      </w:r>
      <w:r w:rsidR="00C224AA" w:rsidRPr="00D64F8C">
        <w:rPr>
          <w:color w:val="auto"/>
        </w:rPr>
        <w:t xml:space="preserve">hereafter, the region’s economies GDP per capital growth has been on the decline. The region’s average REER after the global financial crisis have been appreciating except after 2017 when it started to depreciate. The appreciation is indicative of the increasing financial flow to the region though not </w:t>
      </w:r>
      <w:r w:rsidR="00E95801" w:rsidRPr="00D64F8C">
        <w:rPr>
          <w:color w:val="auto"/>
        </w:rPr>
        <w:t>clear-cut</w:t>
      </w:r>
      <w:r w:rsidR="00C224AA" w:rsidRPr="00D64F8C">
        <w:rPr>
          <w:color w:val="auto"/>
        </w:rPr>
        <w:t xml:space="preserve"> and may require further empirical analysis. </w:t>
      </w:r>
      <w:r w:rsidR="00ED24A1" w:rsidRPr="00D64F8C">
        <w:rPr>
          <w:color w:val="auto"/>
        </w:rPr>
        <w:t xml:space="preserve"> </w:t>
      </w:r>
      <w:r w:rsidRPr="00D64F8C">
        <w:rPr>
          <w:color w:val="auto"/>
        </w:rPr>
        <w:t xml:space="preserve"> </w:t>
      </w:r>
    </w:p>
    <w:p w:rsidR="002B6D29" w:rsidRPr="00D64F8C" w:rsidRDefault="000467A9" w:rsidP="00141422">
      <w:pPr>
        <w:pStyle w:val="Abstracttext"/>
        <w:spacing w:line="276" w:lineRule="auto"/>
        <w:rPr>
          <w:color w:val="auto"/>
        </w:rPr>
      </w:pPr>
      <w:r w:rsidRPr="00D64F8C">
        <w:rPr>
          <w:color w:val="auto"/>
        </w:rPr>
        <w:t xml:space="preserve"> </w:t>
      </w:r>
    </w:p>
    <w:p w:rsidR="005D21D1" w:rsidRPr="00793DEE" w:rsidRDefault="00E027E5" w:rsidP="00141422">
      <w:pPr>
        <w:pStyle w:val="Abstracttext"/>
        <w:spacing w:line="276" w:lineRule="auto"/>
        <w:rPr>
          <w:b/>
          <w:color w:val="auto"/>
        </w:rPr>
      </w:pPr>
      <w:r w:rsidRPr="00793DEE">
        <w:rPr>
          <w:b/>
          <w:color w:val="auto"/>
        </w:rPr>
        <w:t xml:space="preserve">Figure 4: </w:t>
      </w:r>
      <w:r w:rsidR="005D21D1" w:rsidRPr="00793DEE">
        <w:rPr>
          <w:b/>
          <w:color w:val="auto"/>
        </w:rPr>
        <w:t>Categories of Capital Inflows (FDI, ODA, Remittances ad Total Inflows as a percentage of GDP</w:t>
      </w:r>
    </w:p>
    <w:p w:rsidR="005D21D1" w:rsidRPr="00D64F8C" w:rsidRDefault="005D21D1" w:rsidP="00141422">
      <w:pPr>
        <w:pStyle w:val="Abstracttext"/>
        <w:spacing w:line="276" w:lineRule="auto"/>
        <w:rPr>
          <w:color w:val="auto"/>
        </w:rPr>
      </w:pPr>
      <w:r w:rsidRPr="00D64F8C">
        <w:rPr>
          <w:noProof/>
          <w:color w:val="auto"/>
          <w:lang w:eastAsia="en-US"/>
        </w:rPr>
        <w:drawing>
          <wp:inline distT="0" distB="0" distL="0" distR="0" wp14:anchorId="5E146AF1" wp14:editId="49C9E11E">
            <wp:extent cx="5544922" cy="2743200"/>
            <wp:effectExtent l="0" t="0" r="17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D29" w:rsidRPr="00D64F8C" w:rsidRDefault="002B6D29" w:rsidP="00141422">
      <w:pPr>
        <w:pStyle w:val="Abstracttext"/>
        <w:spacing w:line="276" w:lineRule="auto"/>
        <w:rPr>
          <w:color w:val="auto"/>
        </w:rPr>
      </w:pPr>
    </w:p>
    <w:p w:rsidR="00E027E5" w:rsidRPr="00D64F8C" w:rsidRDefault="00E027E5" w:rsidP="00141422">
      <w:pPr>
        <w:pStyle w:val="Abstracttext"/>
        <w:spacing w:line="276" w:lineRule="auto"/>
        <w:rPr>
          <w:color w:val="auto"/>
        </w:rPr>
      </w:pPr>
      <w:r w:rsidRPr="00D64F8C">
        <w:rPr>
          <w:color w:val="auto"/>
        </w:rPr>
        <w:t xml:space="preserve">Figure </w:t>
      </w:r>
      <w:r w:rsidR="00E95801">
        <w:rPr>
          <w:color w:val="auto"/>
        </w:rPr>
        <w:t>(</w:t>
      </w:r>
      <w:r w:rsidRPr="00D64F8C">
        <w:rPr>
          <w:color w:val="auto"/>
        </w:rPr>
        <w:t>4</w:t>
      </w:r>
      <w:r w:rsidR="00E95801">
        <w:rPr>
          <w:color w:val="auto"/>
        </w:rPr>
        <w:t>)</w:t>
      </w:r>
      <w:r w:rsidRPr="00D64F8C">
        <w:rPr>
          <w:color w:val="auto"/>
        </w:rPr>
        <w:t xml:space="preserve"> shows that </w:t>
      </w:r>
      <w:r w:rsidR="00EC4E92" w:rsidRPr="00D64F8C">
        <w:rPr>
          <w:color w:val="auto"/>
        </w:rPr>
        <w:t>ODA</w:t>
      </w:r>
      <w:r w:rsidRPr="00D64F8C">
        <w:rPr>
          <w:color w:val="auto"/>
        </w:rPr>
        <w:t xml:space="preserve"> inflows have been consistently larger than the other inflows for the region, probably depicting the large number of countries in COMESA region that rely heavily on </w:t>
      </w:r>
      <w:r w:rsidR="009A05B8" w:rsidRPr="00D64F8C">
        <w:rPr>
          <w:color w:val="auto"/>
        </w:rPr>
        <w:t xml:space="preserve">overseas </w:t>
      </w:r>
      <w:r w:rsidRPr="00D64F8C">
        <w:rPr>
          <w:color w:val="auto"/>
        </w:rPr>
        <w:t xml:space="preserve">development </w:t>
      </w:r>
      <w:r w:rsidR="00EC4E92" w:rsidRPr="00D64F8C">
        <w:rPr>
          <w:color w:val="auto"/>
        </w:rPr>
        <w:t>assistance</w:t>
      </w:r>
      <w:r w:rsidRPr="00D64F8C">
        <w:rPr>
          <w:color w:val="auto"/>
        </w:rPr>
        <w:t xml:space="preserve">. However, FDI inflows have started to gain traction and </w:t>
      </w:r>
      <w:r w:rsidR="00B95672" w:rsidRPr="00D64F8C">
        <w:rPr>
          <w:color w:val="auto"/>
        </w:rPr>
        <w:t xml:space="preserve">are </w:t>
      </w:r>
      <w:r w:rsidRPr="00D64F8C">
        <w:rPr>
          <w:color w:val="auto"/>
        </w:rPr>
        <w:t>becoming an important source of finance</w:t>
      </w:r>
      <w:r w:rsidR="00B95672" w:rsidRPr="00D64F8C">
        <w:rPr>
          <w:color w:val="auto"/>
        </w:rPr>
        <w:t xml:space="preserve"> as preference shifts toward more stable sources that are less prone to volatility and capital reversal, which ordinarily requires precautionary foreign exchange reserve holding to circumvent capital flight. The </w:t>
      </w:r>
      <w:r w:rsidRPr="00D64F8C">
        <w:rPr>
          <w:color w:val="auto"/>
        </w:rPr>
        <w:t xml:space="preserve">workers remittances amounts seems </w:t>
      </w:r>
      <w:r w:rsidR="00EC4E92" w:rsidRPr="00D64F8C">
        <w:rPr>
          <w:color w:val="auto"/>
        </w:rPr>
        <w:t>to be stabilizing to an</w:t>
      </w:r>
      <w:r w:rsidRPr="00D64F8C">
        <w:rPr>
          <w:color w:val="auto"/>
        </w:rPr>
        <w:t xml:space="preserve"> averag</w:t>
      </w:r>
      <w:r w:rsidR="00EC4E92" w:rsidRPr="00D64F8C">
        <w:rPr>
          <w:color w:val="auto"/>
        </w:rPr>
        <w:t xml:space="preserve">e of </w:t>
      </w:r>
      <w:r w:rsidRPr="00D64F8C">
        <w:rPr>
          <w:color w:val="auto"/>
        </w:rPr>
        <w:t xml:space="preserve">about 3 percent of GDP over the entire period. </w:t>
      </w:r>
      <w:r w:rsidR="00EC4E92" w:rsidRPr="00D64F8C">
        <w:rPr>
          <w:color w:val="auto"/>
        </w:rPr>
        <w:t xml:space="preserve">With total inflows averaging about </w:t>
      </w:r>
      <w:r w:rsidR="009A05B8" w:rsidRPr="00D64F8C">
        <w:rPr>
          <w:color w:val="auto"/>
        </w:rPr>
        <w:t xml:space="preserve">14.3 percent of GDP </w:t>
      </w:r>
      <w:r w:rsidR="00EC4E92" w:rsidRPr="00D64F8C">
        <w:rPr>
          <w:color w:val="auto"/>
        </w:rPr>
        <w:t xml:space="preserve">for the entire period, this study examines whether these relatively substantial inflows have affected (positively or negatively) economic growth in the COMESA region. </w:t>
      </w:r>
      <w:r w:rsidRPr="00D64F8C">
        <w:rPr>
          <w:color w:val="auto"/>
        </w:rPr>
        <w:t xml:space="preserve"> </w:t>
      </w:r>
    </w:p>
    <w:p w:rsidR="00E027E5" w:rsidRDefault="00E027E5" w:rsidP="00141422">
      <w:pPr>
        <w:pStyle w:val="Abstracttext"/>
        <w:spacing w:line="276" w:lineRule="auto"/>
        <w:rPr>
          <w:color w:val="auto"/>
        </w:rPr>
      </w:pPr>
    </w:p>
    <w:p w:rsidR="00793DEE" w:rsidRDefault="00793DEE" w:rsidP="00141422">
      <w:pPr>
        <w:pStyle w:val="Abstracttext"/>
        <w:spacing w:line="276" w:lineRule="auto"/>
        <w:rPr>
          <w:color w:val="auto"/>
        </w:rPr>
      </w:pPr>
    </w:p>
    <w:p w:rsidR="00793DEE" w:rsidRPr="00D64F8C" w:rsidRDefault="00793DEE" w:rsidP="00141422">
      <w:pPr>
        <w:pStyle w:val="Abstracttext"/>
        <w:spacing w:line="276" w:lineRule="auto"/>
        <w:rPr>
          <w:color w:val="auto"/>
        </w:rPr>
      </w:pPr>
    </w:p>
    <w:p w:rsidR="006D6229" w:rsidRPr="00D64F8C" w:rsidRDefault="006D6229" w:rsidP="00141422">
      <w:pPr>
        <w:pStyle w:val="HeadingNumbering1"/>
        <w:numPr>
          <w:ilvl w:val="0"/>
          <w:numId w:val="1"/>
        </w:numPr>
        <w:rPr>
          <w:sz w:val="24"/>
          <w:szCs w:val="24"/>
        </w:rPr>
      </w:pPr>
      <w:r w:rsidRPr="00D64F8C">
        <w:rPr>
          <w:sz w:val="24"/>
          <w:szCs w:val="24"/>
        </w:rPr>
        <w:lastRenderedPageBreak/>
        <w:t>Literature Review</w:t>
      </w:r>
    </w:p>
    <w:p w:rsidR="00793786" w:rsidRPr="00D64F8C" w:rsidRDefault="006D6229" w:rsidP="00141422">
      <w:pPr>
        <w:pStyle w:val="Abstracttext"/>
        <w:spacing w:line="276" w:lineRule="auto"/>
        <w:rPr>
          <w:color w:val="auto"/>
        </w:rPr>
      </w:pPr>
      <w:r w:rsidRPr="00D64F8C">
        <w:rPr>
          <w:color w:val="auto"/>
        </w:rPr>
        <w:t xml:space="preserve">The theoretical basis of the </w:t>
      </w:r>
      <w:r w:rsidR="00486E0A" w:rsidRPr="00D64F8C">
        <w:rPr>
          <w:color w:val="auto"/>
        </w:rPr>
        <w:t xml:space="preserve">influence of </w:t>
      </w:r>
      <w:r w:rsidR="00C500A3" w:rsidRPr="00D64F8C">
        <w:rPr>
          <w:color w:val="auto"/>
        </w:rPr>
        <w:t>capital inflows</w:t>
      </w:r>
      <w:r w:rsidR="00AB525A" w:rsidRPr="00D64F8C">
        <w:rPr>
          <w:color w:val="auto"/>
        </w:rPr>
        <w:t xml:space="preserve"> on economic growth</w:t>
      </w:r>
      <w:r w:rsidR="00486E0A" w:rsidRPr="00D64F8C">
        <w:rPr>
          <w:color w:val="auto"/>
        </w:rPr>
        <w:t xml:space="preserve"> can be trace</w:t>
      </w:r>
      <w:r w:rsidR="009A05B8" w:rsidRPr="00D64F8C">
        <w:rPr>
          <w:color w:val="auto"/>
        </w:rPr>
        <w:t>d</w:t>
      </w:r>
      <w:r w:rsidR="00E435BC" w:rsidRPr="00D64F8C">
        <w:rPr>
          <w:color w:val="auto"/>
        </w:rPr>
        <w:t xml:space="preserve"> to </w:t>
      </w:r>
      <w:r w:rsidR="00486E0A" w:rsidRPr="00D64F8C">
        <w:rPr>
          <w:color w:val="auto"/>
        </w:rPr>
        <w:t>the benefits of capital market integration, which allows separation of savings and investment decisions. Countries over</w:t>
      </w:r>
      <w:r w:rsidR="00E435BC" w:rsidRPr="00D64F8C">
        <w:rPr>
          <w:color w:val="auto"/>
        </w:rPr>
        <w:t>c</w:t>
      </w:r>
      <w:r w:rsidR="00486E0A" w:rsidRPr="00D64F8C">
        <w:rPr>
          <w:color w:val="auto"/>
        </w:rPr>
        <w:t xml:space="preserve">ome savings and investment constraints by borrowing abroad to finance domestic investments, allowing capital scarce countries to increase their growth rates by investing </w:t>
      </w:r>
      <w:r w:rsidR="00E435BC" w:rsidRPr="00D64F8C">
        <w:rPr>
          <w:color w:val="auto"/>
        </w:rPr>
        <w:t>more with</w:t>
      </w:r>
      <w:r w:rsidR="00486E0A" w:rsidRPr="00D64F8C">
        <w:rPr>
          <w:color w:val="auto"/>
        </w:rPr>
        <w:t>out reducing consumption and welfare</w:t>
      </w:r>
      <w:r w:rsidR="00E435BC" w:rsidRPr="00D64F8C">
        <w:rPr>
          <w:color w:val="auto"/>
        </w:rPr>
        <w:t xml:space="preserve">. </w:t>
      </w:r>
      <w:r w:rsidR="00946255" w:rsidRPr="00D64F8C">
        <w:rPr>
          <w:color w:val="auto"/>
        </w:rPr>
        <w:t>I</w:t>
      </w:r>
      <w:r w:rsidR="00E435BC" w:rsidRPr="00D64F8C">
        <w:rPr>
          <w:color w:val="auto"/>
        </w:rPr>
        <w:t>nternational financial integration allows risk sharing between countries and increase</w:t>
      </w:r>
      <w:r w:rsidR="00946255" w:rsidRPr="00D64F8C">
        <w:rPr>
          <w:color w:val="auto"/>
        </w:rPr>
        <w:t>s</w:t>
      </w:r>
      <w:r w:rsidR="00E435BC" w:rsidRPr="00D64F8C">
        <w:rPr>
          <w:color w:val="auto"/>
        </w:rPr>
        <w:t xml:space="preserve"> economic growth</w:t>
      </w:r>
      <w:r w:rsidR="00946255" w:rsidRPr="00D64F8C">
        <w:rPr>
          <w:color w:val="auto"/>
        </w:rPr>
        <w:t xml:space="preserve"> (Blanchard and Fischer, 1989</w:t>
      </w:r>
      <w:r w:rsidR="0013515E">
        <w:rPr>
          <w:color w:val="auto"/>
        </w:rPr>
        <w:t xml:space="preserve"> [10]</w:t>
      </w:r>
      <w:r w:rsidR="00946255" w:rsidRPr="00D64F8C">
        <w:rPr>
          <w:color w:val="auto"/>
        </w:rPr>
        <w:t xml:space="preserve"> and Obstfeld, 1994</w:t>
      </w:r>
      <w:r w:rsidR="0013515E">
        <w:rPr>
          <w:color w:val="auto"/>
        </w:rPr>
        <w:t xml:space="preserve"> [43]</w:t>
      </w:r>
      <w:r w:rsidR="00946255" w:rsidRPr="00D64F8C">
        <w:rPr>
          <w:color w:val="auto"/>
        </w:rPr>
        <w:t>)</w:t>
      </w:r>
      <w:r w:rsidR="00E435BC" w:rsidRPr="00D64F8C">
        <w:rPr>
          <w:color w:val="auto"/>
        </w:rPr>
        <w:t xml:space="preserve">. </w:t>
      </w:r>
      <w:r w:rsidR="00C00AB1" w:rsidRPr="00D64F8C">
        <w:rPr>
          <w:color w:val="auto"/>
        </w:rPr>
        <w:t xml:space="preserve">Deléchat </w:t>
      </w:r>
      <w:r w:rsidR="00C00AB1" w:rsidRPr="00D64F8C">
        <w:rPr>
          <w:i/>
          <w:color w:val="auto"/>
        </w:rPr>
        <w:t>et al</w:t>
      </w:r>
      <w:r w:rsidR="00C00AB1" w:rsidRPr="00D64F8C">
        <w:rPr>
          <w:color w:val="auto"/>
        </w:rPr>
        <w:t xml:space="preserve">, C </w:t>
      </w:r>
      <w:r w:rsidR="00E435BC" w:rsidRPr="00D64F8C">
        <w:rPr>
          <w:color w:val="auto"/>
        </w:rPr>
        <w:t>(</w:t>
      </w:r>
      <w:r w:rsidR="00C00AB1" w:rsidRPr="00D64F8C">
        <w:rPr>
          <w:color w:val="auto"/>
        </w:rPr>
        <w:t>2009</w:t>
      </w:r>
      <w:r w:rsidR="00E435BC" w:rsidRPr="00D64F8C">
        <w:rPr>
          <w:color w:val="auto"/>
        </w:rPr>
        <w:t xml:space="preserve">) </w:t>
      </w:r>
      <w:r w:rsidR="0013515E">
        <w:rPr>
          <w:color w:val="auto"/>
        </w:rPr>
        <w:t xml:space="preserve">[22] </w:t>
      </w:r>
      <w:r w:rsidR="00E435BC" w:rsidRPr="00D64F8C">
        <w:rPr>
          <w:color w:val="auto"/>
        </w:rPr>
        <w:t xml:space="preserve">also finds considerable gains from financial integration even when the world is not frictionless.  </w:t>
      </w:r>
    </w:p>
    <w:p w:rsidR="00793786" w:rsidRPr="00D64F8C" w:rsidRDefault="00793786" w:rsidP="00141422">
      <w:pPr>
        <w:pStyle w:val="Abstracttext"/>
        <w:spacing w:line="276" w:lineRule="auto"/>
        <w:rPr>
          <w:color w:val="auto"/>
        </w:rPr>
      </w:pPr>
    </w:p>
    <w:p w:rsidR="00AB525A" w:rsidRPr="00D64F8C" w:rsidRDefault="00B45ADD" w:rsidP="00141422">
      <w:pPr>
        <w:pStyle w:val="Abstracttext"/>
        <w:spacing w:line="276" w:lineRule="auto"/>
        <w:rPr>
          <w:color w:val="auto"/>
        </w:rPr>
      </w:pPr>
      <w:r w:rsidRPr="00D64F8C">
        <w:rPr>
          <w:color w:val="auto"/>
        </w:rPr>
        <w:t>However</w:t>
      </w:r>
      <w:r w:rsidR="00946255" w:rsidRPr="00D64F8C">
        <w:rPr>
          <w:color w:val="auto"/>
        </w:rPr>
        <w:t>,</w:t>
      </w:r>
      <w:r w:rsidRPr="00D64F8C">
        <w:rPr>
          <w:color w:val="auto"/>
        </w:rPr>
        <w:t xml:space="preserve"> there is also a theoretical basis for financial inflows to cause economic decline. </w:t>
      </w:r>
      <w:r w:rsidR="00793786" w:rsidRPr="00D64F8C">
        <w:rPr>
          <w:color w:val="auto"/>
        </w:rPr>
        <w:t xml:space="preserve">In the presence of moral hazards, Mckinnon and Pill (1997) </w:t>
      </w:r>
      <w:r w:rsidR="0013515E">
        <w:rPr>
          <w:color w:val="auto"/>
        </w:rPr>
        <w:t xml:space="preserve">[39] </w:t>
      </w:r>
      <w:r w:rsidR="00793786" w:rsidRPr="00D64F8C">
        <w:rPr>
          <w:color w:val="auto"/>
        </w:rPr>
        <w:t>shows that foreign financing may stimulate domestic banks to engage in excessive lending. This may result in sector wide higher nonperforming loans</w:t>
      </w:r>
      <w:r w:rsidR="00AB525A" w:rsidRPr="00D64F8C">
        <w:rPr>
          <w:color w:val="auto"/>
        </w:rPr>
        <w:t xml:space="preserve"> </w:t>
      </w:r>
      <w:r w:rsidR="00793786" w:rsidRPr="00D64F8C">
        <w:rPr>
          <w:color w:val="auto"/>
        </w:rPr>
        <w:t>and excessive defaults that if wide scale may require an expensive bailout, financial sector disruption and economic decline. Similarly, Rodrik and Velasco (1999)</w:t>
      </w:r>
      <w:r w:rsidR="0013515E">
        <w:rPr>
          <w:color w:val="auto"/>
        </w:rPr>
        <w:t xml:space="preserve"> [47]</w:t>
      </w:r>
      <w:r w:rsidR="00793786" w:rsidRPr="00D64F8C">
        <w:rPr>
          <w:color w:val="auto"/>
        </w:rPr>
        <w:t xml:space="preserve"> show that excessive lending may lead to liquidity challenges and bank runs, costly asset liquidations and economic decline. </w:t>
      </w:r>
    </w:p>
    <w:p w:rsidR="00AB525A" w:rsidRPr="00D64F8C" w:rsidRDefault="00AB525A" w:rsidP="00141422">
      <w:pPr>
        <w:pStyle w:val="Abstracttext"/>
        <w:spacing w:line="276" w:lineRule="auto"/>
        <w:rPr>
          <w:color w:val="auto"/>
        </w:rPr>
      </w:pPr>
    </w:p>
    <w:p w:rsidR="00B45ADD" w:rsidRPr="00D64F8C" w:rsidRDefault="00B45ADD" w:rsidP="00141422">
      <w:pPr>
        <w:pStyle w:val="Abstracttext"/>
        <w:spacing w:line="276" w:lineRule="auto"/>
        <w:rPr>
          <w:color w:val="auto"/>
        </w:rPr>
      </w:pPr>
      <w:r w:rsidRPr="00D64F8C">
        <w:rPr>
          <w:color w:val="auto"/>
        </w:rPr>
        <w:t xml:space="preserve">On the empirical front, </w:t>
      </w:r>
      <w:r w:rsidR="0029025B" w:rsidRPr="00D64F8C">
        <w:rPr>
          <w:color w:val="auto"/>
        </w:rPr>
        <w:t>a number of</w:t>
      </w:r>
      <w:r w:rsidRPr="00D64F8C">
        <w:rPr>
          <w:color w:val="auto"/>
        </w:rPr>
        <w:t xml:space="preserve"> studies on </w:t>
      </w:r>
      <w:r w:rsidR="00C500A3" w:rsidRPr="00D64F8C">
        <w:rPr>
          <w:color w:val="auto"/>
        </w:rPr>
        <w:t>economic growth</w:t>
      </w:r>
      <w:r w:rsidRPr="00D64F8C">
        <w:rPr>
          <w:color w:val="auto"/>
        </w:rPr>
        <w:t xml:space="preserve"> have included one or more proxies for </w:t>
      </w:r>
      <w:r w:rsidR="00C500A3" w:rsidRPr="00D64F8C">
        <w:rPr>
          <w:color w:val="auto"/>
        </w:rPr>
        <w:t>capital inflows</w:t>
      </w:r>
      <w:r w:rsidRPr="00D64F8C">
        <w:rPr>
          <w:color w:val="auto"/>
        </w:rPr>
        <w:t xml:space="preserve">. The results of these empirical studies remain mixed in terms of the significance of various capital inflow measures. Some studies also do not distinguish the different types of capital inflows while most treat each of the </w:t>
      </w:r>
      <w:r w:rsidR="00C500A3" w:rsidRPr="00D64F8C">
        <w:rPr>
          <w:color w:val="auto"/>
        </w:rPr>
        <w:t>capital inflows</w:t>
      </w:r>
      <w:r w:rsidRPr="00D64F8C">
        <w:rPr>
          <w:color w:val="auto"/>
        </w:rPr>
        <w:t xml:space="preserve"> separately in the analysis of the contribution of </w:t>
      </w:r>
      <w:r w:rsidR="00C500A3" w:rsidRPr="00D64F8C">
        <w:rPr>
          <w:color w:val="auto"/>
        </w:rPr>
        <w:t>capital inflows</w:t>
      </w:r>
      <w:r w:rsidRPr="00D64F8C">
        <w:rPr>
          <w:color w:val="auto"/>
        </w:rPr>
        <w:t xml:space="preserve"> to economic growth. In terms of the influence of capital inflows on economic growth, </w:t>
      </w:r>
      <w:r w:rsidR="00C774B1" w:rsidRPr="00D64F8C">
        <w:rPr>
          <w:color w:val="auto"/>
        </w:rPr>
        <w:t>some studies find that capital inflows positively influences growth while others find that capital inflows negatively influences economic growth. We examine a brief overview of how each of the categories of capital inflows (FDI, ODA and remittances) influences economic growth.</w:t>
      </w:r>
    </w:p>
    <w:p w:rsidR="00B45ADD" w:rsidRPr="00D64F8C" w:rsidRDefault="00B45ADD" w:rsidP="00141422">
      <w:pPr>
        <w:pStyle w:val="Abstracttext"/>
        <w:spacing w:line="276" w:lineRule="auto"/>
        <w:rPr>
          <w:color w:val="auto"/>
        </w:rPr>
      </w:pPr>
    </w:p>
    <w:p w:rsidR="00716A84" w:rsidRPr="00D64F8C" w:rsidRDefault="007A096F" w:rsidP="00141422">
      <w:pPr>
        <w:pStyle w:val="Abstracttext"/>
        <w:spacing w:line="276" w:lineRule="auto"/>
        <w:rPr>
          <w:color w:val="auto"/>
        </w:rPr>
      </w:pPr>
      <w:r w:rsidRPr="00D64F8C">
        <w:rPr>
          <w:color w:val="auto"/>
        </w:rPr>
        <w:t>On</w:t>
      </w:r>
      <w:r w:rsidR="00621620" w:rsidRPr="00D64F8C">
        <w:rPr>
          <w:color w:val="auto"/>
        </w:rPr>
        <w:t xml:space="preserve"> positive contribution of capital inflows to economic growth, empirical literature show that </w:t>
      </w:r>
      <w:r w:rsidR="00C774B1" w:rsidRPr="00D64F8C">
        <w:rPr>
          <w:color w:val="auto"/>
        </w:rPr>
        <w:t>FDI influences growth directly through increased output and indirectly through transfer of technology, managerial know-how and other intangible assets to domestic firms that also increases the national output (Kinda, 2009)</w:t>
      </w:r>
      <w:r w:rsidR="0013515E">
        <w:rPr>
          <w:color w:val="auto"/>
        </w:rPr>
        <w:t xml:space="preserve"> [31]</w:t>
      </w:r>
      <w:r w:rsidR="00C774B1" w:rsidRPr="00D64F8C">
        <w:rPr>
          <w:color w:val="auto"/>
        </w:rPr>
        <w:t xml:space="preserve">. </w:t>
      </w:r>
      <w:r w:rsidR="00AE5E40" w:rsidRPr="00D64F8C">
        <w:rPr>
          <w:color w:val="auto"/>
        </w:rPr>
        <w:t>FDI affects economic growth directly through establishing presence in an economy and contributing to the production of goods and services, and indirectly when local firms increas</w:t>
      </w:r>
      <w:r w:rsidR="00946255" w:rsidRPr="00D64F8C">
        <w:rPr>
          <w:color w:val="auto"/>
        </w:rPr>
        <w:t>ing</w:t>
      </w:r>
      <w:r w:rsidR="00AE5E40" w:rsidRPr="00D64F8C">
        <w:rPr>
          <w:color w:val="auto"/>
        </w:rPr>
        <w:t xml:space="preserve"> exports through imitating the multinational firms or by using the transport, communication and financial services infrastructures developed to support the activities of </w:t>
      </w:r>
      <w:r w:rsidR="00946255" w:rsidRPr="00D64F8C">
        <w:rPr>
          <w:color w:val="auto"/>
        </w:rPr>
        <w:t>the FDI</w:t>
      </w:r>
      <w:r w:rsidR="00AE5E40" w:rsidRPr="00D64F8C">
        <w:rPr>
          <w:color w:val="auto"/>
        </w:rPr>
        <w:t xml:space="preserve"> ventures. Vertical FDI seeking cost efficiency, enables a subsidiary to maximize on cheap labour and raw materials in the host country, increasing re-export and production. </w:t>
      </w:r>
      <w:r w:rsidR="0013515E" w:rsidRPr="00D64F8C">
        <w:rPr>
          <w:color w:val="auto"/>
        </w:rPr>
        <w:t>In addition</w:t>
      </w:r>
      <w:r w:rsidR="00AE5E40" w:rsidRPr="00D64F8C">
        <w:rPr>
          <w:color w:val="auto"/>
        </w:rPr>
        <w:t>, FDI may influence competitiveness of firms in host countries or through technology spillover, enhance production and growth.</w:t>
      </w:r>
      <w:r w:rsidR="00C529FA" w:rsidRPr="00D64F8C">
        <w:rPr>
          <w:color w:val="auto"/>
        </w:rPr>
        <w:t xml:space="preserve"> The role of FDI on economic growth depend</w:t>
      </w:r>
      <w:r w:rsidR="008B6084" w:rsidRPr="00D64F8C">
        <w:rPr>
          <w:color w:val="auto"/>
        </w:rPr>
        <w:t>s</w:t>
      </w:r>
      <w:r w:rsidR="00C529FA" w:rsidRPr="00D64F8C">
        <w:rPr>
          <w:color w:val="auto"/>
        </w:rPr>
        <w:t xml:space="preserve"> on the forms of FDI, with different forms of FDI’s having different impact on economic growth. FDI may negatively </w:t>
      </w:r>
      <w:r w:rsidR="003D1361" w:rsidRPr="00D64F8C">
        <w:rPr>
          <w:color w:val="auto"/>
        </w:rPr>
        <w:t>affect</w:t>
      </w:r>
      <w:r w:rsidR="00C529FA" w:rsidRPr="00D64F8C">
        <w:rPr>
          <w:color w:val="auto"/>
        </w:rPr>
        <w:t xml:space="preserve"> growth especially in </w:t>
      </w:r>
      <w:r w:rsidR="003D1361" w:rsidRPr="00D64F8C">
        <w:rPr>
          <w:color w:val="auto"/>
        </w:rPr>
        <w:t>low-income</w:t>
      </w:r>
      <w:r w:rsidR="00C529FA" w:rsidRPr="00D64F8C">
        <w:rPr>
          <w:color w:val="auto"/>
        </w:rPr>
        <w:t xml:space="preserve"> resource rich African countries</w:t>
      </w:r>
      <w:r w:rsidR="003D1361" w:rsidRPr="00D64F8C">
        <w:rPr>
          <w:color w:val="auto"/>
        </w:rPr>
        <w:t xml:space="preserve"> if natural resource exports deters or crowd</w:t>
      </w:r>
      <w:r w:rsidR="00864FE5" w:rsidRPr="00D64F8C">
        <w:rPr>
          <w:color w:val="auto"/>
        </w:rPr>
        <w:t>-</w:t>
      </w:r>
      <w:r w:rsidR="003D1361" w:rsidRPr="00D64F8C">
        <w:rPr>
          <w:color w:val="auto"/>
        </w:rPr>
        <w:t xml:space="preserve">out the domestic manufacturing sector. The opposite effect happens if FDI goes to manufacturing sector, thereby allowing spillover of foreign knowhow </w:t>
      </w:r>
      <w:r w:rsidR="00242321" w:rsidRPr="00D64F8C">
        <w:rPr>
          <w:color w:val="auto"/>
        </w:rPr>
        <w:t xml:space="preserve">to domestic </w:t>
      </w:r>
      <w:r w:rsidR="00C774B1" w:rsidRPr="00D64F8C">
        <w:rPr>
          <w:color w:val="auto"/>
        </w:rPr>
        <w:t xml:space="preserve">firms, which may </w:t>
      </w:r>
      <w:r w:rsidR="003D1361" w:rsidRPr="00D64F8C">
        <w:rPr>
          <w:color w:val="auto"/>
        </w:rPr>
        <w:t>includ</w:t>
      </w:r>
      <w:r w:rsidR="00C774B1" w:rsidRPr="00D64F8C">
        <w:rPr>
          <w:color w:val="auto"/>
        </w:rPr>
        <w:t>e</w:t>
      </w:r>
      <w:r w:rsidR="003D1361" w:rsidRPr="00D64F8C">
        <w:rPr>
          <w:color w:val="auto"/>
        </w:rPr>
        <w:t xml:space="preserve"> technical or </w:t>
      </w:r>
      <w:r w:rsidR="003D1361" w:rsidRPr="00D64F8C">
        <w:rPr>
          <w:color w:val="auto"/>
        </w:rPr>
        <w:lastRenderedPageBreak/>
        <w:t>vocational training</w:t>
      </w:r>
      <w:r w:rsidR="00C774B1" w:rsidRPr="00D64F8C">
        <w:rPr>
          <w:color w:val="auto"/>
        </w:rPr>
        <w:t xml:space="preserve">, and </w:t>
      </w:r>
      <w:r w:rsidR="00E95801" w:rsidRPr="00D64F8C">
        <w:rPr>
          <w:color w:val="auto"/>
        </w:rPr>
        <w:t>technologies that are more efficient</w:t>
      </w:r>
      <w:r w:rsidR="003D1361" w:rsidRPr="00D64F8C">
        <w:rPr>
          <w:color w:val="auto"/>
        </w:rPr>
        <w:t xml:space="preserve">.  </w:t>
      </w:r>
      <w:r w:rsidR="00716A84" w:rsidRPr="00D64F8C">
        <w:rPr>
          <w:color w:val="auto"/>
        </w:rPr>
        <w:t xml:space="preserve">Driffield and Jones, 2013 </w:t>
      </w:r>
      <w:r w:rsidR="0013515E">
        <w:rPr>
          <w:color w:val="auto"/>
        </w:rPr>
        <w:t>[24]</w:t>
      </w:r>
      <w:r w:rsidR="00716A84" w:rsidRPr="00D64F8C">
        <w:rPr>
          <w:color w:val="auto"/>
        </w:rPr>
        <w:t>finds that FDI contributes more to economic growth than domestic investment especially where FDI entails technology transfer, with the effect more pronounced in countries with more developed domestic financial markets and broader institutional framework. De Mello (1999)</w:t>
      </w:r>
      <w:r w:rsidR="0013515E">
        <w:rPr>
          <w:color w:val="auto"/>
        </w:rPr>
        <w:t xml:space="preserve"> [23]</w:t>
      </w:r>
      <w:r w:rsidR="00716A84" w:rsidRPr="00D64F8C">
        <w:rPr>
          <w:color w:val="auto"/>
        </w:rPr>
        <w:t xml:space="preserve"> finds that FDI positively affects economic growth through capital accumulation or through knowledge transfer by augmenting existing stock of knowledge. Almfraji </w:t>
      </w:r>
      <w:r w:rsidR="00716A84" w:rsidRPr="00D64F8C">
        <w:rPr>
          <w:i/>
          <w:color w:val="auto"/>
        </w:rPr>
        <w:t>et.al</w:t>
      </w:r>
      <w:r w:rsidR="00716A84" w:rsidRPr="00D64F8C">
        <w:rPr>
          <w:color w:val="auto"/>
        </w:rPr>
        <w:t xml:space="preserve"> (2014) </w:t>
      </w:r>
      <w:r w:rsidR="0013515E">
        <w:rPr>
          <w:color w:val="auto"/>
        </w:rPr>
        <w:t xml:space="preserve">[6] </w:t>
      </w:r>
      <w:r w:rsidR="00716A84" w:rsidRPr="00D64F8C">
        <w:rPr>
          <w:color w:val="auto"/>
        </w:rPr>
        <w:t>shows that FDI play an important role in development and economic growth</w:t>
      </w:r>
      <w:r w:rsidR="00021323" w:rsidRPr="00D64F8C">
        <w:rPr>
          <w:color w:val="auto"/>
        </w:rPr>
        <w:t>.</w:t>
      </w:r>
    </w:p>
    <w:p w:rsidR="00716A84" w:rsidRPr="00D64F8C" w:rsidRDefault="00716A84" w:rsidP="00141422">
      <w:pPr>
        <w:pStyle w:val="Abstracttext"/>
        <w:spacing w:line="276" w:lineRule="auto"/>
        <w:rPr>
          <w:color w:val="auto"/>
        </w:rPr>
      </w:pPr>
    </w:p>
    <w:p w:rsidR="0032534A" w:rsidRPr="00D64F8C" w:rsidRDefault="00621620" w:rsidP="00141422">
      <w:pPr>
        <w:pStyle w:val="Abstracttext"/>
        <w:spacing w:line="276" w:lineRule="auto"/>
        <w:rPr>
          <w:color w:val="auto"/>
        </w:rPr>
      </w:pPr>
      <w:r w:rsidRPr="00D64F8C">
        <w:rPr>
          <w:color w:val="auto"/>
        </w:rPr>
        <w:t>O</w:t>
      </w:r>
      <w:r w:rsidR="00716A84" w:rsidRPr="00D64F8C">
        <w:rPr>
          <w:color w:val="auto"/>
        </w:rPr>
        <w:t xml:space="preserve">n </w:t>
      </w:r>
      <w:r w:rsidRPr="00D64F8C">
        <w:rPr>
          <w:color w:val="auto"/>
        </w:rPr>
        <w:t xml:space="preserve">positive contribution </w:t>
      </w:r>
      <w:r w:rsidR="00716A84" w:rsidRPr="00D64F8C">
        <w:rPr>
          <w:color w:val="auto"/>
        </w:rPr>
        <w:t xml:space="preserve">of ODA </w:t>
      </w:r>
      <w:r w:rsidRPr="00D64F8C">
        <w:rPr>
          <w:color w:val="auto"/>
        </w:rPr>
        <w:t>to</w:t>
      </w:r>
      <w:r w:rsidR="00716A84" w:rsidRPr="00D64F8C">
        <w:rPr>
          <w:color w:val="auto"/>
        </w:rPr>
        <w:t xml:space="preserve"> economic growth</w:t>
      </w:r>
      <w:r w:rsidRPr="00D64F8C">
        <w:rPr>
          <w:color w:val="auto"/>
        </w:rPr>
        <w:t>,</w:t>
      </w:r>
      <w:r w:rsidR="00716A84" w:rsidRPr="00D64F8C">
        <w:rPr>
          <w:color w:val="auto"/>
        </w:rPr>
        <w:t xml:space="preserve"> Rajan and Subramanian (200</w:t>
      </w:r>
      <w:r w:rsidR="008F30D0" w:rsidRPr="00D64F8C">
        <w:rPr>
          <w:color w:val="auto"/>
        </w:rPr>
        <w:t>5</w:t>
      </w:r>
      <w:r w:rsidR="00716A84" w:rsidRPr="00D64F8C">
        <w:rPr>
          <w:color w:val="auto"/>
        </w:rPr>
        <w:t>)</w:t>
      </w:r>
      <w:r w:rsidR="0013515E">
        <w:rPr>
          <w:color w:val="auto"/>
        </w:rPr>
        <w:t xml:space="preserve"> [46]</w:t>
      </w:r>
      <w:r w:rsidR="00716A84" w:rsidRPr="00D64F8C">
        <w:rPr>
          <w:color w:val="auto"/>
        </w:rPr>
        <w:t xml:space="preserve"> do not find clear evidence to support a positive and significant impact of ODA on economic growth. On the contrary, </w:t>
      </w:r>
      <w:r w:rsidR="00B175C6" w:rsidRPr="00D64F8C">
        <w:rPr>
          <w:color w:val="auto"/>
        </w:rPr>
        <w:t>Adedokun (2017)</w:t>
      </w:r>
      <w:r w:rsidR="005F1DA8">
        <w:rPr>
          <w:color w:val="auto"/>
        </w:rPr>
        <w:t xml:space="preserve"> [1]</w:t>
      </w:r>
      <w:r w:rsidR="00B175C6" w:rsidRPr="00D64F8C">
        <w:rPr>
          <w:color w:val="auto"/>
        </w:rPr>
        <w:t xml:space="preserve"> </w:t>
      </w:r>
      <w:r w:rsidR="00716A84" w:rsidRPr="00D64F8C">
        <w:rPr>
          <w:color w:val="auto"/>
        </w:rPr>
        <w:t>finds a positive and robust impact of ODA on provision of health care, primary education and in alleviating poverty. The ambiguity of the contribution of foreign aid to growth has shifted the empirical analysis to why aid may be ineffective in influencing economic growth. The debate is tilted towards, first, whether countries that pursue sound and quality economic policies show better aid effectiveness. Burnside and Dollar (</w:t>
      </w:r>
      <w:r w:rsidR="006E0BB1" w:rsidRPr="00D64F8C">
        <w:rPr>
          <w:color w:val="auto"/>
        </w:rPr>
        <w:t>2000</w:t>
      </w:r>
      <w:r w:rsidR="00716A84" w:rsidRPr="00D64F8C">
        <w:rPr>
          <w:color w:val="auto"/>
        </w:rPr>
        <w:t>)</w:t>
      </w:r>
      <w:r w:rsidR="005F1DA8">
        <w:rPr>
          <w:color w:val="auto"/>
        </w:rPr>
        <w:t xml:space="preserve"> [13]</w:t>
      </w:r>
      <w:r w:rsidR="00716A84" w:rsidRPr="00D64F8C">
        <w:rPr>
          <w:color w:val="auto"/>
        </w:rPr>
        <w:t xml:space="preserve"> concludes that aid attracts private investment in a good policy environment but poor policy environment discourages private investment, making aid ineffective.  However, Lensink and White (2000) </w:t>
      </w:r>
      <w:r w:rsidR="005F1DA8">
        <w:rPr>
          <w:color w:val="auto"/>
        </w:rPr>
        <w:t xml:space="preserve">[37] </w:t>
      </w:r>
      <w:r w:rsidR="00716A84" w:rsidRPr="00D64F8C">
        <w:rPr>
          <w:color w:val="auto"/>
        </w:rPr>
        <w:t>among others, challenges this conclusion and argue that aid can affect growth through other channels, and that there is ambiguity in what constitute good policies. Second, whether effectiveness of aid depends on quantity of aid</w:t>
      </w:r>
      <w:r w:rsidR="00E95801">
        <w:rPr>
          <w:color w:val="auto"/>
        </w:rPr>
        <w:t>,</w:t>
      </w:r>
      <w:r w:rsidR="00716A84" w:rsidRPr="00D64F8C">
        <w:rPr>
          <w:color w:val="auto"/>
        </w:rPr>
        <w:t xml:space="preserve"> which in turn systematically affects the quality of policies. In this case, foreign aid is seen as an inducement for policy reforms. </w:t>
      </w:r>
      <w:r w:rsidR="00E34EFC" w:rsidRPr="00D64F8C">
        <w:rPr>
          <w:color w:val="auto"/>
        </w:rPr>
        <w:t>Alesiena</w:t>
      </w:r>
      <w:r w:rsidR="00716A84" w:rsidRPr="00D64F8C">
        <w:rPr>
          <w:color w:val="auto"/>
        </w:rPr>
        <w:t xml:space="preserve"> and Dollar (2000)</w:t>
      </w:r>
      <w:r w:rsidR="005F1DA8">
        <w:rPr>
          <w:color w:val="auto"/>
        </w:rPr>
        <w:t xml:space="preserve"> [3]</w:t>
      </w:r>
      <w:r w:rsidR="00716A84" w:rsidRPr="00D64F8C">
        <w:rPr>
          <w:color w:val="auto"/>
        </w:rPr>
        <w:t xml:space="preserve"> show that the quantity of aid does not systematically influence the quality of policies even when aid has conditionalities. </w:t>
      </w:r>
    </w:p>
    <w:p w:rsidR="0032534A" w:rsidRPr="00D64F8C" w:rsidRDefault="0032534A" w:rsidP="00141422">
      <w:pPr>
        <w:pStyle w:val="Abstracttext"/>
        <w:spacing w:line="276" w:lineRule="auto"/>
        <w:rPr>
          <w:color w:val="auto"/>
        </w:rPr>
      </w:pPr>
    </w:p>
    <w:p w:rsidR="00716A84" w:rsidRPr="00D64F8C" w:rsidRDefault="00716A84" w:rsidP="00141422">
      <w:pPr>
        <w:pStyle w:val="Abstracttext"/>
        <w:spacing w:line="276" w:lineRule="auto"/>
        <w:rPr>
          <w:color w:val="auto"/>
        </w:rPr>
      </w:pPr>
      <w:r w:rsidRPr="00D64F8C">
        <w:rPr>
          <w:color w:val="auto"/>
        </w:rPr>
        <w:t xml:space="preserve">On the contrary, Collier and Dollar, (2002)  </w:t>
      </w:r>
      <w:r w:rsidR="005F1DA8">
        <w:rPr>
          <w:color w:val="auto"/>
        </w:rPr>
        <w:t>[</w:t>
      </w:r>
      <w:r w:rsidR="00C10CD4">
        <w:rPr>
          <w:color w:val="auto"/>
        </w:rPr>
        <w:t>20</w:t>
      </w:r>
      <w:r w:rsidR="005F1DA8">
        <w:rPr>
          <w:color w:val="auto"/>
        </w:rPr>
        <w:t xml:space="preserve">] </w:t>
      </w:r>
      <w:r w:rsidRPr="00D64F8C">
        <w:rPr>
          <w:color w:val="auto"/>
        </w:rPr>
        <w:t xml:space="preserve">show that for a number of African countries, relatively high levels of foreign aid and initiatives to strengthen policies coincided with high and sustainable real GDP per capita growth over a decade. </w:t>
      </w:r>
      <w:r w:rsidR="0029025B" w:rsidRPr="00D64F8C">
        <w:rPr>
          <w:color w:val="auto"/>
        </w:rPr>
        <w:t xml:space="preserve">Other studies find that </w:t>
      </w:r>
      <w:r w:rsidRPr="00D64F8C">
        <w:rPr>
          <w:color w:val="auto"/>
        </w:rPr>
        <w:t xml:space="preserve">effectiveness of foreign aid depends on the quality of institutions and aid fungibility - diverting foreign aid to other unintended projects, which tends to reduce aid effectiveness. </w:t>
      </w:r>
      <w:r w:rsidR="0032534A" w:rsidRPr="00D64F8C">
        <w:rPr>
          <w:color w:val="auto"/>
        </w:rPr>
        <w:t>That is, foreign aid significantly and positively affects economic growth, as long as the resources are utilized for the intended purpose (Quattara, 2006</w:t>
      </w:r>
      <w:r w:rsidR="00C10CD4">
        <w:rPr>
          <w:color w:val="auto"/>
        </w:rPr>
        <w:t xml:space="preserve"> [51]</w:t>
      </w:r>
      <w:r w:rsidR="0032534A" w:rsidRPr="00D64F8C">
        <w:rPr>
          <w:color w:val="auto"/>
        </w:rPr>
        <w:t xml:space="preserve">). </w:t>
      </w:r>
      <w:r w:rsidRPr="00D64F8C">
        <w:rPr>
          <w:color w:val="auto"/>
        </w:rPr>
        <w:t>The World Bank (1998)</w:t>
      </w:r>
      <w:r w:rsidR="00C10CD4">
        <w:rPr>
          <w:color w:val="auto"/>
        </w:rPr>
        <w:t xml:space="preserve"> [52]</w:t>
      </w:r>
      <w:r w:rsidRPr="00D64F8C">
        <w:rPr>
          <w:color w:val="auto"/>
        </w:rPr>
        <w:t xml:space="preserve"> show that for countries with poor policies and weak institutions, aid tend to be fungible. </w:t>
      </w:r>
      <w:r w:rsidR="0029025B" w:rsidRPr="00D64F8C">
        <w:rPr>
          <w:color w:val="auto"/>
        </w:rPr>
        <w:t>Some studies analyze</w:t>
      </w:r>
      <w:r w:rsidRPr="00D64F8C">
        <w:rPr>
          <w:color w:val="auto"/>
        </w:rPr>
        <w:t xml:space="preserve"> whether aid effectiveness is affected </w:t>
      </w:r>
      <w:r w:rsidR="0029025B" w:rsidRPr="00D64F8C">
        <w:rPr>
          <w:color w:val="auto"/>
        </w:rPr>
        <w:t xml:space="preserve">when foreign </w:t>
      </w:r>
      <w:r w:rsidRPr="00D64F8C">
        <w:rPr>
          <w:color w:val="auto"/>
        </w:rPr>
        <w:t xml:space="preserve">aid is tied. </w:t>
      </w:r>
      <w:r w:rsidR="009A7A66" w:rsidRPr="00D64F8C">
        <w:rPr>
          <w:color w:val="auto"/>
        </w:rPr>
        <w:t xml:space="preserve">Alesiena and Dollar (2000) </w:t>
      </w:r>
      <w:r w:rsidR="00C10CD4">
        <w:rPr>
          <w:color w:val="auto"/>
        </w:rPr>
        <w:t xml:space="preserve">[3] </w:t>
      </w:r>
      <w:r w:rsidRPr="00D64F8C">
        <w:rPr>
          <w:color w:val="auto"/>
        </w:rPr>
        <w:t xml:space="preserve">show that tied aid reduced the value of foreign aid by between 25 – 40 percent, since it forces recipient countries to purchase uncompetitively priced imports, making aid ineffective.  </w:t>
      </w:r>
    </w:p>
    <w:p w:rsidR="0032534A" w:rsidRPr="00D64F8C" w:rsidRDefault="0032534A" w:rsidP="00141422">
      <w:pPr>
        <w:pStyle w:val="Abstracttext"/>
        <w:spacing w:line="276" w:lineRule="auto"/>
        <w:rPr>
          <w:color w:val="auto"/>
        </w:rPr>
      </w:pPr>
    </w:p>
    <w:p w:rsidR="00864FE5" w:rsidRPr="00D64F8C" w:rsidRDefault="00621620" w:rsidP="00141422">
      <w:pPr>
        <w:pStyle w:val="Abstracttext"/>
        <w:spacing w:line="276" w:lineRule="auto"/>
        <w:rPr>
          <w:color w:val="auto"/>
        </w:rPr>
      </w:pPr>
      <w:r w:rsidRPr="00D64F8C">
        <w:rPr>
          <w:color w:val="auto"/>
        </w:rPr>
        <w:t xml:space="preserve">Similarly, </w:t>
      </w:r>
      <w:r w:rsidR="0023402B" w:rsidRPr="00D64F8C">
        <w:rPr>
          <w:color w:val="auto"/>
        </w:rPr>
        <w:t>Giuliano and Ruiz-Arranz (2009)</w:t>
      </w:r>
      <w:r w:rsidR="008B6084" w:rsidRPr="00D64F8C">
        <w:rPr>
          <w:color w:val="auto"/>
        </w:rPr>
        <w:t xml:space="preserve"> </w:t>
      </w:r>
      <w:r w:rsidR="00C10CD4">
        <w:rPr>
          <w:color w:val="auto"/>
        </w:rPr>
        <w:t xml:space="preserve">[27] </w:t>
      </w:r>
      <w:r w:rsidR="0023402B" w:rsidRPr="00D64F8C">
        <w:rPr>
          <w:color w:val="auto"/>
        </w:rPr>
        <w:t xml:space="preserve">finds that remittances </w:t>
      </w:r>
      <w:r w:rsidR="00BB47CB" w:rsidRPr="00D64F8C">
        <w:rPr>
          <w:color w:val="auto"/>
        </w:rPr>
        <w:t>positively and significa</w:t>
      </w:r>
      <w:r w:rsidR="008B6084" w:rsidRPr="00D64F8C">
        <w:rPr>
          <w:color w:val="auto"/>
        </w:rPr>
        <w:t>ntly influences economic growth, depending on a country’s economic policies and quality of institutions</w:t>
      </w:r>
      <w:r w:rsidR="00BB47CB" w:rsidRPr="00D64F8C">
        <w:rPr>
          <w:color w:val="auto"/>
        </w:rPr>
        <w:t xml:space="preserve">. </w:t>
      </w:r>
      <w:r w:rsidR="008B6084" w:rsidRPr="00D64F8C">
        <w:rPr>
          <w:color w:val="auto"/>
        </w:rPr>
        <w:t xml:space="preserve">However, </w:t>
      </w:r>
      <w:r w:rsidR="00E95801" w:rsidRPr="00D64F8C">
        <w:rPr>
          <w:color w:val="auto"/>
        </w:rPr>
        <w:t>the extent of brain drain</w:t>
      </w:r>
      <w:r w:rsidR="00E95801" w:rsidRPr="00D64F8C">
        <w:rPr>
          <w:color w:val="auto"/>
        </w:rPr>
        <w:t xml:space="preserve"> </w:t>
      </w:r>
      <w:r w:rsidR="00E95801">
        <w:rPr>
          <w:color w:val="auto"/>
        </w:rPr>
        <w:t xml:space="preserve">can dampen </w:t>
      </w:r>
      <w:r w:rsidR="008B6084" w:rsidRPr="00D64F8C">
        <w:rPr>
          <w:color w:val="auto"/>
        </w:rPr>
        <w:t xml:space="preserve">the positive impact of remittances on economic growth. </w:t>
      </w:r>
      <w:r w:rsidR="00863FDF" w:rsidRPr="00D64F8C">
        <w:rPr>
          <w:color w:val="auto"/>
        </w:rPr>
        <w:t>The decline in</w:t>
      </w:r>
      <w:r w:rsidR="000654B1" w:rsidRPr="00D64F8C">
        <w:rPr>
          <w:color w:val="auto"/>
        </w:rPr>
        <w:t xml:space="preserve"> productive capacity due to loss of skilled labour</w:t>
      </w:r>
      <w:r w:rsidR="00863FDF" w:rsidRPr="00D64F8C">
        <w:rPr>
          <w:color w:val="auto"/>
        </w:rPr>
        <w:t xml:space="preserve"> associated with brain drain is however difficult to assess since it depends on both the opportunity cost of migrants working abroad and the home country</w:t>
      </w:r>
      <w:r w:rsidR="007D5312" w:rsidRPr="00D64F8C">
        <w:rPr>
          <w:color w:val="auto"/>
        </w:rPr>
        <w:t>’s</w:t>
      </w:r>
      <w:r w:rsidR="00863FDF" w:rsidRPr="00D64F8C">
        <w:rPr>
          <w:color w:val="auto"/>
        </w:rPr>
        <w:t xml:space="preserve"> unemployment rate</w:t>
      </w:r>
      <w:r w:rsidR="000A45CB" w:rsidRPr="00D64F8C">
        <w:rPr>
          <w:color w:val="auto"/>
        </w:rPr>
        <w:t>, of which both are difficult to quantify or the data is scanty</w:t>
      </w:r>
      <w:r w:rsidR="00863FDF" w:rsidRPr="00D64F8C">
        <w:rPr>
          <w:color w:val="auto"/>
        </w:rPr>
        <w:t xml:space="preserve">. </w:t>
      </w:r>
      <w:r w:rsidR="00BB47CB" w:rsidRPr="00D64F8C">
        <w:rPr>
          <w:color w:val="auto"/>
        </w:rPr>
        <w:t xml:space="preserve"> </w:t>
      </w:r>
      <w:r w:rsidR="00BB037E" w:rsidRPr="00D64F8C">
        <w:rPr>
          <w:color w:val="auto"/>
        </w:rPr>
        <w:t xml:space="preserve"> </w:t>
      </w:r>
    </w:p>
    <w:p w:rsidR="00621620" w:rsidRPr="00D64F8C" w:rsidRDefault="00621620" w:rsidP="00141422">
      <w:pPr>
        <w:pStyle w:val="Abstracttext"/>
        <w:spacing w:line="276" w:lineRule="auto"/>
        <w:rPr>
          <w:color w:val="auto"/>
        </w:rPr>
      </w:pPr>
    </w:p>
    <w:p w:rsidR="0032534A" w:rsidRPr="00D64F8C" w:rsidRDefault="0032534A" w:rsidP="00141422">
      <w:pPr>
        <w:pStyle w:val="Abstracttext"/>
        <w:spacing w:line="276" w:lineRule="auto"/>
        <w:rPr>
          <w:color w:val="auto"/>
        </w:rPr>
      </w:pPr>
      <w:r w:rsidRPr="00D64F8C">
        <w:rPr>
          <w:color w:val="auto"/>
        </w:rPr>
        <w:lastRenderedPageBreak/>
        <w:t xml:space="preserve">A number of studies use more than one category of capital inflows in the analysis of the contribution of </w:t>
      </w:r>
      <w:r w:rsidR="00C500A3" w:rsidRPr="00D64F8C">
        <w:rPr>
          <w:color w:val="auto"/>
        </w:rPr>
        <w:t>capital inflows</w:t>
      </w:r>
      <w:r w:rsidRPr="00D64F8C">
        <w:rPr>
          <w:color w:val="auto"/>
        </w:rPr>
        <w:t xml:space="preserve"> to growth (Driffield and Jones 2013</w:t>
      </w:r>
      <w:r w:rsidR="00C10CD4">
        <w:rPr>
          <w:color w:val="auto"/>
        </w:rPr>
        <w:t xml:space="preserve"> [24]</w:t>
      </w:r>
      <w:r w:rsidRPr="00D64F8C">
        <w:rPr>
          <w:color w:val="auto"/>
        </w:rPr>
        <w:t>, and Zardoub and El Abed 2019</w:t>
      </w:r>
      <w:r w:rsidR="00C10CD4">
        <w:rPr>
          <w:color w:val="auto"/>
        </w:rPr>
        <w:t xml:space="preserve"> [53]</w:t>
      </w:r>
      <w:r w:rsidRPr="00D64F8C">
        <w:rPr>
          <w:color w:val="auto"/>
        </w:rPr>
        <w:t xml:space="preserve">).   Javaid (2017) </w:t>
      </w:r>
      <w:r w:rsidR="00C10CD4">
        <w:rPr>
          <w:color w:val="auto"/>
        </w:rPr>
        <w:t xml:space="preserve">[30] </w:t>
      </w:r>
      <w:r w:rsidRPr="00D64F8C">
        <w:rPr>
          <w:color w:val="auto"/>
        </w:rPr>
        <w:t>study on Pakistan finds that remittances do not contribute to economic growth but FDI and ODA significantly contributed to economic growth. The insignificant outcome was largely attributed to usage where remittances were used to smoothen consumptions unlike FDI and ODA that went into investment. Zardoub and El Abed (2019)</w:t>
      </w:r>
      <w:r w:rsidR="00C10CD4">
        <w:rPr>
          <w:color w:val="auto"/>
        </w:rPr>
        <w:t xml:space="preserve"> [53]</w:t>
      </w:r>
      <w:r w:rsidRPr="00D64F8C">
        <w:rPr>
          <w:color w:val="auto"/>
        </w:rPr>
        <w:t xml:space="preserve"> models the short and long term effects of capital flows on economic growth in developing countries using a combined autoregressive distributed lag panel approach, and finds an ambiguous effects. Murinde (2012) </w:t>
      </w:r>
      <w:r w:rsidR="00C10CD4">
        <w:rPr>
          <w:color w:val="auto"/>
        </w:rPr>
        <w:t xml:space="preserve">[42] </w:t>
      </w:r>
      <w:r w:rsidRPr="00D64F8C">
        <w:rPr>
          <w:color w:val="auto"/>
        </w:rPr>
        <w:t xml:space="preserve">shows that the impact of </w:t>
      </w:r>
      <w:r w:rsidR="00C500A3" w:rsidRPr="00D64F8C">
        <w:rPr>
          <w:color w:val="auto"/>
        </w:rPr>
        <w:t>capital inflows</w:t>
      </w:r>
      <w:r w:rsidRPr="00D64F8C">
        <w:rPr>
          <w:color w:val="auto"/>
        </w:rPr>
        <w:t xml:space="preserve"> on economic growth depends on the sample used, model specification and treatment of inherent endogeneity bias. </w:t>
      </w:r>
    </w:p>
    <w:p w:rsidR="0032534A" w:rsidRPr="00D64F8C" w:rsidRDefault="0032534A" w:rsidP="00141422">
      <w:pPr>
        <w:pStyle w:val="Abstracttext"/>
        <w:spacing w:line="276" w:lineRule="auto"/>
        <w:rPr>
          <w:color w:val="auto"/>
        </w:rPr>
      </w:pPr>
    </w:p>
    <w:p w:rsidR="0032534A" w:rsidRPr="00D64F8C" w:rsidRDefault="0032534A" w:rsidP="00141422">
      <w:pPr>
        <w:pStyle w:val="Abstracttext"/>
        <w:spacing w:line="276" w:lineRule="auto"/>
        <w:rPr>
          <w:color w:val="auto"/>
        </w:rPr>
      </w:pPr>
      <w:r w:rsidRPr="00D64F8C">
        <w:rPr>
          <w:color w:val="auto"/>
        </w:rPr>
        <w:t xml:space="preserve">Javaid (2017) </w:t>
      </w:r>
      <w:r w:rsidR="00C10CD4">
        <w:rPr>
          <w:color w:val="auto"/>
        </w:rPr>
        <w:t xml:space="preserve">[30] </w:t>
      </w:r>
      <w:r w:rsidRPr="00D64F8C">
        <w:rPr>
          <w:color w:val="auto"/>
        </w:rPr>
        <w:t>study on Pakistan finds that FDI and ODA had a significant and positive impact on economic growth, while remittances did not influence economic growth. The study argues that the reason why remittances did influence economic growth were, first, remittances were used for consumption and second, remittances led to exchange rate appreciation that made Pakistan’s exports uncompetitive.  In a similar study, Aizenman et al. (2011)</w:t>
      </w:r>
      <w:r w:rsidR="00C10CD4">
        <w:rPr>
          <w:color w:val="auto"/>
        </w:rPr>
        <w:t xml:space="preserve"> [4]</w:t>
      </w:r>
      <w:r w:rsidRPr="00D64F8C">
        <w:rPr>
          <w:color w:val="auto"/>
        </w:rPr>
        <w:t xml:space="preserve"> finds that FDI positively affects growth but portfolio inflows and equity investments have no effect on economic growth. </w:t>
      </w:r>
    </w:p>
    <w:p w:rsidR="00021323" w:rsidRPr="00D64F8C" w:rsidRDefault="00021323" w:rsidP="00141422">
      <w:pPr>
        <w:pStyle w:val="Abstracttext"/>
        <w:spacing w:line="276" w:lineRule="auto"/>
        <w:rPr>
          <w:color w:val="auto"/>
        </w:rPr>
      </w:pPr>
    </w:p>
    <w:p w:rsidR="0032534A" w:rsidRPr="00D64F8C" w:rsidRDefault="0032534A" w:rsidP="00141422">
      <w:pPr>
        <w:pStyle w:val="Abstracttext"/>
        <w:spacing w:line="276" w:lineRule="auto"/>
        <w:rPr>
          <w:color w:val="auto"/>
        </w:rPr>
      </w:pPr>
      <w:r w:rsidRPr="00D64F8C">
        <w:rPr>
          <w:color w:val="auto"/>
        </w:rPr>
        <w:t xml:space="preserve">Coon and Neumann (2015) </w:t>
      </w:r>
      <w:r w:rsidR="00C10CD4">
        <w:rPr>
          <w:color w:val="auto"/>
        </w:rPr>
        <w:t xml:space="preserve">[21] </w:t>
      </w:r>
      <w:r w:rsidRPr="00D64F8C">
        <w:rPr>
          <w:color w:val="auto"/>
        </w:rPr>
        <w:t xml:space="preserve">study of 118 developing countries from 1980-2010 finds that remittances and FDI are complementary, both filling the resource gap for investment, thereby positively influencing economic growth in the recipient country. Similarly, Lensink and Morrissey (2000) </w:t>
      </w:r>
      <w:r w:rsidR="00C10CD4">
        <w:rPr>
          <w:color w:val="auto"/>
        </w:rPr>
        <w:t xml:space="preserve">[36] </w:t>
      </w:r>
      <w:r w:rsidRPr="00D64F8C">
        <w:rPr>
          <w:color w:val="auto"/>
        </w:rPr>
        <w:t xml:space="preserve">finds that migrant remittances and foreign aid are complementary. They argue that remittances directed to investment in the home country tends to stimulate infrastructure development and growth of quality institutions, that ultimately trigger foreign aid inflows and economic growth. However, Minasyan and Nunnenkamp (2016) </w:t>
      </w:r>
      <w:r w:rsidR="00C10CD4">
        <w:rPr>
          <w:color w:val="auto"/>
        </w:rPr>
        <w:t xml:space="preserve">[40] </w:t>
      </w:r>
      <w:r w:rsidRPr="00D64F8C">
        <w:rPr>
          <w:color w:val="auto"/>
        </w:rPr>
        <w:t xml:space="preserve">provide a contrary view that foreign aid does not lead to any improvement in infrastructure, institutions or economic growth in recipient country, which in turn discourage remittances and dampen economic growth prospects.    </w:t>
      </w:r>
    </w:p>
    <w:p w:rsidR="0032534A" w:rsidRPr="00D64F8C" w:rsidRDefault="0032534A" w:rsidP="00141422">
      <w:pPr>
        <w:pStyle w:val="Abstracttext"/>
        <w:spacing w:line="276" w:lineRule="auto"/>
        <w:rPr>
          <w:color w:val="auto"/>
        </w:rPr>
      </w:pPr>
    </w:p>
    <w:p w:rsidR="0032534A" w:rsidRPr="00D64F8C" w:rsidRDefault="0032534A" w:rsidP="00141422">
      <w:pPr>
        <w:pStyle w:val="Abstracttext"/>
        <w:spacing w:line="276" w:lineRule="auto"/>
        <w:rPr>
          <w:color w:val="auto"/>
        </w:rPr>
      </w:pPr>
      <w:r w:rsidRPr="00D64F8C">
        <w:rPr>
          <w:color w:val="auto"/>
        </w:rPr>
        <w:t xml:space="preserve">Some studies for Africa or Sub-Saharan Africa (SSA) on </w:t>
      </w:r>
      <w:r w:rsidR="00C500A3" w:rsidRPr="00D64F8C">
        <w:rPr>
          <w:color w:val="auto"/>
        </w:rPr>
        <w:t>capital inflows</w:t>
      </w:r>
      <w:r w:rsidRPr="00D64F8C">
        <w:rPr>
          <w:color w:val="auto"/>
        </w:rPr>
        <w:t xml:space="preserve"> and economic growth find a significant positive relationship. Alley (2015) </w:t>
      </w:r>
      <w:r w:rsidR="00CD0F61">
        <w:rPr>
          <w:color w:val="auto"/>
        </w:rPr>
        <w:t xml:space="preserve">[5] </w:t>
      </w:r>
      <w:r w:rsidRPr="00D64F8C">
        <w:rPr>
          <w:color w:val="auto"/>
        </w:rPr>
        <w:t xml:space="preserve">finds a positive and significant relationship between FDI per capita and GDP growth per capital and a negative relationship between portfolio investment per capita and bank lending per capita and GDP growth per capita. Delechat </w:t>
      </w:r>
      <w:r w:rsidRPr="00D64F8C">
        <w:rPr>
          <w:i/>
          <w:color w:val="auto"/>
        </w:rPr>
        <w:t>et al</w:t>
      </w:r>
      <w:r w:rsidR="00EF12A3" w:rsidRPr="00D64F8C">
        <w:rPr>
          <w:i/>
          <w:color w:val="auto"/>
        </w:rPr>
        <w:t>.</w:t>
      </w:r>
      <w:r w:rsidRPr="00D64F8C">
        <w:rPr>
          <w:color w:val="auto"/>
        </w:rPr>
        <w:t xml:space="preserve"> (2009) </w:t>
      </w:r>
      <w:r w:rsidR="00C10CD4">
        <w:rPr>
          <w:color w:val="auto"/>
        </w:rPr>
        <w:t xml:space="preserve">[22] </w:t>
      </w:r>
      <w:r w:rsidRPr="00D64F8C">
        <w:rPr>
          <w:color w:val="auto"/>
        </w:rPr>
        <w:t xml:space="preserve">using OLS over a period 2000-7, finds a significant positive relationship between </w:t>
      </w:r>
      <w:r w:rsidR="00C500A3" w:rsidRPr="00D64F8C">
        <w:rPr>
          <w:color w:val="auto"/>
        </w:rPr>
        <w:t>capital inflows</w:t>
      </w:r>
      <w:r w:rsidRPr="00D64F8C">
        <w:rPr>
          <w:color w:val="auto"/>
        </w:rPr>
        <w:t xml:space="preserve"> and real GDP growth. The main shortcoming of the study was the short span of data and the use of OLS that does not give consistent parameter estimates for panel data. Mougani (2012)</w:t>
      </w:r>
      <w:r w:rsidR="00C10CD4">
        <w:rPr>
          <w:color w:val="auto"/>
        </w:rPr>
        <w:t xml:space="preserve"> [41]</w:t>
      </w:r>
      <w:r w:rsidRPr="00D64F8C">
        <w:rPr>
          <w:color w:val="auto"/>
        </w:rPr>
        <w:t xml:space="preserve"> using OLS estimation finds a significant positive effect of </w:t>
      </w:r>
      <w:r w:rsidR="00C500A3" w:rsidRPr="00D64F8C">
        <w:rPr>
          <w:color w:val="auto"/>
        </w:rPr>
        <w:t>capital inflows</w:t>
      </w:r>
      <w:r w:rsidRPr="00D64F8C">
        <w:rPr>
          <w:color w:val="auto"/>
        </w:rPr>
        <w:t xml:space="preserve"> and GDP growth but the results did not hold when using GMM estimation.</w:t>
      </w:r>
    </w:p>
    <w:p w:rsidR="0032534A" w:rsidRPr="00D64F8C" w:rsidRDefault="0032534A" w:rsidP="00141422">
      <w:pPr>
        <w:pStyle w:val="Abstracttext"/>
        <w:spacing w:line="276" w:lineRule="auto"/>
        <w:rPr>
          <w:color w:val="auto"/>
        </w:rPr>
      </w:pPr>
    </w:p>
    <w:p w:rsidR="00797D67" w:rsidRPr="00D64F8C" w:rsidRDefault="00D4109E" w:rsidP="00141422">
      <w:pPr>
        <w:pStyle w:val="Abstracttext"/>
        <w:spacing w:line="276" w:lineRule="auto"/>
        <w:rPr>
          <w:color w:val="auto"/>
        </w:rPr>
      </w:pPr>
      <w:r w:rsidRPr="00D64F8C">
        <w:rPr>
          <w:color w:val="auto"/>
        </w:rPr>
        <w:t xml:space="preserve">The negative impact of </w:t>
      </w:r>
      <w:r w:rsidR="00C500A3" w:rsidRPr="00D64F8C">
        <w:rPr>
          <w:color w:val="auto"/>
        </w:rPr>
        <w:t>capital inflows</w:t>
      </w:r>
      <w:r w:rsidRPr="00D64F8C">
        <w:rPr>
          <w:color w:val="auto"/>
        </w:rPr>
        <w:t xml:space="preserve"> on economic growth </w:t>
      </w:r>
      <w:r w:rsidR="00AF5AA7" w:rsidRPr="00D64F8C">
        <w:rPr>
          <w:color w:val="auto"/>
        </w:rPr>
        <w:t xml:space="preserve">in the empirical literature </w:t>
      </w:r>
      <w:r w:rsidRPr="00D64F8C">
        <w:rPr>
          <w:color w:val="auto"/>
        </w:rPr>
        <w:t xml:space="preserve">is captured through the impact of such inflows on the real </w:t>
      </w:r>
      <w:r w:rsidR="00756C3C" w:rsidRPr="00D64F8C">
        <w:rPr>
          <w:color w:val="auto"/>
        </w:rPr>
        <w:t xml:space="preserve">effective </w:t>
      </w:r>
      <w:r w:rsidRPr="00D64F8C">
        <w:rPr>
          <w:color w:val="auto"/>
        </w:rPr>
        <w:t xml:space="preserve">exchange rate. The negative consequences arise from loss of competitiveness caused by a real </w:t>
      </w:r>
      <w:r w:rsidR="00756C3C" w:rsidRPr="00D64F8C">
        <w:rPr>
          <w:color w:val="auto"/>
        </w:rPr>
        <w:t xml:space="preserve">effective </w:t>
      </w:r>
      <w:r w:rsidRPr="00D64F8C">
        <w:rPr>
          <w:color w:val="auto"/>
        </w:rPr>
        <w:t xml:space="preserve">exchange rate </w:t>
      </w:r>
      <w:r w:rsidR="00AF5AA7" w:rsidRPr="00D64F8C">
        <w:rPr>
          <w:color w:val="auto"/>
        </w:rPr>
        <w:lastRenderedPageBreak/>
        <w:t xml:space="preserve">appreciation </w:t>
      </w:r>
      <w:r w:rsidRPr="00D64F8C">
        <w:rPr>
          <w:color w:val="auto"/>
        </w:rPr>
        <w:t>associated with capital inflows.</w:t>
      </w:r>
      <w:r w:rsidR="00797D67" w:rsidRPr="00D64F8C">
        <w:rPr>
          <w:color w:val="auto"/>
        </w:rPr>
        <w:t xml:space="preserve"> Capital inflows generate increased demand for both tradable</w:t>
      </w:r>
      <w:r w:rsidR="008A438C">
        <w:rPr>
          <w:color w:val="auto"/>
        </w:rPr>
        <w:t xml:space="preserve"> good</w:t>
      </w:r>
      <w:r w:rsidR="00797D67" w:rsidRPr="00D64F8C">
        <w:rPr>
          <w:color w:val="auto"/>
        </w:rPr>
        <w:t>s and non-tradable</w:t>
      </w:r>
      <w:r w:rsidR="008A438C">
        <w:rPr>
          <w:color w:val="auto"/>
        </w:rPr>
        <w:t xml:space="preserve"> good</w:t>
      </w:r>
      <w:r w:rsidR="00797D67" w:rsidRPr="00D64F8C">
        <w:rPr>
          <w:color w:val="auto"/>
        </w:rPr>
        <w:t>s and lead both to a higher relative price of non-tradable</w:t>
      </w:r>
      <w:r w:rsidR="008A438C">
        <w:rPr>
          <w:color w:val="auto"/>
        </w:rPr>
        <w:t xml:space="preserve"> good</w:t>
      </w:r>
      <w:r w:rsidR="00797D67" w:rsidRPr="00D64F8C">
        <w:rPr>
          <w:color w:val="auto"/>
        </w:rPr>
        <w:t>s and to real appreciation. This is necessary so that domestic resources will be diverted to production of non-tradable</w:t>
      </w:r>
      <w:r w:rsidR="008A438C">
        <w:rPr>
          <w:color w:val="auto"/>
        </w:rPr>
        <w:t xml:space="preserve"> good</w:t>
      </w:r>
      <w:r w:rsidR="00797D67" w:rsidRPr="00D64F8C">
        <w:rPr>
          <w:color w:val="auto"/>
        </w:rPr>
        <w:t>s to meet the increased demand (Edwards, 1998</w:t>
      </w:r>
      <w:r w:rsidR="00C10CD4">
        <w:rPr>
          <w:color w:val="auto"/>
        </w:rPr>
        <w:t xml:space="preserve"> [26]</w:t>
      </w:r>
      <w:r w:rsidR="00797D67" w:rsidRPr="00D64F8C">
        <w:rPr>
          <w:color w:val="auto"/>
        </w:rPr>
        <w:t>).</w:t>
      </w:r>
    </w:p>
    <w:p w:rsidR="00797D67" w:rsidRPr="00D64F8C" w:rsidRDefault="00797D67" w:rsidP="00141422">
      <w:pPr>
        <w:pStyle w:val="Abstracttext"/>
        <w:spacing w:line="276" w:lineRule="auto"/>
        <w:rPr>
          <w:color w:val="auto"/>
        </w:rPr>
      </w:pPr>
    </w:p>
    <w:p w:rsidR="007A096F" w:rsidRPr="00D64F8C" w:rsidRDefault="00D4109E" w:rsidP="00141422">
      <w:pPr>
        <w:pStyle w:val="Abstracttext"/>
        <w:spacing w:line="276" w:lineRule="auto"/>
        <w:rPr>
          <w:color w:val="auto"/>
        </w:rPr>
      </w:pPr>
      <w:r w:rsidRPr="00D64F8C">
        <w:rPr>
          <w:color w:val="auto"/>
        </w:rPr>
        <w:t xml:space="preserve">With most COMESA member countries having flexible exchange rates, a real appreciation emanates from nominal appreciation, which in turn undermines competitiveness, widens the current account deficit as imports becomes cheaper and exports expensive, and increases vulnerability to a financial crisis (Calvo </w:t>
      </w:r>
      <w:r w:rsidRPr="00C10CD4">
        <w:rPr>
          <w:i/>
          <w:color w:val="auto"/>
        </w:rPr>
        <w:t>et. al</w:t>
      </w:r>
      <w:r w:rsidRPr="00D64F8C">
        <w:rPr>
          <w:color w:val="auto"/>
        </w:rPr>
        <w:t xml:space="preserve"> 1993</w:t>
      </w:r>
      <w:r w:rsidR="00C10CD4">
        <w:rPr>
          <w:color w:val="auto"/>
        </w:rPr>
        <w:t xml:space="preserve"> [15]</w:t>
      </w:r>
      <w:r w:rsidRPr="00D64F8C">
        <w:rPr>
          <w:color w:val="auto"/>
        </w:rPr>
        <w:t xml:space="preserve">). Sustained and significant </w:t>
      </w:r>
      <w:r w:rsidR="00AF5AA7" w:rsidRPr="00D64F8C">
        <w:rPr>
          <w:color w:val="auto"/>
        </w:rPr>
        <w:t>appreciation can</w:t>
      </w:r>
      <w:r w:rsidRPr="00D64F8C">
        <w:rPr>
          <w:color w:val="auto"/>
        </w:rPr>
        <w:t xml:space="preserve"> lead to sudden stop of capital inflows, causing an abrupt adjustment </w:t>
      </w:r>
      <w:r w:rsidR="007760D9" w:rsidRPr="00D64F8C">
        <w:rPr>
          <w:color w:val="auto"/>
        </w:rPr>
        <w:t>of the current account, discouraging investment and could cause major problems for macroeconomic management of the economy (Lartey, 2008</w:t>
      </w:r>
      <w:r w:rsidR="00C10CD4">
        <w:rPr>
          <w:color w:val="auto"/>
        </w:rPr>
        <w:t xml:space="preserve"> [35]</w:t>
      </w:r>
      <w:r w:rsidR="007760D9" w:rsidRPr="00D64F8C">
        <w:rPr>
          <w:color w:val="auto"/>
        </w:rPr>
        <w:t>).</w:t>
      </w:r>
      <w:r w:rsidRPr="00D64F8C">
        <w:rPr>
          <w:color w:val="auto"/>
        </w:rPr>
        <w:t xml:space="preserve"> </w:t>
      </w:r>
    </w:p>
    <w:p w:rsidR="00621620" w:rsidRPr="00D64F8C" w:rsidRDefault="00621620" w:rsidP="00141422">
      <w:pPr>
        <w:pStyle w:val="Abstracttext"/>
        <w:spacing w:line="276" w:lineRule="auto"/>
        <w:rPr>
          <w:color w:val="auto"/>
        </w:rPr>
      </w:pPr>
    </w:p>
    <w:p w:rsidR="00A51C10" w:rsidRPr="00D64F8C" w:rsidRDefault="00EF12A3" w:rsidP="00141422">
      <w:pPr>
        <w:pStyle w:val="Abstracttext"/>
        <w:spacing w:line="276" w:lineRule="auto"/>
        <w:rPr>
          <w:color w:val="auto"/>
        </w:rPr>
      </w:pPr>
      <w:r w:rsidRPr="00D64F8C">
        <w:rPr>
          <w:color w:val="auto"/>
        </w:rPr>
        <w:t>In general</w:t>
      </w:r>
      <w:r w:rsidR="00CB535E" w:rsidRPr="00D64F8C">
        <w:rPr>
          <w:color w:val="auto"/>
        </w:rPr>
        <w:t xml:space="preserve">, the impact of foreign aid on REER is mixed. </w:t>
      </w:r>
      <w:r w:rsidR="00954F6D" w:rsidRPr="00D64F8C">
        <w:rPr>
          <w:color w:val="auto"/>
        </w:rPr>
        <w:t>F</w:t>
      </w:r>
      <w:r w:rsidR="00CB535E" w:rsidRPr="00D64F8C">
        <w:rPr>
          <w:color w:val="auto"/>
        </w:rPr>
        <w:t>oreign aid inflows cause</w:t>
      </w:r>
      <w:r w:rsidR="00954F6D" w:rsidRPr="00D64F8C">
        <w:rPr>
          <w:color w:val="auto"/>
        </w:rPr>
        <w:t>s</w:t>
      </w:r>
      <w:r w:rsidR="00CB535E" w:rsidRPr="00D64F8C">
        <w:rPr>
          <w:color w:val="auto"/>
        </w:rPr>
        <w:t xml:space="preserve"> real exchange rate appreciation</w:t>
      </w:r>
      <w:r w:rsidR="00954F6D" w:rsidRPr="00D64F8C">
        <w:rPr>
          <w:color w:val="auto"/>
        </w:rPr>
        <w:t xml:space="preserve"> only if it enhances productivity in the tradable sector but leads  to </w:t>
      </w:r>
      <w:r w:rsidR="00CB535E" w:rsidRPr="00D64F8C">
        <w:rPr>
          <w:color w:val="auto"/>
        </w:rPr>
        <w:t xml:space="preserve">exchange rate depreciation if directed to improve productivity in the non-tradable sector (Cerra, </w:t>
      </w:r>
      <w:r w:rsidR="00CB535E" w:rsidRPr="00D64F8C">
        <w:rPr>
          <w:i/>
          <w:color w:val="auto"/>
        </w:rPr>
        <w:t>et.al.</w:t>
      </w:r>
      <w:r w:rsidR="00CB535E" w:rsidRPr="00D64F8C">
        <w:rPr>
          <w:color w:val="auto"/>
        </w:rPr>
        <w:t xml:space="preserve"> 2008</w:t>
      </w:r>
      <w:r w:rsidR="00C10CD4">
        <w:rPr>
          <w:color w:val="auto"/>
        </w:rPr>
        <w:t xml:space="preserve"> [17]</w:t>
      </w:r>
      <w:r w:rsidR="00CB535E" w:rsidRPr="00D64F8C">
        <w:rPr>
          <w:color w:val="auto"/>
        </w:rPr>
        <w:t>).</w:t>
      </w:r>
      <w:r w:rsidR="00954F6D" w:rsidRPr="00D64F8C">
        <w:rPr>
          <w:color w:val="auto"/>
        </w:rPr>
        <w:t xml:space="preserve"> Similarly, empirical studies on the impact of FDI on exchange rate is not clear. Lartey (2007)</w:t>
      </w:r>
      <w:r w:rsidR="00C10CD4">
        <w:rPr>
          <w:color w:val="auto"/>
        </w:rPr>
        <w:t xml:space="preserve"> [34]</w:t>
      </w:r>
      <w:r w:rsidR="00954F6D" w:rsidRPr="00D64F8C">
        <w:rPr>
          <w:color w:val="auto"/>
        </w:rPr>
        <w:t xml:space="preserve"> and Saborowisk</w:t>
      </w:r>
      <w:r w:rsidR="00C10CD4">
        <w:rPr>
          <w:color w:val="auto"/>
        </w:rPr>
        <w:t>i</w:t>
      </w:r>
      <w:r w:rsidR="00954F6D" w:rsidRPr="00D64F8C">
        <w:rPr>
          <w:color w:val="auto"/>
        </w:rPr>
        <w:t xml:space="preserve"> (2009) </w:t>
      </w:r>
      <w:r w:rsidR="00C10CD4">
        <w:rPr>
          <w:color w:val="auto"/>
        </w:rPr>
        <w:t xml:space="preserve">[49] </w:t>
      </w:r>
      <w:r w:rsidR="00954F6D" w:rsidRPr="00D64F8C">
        <w:rPr>
          <w:color w:val="auto"/>
        </w:rPr>
        <w:t>show that FDI inflows leads to real appreciation whil</w:t>
      </w:r>
      <w:r w:rsidRPr="00D64F8C">
        <w:rPr>
          <w:color w:val="auto"/>
        </w:rPr>
        <w:t>e</w:t>
      </w:r>
      <w:r w:rsidR="00954F6D" w:rsidRPr="00D64F8C">
        <w:rPr>
          <w:color w:val="auto"/>
        </w:rPr>
        <w:t xml:space="preserve"> Athukorala and Rajatirana (2003) </w:t>
      </w:r>
      <w:r w:rsidR="00C10CD4">
        <w:rPr>
          <w:color w:val="auto"/>
        </w:rPr>
        <w:t>[</w:t>
      </w:r>
      <w:r w:rsidR="005136BF">
        <w:rPr>
          <w:color w:val="auto"/>
        </w:rPr>
        <w:t>9</w:t>
      </w:r>
      <w:r w:rsidR="00C10CD4">
        <w:rPr>
          <w:color w:val="auto"/>
        </w:rPr>
        <w:t xml:space="preserve">] </w:t>
      </w:r>
      <w:r w:rsidR="00954F6D" w:rsidRPr="00D64F8C">
        <w:rPr>
          <w:color w:val="auto"/>
        </w:rPr>
        <w:t>show that FDI inflows are associated with a depreciation. In addition, t</w:t>
      </w:r>
      <w:r w:rsidR="00864FE5" w:rsidRPr="00D64F8C">
        <w:rPr>
          <w:color w:val="auto"/>
        </w:rPr>
        <w:t>here is no consensus on the impact of remittances inflow on real REER. Remittances can be countercyclical, that is, acting as a buffer to smoothen consumption especially during economic downturn. In this cas</w:t>
      </w:r>
      <w:r w:rsidR="00954F6D" w:rsidRPr="00D64F8C">
        <w:rPr>
          <w:color w:val="auto"/>
        </w:rPr>
        <w:t xml:space="preserve">e, remittances provide the much </w:t>
      </w:r>
      <w:r w:rsidR="00864FE5" w:rsidRPr="00D64F8C">
        <w:rPr>
          <w:color w:val="auto"/>
        </w:rPr>
        <w:t>needed cushion by compensating for foreign exchange losses</w:t>
      </w:r>
      <w:r w:rsidR="001A6E25" w:rsidRPr="00D64F8C">
        <w:rPr>
          <w:color w:val="auto"/>
        </w:rPr>
        <w:t xml:space="preserve"> due to macroeconomic shocks and therefore tend not to have much effect on the REER</w:t>
      </w:r>
      <w:r w:rsidR="000423FF" w:rsidRPr="00D64F8C">
        <w:rPr>
          <w:color w:val="auto"/>
        </w:rPr>
        <w:t xml:space="preserve"> (</w:t>
      </w:r>
      <w:r w:rsidR="00FA1DB7" w:rsidRPr="00D64F8C">
        <w:rPr>
          <w:color w:val="auto"/>
        </w:rPr>
        <w:t>Bourdet and Falck, 2006</w:t>
      </w:r>
      <w:r w:rsidR="005136BF">
        <w:rPr>
          <w:color w:val="auto"/>
        </w:rPr>
        <w:t xml:space="preserve"> [12]</w:t>
      </w:r>
      <w:r w:rsidR="000423FF" w:rsidRPr="00D64F8C">
        <w:rPr>
          <w:color w:val="auto"/>
        </w:rPr>
        <w:t>)</w:t>
      </w:r>
      <w:r w:rsidR="001A6E25" w:rsidRPr="00D64F8C">
        <w:rPr>
          <w:color w:val="auto"/>
        </w:rPr>
        <w:t xml:space="preserve">. However, remittances </w:t>
      </w:r>
      <w:r w:rsidR="00753695" w:rsidRPr="00D64F8C">
        <w:rPr>
          <w:color w:val="auto"/>
        </w:rPr>
        <w:t xml:space="preserve">can be </w:t>
      </w:r>
      <w:r w:rsidR="001A6E25" w:rsidRPr="00D64F8C">
        <w:rPr>
          <w:color w:val="auto"/>
        </w:rPr>
        <w:t>procyclical when they are directed towards investment</w:t>
      </w:r>
      <w:r w:rsidR="00753695" w:rsidRPr="00D64F8C">
        <w:rPr>
          <w:color w:val="auto"/>
        </w:rPr>
        <w:t xml:space="preserve">, contributing to further macroeconomic </w:t>
      </w:r>
      <w:r w:rsidR="00B37837" w:rsidRPr="00D64F8C">
        <w:rPr>
          <w:color w:val="auto"/>
        </w:rPr>
        <w:t xml:space="preserve">overheating </w:t>
      </w:r>
      <w:r w:rsidR="00753695" w:rsidRPr="00D64F8C">
        <w:rPr>
          <w:color w:val="auto"/>
        </w:rPr>
        <w:t>and appreciati</w:t>
      </w:r>
      <w:r w:rsidR="00B37837" w:rsidRPr="00D64F8C">
        <w:rPr>
          <w:color w:val="auto"/>
        </w:rPr>
        <w:t xml:space="preserve">on of </w:t>
      </w:r>
      <w:r w:rsidR="00753695" w:rsidRPr="00D64F8C">
        <w:rPr>
          <w:color w:val="auto"/>
        </w:rPr>
        <w:t>the REER</w:t>
      </w:r>
      <w:r w:rsidR="000423FF" w:rsidRPr="00D64F8C">
        <w:rPr>
          <w:color w:val="auto"/>
        </w:rPr>
        <w:t xml:space="preserve"> (Saadi-Sedik and Petri, 2006</w:t>
      </w:r>
      <w:r w:rsidR="005136BF">
        <w:rPr>
          <w:color w:val="auto"/>
        </w:rPr>
        <w:t xml:space="preserve"> [48]</w:t>
      </w:r>
      <w:r w:rsidR="000423FF" w:rsidRPr="00D64F8C">
        <w:rPr>
          <w:color w:val="auto"/>
        </w:rPr>
        <w:t xml:space="preserve">). </w:t>
      </w:r>
      <w:r w:rsidR="009A6D87" w:rsidRPr="00D64F8C">
        <w:rPr>
          <w:color w:val="auto"/>
        </w:rPr>
        <w:t xml:space="preserve">Procyclical remittances spent on real estate increases input prices, giving rise to construction booms, while if remittances are spent on traded goods such as imported durables, their effects on REER is weaker (Chami </w:t>
      </w:r>
      <w:r w:rsidR="009A6D87" w:rsidRPr="00D64F8C">
        <w:rPr>
          <w:i/>
          <w:color w:val="auto"/>
        </w:rPr>
        <w:t>et. al.</w:t>
      </w:r>
      <w:r w:rsidR="009A6D87" w:rsidRPr="00D64F8C">
        <w:rPr>
          <w:color w:val="auto"/>
        </w:rPr>
        <w:t>, 2008</w:t>
      </w:r>
      <w:r w:rsidR="005136BF">
        <w:rPr>
          <w:color w:val="auto"/>
        </w:rPr>
        <w:t xml:space="preserve"> [18]</w:t>
      </w:r>
      <w:r w:rsidR="009A6D87" w:rsidRPr="00D64F8C">
        <w:rPr>
          <w:color w:val="auto"/>
        </w:rPr>
        <w:t>)</w:t>
      </w:r>
    </w:p>
    <w:p w:rsidR="00264277" w:rsidRPr="00D64F8C" w:rsidRDefault="00264277" w:rsidP="00141422">
      <w:pPr>
        <w:pStyle w:val="Abstracttext"/>
        <w:spacing w:line="276" w:lineRule="auto"/>
        <w:rPr>
          <w:color w:val="auto"/>
        </w:rPr>
      </w:pPr>
    </w:p>
    <w:p w:rsidR="00264277" w:rsidRPr="00D64F8C" w:rsidRDefault="00264277" w:rsidP="00141422">
      <w:pPr>
        <w:pStyle w:val="Abstracttext"/>
        <w:spacing w:line="276" w:lineRule="auto"/>
        <w:rPr>
          <w:color w:val="auto"/>
        </w:rPr>
      </w:pPr>
      <w:r w:rsidRPr="00D64F8C">
        <w:rPr>
          <w:color w:val="auto"/>
        </w:rPr>
        <w:t xml:space="preserve">The </w:t>
      </w:r>
      <w:r w:rsidR="000E2A6E" w:rsidRPr="00D64F8C">
        <w:rPr>
          <w:color w:val="auto"/>
        </w:rPr>
        <w:t xml:space="preserve">foregoing empirical literature indicate that there is still no consensus on the relationship between </w:t>
      </w:r>
      <w:r w:rsidR="00C500A3" w:rsidRPr="00D64F8C">
        <w:rPr>
          <w:color w:val="auto"/>
        </w:rPr>
        <w:t>capital inflows</w:t>
      </w:r>
      <w:r w:rsidR="000E2A6E" w:rsidRPr="00D64F8C">
        <w:rPr>
          <w:color w:val="auto"/>
        </w:rPr>
        <w:t xml:space="preserve"> and economic growth. The literature suggest that the results depend on among others, the choice of time span/period with shorter time periods regarded more restrictive for robust results, choice of estimation technique with consensus inclined towards </w:t>
      </w:r>
      <w:r w:rsidR="00F95B68" w:rsidRPr="00D64F8C">
        <w:rPr>
          <w:color w:val="auto"/>
        </w:rPr>
        <w:t xml:space="preserve">panel data </w:t>
      </w:r>
      <w:r w:rsidR="000E2A6E" w:rsidRPr="00D64F8C">
        <w:rPr>
          <w:color w:val="auto"/>
        </w:rPr>
        <w:t>es</w:t>
      </w:r>
      <w:r w:rsidR="00EF12A3" w:rsidRPr="00D64F8C">
        <w:rPr>
          <w:color w:val="auto"/>
        </w:rPr>
        <w:t xml:space="preserve">timation, and </w:t>
      </w:r>
      <w:r w:rsidR="000E2A6E" w:rsidRPr="00D64F8C">
        <w:rPr>
          <w:color w:val="auto"/>
        </w:rPr>
        <w:t>the choice of countries</w:t>
      </w:r>
      <w:r w:rsidR="00EF12A3" w:rsidRPr="00D64F8C">
        <w:rPr>
          <w:color w:val="auto"/>
        </w:rPr>
        <w:t xml:space="preserve"> and variables </w:t>
      </w:r>
      <w:r w:rsidR="0029025B" w:rsidRPr="00D64F8C">
        <w:rPr>
          <w:color w:val="auto"/>
        </w:rPr>
        <w:t xml:space="preserve">to </w:t>
      </w:r>
      <w:r w:rsidR="00EF12A3" w:rsidRPr="00D64F8C">
        <w:rPr>
          <w:color w:val="auto"/>
        </w:rPr>
        <w:t>include</w:t>
      </w:r>
      <w:r w:rsidR="000E2A6E" w:rsidRPr="00D64F8C">
        <w:rPr>
          <w:color w:val="auto"/>
        </w:rPr>
        <w:t xml:space="preserve">. Most empirical studies remain biased towards emerging or developed countries, with no study on the subject so far for COMESA region. COMESA region aspiration of having a monetary union requires a deeper understanding of the effects of </w:t>
      </w:r>
      <w:r w:rsidR="00C500A3" w:rsidRPr="00D64F8C">
        <w:rPr>
          <w:color w:val="auto"/>
        </w:rPr>
        <w:t>capital inflows</w:t>
      </w:r>
      <w:r w:rsidR="000E2A6E" w:rsidRPr="00D64F8C">
        <w:rPr>
          <w:color w:val="auto"/>
        </w:rPr>
        <w:t xml:space="preserve"> and economic growth </w:t>
      </w:r>
      <w:r w:rsidR="007F5F0E" w:rsidRPr="00D64F8C">
        <w:rPr>
          <w:color w:val="auto"/>
        </w:rPr>
        <w:t xml:space="preserve">in order to inform policy discourse on the implication of financial integration within and with the rest of the world. This study </w:t>
      </w:r>
      <w:r w:rsidR="00F95B68" w:rsidRPr="00D64F8C">
        <w:rPr>
          <w:color w:val="auto"/>
        </w:rPr>
        <w:t xml:space="preserve">addresses some of these gaps by </w:t>
      </w:r>
      <w:r w:rsidR="007F5F0E" w:rsidRPr="00D64F8C">
        <w:rPr>
          <w:color w:val="auto"/>
        </w:rPr>
        <w:t>analy</w:t>
      </w:r>
      <w:r w:rsidR="00F95B68" w:rsidRPr="00D64F8C">
        <w:rPr>
          <w:color w:val="auto"/>
        </w:rPr>
        <w:t>zing</w:t>
      </w:r>
      <w:r w:rsidR="007F5F0E" w:rsidRPr="00D64F8C">
        <w:rPr>
          <w:color w:val="auto"/>
        </w:rPr>
        <w:t xml:space="preserve"> the </w:t>
      </w:r>
      <w:r w:rsidR="00DF38A1" w:rsidRPr="00D64F8C">
        <w:rPr>
          <w:color w:val="auto"/>
        </w:rPr>
        <w:t>effect of capital</w:t>
      </w:r>
      <w:r w:rsidR="007F5F0E" w:rsidRPr="00D64F8C">
        <w:rPr>
          <w:color w:val="auto"/>
        </w:rPr>
        <w:t xml:space="preserve"> </w:t>
      </w:r>
      <w:r w:rsidR="00DF38A1" w:rsidRPr="00D64F8C">
        <w:rPr>
          <w:color w:val="auto"/>
        </w:rPr>
        <w:t>in</w:t>
      </w:r>
      <w:r w:rsidR="007F5F0E" w:rsidRPr="00D64F8C">
        <w:rPr>
          <w:color w:val="auto"/>
        </w:rPr>
        <w:t>flows on economic growth</w:t>
      </w:r>
      <w:r w:rsidR="00DF38A1" w:rsidRPr="00D64F8C">
        <w:rPr>
          <w:color w:val="auto"/>
        </w:rPr>
        <w:t xml:space="preserve"> for selected countries in </w:t>
      </w:r>
      <w:r w:rsidR="00AC3BC9" w:rsidRPr="00D64F8C">
        <w:rPr>
          <w:color w:val="auto"/>
        </w:rPr>
        <w:t xml:space="preserve">the </w:t>
      </w:r>
      <w:r w:rsidR="00DF38A1" w:rsidRPr="00D64F8C">
        <w:rPr>
          <w:color w:val="auto"/>
        </w:rPr>
        <w:t>COMESA region</w:t>
      </w:r>
      <w:r w:rsidR="007F5F0E" w:rsidRPr="00D64F8C">
        <w:rPr>
          <w:color w:val="auto"/>
        </w:rPr>
        <w:t xml:space="preserve">.  </w:t>
      </w:r>
      <w:r w:rsidR="000E2A6E" w:rsidRPr="00D64F8C">
        <w:rPr>
          <w:color w:val="auto"/>
        </w:rPr>
        <w:t xml:space="preserve"> </w:t>
      </w:r>
    </w:p>
    <w:p w:rsidR="00C41552" w:rsidRDefault="00C41552" w:rsidP="00141422">
      <w:pPr>
        <w:spacing w:line="276" w:lineRule="auto"/>
        <w:jc w:val="both"/>
        <w:rPr>
          <w:rFonts w:ascii="Times New Roman" w:hAnsi="Times New Roman" w:cs="Times New Roman"/>
          <w:sz w:val="24"/>
          <w:szCs w:val="24"/>
        </w:rPr>
      </w:pPr>
    </w:p>
    <w:p w:rsidR="00793DEE" w:rsidRPr="00D64F8C" w:rsidRDefault="00793DEE" w:rsidP="00141422">
      <w:pPr>
        <w:spacing w:line="276" w:lineRule="auto"/>
        <w:jc w:val="both"/>
        <w:rPr>
          <w:rFonts w:ascii="Times New Roman" w:hAnsi="Times New Roman" w:cs="Times New Roman"/>
          <w:sz w:val="24"/>
          <w:szCs w:val="24"/>
        </w:rPr>
      </w:pPr>
    </w:p>
    <w:p w:rsidR="00C41552" w:rsidRPr="00D64F8C" w:rsidRDefault="00C41552" w:rsidP="00141422">
      <w:pPr>
        <w:pStyle w:val="HeadingNumbering1"/>
        <w:numPr>
          <w:ilvl w:val="0"/>
          <w:numId w:val="1"/>
        </w:numPr>
        <w:rPr>
          <w:sz w:val="24"/>
          <w:szCs w:val="24"/>
        </w:rPr>
      </w:pPr>
      <w:r w:rsidRPr="00D64F8C">
        <w:rPr>
          <w:sz w:val="24"/>
          <w:szCs w:val="24"/>
        </w:rPr>
        <w:t>Methodology</w:t>
      </w:r>
    </w:p>
    <w:p w:rsidR="00DF38A1" w:rsidRPr="00793DEE" w:rsidRDefault="00C00627" w:rsidP="00793DEE">
      <w:pPr>
        <w:pStyle w:val="Abstracttext"/>
        <w:spacing w:line="276" w:lineRule="auto"/>
        <w:rPr>
          <w:b/>
          <w:i/>
          <w:color w:val="auto"/>
        </w:rPr>
      </w:pPr>
      <w:r w:rsidRPr="00793DEE">
        <w:rPr>
          <w:b/>
          <w:i/>
          <w:color w:val="auto"/>
        </w:rPr>
        <w:t xml:space="preserve">3.1 </w:t>
      </w:r>
      <w:r w:rsidR="00DF38A1" w:rsidRPr="00793DEE">
        <w:rPr>
          <w:b/>
          <w:i/>
          <w:color w:val="auto"/>
        </w:rPr>
        <w:t>The Growth Model</w:t>
      </w:r>
    </w:p>
    <w:p w:rsidR="000D0276" w:rsidRPr="00D64F8C" w:rsidRDefault="000D0276" w:rsidP="00141422">
      <w:pPr>
        <w:pStyle w:val="Abstracttext"/>
        <w:spacing w:line="276" w:lineRule="auto"/>
        <w:rPr>
          <w:color w:val="auto"/>
        </w:rPr>
      </w:pPr>
      <w:r w:rsidRPr="00D64F8C">
        <w:rPr>
          <w:color w:val="auto"/>
        </w:rPr>
        <w:t xml:space="preserve">Empirical studies on the </w:t>
      </w:r>
      <w:r w:rsidR="00C41552" w:rsidRPr="00D64F8C">
        <w:rPr>
          <w:color w:val="auto"/>
        </w:rPr>
        <w:t>contribution of capital inflows to economic growth traces its theoretical underpinning from the neo-classical framework with the basic model articulated by Solow (1956)</w:t>
      </w:r>
      <w:r w:rsidR="005136BF">
        <w:rPr>
          <w:color w:val="auto"/>
        </w:rPr>
        <w:t xml:space="preserve"> [50]</w:t>
      </w:r>
      <w:r w:rsidR="00C41552" w:rsidRPr="00D64F8C">
        <w:rPr>
          <w:color w:val="auto"/>
        </w:rPr>
        <w:t>.</w:t>
      </w:r>
      <w:r w:rsidRPr="00D64F8C">
        <w:rPr>
          <w:color w:val="auto"/>
        </w:rPr>
        <w:t xml:space="preserve"> The </w:t>
      </w:r>
      <w:r w:rsidR="00C50FC3" w:rsidRPr="00D64F8C">
        <w:rPr>
          <w:color w:val="auto"/>
        </w:rPr>
        <w:t xml:space="preserve">most </w:t>
      </w:r>
      <w:r w:rsidRPr="00D64F8C">
        <w:rPr>
          <w:color w:val="auto"/>
        </w:rPr>
        <w:t>basic Solow’s growth model shows that:</w:t>
      </w:r>
    </w:p>
    <w:p w:rsidR="000D0276" w:rsidRPr="00D64F8C" w:rsidRDefault="000D0276" w:rsidP="00141422">
      <w:pPr>
        <w:pStyle w:val="Abstracttext"/>
        <w:spacing w:line="276" w:lineRule="auto"/>
        <w:rPr>
          <w:color w:val="auto"/>
        </w:rPr>
      </w:pPr>
    </w:p>
    <w:p w:rsidR="00C41552" w:rsidRPr="00D64F8C" w:rsidRDefault="0035796B" w:rsidP="00141422">
      <w:pPr>
        <w:pStyle w:val="Abstracttext"/>
        <w:spacing w:line="276" w:lineRule="auto"/>
        <w:rPr>
          <w:color w:val="auto"/>
        </w:rPr>
      </w:pPr>
      <m:oMath>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t</m:t>
            </m:r>
          </m:sub>
        </m:sSub>
        <m:r>
          <w:rPr>
            <w:rFonts w:ascii="Cambria Math" w:hAnsi="Cambria Math"/>
            <w:color w:val="auto"/>
          </w:rPr>
          <m:t>=F(</m:t>
        </m:r>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L</m:t>
            </m:r>
          </m:e>
          <m:sub>
            <m:r>
              <w:rPr>
                <w:rFonts w:ascii="Cambria Math" w:hAnsi="Cambria Math"/>
                <w:color w:val="auto"/>
              </w:rPr>
              <m:t>t</m:t>
            </m:r>
          </m:sub>
        </m:sSub>
        <m:r>
          <w:rPr>
            <w:rFonts w:ascii="Cambria Math" w:hAnsi="Cambria Math"/>
            <w:color w:val="auto"/>
          </w:rPr>
          <m:t>)</m:t>
        </m:r>
      </m:oMath>
      <w:r w:rsidR="00C41552" w:rsidRPr="00D64F8C">
        <w:rPr>
          <w:color w:val="auto"/>
        </w:rPr>
        <w:t xml:space="preserve"> </w:t>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t>(1)</w:t>
      </w:r>
      <w:r w:rsidR="000D0276" w:rsidRPr="00D64F8C">
        <w:rPr>
          <w:color w:val="auto"/>
        </w:rPr>
        <w:t xml:space="preserve"> </w:t>
      </w:r>
      <w:r w:rsidR="00C41552" w:rsidRPr="00D64F8C">
        <w:rPr>
          <w:color w:val="auto"/>
        </w:rPr>
        <w:t xml:space="preserve"> </w:t>
      </w:r>
    </w:p>
    <w:p w:rsidR="00031ECD" w:rsidRPr="00D64F8C" w:rsidRDefault="00031ECD" w:rsidP="00141422">
      <w:pPr>
        <w:pStyle w:val="Abstracttext"/>
        <w:spacing w:line="276" w:lineRule="auto"/>
        <w:rPr>
          <w:color w:val="auto"/>
        </w:rPr>
      </w:pPr>
    </w:p>
    <w:p w:rsidR="00031ECD" w:rsidRPr="00D64F8C" w:rsidRDefault="00031ECD" w:rsidP="00141422">
      <w:pPr>
        <w:pStyle w:val="Abstracttext"/>
        <w:spacing w:line="276" w:lineRule="auto"/>
        <w:rPr>
          <w:color w:val="auto"/>
        </w:rPr>
      </w:pPr>
      <w:r w:rsidRPr="00D64F8C">
        <w:rPr>
          <w:color w:val="auto"/>
        </w:rPr>
        <w:t>Y</w:t>
      </w:r>
      <w:r w:rsidRPr="00D64F8C">
        <w:rPr>
          <w:color w:val="auto"/>
          <w:vertAlign w:val="subscript"/>
        </w:rPr>
        <w:t>t</w:t>
      </w:r>
      <w:r w:rsidRPr="00D64F8C">
        <w:rPr>
          <w:color w:val="auto"/>
        </w:rPr>
        <w:t xml:space="preserve"> is total production at time t, which is a function of the stock of physical capital (K) at time t, and the Labour force</w:t>
      </w:r>
      <w:r w:rsidR="00C50FC3" w:rsidRPr="00D64F8C">
        <w:rPr>
          <w:color w:val="auto"/>
        </w:rPr>
        <w:t xml:space="preserve"> at time t</w:t>
      </w:r>
      <w:r w:rsidRPr="00D64F8C">
        <w:rPr>
          <w:color w:val="auto"/>
        </w:rPr>
        <w:t>. The evolution of the economy</w:t>
      </w:r>
      <w:r w:rsidR="00C50FC3" w:rsidRPr="00D64F8C">
        <w:rPr>
          <w:color w:val="auto"/>
        </w:rPr>
        <w:t xml:space="preserve"> in per capita terms </w:t>
      </w:r>
      <w:r w:rsidRPr="00D64F8C">
        <w:rPr>
          <w:color w:val="auto"/>
        </w:rPr>
        <w:t>is determined by</w:t>
      </w:r>
    </w:p>
    <w:p w:rsidR="00031ECD" w:rsidRPr="00D64F8C" w:rsidRDefault="00031ECD" w:rsidP="00141422">
      <w:pPr>
        <w:pStyle w:val="Abstracttext"/>
        <w:spacing w:line="276" w:lineRule="auto"/>
        <w:rPr>
          <w:color w:val="auto"/>
        </w:rPr>
      </w:pPr>
    </w:p>
    <w:p w:rsidR="00C41552" w:rsidRPr="00D64F8C" w:rsidRDefault="0035796B" w:rsidP="00141422">
      <w:pPr>
        <w:pStyle w:val="Abstracttext"/>
        <w:spacing w:line="276" w:lineRule="auto"/>
        <w:rPr>
          <w:color w:val="auto"/>
        </w:rPr>
      </w:pPr>
      <m:oMath>
        <m:acc>
          <m:accPr>
            <m:chr m:val="̇"/>
            <m:ctrlPr>
              <w:rPr>
                <w:rFonts w:ascii="Cambria Math" w:hAnsi="Cambria Math"/>
                <w:color w:val="auto"/>
              </w:rPr>
            </m:ctrlPr>
          </m:accPr>
          <m:e>
            <m:r>
              <w:rPr>
                <w:rFonts w:ascii="Cambria Math" w:hAnsi="Cambria Math"/>
                <w:color w:val="auto"/>
              </w:rPr>
              <m:t>k</m:t>
            </m:r>
          </m:e>
        </m:acc>
        <m:r>
          <m:rPr>
            <m:sty m:val="p"/>
          </m:rPr>
          <w:rPr>
            <w:rFonts w:ascii="Cambria Math" w:hAnsi="Cambria Math"/>
            <w:color w:val="auto"/>
          </w:rPr>
          <m:t>=</m:t>
        </m:r>
        <m:r>
          <w:rPr>
            <w:rFonts w:ascii="Cambria Math" w:hAnsi="Cambria Math"/>
            <w:color w:val="auto"/>
          </w:rPr>
          <m:t>sf</m:t>
        </m:r>
        <m:d>
          <m:dPr>
            <m:ctrlPr>
              <w:rPr>
                <w:rFonts w:ascii="Cambria Math" w:hAnsi="Cambria Math"/>
                <w:color w:val="auto"/>
              </w:rPr>
            </m:ctrlPr>
          </m:dPr>
          <m:e>
            <m:r>
              <w:rPr>
                <w:rFonts w:ascii="Cambria Math" w:hAnsi="Cambria Math"/>
                <w:color w:val="auto"/>
              </w:rPr>
              <m:t>k</m:t>
            </m:r>
          </m:e>
        </m:d>
        <m:r>
          <m:rPr>
            <m:sty m:val="p"/>
          </m:rPr>
          <w:rPr>
            <w:rFonts w:ascii="Cambria Math" w:hAnsi="Cambria Math"/>
            <w:color w:val="auto"/>
          </w:rPr>
          <m:t>-</m:t>
        </m:r>
        <m:r>
          <w:rPr>
            <w:rFonts w:ascii="Cambria Math" w:hAnsi="Cambria Math"/>
            <w:color w:val="auto"/>
          </w:rPr>
          <m:t>nk</m:t>
        </m:r>
      </m:oMath>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r>
      <w:r w:rsidR="00031ECD" w:rsidRPr="00D64F8C">
        <w:rPr>
          <w:color w:val="auto"/>
        </w:rPr>
        <w:tab/>
        <w:t>(2)</w:t>
      </w:r>
    </w:p>
    <w:p w:rsidR="00190797" w:rsidRPr="00D64F8C" w:rsidRDefault="00031ECD" w:rsidP="00141422">
      <w:pPr>
        <w:pStyle w:val="Abstracttext"/>
        <w:spacing w:line="276" w:lineRule="auto"/>
        <w:rPr>
          <w:color w:val="auto"/>
        </w:rPr>
      </w:pPr>
      <w:r w:rsidRPr="00D64F8C">
        <w:rPr>
          <w:color w:val="auto"/>
        </w:rPr>
        <w:t xml:space="preserve">Where </w:t>
      </w:r>
      <m:oMath>
        <m:acc>
          <m:accPr>
            <m:chr m:val="̇"/>
            <m:ctrlPr>
              <w:rPr>
                <w:rFonts w:ascii="Cambria Math" w:hAnsi="Cambria Math"/>
                <w:i/>
                <w:color w:val="auto"/>
              </w:rPr>
            </m:ctrlPr>
          </m:accPr>
          <m:e>
            <m:r>
              <w:rPr>
                <w:rFonts w:ascii="Cambria Math" w:hAnsi="Cambria Math"/>
                <w:color w:val="auto"/>
              </w:rPr>
              <m:t>k</m:t>
            </m:r>
          </m:e>
        </m:acc>
      </m:oMath>
      <w:r w:rsidRPr="00D64F8C">
        <w:rPr>
          <w:color w:val="auto"/>
        </w:rPr>
        <w:t xml:space="preserve"> is the derivative </w:t>
      </w:r>
      <w:r w:rsidR="00C50FC3" w:rsidRPr="00D64F8C">
        <w:rPr>
          <w:color w:val="auto"/>
        </w:rPr>
        <w:t xml:space="preserve">of capital per capita (k), s is the savings rate and n is the population’s growth rate and f(k) is the production per capita.  </w:t>
      </w:r>
    </w:p>
    <w:p w:rsidR="005F74AC" w:rsidRPr="00D64F8C" w:rsidRDefault="005F74AC" w:rsidP="00141422">
      <w:pPr>
        <w:pStyle w:val="Abstracttext"/>
        <w:spacing w:line="276" w:lineRule="auto"/>
        <w:rPr>
          <w:color w:val="auto"/>
        </w:rPr>
      </w:pPr>
    </w:p>
    <w:p w:rsidR="00190797" w:rsidRPr="00D64F8C" w:rsidRDefault="00CB6D31" w:rsidP="00141422">
      <w:pPr>
        <w:pStyle w:val="Abstracttext"/>
        <w:spacing w:line="276" w:lineRule="auto"/>
        <w:rPr>
          <w:color w:val="auto"/>
        </w:rPr>
      </w:pPr>
      <w:r w:rsidRPr="00D64F8C">
        <w:rPr>
          <w:color w:val="auto"/>
        </w:rPr>
        <w:t xml:space="preserve">Empirical studies have been extended </w:t>
      </w:r>
      <w:r w:rsidR="00190797" w:rsidRPr="00D64F8C">
        <w:rPr>
          <w:color w:val="auto"/>
        </w:rPr>
        <w:t>model</w:t>
      </w:r>
      <w:r w:rsidR="005F74AC" w:rsidRPr="00D64F8C">
        <w:rPr>
          <w:color w:val="auto"/>
        </w:rPr>
        <w:t xml:space="preserve"> equation 1 and 2, to show that output depends on capital, labour, total factor productivity as a measure of technological progress, and a host of other control variables</w:t>
      </w:r>
      <w:r w:rsidR="00CB0575" w:rsidRPr="00D64F8C">
        <w:rPr>
          <w:color w:val="auto"/>
        </w:rPr>
        <w:t xml:space="preserve"> (Kose et al. 2010</w:t>
      </w:r>
      <w:r w:rsidR="005136BF">
        <w:rPr>
          <w:color w:val="auto"/>
        </w:rPr>
        <w:t xml:space="preserve"> [33]</w:t>
      </w:r>
      <w:r w:rsidR="00CB0575" w:rsidRPr="00D64F8C">
        <w:rPr>
          <w:color w:val="auto"/>
        </w:rPr>
        <w:t>; Calderon and Nguyen 2015</w:t>
      </w:r>
      <w:r w:rsidR="005136BF">
        <w:rPr>
          <w:color w:val="auto"/>
        </w:rPr>
        <w:t xml:space="preserve"> [14]</w:t>
      </w:r>
      <w:r w:rsidR="00CB0575" w:rsidRPr="00D64F8C">
        <w:rPr>
          <w:color w:val="auto"/>
        </w:rPr>
        <w:t>)</w:t>
      </w:r>
      <w:r w:rsidR="005F74AC" w:rsidRPr="00D64F8C">
        <w:rPr>
          <w:color w:val="auto"/>
        </w:rPr>
        <w:t xml:space="preserve">. </w:t>
      </w:r>
    </w:p>
    <w:p w:rsidR="00190797" w:rsidRPr="00D64F8C" w:rsidRDefault="00190797" w:rsidP="00141422">
      <w:pPr>
        <w:pStyle w:val="Abstracttext"/>
        <w:spacing w:line="276" w:lineRule="auto"/>
        <w:rPr>
          <w:color w:val="auto"/>
        </w:rPr>
      </w:pPr>
    </w:p>
    <w:p w:rsidR="00CB0575" w:rsidRPr="00D64F8C" w:rsidRDefault="00CB0575" w:rsidP="00141422">
      <w:pPr>
        <w:pStyle w:val="Abstracttext"/>
        <w:spacing w:line="276" w:lineRule="auto"/>
        <w:rPr>
          <w:color w:val="auto"/>
        </w:rPr>
      </w:pPr>
      <w:r w:rsidRPr="00D64F8C">
        <w:rPr>
          <w:color w:val="auto"/>
        </w:rPr>
        <w:t>Following such studies, t</w:t>
      </w:r>
      <w:r w:rsidR="005F74AC" w:rsidRPr="00D64F8C">
        <w:rPr>
          <w:color w:val="auto"/>
        </w:rPr>
        <w:t>his study</w:t>
      </w:r>
      <w:r w:rsidRPr="00D64F8C">
        <w:rPr>
          <w:color w:val="auto"/>
        </w:rPr>
        <w:t xml:space="preserve"> incorporate </w:t>
      </w:r>
      <w:r w:rsidR="005F74AC" w:rsidRPr="00D64F8C">
        <w:rPr>
          <w:color w:val="auto"/>
        </w:rPr>
        <w:t xml:space="preserve">capital inflows variables through the capital stock </w:t>
      </w:r>
      <w:r w:rsidR="009378CF" w:rsidRPr="00D64F8C">
        <w:rPr>
          <w:color w:val="auto"/>
        </w:rPr>
        <w:t>because</w:t>
      </w:r>
      <w:r w:rsidR="005F74AC" w:rsidRPr="00D64F8C">
        <w:rPr>
          <w:color w:val="auto"/>
        </w:rPr>
        <w:t xml:space="preserve"> </w:t>
      </w:r>
      <w:r w:rsidR="009378CF" w:rsidRPr="00D64F8C">
        <w:rPr>
          <w:color w:val="auto"/>
        </w:rPr>
        <w:t>such inflows are</w:t>
      </w:r>
      <w:r w:rsidR="005F74AC" w:rsidRPr="00D64F8C">
        <w:rPr>
          <w:color w:val="auto"/>
        </w:rPr>
        <w:t xml:space="preserve"> required to augment domestic resources in a capital scarce economy. </w:t>
      </w:r>
      <w:r w:rsidR="009378CF" w:rsidRPr="00D64F8C">
        <w:rPr>
          <w:color w:val="auto"/>
        </w:rPr>
        <w:t xml:space="preserve">That is, capital inflows compliment savings in capital scarce economies and therefore reduce the cost of capital and increase domestic investments. </w:t>
      </w:r>
      <w:r w:rsidRPr="00D64F8C">
        <w:rPr>
          <w:color w:val="auto"/>
        </w:rPr>
        <w:t>A</w:t>
      </w:r>
      <w:r w:rsidR="005F74AC" w:rsidRPr="00D64F8C">
        <w:rPr>
          <w:color w:val="auto"/>
        </w:rPr>
        <w:t xml:space="preserve">ccommodating </w:t>
      </w:r>
      <w:r w:rsidR="00190797" w:rsidRPr="00D64F8C">
        <w:rPr>
          <w:color w:val="auto"/>
        </w:rPr>
        <w:t xml:space="preserve">the panel nature of the data for </w:t>
      </w:r>
      <w:r w:rsidR="005F74AC" w:rsidRPr="00D64F8C">
        <w:rPr>
          <w:color w:val="auto"/>
        </w:rPr>
        <w:t>cross-country</w:t>
      </w:r>
      <w:r w:rsidR="00190797" w:rsidRPr="00D64F8C">
        <w:rPr>
          <w:color w:val="auto"/>
        </w:rPr>
        <w:t xml:space="preserve"> analysis</w:t>
      </w:r>
      <w:r w:rsidRPr="00D64F8C">
        <w:rPr>
          <w:color w:val="auto"/>
        </w:rPr>
        <w:t>, this study estimates the following general panel model:</w:t>
      </w:r>
    </w:p>
    <w:p w:rsidR="00190797" w:rsidRPr="00D64F8C" w:rsidRDefault="00190797" w:rsidP="00141422">
      <w:pPr>
        <w:pStyle w:val="Abstracttext"/>
        <w:spacing w:line="276" w:lineRule="auto"/>
        <w:rPr>
          <w:color w:val="auto"/>
        </w:rPr>
      </w:pPr>
    </w:p>
    <w:p w:rsidR="001F0E65" w:rsidRPr="00D64F8C" w:rsidRDefault="001F0E65" w:rsidP="00141422">
      <w:pPr>
        <w:pStyle w:val="Abstracttext"/>
        <w:spacing w:line="276" w:lineRule="auto"/>
        <w:rPr>
          <w:color w:val="auto"/>
        </w:rPr>
      </w:pPr>
    </w:p>
    <w:p w:rsidR="001F0E65" w:rsidRPr="00D64F8C" w:rsidRDefault="0035796B" w:rsidP="00141422">
      <w:pPr>
        <w:pStyle w:val="Abstracttext"/>
        <w:spacing w:line="276" w:lineRule="auto"/>
        <w:rPr>
          <w:color w:val="auto"/>
        </w:rPr>
      </w:pPr>
      <m:oMath>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01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1i</m:t>
            </m:r>
          </m:sub>
        </m:sSub>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2i</m:t>
            </m:r>
          </m:sub>
        </m:sSub>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it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rPr>
              <m:t>ji</m:t>
            </m:r>
          </m:sub>
        </m:sSub>
        <m:nary>
          <m:naryPr>
            <m:chr m:val="∑"/>
            <m:limLoc m:val="undOvr"/>
            <m:ctrlPr>
              <w:rPr>
                <w:rFonts w:ascii="Cambria Math" w:hAnsi="Cambria Math"/>
                <w:i/>
                <w:color w:val="auto"/>
              </w:rPr>
            </m:ctrlPr>
          </m:naryPr>
          <m:sub>
            <m:r>
              <w:rPr>
                <w:rFonts w:ascii="Cambria Math" w:hAnsi="Cambria Math"/>
                <w:color w:val="auto"/>
              </w:rPr>
              <m:t>j=1</m:t>
            </m:r>
          </m:sub>
          <m:sup>
            <m:r>
              <w:rPr>
                <w:rFonts w:ascii="Cambria Math" w:hAnsi="Cambria Math"/>
                <w:color w:val="auto"/>
              </w:rPr>
              <m:t>n</m:t>
            </m:r>
          </m:sup>
          <m:e>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j,it</m:t>
                </m:r>
              </m:sub>
            </m:sSub>
            <m:r>
              <w:rPr>
                <w:rFonts w:ascii="Cambria Math" w:hAnsi="Cambria Math"/>
                <w:color w:val="auto"/>
              </w:rPr>
              <m:t>+</m:t>
            </m:r>
          </m:e>
        </m:nary>
        <m:sSub>
          <m:sSubPr>
            <m:ctrlPr>
              <w:rPr>
                <w:rFonts w:ascii="Cambria Math" w:hAnsi="Cambria Math"/>
                <w:i/>
                <w:color w:val="auto"/>
              </w:rPr>
            </m:ctrlPr>
          </m:sSubPr>
          <m:e>
            <m:r>
              <w:rPr>
                <w:rFonts w:ascii="Cambria Math" w:hAnsi="Cambria Math"/>
                <w:color w:val="auto"/>
              </w:rPr>
              <m:t>μ</m:t>
            </m:r>
          </m:e>
          <m:sub>
            <m:r>
              <w:rPr>
                <w:rFonts w:ascii="Cambria Math" w:hAnsi="Cambria Math"/>
                <w:color w:val="auto"/>
              </w:rPr>
              <m:t>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it</m:t>
            </m:r>
          </m:sub>
        </m:sSub>
      </m:oMath>
      <w:r w:rsidR="00CA69B1" w:rsidRPr="00D64F8C">
        <w:rPr>
          <w:color w:val="auto"/>
        </w:rPr>
        <w:tab/>
      </w:r>
      <w:r w:rsidR="00CA69B1" w:rsidRPr="00D64F8C">
        <w:rPr>
          <w:color w:val="auto"/>
        </w:rPr>
        <w:tab/>
      </w:r>
      <w:r w:rsidR="00CA69B1" w:rsidRPr="00D64F8C">
        <w:rPr>
          <w:color w:val="auto"/>
        </w:rPr>
        <w:tab/>
      </w:r>
      <w:r w:rsidR="00CA69B1" w:rsidRPr="00D64F8C">
        <w:rPr>
          <w:color w:val="auto"/>
        </w:rPr>
        <w:tab/>
      </w:r>
      <w:r w:rsidR="00CA69B1" w:rsidRPr="00D64F8C">
        <w:rPr>
          <w:color w:val="auto"/>
        </w:rPr>
        <w:tab/>
        <w:t>(3)</w:t>
      </w:r>
    </w:p>
    <w:p w:rsidR="00CA69B1" w:rsidRPr="00D64F8C" w:rsidRDefault="00CA69B1" w:rsidP="00141422">
      <w:pPr>
        <w:pStyle w:val="Abstracttext"/>
        <w:spacing w:line="276" w:lineRule="auto"/>
        <w:rPr>
          <w:color w:val="auto"/>
        </w:rPr>
      </w:pPr>
    </w:p>
    <w:p w:rsidR="00CA69B1" w:rsidRPr="00D64F8C" w:rsidRDefault="00CA69B1" w:rsidP="00141422">
      <w:pPr>
        <w:pStyle w:val="Abstracttext"/>
        <w:spacing w:line="276" w:lineRule="auto"/>
        <w:rPr>
          <w:color w:val="auto"/>
        </w:rPr>
      </w:pPr>
      <w:r w:rsidRPr="00D64F8C">
        <w:rPr>
          <w:color w:val="auto"/>
        </w:rPr>
        <w:t>Where y</w:t>
      </w:r>
      <w:r w:rsidRPr="00D64F8C">
        <w:rPr>
          <w:color w:val="auto"/>
          <w:vertAlign w:val="subscript"/>
        </w:rPr>
        <w:t xml:space="preserve">it </w:t>
      </w:r>
      <w:r w:rsidRPr="00D64F8C">
        <w:rPr>
          <w:color w:val="auto"/>
        </w:rPr>
        <w:t xml:space="preserve">is the </w:t>
      </w:r>
      <w:r w:rsidR="00316A96" w:rsidRPr="00D64F8C">
        <w:rPr>
          <w:color w:val="auto"/>
        </w:rPr>
        <w:t>real GDP per capital growth in country i at time t, K</w:t>
      </w:r>
      <w:r w:rsidR="00316A96" w:rsidRPr="00D64F8C">
        <w:rPr>
          <w:color w:val="auto"/>
          <w:vertAlign w:val="subscript"/>
        </w:rPr>
        <w:t>it</w:t>
      </w:r>
      <w:r w:rsidR="00316A96" w:rsidRPr="00D64F8C">
        <w:rPr>
          <w:color w:val="auto"/>
        </w:rPr>
        <w:t xml:space="preserve"> is a measure of capital </w:t>
      </w:r>
      <w:r w:rsidR="00F744F7" w:rsidRPr="00D64F8C">
        <w:rPr>
          <w:color w:val="auto"/>
        </w:rPr>
        <w:t>in</w:t>
      </w:r>
      <w:r w:rsidR="00316A96" w:rsidRPr="00D64F8C">
        <w:rPr>
          <w:color w:val="auto"/>
        </w:rPr>
        <w:t>flows</w:t>
      </w:r>
      <w:r w:rsidR="00F744F7" w:rsidRPr="00D64F8C">
        <w:rPr>
          <w:color w:val="auto"/>
        </w:rPr>
        <w:t xml:space="preserve"> and</w:t>
      </w:r>
      <w:r w:rsidR="00316A96" w:rsidRPr="00D64F8C">
        <w:rPr>
          <w:color w:val="auto"/>
        </w:rPr>
        <w:t xml:space="preserve"> </w:t>
      </w:r>
      <w:r w:rsidR="00F744F7" w:rsidRPr="00D64F8C">
        <w:rPr>
          <w:color w:val="auto"/>
        </w:rPr>
        <w:t>W</w:t>
      </w:r>
      <w:r w:rsidR="00316A96" w:rsidRPr="00D64F8C">
        <w:rPr>
          <w:color w:val="auto"/>
          <w:vertAlign w:val="subscript"/>
        </w:rPr>
        <w:t xml:space="preserve">it </w:t>
      </w:r>
      <w:r w:rsidR="00316A96" w:rsidRPr="00D64F8C">
        <w:rPr>
          <w:color w:val="auto"/>
        </w:rPr>
        <w:t xml:space="preserve">is a set of control variables that determines real </w:t>
      </w:r>
      <w:r w:rsidR="00022517" w:rsidRPr="00D64F8C">
        <w:rPr>
          <w:color w:val="auto"/>
        </w:rPr>
        <w:t>GDP</w:t>
      </w:r>
      <w:r w:rsidR="00316A96" w:rsidRPr="00D64F8C">
        <w:rPr>
          <w:color w:val="auto"/>
        </w:rPr>
        <w:t xml:space="preserve"> per capita growth. </w:t>
      </w:r>
      <w:r w:rsidR="00F744F7" w:rsidRPr="00D64F8C">
        <w:rPr>
          <w:color w:val="auto"/>
        </w:rPr>
        <w:t>In</w:t>
      </w:r>
      <w:r w:rsidR="00316A96" w:rsidRPr="00D64F8C">
        <w:rPr>
          <w:color w:val="auto"/>
        </w:rPr>
        <w:t xml:space="preserve"> panel data context, </w:t>
      </w:r>
      <m:oMath>
        <m:sSub>
          <m:sSubPr>
            <m:ctrlPr>
              <w:rPr>
                <w:rFonts w:ascii="Cambria Math" w:hAnsi="Cambria Math"/>
                <w:i/>
                <w:color w:val="auto"/>
              </w:rPr>
            </m:ctrlPr>
          </m:sSubPr>
          <m:e>
            <m:r>
              <w:rPr>
                <w:rFonts w:ascii="Cambria Math" w:hAnsi="Cambria Math"/>
                <w:color w:val="auto"/>
              </w:rPr>
              <m:t>μ</m:t>
            </m:r>
          </m:e>
          <m:sub>
            <m:r>
              <w:rPr>
                <w:rFonts w:ascii="Cambria Math" w:hAnsi="Cambria Math"/>
                <w:color w:val="auto"/>
              </w:rPr>
              <m:t>i</m:t>
            </m:r>
          </m:sub>
        </m:sSub>
      </m:oMath>
      <w:r w:rsidR="00316A96" w:rsidRPr="00D64F8C">
        <w:rPr>
          <w:color w:val="auto"/>
        </w:rPr>
        <w:t xml:space="preserve"> represent</w:t>
      </w:r>
      <w:r w:rsidR="00F744F7" w:rsidRPr="00D64F8C">
        <w:rPr>
          <w:color w:val="auto"/>
        </w:rPr>
        <w:t>s</w:t>
      </w:r>
      <w:r w:rsidR="00316A96" w:rsidRPr="00D64F8C">
        <w:rPr>
          <w:color w:val="auto"/>
        </w:rPr>
        <w:t xml:space="preserve"> country effects</w:t>
      </w:r>
      <w:r w:rsidR="00F744F7" w:rsidRPr="00D64F8C">
        <w:rPr>
          <w:color w:val="auto"/>
        </w:rPr>
        <w:t>,</w:t>
      </w:r>
      <w:r w:rsidR="00316A96" w:rsidRPr="00D64F8C">
        <w:rPr>
          <w:color w:val="auto"/>
        </w:rPr>
        <w:t xml:space="preserve"> capturing unobserved characteristics and </w:t>
      </w:r>
      <m:oMath>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it</m:t>
            </m:r>
          </m:sub>
        </m:sSub>
      </m:oMath>
      <w:r w:rsidR="00316A96" w:rsidRPr="00D64F8C">
        <w:rPr>
          <w:color w:val="auto"/>
        </w:rPr>
        <w:t xml:space="preserve"> is an error term.</w:t>
      </w:r>
    </w:p>
    <w:p w:rsidR="00316A96" w:rsidRPr="00D64F8C" w:rsidRDefault="00316A96" w:rsidP="00141422">
      <w:pPr>
        <w:pStyle w:val="Abstracttext"/>
        <w:spacing w:line="276" w:lineRule="auto"/>
        <w:rPr>
          <w:color w:val="auto"/>
        </w:rPr>
      </w:pPr>
    </w:p>
    <w:p w:rsidR="00D32492" w:rsidRPr="00D64F8C" w:rsidRDefault="00F744F7" w:rsidP="00141422">
      <w:pPr>
        <w:pStyle w:val="Abstracttext"/>
        <w:spacing w:line="276" w:lineRule="auto"/>
        <w:rPr>
          <w:color w:val="auto"/>
        </w:rPr>
      </w:pPr>
      <w:r w:rsidRPr="00D64F8C">
        <w:rPr>
          <w:color w:val="auto"/>
        </w:rPr>
        <w:t xml:space="preserve">Measures of capital inflows used </w:t>
      </w:r>
      <w:r w:rsidR="00CB6D31" w:rsidRPr="00D64F8C">
        <w:rPr>
          <w:color w:val="auto"/>
        </w:rPr>
        <w:t xml:space="preserve">in this study </w:t>
      </w:r>
      <w:r w:rsidRPr="00D64F8C">
        <w:rPr>
          <w:color w:val="auto"/>
        </w:rPr>
        <w:t xml:space="preserve">are Foreign Direct investments (FDI), </w:t>
      </w:r>
      <w:r w:rsidR="00F95B68" w:rsidRPr="00D64F8C">
        <w:rPr>
          <w:color w:val="auto"/>
        </w:rPr>
        <w:t xml:space="preserve">Remittances (Rem) and </w:t>
      </w:r>
      <w:r w:rsidR="00C00627" w:rsidRPr="00D64F8C">
        <w:rPr>
          <w:color w:val="auto"/>
        </w:rPr>
        <w:t xml:space="preserve">Official Development Assistance (ODA), </w:t>
      </w:r>
      <w:r w:rsidR="00701215" w:rsidRPr="00D64F8C">
        <w:rPr>
          <w:color w:val="auto"/>
        </w:rPr>
        <w:t xml:space="preserve">expressed as a percentage of GDP. </w:t>
      </w:r>
      <w:r w:rsidR="00F95B68" w:rsidRPr="00D64F8C">
        <w:rPr>
          <w:color w:val="auto"/>
        </w:rPr>
        <w:t xml:space="preserve">Data on other </w:t>
      </w:r>
      <w:r w:rsidR="00C500A3" w:rsidRPr="00D64F8C">
        <w:rPr>
          <w:color w:val="auto"/>
        </w:rPr>
        <w:t>capital inflows</w:t>
      </w:r>
      <w:r w:rsidR="00F95B68" w:rsidRPr="00D64F8C">
        <w:rPr>
          <w:color w:val="auto"/>
        </w:rPr>
        <w:t xml:space="preserve"> such as portfolio flows </w:t>
      </w:r>
      <w:r w:rsidR="00097173" w:rsidRPr="00D64F8C">
        <w:rPr>
          <w:color w:val="auto"/>
        </w:rPr>
        <w:t xml:space="preserve">is lacking for a majority of COMESA member countries due to, among others, the low level of development of the domestic financial markets to facilitate such flows. </w:t>
      </w:r>
      <w:r w:rsidR="00D32492" w:rsidRPr="00D64F8C">
        <w:rPr>
          <w:color w:val="auto"/>
        </w:rPr>
        <w:t>Hence, equation 3 becomes:</w:t>
      </w:r>
    </w:p>
    <w:p w:rsidR="00D32492" w:rsidRPr="00D64F8C" w:rsidRDefault="0035796B" w:rsidP="00141422">
      <w:pPr>
        <w:pStyle w:val="Abstracttext"/>
        <w:spacing w:line="276" w:lineRule="auto"/>
        <w:rPr>
          <w:color w:val="auto"/>
        </w:rPr>
      </w:pPr>
      <m:oMath>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01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1i</m:t>
            </m:r>
          </m:sub>
        </m:sSub>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21</m:t>
            </m:r>
          </m:sub>
        </m:sSub>
        <m:sSub>
          <m:sSubPr>
            <m:ctrlPr>
              <w:rPr>
                <w:rFonts w:ascii="Cambria Math" w:hAnsi="Cambria Math"/>
                <w:i/>
                <w:color w:val="auto"/>
              </w:rPr>
            </m:ctrlPr>
          </m:sSubPr>
          <m:e>
            <m:r>
              <w:rPr>
                <w:rFonts w:ascii="Cambria Math" w:hAnsi="Cambria Math"/>
                <w:color w:val="auto"/>
              </w:rPr>
              <m:t>FDI</m:t>
            </m:r>
          </m:e>
          <m:sub>
            <m:r>
              <w:rPr>
                <w:rFonts w:ascii="Cambria Math" w:hAnsi="Cambria Math"/>
                <w:color w:val="auto"/>
              </w:rPr>
              <m:t>1t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22</m:t>
            </m:r>
          </m:sub>
        </m:sSub>
        <m:sSub>
          <m:sSubPr>
            <m:ctrlPr>
              <w:rPr>
                <w:rFonts w:ascii="Cambria Math" w:hAnsi="Cambria Math"/>
                <w:i/>
                <w:color w:val="auto"/>
              </w:rPr>
            </m:ctrlPr>
          </m:sSubPr>
          <m:e>
            <m:r>
              <w:rPr>
                <w:rFonts w:ascii="Cambria Math" w:hAnsi="Cambria Math"/>
                <w:color w:val="auto"/>
              </w:rPr>
              <m:t>ODA</m:t>
            </m:r>
          </m:e>
          <m:sub>
            <m:r>
              <w:rPr>
                <w:rFonts w:ascii="Cambria Math" w:hAnsi="Cambria Math"/>
                <w:color w:val="auto"/>
              </w:rPr>
              <m:t>2t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23</m:t>
            </m:r>
          </m:sub>
        </m:sSub>
        <m:sSub>
          <m:sSubPr>
            <m:ctrlPr>
              <w:rPr>
                <w:rFonts w:ascii="Cambria Math" w:hAnsi="Cambria Math"/>
                <w:i/>
                <w:color w:val="auto"/>
              </w:rPr>
            </m:ctrlPr>
          </m:sSubPr>
          <m:e>
            <m:r>
              <w:rPr>
                <w:rFonts w:ascii="Cambria Math" w:hAnsi="Cambria Math"/>
                <w:color w:val="auto"/>
              </w:rPr>
              <m:t>Rem</m:t>
            </m:r>
          </m:e>
          <m:sub>
            <m:r>
              <w:rPr>
                <w:rFonts w:ascii="Cambria Math" w:hAnsi="Cambria Math"/>
                <w:color w:val="auto"/>
              </w:rPr>
              <m:t>3t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rPr>
              <m:t>ji</m:t>
            </m:r>
          </m:sub>
        </m:sSub>
        <m:nary>
          <m:naryPr>
            <m:chr m:val="∑"/>
            <m:limLoc m:val="undOvr"/>
            <m:ctrlPr>
              <w:rPr>
                <w:rFonts w:ascii="Cambria Math" w:hAnsi="Cambria Math"/>
                <w:i/>
                <w:color w:val="auto"/>
              </w:rPr>
            </m:ctrlPr>
          </m:naryPr>
          <m:sub>
            <m:r>
              <w:rPr>
                <w:rFonts w:ascii="Cambria Math" w:hAnsi="Cambria Math"/>
                <w:color w:val="auto"/>
              </w:rPr>
              <m:t>j=1</m:t>
            </m:r>
          </m:sub>
          <m:sup>
            <m:r>
              <w:rPr>
                <w:rFonts w:ascii="Cambria Math" w:hAnsi="Cambria Math"/>
                <w:color w:val="auto"/>
              </w:rPr>
              <m:t>n</m:t>
            </m:r>
          </m:sup>
          <m:e>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j,it</m:t>
                </m:r>
              </m:sub>
            </m:sSub>
            <m:r>
              <w:rPr>
                <w:rFonts w:ascii="Cambria Math" w:hAnsi="Cambria Math"/>
                <w:color w:val="auto"/>
              </w:rPr>
              <m:t>+</m:t>
            </m:r>
          </m:e>
        </m:nary>
        <m:sSub>
          <m:sSubPr>
            <m:ctrlPr>
              <w:rPr>
                <w:rFonts w:ascii="Cambria Math" w:hAnsi="Cambria Math"/>
                <w:i/>
                <w:color w:val="auto"/>
              </w:rPr>
            </m:ctrlPr>
          </m:sSubPr>
          <m:e>
            <m:r>
              <w:rPr>
                <w:rFonts w:ascii="Cambria Math" w:hAnsi="Cambria Math"/>
                <w:color w:val="auto"/>
              </w:rPr>
              <m:t>φ</m:t>
            </m:r>
          </m:e>
          <m:sub>
            <m:r>
              <w:rPr>
                <w:rFonts w:ascii="Cambria Math" w:hAnsi="Cambria Math"/>
                <w:color w:val="auto"/>
              </w:rPr>
              <m:t>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ω</m:t>
            </m:r>
          </m:e>
          <m:sub>
            <m:r>
              <w:rPr>
                <w:rFonts w:ascii="Cambria Math" w:hAnsi="Cambria Math"/>
                <w:color w:val="auto"/>
              </w:rPr>
              <m:t>it</m:t>
            </m:r>
          </m:sub>
        </m:sSub>
      </m:oMath>
      <w:r w:rsidR="00D32492" w:rsidRPr="00D64F8C">
        <w:rPr>
          <w:color w:val="auto"/>
        </w:rPr>
        <w:tab/>
      </w:r>
      <w:r w:rsidR="00D32492" w:rsidRPr="00D64F8C">
        <w:rPr>
          <w:color w:val="auto"/>
        </w:rPr>
        <w:tab/>
      </w:r>
      <w:r w:rsidR="00D32492" w:rsidRPr="00D64F8C">
        <w:rPr>
          <w:color w:val="auto"/>
        </w:rPr>
        <w:tab/>
      </w:r>
      <w:r w:rsidR="00D32492" w:rsidRPr="00D64F8C">
        <w:rPr>
          <w:color w:val="auto"/>
        </w:rPr>
        <w:tab/>
      </w:r>
      <w:r w:rsidR="00D32492" w:rsidRPr="00D64F8C">
        <w:rPr>
          <w:color w:val="auto"/>
        </w:rPr>
        <w:tab/>
      </w:r>
      <w:r w:rsidR="00D32492" w:rsidRPr="00D64F8C">
        <w:rPr>
          <w:color w:val="auto"/>
        </w:rPr>
        <w:tab/>
      </w:r>
      <w:r w:rsidR="00D32492" w:rsidRPr="00D64F8C">
        <w:rPr>
          <w:color w:val="auto"/>
        </w:rPr>
        <w:tab/>
      </w:r>
      <w:r w:rsidR="00D32492" w:rsidRPr="00D64F8C">
        <w:rPr>
          <w:color w:val="auto"/>
        </w:rPr>
        <w:tab/>
      </w:r>
      <w:r w:rsidR="00D32492" w:rsidRPr="00D64F8C">
        <w:rPr>
          <w:color w:val="auto"/>
        </w:rPr>
        <w:tab/>
        <w:t>(4)</w:t>
      </w:r>
    </w:p>
    <w:p w:rsidR="00FE3DF3" w:rsidRPr="00D64F8C" w:rsidRDefault="00FE3DF3" w:rsidP="00141422">
      <w:pPr>
        <w:pStyle w:val="Abstracttext"/>
        <w:spacing w:line="276" w:lineRule="auto"/>
        <w:rPr>
          <w:color w:val="auto"/>
        </w:rPr>
      </w:pPr>
    </w:p>
    <w:p w:rsidR="00FE3DF3" w:rsidRPr="00D64F8C" w:rsidRDefault="00FE3DF3" w:rsidP="00141422">
      <w:pPr>
        <w:pStyle w:val="Abstracttext"/>
        <w:spacing w:line="276" w:lineRule="auto"/>
        <w:rPr>
          <w:color w:val="auto"/>
        </w:rPr>
      </w:pPr>
    </w:p>
    <w:p w:rsidR="00776B80" w:rsidRPr="00D64F8C" w:rsidRDefault="0055534D" w:rsidP="00141422">
      <w:pPr>
        <w:pStyle w:val="Abstracttext"/>
        <w:spacing w:line="276" w:lineRule="auto"/>
        <w:rPr>
          <w:color w:val="auto"/>
        </w:rPr>
      </w:pPr>
      <w:r w:rsidRPr="00D64F8C">
        <w:rPr>
          <w:color w:val="auto"/>
        </w:rPr>
        <w:t xml:space="preserve">Controlling for most of the usual determinants of economic </w:t>
      </w:r>
      <w:r w:rsidR="00FE3DF3" w:rsidRPr="00D64F8C">
        <w:rPr>
          <w:color w:val="auto"/>
        </w:rPr>
        <w:t>growth,</w:t>
      </w:r>
      <w:r w:rsidR="00CB6D31" w:rsidRPr="00D64F8C">
        <w:rPr>
          <w:color w:val="auto"/>
        </w:rPr>
        <w:t xml:space="preserve"> real GDP per capital growth </w:t>
      </w:r>
      <w:r w:rsidR="009B58BA" w:rsidRPr="00D64F8C">
        <w:rPr>
          <w:color w:val="auto"/>
        </w:rPr>
        <w:t>is</w:t>
      </w:r>
      <w:r w:rsidR="00FE3DF3" w:rsidRPr="00D64F8C">
        <w:rPr>
          <w:color w:val="auto"/>
        </w:rPr>
        <w:t xml:space="preserve"> explained by investment rate</w:t>
      </w:r>
      <w:r w:rsidR="008A6450" w:rsidRPr="00D64F8C">
        <w:rPr>
          <w:color w:val="auto"/>
        </w:rPr>
        <w:t xml:space="preserve"> (</w:t>
      </w:r>
      <w:r w:rsidR="00AC3BC9" w:rsidRPr="00D64F8C">
        <w:rPr>
          <w:color w:val="auto"/>
        </w:rPr>
        <w:t xml:space="preserve">captured by gross fixed capital formation as a percentage of GDP- </w:t>
      </w:r>
      <w:r w:rsidR="008A6450" w:rsidRPr="00D64F8C">
        <w:rPr>
          <w:color w:val="auto"/>
        </w:rPr>
        <w:t>GFKF) as a ratio of GDP</w:t>
      </w:r>
      <w:r w:rsidR="009B58BA" w:rsidRPr="00D64F8C">
        <w:rPr>
          <w:color w:val="auto"/>
        </w:rPr>
        <w:t xml:space="preserve"> to capture the role of investment in the growth process</w:t>
      </w:r>
      <w:r w:rsidR="00547E0F" w:rsidRPr="00D64F8C">
        <w:rPr>
          <w:color w:val="auto"/>
        </w:rPr>
        <w:t>. I</w:t>
      </w:r>
      <w:r w:rsidR="008A6450" w:rsidRPr="00D64F8C">
        <w:rPr>
          <w:color w:val="auto"/>
        </w:rPr>
        <w:t>nflation</w:t>
      </w:r>
      <w:r w:rsidR="00547E0F" w:rsidRPr="00D64F8C">
        <w:rPr>
          <w:color w:val="auto"/>
        </w:rPr>
        <w:t xml:space="preserve"> (INF) measure</w:t>
      </w:r>
      <w:r w:rsidR="00022517" w:rsidRPr="00D64F8C">
        <w:rPr>
          <w:color w:val="auto"/>
        </w:rPr>
        <w:t xml:space="preserve">d in </w:t>
      </w:r>
      <w:r w:rsidR="00547E0F" w:rsidRPr="00D64F8C">
        <w:rPr>
          <w:color w:val="auto"/>
        </w:rPr>
        <w:t>annual percentage change of the GDP deflator</w:t>
      </w:r>
      <w:r w:rsidR="008A6450" w:rsidRPr="00D64F8C">
        <w:rPr>
          <w:color w:val="auto"/>
        </w:rPr>
        <w:t xml:space="preserve"> to capture macroeconomic stability</w:t>
      </w:r>
      <w:r w:rsidR="009B58BA" w:rsidRPr="00D64F8C">
        <w:rPr>
          <w:color w:val="auto"/>
        </w:rPr>
        <w:t xml:space="preserve"> and </w:t>
      </w:r>
      <w:r w:rsidR="00FE3DF3" w:rsidRPr="00D64F8C">
        <w:rPr>
          <w:color w:val="auto"/>
        </w:rPr>
        <w:t xml:space="preserve">government </w:t>
      </w:r>
      <w:r w:rsidR="00547E0F" w:rsidRPr="00D64F8C">
        <w:rPr>
          <w:color w:val="auto"/>
        </w:rPr>
        <w:t xml:space="preserve">final consumption </w:t>
      </w:r>
      <w:r w:rsidR="008A6450" w:rsidRPr="00D64F8C">
        <w:rPr>
          <w:color w:val="auto"/>
        </w:rPr>
        <w:t>expenditure (G</w:t>
      </w:r>
      <w:r w:rsidR="00384A3B" w:rsidRPr="00D64F8C">
        <w:rPr>
          <w:color w:val="auto"/>
        </w:rPr>
        <w:t>CON</w:t>
      </w:r>
      <w:r w:rsidR="008A6450" w:rsidRPr="00D64F8C">
        <w:rPr>
          <w:color w:val="auto"/>
        </w:rPr>
        <w:t>) as a ratio of GDP used as a fiscal indicator</w:t>
      </w:r>
      <w:r w:rsidR="009B58BA" w:rsidRPr="00D64F8C">
        <w:rPr>
          <w:color w:val="auto"/>
        </w:rPr>
        <w:t xml:space="preserve">. Other control variables </w:t>
      </w:r>
      <w:r w:rsidR="00384A3B" w:rsidRPr="00D64F8C">
        <w:rPr>
          <w:color w:val="auto"/>
        </w:rPr>
        <w:t>include: t</w:t>
      </w:r>
      <w:r w:rsidR="00FE3DF3" w:rsidRPr="00D64F8C">
        <w:rPr>
          <w:color w:val="auto"/>
        </w:rPr>
        <w:t>he degree of openness</w:t>
      </w:r>
      <w:r w:rsidR="008A6450" w:rsidRPr="00D64F8C">
        <w:rPr>
          <w:color w:val="auto"/>
        </w:rPr>
        <w:t xml:space="preserve"> (OPEN) as a ratio of GDP</w:t>
      </w:r>
      <w:r w:rsidR="00022517" w:rsidRPr="00D64F8C">
        <w:rPr>
          <w:color w:val="auto"/>
        </w:rPr>
        <w:t xml:space="preserve"> measured as the sum of exports and imports of goods and services</w:t>
      </w:r>
      <w:r w:rsidR="00384A3B" w:rsidRPr="00D64F8C">
        <w:rPr>
          <w:color w:val="auto"/>
        </w:rPr>
        <w:t>;</w:t>
      </w:r>
      <w:r w:rsidR="003B24D5" w:rsidRPr="00D64F8C">
        <w:rPr>
          <w:color w:val="auto"/>
        </w:rPr>
        <w:t xml:space="preserve"> </w:t>
      </w:r>
      <w:r w:rsidR="008A6450" w:rsidRPr="00D64F8C">
        <w:rPr>
          <w:color w:val="auto"/>
        </w:rPr>
        <w:t xml:space="preserve">Private sector credit as a ratio of GDP </w:t>
      </w:r>
      <w:r w:rsidR="006A3C4B" w:rsidRPr="00D64F8C">
        <w:rPr>
          <w:color w:val="auto"/>
        </w:rPr>
        <w:t xml:space="preserve">(PSC) or Broad money as a ratio of GDP (BM) </w:t>
      </w:r>
      <w:r w:rsidR="008A6450" w:rsidRPr="00D64F8C">
        <w:rPr>
          <w:color w:val="auto"/>
        </w:rPr>
        <w:t xml:space="preserve">to measure the role of domestic financial depth in </w:t>
      </w:r>
      <w:r w:rsidR="00C500A3" w:rsidRPr="00D64F8C">
        <w:rPr>
          <w:color w:val="auto"/>
        </w:rPr>
        <w:t>economic growth</w:t>
      </w:r>
      <w:r w:rsidR="00384A3B" w:rsidRPr="00D64F8C">
        <w:rPr>
          <w:color w:val="auto"/>
        </w:rPr>
        <w:t xml:space="preserve">; </w:t>
      </w:r>
      <w:r w:rsidR="00FB61E6" w:rsidRPr="00D64F8C">
        <w:rPr>
          <w:color w:val="auto"/>
        </w:rPr>
        <w:t>Population</w:t>
      </w:r>
      <w:r w:rsidR="00384A3B" w:rsidRPr="00D64F8C">
        <w:rPr>
          <w:color w:val="auto"/>
        </w:rPr>
        <w:t xml:space="preserve"> </w:t>
      </w:r>
      <w:r w:rsidR="00032E23" w:rsidRPr="00D64F8C">
        <w:rPr>
          <w:color w:val="auto"/>
        </w:rPr>
        <w:t>G</w:t>
      </w:r>
      <w:r w:rsidR="00384A3B" w:rsidRPr="00D64F8C">
        <w:rPr>
          <w:color w:val="auto"/>
        </w:rPr>
        <w:t>rowth</w:t>
      </w:r>
      <w:r w:rsidR="00FB61E6" w:rsidRPr="00D64F8C">
        <w:rPr>
          <w:color w:val="auto"/>
        </w:rPr>
        <w:t xml:space="preserve"> (POP) measured</w:t>
      </w:r>
      <w:r w:rsidR="00384A3B" w:rsidRPr="00D64F8C">
        <w:rPr>
          <w:color w:val="auto"/>
        </w:rPr>
        <w:t xml:space="preserve"> in annual percentage change to cap</w:t>
      </w:r>
      <w:r w:rsidR="00032E23" w:rsidRPr="00D64F8C">
        <w:rPr>
          <w:color w:val="auto"/>
        </w:rPr>
        <w:t xml:space="preserve">ture the role of human capital </w:t>
      </w:r>
      <w:r w:rsidR="00022517" w:rsidRPr="00D64F8C">
        <w:rPr>
          <w:color w:val="auto"/>
        </w:rPr>
        <w:t xml:space="preserve">in </w:t>
      </w:r>
      <w:r w:rsidR="00384A3B" w:rsidRPr="00D64F8C">
        <w:rPr>
          <w:color w:val="auto"/>
        </w:rPr>
        <w:t>economic growth</w:t>
      </w:r>
      <w:r w:rsidR="00032E23" w:rsidRPr="00D64F8C">
        <w:rPr>
          <w:color w:val="auto"/>
        </w:rPr>
        <w:t xml:space="preserve"> (data on other better proxies for human capital development such as secondary school enrolment is not available for our sample of countries</w:t>
      </w:r>
      <w:r w:rsidR="00022517" w:rsidRPr="00D64F8C">
        <w:rPr>
          <w:color w:val="auto"/>
        </w:rPr>
        <w:t xml:space="preserve"> over the entire study period</w:t>
      </w:r>
      <w:r w:rsidR="00032E23" w:rsidRPr="00D64F8C">
        <w:rPr>
          <w:color w:val="auto"/>
        </w:rPr>
        <w:t>)</w:t>
      </w:r>
      <w:r w:rsidR="00384A3B" w:rsidRPr="00D64F8C">
        <w:rPr>
          <w:color w:val="auto"/>
        </w:rPr>
        <w:t>; and, Real Effective Exchange Rate (REER)</w:t>
      </w:r>
      <w:r w:rsidR="00031E9C" w:rsidRPr="00D64F8C">
        <w:rPr>
          <w:color w:val="auto"/>
        </w:rPr>
        <w:t xml:space="preserve">. Variables expressed as a ratio of GDP controls for the heterogeneity of economic size across the COMESA region.  </w:t>
      </w:r>
    </w:p>
    <w:p w:rsidR="00384A3B" w:rsidRPr="00D64F8C" w:rsidRDefault="00384A3B" w:rsidP="00141422">
      <w:pPr>
        <w:pStyle w:val="Abstracttext"/>
        <w:spacing w:line="276" w:lineRule="auto"/>
        <w:rPr>
          <w:color w:val="auto"/>
        </w:rPr>
      </w:pPr>
    </w:p>
    <w:p w:rsidR="00CB6D31" w:rsidRPr="00793DEE" w:rsidRDefault="00384A3B" w:rsidP="00793DEE">
      <w:pPr>
        <w:pStyle w:val="Abstracttext"/>
        <w:spacing w:line="276" w:lineRule="auto"/>
        <w:rPr>
          <w:b/>
          <w:i/>
          <w:color w:val="auto"/>
        </w:rPr>
      </w:pPr>
      <w:r w:rsidRPr="00793DEE">
        <w:rPr>
          <w:b/>
          <w:i/>
          <w:color w:val="auto"/>
        </w:rPr>
        <w:t>3.2 The REER Model</w:t>
      </w:r>
    </w:p>
    <w:p w:rsidR="000B3DBB" w:rsidRPr="00D64F8C" w:rsidRDefault="000B3DBB" w:rsidP="00141422">
      <w:pPr>
        <w:pStyle w:val="Abstracttext"/>
        <w:spacing w:line="276" w:lineRule="auto"/>
        <w:rPr>
          <w:color w:val="auto"/>
        </w:rPr>
      </w:pPr>
      <w:r w:rsidRPr="00D64F8C">
        <w:rPr>
          <w:color w:val="auto"/>
        </w:rPr>
        <w:t xml:space="preserve">To capture the likely detrimental effects of </w:t>
      </w:r>
      <w:r w:rsidR="00097173" w:rsidRPr="00D64F8C">
        <w:rPr>
          <w:color w:val="auto"/>
        </w:rPr>
        <w:t>financial</w:t>
      </w:r>
      <w:r w:rsidRPr="00D64F8C">
        <w:rPr>
          <w:color w:val="auto"/>
        </w:rPr>
        <w:t xml:space="preserve"> inflows on economic growth, we</w:t>
      </w:r>
      <w:r w:rsidR="002A7212" w:rsidRPr="00D64F8C">
        <w:rPr>
          <w:color w:val="auto"/>
        </w:rPr>
        <w:t xml:space="preserve"> estimate the effect of </w:t>
      </w:r>
      <w:r w:rsidR="00CB6D31" w:rsidRPr="00D64F8C">
        <w:rPr>
          <w:color w:val="auto"/>
        </w:rPr>
        <w:t xml:space="preserve">each category of </w:t>
      </w:r>
      <w:r w:rsidR="002A7212" w:rsidRPr="00D64F8C">
        <w:rPr>
          <w:color w:val="auto"/>
        </w:rPr>
        <w:t xml:space="preserve">net </w:t>
      </w:r>
      <w:r w:rsidR="00C500A3" w:rsidRPr="00D64F8C">
        <w:rPr>
          <w:color w:val="auto"/>
        </w:rPr>
        <w:t>capital inflows</w:t>
      </w:r>
      <w:r w:rsidR="002A7212" w:rsidRPr="00D64F8C">
        <w:rPr>
          <w:color w:val="auto"/>
        </w:rPr>
        <w:t xml:space="preserve"> on the real effective exchange rate</w:t>
      </w:r>
      <w:r w:rsidR="00CB6D31" w:rsidRPr="00D64F8C">
        <w:rPr>
          <w:color w:val="auto"/>
        </w:rPr>
        <w:t xml:space="preserve"> (REER)</w:t>
      </w:r>
      <w:r w:rsidR="002A7212" w:rsidRPr="00D64F8C">
        <w:rPr>
          <w:color w:val="auto"/>
        </w:rPr>
        <w:t xml:space="preserve">. </w:t>
      </w:r>
      <w:r w:rsidR="00CB6D31" w:rsidRPr="00D64F8C">
        <w:rPr>
          <w:color w:val="auto"/>
        </w:rPr>
        <w:t>Following similar studies on REER</w:t>
      </w:r>
      <w:r w:rsidR="00375940" w:rsidRPr="00D64F8C">
        <w:rPr>
          <w:color w:val="auto"/>
        </w:rPr>
        <w:t xml:space="preserve"> (Saborowski, 2009</w:t>
      </w:r>
      <w:r w:rsidR="005136BF">
        <w:rPr>
          <w:color w:val="auto"/>
        </w:rPr>
        <w:t xml:space="preserve"> [49]</w:t>
      </w:r>
      <w:r w:rsidR="00375940" w:rsidRPr="00D64F8C">
        <w:rPr>
          <w:color w:val="auto"/>
        </w:rPr>
        <w:t>, and Zardoub and El Abed Riadh, 2019</w:t>
      </w:r>
      <w:r w:rsidR="005136BF">
        <w:rPr>
          <w:color w:val="auto"/>
        </w:rPr>
        <w:t xml:space="preserve"> [53]</w:t>
      </w:r>
      <w:r w:rsidR="00375940" w:rsidRPr="00D64F8C">
        <w:rPr>
          <w:color w:val="auto"/>
        </w:rPr>
        <w:t>)</w:t>
      </w:r>
      <w:r w:rsidR="00CB6D31" w:rsidRPr="00D64F8C">
        <w:rPr>
          <w:color w:val="auto"/>
        </w:rPr>
        <w:t>, w</w:t>
      </w:r>
      <w:r w:rsidR="00702C5C" w:rsidRPr="00D64F8C">
        <w:rPr>
          <w:color w:val="auto"/>
        </w:rPr>
        <w:t xml:space="preserve">e model the </w:t>
      </w:r>
      <w:r w:rsidR="0070385C" w:rsidRPr="00D64F8C">
        <w:rPr>
          <w:color w:val="auto"/>
        </w:rPr>
        <w:t>key macroeconomic determinants of REER as follows</w:t>
      </w:r>
      <w:r w:rsidR="002A7212" w:rsidRPr="00D64F8C">
        <w:rPr>
          <w:color w:val="auto"/>
        </w:rPr>
        <w:t>:</w:t>
      </w:r>
    </w:p>
    <w:p w:rsidR="002A7212" w:rsidRPr="00D64F8C" w:rsidRDefault="002A7212" w:rsidP="00141422">
      <w:pPr>
        <w:pStyle w:val="Abstracttext"/>
        <w:spacing w:line="276" w:lineRule="auto"/>
        <w:rPr>
          <w:color w:val="auto"/>
        </w:rPr>
      </w:pPr>
    </w:p>
    <w:p w:rsidR="002A7212" w:rsidRPr="00D64F8C" w:rsidRDefault="0035796B" w:rsidP="00141422">
      <w:pPr>
        <w:pStyle w:val="Abstracttext"/>
        <w:spacing w:line="276" w:lineRule="auto"/>
        <w:rPr>
          <w:color w:val="auto"/>
        </w:rPr>
      </w:pPr>
      <m:oMath>
        <m:sSub>
          <m:sSubPr>
            <m:ctrlPr>
              <w:rPr>
                <w:rFonts w:ascii="Cambria Math" w:hAnsi="Cambria Math"/>
                <w:i/>
                <w:color w:val="auto"/>
              </w:rPr>
            </m:ctrlPr>
          </m:sSubPr>
          <m:e>
            <m:r>
              <w:rPr>
                <w:rFonts w:ascii="Cambria Math" w:hAnsi="Cambria Math"/>
                <w:color w:val="auto"/>
              </w:rPr>
              <m:t>REER</m:t>
            </m:r>
          </m:e>
          <m:sub>
            <m:r>
              <w:rPr>
                <w:rFonts w:ascii="Cambria Math" w:hAnsi="Cambria Math"/>
                <w:color w:val="auto"/>
              </w:rPr>
              <m:t>it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01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1i</m:t>
            </m:r>
          </m:sub>
        </m:sSub>
        <m:sSub>
          <m:sSubPr>
            <m:ctrlPr>
              <w:rPr>
                <w:rFonts w:ascii="Cambria Math" w:hAnsi="Cambria Math"/>
                <w:i/>
                <w:color w:val="auto"/>
              </w:rPr>
            </m:ctrlPr>
          </m:sSubPr>
          <m:e>
            <m:r>
              <w:rPr>
                <w:rFonts w:ascii="Cambria Math" w:hAnsi="Cambria Math"/>
                <w:color w:val="auto"/>
              </w:rPr>
              <m:t>RER</m:t>
            </m:r>
          </m:e>
          <m:sub>
            <m:r>
              <w:rPr>
                <w:rFonts w:ascii="Cambria Math" w:hAnsi="Cambria Math"/>
                <w:color w:val="auto"/>
              </w:rPr>
              <m:t>it-1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21</m:t>
            </m:r>
          </m:sub>
        </m:sSub>
        <m:sSub>
          <m:sSubPr>
            <m:ctrlPr>
              <w:rPr>
                <w:rFonts w:ascii="Cambria Math" w:hAnsi="Cambria Math"/>
                <w:i/>
                <w:color w:val="auto"/>
              </w:rPr>
            </m:ctrlPr>
          </m:sSubPr>
          <m:e>
            <m:r>
              <w:rPr>
                <w:rFonts w:ascii="Cambria Math" w:hAnsi="Cambria Math"/>
                <w:color w:val="auto"/>
              </w:rPr>
              <m:t>FDI</m:t>
            </m:r>
          </m:e>
          <m:sub>
            <m:r>
              <w:rPr>
                <w:rFonts w:ascii="Cambria Math" w:hAnsi="Cambria Math"/>
                <w:color w:val="auto"/>
              </w:rPr>
              <m:t>1t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22</m:t>
            </m:r>
          </m:sub>
        </m:sSub>
        <m:sSub>
          <m:sSubPr>
            <m:ctrlPr>
              <w:rPr>
                <w:rFonts w:ascii="Cambria Math" w:hAnsi="Cambria Math"/>
                <w:i/>
                <w:color w:val="auto"/>
              </w:rPr>
            </m:ctrlPr>
          </m:sSubPr>
          <m:e>
            <m:r>
              <w:rPr>
                <w:rFonts w:ascii="Cambria Math" w:hAnsi="Cambria Math"/>
                <w:color w:val="auto"/>
              </w:rPr>
              <m:t>ODA</m:t>
            </m:r>
          </m:e>
          <m:sub>
            <m:r>
              <w:rPr>
                <w:rFonts w:ascii="Cambria Math" w:hAnsi="Cambria Math"/>
                <w:color w:val="auto"/>
              </w:rPr>
              <m:t>2t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23</m:t>
            </m:r>
          </m:sub>
        </m:sSub>
        <m:sSub>
          <m:sSubPr>
            <m:ctrlPr>
              <w:rPr>
                <w:rFonts w:ascii="Cambria Math" w:hAnsi="Cambria Math"/>
                <w:i/>
                <w:color w:val="auto"/>
              </w:rPr>
            </m:ctrlPr>
          </m:sSubPr>
          <m:e>
            <m:r>
              <w:rPr>
                <w:rFonts w:ascii="Cambria Math" w:hAnsi="Cambria Math"/>
                <w:color w:val="auto"/>
              </w:rPr>
              <m:t>Rem</m:t>
            </m:r>
          </m:e>
          <m:sub>
            <m:r>
              <w:rPr>
                <w:rFonts w:ascii="Cambria Math" w:hAnsi="Cambria Math"/>
                <w:color w:val="auto"/>
              </w:rPr>
              <m:t>3t</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rPr>
              <m:t>ji</m:t>
            </m:r>
          </m:sub>
        </m:sSub>
        <m:nary>
          <m:naryPr>
            <m:chr m:val="∑"/>
            <m:limLoc m:val="undOvr"/>
            <m:ctrlPr>
              <w:rPr>
                <w:rFonts w:ascii="Cambria Math" w:hAnsi="Cambria Math"/>
                <w:i/>
                <w:color w:val="auto"/>
              </w:rPr>
            </m:ctrlPr>
          </m:naryPr>
          <m:sub>
            <m:r>
              <w:rPr>
                <w:rFonts w:ascii="Cambria Math" w:hAnsi="Cambria Math"/>
                <w:color w:val="auto"/>
              </w:rPr>
              <m:t>j=1</m:t>
            </m:r>
          </m:sub>
          <m:sup>
            <m:r>
              <w:rPr>
                <w:rFonts w:ascii="Cambria Math" w:hAnsi="Cambria Math"/>
                <w:color w:val="auto"/>
              </w:rPr>
              <m:t>n</m:t>
            </m:r>
          </m:sup>
          <m:e>
            <m:sSub>
              <m:sSubPr>
                <m:ctrlPr>
                  <w:rPr>
                    <w:rFonts w:ascii="Cambria Math" w:hAnsi="Cambria Math"/>
                    <w:i/>
                    <w:color w:val="auto"/>
                  </w:rPr>
                </m:ctrlPr>
              </m:sSubPr>
              <m:e>
                <m:r>
                  <w:rPr>
                    <w:rFonts w:ascii="Cambria Math" w:hAnsi="Cambria Math"/>
                    <w:color w:val="auto"/>
                  </w:rPr>
                  <m:t>Z</m:t>
                </m:r>
              </m:e>
              <m:sub>
                <m:r>
                  <w:rPr>
                    <w:rFonts w:ascii="Cambria Math" w:hAnsi="Cambria Math"/>
                    <w:color w:val="auto"/>
                  </w:rPr>
                  <m:t>j,it</m:t>
                </m:r>
              </m:sub>
            </m:sSub>
            <m:r>
              <w:rPr>
                <w:rFonts w:ascii="Cambria Math" w:hAnsi="Cambria Math"/>
                <w:color w:val="auto"/>
              </w:rPr>
              <m:t>+</m:t>
            </m:r>
          </m:e>
        </m:nary>
        <m:sSub>
          <m:sSubPr>
            <m:ctrlPr>
              <w:rPr>
                <w:rFonts w:ascii="Cambria Math" w:hAnsi="Cambria Math"/>
                <w:i/>
                <w:color w:val="auto"/>
              </w:rPr>
            </m:ctrlPr>
          </m:sSubPr>
          <m:e>
            <m:r>
              <w:rPr>
                <w:rFonts w:ascii="Cambria Math" w:hAnsi="Cambria Math"/>
                <w:color w:val="auto"/>
              </w:rPr>
              <m:t>μ</m:t>
            </m:r>
          </m:e>
          <m:sub>
            <m:r>
              <w:rPr>
                <w:rFonts w:ascii="Cambria Math" w:hAnsi="Cambria Math"/>
                <w:color w:val="auto"/>
              </w:rPr>
              <m:t>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it</m:t>
            </m:r>
          </m:sub>
        </m:sSub>
      </m:oMath>
      <w:r w:rsidR="002A7212" w:rsidRPr="00D64F8C">
        <w:rPr>
          <w:color w:val="auto"/>
        </w:rPr>
        <w:tab/>
      </w:r>
      <w:r w:rsidR="002A7212" w:rsidRPr="00D64F8C">
        <w:rPr>
          <w:color w:val="auto"/>
        </w:rPr>
        <w:tab/>
      </w:r>
      <w:r w:rsidR="002A7212" w:rsidRPr="00D64F8C">
        <w:rPr>
          <w:color w:val="auto"/>
        </w:rPr>
        <w:tab/>
      </w:r>
      <w:r w:rsidR="002A7212" w:rsidRPr="00D64F8C">
        <w:rPr>
          <w:color w:val="auto"/>
        </w:rPr>
        <w:tab/>
      </w:r>
      <w:r w:rsidR="002A7212" w:rsidRPr="00D64F8C">
        <w:rPr>
          <w:color w:val="auto"/>
        </w:rPr>
        <w:tab/>
      </w:r>
      <w:r w:rsidR="002A7212" w:rsidRPr="00D64F8C">
        <w:rPr>
          <w:color w:val="auto"/>
        </w:rPr>
        <w:tab/>
      </w:r>
      <w:r w:rsidR="002A7212" w:rsidRPr="00D64F8C">
        <w:rPr>
          <w:color w:val="auto"/>
        </w:rPr>
        <w:tab/>
      </w:r>
      <w:r w:rsidR="002A7212" w:rsidRPr="00D64F8C">
        <w:rPr>
          <w:color w:val="auto"/>
        </w:rPr>
        <w:tab/>
      </w:r>
      <w:r w:rsidR="002A7212" w:rsidRPr="00D64F8C">
        <w:rPr>
          <w:color w:val="auto"/>
        </w:rPr>
        <w:tab/>
        <w:t>(5)</w:t>
      </w:r>
    </w:p>
    <w:p w:rsidR="000B3DBB" w:rsidRPr="00D64F8C" w:rsidRDefault="000B3DBB" w:rsidP="00141422">
      <w:pPr>
        <w:pStyle w:val="Abstracttext"/>
        <w:spacing w:line="276" w:lineRule="auto"/>
        <w:rPr>
          <w:color w:val="auto"/>
        </w:rPr>
      </w:pPr>
    </w:p>
    <w:p w:rsidR="00EC42B5" w:rsidRPr="00D64F8C" w:rsidRDefault="00E80E85" w:rsidP="00141422">
      <w:pPr>
        <w:pStyle w:val="Abstracttext"/>
        <w:spacing w:line="276" w:lineRule="auto"/>
        <w:rPr>
          <w:color w:val="auto"/>
        </w:rPr>
      </w:pPr>
      <w:r w:rsidRPr="00D64F8C">
        <w:rPr>
          <w:color w:val="auto"/>
        </w:rPr>
        <w:t>Where RER</w:t>
      </w:r>
      <w:r w:rsidRPr="00D64F8C">
        <w:rPr>
          <w:color w:val="auto"/>
          <w:vertAlign w:val="subscript"/>
        </w:rPr>
        <w:t xml:space="preserve">it </w:t>
      </w:r>
      <w:r w:rsidRPr="00D64F8C">
        <w:rPr>
          <w:color w:val="auto"/>
        </w:rPr>
        <w:t>is the Real Effective Exchange Rate for country i at time t, and Z</w:t>
      </w:r>
      <w:r w:rsidRPr="00D64F8C">
        <w:rPr>
          <w:color w:val="auto"/>
          <w:vertAlign w:val="subscript"/>
        </w:rPr>
        <w:t>j,it</w:t>
      </w:r>
      <w:r w:rsidRPr="00D64F8C">
        <w:rPr>
          <w:color w:val="auto"/>
        </w:rPr>
        <w:t xml:space="preserve"> are the key determinants of the real effective exchange rate for countries in the COMESA region</w:t>
      </w:r>
      <w:r w:rsidR="005F759A" w:rsidRPr="00D64F8C">
        <w:rPr>
          <w:color w:val="auto"/>
        </w:rPr>
        <w:t xml:space="preserve">. </w:t>
      </w:r>
      <w:r w:rsidR="00EC42B5" w:rsidRPr="00D64F8C">
        <w:rPr>
          <w:color w:val="auto"/>
        </w:rPr>
        <w:t>An increase in the REER denotes an appreciation and hence a loss of competitiveness and vise-vasa for a decline in REER.</w:t>
      </w:r>
    </w:p>
    <w:p w:rsidR="00EC42B5" w:rsidRPr="00D64F8C" w:rsidRDefault="00EC42B5" w:rsidP="00141422">
      <w:pPr>
        <w:pStyle w:val="Abstracttext"/>
        <w:spacing w:line="276" w:lineRule="auto"/>
        <w:rPr>
          <w:color w:val="auto"/>
        </w:rPr>
      </w:pPr>
    </w:p>
    <w:p w:rsidR="00E66030" w:rsidRPr="00D64F8C" w:rsidRDefault="00384A3B" w:rsidP="00141422">
      <w:pPr>
        <w:pStyle w:val="Abstracttext"/>
        <w:spacing w:line="276" w:lineRule="auto"/>
        <w:rPr>
          <w:color w:val="auto"/>
        </w:rPr>
      </w:pPr>
      <w:r w:rsidRPr="00D64F8C">
        <w:rPr>
          <w:color w:val="auto"/>
        </w:rPr>
        <w:t>Beside the capital inflows variables</w:t>
      </w:r>
      <w:r w:rsidR="00022517" w:rsidRPr="00D64F8C">
        <w:rPr>
          <w:color w:val="auto"/>
        </w:rPr>
        <w:t xml:space="preserve"> (FDI, ODA, REM and Tinflows)</w:t>
      </w:r>
      <w:r w:rsidRPr="00D64F8C">
        <w:rPr>
          <w:color w:val="auto"/>
        </w:rPr>
        <w:t xml:space="preserve">, the main </w:t>
      </w:r>
      <w:r w:rsidR="005F759A" w:rsidRPr="00D64F8C">
        <w:rPr>
          <w:color w:val="auto"/>
        </w:rPr>
        <w:t xml:space="preserve">control variables </w:t>
      </w:r>
      <w:r w:rsidRPr="00D64F8C">
        <w:rPr>
          <w:color w:val="auto"/>
        </w:rPr>
        <w:t xml:space="preserve">for the REER model </w:t>
      </w:r>
      <w:r w:rsidR="00E80E85" w:rsidRPr="00D64F8C">
        <w:rPr>
          <w:color w:val="auto"/>
        </w:rPr>
        <w:t>include</w:t>
      </w:r>
      <w:r w:rsidR="0036500E" w:rsidRPr="00D64F8C">
        <w:rPr>
          <w:color w:val="auto"/>
        </w:rPr>
        <w:t xml:space="preserve"> the following</w:t>
      </w:r>
      <w:r w:rsidR="00121981" w:rsidRPr="00D64F8C">
        <w:rPr>
          <w:color w:val="auto"/>
        </w:rPr>
        <w:t>:</w:t>
      </w:r>
      <w:r w:rsidR="00E80E85" w:rsidRPr="00D64F8C">
        <w:rPr>
          <w:color w:val="auto"/>
        </w:rPr>
        <w:t xml:space="preserve"> trade openness (</w:t>
      </w:r>
      <w:r w:rsidRPr="00D64F8C">
        <w:rPr>
          <w:color w:val="auto"/>
        </w:rPr>
        <w:t>OPEN</w:t>
      </w:r>
      <w:r w:rsidR="00E80E85" w:rsidRPr="00D64F8C">
        <w:rPr>
          <w:color w:val="auto"/>
        </w:rPr>
        <w:t>)</w:t>
      </w:r>
      <w:r w:rsidR="00121981" w:rsidRPr="00D64F8C">
        <w:rPr>
          <w:color w:val="auto"/>
        </w:rPr>
        <w:t>;</w:t>
      </w:r>
      <w:r w:rsidR="00E80E85" w:rsidRPr="00D64F8C">
        <w:rPr>
          <w:color w:val="auto"/>
        </w:rPr>
        <w:t xml:space="preserve"> </w:t>
      </w:r>
      <w:r w:rsidR="00125956" w:rsidRPr="00D64F8C">
        <w:rPr>
          <w:color w:val="auto"/>
        </w:rPr>
        <w:t>Terms of Trade (TOT)</w:t>
      </w:r>
      <w:r w:rsidR="00121981" w:rsidRPr="00D64F8C">
        <w:rPr>
          <w:color w:val="auto"/>
        </w:rPr>
        <w:t xml:space="preserve">; </w:t>
      </w:r>
      <w:r w:rsidR="00A83196" w:rsidRPr="00D64F8C">
        <w:rPr>
          <w:color w:val="auto"/>
        </w:rPr>
        <w:t xml:space="preserve"> </w:t>
      </w:r>
      <w:r w:rsidR="00121981" w:rsidRPr="00D64F8C">
        <w:rPr>
          <w:color w:val="auto"/>
        </w:rPr>
        <w:t xml:space="preserve">Balassa Samuelson Index (BSI), computed as a country's GDP per capita relative to the weighted average GDP per capita of COMESA's major trading partners and </w:t>
      </w:r>
      <w:r w:rsidR="00190A2C" w:rsidRPr="00D64F8C">
        <w:rPr>
          <w:color w:val="auto"/>
        </w:rPr>
        <w:t>aim</w:t>
      </w:r>
      <w:r w:rsidR="00121981" w:rsidRPr="00D64F8C">
        <w:rPr>
          <w:color w:val="auto"/>
        </w:rPr>
        <w:t>s</w:t>
      </w:r>
      <w:r w:rsidR="00190A2C" w:rsidRPr="00D64F8C">
        <w:rPr>
          <w:color w:val="auto"/>
        </w:rPr>
        <w:t xml:space="preserve"> to reflect the impact of the increasing </w:t>
      </w:r>
      <w:r w:rsidR="007F49C2" w:rsidRPr="00D64F8C">
        <w:rPr>
          <w:color w:val="auto"/>
        </w:rPr>
        <w:t>price of non-tradable goods over the development process within a sample for which per capita GDP levels are quite heterogeneous</w:t>
      </w:r>
      <w:r w:rsidR="00121981" w:rsidRPr="00D64F8C">
        <w:rPr>
          <w:color w:val="auto"/>
        </w:rPr>
        <w:t>;</w:t>
      </w:r>
      <w:r w:rsidR="00A83196" w:rsidRPr="00D64F8C">
        <w:rPr>
          <w:color w:val="auto"/>
        </w:rPr>
        <w:t xml:space="preserve"> </w:t>
      </w:r>
      <w:r w:rsidR="007F49C2" w:rsidRPr="00D64F8C">
        <w:rPr>
          <w:color w:val="auto"/>
        </w:rPr>
        <w:t>and</w:t>
      </w:r>
      <w:r w:rsidR="00121981" w:rsidRPr="00D64F8C">
        <w:rPr>
          <w:color w:val="auto"/>
        </w:rPr>
        <w:t>,</w:t>
      </w:r>
      <w:r w:rsidR="007F49C2" w:rsidRPr="00D64F8C">
        <w:rPr>
          <w:color w:val="auto"/>
        </w:rPr>
        <w:t xml:space="preserve"> </w:t>
      </w:r>
      <w:r w:rsidR="00A83196" w:rsidRPr="00D64F8C">
        <w:rPr>
          <w:color w:val="auto"/>
        </w:rPr>
        <w:t xml:space="preserve">Government </w:t>
      </w:r>
      <w:r w:rsidR="00121981" w:rsidRPr="00D64F8C">
        <w:rPr>
          <w:color w:val="auto"/>
        </w:rPr>
        <w:t xml:space="preserve">final consumption </w:t>
      </w:r>
      <w:r w:rsidR="00A83196" w:rsidRPr="00D64F8C">
        <w:rPr>
          <w:color w:val="auto"/>
        </w:rPr>
        <w:t>expenditure</w:t>
      </w:r>
      <w:r w:rsidR="00121981" w:rsidRPr="00D64F8C">
        <w:rPr>
          <w:color w:val="auto"/>
        </w:rPr>
        <w:t xml:space="preserve"> (GCON)</w:t>
      </w:r>
      <w:r w:rsidR="00A83196" w:rsidRPr="00D64F8C">
        <w:rPr>
          <w:color w:val="auto"/>
        </w:rPr>
        <w:t xml:space="preserve"> as a ratio of GDP</w:t>
      </w:r>
      <w:r w:rsidR="00121981" w:rsidRPr="00D64F8C">
        <w:rPr>
          <w:color w:val="auto"/>
        </w:rPr>
        <w:t xml:space="preserve"> as a government fiscal indicator</w:t>
      </w:r>
      <w:r w:rsidR="00F31A2E" w:rsidRPr="00D64F8C">
        <w:rPr>
          <w:color w:val="auto"/>
        </w:rPr>
        <w:t>.</w:t>
      </w:r>
      <w:r w:rsidR="005F759A" w:rsidRPr="00D64F8C">
        <w:rPr>
          <w:color w:val="auto"/>
        </w:rPr>
        <w:t xml:space="preserve"> </w:t>
      </w:r>
    </w:p>
    <w:p w:rsidR="00A136EF" w:rsidRPr="00D64F8C" w:rsidRDefault="00A136EF" w:rsidP="00141422">
      <w:pPr>
        <w:pStyle w:val="Abstracttext"/>
        <w:spacing w:line="276" w:lineRule="auto"/>
        <w:rPr>
          <w:color w:val="auto"/>
        </w:rPr>
      </w:pPr>
    </w:p>
    <w:p w:rsidR="00121981" w:rsidRPr="00D64F8C" w:rsidRDefault="00121981" w:rsidP="00141422">
      <w:pPr>
        <w:pStyle w:val="Abstracttext"/>
        <w:spacing w:line="276" w:lineRule="auto"/>
        <w:rPr>
          <w:color w:val="auto"/>
        </w:rPr>
      </w:pPr>
    </w:p>
    <w:p w:rsidR="00E8608B" w:rsidRPr="00D64F8C" w:rsidRDefault="00F23657" w:rsidP="00141422">
      <w:pPr>
        <w:pStyle w:val="Abstracttext"/>
        <w:spacing w:line="276" w:lineRule="auto"/>
        <w:rPr>
          <w:color w:val="auto"/>
        </w:rPr>
      </w:pPr>
      <w:r w:rsidRPr="00D64F8C">
        <w:rPr>
          <w:color w:val="auto"/>
        </w:rPr>
        <w:t>We estima</w:t>
      </w:r>
      <w:r w:rsidR="00C9387D" w:rsidRPr="00D64F8C">
        <w:rPr>
          <w:color w:val="auto"/>
        </w:rPr>
        <w:t>te equations (4) and (5) using S</w:t>
      </w:r>
      <w:r w:rsidRPr="00D64F8C">
        <w:rPr>
          <w:color w:val="auto"/>
        </w:rPr>
        <w:t>ystem G</w:t>
      </w:r>
      <w:r w:rsidR="00C9387D" w:rsidRPr="00D64F8C">
        <w:rPr>
          <w:color w:val="auto"/>
        </w:rPr>
        <w:t xml:space="preserve">eneralized </w:t>
      </w:r>
      <w:r w:rsidRPr="00D64F8C">
        <w:rPr>
          <w:color w:val="auto"/>
        </w:rPr>
        <w:t>M</w:t>
      </w:r>
      <w:r w:rsidR="00C9387D" w:rsidRPr="00D64F8C">
        <w:rPr>
          <w:color w:val="auto"/>
        </w:rPr>
        <w:t xml:space="preserve">ethod of </w:t>
      </w:r>
      <w:r w:rsidRPr="00D64F8C">
        <w:rPr>
          <w:color w:val="auto"/>
        </w:rPr>
        <w:t>M</w:t>
      </w:r>
      <w:r w:rsidR="00C9387D" w:rsidRPr="00D64F8C">
        <w:rPr>
          <w:color w:val="auto"/>
        </w:rPr>
        <w:t>oments (sys-GMM)</w:t>
      </w:r>
      <w:r w:rsidRPr="00D64F8C">
        <w:rPr>
          <w:color w:val="auto"/>
        </w:rPr>
        <w:t xml:space="preserve"> estimator</w:t>
      </w:r>
      <w:r w:rsidR="00C9387D" w:rsidRPr="00D64F8C">
        <w:rPr>
          <w:color w:val="auto"/>
        </w:rPr>
        <w:t xml:space="preserve">. We choose system GMM for </w:t>
      </w:r>
      <w:r w:rsidR="00E25603" w:rsidRPr="00D64F8C">
        <w:rPr>
          <w:color w:val="auto"/>
        </w:rPr>
        <w:t xml:space="preserve">two main </w:t>
      </w:r>
      <w:r w:rsidR="00C9387D" w:rsidRPr="00D64F8C">
        <w:rPr>
          <w:color w:val="auto"/>
        </w:rPr>
        <w:t xml:space="preserve">reasons. First, system GMM </w:t>
      </w:r>
      <w:r w:rsidR="00E25603" w:rsidRPr="00D64F8C">
        <w:rPr>
          <w:color w:val="auto"/>
        </w:rPr>
        <w:t>estimator ensures</w:t>
      </w:r>
      <w:r w:rsidRPr="00D64F8C">
        <w:rPr>
          <w:color w:val="auto"/>
        </w:rPr>
        <w:t xml:space="preserve"> that the estimates are consistent even </w:t>
      </w:r>
      <w:r w:rsidR="00CF1EF7" w:rsidRPr="00D64F8C">
        <w:rPr>
          <w:color w:val="auto"/>
        </w:rPr>
        <w:t>when a</w:t>
      </w:r>
      <w:r w:rsidRPr="00D64F8C">
        <w:rPr>
          <w:color w:val="auto"/>
        </w:rPr>
        <w:t xml:space="preserve"> lagged dependent variable </w:t>
      </w:r>
      <w:r w:rsidR="00CF1EF7" w:rsidRPr="00D64F8C">
        <w:rPr>
          <w:color w:val="auto"/>
        </w:rPr>
        <w:t xml:space="preserve">is </w:t>
      </w:r>
      <w:r w:rsidR="00D07D86" w:rsidRPr="00D64F8C">
        <w:rPr>
          <w:color w:val="auto"/>
        </w:rPr>
        <w:t>one</w:t>
      </w:r>
      <w:r w:rsidRPr="00D64F8C">
        <w:rPr>
          <w:color w:val="auto"/>
        </w:rPr>
        <w:t xml:space="preserve"> of the </w:t>
      </w:r>
      <w:r w:rsidRPr="00D64F8C">
        <w:rPr>
          <w:color w:val="auto"/>
        </w:rPr>
        <w:lastRenderedPageBreak/>
        <w:t>regressors</w:t>
      </w:r>
      <w:r w:rsidR="00E25603" w:rsidRPr="00D64F8C">
        <w:rPr>
          <w:color w:val="auto"/>
        </w:rPr>
        <w:t>. Second</w:t>
      </w:r>
      <w:r w:rsidRPr="00D64F8C">
        <w:rPr>
          <w:color w:val="auto"/>
        </w:rPr>
        <w:t xml:space="preserve">, </w:t>
      </w:r>
      <w:r w:rsidR="00E25603" w:rsidRPr="00D64F8C">
        <w:rPr>
          <w:color w:val="auto"/>
        </w:rPr>
        <w:t>system GMM estimation a</w:t>
      </w:r>
      <w:r w:rsidRPr="00D64F8C">
        <w:rPr>
          <w:color w:val="auto"/>
        </w:rPr>
        <w:t>ddresses the problem of endogeneity of the explanatory variables due to measurement errors, reverse causality, or omission of relevant variables</w:t>
      </w:r>
      <w:r w:rsidR="00E8608B" w:rsidRPr="00D64F8C">
        <w:rPr>
          <w:color w:val="auto"/>
        </w:rPr>
        <w:t xml:space="preserve"> (Arellano</w:t>
      </w:r>
      <w:r w:rsidR="005136BF">
        <w:rPr>
          <w:color w:val="auto"/>
        </w:rPr>
        <w:t xml:space="preserve"> and </w:t>
      </w:r>
      <w:r w:rsidR="00E8608B" w:rsidRPr="00D64F8C">
        <w:rPr>
          <w:color w:val="auto"/>
        </w:rPr>
        <w:t>Bond, 1991</w:t>
      </w:r>
      <w:r w:rsidR="005136BF">
        <w:rPr>
          <w:color w:val="auto"/>
        </w:rPr>
        <w:t xml:space="preserve"> [7]</w:t>
      </w:r>
      <w:r w:rsidR="00E8608B" w:rsidRPr="00D64F8C">
        <w:rPr>
          <w:color w:val="auto"/>
        </w:rPr>
        <w:t>; Arellano</w:t>
      </w:r>
      <w:r w:rsidR="005136BF">
        <w:rPr>
          <w:color w:val="auto"/>
        </w:rPr>
        <w:t xml:space="preserve"> and </w:t>
      </w:r>
      <w:r w:rsidR="00E8608B" w:rsidRPr="00D64F8C">
        <w:rPr>
          <w:color w:val="auto"/>
        </w:rPr>
        <w:t>Bover, 1995</w:t>
      </w:r>
      <w:r w:rsidR="005136BF">
        <w:rPr>
          <w:color w:val="auto"/>
        </w:rPr>
        <w:t xml:space="preserve"> [8]</w:t>
      </w:r>
      <w:r w:rsidR="00E8608B" w:rsidRPr="00D64F8C">
        <w:rPr>
          <w:color w:val="auto"/>
        </w:rPr>
        <w:t>; and, Blundell</w:t>
      </w:r>
      <w:r w:rsidR="005136BF">
        <w:rPr>
          <w:color w:val="auto"/>
        </w:rPr>
        <w:t xml:space="preserve"> and </w:t>
      </w:r>
      <w:r w:rsidR="00E8608B" w:rsidRPr="00D64F8C">
        <w:rPr>
          <w:color w:val="auto"/>
        </w:rPr>
        <w:t>Bond, 1998</w:t>
      </w:r>
      <w:r w:rsidR="005136BF">
        <w:rPr>
          <w:color w:val="auto"/>
        </w:rPr>
        <w:t xml:space="preserve"> [11]</w:t>
      </w:r>
      <w:r w:rsidR="00E8608B" w:rsidRPr="00D64F8C">
        <w:rPr>
          <w:color w:val="auto"/>
        </w:rPr>
        <w:t>).</w:t>
      </w:r>
    </w:p>
    <w:p w:rsidR="00176BE9" w:rsidRPr="00D64F8C" w:rsidRDefault="00176BE9" w:rsidP="00141422">
      <w:pPr>
        <w:pStyle w:val="Abstracttext"/>
        <w:spacing w:line="276" w:lineRule="auto"/>
        <w:rPr>
          <w:color w:val="auto"/>
        </w:rPr>
      </w:pPr>
    </w:p>
    <w:p w:rsidR="007F55BB" w:rsidRPr="00793DEE" w:rsidRDefault="00021323" w:rsidP="00141422">
      <w:pPr>
        <w:pStyle w:val="Abstracttext"/>
        <w:spacing w:line="276" w:lineRule="auto"/>
        <w:rPr>
          <w:b/>
          <w:i/>
          <w:color w:val="auto"/>
        </w:rPr>
      </w:pPr>
      <w:r w:rsidRPr="00793DEE">
        <w:rPr>
          <w:b/>
          <w:i/>
          <w:color w:val="auto"/>
        </w:rPr>
        <w:t xml:space="preserve">3.1 </w:t>
      </w:r>
      <w:r w:rsidR="007F55BB" w:rsidRPr="00793DEE">
        <w:rPr>
          <w:b/>
          <w:i/>
          <w:color w:val="auto"/>
        </w:rPr>
        <w:t>Data</w:t>
      </w:r>
    </w:p>
    <w:p w:rsidR="00176BE9" w:rsidRPr="00D64F8C" w:rsidRDefault="00824EB6" w:rsidP="00141422">
      <w:pPr>
        <w:pStyle w:val="Abstracttext"/>
        <w:spacing w:line="276" w:lineRule="auto"/>
        <w:rPr>
          <w:color w:val="auto"/>
        </w:rPr>
      </w:pPr>
      <w:r w:rsidRPr="00D64F8C">
        <w:rPr>
          <w:color w:val="auto"/>
        </w:rPr>
        <w:t xml:space="preserve">Most empirical studies on growth are based on </w:t>
      </w:r>
      <w:r w:rsidR="00234365" w:rsidRPr="00D64F8C">
        <w:rPr>
          <w:color w:val="auto"/>
        </w:rPr>
        <w:t>five-year</w:t>
      </w:r>
      <w:r w:rsidRPr="00D64F8C">
        <w:rPr>
          <w:color w:val="auto"/>
        </w:rPr>
        <w:t xml:space="preserve"> average </w:t>
      </w:r>
      <w:r w:rsidR="00234365" w:rsidRPr="00D64F8C">
        <w:rPr>
          <w:color w:val="auto"/>
        </w:rPr>
        <w:t>observations, which</w:t>
      </w:r>
      <w:r w:rsidRPr="00D64F8C">
        <w:rPr>
          <w:color w:val="auto"/>
        </w:rPr>
        <w:t xml:space="preserve"> requires availability of long time spans of over thirty years for all the variables. </w:t>
      </w:r>
      <w:r w:rsidR="00234365" w:rsidRPr="00D64F8C">
        <w:rPr>
          <w:color w:val="auto"/>
        </w:rPr>
        <w:t>Data</w:t>
      </w:r>
      <w:r w:rsidRPr="00D64F8C">
        <w:rPr>
          <w:color w:val="auto"/>
        </w:rPr>
        <w:t xml:space="preserve"> especially </w:t>
      </w:r>
      <w:r w:rsidR="00234365" w:rsidRPr="00D64F8C">
        <w:rPr>
          <w:color w:val="auto"/>
        </w:rPr>
        <w:t xml:space="preserve">for </w:t>
      </w:r>
      <w:r w:rsidR="00C500A3" w:rsidRPr="00D64F8C">
        <w:rPr>
          <w:color w:val="auto"/>
        </w:rPr>
        <w:t>capital inflows</w:t>
      </w:r>
      <w:r w:rsidRPr="00D64F8C">
        <w:rPr>
          <w:color w:val="auto"/>
        </w:rPr>
        <w:t xml:space="preserve"> </w:t>
      </w:r>
      <w:r w:rsidR="00234365" w:rsidRPr="00D64F8C">
        <w:rPr>
          <w:color w:val="auto"/>
        </w:rPr>
        <w:t xml:space="preserve">variables </w:t>
      </w:r>
      <w:r w:rsidRPr="00D64F8C">
        <w:rPr>
          <w:color w:val="auto"/>
        </w:rPr>
        <w:t xml:space="preserve">for COMESA member countries is scanty and becomes relatively comprehensive from </w:t>
      </w:r>
      <w:r w:rsidR="00176BE9" w:rsidRPr="00D64F8C">
        <w:rPr>
          <w:color w:val="auto"/>
        </w:rPr>
        <w:t>2005</w:t>
      </w:r>
      <w:r w:rsidR="00491CA5" w:rsidRPr="00D64F8C">
        <w:rPr>
          <w:color w:val="auto"/>
        </w:rPr>
        <w:t xml:space="preserve"> while the most recent period </w:t>
      </w:r>
      <w:r w:rsidR="00AC3BC9" w:rsidRPr="00D64F8C">
        <w:rPr>
          <w:color w:val="auto"/>
        </w:rPr>
        <w:t xml:space="preserve">with data </w:t>
      </w:r>
      <w:r w:rsidR="00491CA5" w:rsidRPr="00D64F8C">
        <w:rPr>
          <w:color w:val="auto"/>
        </w:rPr>
        <w:t>is 2019</w:t>
      </w:r>
      <w:r w:rsidR="00234365" w:rsidRPr="00D64F8C">
        <w:rPr>
          <w:color w:val="auto"/>
        </w:rPr>
        <w:t xml:space="preserve">, </w:t>
      </w:r>
      <w:r w:rsidR="00022517" w:rsidRPr="00D64F8C">
        <w:rPr>
          <w:color w:val="auto"/>
        </w:rPr>
        <w:t>restricting</w:t>
      </w:r>
      <w:r w:rsidR="00491CA5" w:rsidRPr="00D64F8C">
        <w:rPr>
          <w:color w:val="auto"/>
        </w:rPr>
        <w:t xml:space="preserve"> </w:t>
      </w:r>
      <w:r w:rsidR="00AC3BC9" w:rsidRPr="00D64F8C">
        <w:rPr>
          <w:color w:val="auto"/>
        </w:rPr>
        <w:t xml:space="preserve">our study </w:t>
      </w:r>
      <w:r w:rsidR="00491CA5" w:rsidRPr="00D64F8C">
        <w:rPr>
          <w:color w:val="auto"/>
        </w:rPr>
        <w:t>period to</w:t>
      </w:r>
      <w:r w:rsidRPr="00D64F8C">
        <w:rPr>
          <w:color w:val="auto"/>
        </w:rPr>
        <w:t xml:space="preserve"> </w:t>
      </w:r>
      <w:r w:rsidR="00176BE9" w:rsidRPr="00D64F8C">
        <w:rPr>
          <w:color w:val="auto"/>
        </w:rPr>
        <w:t>2005</w:t>
      </w:r>
      <w:r w:rsidRPr="00D64F8C">
        <w:rPr>
          <w:color w:val="auto"/>
        </w:rPr>
        <w:t>-20</w:t>
      </w:r>
      <w:r w:rsidR="00491CA5" w:rsidRPr="00D64F8C">
        <w:rPr>
          <w:color w:val="auto"/>
        </w:rPr>
        <w:t>19</w:t>
      </w:r>
      <w:r w:rsidR="00380D9E" w:rsidRPr="00D64F8C">
        <w:rPr>
          <w:color w:val="auto"/>
        </w:rPr>
        <w:t xml:space="preserve"> for 17 COMESA member countries out of a total membership of 21 countries</w:t>
      </w:r>
      <w:r w:rsidRPr="00D64F8C">
        <w:rPr>
          <w:color w:val="auto"/>
        </w:rPr>
        <w:t xml:space="preserve">.  </w:t>
      </w:r>
      <w:r w:rsidR="00AC3BC9" w:rsidRPr="00D64F8C">
        <w:rPr>
          <w:color w:val="auto"/>
        </w:rPr>
        <w:t xml:space="preserve">The other four countries lack continues data over the study period. </w:t>
      </w:r>
      <w:r w:rsidR="00176BE9" w:rsidRPr="00D64F8C">
        <w:rPr>
          <w:color w:val="auto"/>
        </w:rPr>
        <w:t>System GMM is especially useful with “small T, large N” panels, meaning few time periods and more countries</w:t>
      </w:r>
      <w:r w:rsidR="00380D9E" w:rsidRPr="00D64F8C">
        <w:rPr>
          <w:color w:val="auto"/>
        </w:rPr>
        <w:t xml:space="preserve"> as is the case in this study</w:t>
      </w:r>
      <w:r w:rsidR="00022517" w:rsidRPr="00D64F8C">
        <w:rPr>
          <w:color w:val="auto"/>
        </w:rPr>
        <w:t xml:space="preserve">. System GMM is also useful to address the case where there are </w:t>
      </w:r>
      <w:r w:rsidR="00176BE9" w:rsidRPr="00D64F8C">
        <w:rPr>
          <w:color w:val="auto"/>
        </w:rPr>
        <w:t>independent variables that are not strictly exogenous, meaning correlated with past and possibly current realizations of the error</w:t>
      </w:r>
      <w:r w:rsidR="00B863EF" w:rsidRPr="00D64F8C">
        <w:rPr>
          <w:color w:val="auto"/>
        </w:rPr>
        <w:t xml:space="preserve">, especially for the case where a </w:t>
      </w:r>
      <w:r w:rsidR="00022517" w:rsidRPr="00D64F8C">
        <w:rPr>
          <w:color w:val="auto"/>
        </w:rPr>
        <w:t>lagged dependent vari</w:t>
      </w:r>
      <w:r w:rsidR="00B863EF" w:rsidRPr="00D64F8C">
        <w:rPr>
          <w:color w:val="auto"/>
        </w:rPr>
        <w:t>a</w:t>
      </w:r>
      <w:r w:rsidR="00022517" w:rsidRPr="00D64F8C">
        <w:rPr>
          <w:color w:val="auto"/>
        </w:rPr>
        <w:t xml:space="preserve">ble </w:t>
      </w:r>
      <w:r w:rsidR="00B863EF" w:rsidRPr="00D64F8C">
        <w:rPr>
          <w:color w:val="auto"/>
        </w:rPr>
        <w:t>is</w:t>
      </w:r>
      <w:r w:rsidR="00022517" w:rsidRPr="00D64F8C">
        <w:rPr>
          <w:color w:val="auto"/>
        </w:rPr>
        <w:t xml:space="preserve"> one of the regressors.</w:t>
      </w:r>
      <w:r w:rsidR="00176BE9" w:rsidRPr="00D64F8C">
        <w:rPr>
          <w:color w:val="auto"/>
        </w:rPr>
        <w:t xml:space="preserve"> </w:t>
      </w:r>
      <w:r w:rsidR="00B863EF" w:rsidRPr="00D64F8C">
        <w:rPr>
          <w:color w:val="auto"/>
        </w:rPr>
        <w:t xml:space="preserve">System GMM also addresses the challenges posed by </w:t>
      </w:r>
      <w:r w:rsidR="00176BE9" w:rsidRPr="00D64F8C">
        <w:rPr>
          <w:color w:val="auto"/>
        </w:rPr>
        <w:t>country fixed effects</w:t>
      </w:r>
      <w:r w:rsidR="00B863EF" w:rsidRPr="00D64F8C">
        <w:rPr>
          <w:color w:val="auto"/>
        </w:rPr>
        <w:t xml:space="preserve">, </w:t>
      </w:r>
      <w:r w:rsidR="00176BE9" w:rsidRPr="00D64F8C">
        <w:rPr>
          <w:color w:val="auto"/>
        </w:rPr>
        <w:t xml:space="preserve">heteroskedasticity and autocorrelation </w:t>
      </w:r>
      <w:r w:rsidR="00AC3BC9" w:rsidRPr="00D64F8C">
        <w:rPr>
          <w:color w:val="auto"/>
        </w:rPr>
        <w:t>in</w:t>
      </w:r>
      <w:r w:rsidR="00176BE9" w:rsidRPr="00D64F8C">
        <w:rPr>
          <w:color w:val="auto"/>
        </w:rPr>
        <w:t xml:space="preserve"> </w:t>
      </w:r>
      <w:r w:rsidR="00AC3BC9" w:rsidRPr="00D64F8C">
        <w:rPr>
          <w:color w:val="auto"/>
        </w:rPr>
        <w:t>the data</w:t>
      </w:r>
      <w:r w:rsidR="00176BE9" w:rsidRPr="00D64F8C">
        <w:rPr>
          <w:color w:val="auto"/>
        </w:rPr>
        <w:t xml:space="preserve">. </w:t>
      </w:r>
    </w:p>
    <w:p w:rsidR="00176BE9" w:rsidRPr="00D64F8C" w:rsidRDefault="00176BE9" w:rsidP="00141422">
      <w:pPr>
        <w:pStyle w:val="Abstracttext"/>
        <w:spacing w:line="276" w:lineRule="auto"/>
        <w:rPr>
          <w:color w:val="auto"/>
        </w:rPr>
      </w:pPr>
    </w:p>
    <w:p w:rsidR="00D32492" w:rsidRPr="00D64F8C" w:rsidRDefault="00824EB6" w:rsidP="00141422">
      <w:pPr>
        <w:pStyle w:val="Abstracttext"/>
        <w:spacing w:line="276" w:lineRule="auto"/>
        <w:rPr>
          <w:color w:val="auto"/>
        </w:rPr>
      </w:pPr>
      <w:r w:rsidRPr="00D64F8C">
        <w:rPr>
          <w:color w:val="auto"/>
        </w:rPr>
        <w:t xml:space="preserve">Given the relatively short span, this study uses annual data instead of the </w:t>
      </w:r>
      <w:r w:rsidR="00234365" w:rsidRPr="00D64F8C">
        <w:rPr>
          <w:color w:val="auto"/>
        </w:rPr>
        <w:t>five-year</w:t>
      </w:r>
      <w:r w:rsidRPr="00D64F8C">
        <w:rPr>
          <w:color w:val="auto"/>
        </w:rPr>
        <w:t xml:space="preserve"> average data that assumes that business cycle disturbances are averaged out in each </w:t>
      </w:r>
      <w:r w:rsidR="00234365" w:rsidRPr="00D64F8C">
        <w:rPr>
          <w:color w:val="auto"/>
        </w:rPr>
        <w:t>of the five-year</w:t>
      </w:r>
      <w:r w:rsidRPr="00D64F8C">
        <w:rPr>
          <w:color w:val="auto"/>
        </w:rPr>
        <w:t xml:space="preserve">. Although </w:t>
      </w:r>
      <w:r w:rsidR="00234365" w:rsidRPr="00D64F8C">
        <w:rPr>
          <w:color w:val="auto"/>
        </w:rPr>
        <w:t xml:space="preserve">this is </w:t>
      </w:r>
      <w:r w:rsidRPr="00D64F8C">
        <w:rPr>
          <w:color w:val="auto"/>
        </w:rPr>
        <w:t>a very important assumption for advanced countries</w:t>
      </w:r>
      <w:r w:rsidR="00AC3BC9" w:rsidRPr="00D64F8C">
        <w:rPr>
          <w:color w:val="auto"/>
        </w:rPr>
        <w:t>,</w:t>
      </w:r>
      <w:r w:rsidRPr="00D64F8C">
        <w:rPr>
          <w:color w:val="auto"/>
        </w:rPr>
        <w:t xml:space="preserve"> where busin</w:t>
      </w:r>
      <w:r w:rsidR="00234365" w:rsidRPr="00D64F8C">
        <w:rPr>
          <w:color w:val="auto"/>
        </w:rPr>
        <w:t>ess cycles ha</w:t>
      </w:r>
      <w:r w:rsidR="00AC3BC9" w:rsidRPr="00D64F8C">
        <w:rPr>
          <w:color w:val="auto"/>
        </w:rPr>
        <w:t>ve</w:t>
      </w:r>
      <w:r w:rsidRPr="00D64F8C">
        <w:rPr>
          <w:color w:val="auto"/>
        </w:rPr>
        <w:t xml:space="preserve"> been established to last an average of about 5 years, the same cannot be inferred for </w:t>
      </w:r>
      <w:r w:rsidR="00380D9E" w:rsidRPr="00D64F8C">
        <w:rPr>
          <w:color w:val="auto"/>
        </w:rPr>
        <w:t>COMESA</w:t>
      </w:r>
      <w:r w:rsidRPr="00D64F8C">
        <w:rPr>
          <w:color w:val="auto"/>
        </w:rPr>
        <w:t xml:space="preserve"> countries, where business cycles </w:t>
      </w:r>
      <w:r w:rsidR="00234365" w:rsidRPr="00D64F8C">
        <w:rPr>
          <w:color w:val="auto"/>
        </w:rPr>
        <w:t>spans have not been clearly established. Most countries in the region only experience output fluctuations and not business cycles</w:t>
      </w:r>
      <w:r w:rsidR="00491CA5" w:rsidRPr="00D64F8C">
        <w:rPr>
          <w:color w:val="auto"/>
        </w:rPr>
        <w:t xml:space="preserve"> (</w:t>
      </w:r>
      <w:r w:rsidR="00380D9E" w:rsidRPr="00D64F8C">
        <w:rPr>
          <w:color w:val="auto"/>
        </w:rPr>
        <w:t>Cho and Tien, 2014</w:t>
      </w:r>
      <w:r w:rsidR="005136BF">
        <w:rPr>
          <w:color w:val="auto"/>
        </w:rPr>
        <w:t xml:space="preserve"> [19]</w:t>
      </w:r>
      <w:r w:rsidR="00380D9E" w:rsidRPr="00D64F8C">
        <w:rPr>
          <w:color w:val="auto"/>
        </w:rPr>
        <w:t>)</w:t>
      </w:r>
      <w:r w:rsidR="00234365" w:rsidRPr="00D64F8C">
        <w:rPr>
          <w:color w:val="auto"/>
        </w:rPr>
        <w:t xml:space="preserve">. Therefore, estimation based on annual data may not be </w:t>
      </w:r>
      <w:r w:rsidR="00097173" w:rsidRPr="00D64F8C">
        <w:rPr>
          <w:color w:val="auto"/>
        </w:rPr>
        <w:t>implausible</w:t>
      </w:r>
      <w:r w:rsidR="00234365" w:rsidRPr="00D64F8C">
        <w:rPr>
          <w:color w:val="auto"/>
        </w:rPr>
        <w:t xml:space="preserve"> and could be more relevant for COMESA member countries. </w:t>
      </w:r>
      <w:r w:rsidR="008613F0" w:rsidRPr="00D64F8C">
        <w:rPr>
          <w:color w:val="auto"/>
        </w:rPr>
        <w:t>I</w:t>
      </w:r>
      <w:r w:rsidR="00E403FE" w:rsidRPr="00D64F8C">
        <w:rPr>
          <w:color w:val="auto"/>
        </w:rPr>
        <w:t xml:space="preserve">n any case, cyclical components specific to each country </w:t>
      </w:r>
      <w:r w:rsidR="008613F0" w:rsidRPr="00D64F8C">
        <w:rPr>
          <w:color w:val="auto"/>
        </w:rPr>
        <w:t>that are not captured by the regressors will be contained in the residuals. This may mean that the residuals are correlated with the regressors, making the estimates inconsistent. By estimating the models with system GMM helps ad</w:t>
      </w:r>
      <w:r w:rsidR="00BF0812" w:rsidRPr="00D64F8C">
        <w:rPr>
          <w:color w:val="auto"/>
        </w:rPr>
        <w:t>dress this inconsistency in est</w:t>
      </w:r>
      <w:r w:rsidR="008613F0" w:rsidRPr="00D64F8C">
        <w:rPr>
          <w:color w:val="auto"/>
        </w:rPr>
        <w:t xml:space="preserve">imates. </w:t>
      </w:r>
      <w:r w:rsidR="00491CA5" w:rsidRPr="00D64F8C">
        <w:rPr>
          <w:color w:val="auto"/>
        </w:rPr>
        <w:t xml:space="preserve">Data list, description and sources are provided in Table 1 A in the Appendix. </w:t>
      </w:r>
    </w:p>
    <w:p w:rsidR="00031ECD" w:rsidRPr="00D64F8C" w:rsidRDefault="00031ECD" w:rsidP="00141422">
      <w:pPr>
        <w:pStyle w:val="Abstracttext"/>
        <w:spacing w:line="276" w:lineRule="auto"/>
        <w:rPr>
          <w:color w:val="auto"/>
        </w:rPr>
      </w:pPr>
    </w:p>
    <w:p w:rsidR="00F95781" w:rsidRPr="00D64F8C" w:rsidRDefault="00C41552" w:rsidP="00141422">
      <w:pPr>
        <w:pStyle w:val="HeadingNumbering1"/>
        <w:numPr>
          <w:ilvl w:val="0"/>
          <w:numId w:val="1"/>
        </w:numPr>
        <w:rPr>
          <w:sz w:val="24"/>
          <w:szCs w:val="24"/>
        </w:rPr>
      </w:pPr>
      <w:r w:rsidRPr="00D64F8C">
        <w:rPr>
          <w:sz w:val="24"/>
          <w:szCs w:val="24"/>
        </w:rPr>
        <w:t>Results</w:t>
      </w:r>
    </w:p>
    <w:p w:rsidR="005136BF" w:rsidRDefault="00E8608B" w:rsidP="00141422">
      <w:pPr>
        <w:pStyle w:val="Abstracttext"/>
        <w:spacing w:line="276" w:lineRule="auto"/>
        <w:rPr>
          <w:color w:val="auto"/>
        </w:rPr>
      </w:pPr>
      <w:r w:rsidRPr="00D64F8C">
        <w:rPr>
          <w:color w:val="auto"/>
        </w:rPr>
        <w:t xml:space="preserve">The system GMM estimator involves combining the equation in levels and equation in first differences into a system and estimating the system using lagged differences and lagged levels of the explanatory variables as instruments. This reduces endogeinity bias since the lagged values used as instruments for capital inflows are not affected by the contemporaneous levels of economic growth </w:t>
      </w:r>
      <w:r w:rsidR="005136BF" w:rsidRPr="00D64F8C">
        <w:rPr>
          <w:color w:val="auto"/>
        </w:rPr>
        <w:t>(Arellano</w:t>
      </w:r>
      <w:r w:rsidR="005136BF">
        <w:rPr>
          <w:color w:val="auto"/>
        </w:rPr>
        <w:t xml:space="preserve"> and </w:t>
      </w:r>
      <w:r w:rsidR="005136BF" w:rsidRPr="00D64F8C">
        <w:rPr>
          <w:color w:val="auto"/>
        </w:rPr>
        <w:t>Bond, 1991</w:t>
      </w:r>
      <w:r w:rsidR="005136BF">
        <w:rPr>
          <w:color w:val="auto"/>
        </w:rPr>
        <w:t xml:space="preserve"> [7]</w:t>
      </w:r>
      <w:r w:rsidR="005136BF" w:rsidRPr="00D64F8C">
        <w:rPr>
          <w:color w:val="auto"/>
        </w:rPr>
        <w:t>; Arellano</w:t>
      </w:r>
      <w:r w:rsidR="005136BF">
        <w:rPr>
          <w:color w:val="auto"/>
        </w:rPr>
        <w:t xml:space="preserve"> and </w:t>
      </w:r>
      <w:r w:rsidR="005136BF" w:rsidRPr="00D64F8C">
        <w:rPr>
          <w:color w:val="auto"/>
        </w:rPr>
        <w:t>Bover, 1995</w:t>
      </w:r>
      <w:r w:rsidR="005136BF">
        <w:rPr>
          <w:color w:val="auto"/>
        </w:rPr>
        <w:t xml:space="preserve"> [8]</w:t>
      </w:r>
      <w:r w:rsidR="005136BF" w:rsidRPr="00D64F8C">
        <w:rPr>
          <w:color w:val="auto"/>
        </w:rPr>
        <w:t>; and, Blundell</w:t>
      </w:r>
      <w:r w:rsidR="005136BF">
        <w:rPr>
          <w:color w:val="auto"/>
        </w:rPr>
        <w:t xml:space="preserve"> and </w:t>
      </w:r>
      <w:r w:rsidR="005136BF" w:rsidRPr="00D64F8C">
        <w:rPr>
          <w:color w:val="auto"/>
        </w:rPr>
        <w:t>Bond, 1998</w:t>
      </w:r>
      <w:r w:rsidR="005136BF">
        <w:rPr>
          <w:color w:val="auto"/>
        </w:rPr>
        <w:t xml:space="preserve"> [11]). </w:t>
      </w:r>
    </w:p>
    <w:p w:rsidR="005136BF" w:rsidRDefault="005136BF" w:rsidP="00141422">
      <w:pPr>
        <w:pStyle w:val="Abstracttext"/>
        <w:spacing w:line="276" w:lineRule="auto"/>
        <w:rPr>
          <w:color w:val="auto"/>
        </w:rPr>
      </w:pPr>
    </w:p>
    <w:p w:rsidR="00A46746" w:rsidRPr="00D64F8C" w:rsidRDefault="009141A6" w:rsidP="00141422">
      <w:pPr>
        <w:pStyle w:val="Abstracttext"/>
        <w:spacing w:line="276" w:lineRule="auto"/>
        <w:rPr>
          <w:color w:val="auto"/>
        </w:rPr>
      </w:pPr>
      <w:r w:rsidRPr="00D64F8C">
        <w:rPr>
          <w:color w:val="auto"/>
        </w:rPr>
        <w:t xml:space="preserve">We </w:t>
      </w:r>
      <w:r w:rsidR="00EA5DBD" w:rsidRPr="00D64F8C">
        <w:rPr>
          <w:color w:val="auto"/>
        </w:rPr>
        <w:t xml:space="preserve">conduct system GMM by </w:t>
      </w:r>
      <w:r w:rsidRPr="00D64F8C">
        <w:rPr>
          <w:color w:val="auto"/>
        </w:rPr>
        <w:t>estimat</w:t>
      </w:r>
      <w:r w:rsidR="00EA5DBD" w:rsidRPr="00D64F8C">
        <w:rPr>
          <w:color w:val="auto"/>
        </w:rPr>
        <w:t xml:space="preserve">ing </w:t>
      </w:r>
      <w:r w:rsidRPr="00D64F8C">
        <w:rPr>
          <w:color w:val="auto"/>
        </w:rPr>
        <w:t xml:space="preserve">each equation in first difference to remove country fixed effects. Then, the equation in levels is combined with the first difference equation in a system and estimated with lagged differences (in the levels equation) and lagged levels of the explanatory variables (in the first difference equation) used as instruments. </w:t>
      </w:r>
    </w:p>
    <w:p w:rsidR="00A46746" w:rsidRPr="00D64F8C" w:rsidRDefault="00A46746" w:rsidP="00141422">
      <w:pPr>
        <w:pStyle w:val="Abstracttext"/>
        <w:spacing w:line="276" w:lineRule="auto"/>
        <w:rPr>
          <w:color w:val="auto"/>
        </w:rPr>
      </w:pPr>
    </w:p>
    <w:p w:rsidR="00A46746" w:rsidRPr="00D64F8C" w:rsidRDefault="00021323" w:rsidP="00141422">
      <w:pPr>
        <w:pStyle w:val="Abstracttext"/>
        <w:spacing w:line="276" w:lineRule="auto"/>
        <w:rPr>
          <w:b/>
          <w:i/>
          <w:color w:val="auto"/>
        </w:rPr>
      </w:pPr>
      <w:r w:rsidRPr="00D64F8C">
        <w:rPr>
          <w:b/>
          <w:i/>
          <w:color w:val="auto"/>
        </w:rPr>
        <w:t xml:space="preserve">4.1 </w:t>
      </w:r>
      <w:r w:rsidR="00A46746" w:rsidRPr="00D64F8C">
        <w:rPr>
          <w:b/>
          <w:i/>
          <w:color w:val="auto"/>
        </w:rPr>
        <w:t>Estimation of the Growth Model</w:t>
      </w:r>
    </w:p>
    <w:p w:rsidR="00F93548" w:rsidRPr="00D64F8C" w:rsidRDefault="00F93548" w:rsidP="00141422">
      <w:pPr>
        <w:pStyle w:val="Abstracttext"/>
        <w:spacing w:line="276" w:lineRule="auto"/>
        <w:rPr>
          <w:color w:val="auto"/>
        </w:rPr>
      </w:pPr>
      <w:r w:rsidRPr="00D64F8C">
        <w:rPr>
          <w:color w:val="auto"/>
        </w:rPr>
        <w:t>We estimate the growth model (equation 4) twice. First using the Private Sector Credit (PSC)</w:t>
      </w:r>
      <w:r w:rsidR="00AC3BC9" w:rsidRPr="00D64F8C">
        <w:rPr>
          <w:color w:val="auto"/>
        </w:rPr>
        <w:t xml:space="preserve"> as a percentage of GDP</w:t>
      </w:r>
      <w:r w:rsidRPr="00D64F8C">
        <w:rPr>
          <w:color w:val="auto"/>
        </w:rPr>
        <w:t xml:space="preserve"> in Table 1 and second, using Broad Money</w:t>
      </w:r>
      <w:r w:rsidR="009E168E" w:rsidRPr="00D64F8C">
        <w:rPr>
          <w:color w:val="auto"/>
        </w:rPr>
        <w:t xml:space="preserve"> </w:t>
      </w:r>
      <w:r w:rsidR="00AC3BC9" w:rsidRPr="00D64F8C">
        <w:rPr>
          <w:color w:val="auto"/>
        </w:rPr>
        <w:t xml:space="preserve">as a percentage of GDP </w:t>
      </w:r>
      <w:r w:rsidR="009E168E" w:rsidRPr="00D64F8C">
        <w:rPr>
          <w:color w:val="auto"/>
        </w:rPr>
        <w:t xml:space="preserve">(BM) in Table 2. The variables PSC and BM are proxies for domestic financial sector depth. The use of these two variables capturing domestic financial depth is especially important in </w:t>
      </w:r>
      <w:r w:rsidR="00AC3BC9" w:rsidRPr="00D64F8C">
        <w:rPr>
          <w:color w:val="auto"/>
        </w:rPr>
        <w:t>this study because they provide</w:t>
      </w:r>
      <w:r w:rsidR="009E168E" w:rsidRPr="00D64F8C">
        <w:rPr>
          <w:color w:val="auto"/>
        </w:rPr>
        <w:t xml:space="preserve"> some understanding of the nexus between capital inflows and the regions quest for deeper capital and financial market integration. </w:t>
      </w:r>
    </w:p>
    <w:p w:rsidR="009E168E" w:rsidRPr="00D64F8C" w:rsidRDefault="009E168E" w:rsidP="00141422">
      <w:pPr>
        <w:pStyle w:val="Abstracttext"/>
        <w:spacing w:line="276" w:lineRule="auto"/>
        <w:rPr>
          <w:color w:val="auto"/>
        </w:rPr>
      </w:pPr>
    </w:p>
    <w:p w:rsidR="00D25895" w:rsidRPr="00D64F8C" w:rsidRDefault="00D25895" w:rsidP="00141422">
      <w:pPr>
        <w:pStyle w:val="Abstracttext"/>
        <w:spacing w:line="276" w:lineRule="auto"/>
        <w:rPr>
          <w:color w:val="auto"/>
        </w:rPr>
      </w:pPr>
      <w:r w:rsidRPr="00D64F8C">
        <w:rPr>
          <w:color w:val="auto"/>
        </w:rPr>
        <w:t xml:space="preserve">Table </w:t>
      </w:r>
      <w:r w:rsidR="00335A14" w:rsidRPr="00D64F8C">
        <w:rPr>
          <w:color w:val="auto"/>
        </w:rPr>
        <w:t>(</w:t>
      </w:r>
      <w:r w:rsidRPr="00D64F8C">
        <w:rPr>
          <w:color w:val="auto"/>
        </w:rPr>
        <w:t>1</w:t>
      </w:r>
      <w:r w:rsidR="00335A14" w:rsidRPr="00D64F8C">
        <w:rPr>
          <w:color w:val="auto"/>
        </w:rPr>
        <w:t>)</w:t>
      </w:r>
      <w:r w:rsidRPr="00D64F8C">
        <w:rPr>
          <w:color w:val="auto"/>
        </w:rPr>
        <w:t xml:space="preserve"> present the results </w:t>
      </w:r>
      <w:r w:rsidR="006A3C4B" w:rsidRPr="00D64F8C">
        <w:rPr>
          <w:color w:val="auto"/>
        </w:rPr>
        <w:t xml:space="preserve">for the first set of estimation that uses domestic credit to private sector as a percentage of GDP (PSC) </w:t>
      </w:r>
      <w:r w:rsidR="00BE1DEE" w:rsidRPr="00D64F8C">
        <w:rPr>
          <w:color w:val="auto"/>
        </w:rPr>
        <w:t xml:space="preserve">to measure the role of domestic financial depth in </w:t>
      </w:r>
      <w:r w:rsidR="00C500A3" w:rsidRPr="00D64F8C">
        <w:rPr>
          <w:color w:val="auto"/>
        </w:rPr>
        <w:t>economic growth</w:t>
      </w:r>
      <w:r w:rsidR="00BE1DEE" w:rsidRPr="00D64F8C">
        <w:rPr>
          <w:color w:val="auto"/>
        </w:rPr>
        <w:t>.</w:t>
      </w:r>
      <w:r w:rsidR="00335A14" w:rsidRPr="00D64F8C">
        <w:rPr>
          <w:color w:val="auto"/>
        </w:rPr>
        <w:t xml:space="preserve"> In equation </w:t>
      </w:r>
      <w:r w:rsidR="00C1374B" w:rsidRPr="00D64F8C">
        <w:rPr>
          <w:color w:val="auto"/>
        </w:rPr>
        <w:t>(</w:t>
      </w:r>
      <w:r w:rsidR="00335A14" w:rsidRPr="00D64F8C">
        <w:rPr>
          <w:color w:val="auto"/>
        </w:rPr>
        <w:t>1</w:t>
      </w:r>
      <w:r w:rsidR="00C1374B" w:rsidRPr="00D64F8C">
        <w:rPr>
          <w:color w:val="auto"/>
        </w:rPr>
        <w:t>)</w:t>
      </w:r>
      <w:r w:rsidR="00335A14" w:rsidRPr="00D64F8C">
        <w:rPr>
          <w:color w:val="auto"/>
        </w:rPr>
        <w:t xml:space="preserve">, we use foreign direct investment as a percentage of GDP as our capital inflow variable while in equation </w:t>
      </w:r>
      <w:r w:rsidR="00C1374B" w:rsidRPr="00D64F8C">
        <w:rPr>
          <w:color w:val="auto"/>
        </w:rPr>
        <w:t>(</w:t>
      </w:r>
      <w:r w:rsidR="00335A14" w:rsidRPr="00D64F8C">
        <w:rPr>
          <w:color w:val="auto"/>
        </w:rPr>
        <w:t>2</w:t>
      </w:r>
      <w:r w:rsidR="00C1374B" w:rsidRPr="00D64F8C">
        <w:rPr>
          <w:color w:val="auto"/>
        </w:rPr>
        <w:t>)</w:t>
      </w:r>
      <w:r w:rsidR="00335A14" w:rsidRPr="00D64F8C">
        <w:rPr>
          <w:color w:val="auto"/>
        </w:rPr>
        <w:t xml:space="preserve">, </w:t>
      </w:r>
      <w:r w:rsidR="00C1374B" w:rsidRPr="00D64F8C">
        <w:rPr>
          <w:color w:val="auto"/>
        </w:rPr>
        <w:t>(</w:t>
      </w:r>
      <w:r w:rsidR="00335A14" w:rsidRPr="00D64F8C">
        <w:rPr>
          <w:color w:val="auto"/>
        </w:rPr>
        <w:t>3</w:t>
      </w:r>
      <w:r w:rsidR="00C1374B" w:rsidRPr="00D64F8C">
        <w:rPr>
          <w:color w:val="auto"/>
        </w:rPr>
        <w:t>)</w:t>
      </w:r>
      <w:r w:rsidR="00335A14" w:rsidRPr="00D64F8C">
        <w:rPr>
          <w:color w:val="auto"/>
        </w:rPr>
        <w:t xml:space="preserve"> and </w:t>
      </w:r>
      <w:r w:rsidR="00C1374B" w:rsidRPr="00D64F8C">
        <w:rPr>
          <w:color w:val="auto"/>
        </w:rPr>
        <w:t>(</w:t>
      </w:r>
      <w:r w:rsidR="00335A14" w:rsidRPr="00D64F8C">
        <w:rPr>
          <w:color w:val="auto"/>
        </w:rPr>
        <w:t>4</w:t>
      </w:r>
      <w:r w:rsidR="00C1374B" w:rsidRPr="00D64F8C">
        <w:rPr>
          <w:color w:val="auto"/>
        </w:rPr>
        <w:t>)</w:t>
      </w:r>
      <w:r w:rsidR="00335A14" w:rsidRPr="00D64F8C">
        <w:rPr>
          <w:color w:val="auto"/>
        </w:rPr>
        <w:t xml:space="preserve"> we use Net ODA as a percentage of GDP, remittances as a percentage of GDP and total inflows as a percentage of GDP as the capital inflow variables, respectively. </w:t>
      </w:r>
    </w:p>
    <w:p w:rsidR="00D25895" w:rsidRPr="00D64F8C" w:rsidRDefault="00D25895" w:rsidP="00141422">
      <w:pPr>
        <w:pStyle w:val="Abstracttext"/>
        <w:spacing w:line="276" w:lineRule="auto"/>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44"/>
        <w:gridCol w:w="1224"/>
        <w:gridCol w:w="1275"/>
        <w:gridCol w:w="1418"/>
        <w:gridCol w:w="1371"/>
      </w:tblGrid>
      <w:tr w:rsidR="00D62EEB" w:rsidRPr="00793DEE" w:rsidTr="002B58BD">
        <w:tc>
          <w:tcPr>
            <w:tcW w:w="9026" w:type="dxa"/>
            <w:gridSpan w:val="6"/>
            <w:tcBorders>
              <w:bottom w:val="single" w:sz="4" w:space="0" w:color="auto"/>
            </w:tcBorders>
          </w:tcPr>
          <w:p w:rsidR="00D62EEB" w:rsidRPr="00793DEE" w:rsidRDefault="00D62EEB" w:rsidP="00141422">
            <w:pPr>
              <w:spacing w:line="276" w:lineRule="auto"/>
              <w:rPr>
                <w:rFonts w:ascii="Times New Roman" w:hAnsi="Times New Roman" w:cs="Times New Roman"/>
                <w:b/>
              </w:rPr>
            </w:pPr>
            <w:r w:rsidRPr="00793DEE">
              <w:rPr>
                <w:rFonts w:ascii="Times New Roman" w:hAnsi="Times New Roman" w:cs="Times New Roman"/>
                <w:b/>
              </w:rPr>
              <w:t>Table 1. Dependent Variable: GDP per capita growth (annual %) – GDPKG</w:t>
            </w:r>
          </w:p>
          <w:p w:rsidR="00D62EEB" w:rsidRPr="00793DEE" w:rsidRDefault="00D62EEB" w:rsidP="00141422">
            <w:pPr>
              <w:spacing w:line="276" w:lineRule="auto"/>
              <w:rPr>
                <w:rFonts w:ascii="Times New Roman" w:hAnsi="Times New Roman" w:cs="Times New Roman"/>
                <w:b/>
              </w:rPr>
            </w:pPr>
          </w:p>
        </w:tc>
      </w:tr>
      <w:tr w:rsidR="00D64F8C" w:rsidRPr="00793DEE" w:rsidTr="009E168E">
        <w:tc>
          <w:tcPr>
            <w:tcW w:w="2694" w:type="dxa"/>
            <w:tcBorders>
              <w:top w:val="single" w:sz="4" w:space="0" w:color="auto"/>
              <w:bottom w:val="double" w:sz="4" w:space="0" w:color="auto"/>
            </w:tcBorders>
          </w:tcPr>
          <w:p w:rsidR="00047212" w:rsidRPr="00793DEE" w:rsidRDefault="00047212" w:rsidP="00141422">
            <w:pPr>
              <w:spacing w:line="276" w:lineRule="auto"/>
              <w:rPr>
                <w:rFonts w:ascii="Times New Roman" w:hAnsi="Times New Roman" w:cs="Times New Roman"/>
                <w:b/>
              </w:rPr>
            </w:pPr>
            <w:r w:rsidRPr="00793DEE">
              <w:rPr>
                <w:rFonts w:ascii="Times New Roman" w:hAnsi="Times New Roman" w:cs="Times New Roman"/>
                <w:b/>
              </w:rPr>
              <w:t>System GMM Estimation</w:t>
            </w:r>
          </w:p>
        </w:tc>
        <w:tc>
          <w:tcPr>
            <w:tcW w:w="1044" w:type="dxa"/>
            <w:tcBorders>
              <w:top w:val="single" w:sz="4" w:space="0" w:color="auto"/>
              <w:bottom w:val="double" w:sz="4" w:space="0" w:color="auto"/>
            </w:tcBorders>
          </w:tcPr>
          <w:p w:rsidR="00047212" w:rsidRPr="00793DEE" w:rsidRDefault="00047212" w:rsidP="00141422">
            <w:pPr>
              <w:spacing w:line="276" w:lineRule="auto"/>
              <w:rPr>
                <w:rFonts w:ascii="Times New Roman" w:hAnsi="Times New Roman" w:cs="Times New Roman"/>
                <w:i/>
              </w:rPr>
            </w:pPr>
            <w:r w:rsidRPr="00793DEE">
              <w:rPr>
                <w:rFonts w:ascii="Times New Roman" w:hAnsi="Times New Roman" w:cs="Times New Roman"/>
                <w:i/>
              </w:rPr>
              <w:t>(1)</w:t>
            </w:r>
          </w:p>
        </w:tc>
        <w:tc>
          <w:tcPr>
            <w:tcW w:w="1224" w:type="dxa"/>
            <w:tcBorders>
              <w:top w:val="single" w:sz="4" w:space="0" w:color="auto"/>
              <w:bottom w:val="double" w:sz="4" w:space="0" w:color="auto"/>
            </w:tcBorders>
          </w:tcPr>
          <w:p w:rsidR="00047212" w:rsidRPr="00793DEE" w:rsidRDefault="00047212" w:rsidP="00141422">
            <w:pPr>
              <w:spacing w:line="276" w:lineRule="auto"/>
              <w:rPr>
                <w:rFonts w:ascii="Times New Roman" w:hAnsi="Times New Roman" w:cs="Times New Roman"/>
                <w:i/>
              </w:rPr>
            </w:pPr>
            <w:r w:rsidRPr="00793DEE">
              <w:rPr>
                <w:rFonts w:ascii="Times New Roman" w:hAnsi="Times New Roman" w:cs="Times New Roman"/>
                <w:i/>
              </w:rPr>
              <w:t>(2)</w:t>
            </w:r>
          </w:p>
        </w:tc>
        <w:tc>
          <w:tcPr>
            <w:tcW w:w="1275" w:type="dxa"/>
            <w:tcBorders>
              <w:top w:val="single" w:sz="4" w:space="0" w:color="auto"/>
              <w:bottom w:val="double" w:sz="4" w:space="0" w:color="auto"/>
            </w:tcBorders>
          </w:tcPr>
          <w:p w:rsidR="00047212" w:rsidRPr="00793DEE" w:rsidRDefault="00047212" w:rsidP="00141422">
            <w:pPr>
              <w:spacing w:line="276" w:lineRule="auto"/>
              <w:rPr>
                <w:rFonts w:ascii="Times New Roman" w:hAnsi="Times New Roman" w:cs="Times New Roman"/>
                <w:i/>
              </w:rPr>
            </w:pPr>
            <w:r w:rsidRPr="00793DEE">
              <w:rPr>
                <w:rFonts w:ascii="Times New Roman" w:hAnsi="Times New Roman" w:cs="Times New Roman"/>
                <w:i/>
              </w:rPr>
              <w:t>(3)</w:t>
            </w:r>
          </w:p>
        </w:tc>
        <w:tc>
          <w:tcPr>
            <w:tcW w:w="1418" w:type="dxa"/>
            <w:tcBorders>
              <w:top w:val="single" w:sz="4" w:space="0" w:color="auto"/>
              <w:bottom w:val="double" w:sz="4" w:space="0" w:color="auto"/>
            </w:tcBorders>
          </w:tcPr>
          <w:p w:rsidR="00047212" w:rsidRPr="00793DEE" w:rsidRDefault="00047212" w:rsidP="00141422">
            <w:pPr>
              <w:spacing w:line="276" w:lineRule="auto"/>
              <w:rPr>
                <w:rFonts w:ascii="Times New Roman" w:hAnsi="Times New Roman" w:cs="Times New Roman"/>
                <w:i/>
              </w:rPr>
            </w:pPr>
            <w:r w:rsidRPr="00793DEE">
              <w:rPr>
                <w:rFonts w:ascii="Times New Roman" w:hAnsi="Times New Roman" w:cs="Times New Roman"/>
                <w:i/>
              </w:rPr>
              <w:t>(4)</w:t>
            </w:r>
          </w:p>
        </w:tc>
        <w:tc>
          <w:tcPr>
            <w:tcW w:w="1371" w:type="dxa"/>
            <w:tcBorders>
              <w:top w:val="single" w:sz="4" w:space="0" w:color="auto"/>
              <w:bottom w:val="double" w:sz="4" w:space="0" w:color="auto"/>
            </w:tcBorders>
          </w:tcPr>
          <w:p w:rsidR="00047212" w:rsidRPr="00793DEE" w:rsidRDefault="004B52EA" w:rsidP="00141422">
            <w:pPr>
              <w:spacing w:line="276" w:lineRule="auto"/>
              <w:rPr>
                <w:rFonts w:ascii="Times New Roman" w:hAnsi="Times New Roman" w:cs="Times New Roman"/>
                <w:i/>
              </w:rPr>
            </w:pPr>
            <w:r w:rsidRPr="00793DEE">
              <w:rPr>
                <w:rFonts w:ascii="Times New Roman" w:hAnsi="Times New Roman" w:cs="Times New Roman"/>
                <w:i/>
              </w:rPr>
              <w:t>(5)</w:t>
            </w:r>
          </w:p>
        </w:tc>
      </w:tr>
      <w:tr w:rsidR="00D64F8C" w:rsidRPr="00793DEE" w:rsidTr="009E168E">
        <w:tc>
          <w:tcPr>
            <w:tcW w:w="2694" w:type="dxa"/>
            <w:tcBorders>
              <w:top w:val="double" w:sz="4" w:space="0" w:color="auto"/>
            </w:tcBorders>
            <w:vAlign w:val="bottom"/>
          </w:tcPr>
          <w:p w:rsidR="00047212" w:rsidRPr="00793DEE" w:rsidRDefault="00047212" w:rsidP="00141422">
            <w:pPr>
              <w:spacing w:line="276" w:lineRule="auto"/>
              <w:rPr>
                <w:rFonts w:ascii="Times New Roman" w:hAnsi="Times New Roman" w:cs="Times New Roman"/>
              </w:rPr>
            </w:pPr>
            <w:r w:rsidRPr="00793DEE">
              <w:rPr>
                <w:rFonts w:ascii="Times New Roman" w:hAnsi="Times New Roman" w:cs="Times New Roman"/>
              </w:rPr>
              <w:t>Lag GDP per capita growth (annual %) – GDPKG(-1)</w:t>
            </w:r>
          </w:p>
          <w:p w:rsidR="00047212" w:rsidRPr="00793DEE" w:rsidRDefault="00047212" w:rsidP="00141422">
            <w:pPr>
              <w:spacing w:line="276" w:lineRule="auto"/>
              <w:rPr>
                <w:rFonts w:ascii="Times New Roman" w:hAnsi="Times New Roman" w:cs="Times New Roman"/>
              </w:rPr>
            </w:pPr>
          </w:p>
        </w:tc>
        <w:tc>
          <w:tcPr>
            <w:tcW w:w="1044" w:type="dxa"/>
            <w:tcBorders>
              <w:top w:val="double" w:sz="4" w:space="0" w:color="auto"/>
            </w:tcBorders>
            <w:vAlign w:val="bottom"/>
          </w:tcPr>
          <w:p w:rsidR="00047212"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0.889***</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(0.084)</w:t>
            </w:r>
          </w:p>
          <w:p w:rsidR="00012421" w:rsidRPr="00793DEE" w:rsidRDefault="00012421" w:rsidP="00141422">
            <w:pPr>
              <w:spacing w:line="276" w:lineRule="auto"/>
              <w:rPr>
                <w:rFonts w:ascii="Times New Roman" w:hAnsi="Times New Roman" w:cs="Times New Roman"/>
              </w:rPr>
            </w:pPr>
          </w:p>
        </w:tc>
        <w:tc>
          <w:tcPr>
            <w:tcW w:w="1224" w:type="dxa"/>
            <w:tcBorders>
              <w:top w:val="double" w:sz="4" w:space="0" w:color="auto"/>
            </w:tcBorders>
          </w:tcPr>
          <w:p w:rsidR="00047212"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0.915***</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(0.081)</w:t>
            </w:r>
          </w:p>
        </w:tc>
        <w:tc>
          <w:tcPr>
            <w:tcW w:w="1275" w:type="dxa"/>
            <w:tcBorders>
              <w:top w:val="double" w:sz="4" w:space="0" w:color="auto"/>
            </w:tcBorders>
          </w:tcPr>
          <w:p w:rsidR="00047212"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0.915***</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(0.081</w:t>
            </w:r>
            <w:r w:rsidR="00834AAE" w:rsidRPr="00793DEE">
              <w:rPr>
                <w:rFonts w:ascii="Times New Roman" w:hAnsi="Times New Roman" w:cs="Times New Roman"/>
              </w:rPr>
              <w:t>)</w:t>
            </w:r>
          </w:p>
        </w:tc>
        <w:tc>
          <w:tcPr>
            <w:tcW w:w="1418" w:type="dxa"/>
            <w:tcBorders>
              <w:top w:val="double" w:sz="4" w:space="0" w:color="auto"/>
            </w:tcBorders>
          </w:tcPr>
          <w:p w:rsidR="00047212"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0.895***</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(0.052)</w:t>
            </w:r>
          </w:p>
        </w:tc>
        <w:tc>
          <w:tcPr>
            <w:tcW w:w="1371" w:type="dxa"/>
            <w:tcBorders>
              <w:top w:val="double" w:sz="4" w:space="0" w:color="auto"/>
            </w:tcBorders>
          </w:tcPr>
          <w:p w:rsidR="00066B9A"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0.909***</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(0.026)</w:t>
            </w:r>
          </w:p>
        </w:tc>
      </w:tr>
      <w:tr w:rsidR="00D64F8C" w:rsidRPr="00793DEE" w:rsidTr="009E168E">
        <w:tc>
          <w:tcPr>
            <w:tcW w:w="2694" w:type="dxa"/>
            <w:vAlign w:val="bottom"/>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Foreign direct investment, net inflows (% of GDP) – FDI</w:t>
            </w:r>
          </w:p>
          <w:p w:rsidR="00012421" w:rsidRPr="00793DEE" w:rsidRDefault="00012421" w:rsidP="00141422">
            <w:pPr>
              <w:spacing w:line="276" w:lineRule="auto"/>
              <w:rPr>
                <w:rFonts w:ascii="Times New Roman" w:hAnsi="Times New Roman" w:cs="Times New Roman"/>
              </w:rPr>
            </w:pPr>
          </w:p>
          <w:p w:rsidR="00012421" w:rsidRPr="00793DEE" w:rsidRDefault="00012421" w:rsidP="00141422">
            <w:pPr>
              <w:spacing w:line="276" w:lineRule="auto"/>
              <w:rPr>
                <w:rFonts w:ascii="Times New Roman" w:hAnsi="Times New Roman" w:cs="Times New Roman"/>
              </w:rPr>
            </w:pPr>
          </w:p>
        </w:tc>
        <w:tc>
          <w:tcPr>
            <w:tcW w:w="1044" w:type="dxa"/>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0.179*</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(0.094)</w:t>
            </w:r>
          </w:p>
          <w:p w:rsidR="00012421" w:rsidRPr="00793DEE" w:rsidRDefault="00012421" w:rsidP="00141422">
            <w:pPr>
              <w:spacing w:line="276" w:lineRule="auto"/>
              <w:rPr>
                <w:rFonts w:ascii="Times New Roman" w:hAnsi="Times New Roman" w:cs="Times New Roman"/>
              </w:rPr>
            </w:pPr>
          </w:p>
        </w:tc>
        <w:tc>
          <w:tcPr>
            <w:tcW w:w="1224" w:type="dxa"/>
          </w:tcPr>
          <w:p w:rsidR="00012421" w:rsidRPr="00793DEE" w:rsidRDefault="00012421" w:rsidP="00141422">
            <w:pPr>
              <w:spacing w:line="276" w:lineRule="auto"/>
              <w:rPr>
                <w:rFonts w:ascii="Times New Roman" w:hAnsi="Times New Roman" w:cs="Times New Roman"/>
              </w:rPr>
            </w:pPr>
          </w:p>
        </w:tc>
        <w:tc>
          <w:tcPr>
            <w:tcW w:w="1275" w:type="dxa"/>
          </w:tcPr>
          <w:p w:rsidR="00012421" w:rsidRPr="00793DEE" w:rsidRDefault="00012421" w:rsidP="00141422">
            <w:pPr>
              <w:spacing w:line="276" w:lineRule="auto"/>
              <w:rPr>
                <w:rFonts w:ascii="Times New Roman" w:hAnsi="Times New Roman" w:cs="Times New Roman"/>
              </w:rPr>
            </w:pPr>
          </w:p>
        </w:tc>
        <w:tc>
          <w:tcPr>
            <w:tcW w:w="1418" w:type="dxa"/>
          </w:tcPr>
          <w:p w:rsidR="00012421" w:rsidRPr="00793DEE" w:rsidRDefault="00012421" w:rsidP="00141422">
            <w:pPr>
              <w:spacing w:line="276" w:lineRule="auto"/>
              <w:rPr>
                <w:rFonts w:ascii="Times New Roman" w:hAnsi="Times New Roman" w:cs="Times New Roman"/>
              </w:rPr>
            </w:pPr>
          </w:p>
        </w:tc>
        <w:tc>
          <w:tcPr>
            <w:tcW w:w="1371" w:type="dxa"/>
          </w:tcPr>
          <w:p w:rsidR="00012421" w:rsidRPr="00793DEE" w:rsidRDefault="00012421" w:rsidP="00141422">
            <w:pPr>
              <w:spacing w:line="276" w:lineRule="auto"/>
              <w:rPr>
                <w:rFonts w:ascii="Times New Roman" w:hAnsi="Times New Roman" w:cs="Times New Roman"/>
              </w:rPr>
            </w:pPr>
          </w:p>
        </w:tc>
      </w:tr>
      <w:tr w:rsidR="00D64F8C" w:rsidRPr="00793DEE" w:rsidTr="009E168E">
        <w:tc>
          <w:tcPr>
            <w:tcW w:w="2694" w:type="dxa"/>
            <w:vAlign w:val="bottom"/>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Net ODA received (% of GDP) – ODA</w:t>
            </w:r>
          </w:p>
          <w:p w:rsidR="00012421" w:rsidRPr="00793DEE" w:rsidRDefault="00012421" w:rsidP="00141422">
            <w:pPr>
              <w:spacing w:line="276" w:lineRule="auto"/>
              <w:rPr>
                <w:rFonts w:ascii="Times New Roman" w:hAnsi="Times New Roman" w:cs="Times New Roman"/>
              </w:rPr>
            </w:pPr>
          </w:p>
          <w:p w:rsidR="00012421" w:rsidRPr="00793DEE" w:rsidRDefault="00012421" w:rsidP="00141422">
            <w:pPr>
              <w:spacing w:line="276" w:lineRule="auto"/>
              <w:rPr>
                <w:rFonts w:ascii="Times New Roman" w:hAnsi="Times New Roman" w:cs="Times New Roman"/>
              </w:rPr>
            </w:pPr>
          </w:p>
        </w:tc>
        <w:tc>
          <w:tcPr>
            <w:tcW w:w="1044" w:type="dxa"/>
          </w:tcPr>
          <w:p w:rsidR="00012421" w:rsidRPr="00793DEE" w:rsidRDefault="00012421" w:rsidP="00141422">
            <w:pPr>
              <w:spacing w:line="276" w:lineRule="auto"/>
              <w:rPr>
                <w:rFonts w:ascii="Times New Roman" w:hAnsi="Times New Roman" w:cs="Times New Roman"/>
              </w:rPr>
            </w:pPr>
          </w:p>
        </w:tc>
        <w:tc>
          <w:tcPr>
            <w:tcW w:w="1224" w:type="dxa"/>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0.29***</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(0.0247)</w:t>
            </w:r>
          </w:p>
        </w:tc>
        <w:tc>
          <w:tcPr>
            <w:tcW w:w="1275" w:type="dxa"/>
          </w:tcPr>
          <w:p w:rsidR="00012421" w:rsidRPr="00793DEE" w:rsidRDefault="00012421" w:rsidP="00141422">
            <w:pPr>
              <w:spacing w:line="276" w:lineRule="auto"/>
              <w:rPr>
                <w:rFonts w:ascii="Times New Roman" w:hAnsi="Times New Roman" w:cs="Times New Roman"/>
              </w:rPr>
            </w:pPr>
          </w:p>
        </w:tc>
        <w:tc>
          <w:tcPr>
            <w:tcW w:w="1418" w:type="dxa"/>
          </w:tcPr>
          <w:p w:rsidR="00012421" w:rsidRPr="00793DEE" w:rsidRDefault="00012421" w:rsidP="00141422">
            <w:pPr>
              <w:spacing w:line="276" w:lineRule="auto"/>
              <w:rPr>
                <w:rFonts w:ascii="Times New Roman" w:hAnsi="Times New Roman" w:cs="Times New Roman"/>
              </w:rPr>
            </w:pPr>
          </w:p>
        </w:tc>
        <w:tc>
          <w:tcPr>
            <w:tcW w:w="1371" w:type="dxa"/>
          </w:tcPr>
          <w:p w:rsidR="00012421" w:rsidRPr="00793DEE" w:rsidRDefault="00012421" w:rsidP="00141422">
            <w:pPr>
              <w:spacing w:line="276" w:lineRule="auto"/>
              <w:rPr>
                <w:rFonts w:ascii="Times New Roman" w:hAnsi="Times New Roman" w:cs="Times New Roman"/>
              </w:rPr>
            </w:pPr>
          </w:p>
        </w:tc>
      </w:tr>
      <w:tr w:rsidR="00D64F8C" w:rsidRPr="00793DEE" w:rsidTr="009E168E">
        <w:trPr>
          <w:trHeight w:val="603"/>
        </w:trPr>
        <w:tc>
          <w:tcPr>
            <w:tcW w:w="2694" w:type="dxa"/>
            <w:vAlign w:val="bottom"/>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Personal remittances, received (% of GDP) – REM</w:t>
            </w:r>
          </w:p>
          <w:p w:rsidR="00012421" w:rsidRPr="00793DEE" w:rsidRDefault="00012421" w:rsidP="00141422">
            <w:pPr>
              <w:spacing w:line="276" w:lineRule="auto"/>
              <w:rPr>
                <w:rFonts w:ascii="Times New Roman" w:hAnsi="Times New Roman" w:cs="Times New Roman"/>
              </w:rPr>
            </w:pPr>
          </w:p>
          <w:p w:rsidR="00012421" w:rsidRPr="00793DEE" w:rsidRDefault="00012421" w:rsidP="00141422">
            <w:pPr>
              <w:spacing w:line="276" w:lineRule="auto"/>
              <w:rPr>
                <w:rFonts w:ascii="Times New Roman" w:hAnsi="Times New Roman" w:cs="Times New Roman"/>
              </w:rPr>
            </w:pPr>
          </w:p>
        </w:tc>
        <w:tc>
          <w:tcPr>
            <w:tcW w:w="1044" w:type="dxa"/>
          </w:tcPr>
          <w:p w:rsidR="00012421" w:rsidRPr="00793DEE" w:rsidRDefault="00012421" w:rsidP="00141422">
            <w:pPr>
              <w:spacing w:line="276" w:lineRule="auto"/>
              <w:rPr>
                <w:rFonts w:ascii="Times New Roman" w:hAnsi="Times New Roman" w:cs="Times New Roman"/>
              </w:rPr>
            </w:pPr>
          </w:p>
        </w:tc>
        <w:tc>
          <w:tcPr>
            <w:tcW w:w="1224" w:type="dxa"/>
          </w:tcPr>
          <w:p w:rsidR="00012421" w:rsidRPr="00793DEE" w:rsidRDefault="00012421" w:rsidP="00141422">
            <w:pPr>
              <w:spacing w:line="276" w:lineRule="auto"/>
              <w:rPr>
                <w:rFonts w:ascii="Times New Roman" w:hAnsi="Times New Roman" w:cs="Times New Roman"/>
              </w:rPr>
            </w:pPr>
          </w:p>
        </w:tc>
        <w:tc>
          <w:tcPr>
            <w:tcW w:w="1275" w:type="dxa"/>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0.183</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(0.125)</w:t>
            </w:r>
          </w:p>
        </w:tc>
        <w:tc>
          <w:tcPr>
            <w:tcW w:w="1418" w:type="dxa"/>
          </w:tcPr>
          <w:p w:rsidR="00012421" w:rsidRPr="00793DEE" w:rsidRDefault="00012421" w:rsidP="00141422">
            <w:pPr>
              <w:spacing w:line="276" w:lineRule="auto"/>
              <w:rPr>
                <w:rFonts w:ascii="Times New Roman" w:hAnsi="Times New Roman" w:cs="Times New Roman"/>
              </w:rPr>
            </w:pPr>
          </w:p>
        </w:tc>
        <w:tc>
          <w:tcPr>
            <w:tcW w:w="1371" w:type="dxa"/>
          </w:tcPr>
          <w:p w:rsidR="00012421" w:rsidRPr="00793DEE" w:rsidRDefault="00012421" w:rsidP="00141422">
            <w:pPr>
              <w:spacing w:line="276" w:lineRule="auto"/>
              <w:rPr>
                <w:rFonts w:ascii="Times New Roman" w:hAnsi="Times New Roman" w:cs="Times New Roman"/>
              </w:rPr>
            </w:pPr>
          </w:p>
        </w:tc>
      </w:tr>
      <w:tr w:rsidR="00D64F8C" w:rsidRPr="00793DEE" w:rsidTr="009E168E">
        <w:tc>
          <w:tcPr>
            <w:tcW w:w="2694" w:type="dxa"/>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Total inflows (sum of FDI, ODA and REM) as a percentage of GDP – Tinflows</w:t>
            </w:r>
          </w:p>
          <w:p w:rsidR="00012421" w:rsidRPr="00793DEE" w:rsidRDefault="00012421" w:rsidP="00141422">
            <w:pPr>
              <w:spacing w:line="276" w:lineRule="auto"/>
              <w:rPr>
                <w:rFonts w:ascii="Times New Roman" w:hAnsi="Times New Roman" w:cs="Times New Roman"/>
              </w:rPr>
            </w:pPr>
          </w:p>
        </w:tc>
        <w:tc>
          <w:tcPr>
            <w:tcW w:w="1044" w:type="dxa"/>
          </w:tcPr>
          <w:p w:rsidR="00012421" w:rsidRPr="00793DEE" w:rsidRDefault="00012421" w:rsidP="00141422">
            <w:pPr>
              <w:pStyle w:val="Abstracttext"/>
              <w:spacing w:line="276" w:lineRule="auto"/>
              <w:rPr>
                <w:color w:val="auto"/>
                <w:sz w:val="22"/>
                <w:szCs w:val="22"/>
              </w:rPr>
            </w:pPr>
          </w:p>
        </w:tc>
        <w:tc>
          <w:tcPr>
            <w:tcW w:w="1224" w:type="dxa"/>
          </w:tcPr>
          <w:p w:rsidR="00012421" w:rsidRPr="00793DEE" w:rsidRDefault="00012421" w:rsidP="00141422">
            <w:pPr>
              <w:spacing w:line="276" w:lineRule="auto"/>
              <w:rPr>
                <w:rFonts w:ascii="Times New Roman" w:hAnsi="Times New Roman" w:cs="Times New Roman"/>
              </w:rPr>
            </w:pPr>
          </w:p>
        </w:tc>
        <w:tc>
          <w:tcPr>
            <w:tcW w:w="1275" w:type="dxa"/>
          </w:tcPr>
          <w:p w:rsidR="00012421" w:rsidRPr="00793DEE" w:rsidRDefault="00012421" w:rsidP="00141422">
            <w:pPr>
              <w:spacing w:line="276" w:lineRule="auto"/>
              <w:rPr>
                <w:rFonts w:ascii="Times New Roman" w:hAnsi="Times New Roman" w:cs="Times New Roman"/>
              </w:rPr>
            </w:pPr>
          </w:p>
        </w:tc>
        <w:tc>
          <w:tcPr>
            <w:tcW w:w="1418" w:type="dxa"/>
          </w:tcPr>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0.26***</w:t>
            </w:r>
          </w:p>
          <w:p w:rsidR="00012421" w:rsidRPr="00793DEE" w:rsidRDefault="00012421" w:rsidP="00141422">
            <w:pPr>
              <w:spacing w:line="276" w:lineRule="auto"/>
              <w:rPr>
                <w:rFonts w:ascii="Times New Roman" w:hAnsi="Times New Roman" w:cs="Times New Roman"/>
              </w:rPr>
            </w:pPr>
            <w:r w:rsidRPr="00793DEE">
              <w:rPr>
                <w:rFonts w:ascii="Times New Roman" w:hAnsi="Times New Roman" w:cs="Times New Roman"/>
              </w:rPr>
              <w:t>(0.043)</w:t>
            </w:r>
          </w:p>
        </w:tc>
        <w:tc>
          <w:tcPr>
            <w:tcW w:w="1371" w:type="dxa"/>
          </w:tcPr>
          <w:p w:rsidR="00012421" w:rsidRPr="00793DEE" w:rsidRDefault="00012421"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REM*PSC</w:t>
            </w:r>
          </w:p>
        </w:tc>
        <w:tc>
          <w:tcPr>
            <w:tcW w:w="1044" w:type="dxa"/>
          </w:tcPr>
          <w:p w:rsidR="004C1714" w:rsidRPr="00793DEE" w:rsidRDefault="004C1714" w:rsidP="00141422">
            <w:pPr>
              <w:spacing w:line="276" w:lineRule="auto"/>
              <w:rPr>
                <w:rFonts w:ascii="Times New Roman" w:hAnsi="Times New Roman" w:cs="Times New Roman"/>
              </w:rPr>
            </w:pPr>
          </w:p>
        </w:tc>
        <w:tc>
          <w:tcPr>
            <w:tcW w:w="1224" w:type="dxa"/>
          </w:tcPr>
          <w:p w:rsidR="004C1714" w:rsidRPr="00793DEE" w:rsidRDefault="004C1714" w:rsidP="00141422">
            <w:pPr>
              <w:spacing w:line="276" w:lineRule="auto"/>
              <w:rPr>
                <w:rFonts w:ascii="Times New Roman" w:hAnsi="Times New Roman" w:cs="Times New Roman"/>
              </w:rPr>
            </w:pPr>
          </w:p>
        </w:tc>
        <w:tc>
          <w:tcPr>
            <w:tcW w:w="1275" w:type="dxa"/>
          </w:tcPr>
          <w:p w:rsidR="004C1714" w:rsidRPr="00793DEE" w:rsidRDefault="004C1714" w:rsidP="00141422">
            <w:pPr>
              <w:spacing w:line="276" w:lineRule="auto"/>
              <w:rPr>
                <w:rFonts w:ascii="Times New Roman" w:hAnsi="Times New Roman" w:cs="Times New Roman"/>
              </w:rPr>
            </w:pPr>
          </w:p>
        </w:tc>
        <w:tc>
          <w:tcPr>
            <w:tcW w:w="1418" w:type="dxa"/>
          </w:tcPr>
          <w:p w:rsidR="004C1714" w:rsidRPr="00793DEE" w:rsidRDefault="004C1714" w:rsidP="00141422">
            <w:pPr>
              <w:spacing w:line="276" w:lineRule="auto"/>
              <w:rPr>
                <w:rFonts w:ascii="Times New Roman" w:hAnsi="Times New Roman" w:cs="Times New Roman"/>
              </w:rPr>
            </w:pPr>
          </w:p>
        </w:tc>
        <w:tc>
          <w:tcPr>
            <w:tcW w:w="1371"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0.074***</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(0.027)</w:t>
            </w:r>
          </w:p>
          <w:p w:rsidR="00F133FC" w:rsidRPr="00793DEE" w:rsidRDefault="00F133FC"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Domestic credit to private sector (% of GDP) – PSC</w:t>
            </w:r>
          </w:p>
        </w:tc>
        <w:tc>
          <w:tcPr>
            <w:tcW w:w="104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0.23***</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(0.057)</w:t>
            </w:r>
          </w:p>
        </w:tc>
        <w:tc>
          <w:tcPr>
            <w:tcW w:w="122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0.277***</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(0.048)</w:t>
            </w:r>
          </w:p>
        </w:tc>
        <w:tc>
          <w:tcPr>
            <w:tcW w:w="1275"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0.278***</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(0.146)</w:t>
            </w:r>
          </w:p>
        </w:tc>
        <w:tc>
          <w:tcPr>
            <w:tcW w:w="1418"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0.268***</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(0.036)</w:t>
            </w:r>
          </w:p>
        </w:tc>
        <w:tc>
          <w:tcPr>
            <w:tcW w:w="1371"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0.254***</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(0.083)</w:t>
            </w:r>
          </w:p>
          <w:p w:rsidR="004B0868" w:rsidRPr="00793DEE" w:rsidRDefault="004B0868"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lastRenderedPageBreak/>
              <w:t>Gross Fixed Capital Formation (% of GDP) – GFKF</w:t>
            </w:r>
          </w:p>
        </w:tc>
        <w:tc>
          <w:tcPr>
            <w:tcW w:w="1044" w:type="dxa"/>
            <w:vAlign w:val="bottom"/>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0.278***</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(0.016)</w:t>
            </w:r>
          </w:p>
          <w:p w:rsidR="009E168E" w:rsidRPr="00793DEE" w:rsidRDefault="009E168E" w:rsidP="00141422">
            <w:pPr>
              <w:spacing w:line="276" w:lineRule="auto"/>
              <w:rPr>
                <w:rFonts w:ascii="Times New Roman" w:hAnsi="Times New Roman" w:cs="Times New Roman"/>
              </w:rPr>
            </w:pPr>
          </w:p>
          <w:p w:rsidR="004C1714" w:rsidRPr="00793DEE" w:rsidRDefault="004C1714" w:rsidP="00141422">
            <w:pPr>
              <w:spacing w:line="276" w:lineRule="auto"/>
              <w:rPr>
                <w:rFonts w:ascii="Times New Roman" w:hAnsi="Times New Roman" w:cs="Times New Roman"/>
              </w:rPr>
            </w:pPr>
          </w:p>
        </w:tc>
        <w:tc>
          <w:tcPr>
            <w:tcW w:w="122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0.253***</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(0.041)</w:t>
            </w:r>
          </w:p>
        </w:tc>
        <w:tc>
          <w:tcPr>
            <w:tcW w:w="1275"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0.265***</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(0.039)</w:t>
            </w:r>
          </w:p>
        </w:tc>
        <w:tc>
          <w:tcPr>
            <w:tcW w:w="1418"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0.276***</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(0.092)</w:t>
            </w:r>
          </w:p>
        </w:tc>
        <w:tc>
          <w:tcPr>
            <w:tcW w:w="1371"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0.183***</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(0.045)</w:t>
            </w:r>
          </w:p>
          <w:p w:rsidR="009E168E" w:rsidRPr="00793DEE" w:rsidRDefault="009E168E" w:rsidP="00141422">
            <w:pPr>
              <w:spacing w:line="276" w:lineRule="auto"/>
              <w:rPr>
                <w:rFonts w:ascii="Times New Roman" w:hAnsi="Times New Roman" w:cs="Times New Roman"/>
              </w:rPr>
            </w:pPr>
          </w:p>
          <w:p w:rsidR="009E168E" w:rsidRPr="00793DEE" w:rsidRDefault="009E168E"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REER</w:t>
            </w:r>
          </w:p>
        </w:tc>
        <w:tc>
          <w:tcPr>
            <w:tcW w:w="1044" w:type="dxa"/>
          </w:tcPr>
          <w:p w:rsidR="004C1714" w:rsidRPr="00793DEE" w:rsidRDefault="00D0572C" w:rsidP="00141422">
            <w:pPr>
              <w:spacing w:line="276" w:lineRule="auto"/>
              <w:rPr>
                <w:rFonts w:ascii="Times New Roman" w:hAnsi="Times New Roman" w:cs="Times New Roman"/>
              </w:rPr>
            </w:pPr>
            <w:r w:rsidRPr="00793DEE">
              <w:rPr>
                <w:rFonts w:ascii="Times New Roman" w:hAnsi="Times New Roman" w:cs="Times New Roman"/>
              </w:rPr>
              <w:t>-</w:t>
            </w:r>
            <w:r w:rsidR="009E734F" w:rsidRPr="00793DEE">
              <w:rPr>
                <w:rFonts w:ascii="Times New Roman" w:hAnsi="Times New Roman" w:cs="Times New Roman"/>
              </w:rPr>
              <w:t>0.</w:t>
            </w:r>
            <w:r w:rsidR="00380D9E" w:rsidRPr="00793DEE">
              <w:rPr>
                <w:rFonts w:ascii="Times New Roman" w:hAnsi="Times New Roman" w:cs="Times New Roman"/>
              </w:rPr>
              <w:t>005*</w:t>
            </w:r>
          </w:p>
          <w:p w:rsidR="009E734F" w:rsidRPr="00793DEE" w:rsidRDefault="009E734F" w:rsidP="00141422">
            <w:pPr>
              <w:spacing w:line="276" w:lineRule="auto"/>
              <w:rPr>
                <w:rFonts w:ascii="Times New Roman" w:hAnsi="Times New Roman" w:cs="Times New Roman"/>
              </w:rPr>
            </w:pPr>
            <w:r w:rsidRPr="00793DEE">
              <w:rPr>
                <w:rFonts w:ascii="Times New Roman" w:hAnsi="Times New Roman" w:cs="Times New Roman"/>
              </w:rPr>
              <w:t>(0.0</w:t>
            </w:r>
            <w:r w:rsidR="00380D9E" w:rsidRPr="00793DEE">
              <w:rPr>
                <w:rFonts w:ascii="Times New Roman" w:hAnsi="Times New Roman" w:cs="Times New Roman"/>
              </w:rPr>
              <w:t>03</w:t>
            </w:r>
            <w:r w:rsidRPr="00793DEE">
              <w:rPr>
                <w:rFonts w:ascii="Times New Roman" w:hAnsi="Times New Roman" w:cs="Times New Roman"/>
              </w:rPr>
              <w:t>)</w:t>
            </w:r>
          </w:p>
        </w:tc>
        <w:tc>
          <w:tcPr>
            <w:tcW w:w="1224" w:type="dxa"/>
          </w:tcPr>
          <w:p w:rsidR="004C1714" w:rsidRPr="00793DEE" w:rsidRDefault="00D0572C" w:rsidP="00141422">
            <w:pPr>
              <w:spacing w:line="276" w:lineRule="auto"/>
              <w:rPr>
                <w:rFonts w:ascii="Times New Roman" w:hAnsi="Times New Roman" w:cs="Times New Roman"/>
              </w:rPr>
            </w:pPr>
            <w:r w:rsidRPr="00793DEE">
              <w:rPr>
                <w:rFonts w:ascii="Times New Roman" w:hAnsi="Times New Roman" w:cs="Times New Roman"/>
              </w:rPr>
              <w:t>-</w:t>
            </w:r>
            <w:r w:rsidR="009E734F" w:rsidRPr="00793DEE">
              <w:rPr>
                <w:rFonts w:ascii="Times New Roman" w:hAnsi="Times New Roman" w:cs="Times New Roman"/>
              </w:rPr>
              <w:t>0.0</w:t>
            </w:r>
            <w:r w:rsidR="00380D9E" w:rsidRPr="00793DEE">
              <w:rPr>
                <w:rFonts w:ascii="Times New Roman" w:hAnsi="Times New Roman" w:cs="Times New Roman"/>
              </w:rPr>
              <w:t>02**</w:t>
            </w:r>
          </w:p>
          <w:p w:rsidR="009E734F" w:rsidRPr="00793DEE" w:rsidRDefault="009E734F" w:rsidP="00141422">
            <w:pPr>
              <w:spacing w:line="276" w:lineRule="auto"/>
              <w:rPr>
                <w:rFonts w:ascii="Times New Roman" w:hAnsi="Times New Roman" w:cs="Times New Roman"/>
              </w:rPr>
            </w:pPr>
            <w:r w:rsidRPr="00793DEE">
              <w:rPr>
                <w:rFonts w:ascii="Times New Roman" w:hAnsi="Times New Roman" w:cs="Times New Roman"/>
              </w:rPr>
              <w:t>(0.0</w:t>
            </w:r>
            <w:r w:rsidR="00380D9E" w:rsidRPr="00793DEE">
              <w:rPr>
                <w:rFonts w:ascii="Times New Roman" w:hAnsi="Times New Roman" w:cs="Times New Roman"/>
              </w:rPr>
              <w:t>04</w:t>
            </w:r>
            <w:r w:rsidRPr="00793DEE">
              <w:rPr>
                <w:rFonts w:ascii="Times New Roman" w:hAnsi="Times New Roman" w:cs="Times New Roman"/>
              </w:rPr>
              <w:t>)</w:t>
            </w:r>
          </w:p>
        </w:tc>
        <w:tc>
          <w:tcPr>
            <w:tcW w:w="1275" w:type="dxa"/>
          </w:tcPr>
          <w:p w:rsidR="004C1714" w:rsidRPr="00793DEE" w:rsidRDefault="00D0572C" w:rsidP="00141422">
            <w:pPr>
              <w:spacing w:line="276" w:lineRule="auto"/>
              <w:rPr>
                <w:rFonts w:ascii="Times New Roman" w:hAnsi="Times New Roman" w:cs="Times New Roman"/>
              </w:rPr>
            </w:pPr>
            <w:r w:rsidRPr="00793DEE">
              <w:rPr>
                <w:rFonts w:ascii="Times New Roman" w:hAnsi="Times New Roman" w:cs="Times New Roman"/>
              </w:rPr>
              <w:t>-</w:t>
            </w:r>
            <w:r w:rsidR="009E734F" w:rsidRPr="00793DEE">
              <w:rPr>
                <w:rFonts w:ascii="Times New Roman" w:hAnsi="Times New Roman" w:cs="Times New Roman"/>
              </w:rPr>
              <w:t>0.0</w:t>
            </w:r>
            <w:r w:rsidR="00380D9E" w:rsidRPr="00793DEE">
              <w:rPr>
                <w:rFonts w:ascii="Times New Roman" w:hAnsi="Times New Roman" w:cs="Times New Roman"/>
              </w:rPr>
              <w:t>0</w:t>
            </w:r>
            <w:r w:rsidR="009E734F" w:rsidRPr="00793DEE">
              <w:rPr>
                <w:rFonts w:ascii="Times New Roman" w:hAnsi="Times New Roman" w:cs="Times New Roman"/>
              </w:rPr>
              <w:t>2</w:t>
            </w:r>
            <w:r w:rsidR="00380D9E" w:rsidRPr="00793DEE">
              <w:rPr>
                <w:rFonts w:ascii="Times New Roman" w:hAnsi="Times New Roman" w:cs="Times New Roman"/>
              </w:rPr>
              <w:t>***</w:t>
            </w:r>
          </w:p>
          <w:p w:rsidR="009E734F" w:rsidRPr="00793DEE" w:rsidRDefault="009E734F" w:rsidP="00141422">
            <w:pPr>
              <w:spacing w:line="276" w:lineRule="auto"/>
              <w:rPr>
                <w:rFonts w:ascii="Times New Roman" w:hAnsi="Times New Roman" w:cs="Times New Roman"/>
              </w:rPr>
            </w:pPr>
            <w:r w:rsidRPr="00793DEE">
              <w:rPr>
                <w:rFonts w:ascii="Times New Roman" w:hAnsi="Times New Roman" w:cs="Times New Roman"/>
              </w:rPr>
              <w:t>(0.0</w:t>
            </w:r>
            <w:r w:rsidR="00380D9E" w:rsidRPr="00793DEE">
              <w:rPr>
                <w:rFonts w:ascii="Times New Roman" w:hAnsi="Times New Roman" w:cs="Times New Roman"/>
              </w:rPr>
              <w:t>06</w:t>
            </w:r>
            <w:r w:rsidRPr="00793DEE">
              <w:rPr>
                <w:rFonts w:ascii="Times New Roman" w:hAnsi="Times New Roman" w:cs="Times New Roman"/>
              </w:rPr>
              <w:t>)</w:t>
            </w:r>
          </w:p>
        </w:tc>
        <w:tc>
          <w:tcPr>
            <w:tcW w:w="1418" w:type="dxa"/>
          </w:tcPr>
          <w:p w:rsidR="004C1714" w:rsidRPr="00793DEE" w:rsidRDefault="00D0572C" w:rsidP="00141422">
            <w:pPr>
              <w:spacing w:line="276" w:lineRule="auto"/>
              <w:rPr>
                <w:rFonts w:ascii="Times New Roman" w:hAnsi="Times New Roman" w:cs="Times New Roman"/>
              </w:rPr>
            </w:pPr>
            <w:r w:rsidRPr="00793DEE">
              <w:rPr>
                <w:rFonts w:ascii="Times New Roman" w:hAnsi="Times New Roman" w:cs="Times New Roman"/>
              </w:rPr>
              <w:t>-</w:t>
            </w:r>
            <w:r w:rsidR="009E734F" w:rsidRPr="00793DEE">
              <w:rPr>
                <w:rFonts w:ascii="Times New Roman" w:hAnsi="Times New Roman" w:cs="Times New Roman"/>
              </w:rPr>
              <w:t>0.0</w:t>
            </w:r>
            <w:r w:rsidR="001B562D" w:rsidRPr="00793DEE">
              <w:rPr>
                <w:rFonts w:ascii="Times New Roman" w:hAnsi="Times New Roman" w:cs="Times New Roman"/>
              </w:rPr>
              <w:t>09**</w:t>
            </w:r>
          </w:p>
          <w:p w:rsidR="009E734F" w:rsidRPr="00793DEE" w:rsidRDefault="009E734F" w:rsidP="00141422">
            <w:pPr>
              <w:spacing w:line="276" w:lineRule="auto"/>
              <w:rPr>
                <w:rFonts w:ascii="Times New Roman" w:hAnsi="Times New Roman" w:cs="Times New Roman"/>
              </w:rPr>
            </w:pPr>
            <w:r w:rsidRPr="00793DEE">
              <w:rPr>
                <w:rFonts w:ascii="Times New Roman" w:hAnsi="Times New Roman" w:cs="Times New Roman"/>
              </w:rPr>
              <w:t>(0.0</w:t>
            </w:r>
            <w:r w:rsidR="001B562D" w:rsidRPr="00793DEE">
              <w:rPr>
                <w:rFonts w:ascii="Times New Roman" w:hAnsi="Times New Roman" w:cs="Times New Roman"/>
              </w:rPr>
              <w:t>02</w:t>
            </w:r>
            <w:r w:rsidRPr="00793DEE">
              <w:rPr>
                <w:rFonts w:ascii="Times New Roman" w:hAnsi="Times New Roman" w:cs="Times New Roman"/>
              </w:rPr>
              <w:t>)</w:t>
            </w:r>
          </w:p>
        </w:tc>
        <w:tc>
          <w:tcPr>
            <w:tcW w:w="1371" w:type="dxa"/>
          </w:tcPr>
          <w:p w:rsidR="004C1714" w:rsidRPr="00793DEE" w:rsidRDefault="00D0572C" w:rsidP="00141422">
            <w:pPr>
              <w:spacing w:line="276" w:lineRule="auto"/>
              <w:rPr>
                <w:rFonts w:ascii="Times New Roman" w:hAnsi="Times New Roman" w:cs="Times New Roman"/>
              </w:rPr>
            </w:pPr>
            <w:r w:rsidRPr="00793DEE">
              <w:rPr>
                <w:rFonts w:ascii="Times New Roman" w:hAnsi="Times New Roman" w:cs="Times New Roman"/>
              </w:rPr>
              <w:t>-</w:t>
            </w:r>
            <w:r w:rsidR="004C1714" w:rsidRPr="00793DEE">
              <w:rPr>
                <w:rFonts w:ascii="Times New Roman" w:hAnsi="Times New Roman" w:cs="Times New Roman"/>
              </w:rPr>
              <w:t>0.092***</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(0.018)</w:t>
            </w:r>
          </w:p>
          <w:p w:rsidR="004B0868" w:rsidRPr="00793DEE" w:rsidRDefault="004B0868"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Population Growth (annual % change)</w:t>
            </w:r>
            <w:r w:rsidR="001B562D" w:rsidRPr="00793DEE">
              <w:rPr>
                <w:rFonts w:ascii="Times New Roman" w:hAnsi="Times New Roman" w:cs="Times New Roman"/>
              </w:rPr>
              <w:t xml:space="preserve"> - POP</w:t>
            </w:r>
          </w:p>
        </w:tc>
        <w:tc>
          <w:tcPr>
            <w:tcW w:w="104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0.98***</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(0.338)</w:t>
            </w:r>
          </w:p>
        </w:tc>
        <w:tc>
          <w:tcPr>
            <w:tcW w:w="122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0.90***</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(0.293)</w:t>
            </w:r>
          </w:p>
        </w:tc>
        <w:tc>
          <w:tcPr>
            <w:tcW w:w="1275"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0.968***</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(0.31)</w:t>
            </w:r>
          </w:p>
        </w:tc>
        <w:tc>
          <w:tcPr>
            <w:tcW w:w="1418"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0.914***</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(0.297)</w:t>
            </w:r>
          </w:p>
        </w:tc>
        <w:tc>
          <w:tcPr>
            <w:tcW w:w="1371" w:type="dxa"/>
          </w:tcPr>
          <w:p w:rsidR="004C1714" w:rsidRPr="00793DEE" w:rsidRDefault="00834AAE" w:rsidP="00141422">
            <w:pPr>
              <w:spacing w:line="276" w:lineRule="auto"/>
              <w:rPr>
                <w:rFonts w:ascii="Times New Roman" w:hAnsi="Times New Roman" w:cs="Times New Roman"/>
              </w:rPr>
            </w:pPr>
            <w:r w:rsidRPr="00793DEE">
              <w:rPr>
                <w:rFonts w:ascii="Times New Roman" w:hAnsi="Times New Roman" w:cs="Times New Roman"/>
              </w:rPr>
              <w:t>0.932***</w:t>
            </w:r>
          </w:p>
          <w:p w:rsidR="00834AAE" w:rsidRPr="00793DEE" w:rsidRDefault="00834AAE" w:rsidP="00141422">
            <w:pPr>
              <w:spacing w:line="276" w:lineRule="auto"/>
              <w:rPr>
                <w:rFonts w:ascii="Times New Roman" w:hAnsi="Times New Roman" w:cs="Times New Roman"/>
              </w:rPr>
            </w:pPr>
            <w:r w:rsidRPr="00793DEE">
              <w:rPr>
                <w:rFonts w:ascii="Times New Roman" w:hAnsi="Times New Roman" w:cs="Times New Roman"/>
              </w:rPr>
              <w:t>(0.016)</w:t>
            </w:r>
          </w:p>
          <w:p w:rsidR="004B0868" w:rsidRPr="00793DEE" w:rsidRDefault="004B0868" w:rsidP="00141422">
            <w:pPr>
              <w:spacing w:line="276" w:lineRule="auto"/>
              <w:rPr>
                <w:rFonts w:ascii="Times New Roman" w:hAnsi="Times New Roman" w:cs="Times New Roman"/>
              </w:rPr>
            </w:pPr>
          </w:p>
        </w:tc>
      </w:tr>
      <w:tr w:rsidR="00D64F8C" w:rsidRPr="00793DEE" w:rsidTr="009E168E">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Inflation, GDP deflator (annual %) – INF</w:t>
            </w:r>
          </w:p>
          <w:p w:rsidR="004C1714" w:rsidRPr="00793DEE" w:rsidRDefault="004C1714" w:rsidP="00141422">
            <w:pPr>
              <w:spacing w:line="276" w:lineRule="auto"/>
              <w:rPr>
                <w:rFonts w:ascii="Times New Roman" w:hAnsi="Times New Roman" w:cs="Times New Roman"/>
              </w:rPr>
            </w:pPr>
          </w:p>
        </w:tc>
        <w:tc>
          <w:tcPr>
            <w:tcW w:w="104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-0.007**</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(0.004)</w:t>
            </w:r>
          </w:p>
        </w:tc>
        <w:tc>
          <w:tcPr>
            <w:tcW w:w="122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-0.002***</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(0.000</w:t>
            </w:r>
            <w:r w:rsidR="000E6825" w:rsidRPr="00793DEE">
              <w:rPr>
                <w:rFonts w:ascii="Times New Roman" w:hAnsi="Times New Roman" w:cs="Times New Roman"/>
              </w:rPr>
              <w:t>4</w:t>
            </w:r>
            <w:r w:rsidRPr="00793DEE">
              <w:rPr>
                <w:rFonts w:ascii="Times New Roman" w:hAnsi="Times New Roman" w:cs="Times New Roman"/>
              </w:rPr>
              <w:t>)</w:t>
            </w:r>
          </w:p>
        </w:tc>
        <w:tc>
          <w:tcPr>
            <w:tcW w:w="1275"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-0.002**</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(0.001)</w:t>
            </w:r>
          </w:p>
        </w:tc>
        <w:tc>
          <w:tcPr>
            <w:tcW w:w="1418"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-0.002**</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(0.001)</w:t>
            </w:r>
          </w:p>
        </w:tc>
        <w:tc>
          <w:tcPr>
            <w:tcW w:w="1371" w:type="dxa"/>
          </w:tcPr>
          <w:p w:rsidR="004C1714" w:rsidRPr="00793DEE" w:rsidRDefault="000E6825" w:rsidP="00141422">
            <w:pPr>
              <w:spacing w:line="276" w:lineRule="auto"/>
              <w:rPr>
                <w:rFonts w:ascii="Times New Roman" w:hAnsi="Times New Roman" w:cs="Times New Roman"/>
              </w:rPr>
            </w:pPr>
            <w:r w:rsidRPr="00793DEE">
              <w:rPr>
                <w:rFonts w:ascii="Times New Roman" w:hAnsi="Times New Roman" w:cs="Times New Roman"/>
              </w:rPr>
              <w:t>-0.0008***</w:t>
            </w:r>
          </w:p>
          <w:p w:rsidR="000E6825" w:rsidRPr="00793DEE" w:rsidRDefault="000E6825" w:rsidP="00141422">
            <w:pPr>
              <w:spacing w:line="276" w:lineRule="auto"/>
              <w:rPr>
                <w:rFonts w:ascii="Times New Roman" w:hAnsi="Times New Roman" w:cs="Times New Roman"/>
              </w:rPr>
            </w:pPr>
            <w:r w:rsidRPr="00793DEE">
              <w:rPr>
                <w:rFonts w:ascii="Times New Roman" w:hAnsi="Times New Roman" w:cs="Times New Roman"/>
              </w:rPr>
              <w:t>(0.00003)</w:t>
            </w:r>
          </w:p>
        </w:tc>
      </w:tr>
      <w:tr w:rsidR="00D64F8C" w:rsidRPr="00793DEE" w:rsidTr="00AC3BC9">
        <w:tc>
          <w:tcPr>
            <w:tcW w:w="2694" w:type="dxa"/>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General government final consumption expenditure (% of GDP) - GCON</w:t>
            </w:r>
            <w:r w:rsidRPr="00793DEE">
              <w:rPr>
                <w:rFonts w:ascii="Times New Roman" w:hAnsi="Times New Roman" w:cs="Times New Roman"/>
              </w:rPr>
              <w:tab/>
            </w:r>
          </w:p>
          <w:p w:rsidR="004C1714" w:rsidRPr="00793DEE" w:rsidRDefault="004C1714" w:rsidP="00141422">
            <w:pPr>
              <w:spacing w:line="276" w:lineRule="auto"/>
              <w:rPr>
                <w:rFonts w:ascii="Times New Roman" w:hAnsi="Times New Roman" w:cs="Times New Roman"/>
              </w:rPr>
            </w:pPr>
          </w:p>
        </w:tc>
        <w:tc>
          <w:tcPr>
            <w:tcW w:w="1044" w:type="dxa"/>
          </w:tcPr>
          <w:p w:rsidR="004C1714"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0.018***</w:t>
            </w:r>
          </w:p>
          <w:p w:rsidR="00F74068"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(0.007)</w:t>
            </w:r>
          </w:p>
        </w:tc>
        <w:tc>
          <w:tcPr>
            <w:tcW w:w="1224" w:type="dxa"/>
          </w:tcPr>
          <w:p w:rsidR="004C1714"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0.018***</w:t>
            </w:r>
          </w:p>
          <w:p w:rsidR="00F74068"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(0.007)</w:t>
            </w:r>
          </w:p>
        </w:tc>
        <w:tc>
          <w:tcPr>
            <w:tcW w:w="1275" w:type="dxa"/>
          </w:tcPr>
          <w:p w:rsidR="004C1714"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0.013</w:t>
            </w:r>
          </w:p>
          <w:p w:rsidR="00F74068"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(0.009)</w:t>
            </w:r>
          </w:p>
        </w:tc>
        <w:tc>
          <w:tcPr>
            <w:tcW w:w="1418" w:type="dxa"/>
          </w:tcPr>
          <w:p w:rsidR="004C1714"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0.081***</w:t>
            </w:r>
          </w:p>
          <w:p w:rsidR="00F74068" w:rsidRPr="00793DEE" w:rsidRDefault="00F74068" w:rsidP="00141422">
            <w:pPr>
              <w:spacing w:line="276" w:lineRule="auto"/>
              <w:rPr>
                <w:rFonts w:ascii="Times New Roman" w:hAnsi="Times New Roman" w:cs="Times New Roman"/>
              </w:rPr>
            </w:pPr>
            <w:r w:rsidRPr="00793DEE">
              <w:rPr>
                <w:rFonts w:ascii="Times New Roman" w:hAnsi="Times New Roman" w:cs="Times New Roman"/>
              </w:rPr>
              <w:t>(0.026)</w:t>
            </w:r>
          </w:p>
        </w:tc>
        <w:tc>
          <w:tcPr>
            <w:tcW w:w="1371" w:type="dxa"/>
          </w:tcPr>
          <w:p w:rsidR="009212EF"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0.088*</w:t>
            </w:r>
          </w:p>
          <w:p w:rsidR="00F74068"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(0.05)</w:t>
            </w:r>
          </w:p>
        </w:tc>
      </w:tr>
      <w:tr w:rsidR="00D64F8C" w:rsidRPr="00793DEE" w:rsidTr="00AC3BC9">
        <w:tc>
          <w:tcPr>
            <w:tcW w:w="2694" w:type="dxa"/>
            <w:tcBorders>
              <w:bottom w:val="single" w:sz="4" w:space="0" w:color="auto"/>
            </w:tcBorders>
          </w:tcPr>
          <w:p w:rsidR="004C1714" w:rsidRPr="00793DEE" w:rsidRDefault="001B562D" w:rsidP="00141422">
            <w:pPr>
              <w:spacing w:line="276" w:lineRule="auto"/>
              <w:rPr>
                <w:rFonts w:ascii="Times New Roman" w:hAnsi="Times New Roman" w:cs="Times New Roman"/>
              </w:rPr>
            </w:pPr>
            <w:r w:rsidRPr="00793DEE">
              <w:rPr>
                <w:rFonts w:ascii="Times New Roman" w:hAnsi="Times New Roman" w:cs="Times New Roman"/>
              </w:rPr>
              <w:t>OPEN %GDP</w:t>
            </w:r>
          </w:p>
        </w:tc>
        <w:tc>
          <w:tcPr>
            <w:tcW w:w="1044" w:type="dxa"/>
            <w:tcBorders>
              <w:bottom w:val="single" w:sz="4" w:space="0" w:color="auto"/>
            </w:tcBorders>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0.053**</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(0.027)</w:t>
            </w:r>
          </w:p>
        </w:tc>
        <w:tc>
          <w:tcPr>
            <w:tcW w:w="1224" w:type="dxa"/>
            <w:tcBorders>
              <w:bottom w:val="single" w:sz="4" w:space="0" w:color="auto"/>
            </w:tcBorders>
          </w:tcPr>
          <w:p w:rsidR="004C1714"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0.059</w:t>
            </w:r>
          </w:p>
          <w:p w:rsidR="009212EF"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(0.075)</w:t>
            </w:r>
          </w:p>
        </w:tc>
        <w:tc>
          <w:tcPr>
            <w:tcW w:w="1275" w:type="dxa"/>
            <w:tcBorders>
              <w:bottom w:val="single" w:sz="4" w:space="0" w:color="auto"/>
            </w:tcBorders>
          </w:tcPr>
          <w:p w:rsidR="009212EF"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0.002*</w:t>
            </w:r>
          </w:p>
          <w:p w:rsidR="004C1714"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(0.001)</w:t>
            </w:r>
          </w:p>
        </w:tc>
        <w:tc>
          <w:tcPr>
            <w:tcW w:w="1418" w:type="dxa"/>
            <w:tcBorders>
              <w:bottom w:val="single" w:sz="4" w:space="0" w:color="auto"/>
            </w:tcBorders>
          </w:tcPr>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0.06**</w:t>
            </w:r>
          </w:p>
          <w:p w:rsidR="004C1714" w:rsidRPr="00793DEE" w:rsidRDefault="004C1714" w:rsidP="00141422">
            <w:pPr>
              <w:spacing w:line="276" w:lineRule="auto"/>
              <w:rPr>
                <w:rFonts w:ascii="Times New Roman" w:hAnsi="Times New Roman" w:cs="Times New Roman"/>
              </w:rPr>
            </w:pPr>
            <w:r w:rsidRPr="00793DEE">
              <w:rPr>
                <w:rFonts w:ascii="Times New Roman" w:hAnsi="Times New Roman" w:cs="Times New Roman"/>
              </w:rPr>
              <w:t>(0.029)</w:t>
            </w:r>
          </w:p>
        </w:tc>
        <w:tc>
          <w:tcPr>
            <w:tcW w:w="1371" w:type="dxa"/>
            <w:tcBorders>
              <w:bottom w:val="single" w:sz="4" w:space="0" w:color="auto"/>
            </w:tcBorders>
          </w:tcPr>
          <w:p w:rsidR="009212EF"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0.051***</w:t>
            </w:r>
          </w:p>
          <w:p w:rsidR="004C1714" w:rsidRPr="00793DEE" w:rsidRDefault="009212EF" w:rsidP="00141422">
            <w:pPr>
              <w:spacing w:line="276" w:lineRule="auto"/>
              <w:rPr>
                <w:rFonts w:ascii="Times New Roman" w:hAnsi="Times New Roman" w:cs="Times New Roman"/>
              </w:rPr>
            </w:pPr>
            <w:r w:rsidRPr="00793DEE">
              <w:rPr>
                <w:rFonts w:ascii="Times New Roman" w:hAnsi="Times New Roman" w:cs="Times New Roman"/>
              </w:rPr>
              <w:t>(0.012)</w:t>
            </w:r>
          </w:p>
        </w:tc>
      </w:tr>
      <w:tr w:rsidR="00D64F8C" w:rsidRPr="00793DEE" w:rsidTr="00AC3BC9">
        <w:tc>
          <w:tcPr>
            <w:tcW w:w="9026" w:type="dxa"/>
            <w:gridSpan w:val="6"/>
            <w:tcBorders>
              <w:top w:val="single" w:sz="4" w:space="0" w:color="auto"/>
            </w:tcBorders>
          </w:tcPr>
          <w:p w:rsidR="000E6825" w:rsidRPr="00793DEE" w:rsidRDefault="000E6825" w:rsidP="00141422">
            <w:pPr>
              <w:spacing w:line="276" w:lineRule="auto"/>
              <w:rPr>
                <w:rFonts w:ascii="Times New Roman" w:hAnsi="Times New Roman" w:cs="Times New Roman"/>
              </w:rPr>
            </w:pPr>
            <w:r w:rsidRPr="00793DEE">
              <w:rPr>
                <w:rFonts w:ascii="Times New Roman" w:hAnsi="Times New Roman" w:cs="Times New Roman"/>
              </w:rPr>
              <w:t>*Significant at 10%, ** significant at 5% and *** significant at 1%. Standard errors in parenthesis</w:t>
            </w:r>
          </w:p>
        </w:tc>
      </w:tr>
      <w:tr w:rsidR="00D64F8C" w:rsidRPr="00793DEE" w:rsidTr="00AC3BC9">
        <w:tc>
          <w:tcPr>
            <w:tcW w:w="9026" w:type="dxa"/>
            <w:gridSpan w:val="6"/>
            <w:tcBorders>
              <w:bottom w:val="double" w:sz="4" w:space="0" w:color="auto"/>
            </w:tcBorders>
          </w:tcPr>
          <w:p w:rsidR="000E6825" w:rsidRPr="00793DEE" w:rsidRDefault="000E6825" w:rsidP="00141422">
            <w:pPr>
              <w:spacing w:line="276" w:lineRule="auto"/>
              <w:rPr>
                <w:rFonts w:ascii="Times New Roman" w:hAnsi="Times New Roman" w:cs="Times New Roman"/>
              </w:rPr>
            </w:pPr>
            <w:r w:rsidRPr="00793DEE">
              <w:rPr>
                <w:rFonts w:ascii="Times New Roman" w:hAnsi="Times New Roman" w:cs="Times New Roman"/>
              </w:rPr>
              <w:t>All variables are in natural logarithms except POP</w:t>
            </w:r>
            <w:r w:rsidR="004B0868" w:rsidRPr="00793DEE">
              <w:rPr>
                <w:rFonts w:ascii="Times New Roman" w:hAnsi="Times New Roman" w:cs="Times New Roman"/>
              </w:rPr>
              <w:t xml:space="preserve"> growth and Inflation</w:t>
            </w:r>
            <w:r w:rsidR="009E168E" w:rsidRPr="00793DEE">
              <w:rPr>
                <w:rFonts w:ascii="Times New Roman" w:hAnsi="Times New Roman" w:cs="Times New Roman"/>
              </w:rPr>
              <w:t xml:space="preserve"> that are in annual % change</w:t>
            </w:r>
          </w:p>
        </w:tc>
      </w:tr>
    </w:tbl>
    <w:p w:rsidR="005449E7" w:rsidRPr="00D64F8C" w:rsidRDefault="005449E7" w:rsidP="00141422">
      <w:pPr>
        <w:pStyle w:val="Abstracttext"/>
        <w:spacing w:line="276" w:lineRule="auto"/>
        <w:rPr>
          <w:color w:val="auto"/>
        </w:rPr>
      </w:pPr>
    </w:p>
    <w:p w:rsidR="005449E7" w:rsidRPr="00D64F8C" w:rsidRDefault="0086726D" w:rsidP="00141422">
      <w:pPr>
        <w:pStyle w:val="Abstracttext"/>
        <w:spacing w:line="276" w:lineRule="auto"/>
        <w:rPr>
          <w:color w:val="auto"/>
        </w:rPr>
      </w:pPr>
      <w:r w:rsidRPr="00D64F8C">
        <w:rPr>
          <w:color w:val="auto"/>
        </w:rPr>
        <w:t>As shown in Table 1</w:t>
      </w:r>
      <w:r w:rsidR="00CA0324" w:rsidRPr="00D64F8C">
        <w:rPr>
          <w:color w:val="auto"/>
        </w:rPr>
        <w:t>,</w:t>
      </w:r>
      <w:r w:rsidRPr="00D64F8C">
        <w:rPr>
          <w:color w:val="auto"/>
        </w:rPr>
        <w:t xml:space="preserve"> FDI, ODA and total capital inflows all have positive and significant </w:t>
      </w:r>
      <w:r w:rsidR="00351DFC" w:rsidRPr="00D64F8C">
        <w:rPr>
          <w:color w:val="auto"/>
        </w:rPr>
        <w:t xml:space="preserve">coefficients, implying that the three categories of capital inflows positively influences per capita </w:t>
      </w:r>
      <w:r w:rsidRPr="00D64F8C">
        <w:rPr>
          <w:color w:val="auto"/>
        </w:rPr>
        <w:t>GDP growth</w:t>
      </w:r>
      <w:r w:rsidR="00351DFC" w:rsidRPr="00D64F8C">
        <w:rPr>
          <w:color w:val="auto"/>
        </w:rPr>
        <w:t xml:space="preserve"> in the region</w:t>
      </w:r>
      <w:r w:rsidRPr="00D64F8C">
        <w:rPr>
          <w:color w:val="auto"/>
        </w:rPr>
        <w:t>.</w:t>
      </w:r>
      <w:r w:rsidR="006D1182" w:rsidRPr="00D64F8C">
        <w:rPr>
          <w:color w:val="auto"/>
        </w:rPr>
        <w:t xml:space="preserve"> However, </w:t>
      </w:r>
      <w:r w:rsidR="00D50EA5" w:rsidRPr="00D64F8C">
        <w:rPr>
          <w:color w:val="auto"/>
        </w:rPr>
        <w:t xml:space="preserve">the parameter associated with </w:t>
      </w:r>
      <w:r w:rsidR="006D1182" w:rsidRPr="00D64F8C">
        <w:rPr>
          <w:color w:val="auto"/>
        </w:rPr>
        <w:t xml:space="preserve">remittances </w:t>
      </w:r>
      <w:r w:rsidR="00D50EA5" w:rsidRPr="00D64F8C">
        <w:rPr>
          <w:color w:val="auto"/>
        </w:rPr>
        <w:t>is not statistically different from zero</w:t>
      </w:r>
      <w:r w:rsidR="006D1182" w:rsidRPr="00D64F8C">
        <w:rPr>
          <w:color w:val="auto"/>
        </w:rPr>
        <w:t xml:space="preserve"> suggesting that remittances</w:t>
      </w:r>
      <w:r w:rsidR="00351DFC" w:rsidRPr="00D64F8C">
        <w:rPr>
          <w:color w:val="auto"/>
        </w:rPr>
        <w:t xml:space="preserve"> do not seem to influence economic growth for the selected COMESA countries. This may imply that remittances </w:t>
      </w:r>
      <w:r w:rsidR="006D1182" w:rsidRPr="00D64F8C">
        <w:rPr>
          <w:color w:val="auto"/>
        </w:rPr>
        <w:t xml:space="preserve">are used to smoothen consumption and not for investment purposes and therefore have no impact on economic growth. </w:t>
      </w:r>
      <w:r w:rsidR="00D50EA5" w:rsidRPr="00D64F8C">
        <w:rPr>
          <w:color w:val="auto"/>
        </w:rPr>
        <w:t xml:space="preserve">Another reason for insignificant impact of remittances on economic growth may be the potential disincentives effects of </w:t>
      </w:r>
      <w:r w:rsidR="0083235C" w:rsidRPr="00D64F8C">
        <w:rPr>
          <w:color w:val="auto"/>
        </w:rPr>
        <w:t>remittances</w:t>
      </w:r>
      <w:r w:rsidR="00D50EA5" w:rsidRPr="00D64F8C">
        <w:rPr>
          <w:color w:val="auto"/>
        </w:rPr>
        <w:t xml:space="preserve"> on labour market participation (</w:t>
      </w:r>
      <w:r w:rsidR="0083235C" w:rsidRPr="00D64F8C">
        <w:rPr>
          <w:color w:val="auto"/>
        </w:rPr>
        <w:t>Giuliano and Ruiz-Arranz, 2009</w:t>
      </w:r>
      <w:r w:rsidR="005136BF">
        <w:rPr>
          <w:color w:val="auto"/>
        </w:rPr>
        <w:t xml:space="preserve"> [27]</w:t>
      </w:r>
      <w:r w:rsidR="0083235C" w:rsidRPr="00D64F8C">
        <w:rPr>
          <w:color w:val="auto"/>
        </w:rPr>
        <w:t>)</w:t>
      </w:r>
      <w:r w:rsidR="00465196" w:rsidRPr="00D64F8C">
        <w:rPr>
          <w:color w:val="auto"/>
        </w:rPr>
        <w:t>.</w:t>
      </w:r>
      <w:r w:rsidR="00F133FC" w:rsidRPr="00D64F8C">
        <w:rPr>
          <w:color w:val="auto"/>
        </w:rPr>
        <w:t xml:space="preserve"> </w:t>
      </w:r>
    </w:p>
    <w:p w:rsidR="005449E7" w:rsidRPr="00D64F8C" w:rsidRDefault="005449E7" w:rsidP="00141422">
      <w:pPr>
        <w:pStyle w:val="Abstracttext"/>
        <w:spacing w:line="276" w:lineRule="auto"/>
        <w:rPr>
          <w:color w:val="auto"/>
        </w:rPr>
      </w:pPr>
    </w:p>
    <w:p w:rsidR="005449E7" w:rsidRPr="00D64F8C" w:rsidRDefault="00274DBB" w:rsidP="00141422">
      <w:pPr>
        <w:pStyle w:val="Abstracttext"/>
        <w:spacing w:line="276" w:lineRule="auto"/>
        <w:rPr>
          <w:color w:val="auto"/>
        </w:rPr>
      </w:pPr>
      <w:r w:rsidRPr="00D64F8C">
        <w:rPr>
          <w:color w:val="auto"/>
        </w:rPr>
        <w:t xml:space="preserve">On the </w:t>
      </w:r>
      <w:r w:rsidR="00351DFC" w:rsidRPr="00D64F8C">
        <w:rPr>
          <w:color w:val="auto"/>
        </w:rPr>
        <w:t xml:space="preserve">other </w:t>
      </w:r>
      <w:r w:rsidRPr="00D64F8C">
        <w:rPr>
          <w:color w:val="auto"/>
        </w:rPr>
        <w:t xml:space="preserve">determinants of economic growth, the lagged GDP per capita growth has a positive </w:t>
      </w:r>
      <w:r w:rsidR="00126115" w:rsidRPr="00D64F8C">
        <w:rPr>
          <w:color w:val="auto"/>
        </w:rPr>
        <w:t>and significant parameter</w:t>
      </w:r>
      <w:r w:rsidR="00351DFC" w:rsidRPr="00D64F8C">
        <w:rPr>
          <w:color w:val="auto"/>
        </w:rPr>
        <w:t xml:space="preserve"> across the five equations</w:t>
      </w:r>
      <w:r w:rsidR="00126115" w:rsidRPr="00D64F8C">
        <w:rPr>
          <w:color w:val="auto"/>
        </w:rPr>
        <w:t xml:space="preserve">, meaning that a country that performed better in a previous period is likely to continue performing well in the current period, suggesting growth divergence among the countries in the region. </w:t>
      </w:r>
      <w:r w:rsidR="005449E7" w:rsidRPr="00D64F8C">
        <w:rPr>
          <w:color w:val="auto"/>
        </w:rPr>
        <w:t xml:space="preserve">The private sector credit (PSC) parameter is significant and positively related to growth in COMESA. This is contrary to the findings by Easterly </w:t>
      </w:r>
      <w:r w:rsidR="005449E7" w:rsidRPr="005136BF">
        <w:rPr>
          <w:i/>
          <w:color w:val="auto"/>
        </w:rPr>
        <w:t>et al.</w:t>
      </w:r>
      <w:r w:rsidR="005449E7" w:rsidRPr="00D64F8C">
        <w:rPr>
          <w:color w:val="auto"/>
        </w:rPr>
        <w:t xml:space="preserve"> (200</w:t>
      </w:r>
      <w:r w:rsidR="00F105FA" w:rsidRPr="00D64F8C">
        <w:rPr>
          <w:color w:val="auto"/>
        </w:rPr>
        <w:t>4</w:t>
      </w:r>
      <w:r w:rsidR="005449E7" w:rsidRPr="00D64F8C">
        <w:rPr>
          <w:color w:val="auto"/>
        </w:rPr>
        <w:t xml:space="preserve">) </w:t>
      </w:r>
      <w:r w:rsidR="005136BF">
        <w:rPr>
          <w:color w:val="auto"/>
        </w:rPr>
        <w:t xml:space="preserve">[25] </w:t>
      </w:r>
      <w:r w:rsidR="005449E7" w:rsidRPr="00D64F8C">
        <w:rPr>
          <w:color w:val="auto"/>
        </w:rPr>
        <w:t xml:space="preserve">that financial sector depth increases the likelihood of a downturn and hence negatively affecting growth. The result suggests that domestic private sector credit growth in the region reflects increasing financial inclusion and more access to credit for a region characterized mostly by credit constrain. </w:t>
      </w:r>
      <w:r w:rsidR="00A84FDC" w:rsidRPr="00D64F8C">
        <w:rPr>
          <w:color w:val="auto"/>
        </w:rPr>
        <w:t>For robustness check, we u</w:t>
      </w:r>
      <w:r w:rsidR="005449E7" w:rsidRPr="00D64F8C">
        <w:rPr>
          <w:color w:val="auto"/>
        </w:rPr>
        <w:t>s</w:t>
      </w:r>
      <w:r w:rsidR="00A84FDC" w:rsidRPr="00D64F8C">
        <w:rPr>
          <w:color w:val="auto"/>
        </w:rPr>
        <w:t>e</w:t>
      </w:r>
      <w:r w:rsidR="005449E7" w:rsidRPr="00D64F8C">
        <w:rPr>
          <w:color w:val="auto"/>
        </w:rPr>
        <w:t xml:space="preserve"> an interaction term of remittances and private sector credit </w:t>
      </w:r>
      <w:r w:rsidR="00A84FDC" w:rsidRPr="00D64F8C">
        <w:rPr>
          <w:color w:val="auto"/>
        </w:rPr>
        <w:t xml:space="preserve">in equation 5 </w:t>
      </w:r>
      <w:r w:rsidR="005449E7" w:rsidRPr="00D64F8C">
        <w:rPr>
          <w:color w:val="auto"/>
        </w:rPr>
        <w:t>(REM*PSC). The results indicate that the interaction term REM*PSC coefficient is significant and positive.</w:t>
      </w:r>
      <w:r w:rsidR="00CA0324" w:rsidRPr="00D64F8C">
        <w:rPr>
          <w:color w:val="auto"/>
        </w:rPr>
        <w:t xml:space="preserve"> T</w:t>
      </w:r>
      <w:r w:rsidR="005449E7" w:rsidRPr="00D64F8C">
        <w:rPr>
          <w:color w:val="auto"/>
        </w:rPr>
        <w:t xml:space="preserve">he interaction term REM*PSC suggesting that increasing domestic financial depth can provide </w:t>
      </w:r>
      <w:r w:rsidR="005449E7" w:rsidRPr="00D64F8C">
        <w:rPr>
          <w:color w:val="auto"/>
        </w:rPr>
        <w:lastRenderedPageBreak/>
        <w:t>the right investment vehicles through which remittances can be channeled and have a positive influence on economic growth</w:t>
      </w:r>
      <w:r w:rsidR="00CA0324" w:rsidRPr="00D64F8C">
        <w:rPr>
          <w:color w:val="auto"/>
        </w:rPr>
        <w:t xml:space="preserve">. </w:t>
      </w:r>
    </w:p>
    <w:p w:rsidR="001426F9" w:rsidRDefault="001426F9" w:rsidP="00141422">
      <w:pPr>
        <w:pStyle w:val="Abstracttext"/>
        <w:spacing w:line="276" w:lineRule="auto"/>
        <w:rPr>
          <w:color w:val="auto"/>
        </w:rPr>
      </w:pPr>
    </w:p>
    <w:p w:rsidR="00793DEE" w:rsidRPr="00D64F8C" w:rsidRDefault="00793DEE" w:rsidP="00141422">
      <w:pPr>
        <w:pStyle w:val="Abstracttext"/>
        <w:spacing w:line="276" w:lineRule="auto"/>
        <w:rPr>
          <w:color w:val="auto"/>
        </w:rPr>
      </w:pPr>
    </w:p>
    <w:p w:rsidR="00274DBB" w:rsidRPr="00D64F8C" w:rsidRDefault="001426F9" w:rsidP="00141422">
      <w:pPr>
        <w:pStyle w:val="Abstracttext"/>
        <w:spacing w:line="276" w:lineRule="auto"/>
        <w:rPr>
          <w:color w:val="auto"/>
        </w:rPr>
      </w:pPr>
      <w:r w:rsidRPr="00D64F8C">
        <w:rPr>
          <w:color w:val="auto"/>
        </w:rPr>
        <w:t xml:space="preserve">Consistent with other studies, Openness is positive and significant except in equation (2) suggesting that open economies tends to grow faster </w:t>
      </w:r>
      <w:r w:rsidR="00CA0324" w:rsidRPr="00D64F8C">
        <w:rPr>
          <w:color w:val="auto"/>
        </w:rPr>
        <w:t xml:space="preserve">(Catrinescu, </w:t>
      </w:r>
      <w:r w:rsidR="00CA0324" w:rsidRPr="00D64F8C">
        <w:rPr>
          <w:i/>
          <w:color w:val="auto"/>
        </w:rPr>
        <w:t>et.al</w:t>
      </w:r>
      <w:r w:rsidR="00CA0324" w:rsidRPr="00D64F8C">
        <w:rPr>
          <w:color w:val="auto"/>
        </w:rPr>
        <w:t xml:space="preserve"> 2009</w:t>
      </w:r>
      <w:r w:rsidR="00155763">
        <w:rPr>
          <w:color w:val="auto"/>
        </w:rPr>
        <w:t xml:space="preserve"> [16]</w:t>
      </w:r>
      <w:r w:rsidR="00CA0324" w:rsidRPr="00D64F8C">
        <w:rPr>
          <w:color w:val="auto"/>
        </w:rPr>
        <w:t>, and Driffield and Jones 2013</w:t>
      </w:r>
      <w:r w:rsidR="00155763">
        <w:rPr>
          <w:color w:val="auto"/>
        </w:rPr>
        <w:t xml:space="preserve"> [24]</w:t>
      </w:r>
      <w:r w:rsidR="00CA0324" w:rsidRPr="00D64F8C">
        <w:rPr>
          <w:color w:val="auto"/>
        </w:rPr>
        <w:t>)</w:t>
      </w:r>
      <w:r w:rsidRPr="00D64F8C">
        <w:rPr>
          <w:color w:val="auto"/>
        </w:rPr>
        <w:t xml:space="preserve">.  Government </w:t>
      </w:r>
      <w:r w:rsidR="005449E7" w:rsidRPr="00D64F8C">
        <w:rPr>
          <w:color w:val="auto"/>
        </w:rPr>
        <w:t xml:space="preserve">consumption </w:t>
      </w:r>
      <w:r w:rsidRPr="00D64F8C">
        <w:rPr>
          <w:color w:val="auto"/>
        </w:rPr>
        <w:t>expenditure</w:t>
      </w:r>
      <w:r w:rsidR="005449E7" w:rsidRPr="00D64F8C">
        <w:rPr>
          <w:color w:val="auto"/>
        </w:rPr>
        <w:t xml:space="preserve"> (GCON)</w:t>
      </w:r>
      <w:r w:rsidRPr="00D64F8C">
        <w:rPr>
          <w:color w:val="auto"/>
        </w:rPr>
        <w:t xml:space="preserve"> parameter has a positive and significant coefficient </w:t>
      </w:r>
      <w:r w:rsidR="005449E7" w:rsidRPr="00D64F8C">
        <w:rPr>
          <w:color w:val="auto"/>
        </w:rPr>
        <w:t>except in equation (3)</w:t>
      </w:r>
      <w:r w:rsidRPr="00D64F8C">
        <w:rPr>
          <w:color w:val="auto"/>
        </w:rPr>
        <w:t xml:space="preserve"> suggesting a positive contribution of fiscal policy to economic growth</w:t>
      </w:r>
      <w:r w:rsidR="00A84FDC" w:rsidRPr="00D64F8C">
        <w:rPr>
          <w:color w:val="auto"/>
        </w:rPr>
        <w:t xml:space="preserve">. This </w:t>
      </w:r>
      <w:r w:rsidRPr="00D64F8C">
        <w:rPr>
          <w:color w:val="auto"/>
        </w:rPr>
        <w:t>impl</w:t>
      </w:r>
      <w:r w:rsidR="00A84FDC" w:rsidRPr="00D64F8C">
        <w:rPr>
          <w:color w:val="auto"/>
        </w:rPr>
        <w:t>ies</w:t>
      </w:r>
      <w:r w:rsidRPr="00D64F8C">
        <w:rPr>
          <w:color w:val="auto"/>
        </w:rPr>
        <w:t xml:space="preserve"> that fiscal discipline matters for economic growth. </w:t>
      </w:r>
      <w:r w:rsidR="00A84FDC" w:rsidRPr="00D64F8C">
        <w:rPr>
          <w:color w:val="auto"/>
        </w:rPr>
        <w:t>The parameter for i</w:t>
      </w:r>
      <w:r w:rsidR="00795C09" w:rsidRPr="00D64F8C">
        <w:rPr>
          <w:color w:val="auto"/>
        </w:rPr>
        <w:t xml:space="preserve">nflation </w:t>
      </w:r>
      <w:r w:rsidR="00A84FDC" w:rsidRPr="00D64F8C">
        <w:rPr>
          <w:color w:val="auto"/>
        </w:rPr>
        <w:t xml:space="preserve">(INF) </w:t>
      </w:r>
      <w:r w:rsidR="00795C09" w:rsidRPr="00D64F8C">
        <w:rPr>
          <w:color w:val="auto"/>
        </w:rPr>
        <w:t>is negative and significant</w:t>
      </w:r>
      <w:r w:rsidR="00351DFC" w:rsidRPr="00D64F8C">
        <w:rPr>
          <w:color w:val="auto"/>
        </w:rPr>
        <w:t xml:space="preserve"> across the five equations</w:t>
      </w:r>
      <w:r w:rsidR="00795C09" w:rsidRPr="00D64F8C">
        <w:rPr>
          <w:color w:val="auto"/>
        </w:rPr>
        <w:t>,</w:t>
      </w:r>
      <w:r w:rsidR="00351DFC" w:rsidRPr="00D64F8C">
        <w:rPr>
          <w:color w:val="auto"/>
        </w:rPr>
        <w:t xml:space="preserve"> supporting the argument that inflation erodes purchasing power, affects consumption, lead to loss of value of fixed assets and leads to </w:t>
      </w:r>
      <w:r w:rsidR="00795C09" w:rsidRPr="00D64F8C">
        <w:rPr>
          <w:color w:val="auto"/>
        </w:rPr>
        <w:t>macroeconomic instability</w:t>
      </w:r>
      <w:r w:rsidR="00351DFC" w:rsidRPr="00D64F8C">
        <w:rPr>
          <w:color w:val="auto"/>
        </w:rPr>
        <w:t>, ultimately resulting in a decline in economic growth</w:t>
      </w:r>
      <w:r w:rsidR="00795C09" w:rsidRPr="00D64F8C">
        <w:rPr>
          <w:color w:val="auto"/>
        </w:rPr>
        <w:t xml:space="preserve">. </w:t>
      </w:r>
    </w:p>
    <w:p w:rsidR="0072144F" w:rsidRPr="00D64F8C" w:rsidRDefault="0072144F" w:rsidP="00141422">
      <w:pPr>
        <w:pStyle w:val="Abstracttext"/>
        <w:spacing w:line="276" w:lineRule="auto"/>
        <w:rPr>
          <w:color w:val="auto"/>
        </w:rPr>
      </w:pPr>
    </w:p>
    <w:p w:rsidR="00EE1B17" w:rsidRPr="00D64F8C" w:rsidRDefault="00EE1B17" w:rsidP="00141422">
      <w:pPr>
        <w:pStyle w:val="Abstracttext"/>
        <w:spacing w:line="276" w:lineRule="auto"/>
        <w:rPr>
          <w:color w:val="auto"/>
        </w:rPr>
      </w:pPr>
      <w:r w:rsidRPr="00D64F8C">
        <w:rPr>
          <w:color w:val="auto"/>
        </w:rPr>
        <w:t xml:space="preserve">The </w:t>
      </w:r>
      <w:r w:rsidR="00924305" w:rsidRPr="00D64F8C">
        <w:rPr>
          <w:color w:val="auto"/>
        </w:rPr>
        <w:t xml:space="preserve">REER coefficient is </w:t>
      </w:r>
      <w:r w:rsidR="00D50EA5" w:rsidRPr="00D64F8C">
        <w:rPr>
          <w:color w:val="auto"/>
        </w:rPr>
        <w:t xml:space="preserve">significant </w:t>
      </w:r>
      <w:r w:rsidR="00924305" w:rsidRPr="00D64F8C">
        <w:rPr>
          <w:color w:val="auto"/>
        </w:rPr>
        <w:t xml:space="preserve">and </w:t>
      </w:r>
      <w:r w:rsidR="00D50EA5" w:rsidRPr="00D64F8C">
        <w:rPr>
          <w:color w:val="auto"/>
        </w:rPr>
        <w:t>negative</w:t>
      </w:r>
      <w:r w:rsidR="00924305" w:rsidRPr="00D64F8C">
        <w:rPr>
          <w:color w:val="auto"/>
        </w:rPr>
        <w:t>ly</w:t>
      </w:r>
      <w:r w:rsidR="00D50EA5" w:rsidRPr="00D64F8C">
        <w:rPr>
          <w:color w:val="auto"/>
        </w:rPr>
        <w:t xml:space="preserve"> </w:t>
      </w:r>
      <w:r w:rsidR="00924305" w:rsidRPr="00D64F8C">
        <w:rPr>
          <w:color w:val="auto"/>
        </w:rPr>
        <w:t>affects</w:t>
      </w:r>
      <w:r w:rsidR="00CE087F" w:rsidRPr="00D64F8C">
        <w:rPr>
          <w:color w:val="auto"/>
        </w:rPr>
        <w:t xml:space="preserve"> real GDP per capita growth suggesting </w:t>
      </w:r>
      <w:r w:rsidR="00924305" w:rsidRPr="00D64F8C">
        <w:rPr>
          <w:color w:val="auto"/>
        </w:rPr>
        <w:t xml:space="preserve">that </w:t>
      </w:r>
      <w:r w:rsidR="00CE087F" w:rsidRPr="00D64F8C">
        <w:rPr>
          <w:color w:val="auto"/>
        </w:rPr>
        <w:t xml:space="preserve">even though most of COMESA member countries rely on imported capital goods, the impact of an appreciation on exports is negative translating into an adverse </w:t>
      </w:r>
      <w:r w:rsidR="00924305" w:rsidRPr="00D64F8C">
        <w:rPr>
          <w:color w:val="auto"/>
        </w:rPr>
        <w:t>effect</w:t>
      </w:r>
      <w:r w:rsidR="00CE087F" w:rsidRPr="00D64F8C">
        <w:rPr>
          <w:color w:val="auto"/>
        </w:rPr>
        <w:t xml:space="preserve"> o</w:t>
      </w:r>
      <w:r w:rsidR="00924305" w:rsidRPr="00D64F8C">
        <w:rPr>
          <w:color w:val="auto"/>
        </w:rPr>
        <w:t>n</w:t>
      </w:r>
      <w:r w:rsidR="00CE087F" w:rsidRPr="00D64F8C">
        <w:rPr>
          <w:color w:val="auto"/>
        </w:rPr>
        <w:t xml:space="preserve"> economic growth. </w:t>
      </w:r>
      <w:r w:rsidR="00A84FDC" w:rsidRPr="00D64F8C">
        <w:rPr>
          <w:color w:val="auto"/>
        </w:rPr>
        <w:t>As expected, t</w:t>
      </w:r>
      <w:r w:rsidR="00CE087F" w:rsidRPr="00D64F8C">
        <w:rPr>
          <w:color w:val="auto"/>
        </w:rPr>
        <w:t>he coefficient on population growth</w:t>
      </w:r>
      <w:r w:rsidR="006B2963" w:rsidRPr="00D64F8C">
        <w:rPr>
          <w:color w:val="auto"/>
        </w:rPr>
        <w:t xml:space="preserve"> (POP)</w:t>
      </w:r>
      <w:r w:rsidR="005D2937" w:rsidRPr="00D64F8C">
        <w:rPr>
          <w:color w:val="auto"/>
        </w:rPr>
        <w:t xml:space="preserve"> </w:t>
      </w:r>
      <w:r w:rsidR="00CE087F" w:rsidRPr="00D64F8C">
        <w:rPr>
          <w:color w:val="auto"/>
        </w:rPr>
        <w:t>is positive and significan</w:t>
      </w:r>
      <w:r w:rsidR="00A84FDC" w:rsidRPr="00D64F8C">
        <w:rPr>
          <w:color w:val="auto"/>
        </w:rPr>
        <w:t xml:space="preserve">t across all the five equations. </w:t>
      </w:r>
      <w:r w:rsidR="00793CAD" w:rsidRPr="00D64F8C">
        <w:rPr>
          <w:color w:val="auto"/>
        </w:rPr>
        <w:t>In addition, t</w:t>
      </w:r>
      <w:r w:rsidR="005D2937" w:rsidRPr="00D64F8C">
        <w:rPr>
          <w:color w:val="auto"/>
        </w:rPr>
        <w:t>he coefficient of gross fixed capital formation (GFKF) is positive and significant across the five equations, implying that capital investment plays a positive and significant role in influencing economic growth</w:t>
      </w:r>
      <w:r w:rsidR="00793CAD" w:rsidRPr="00D64F8C">
        <w:rPr>
          <w:color w:val="auto"/>
        </w:rPr>
        <w:t xml:space="preserve"> (Kodama, 2012</w:t>
      </w:r>
      <w:r w:rsidR="00155763">
        <w:rPr>
          <w:color w:val="auto"/>
        </w:rPr>
        <w:t xml:space="preserve"> [32]</w:t>
      </w:r>
      <w:r w:rsidR="00793CAD" w:rsidRPr="00D64F8C">
        <w:rPr>
          <w:color w:val="auto"/>
        </w:rPr>
        <w:t>)</w:t>
      </w:r>
      <w:r w:rsidR="005D2937" w:rsidRPr="00D64F8C">
        <w:rPr>
          <w:color w:val="auto"/>
        </w:rPr>
        <w:t xml:space="preserve">. </w:t>
      </w:r>
    </w:p>
    <w:p w:rsidR="00F222BB" w:rsidRPr="00D64F8C" w:rsidRDefault="00F222BB" w:rsidP="00141422">
      <w:pPr>
        <w:spacing w:line="276" w:lineRule="auto"/>
        <w:rPr>
          <w:rFonts w:ascii="Times New Roman" w:hAnsi="Times New Roman" w:cs="Times New Roman"/>
          <w:sz w:val="24"/>
          <w:szCs w:val="24"/>
        </w:rPr>
      </w:pPr>
    </w:p>
    <w:p w:rsidR="00793CAD" w:rsidRPr="00D64F8C" w:rsidRDefault="00F222BB" w:rsidP="00141422">
      <w:pPr>
        <w:pStyle w:val="Abstracttext"/>
        <w:spacing w:line="276" w:lineRule="auto"/>
        <w:rPr>
          <w:color w:val="auto"/>
        </w:rPr>
      </w:pPr>
      <w:r w:rsidRPr="00D64F8C">
        <w:rPr>
          <w:color w:val="auto"/>
        </w:rPr>
        <w:t>In Table 2, we conduct a robustness</w:t>
      </w:r>
      <w:r w:rsidR="006B3F1F" w:rsidRPr="00D64F8C">
        <w:rPr>
          <w:color w:val="auto"/>
        </w:rPr>
        <w:t xml:space="preserve"> </w:t>
      </w:r>
      <w:r w:rsidRPr="00D64F8C">
        <w:rPr>
          <w:color w:val="auto"/>
        </w:rPr>
        <w:t>by estimating the same model but us</w:t>
      </w:r>
      <w:r w:rsidR="006B3F1F" w:rsidRPr="00D64F8C">
        <w:rPr>
          <w:color w:val="auto"/>
        </w:rPr>
        <w:t>ing</w:t>
      </w:r>
      <w:r w:rsidRPr="00D64F8C">
        <w:rPr>
          <w:color w:val="auto"/>
        </w:rPr>
        <w:t xml:space="preserve"> Broad Money (BM)</w:t>
      </w:r>
      <w:r w:rsidR="006B3F1F" w:rsidRPr="00D64F8C">
        <w:rPr>
          <w:color w:val="auto"/>
        </w:rPr>
        <w:t xml:space="preserve"> as a share of GDP</w:t>
      </w:r>
      <w:r w:rsidR="004D698E" w:rsidRPr="00D64F8C">
        <w:rPr>
          <w:color w:val="auto"/>
        </w:rPr>
        <w:t xml:space="preserve">, </w:t>
      </w:r>
      <w:r w:rsidR="005D2937" w:rsidRPr="00D64F8C">
        <w:rPr>
          <w:color w:val="auto"/>
        </w:rPr>
        <w:t>to capture</w:t>
      </w:r>
      <w:r w:rsidRPr="00D64F8C">
        <w:rPr>
          <w:color w:val="auto"/>
        </w:rPr>
        <w:t xml:space="preserve"> </w:t>
      </w:r>
      <w:r w:rsidR="006B3F1F" w:rsidRPr="00D64F8C">
        <w:rPr>
          <w:color w:val="auto"/>
        </w:rPr>
        <w:t xml:space="preserve">financial sector </w:t>
      </w:r>
      <w:r w:rsidR="005D2937" w:rsidRPr="00D64F8C">
        <w:rPr>
          <w:color w:val="auto"/>
        </w:rPr>
        <w:t>depth</w:t>
      </w:r>
      <w:r w:rsidR="006B3F1F" w:rsidRPr="00D64F8C">
        <w:rPr>
          <w:color w:val="auto"/>
        </w:rPr>
        <w:t xml:space="preserve"> instead of private sector credit</w:t>
      </w:r>
      <w:r w:rsidR="005D2937" w:rsidRPr="00D64F8C">
        <w:rPr>
          <w:color w:val="auto"/>
        </w:rPr>
        <w:t xml:space="preserve"> as a share of GDP</w:t>
      </w:r>
      <w:r w:rsidR="006B3F1F" w:rsidRPr="00D64F8C">
        <w:rPr>
          <w:color w:val="auto"/>
        </w:rPr>
        <w:t xml:space="preserve"> presented in Table 1</w:t>
      </w:r>
      <w:r w:rsidR="006F6843" w:rsidRPr="00D64F8C">
        <w:rPr>
          <w:color w:val="auto"/>
        </w:rPr>
        <w:t>.</w:t>
      </w:r>
      <w:r w:rsidR="004D698E" w:rsidRPr="00D64F8C">
        <w:rPr>
          <w:color w:val="auto"/>
        </w:rPr>
        <w:t xml:space="preserve"> This helps to discern more clearly the role of </w:t>
      </w:r>
      <w:r w:rsidR="001426F9" w:rsidRPr="00D64F8C">
        <w:rPr>
          <w:color w:val="auto"/>
        </w:rPr>
        <w:t xml:space="preserve">domestic </w:t>
      </w:r>
      <w:r w:rsidR="004D698E" w:rsidRPr="00D64F8C">
        <w:rPr>
          <w:color w:val="auto"/>
        </w:rPr>
        <w:t xml:space="preserve">financial </w:t>
      </w:r>
      <w:r w:rsidR="001426F9" w:rsidRPr="00D64F8C">
        <w:rPr>
          <w:color w:val="auto"/>
        </w:rPr>
        <w:t xml:space="preserve">depth </w:t>
      </w:r>
      <w:r w:rsidR="004D698E" w:rsidRPr="00D64F8C">
        <w:rPr>
          <w:color w:val="auto"/>
        </w:rPr>
        <w:t xml:space="preserve">in determining </w:t>
      </w:r>
      <w:r w:rsidR="00C500A3" w:rsidRPr="00D64F8C">
        <w:rPr>
          <w:color w:val="auto"/>
        </w:rPr>
        <w:t>economic growth</w:t>
      </w:r>
      <w:r w:rsidR="004D698E" w:rsidRPr="00D64F8C">
        <w:rPr>
          <w:color w:val="auto"/>
        </w:rPr>
        <w:t>.</w:t>
      </w:r>
      <w:r w:rsidR="006F6843" w:rsidRPr="00D64F8C">
        <w:rPr>
          <w:color w:val="auto"/>
        </w:rPr>
        <w:t xml:space="preserve"> </w:t>
      </w:r>
      <w:r w:rsidR="00795C09" w:rsidRPr="00D64F8C">
        <w:rPr>
          <w:color w:val="auto"/>
        </w:rPr>
        <w:t>For our variables of interest, t</w:t>
      </w:r>
      <w:r w:rsidR="006F6843" w:rsidRPr="00D64F8C">
        <w:rPr>
          <w:color w:val="auto"/>
        </w:rPr>
        <w:t xml:space="preserve">he results are consistent with Table 1 </w:t>
      </w:r>
      <w:r w:rsidR="00241984" w:rsidRPr="00D64F8C">
        <w:rPr>
          <w:color w:val="auto"/>
        </w:rPr>
        <w:t xml:space="preserve">where </w:t>
      </w:r>
      <w:r w:rsidR="006F6843" w:rsidRPr="00D64F8C">
        <w:rPr>
          <w:color w:val="auto"/>
        </w:rPr>
        <w:t xml:space="preserve">only remittance variable </w:t>
      </w:r>
      <w:r w:rsidR="00241984" w:rsidRPr="00D64F8C">
        <w:rPr>
          <w:color w:val="auto"/>
        </w:rPr>
        <w:t xml:space="preserve">is </w:t>
      </w:r>
      <w:r w:rsidR="006F6843" w:rsidRPr="00D64F8C">
        <w:rPr>
          <w:color w:val="auto"/>
        </w:rPr>
        <w:t xml:space="preserve">insignificant in the </w:t>
      </w:r>
      <w:r w:rsidR="00795C09" w:rsidRPr="00D64F8C">
        <w:rPr>
          <w:color w:val="auto"/>
        </w:rPr>
        <w:t>equation (</w:t>
      </w:r>
      <w:r w:rsidR="00241984" w:rsidRPr="00D64F8C">
        <w:rPr>
          <w:color w:val="auto"/>
        </w:rPr>
        <w:t>8</w:t>
      </w:r>
      <w:r w:rsidR="00795C09" w:rsidRPr="00D64F8C">
        <w:rPr>
          <w:color w:val="auto"/>
        </w:rPr>
        <w:t xml:space="preserve">). </w:t>
      </w:r>
    </w:p>
    <w:p w:rsidR="00793CAD" w:rsidRPr="00D64F8C" w:rsidRDefault="00793CAD" w:rsidP="00141422">
      <w:pPr>
        <w:pStyle w:val="Abstracttext"/>
        <w:spacing w:line="276" w:lineRule="auto"/>
        <w:rPr>
          <w:color w:val="auto"/>
        </w:rPr>
      </w:pPr>
    </w:p>
    <w:p w:rsidR="00D62EEB" w:rsidRPr="00D64F8C" w:rsidRDefault="00EA39A9" w:rsidP="00141422">
      <w:pPr>
        <w:pStyle w:val="Abstracttext"/>
        <w:spacing w:line="276" w:lineRule="auto"/>
        <w:rPr>
          <w:color w:val="auto"/>
        </w:rPr>
      </w:pPr>
      <w:r w:rsidRPr="00D64F8C">
        <w:rPr>
          <w:color w:val="auto"/>
        </w:rPr>
        <w:t xml:space="preserve">All the other macroeconomic fundamentals are consistent </w:t>
      </w:r>
      <w:r w:rsidR="001426F9" w:rsidRPr="00D64F8C">
        <w:rPr>
          <w:color w:val="auto"/>
        </w:rPr>
        <w:t xml:space="preserve">with the findings in Table 1 </w:t>
      </w:r>
      <w:r w:rsidRPr="00D64F8C">
        <w:rPr>
          <w:color w:val="auto"/>
        </w:rPr>
        <w:t>and with the expected signs</w:t>
      </w:r>
      <w:r w:rsidR="001426F9" w:rsidRPr="00D64F8C">
        <w:rPr>
          <w:color w:val="auto"/>
        </w:rPr>
        <w:t>.</w:t>
      </w:r>
      <w:r w:rsidRPr="00D64F8C">
        <w:rPr>
          <w:color w:val="auto"/>
        </w:rPr>
        <w:t xml:space="preserve"> </w:t>
      </w:r>
      <w:r w:rsidR="00EC2647" w:rsidRPr="00D64F8C">
        <w:rPr>
          <w:color w:val="auto"/>
        </w:rPr>
        <w:t>Consistent with the results in Table 1, the variable to capture financial depth - Broad Money has a significant and positive coefficient across equation (6) to equation (10)</w:t>
      </w:r>
      <w:r w:rsidR="00241984" w:rsidRPr="00D64F8C">
        <w:rPr>
          <w:color w:val="auto"/>
        </w:rPr>
        <w:t>,</w:t>
      </w:r>
      <w:r w:rsidR="00EC2647" w:rsidRPr="00D64F8C">
        <w:rPr>
          <w:color w:val="auto"/>
        </w:rPr>
        <w:t xml:space="preserve"> </w:t>
      </w:r>
      <w:r w:rsidR="00241984" w:rsidRPr="00D64F8C">
        <w:rPr>
          <w:color w:val="auto"/>
        </w:rPr>
        <w:t xml:space="preserve">indicating that improved liquidity (as a measure of domestic financial depth) leads to increased access to credit by the private sector that in turn leads to increased investment and improvement in economic growth. </w:t>
      </w:r>
      <w:r w:rsidR="00EC2647" w:rsidRPr="00D64F8C">
        <w:rPr>
          <w:color w:val="auto"/>
        </w:rPr>
        <w:t>This imply that the depth of the financial sector matters for economic growth. However, contrary to using private sector credit, the magnitudes of coefficients are relatively small</w:t>
      </w:r>
      <w:r w:rsidR="00241984" w:rsidRPr="00D64F8C">
        <w:rPr>
          <w:color w:val="auto"/>
        </w:rPr>
        <w:t>. A one percent increase in broad money increases GPD per capita growth by between</w:t>
      </w:r>
      <w:r w:rsidR="00EC2647" w:rsidRPr="00D64F8C">
        <w:rPr>
          <w:color w:val="auto"/>
        </w:rPr>
        <w:t xml:space="preserve"> 0.0006</w:t>
      </w:r>
      <w:r w:rsidR="003C65D2" w:rsidRPr="00D64F8C">
        <w:rPr>
          <w:color w:val="auto"/>
        </w:rPr>
        <w:t xml:space="preserve"> percent to 0.0008 percent </w:t>
      </w:r>
      <w:r w:rsidR="001426F9" w:rsidRPr="00D64F8C">
        <w:rPr>
          <w:color w:val="auto"/>
        </w:rPr>
        <w:t>in Table 2</w:t>
      </w:r>
      <w:r w:rsidR="003C65D2" w:rsidRPr="00D64F8C">
        <w:rPr>
          <w:color w:val="auto"/>
        </w:rPr>
        <w:t xml:space="preserve">, compared with </w:t>
      </w:r>
      <w:r w:rsidR="00241984" w:rsidRPr="00D64F8C">
        <w:rPr>
          <w:color w:val="auto"/>
        </w:rPr>
        <w:t xml:space="preserve">between </w:t>
      </w:r>
      <w:r w:rsidR="003C65D2" w:rsidRPr="00D64F8C">
        <w:rPr>
          <w:color w:val="auto"/>
        </w:rPr>
        <w:t xml:space="preserve">0.23 percent to 0.28 percent </w:t>
      </w:r>
      <w:r w:rsidR="00F15B47" w:rsidRPr="00D64F8C">
        <w:rPr>
          <w:color w:val="auto"/>
        </w:rPr>
        <w:t xml:space="preserve">increase </w:t>
      </w:r>
      <w:r w:rsidR="003C65D2" w:rsidRPr="00D64F8C">
        <w:rPr>
          <w:color w:val="auto"/>
        </w:rPr>
        <w:t>when using private sector credit</w:t>
      </w:r>
      <w:r w:rsidR="00241984" w:rsidRPr="00D64F8C">
        <w:rPr>
          <w:color w:val="auto"/>
        </w:rPr>
        <w:t xml:space="preserve"> (PSC)</w:t>
      </w:r>
      <w:r w:rsidR="00F15B47" w:rsidRPr="00D64F8C">
        <w:rPr>
          <w:color w:val="auto"/>
        </w:rPr>
        <w:t xml:space="preserve"> </w:t>
      </w:r>
      <w:r w:rsidR="001426F9" w:rsidRPr="00D64F8C">
        <w:rPr>
          <w:color w:val="auto"/>
        </w:rPr>
        <w:t>in Table 1</w:t>
      </w:r>
      <w:r w:rsidR="003C65D2" w:rsidRPr="00D64F8C">
        <w:rPr>
          <w:color w:val="auto"/>
        </w:rPr>
        <w:t xml:space="preserve">. </w:t>
      </w:r>
      <w:r w:rsidR="001426F9" w:rsidRPr="00D64F8C">
        <w:rPr>
          <w:color w:val="auto"/>
        </w:rPr>
        <w:t>In both Tables (Table 1 and Table 2), domestic financial depth is an important determinant of economic growth in the COMESA region.</w:t>
      </w:r>
      <w:r w:rsidR="00EC2647" w:rsidRPr="00D64F8C">
        <w:rPr>
          <w:color w:val="auto"/>
        </w:rPr>
        <w:t xml:space="preserve">    </w:t>
      </w:r>
    </w:p>
    <w:p w:rsidR="00761EAF" w:rsidRPr="00D64F8C" w:rsidRDefault="00761EAF" w:rsidP="00141422">
      <w:pPr>
        <w:spacing w:line="276" w:lineRule="auto"/>
        <w:rPr>
          <w:rFonts w:ascii="Times New Roman" w:hAnsi="Times New Roman" w:cs="Times New Roman"/>
          <w:sz w:val="24"/>
          <w:szCs w:val="24"/>
        </w:rPr>
      </w:pPr>
    </w:p>
    <w:p w:rsidR="00704A03" w:rsidRPr="00D64F8C" w:rsidRDefault="00704A03" w:rsidP="00141422">
      <w:pPr>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36"/>
        <w:gridCol w:w="1236"/>
        <w:gridCol w:w="1236"/>
        <w:gridCol w:w="1236"/>
        <w:gridCol w:w="1236"/>
      </w:tblGrid>
      <w:tr w:rsidR="00793DEE" w:rsidRPr="00D64F8C" w:rsidTr="00C1374B">
        <w:tc>
          <w:tcPr>
            <w:tcW w:w="9026" w:type="dxa"/>
            <w:gridSpan w:val="6"/>
            <w:tcBorders>
              <w:bottom w:val="single" w:sz="4" w:space="0" w:color="auto"/>
            </w:tcBorders>
          </w:tcPr>
          <w:p w:rsidR="00D62EEB" w:rsidRPr="00793DEE" w:rsidRDefault="00D62EEB" w:rsidP="00141422">
            <w:pPr>
              <w:spacing w:line="276" w:lineRule="auto"/>
              <w:rPr>
                <w:rFonts w:ascii="Times New Roman" w:hAnsi="Times New Roman" w:cs="Times New Roman"/>
                <w:b/>
              </w:rPr>
            </w:pPr>
            <w:r w:rsidRPr="00793DEE">
              <w:rPr>
                <w:rFonts w:ascii="Times New Roman" w:hAnsi="Times New Roman" w:cs="Times New Roman"/>
                <w:b/>
              </w:rPr>
              <w:lastRenderedPageBreak/>
              <w:t>Table 2. Dependent Variable: GDP per capita growth (annual %) – GDPKG</w:t>
            </w:r>
          </w:p>
          <w:p w:rsidR="00D62EEB" w:rsidRPr="00793DEE" w:rsidRDefault="00D62EEB" w:rsidP="00141422">
            <w:pPr>
              <w:spacing w:line="276" w:lineRule="auto"/>
              <w:rPr>
                <w:rFonts w:ascii="Times New Roman" w:hAnsi="Times New Roman" w:cs="Times New Roman"/>
                <w:b/>
              </w:rPr>
            </w:pPr>
          </w:p>
        </w:tc>
      </w:tr>
      <w:tr w:rsidR="00D64F8C" w:rsidRPr="00D64F8C" w:rsidTr="00793DEE">
        <w:tc>
          <w:tcPr>
            <w:tcW w:w="2846" w:type="dxa"/>
            <w:tcBorders>
              <w:top w:val="single" w:sz="4" w:space="0" w:color="auto"/>
              <w:bottom w:val="double" w:sz="4" w:space="0" w:color="auto"/>
            </w:tcBorders>
          </w:tcPr>
          <w:p w:rsidR="006E30B9" w:rsidRPr="00793DEE" w:rsidRDefault="006E30B9" w:rsidP="00141422">
            <w:pPr>
              <w:spacing w:line="276" w:lineRule="auto"/>
              <w:rPr>
                <w:rFonts w:ascii="Times New Roman" w:hAnsi="Times New Roman" w:cs="Times New Roman"/>
                <w:b/>
              </w:rPr>
            </w:pPr>
            <w:r w:rsidRPr="00793DEE">
              <w:rPr>
                <w:rFonts w:ascii="Times New Roman" w:hAnsi="Times New Roman" w:cs="Times New Roman"/>
                <w:b/>
              </w:rPr>
              <w:t>System GMM Estimation</w:t>
            </w:r>
          </w:p>
        </w:tc>
        <w:tc>
          <w:tcPr>
            <w:tcW w:w="1236" w:type="dxa"/>
            <w:tcBorders>
              <w:top w:val="single" w:sz="4" w:space="0" w:color="auto"/>
              <w:bottom w:val="double" w:sz="4" w:space="0" w:color="auto"/>
            </w:tcBorders>
          </w:tcPr>
          <w:p w:rsidR="006E30B9" w:rsidRPr="00793DEE" w:rsidRDefault="006E30B9" w:rsidP="00141422">
            <w:pPr>
              <w:spacing w:line="276" w:lineRule="auto"/>
              <w:rPr>
                <w:rFonts w:ascii="Times New Roman" w:hAnsi="Times New Roman" w:cs="Times New Roman"/>
                <w:i/>
              </w:rPr>
            </w:pPr>
            <w:r w:rsidRPr="00793DEE">
              <w:rPr>
                <w:rFonts w:ascii="Times New Roman" w:hAnsi="Times New Roman" w:cs="Times New Roman"/>
                <w:i/>
              </w:rPr>
              <w:t>(</w:t>
            </w:r>
            <w:r w:rsidR="004B52EA" w:rsidRPr="00793DEE">
              <w:rPr>
                <w:rFonts w:ascii="Times New Roman" w:hAnsi="Times New Roman" w:cs="Times New Roman"/>
                <w:i/>
              </w:rPr>
              <w:t>6</w:t>
            </w:r>
            <w:r w:rsidRPr="00793DEE">
              <w:rPr>
                <w:rFonts w:ascii="Times New Roman" w:hAnsi="Times New Roman" w:cs="Times New Roman"/>
                <w:i/>
              </w:rPr>
              <w:t>)</w:t>
            </w:r>
          </w:p>
        </w:tc>
        <w:tc>
          <w:tcPr>
            <w:tcW w:w="1236" w:type="dxa"/>
            <w:tcBorders>
              <w:top w:val="single" w:sz="4" w:space="0" w:color="auto"/>
              <w:bottom w:val="double" w:sz="4" w:space="0" w:color="auto"/>
            </w:tcBorders>
          </w:tcPr>
          <w:p w:rsidR="006E30B9" w:rsidRPr="00793DEE" w:rsidRDefault="006E30B9" w:rsidP="00141422">
            <w:pPr>
              <w:spacing w:line="276" w:lineRule="auto"/>
              <w:rPr>
                <w:rFonts w:ascii="Times New Roman" w:hAnsi="Times New Roman" w:cs="Times New Roman"/>
                <w:i/>
              </w:rPr>
            </w:pPr>
            <w:r w:rsidRPr="00793DEE">
              <w:rPr>
                <w:rFonts w:ascii="Times New Roman" w:hAnsi="Times New Roman" w:cs="Times New Roman"/>
                <w:i/>
              </w:rPr>
              <w:t>(</w:t>
            </w:r>
            <w:r w:rsidR="004B52EA" w:rsidRPr="00793DEE">
              <w:rPr>
                <w:rFonts w:ascii="Times New Roman" w:hAnsi="Times New Roman" w:cs="Times New Roman"/>
                <w:i/>
              </w:rPr>
              <w:t>7</w:t>
            </w:r>
            <w:r w:rsidRPr="00793DEE">
              <w:rPr>
                <w:rFonts w:ascii="Times New Roman" w:hAnsi="Times New Roman" w:cs="Times New Roman"/>
                <w:i/>
              </w:rPr>
              <w:t>)</w:t>
            </w:r>
          </w:p>
        </w:tc>
        <w:tc>
          <w:tcPr>
            <w:tcW w:w="1236" w:type="dxa"/>
            <w:tcBorders>
              <w:top w:val="single" w:sz="4" w:space="0" w:color="auto"/>
              <w:bottom w:val="double" w:sz="4" w:space="0" w:color="auto"/>
            </w:tcBorders>
          </w:tcPr>
          <w:p w:rsidR="006E30B9" w:rsidRPr="00793DEE" w:rsidRDefault="006E30B9" w:rsidP="00141422">
            <w:pPr>
              <w:spacing w:line="276" w:lineRule="auto"/>
              <w:rPr>
                <w:rFonts w:ascii="Times New Roman" w:hAnsi="Times New Roman" w:cs="Times New Roman"/>
                <w:i/>
              </w:rPr>
            </w:pPr>
            <w:r w:rsidRPr="00793DEE">
              <w:rPr>
                <w:rFonts w:ascii="Times New Roman" w:hAnsi="Times New Roman" w:cs="Times New Roman"/>
                <w:i/>
              </w:rPr>
              <w:t>(</w:t>
            </w:r>
            <w:r w:rsidR="004B52EA" w:rsidRPr="00793DEE">
              <w:rPr>
                <w:rFonts w:ascii="Times New Roman" w:hAnsi="Times New Roman" w:cs="Times New Roman"/>
                <w:i/>
              </w:rPr>
              <w:t>8</w:t>
            </w:r>
            <w:r w:rsidRPr="00793DEE">
              <w:rPr>
                <w:rFonts w:ascii="Times New Roman" w:hAnsi="Times New Roman" w:cs="Times New Roman"/>
                <w:i/>
              </w:rPr>
              <w:t>)</w:t>
            </w:r>
          </w:p>
        </w:tc>
        <w:tc>
          <w:tcPr>
            <w:tcW w:w="1236" w:type="dxa"/>
            <w:tcBorders>
              <w:top w:val="single" w:sz="4" w:space="0" w:color="auto"/>
              <w:bottom w:val="double" w:sz="4" w:space="0" w:color="auto"/>
            </w:tcBorders>
          </w:tcPr>
          <w:p w:rsidR="006E30B9" w:rsidRPr="00793DEE" w:rsidRDefault="006E30B9" w:rsidP="00141422">
            <w:pPr>
              <w:spacing w:line="276" w:lineRule="auto"/>
              <w:rPr>
                <w:rFonts w:ascii="Times New Roman" w:hAnsi="Times New Roman" w:cs="Times New Roman"/>
                <w:i/>
              </w:rPr>
            </w:pPr>
            <w:r w:rsidRPr="00793DEE">
              <w:rPr>
                <w:rFonts w:ascii="Times New Roman" w:hAnsi="Times New Roman" w:cs="Times New Roman"/>
                <w:i/>
              </w:rPr>
              <w:t>(</w:t>
            </w:r>
            <w:r w:rsidR="004B52EA" w:rsidRPr="00793DEE">
              <w:rPr>
                <w:rFonts w:ascii="Times New Roman" w:hAnsi="Times New Roman" w:cs="Times New Roman"/>
                <w:i/>
              </w:rPr>
              <w:t>9</w:t>
            </w:r>
            <w:r w:rsidRPr="00793DEE">
              <w:rPr>
                <w:rFonts w:ascii="Times New Roman" w:hAnsi="Times New Roman" w:cs="Times New Roman"/>
                <w:i/>
              </w:rPr>
              <w:t>)</w:t>
            </w:r>
          </w:p>
        </w:tc>
        <w:tc>
          <w:tcPr>
            <w:tcW w:w="1236" w:type="dxa"/>
            <w:tcBorders>
              <w:top w:val="single" w:sz="4" w:space="0" w:color="auto"/>
              <w:bottom w:val="double" w:sz="4" w:space="0" w:color="auto"/>
            </w:tcBorders>
          </w:tcPr>
          <w:p w:rsidR="006E30B9" w:rsidRPr="00793DEE" w:rsidRDefault="004B52EA" w:rsidP="00141422">
            <w:pPr>
              <w:spacing w:line="276" w:lineRule="auto"/>
              <w:rPr>
                <w:rFonts w:ascii="Times New Roman" w:hAnsi="Times New Roman" w:cs="Times New Roman"/>
                <w:i/>
              </w:rPr>
            </w:pPr>
            <w:r w:rsidRPr="00793DEE">
              <w:rPr>
                <w:rFonts w:ascii="Times New Roman" w:hAnsi="Times New Roman" w:cs="Times New Roman"/>
                <w:i/>
              </w:rPr>
              <w:t>(10)</w:t>
            </w:r>
          </w:p>
        </w:tc>
      </w:tr>
      <w:tr w:rsidR="00D64F8C" w:rsidRPr="00D64F8C" w:rsidTr="00793DEE">
        <w:trPr>
          <w:trHeight w:val="650"/>
        </w:trPr>
        <w:tc>
          <w:tcPr>
            <w:tcW w:w="2846" w:type="dxa"/>
            <w:tcBorders>
              <w:top w:val="double" w:sz="4" w:space="0" w:color="auto"/>
            </w:tcBorders>
            <w:vAlign w:val="bottom"/>
          </w:tcPr>
          <w:p w:rsidR="006E30B9" w:rsidRDefault="006E30B9" w:rsidP="00793DEE">
            <w:pPr>
              <w:spacing w:line="276" w:lineRule="auto"/>
              <w:rPr>
                <w:rFonts w:ascii="Times New Roman" w:hAnsi="Times New Roman" w:cs="Times New Roman"/>
              </w:rPr>
            </w:pPr>
            <w:r w:rsidRPr="00793DEE">
              <w:rPr>
                <w:rFonts w:ascii="Times New Roman" w:hAnsi="Times New Roman" w:cs="Times New Roman"/>
              </w:rPr>
              <w:t>Lag GDP per capita growth (annual %) – GDPKG(-1)</w:t>
            </w:r>
          </w:p>
          <w:p w:rsidR="00793DEE" w:rsidRDefault="00793DEE" w:rsidP="00793DEE">
            <w:pPr>
              <w:spacing w:line="276" w:lineRule="auto"/>
              <w:rPr>
                <w:rFonts w:ascii="Times New Roman" w:hAnsi="Times New Roman" w:cs="Times New Roman"/>
              </w:rPr>
            </w:pPr>
          </w:p>
          <w:p w:rsidR="00793DEE" w:rsidRPr="00793DEE" w:rsidRDefault="00793DEE" w:rsidP="00793DEE">
            <w:pPr>
              <w:spacing w:line="276" w:lineRule="auto"/>
              <w:rPr>
                <w:rFonts w:ascii="Times New Roman" w:hAnsi="Times New Roman" w:cs="Times New Roman"/>
              </w:rPr>
            </w:pPr>
          </w:p>
        </w:tc>
        <w:tc>
          <w:tcPr>
            <w:tcW w:w="1236" w:type="dxa"/>
            <w:tcBorders>
              <w:top w:val="double" w:sz="4" w:space="0" w:color="auto"/>
            </w:tcBorders>
            <w:vAlign w:val="bottom"/>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0.267***</w:t>
            </w:r>
          </w:p>
          <w:p w:rsidR="00793DEE" w:rsidRDefault="006E30B9" w:rsidP="00793DEE">
            <w:pPr>
              <w:spacing w:line="276" w:lineRule="auto"/>
              <w:rPr>
                <w:rFonts w:ascii="Times New Roman" w:hAnsi="Times New Roman" w:cs="Times New Roman"/>
              </w:rPr>
            </w:pPr>
            <w:r w:rsidRPr="00793DEE">
              <w:rPr>
                <w:rFonts w:ascii="Times New Roman" w:hAnsi="Times New Roman" w:cs="Times New Roman"/>
              </w:rPr>
              <w:t>(0.038</w:t>
            </w:r>
          </w:p>
          <w:p w:rsidR="00793DEE" w:rsidRDefault="00793DEE" w:rsidP="00793DEE">
            <w:pPr>
              <w:spacing w:line="276" w:lineRule="auto"/>
              <w:rPr>
                <w:rFonts w:ascii="Times New Roman" w:hAnsi="Times New Roman" w:cs="Times New Roman"/>
              </w:rPr>
            </w:pPr>
          </w:p>
          <w:p w:rsidR="00793DEE" w:rsidRPr="00793DEE" w:rsidRDefault="00793DEE" w:rsidP="00793DEE">
            <w:pPr>
              <w:spacing w:line="276" w:lineRule="auto"/>
              <w:rPr>
                <w:rFonts w:ascii="Times New Roman" w:hAnsi="Times New Roman" w:cs="Times New Roman"/>
              </w:rPr>
            </w:pPr>
          </w:p>
        </w:tc>
        <w:tc>
          <w:tcPr>
            <w:tcW w:w="1236" w:type="dxa"/>
            <w:tcBorders>
              <w:top w:val="double" w:sz="4" w:space="0" w:color="auto"/>
            </w:tcBorders>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0.278***</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(0.039)</w:t>
            </w:r>
          </w:p>
        </w:tc>
        <w:tc>
          <w:tcPr>
            <w:tcW w:w="1236" w:type="dxa"/>
            <w:tcBorders>
              <w:top w:val="double" w:sz="4" w:space="0" w:color="auto"/>
            </w:tcBorders>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0.278***</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(0.025)</w:t>
            </w:r>
          </w:p>
        </w:tc>
        <w:tc>
          <w:tcPr>
            <w:tcW w:w="1236" w:type="dxa"/>
            <w:tcBorders>
              <w:top w:val="double" w:sz="4" w:space="0" w:color="auto"/>
            </w:tcBorders>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0.286**</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(0.139)</w:t>
            </w:r>
          </w:p>
        </w:tc>
        <w:tc>
          <w:tcPr>
            <w:tcW w:w="1236" w:type="dxa"/>
            <w:tcBorders>
              <w:top w:val="double" w:sz="4" w:space="0" w:color="auto"/>
            </w:tcBorders>
          </w:tcPr>
          <w:p w:rsidR="0046573F" w:rsidRPr="00793DEE" w:rsidRDefault="0046573F" w:rsidP="00141422">
            <w:pPr>
              <w:spacing w:line="276" w:lineRule="auto"/>
              <w:rPr>
                <w:rFonts w:ascii="Times New Roman" w:hAnsi="Times New Roman" w:cs="Times New Roman"/>
              </w:rPr>
            </w:pPr>
            <w:r w:rsidRPr="00793DEE">
              <w:rPr>
                <w:rFonts w:ascii="Times New Roman" w:hAnsi="Times New Roman" w:cs="Times New Roman"/>
              </w:rPr>
              <w:t>0.268***</w:t>
            </w:r>
          </w:p>
          <w:p w:rsidR="006E30B9" w:rsidRPr="00793DEE" w:rsidRDefault="0046573F" w:rsidP="00141422">
            <w:pPr>
              <w:spacing w:line="276" w:lineRule="auto"/>
              <w:rPr>
                <w:rFonts w:ascii="Times New Roman" w:hAnsi="Times New Roman" w:cs="Times New Roman"/>
              </w:rPr>
            </w:pPr>
            <w:r w:rsidRPr="00793DEE">
              <w:rPr>
                <w:rFonts w:ascii="Times New Roman" w:hAnsi="Times New Roman" w:cs="Times New Roman"/>
              </w:rPr>
              <w:t>(0.0423)</w:t>
            </w:r>
          </w:p>
        </w:tc>
      </w:tr>
      <w:tr w:rsidR="00D64F8C" w:rsidRPr="00D64F8C" w:rsidTr="00793DEE">
        <w:tc>
          <w:tcPr>
            <w:tcW w:w="2846" w:type="dxa"/>
            <w:vAlign w:val="bottom"/>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Foreign direct investment, net inflows (% of GDP) – FDI</w:t>
            </w:r>
          </w:p>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0.786***</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(0.156)</w:t>
            </w: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r>
      <w:tr w:rsidR="00D64F8C" w:rsidRPr="00D64F8C" w:rsidTr="00793DEE">
        <w:tc>
          <w:tcPr>
            <w:tcW w:w="2846" w:type="dxa"/>
            <w:vAlign w:val="bottom"/>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Net ODA received (% of GDP) – ODA</w:t>
            </w:r>
          </w:p>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0.710***</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(0.107)</w:t>
            </w: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r>
      <w:tr w:rsidR="00D64F8C" w:rsidRPr="00D64F8C" w:rsidTr="00793DEE">
        <w:trPr>
          <w:trHeight w:val="832"/>
        </w:trPr>
        <w:tc>
          <w:tcPr>
            <w:tcW w:w="2846" w:type="dxa"/>
            <w:vAlign w:val="bottom"/>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Personal remittances, received (% of GDP) – REM</w:t>
            </w:r>
          </w:p>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0.011</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(0.013)</w:t>
            </w: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r>
      <w:tr w:rsidR="00D64F8C" w:rsidRPr="00D64F8C" w:rsidTr="00793DEE">
        <w:tc>
          <w:tcPr>
            <w:tcW w:w="2846" w:type="dxa"/>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Total inflows (sum of FDI, ODA and REM) as a percentage of GDP – Tinflows</w:t>
            </w:r>
          </w:p>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pStyle w:val="Abstracttext"/>
              <w:spacing w:line="276" w:lineRule="auto"/>
              <w:rPr>
                <w:color w:val="auto"/>
                <w:sz w:val="22"/>
                <w:szCs w:val="22"/>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p>
        </w:tc>
        <w:tc>
          <w:tcPr>
            <w:tcW w:w="1236" w:type="dxa"/>
          </w:tcPr>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0.659***</w:t>
            </w:r>
          </w:p>
          <w:p w:rsidR="006E30B9" w:rsidRPr="00793DEE" w:rsidRDefault="006E30B9" w:rsidP="00141422">
            <w:pPr>
              <w:spacing w:line="276" w:lineRule="auto"/>
              <w:rPr>
                <w:rFonts w:ascii="Times New Roman" w:hAnsi="Times New Roman" w:cs="Times New Roman"/>
              </w:rPr>
            </w:pPr>
            <w:r w:rsidRPr="00793DEE">
              <w:rPr>
                <w:rFonts w:ascii="Times New Roman" w:hAnsi="Times New Roman" w:cs="Times New Roman"/>
              </w:rPr>
              <w:t>(0.019)</w:t>
            </w:r>
          </w:p>
        </w:tc>
        <w:tc>
          <w:tcPr>
            <w:tcW w:w="1236" w:type="dxa"/>
          </w:tcPr>
          <w:p w:rsidR="006E30B9" w:rsidRPr="00793DEE" w:rsidRDefault="006E30B9" w:rsidP="00141422">
            <w:pPr>
              <w:spacing w:line="276" w:lineRule="auto"/>
              <w:rPr>
                <w:rFonts w:ascii="Times New Roman" w:hAnsi="Times New Roman" w:cs="Times New Roman"/>
              </w:rPr>
            </w:pPr>
          </w:p>
        </w:tc>
      </w:tr>
      <w:tr w:rsidR="00D64F8C" w:rsidRPr="00D64F8C" w:rsidTr="00793DEE">
        <w:tc>
          <w:tcPr>
            <w:tcW w:w="2846" w:type="dxa"/>
          </w:tcPr>
          <w:p w:rsidR="0046573F" w:rsidRPr="00793DEE" w:rsidRDefault="0046573F" w:rsidP="00141422">
            <w:pPr>
              <w:spacing w:line="276" w:lineRule="auto"/>
              <w:rPr>
                <w:rFonts w:ascii="Times New Roman" w:hAnsi="Times New Roman" w:cs="Times New Roman"/>
              </w:rPr>
            </w:pPr>
            <w:r w:rsidRPr="00793DEE">
              <w:rPr>
                <w:rFonts w:ascii="Times New Roman" w:hAnsi="Times New Roman" w:cs="Times New Roman"/>
              </w:rPr>
              <w:t>REM*BM</w:t>
            </w:r>
          </w:p>
        </w:tc>
        <w:tc>
          <w:tcPr>
            <w:tcW w:w="1236" w:type="dxa"/>
          </w:tcPr>
          <w:p w:rsidR="0046573F" w:rsidRPr="00793DEE" w:rsidRDefault="0046573F" w:rsidP="00141422">
            <w:pPr>
              <w:pStyle w:val="Abstracttext"/>
              <w:spacing w:line="276" w:lineRule="auto"/>
              <w:rPr>
                <w:color w:val="auto"/>
                <w:sz w:val="22"/>
                <w:szCs w:val="22"/>
              </w:rPr>
            </w:pPr>
          </w:p>
        </w:tc>
        <w:tc>
          <w:tcPr>
            <w:tcW w:w="1236" w:type="dxa"/>
          </w:tcPr>
          <w:p w:rsidR="0046573F" w:rsidRPr="00793DEE" w:rsidRDefault="0046573F" w:rsidP="00141422">
            <w:pPr>
              <w:spacing w:line="276" w:lineRule="auto"/>
              <w:rPr>
                <w:rFonts w:ascii="Times New Roman" w:hAnsi="Times New Roman" w:cs="Times New Roman"/>
              </w:rPr>
            </w:pPr>
          </w:p>
        </w:tc>
        <w:tc>
          <w:tcPr>
            <w:tcW w:w="1236" w:type="dxa"/>
          </w:tcPr>
          <w:p w:rsidR="0046573F" w:rsidRPr="00793DEE" w:rsidRDefault="0046573F" w:rsidP="00141422">
            <w:pPr>
              <w:spacing w:line="276" w:lineRule="auto"/>
              <w:rPr>
                <w:rFonts w:ascii="Times New Roman" w:hAnsi="Times New Roman" w:cs="Times New Roman"/>
              </w:rPr>
            </w:pPr>
          </w:p>
        </w:tc>
        <w:tc>
          <w:tcPr>
            <w:tcW w:w="1236" w:type="dxa"/>
          </w:tcPr>
          <w:p w:rsidR="0046573F" w:rsidRPr="00793DEE" w:rsidRDefault="0046573F" w:rsidP="00141422">
            <w:pPr>
              <w:spacing w:line="276" w:lineRule="auto"/>
              <w:rPr>
                <w:rFonts w:ascii="Times New Roman" w:hAnsi="Times New Roman" w:cs="Times New Roman"/>
              </w:rPr>
            </w:pPr>
          </w:p>
        </w:tc>
        <w:tc>
          <w:tcPr>
            <w:tcW w:w="1236" w:type="dxa"/>
          </w:tcPr>
          <w:p w:rsidR="0046573F" w:rsidRPr="00793DEE" w:rsidRDefault="0046573F" w:rsidP="00141422">
            <w:pPr>
              <w:spacing w:line="276" w:lineRule="auto"/>
              <w:rPr>
                <w:rFonts w:ascii="Times New Roman" w:hAnsi="Times New Roman" w:cs="Times New Roman"/>
              </w:rPr>
            </w:pPr>
            <w:r w:rsidRPr="00793DEE">
              <w:rPr>
                <w:rFonts w:ascii="Times New Roman" w:hAnsi="Times New Roman" w:cs="Times New Roman"/>
              </w:rPr>
              <w:t>0.694***</w:t>
            </w:r>
          </w:p>
          <w:p w:rsidR="0046573F" w:rsidRPr="00793DEE" w:rsidRDefault="0046573F" w:rsidP="00141422">
            <w:pPr>
              <w:spacing w:line="276" w:lineRule="auto"/>
              <w:rPr>
                <w:rFonts w:ascii="Times New Roman" w:hAnsi="Times New Roman" w:cs="Times New Roman"/>
              </w:rPr>
            </w:pPr>
            <w:r w:rsidRPr="00793DEE">
              <w:rPr>
                <w:rFonts w:ascii="Times New Roman" w:hAnsi="Times New Roman" w:cs="Times New Roman"/>
              </w:rPr>
              <w:t>(0.044)</w:t>
            </w:r>
          </w:p>
          <w:p w:rsidR="001426F9" w:rsidRPr="00793DEE" w:rsidRDefault="001426F9" w:rsidP="00141422">
            <w:pPr>
              <w:spacing w:line="276" w:lineRule="auto"/>
              <w:rPr>
                <w:rFonts w:ascii="Times New Roman" w:hAnsi="Times New Roman" w:cs="Times New Roman"/>
              </w:rPr>
            </w:pPr>
          </w:p>
        </w:tc>
      </w:tr>
      <w:tr w:rsidR="00D64F8C" w:rsidRPr="00D64F8C" w:rsidTr="00793DEE">
        <w:tc>
          <w:tcPr>
            <w:tcW w:w="284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Broad money (% of GDP) - BM</w:t>
            </w:r>
          </w:p>
          <w:p w:rsidR="00F15B47" w:rsidRPr="00793DEE" w:rsidRDefault="00F15B47" w:rsidP="00141422">
            <w:pPr>
              <w:spacing w:line="276" w:lineRule="auto"/>
              <w:rPr>
                <w:rFonts w:ascii="Times New Roman" w:hAnsi="Times New Roman" w:cs="Times New Roman"/>
              </w:rPr>
            </w:pPr>
          </w:p>
          <w:p w:rsidR="00F15B47" w:rsidRPr="00793DEE" w:rsidRDefault="00F15B47" w:rsidP="00141422">
            <w:pPr>
              <w:spacing w:line="276" w:lineRule="auto"/>
              <w:rPr>
                <w:rFonts w:ascii="Times New Roman" w:hAnsi="Times New Roman" w:cs="Times New Roman"/>
              </w:rPr>
            </w:pP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(0.0004)</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0.0004)</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0.0008***</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(0.0003)</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0.0006***</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0.0008***</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(0.0002)</w:t>
            </w:r>
          </w:p>
        </w:tc>
      </w:tr>
      <w:tr w:rsidR="00D64F8C" w:rsidRPr="00D64F8C" w:rsidTr="00793DEE">
        <w:tc>
          <w:tcPr>
            <w:tcW w:w="284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Population Growth (annual % change) -POP</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0.347***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(0.089)</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0.363***</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(0.087)</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0.345***</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(0.089)</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0.32***</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(0.086)</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0.297***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(0.032)</w:t>
            </w:r>
          </w:p>
          <w:p w:rsidR="00F15B47" w:rsidRPr="00793DEE" w:rsidRDefault="00F15B47" w:rsidP="00141422">
            <w:pPr>
              <w:spacing w:line="276" w:lineRule="auto"/>
              <w:rPr>
                <w:rFonts w:ascii="Times New Roman" w:hAnsi="Times New Roman" w:cs="Times New Roman"/>
              </w:rPr>
            </w:pPr>
          </w:p>
        </w:tc>
      </w:tr>
      <w:tr w:rsidR="00D64F8C" w:rsidRPr="00D64F8C" w:rsidTr="00793DEE">
        <w:tc>
          <w:tcPr>
            <w:tcW w:w="284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Gross Fixed Capital Formation (% of GDP) – GFKF</w:t>
            </w:r>
          </w:p>
          <w:p w:rsidR="00F15B47" w:rsidRPr="00793DEE" w:rsidRDefault="00F15B47" w:rsidP="00141422">
            <w:pPr>
              <w:spacing w:line="276" w:lineRule="auto"/>
              <w:rPr>
                <w:rFonts w:ascii="Times New Roman" w:hAnsi="Times New Roman" w:cs="Times New Roman"/>
              </w:rPr>
            </w:pP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0.26***</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(0.043)</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0.281***</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(0.074)</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0.29***</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0.281***</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0.138*</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(0.273)</w:t>
            </w:r>
          </w:p>
        </w:tc>
      </w:tr>
      <w:tr w:rsidR="00D64F8C" w:rsidRPr="00D64F8C" w:rsidTr="00793DEE">
        <w:tc>
          <w:tcPr>
            <w:tcW w:w="284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Inflation, GDP deflator (annual %) – INF</w:t>
            </w:r>
          </w:p>
          <w:p w:rsidR="00F15B47" w:rsidRPr="00793DEE" w:rsidRDefault="00F15B47" w:rsidP="00141422">
            <w:pPr>
              <w:spacing w:line="276" w:lineRule="auto"/>
              <w:rPr>
                <w:rFonts w:ascii="Times New Roman" w:hAnsi="Times New Roman" w:cs="Times New Roman"/>
              </w:rPr>
            </w:pP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-0.003**</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(0.002)</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-0.002**</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-0.003**</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-0.003**</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(0.001)</w:t>
            </w:r>
          </w:p>
        </w:tc>
      </w:tr>
      <w:tr w:rsidR="00D64F8C" w:rsidRPr="00D64F8C" w:rsidTr="00793DEE">
        <w:tc>
          <w:tcPr>
            <w:tcW w:w="2846" w:type="dxa"/>
          </w:tcPr>
          <w:p w:rsidR="00F15B47" w:rsidRDefault="00F15B47" w:rsidP="00141422">
            <w:pPr>
              <w:spacing w:line="276" w:lineRule="auto"/>
              <w:rPr>
                <w:rFonts w:ascii="Times New Roman" w:hAnsi="Times New Roman" w:cs="Times New Roman"/>
              </w:rPr>
            </w:pPr>
            <w:r w:rsidRPr="00793DEE">
              <w:rPr>
                <w:rFonts w:ascii="Times New Roman" w:hAnsi="Times New Roman" w:cs="Times New Roman"/>
              </w:rPr>
              <w:t>General government final consumption expenditure (% of GDP) - GCON</w:t>
            </w:r>
            <w:r w:rsidRPr="00793DEE">
              <w:rPr>
                <w:rFonts w:ascii="Times New Roman" w:hAnsi="Times New Roman" w:cs="Times New Roman"/>
              </w:rPr>
              <w:tab/>
            </w:r>
          </w:p>
          <w:p w:rsidR="00793DEE" w:rsidRPr="00793DEE" w:rsidRDefault="00793DEE" w:rsidP="00141422">
            <w:pPr>
              <w:spacing w:line="276" w:lineRule="auto"/>
              <w:rPr>
                <w:rFonts w:ascii="Times New Roman" w:hAnsi="Times New Roman" w:cs="Times New Roman"/>
              </w:rPr>
            </w:pP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0.002</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(0.001)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0.081**</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(0.032)</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0.022</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(0.024)</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0.722***</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(0.089)</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0.646***</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(0.014)</w:t>
            </w:r>
          </w:p>
        </w:tc>
      </w:tr>
      <w:tr w:rsidR="00D64F8C" w:rsidRPr="00D64F8C" w:rsidTr="00793DEE">
        <w:tc>
          <w:tcPr>
            <w:tcW w:w="284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Open is the sum of exports and imports of goods and services (% of GDP)  - OPEN</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0.679***</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(0.020)</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0.284***</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(0.021)</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0.720***</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(0.073)</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0.627***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(0.033)</w:t>
            </w:r>
          </w:p>
        </w:tc>
        <w:tc>
          <w:tcPr>
            <w:tcW w:w="1236" w:type="dxa"/>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0.694***</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(0.040)</w:t>
            </w:r>
          </w:p>
        </w:tc>
      </w:tr>
      <w:tr w:rsidR="00D64F8C" w:rsidRPr="00D64F8C" w:rsidTr="00793DEE">
        <w:tc>
          <w:tcPr>
            <w:tcW w:w="284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lastRenderedPageBreak/>
              <w:t>REER</w:t>
            </w:r>
          </w:p>
        </w:tc>
        <w:tc>
          <w:tcPr>
            <w:tcW w:w="123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-0.085***</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(0.029)</w:t>
            </w:r>
          </w:p>
        </w:tc>
        <w:tc>
          <w:tcPr>
            <w:tcW w:w="123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-0.068**</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(0.027)</w:t>
            </w:r>
          </w:p>
        </w:tc>
        <w:tc>
          <w:tcPr>
            <w:tcW w:w="123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-0.097***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(0.031)</w:t>
            </w:r>
          </w:p>
        </w:tc>
        <w:tc>
          <w:tcPr>
            <w:tcW w:w="123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-0.087***</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(0.026)</w:t>
            </w:r>
          </w:p>
        </w:tc>
        <w:tc>
          <w:tcPr>
            <w:tcW w:w="1236" w:type="dxa"/>
            <w:tcBorders>
              <w:bottom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-0.088***</w:t>
            </w:r>
          </w:p>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(0.026)</w:t>
            </w:r>
          </w:p>
          <w:p w:rsidR="00F15B47" w:rsidRPr="00793DEE" w:rsidRDefault="00F15B47" w:rsidP="00141422">
            <w:pPr>
              <w:spacing w:line="276" w:lineRule="auto"/>
              <w:rPr>
                <w:rFonts w:ascii="Times New Roman" w:hAnsi="Times New Roman" w:cs="Times New Roman"/>
              </w:rPr>
            </w:pPr>
          </w:p>
        </w:tc>
      </w:tr>
      <w:tr w:rsidR="00D64F8C" w:rsidRPr="00D64F8C" w:rsidTr="00793CAD">
        <w:tc>
          <w:tcPr>
            <w:tcW w:w="9026" w:type="dxa"/>
            <w:gridSpan w:val="6"/>
            <w:tcBorders>
              <w:top w:val="sing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*Significant at 10%, ** significant at 5% and *** significant at 1%. Standard errors in parenthesis</w:t>
            </w:r>
          </w:p>
        </w:tc>
      </w:tr>
      <w:tr w:rsidR="00D64F8C" w:rsidRPr="00D64F8C" w:rsidTr="00793CAD">
        <w:tc>
          <w:tcPr>
            <w:tcW w:w="9026" w:type="dxa"/>
            <w:gridSpan w:val="6"/>
            <w:tcBorders>
              <w:bottom w:val="double" w:sz="4" w:space="0" w:color="auto"/>
            </w:tcBorders>
          </w:tcPr>
          <w:p w:rsidR="00F15B47" w:rsidRPr="00793DEE" w:rsidRDefault="00F15B47" w:rsidP="00141422">
            <w:pPr>
              <w:spacing w:line="276" w:lineRule="auto"/>
              <w:rPr>
                <w:rFonts w:ascii="Times New Roman" w:hAnsi="Times New Roman" w:cs="Times New Roman"/>
              </w:rPr>
            </w:pPr>
            <w:r w:rsidRPr="00793DEE">
              <w:rPr>
                <w:rFonts w:ascii="Times New Roman" w:hAnsi="Times New Roman" w:cs="Times New Roman"/>
              </w:rPr>
              <w:t>All variables are in natural logarithms except POP growth and Inflation that are in annual % change</w:t>
            </w:r>
          </w:p>
        </w:tc>
      </w:tr>
    </w:tbl>
    <w:p w:rsidR="00704A03" w:rsidRPr="00D64F8C" w:rsidRDefault="00704A03" w:rsidP="00141422">
      <w:pPr>
        <w:spacing w:line="276" w:lineRule="auto"/>
        <w:rPr>
          <w:rFonts w:ascii="Times New Roman" w:hAnsi="Times New Roman" w:cs="Times New Roman"/>
          <w:sz w:val="24"/>
          <w:szCs w:val="24"/>
        </w:rPr>
      </w:pPr>
    </w:p>
    <w:p w:rsidR="00A46746" w:rsidRPr="00D64F8C" w:rsidRDefault="00021323" w:rsidP="00141422">
      <w:pPr>
        <w:pStyle w:val="Abstracttext"/>
        <w:spacing w:line="276" w:lineRule="auto"/>
        <w:rPr>
          <w:b/>
          <w:i/>
          <w:color w:val="auto"/>
        </w:rPr>
      </w:pPr>
      <w:r w:rsidRPr="00D64F8C">
        <w:rPr>
          <w:b/>
          <w:i/>
          <w:color w:val="auto"/>
        </w:rPr>
        <w:t xml:space="preserve">4.2 </w:t>
      </w:r>
      <w:r w:rsidR="00A46746" w:rsidRPr="00D64F8C">
        <w:rPr>
          <w:b/>
          <w:i/>
          <w:color w:val="auto"/>
        </w:rPr>
        <w:t>Estimation of the REER Model</w:t>
      </w:r>
    </w:p>
    <w:p w:rsidR="00D62EEB" w:rsidRPr="00D64F8C" w:rsidRDefault="00BB4BD7" w:rsidP="00141422">
      <w:pPr>
        <w:pStyle w:val="Abstracttext"/>
        <w:spacing w:line="276" w:lineRule="auto"/>
        <w:rPr>
          <w:color w:val="auto"/>
        </w:rPr>
      </w:pPr>
      <w:r w:rsidRPr="00D64F8C">
        <w:rPr>
          <w:color w:val="auto"/>
        </w:rPr>
        <w:t>Table (3) shows the system GMM results of the real effective exchange rate (REER) model. Equations (1), (2), (3) and equation (4) uses F</w:t>
      </w:r>
      <w:r w:rsidR="008C244C" w:rsidRPr="00D64F8C">
        <w:rPr>
          <w:color w:val="auto"/>
        </w:rPr>
        <w:t>oreign Direct Investments</w:t>
      </w:r>
      <w:r w:rsidR="00105F2E" w:rsidRPr="00D64F8C">
        <w:rPr>
          <w:color w:val="auto"/>
        </w:rPr>
        <w:t xml:space="preserve"> (FDI)</w:t>
      </w:r>
      <w:r w:rsidRPr="00D64F8C">
        <w:rPr>
          <w:color w:val="auto"/>
        </w:rPr>
        <w:t>, O</w:t>
      </w:r>
      <w:r w:rsidR="008C244C" w:rsidRPr="00D64F8C">
        <w:rPr>
          <w:color w:val="auto"/>
        </w:rPr>
        <w:t>fficial Development Assistance</w:t>
      </w:r>
      <w:r w:rsidR="00105F2E" w:rsidRPr="00D64F8C">
        <w:rPr>
          <w:color w:val="auto"/>
        </w:rPr>
        <w:t xml:space="preserve"> (ODA)</w:t>
      </w:r>
      <w:r w:rsidRPr="00D64F8C">
        <w:rPr>
          <w:color w:val="auto"/>
        </w:rPr>
        <w:t>, Remittances</w:t>
      </w:r>
      <w:r w:rsidR="00105F2E" w:rsidRPr="00D64F8C">
        <w:rPr>
          <w:color w:val="auto"/>
        </w:rPr>
        <w:t xml:space="preserve"> (REM)</w:t>
      </w:r>
      <w:r w:rsidRPr="00D64F8C">
        <w:rPr>
          <w:color w:val="auto"/>
        </w:rPr>
        <w:t xml:space="preserve"> and total inflows</w:t>
      </w:r>
      <w:r w:rsidR="00105F2E" w:rsidRPr="00D64F8C">
        <w:rPr>
          <w:color w:val="auto"/>
        </w:rPr>
        <w:t xml:space="preserve"> (Tinflows)</w:t>
      </w:r>
      <w:r w:rsidRPr="00D64F8C">
        <w:rPr>
          <w:color w:val="auto"/>
        </w:rPr>
        <w:t xml:space="preserve"> as a percentage of GDP </w:t>
      </w:r>
      <w:r w:rsidR="00EC416A" w:rsidRPr="00D64F8C">
        <w:rPr>
          <w:color w:val="auto"/>
        </w:rPr>
        <w:t xml:space="preserve">for our four </w:t>
      </w:r>
      <w:r w:rsidRPr="00D64F8C">
        <w:rPr>
          <w:color w:val="auto"/>
        </w:rPr>
        <w:t>variables</w:t>
      </w:r>
      <w:r w:rsidR="00EC416A" w:rsidRPr="00D64F8C">
        <w:rPr>
          <w:color w:val="auto"/>
        </w:rPr>
        <w:t xml:space="preserve"> of interest</w:t>
      </w:r>
      <w:r w:rsidRPr="00D64F8C">
        <w:rPr>
          <w:color w:val="auto"/>
        </w:rPr>
        <w:t xml:space="preserve"> respectively. </w:t>
      </w:r>
      <w:r w:rsidR="00EC416A" w:rsidRPr="00D64F8C">
        <w:rPr>
          <w:color w:val="auto"/>
        </w:rPr>
        <w:t>Three of</w:t>
      </w:r>
      <w:r w:rsidR="00C006A4" w:rsidRPr="00D64F8C">
        <w:rPr>
          <w:color w:val="auto"/>
        </w:rPr>
        <w:t xml:space="preserve"> the capital inflows variables are significant</w:t>
      </w:r>
      <w:r w:rsidR="00F15B47" w:rsidRPr="00D64F8C">
        <w:rPr>
          <w:color w:val="auto"/>
        </w:rPr>
        <w:t xml:space="preserve"> and </w:t>
      </w:r>
      <w:r w:rsidR="00C006A4" w:rsidRPr="00D64F8C">
        <w:rPr>
          <w:color w:val="auto"/>
        </w:rPr>
        <w:t>appreciat</w:t>
      </w:r>
      <w:r w:rsidR="00F15B47" w:rsidRPr="00D64F8C">
        <w:rPr>
          <w:color w:val="auto"/>
        </w:rPr>
        <w:t>es</w:t>
      </w:r>
      <w:r w:rsidR="00C006A4" w:rsidRPr="00D64F8C">
        <w:rPr>
          <w:color w:val="auto"/>
        </w:rPr>
        <w:t xml:space="preserve"> the REER. </w:t>
      </w:r>
      <w:r w:rsidR="006D64FD" w:rsidRPr="00D64F8C">
        <w:rPr>
          <w:color w:val="auto"/>
        </w:rPr>
        <w:t xml:space="preserve">Specifically, a 1 percent increase </w:t>
      </w:r>
      <w:r w:rsidR="003513C4" w:rsidRPr="00D64F8C">
        <w:rPr>
          <w:color w:val="auto"/>
        </w:rPr>
        <w:t xml:space="preserve">in FDI, net ODA and total inflows leads to a 6.4 percent, 6.7 percent and 7.6 percent appreciation of the REER. However, remittance inflows parameter is not statistically significant, </w:t>
      </w:r>
      <w:r w:rsidR="00C006A4" w:rsidRPr="00D64F8C">
        <w:rPr>
          <w:color w:val="auto"/>
        </w:rPr>
        <w:t>suggest</w:t>
      </w:r>
      <w:r w:rsidR="003513C4" w:rsidRPr="00D64F8C">
        <w:rPr>
          <w:color w:val="auto"/>
        </w:rPr>
        <w:t>ing</w:t>
      </w:r>
      <w:r w:rsidR="00C006A4" w:rsidRPr="00D64F8C">
        <w:rPr>
          <w:color w:val="auto"/>
        </w:rPr>
        <w:t xml:space="preserve"> that remittances inflow to the region are mostly for consumption smoothing with little impact on </w:t>
      </w:r>
      <w:r w:rsidR="00105F2E" w:rsidRPr="00D64F8C">
        <w:rPr>
          <w:color w:val="auto"/>
        </w:rPr>
        <w:t>economic growth</w:t>
      </w:r>
      <w:r w:rsidR="00C006A4" w:rsidRPr="00D64F8C">
        <w:rPr>
          <w:color w:val="auto"/>
        </w:rPr>
        <w:t xml:space="preserve">. </w:t>
      </w:r>
      <w:r w:rsidR="0095050C" w:rsidRPr="00D64F8C">
        <w:rPr>
          <w:color w:val="auto"/>
        </w:rPr>
        <w:t xml:space="preserve">Remittances </w:t>
      </w:r>
      <w:r w:rsidR="005A7BEA">
        <w:rPr>
          <w:color w:val="auto"/>
        </w:rPr>
        <w:t>seems to be</w:t>
      </w:r>
      <w:r w:rsidR="0095050C" w:rsidRPr="00D64F8C">
        <w:rPr>
          <w:color w:val="auto"/>
        </w:rPr>
        <w:t xml:space="preserve"> more countercyclical, helping households smooth their consumption during difficult times. </w:t>
      </w:r>
      <w:r w:rsidR="00C006A4" w:rsidRPr="00D64F8C">
        <w:rPr>
          <w:color w:val="auto"/>
        </w:rPr>
        <w:t>The FDI, ODA and by accumulation total inflows seems to increase the productive capacity of the economies in the region</w:t>
      </w:r>
      <w:r w:rsidR="00B85373" w:rsidRPr="00D64F8C">
        <w:rPr>
          <w:color w:val="auto"/>
        </w:rPr>
        <w:t xml:space="preserve"> and the resultant resource reallocation lead</w:t>
      </w:r>
      <w:r w:rsidR="00105F2E" w:rsidRPr="00D64F8C">
        <w:rPr>
          <w:color w:val="auto"/>
        </w:rPr>
        <w:t>s</w:t>
      </w:r>
      <w:r w:rsidR="00B85373" w:rsidRPr="00D64F8C">
        <w:rPr>
          <w:color w:val="auto"/>
        </w:rPr>
        <w:t xml:space="preserve"> to REER appreciation. </w:t>
      </w:r>
      <w:r w:rsidR="00EC416A" w:rsidRPr="00D64F8C">
        <w:rPr>
          <w:color w:val="auto"/>
        </w:rPr>
        <w:t>This suggests that</w:t>
      </w:r>
      <w:r w:rsidR="00B85373" w:rsidRPr="00D64F8C">
        <w:rPr>
          <w:color w:val="auto"/>
        </w:rPr>
        <w:t xml:space="preserve"> FDI inflows are a more stable source of inflow and increases productive capacity of the economy through transfer of technology and know-how and with time leads more efficient resource allocation and an appreciation of the REER. </w:t>
      </w:r>
      <w:r w:rsidR="00C006A4" w:rsidRPr="00D64F8C">
        <w:rPr>
          <w:color w:val="auto"/>
        </w:rPr>
        <w:t xml:space="preserve"> </w:t>
      </w:r>
      <w:r w:rsidRPr="00D64F8C">
        <w:rPr>
          <w:color w:val="auto"/>
        </w:rPr>
        <w:t xml:space="preserve"> </w:t>
      </w:r>
      <w:r w:rsidR="0095050C" w:rsidRPr="00D64F8C">
        <w:rPr>
          <w:color w:val="auto"/>
        </w:rPr>
        <w:t xml:space="preserve">Similarly, ODA inflows for some countries in the region have </w:t>
      </w:r>
      <w:r w:rsidR="00F15B47" w:rsidRPr="00D64F8C">
        <w:rPr>
          <w:color w:val="auto"/>
        </w:rPr>
        <w:t xml:space="preserve">become almost a </w:t>
      </w:r>
      <w:r w:rsidR="00105F2E" w:rsidRPr="00D64F8C">
        <w:rPr>
          <w:color w:val="auto"/>
        </w:rPr>
        <w:t>permanent feature</w:t>
      </w:r>
      <w:r w:rsidR="00F15B47" w:rsidRPr="00D64F8C">
        <w:rPr>
          <w:color w:val="auto"/>
        </w:rPr>
        <w:t xml:space="preserve"> and </w:t>
      </w:r>
      <w:r w:rsidR="0095050C" w:rsidRPr="00D64F8C">
        <w:rPr>
          <w:color w:val="auto"/>
        </w:rPr>
        <w:t>predictable</w:t>
      </w:r>
      <w:r w:rsidR="00F15B47" w:rsidRPr="00D64F8C">
        <w:rPr>
          <w:color w:val="auto"/>
        </w:rPr>
        <w:t xml:space="preserve">, </w:t>
      </w:r>
      <w:r w:rsidR="0095050C" w:rsidRPr="00D64F8C">
        <w:rPr>
          <w:color w:val="auto"/>
        </w:rPr>
        <w:t xml:space="preserve">providing finance for development in the region. </w:t>
      </w:r>
    </w:p>
    <w:p w:rsidR="0095050C" w:rsidRPr="00D64F8C" w:rsidRDefault="0095050C" w:rsidP="00141422">
      <w:pPr>
        <w:pStyle w:val="Abstracttext"/>
        <w:spacing w:line="276" w:lineRule="auto"/>
        <w:rPr>
          <w:color w:val="auto"/>
        </w:rPr>
      </w:pPr>
    </w:p>
    <w:p w:rsidR="00D62EEB" w:rsidRPr="00D64F8C" w:rsidRDefault="008B7ED6" w:rsidP="00141422">
      <w:pPr>
        <w:pStyle w:val="Abstracttext"/>
        <w:spacing w:line="276" w:lineRule="auto"/>
        <w:rPr>
          <w:color w:val="auto"/>
        </w:rPr>
      </w:pPr>
      <w:r w:rsidRPr="00D64F8C">
        <w:rPr>
          <w:color w:val="auto"/>
        </w:rPr>
        <w:t xml:space="preserve">In terms of the other macroeconomic fundamentals, </w:t>
      </w:r>
      <w:r w:rsidR="000F554F" w:rsidRPr="00D64F8C">
        <w:rPr>
          <w:color w:val="auto"/>
        </w:rPr>
        <w:t>the lagged REER variable has significant and positive coefficients across all the four equations suggesting that if the exchange rate was appreciati</w:t>
      </w:r>
      <w:r w:rsidR="00F15B47" w:rsidRPr="00D64F8C">
        <w:rPr>
          <w:color w:val="auto"/>
        </w:rPr>
        <w:t>ng</w:t>
      </w:r>
      <w:r w:rsidR="000F554F" w:rsidRPr="00D64F8C">
        <w:rPr>
          <w:color w:val="auto"/>
        </w:rPr>
        <w:t xml:space="preserve"> in the previous period, it will also appreciate in the current period</w:t>
      </w:r>
      <w:r w:rsidR="006C34D3" w:rsidRPr="00D64F8C">
        <w:rPr>
          <w:color w:val="auto"/>
        </w:rPr>
        <w:t xml:space="preserve"> and vice versa</w:t>
      </w:r>
      <w:r w:rsidR="000F554F" w:rsidRPr="00D64F8C">
        <w:rPr>
          <w:color w:val="auto"/>
        </w:rPr>
        <w:t>.</w:t>
      </w:r>
      <w:r w:rsidR="006C34D3" w:rsidRPr="00D64F8C">
        <w:rPr>
          <w:color w:val="auto"/>
        </w:rPr>
        <w:t xml:space="preserve"> A one percent appreciation of the REER in the previous period leads to about 0.63 percent appreciation in the current period across the four equations. </w:t>
      </w:r>
      <w:r w:rsidRPr="00D64F8C">
        <w:rPr>
          <w:color w:val="auto"/>
        </w:rPr>
        <w:t xml:space="preserve">Openness </w:t>
      </w:r>
      <w:r w:rsidR="00EC416A" w:rsidRPr="00D64F8C">
        <w:rPr>
          <w:color w:val="auto"/>
        </w:rPr>
        <w:t xml:space="preserve">(OPEN) </w:t>
      </w:r>
      <w:r w:rsidRPr="00D64F8C">
        <w:rPr>
          <w:color w:val="auto"/>
        </w:rPr>
        <w:t>negatively affects REER, since trade restrictions affect the price of non-tradable goods. Increasing restrictions on tradable goods has a negative effect on the price of the tradable goods through the income effect and a positive effect through the substitution effect, so the income effect is less likely to dominate (Edwards, 19</w:t>
      </w:r>
      <w:r w:rsidR="008C0CA6" w:rsidRPr="00D64F8C">
        <w:rPr>
          <w:color w:val="auto"/>
        </w:rPr>
        <w:t>9</w:t>
      </w:r>
      <w:r w:rsidRPr="00D64F8C">
        <w:rPr>
          <w:color w:val="auto"/>
        </w:rPr>
        <w:t>8</w:t>
      </w:r>
      <w:r w:rsidR="00155763">
        <w:rPr>
          <w:color w:val="auto"/>
        </w:rPr>
        <w:t xml:space="preserve"> [26]</w:t>
      </w:r>
      <w:r w:rsidRPr="00D64F8C">
        <w:rPr>
          <w:color w:val="auto"/>
        </w:rPr>
        <w:t>). Trade restrictions hence push down the prices of tradable goods relative to non-tradable goods, leading to an appreciation of the REER</w:t>
      </w:r>
      <w:r w:rsidR="00EC416A" w:rsidRPr="00D64F8C">
        <w:rPr>
          <w:color w:val="auto"/>
        </w:rPr>
        <w:t>. C</w:t>
      </w:r>
      <w:r w:rsidRPr="00D64F8C">
        <w:rPr>
          <w:color w:val="auto"/>
        </w:rPr>
        <w:t>onversely</w:t>
      </w:r>
      <w:r w:rsidR="00EC416A" w:rsidRPr="00D64F8C">
        <w:rPr>
          <w:color w:val="auto"/>
        </w:rPr>
        <w:t>,</w:t>
      </w:r>
      <w:r w:rsidRPr="00D64F8C">
        <w:rPr>
          <w:color w:val="auto"/>
        </w:rPr>
        <w:t xml:space="preserve"> trade openness</w:t>
      </w:r>
      <w:r w:rsidR="00EC416A" w:rsidRPr="00D64F8C">
        <w:rPr>
          <w:color w:val="auto"/>
        </w:rPr>
        <w:t xml:space="preserve"> pushes up the prices of tradable goods relative to non-tradable goods</w:t>
      </w:r>
      <w:r w:rsidR="000F554F" w:rsidRPr="00D64F8C">
        <w:rPr>
          <w:color w:val="auto"/>
        </w:rPr>
        <w:t xml:space="preserve"> </w:t>
      </w:r>
      <w:r w:rsidR="00922C03" w:rsidRPr="00D64F8C">
        <w:rPr>
          <w:color w:val="auto"/>
        </w:rPr>
        <w:t>leading to a depreciation of the REER</w:t>
      </w:r>
      <w:r w:rsidRPr="00D64F8C">
        <w:rPr>
          <w:color w:val="auto"/>
        </w:rPr>
        <w:t xml:space="preserve"> and hence the negative relationship. </w:t>
      </w:r>
      <w:r w:rsidR="003371AE" w:rsidRPr="00D64F8C">
        <w:rPr>
          <w:color w:val="auto"/>
        </w:rPr>
        <w:t xml:space="preserve">The coefficient on government consumption expenditure (GCON) is positive and significant, </w:t>
      </w:r>
      <w:r w:rsidR="00745153" w:rsidRPr="00D64F8C">
        <w:rPr>
          <w:color w:val="auto"/>
        </w:rPr>
        <w:t>meaning that</w:t>
      </w:r>
      <w:r w:rsidR="003371AE" w:rsidRPr="00D64F8C">
        <w:rPr>
          <w:color w:val="auto"/>
        </w:rPr>
        <w:t xml:space="preserve"> government spending </w:t>
      </w:r>
      <w:r w:rsidR="004547EE" w:rsidRPr="00D64F8C">
        <w:rPr>
          <w:color w:val="auto"/>
        </w:rPr>
        <w:t>lead</w:t>
      </w:r>
      <w:r w:rsidR="00105F2E" w:rsidRPr="00D64F8C">
        <w:rPr>
          <w:color w:val="auto"/>
        </w:rPr>
        <w:t>s</w:t>
      </w:r>
      <w:r w:rsidR="004547EE" w:rsidRPr="00D64F8C">
        <w:rPr>
          <w:color w:val="auto"/>
        </w:rPr>
        <w:t xml:space="preserve"> to an appreciation of the REER </w:t>
      </w:r>
      <w:r w:rsidR="00745153" w:rsidRPr="00D64F8C">
        <w:rPr>
          <w:color w:val="auto"/>
        </w:rPr>
        <w:t>since</w:t>
      </w:r>
      <w:r w:rsidR="004547EE" w:rsidRPr="00D64F8C">
        <w:rPr>
          <w:color w:val="auto"/>
        </w:rPr>
        <w:t xml:space="preserve"> public spending is channeled towards non-tradable goods</w:t>
      </w:r>
      <w:r w:rsidR="00105F2E" w:rsidRPr="00D64F8C">
        <w:rPr>
          <w:color w:val="auto"/>
        </w:rPr>
        <w:t>, increasing their prices relative to tradable goods</w:t>
      </w:r>
      <w:r w:rsidR="004547EE" w:rsidRPr="00D64F8C">
        <w:rPr>
          <w:color w:val="auto"/>
        </w:rPr>
        <w:t xml:space="preserve">. </w:t>
      </w:r>
      <w:r w:rsidRPr="00D64F8C">
        <w:rPr>
          <w:color w:val="auto"/>
        </w:rPr>
        <w:t xml:space="preserve">The </w:t>
      </w:r>
      <w:r w:rsidR="000F554F" w:rsidRPr="00D64F8C">
        <w:rPr>
          <w:color w:val="auto"/>
        </w:rPr>
        <w:t xml:space="preserve">coefficient of the </w:t>
      </w:r>
      <w:r w:rsidRPr="00D64F8C">
        <w:rPr>
          <w:color w:val="auto"/>
        </w:rPr>
        <w:t xml:space="preserve">Terms of Trade (TOT) </w:t>
      </w:r>
      <w:r w:rsidR="000F554F" w:rsidRPr="00D64F8C">
        <w:rPr>
          <w:color w:val="auto"/>
        </w:rPr>
        <w:t xml:space="preserve">variable </w:t>
      </w:r>
      <w:r w:rsidR="00922C03" w:rsidRPr="00D64F8C">
        <w:rPr>
          <w:color w:val="auto"/>
        </w:rPr>
        <w:t>significantly and</w:t>
      </w:r>
      <w:r w:rsidRPr="00D64F8C">
        <w:rPr>
          <w:color w:val="auto"/>
        </w:rPr>
        <w:t xml:space="preserve"> positively affect REER since improvement in TOT causes the REER to appreciate to the extent that it improves the trade balance.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1302"/>
        <w:gridCol w:w="1177"/>
        <w:gridCol w:w="1229"/>
        <w:gridCol w:w="1258"/>
      </w:tblGrid>
      <w:tr w:rsidR="005A7BEA" w:rsidRPr="005A7BEA" w:rsidTr="00904814">
        <w:trPr>
          <w:trHeight w:val="522"/>
        </w:trPr>
        <w:tc>
          <w:tcPr>
            <w:tcW w:w="8956" w:type="dxa"/>
            <w:gridSpan w:val="5"/>
            <w:tcBorders>
              <w:bottom w:val="single" w:sz="4" w:space="0" w:color="auto"/>
            </w:tcBorders>
          </w:tcPr>
          <w:p w:rsidR="00904814" w:rsidRPr="005A7BEA" w:rsidRDefault="00904814" w:rsidP="00141422">
            <w:pPr>
              <w:spacing w:line="276" w:lineRule="auto"/>
              <w:rPr>
                <w:rFonts w:ascii="Times New Roman" w:hAnsi="Times New Roman" w:cs="Times New Roman"/>
                <w:b/>
              </w:rPr>
            </w:pPr>
            <w:r w:rsidRPr="005A7BEA">
              <w:rPr>
                <w:rFonts w:ascii="Times New Roman" w:hAnsi="Times New Roman" w:cs="Times New Roman"/>
                <w:b/>
              </w:rPr>
              <w:lastRenderedPageBreak/>
              <w:t>Table 3. Dependent Variable: Real effective exchange rate (CPI-based) Index - REER</w:t>
            </w:r>
            <w:r w:rsidRPr="005A7BEA">
              <w:rPr>
                <w:rFonts w:ascii="Times New Roman" w:hAnsi="Times New Roman" w:cs="Times New Roman"/>
                <w:b/>
              </w:rPr>
              <w:tab/>
            </w:r>
          </w:p>
        </w:tc>
      </w:tr>
      <w:tr w:rsidR="00D64F8C" w:rsidRPr="005A7BEA" w:rsidTr="00704A03">
        <w:trPr>
          <w:trHeight w:val="256"/>
        </w:trPr>
        <w:tc>
          <w:tcPr>
            <w:tcW w:w="3990" w:type="dxa"/>
            <w:tcBorders>
              <w:top w:val="single" w:sz="4" w:space="0" w:color="auto"/>
              <w:bottom w:val="double" w:sz="4" w:space="0" w:color="auto"/>
            </w:tcBorders>
          </w:tcPr>
          <w:p w:rsidR="00904814" w:rsidRPr="005A7BEA" w:rsidRDefault="00904814" w:rsidP="00141422">
            <w:pPr>
              <w:spacing w:line="276" w:lineRule="auto"/>
              <w:rPr>
                <w:rFonts w:ascii="Times New Roman" w:hAnsi="Times New Roman" w:cs="Times New Roman"/>
                <w:b/>
              </w:rPr>
            </w:pPr>
            <w:r w:rsidRPr="005A7BEA">
              <w:rPr>
                <w:rFonts w:ascii="Times New Roman" w:hAnsi="Times New Roman" w:cs="Times New Roman"/>
                <w:b/>
              </w:rPr>
              <w:t>System GMM Estimation</w:t>
            </w:r>
          </w:p>
        </w:tc>
        <w:tc>
          <w:tcPr>
            <w:tcW w:w="1302" w:type="dxa"/>
            <w:tcBorders>
              <w:top w:val="single" w:sz="4" w:space="0" w:color="auto"/>
              <w:bottom w:val="double" w:sz="4" w:space="0" w:color="auto"/>
            </w:tcBorders>
          </w:tcPr>
          <w:p w:rsidR="00904814" w:rsidRPr="005A7BEA" w:rsidRDefault="00904814" w:rsidP="00141422">
            <w:pPr>
              <w:spacing w:line="276" w:lineRule="auto"/>
              <w:rPr>
                <w:rFonts w:ascii="Times New Roman" w:hAnsi="Times New Roman" w:cs="Times New Roman"/>
                <w:i/>
              </w:rPr>
            </w:pPr>
            <w:r w:rsidRPr="005A7BEA">
              <w:rPr>
                <w:rFonts w:ascii="Times New Roman" w:hAnsi="Times New Roman" w:cs="Times New Roman"/>
                <w:i/>
              </w:rPr>
              <w:t>(1)</w:t>
            </w:r>
          </w:p>
        </w:tc>
        <w:tc>
          <w:tcPr>
            <w:tcW w:w="1177" w:type="dxa"/>
            <w:tcBorders>
              <w:top w:val="single" w:sz="4" w:space="0" w:color="auto"/>
              <w:bottom w:val="double" w:sz="4" w:space="0" w:color="auto"/>
            </w:tcBorders>
          </w:tcPr>
          <w:p w:rsidR="00904814" w:rsidRPr="005A7BEA" w:rsidRDefault="00904814" w:rsidP="00141422">
            <w:pPr>
              <w:spacing w:line="276" w:lineRule="auto"/>
              <w:rPr>
                <w:rFonts w:ascii="Times New Roman" w:hAnsi="Times New Roman" w:cs="Times New Roman"/>
                <w:i/>
              </w:rPr>
            </w:pPr>
            <w:r w:rsidRPr="005A7BEA">
              <w:rPr>
                <w:rFonts w:ascii="Times New Roman" w:hAnsi="Times New Roman" w:cs="Times New Roman"/>
                <w:i/>
              </w:rPr>
              <w:t>(2)</w:t>
            </w:r>
          </w:p>
        </w:tc>
        <w:tc>
          <w:tcPr>
            <w:tcW w:w="1229" w:type="dxa"/>
            <w:tcBorders>
              <w:top w:val="single" w:sz="4" w:space="0" w:color="auto"/>
              <w:bottom w:val="double" w:sz="4" w:space="0" w:color="auto"/>
            </w:tcBorders>
          </w:tcPr>
          <w:p w:rsidR="00904814" w:rsidRPr="005A7BEA" w:rsidRDefault="00904814" w:rsidP="00141422">
            <w:pPr>
              <w:spacing w:line="276" w:lineRule="auto"/>
              <w:rPr>
                <w:rFonts w:ascii="Times New Roman" w:hAnsi="Times New Roman" w:cs="Times New Roman"/>
                <w:i/>
              </w:rPr>
            </w:pPr>
            <w:r w:rsidRPr="005A7BEA">
              <w:rPr>
                <w:rFonts w:ascii="Times New Roman" w:hAnsi="Times New Roman" w:cs="Times New Roman"/>
                <w:i/>
              </w:rPr>
              <w:t>(3)</w:t>
            </w:r>
          </w:p>
        </w:tc>
        <w:tc>
          <w:tcPr>
            <w:tcW w:w="1258" w:type="dxa"/>
            <w:tcBorders>
              <w:top w:val="single" w:sz="4" w:space="0" w:color="auto"/>
              <w:bottom w:val="double" w:sz="4" w:space="0" w:color="auto"/>
            </w:tcBorders>
          </w:tcPr>
          <w:p w:rsidR="00904814" w:rsidRPr="005A7BEA" w:rsidRDefault="00904814" w:rsidP="00141422">
            <w:pPr>
              <w:spacing w:line="276" w:lineRule="auto"/>
              <w:rPr>
                <w:rFonts w:ascii="Times New Roman" w:hAnsi="Times New Roman" w:cs="Times New Roman"/>
                <w:i/>
              </w:rPr>
            </w:pPr>
            <w:r w:rsidRPr="005A7BEA">
              <w:rPr>
                <w:rFonts w:ascii="Times New Roman" w:hAnsi="Times New Roman" w:cs="Times New Roman"/>
                <w:i/>
              </w:rPr>
              <w:t>(4)</w:t>
            </w:r>
          </w:p>
        </w:tc>
      </w:tr>
      <w:tr w:rsidR="00D64F8C" w:rsidRPr="005A7BEA" w:rsidTr="00704A03">
        <w:trPr>
          <w:trHeight w:val="605"/>
        </w:trPr>
        <w:tc>
          <w:tcPr>
            <w:tcW w:w="3990" w:type="dxa"/>
            <w:tcBorders>
              <w:top w:val="double" w:sz="4" w:space="0" w:color="auto"/>
            </w:tcBorders>
            <w:vAlign w:val="bottom"/>
          </w:tcPr>
          <w:p w:rsidR="00704A03"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Lag</w:t>
            </w:r>
            <w:r w:rsidRPr="005A7BEA">
              <w:rPr>
                <w:rFonts w:ascii="Times New Roman" w:hAnsi="Times New Roman" w:cs="Times New Roman"/>
              </w:rPr>
              <w:tab/>
              <w:t>Real effective exchange rate (CPI-based) Index -  REER (-1)</w:t>
            </w:r>
          </w:p>
          <w:p w:rsidR="00704A03" w:rsidRPr="005A7BEA" w:rsidRDefault="00704A03" w:rsidP="00141422">
            <w:pPr>
              <w:spacing w:line="276" w:lineRule="auto"/>
              <w:rPr>
                <w:rFonts w:ascii="Times New Roman" w:hAnsi="Times New Roman" w:cs="Times New Roman"/>
              </w:rPr>
            </w:pPr>
          </w:p>
          <w:p w:rsidR="00704A03" w:rsidRPr="005A7BEA" w:rsidRDefault="00704A03" w:rsidP="00141422">
            <w:pPr>
              <w:spacing w:line="276" w:lineRule="auto"/>
              <w:rPr>
                <w:rFonts w:ascii="Times New Roman" w:hAnsi="Times New Roman" w:cs="Times New Roman"/>
              </w:rPr>
            </w:pPr>
          </w:p>
        </w:tc>
        <w:tc>
          <w:tcPr>
            <w:tcW w:w="1302" w:type="dxa"/>
            <w:tcBorders>
              <w:top w:val="double" w:sz="4" w:space="0" w:color="auto"/>
            </w:tcBorders>
            <w:vAlign w:val="bottom"/>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0.632***</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(0.022)</w:t>
            </w:r>
          </w:p>
          <w:p w:rsidR="00704A03" w:rsidRPr="005A7BEA" w:rsidRDefault="00704A03" w:rsidP="00141422">
            <w:pPr>
              <w:spacing w:line="276" w:lineRule="auto"/>
              <w:rPr>
                <w:rFonts w:ascii="Times New Roman" w:hAnsi="Times New Roman" w:cs="Times New Roman"/>
              </w:rPr>
            </w:pPr>
          </w:p>
          <w:p w:rsidR="00704A03" w:rsidRPr="005A7BEA" w:rsidRDefault="00704A03" w:rsidP="00141422">
            <w:pPr>
              <w:spacing w:line="276" w:lineRule="auto"/>
              <w:rPr>
                <w:rFonts w:ascii="Times New Roman" w:hAnsi="Times New Roman" w:cs="Times New Roman"/>
              </w:rPr>
            </w:pPr>
          </w:p>
        </w:tc>
        <w:tc>
          <w:tcPr>
            <w:tcW w:w="1177" w:type="dxa"/>
            <w:tcBorders>
              <w:top w:val="doub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0.634***</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(0.021)</w:t>
            </w:r>
          </w:p>
        </w:tc>
        <w:tc>
          <w:tcPr>
            <w:tcW w:w="1229" w:type="dxa"/>
            <w:tcBorders>
              <w:top w:val="doub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0.637***</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(0.015)</w:t>
            </w:r>
          </w:p>
        </w:tc>
        <w:tc>
          <w:tcPr>
            <w:tcW w:w="1258" w:type="dxa"/>
            <w:tcBorders>
              <w:top w:val="doub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0.627***</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(0.046)</w:t>
            </w:r>
          </w:p>
        </w:tc>
      </w:tr>
      <w:tr w:rsidR="005A7BEA" w:rsidRPr="005A7BEA" w:rsidTr="00704A03">
        <w:trPr>
          <w:trHeight w:val="1035"/>
        </w:trPr>
        <w:tc>
          <w:tcPr>
            <w:tcW w:w="3990" w:type="dxa"/>
            <w:vAlign w:val="bottom"/>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Foreign direct investment, net inflows (% of GDP) – FDI</w:t>
            </w:r>
          </w:p>
          <w:p w:rsidR="00904814" w:rsidRPr="005A7BEA" w:rsidRDefault="00904814" w:rsidP="00141422">
            <w:pPr>
              <w:spacing w:line="276" w:lineRule="auto"/>
              <w:rPr>
                <w:rFonts w:ascii="Times New Roman" w:hAnsi="Times New Roman" w:cs="Times New Roman"/>
              </w:rPr>
            </w:pP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0.635***</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(0.028)</w:t>
            </w:r>
          </w:p>
        </w:tc>
        <w:tc>
          <w:tcPr>
            <w:tcW w:w="1177" w:type="dxa"/>
          </w:tcPr>
          <w:p w:rsidR="00904814" w:rsidRPr="005A7BEA" w:rsidRDefault="00904814" w:rsidP="00141422">
            <w:pPr>
              <w:spacing w:line="276" w:lineRule="auto"/>
              <w:rPr>
                <w:rFonts w:ascii="Times New Roman" w:hAnsi="Times New Roman" w:cs="Times New Roman"/>
              </w:rPr>
            </w:pPr>
          </w:p>
        </w:tc>
        <w:tc>
          <w:tcPr>
            <w:tcW w:w="1229" w:type="dxa"/>
          </w:tcPr>
          <w:p w:rsidR="00904814" w:rsidRPr="005A7BEA" w:rsidRDefault="00904814" w:rsidP="00141422">
            <w:pPr>
              <w:spacing w:line="276" w:lineRule="auto"/>
              <w:rPr>
                <w:rFonts w:ascii="Times New Roman" w:hAnsi="Times New Roman" w:cs="Times New Roman"/>
              </w:rPr>
            </w:pPr>
          </w:p>
        </w:tc>
        <w:tc>
          <w:tcPr>
            <w:tcW w:w="1258" w:type="dxa"/>
          </w:tcPr>
          <w:p w:rsidR="00904814" w:rsidRPr="005A7BEA" w:rsidRDefault="00904814" w:rsidP="00141422">
            <w:pPr>
              <w:spacing w:line="276" w:lineRule="auto"/>
              <w:rPr>
                <w:rFonts w:ascii="Times New Roman" w:hAnsi="Times New Roman" w:cs="Times New Roman"/>
              </w:rPr>
            </w:pPr>
          </w:p>
        </w:tc>
      </w:tr>
      <w:tr w:rsidR="005A7BEA" w:rsidRPr="005A7BEA" w:rsidTr="00704A03">
        <w:trPr>
          <w:trHeight w:val="678"/>
        </w:trPr>
        <w:tc>
          <w:tcPr>
            <w:tcW w:w="3990" w:type="dxa"/>
            <w:vAlign w:val="bottom"/>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Net ODA received (% of GDP) – ODA</w:t>
            </w:r>
          </w:p>
          <w:p w:rsidR="00704A03" w:rsidRPr="005A7BEA" w:rsidRDefault="00704A03" w:rsidP="00141422">
            <w:pPr>
              <w:spacing w:line="276" w:lineRule="auto"/>
              <w:rPr>
                <w:rFonts w:ascii="Times New Roman" w:hAnsi="Times New Roman" w:cs="Times New Roman"/>
              </w:rPr>
            </w:pPr>
          </w:p>
          <w:p w:rsidR="00904814" w:rsidRPr="005A7BEA" w:rsidRDefault="00904814" w:rsidP="00141422">
            <w:pPr>
              <w:spacing w:line="276" w:lineRule="auto"/>
              <w:rPr>
                <w:rFonts w:ascii="Times New Roman" w:hAnsi="Times New Roman" w:cs="Times New Roman"/>
              </w:rPr>
            </w:pP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p>
        </w:tc>
        <w:tc>
          <w:tcPr>
            <w:tcW w:w="1177"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0.666***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(0.041)</w:t>
            </w:r>
          </w:p>
        </w:tc>
        <w:tc>
          <w:tcPr>
            <w:tcW w:w="1229" w:type="dxa"/>
          </w:tcPr>
          <w:p w:rsidR="00904814" w:rsidRPr="005A7BEA" w:rsidRDefault="00904814" w:rsidP="00141422">
            <w:pPr>
              <w:spacing w:line="276" w:lineRule="auto"/>
              <w:rPr>
                <w:rFonts w:ascii="Times New Roman" w:hAnsi="Times New Roman" w:cs="Times New Roman"/>
              </w:rPr>
            </w:pPr>
          </w:p>
        </w:tc>
        <w:tc>
          <w:tcPr>
            <w:tcW w:w="1258" w:type="dxa"/>
          </w:tcPr>
          <w:p w:rsidR="00904814" w:rsidRPr="005A7BEA" w:rsidRDefault="00904814" w:rsidP="00141422">
            <w:pPr>
              <w:spacing w:line="276" w:lineRule="auto"/>
              <w:rPr>
                <w:rFonts w:ascii="Times New Roman" w:hAnsi="Times New Roman" w:cs="Times New Roman"/>
              </w:rPr>
            </w:pPr>
          </w:p>
        </w:tc>
      </w:tr>
      <w:tr w:rsidR="005A7BEA" w:rsidRPr="005A7BEA" w:rsidTr="00704A03">
        <w:trPr>
          <w:trHeight w:val="1045"/>
        </w:trPr>
        <w:tc>
          <w:tcPr>
            <w:tcW w:w="3990" w:type="dxa"/>
            <w:vAlign w:val="bottom"/>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Personal remittances, received (% of GDP) – REM</w:t>
            </w:r>
          </w:p>
          <w:p w:rsidR="00904814" w:rsidRPr="005A7BEA" w:rsidRDefault="00904814" w:rsidP="00141422">
            <w:pPr>
              <w:spacing w:line="276" w:lineRule="auto"/>
              <w:rPr>
                <w:rFonts w:ascii="Times New Roman" w:hAnsi="Times New Roman" w:cs="Times New Roman"/>
              </w:rPr>
            </w:pP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p>
        </w:tc>
        <w:tc>
          <w:tcPr>
            <w:tcW w:w="1177" w:type="dxa"/>
          </w:tcPr>
          <w:p w:rsidR="00904814" w:rsidRPr="005A7BEA" w:rsidRDefault="00904814" w:rsidP="00141422">
            <w:pPr>
              <w:spacing w:line="276" w:lineRule="auto"/>
              <w:rPr>
                <w:rFonts w:ascii="Times New Roman" w:hAnsi="Times New Roman" w:cs="Times New Roman"/>
              </w:rPr>
            </w:pPr>
          </w:p>
        </w:tc>
        <w:tc>
          <w:tcPr>
            <w:tcW w:w="1229"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0.084</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(0.067)</w:t>
            </w:r>
          </w:p>
        </w:tc>
        <w:tc>
          <w:tcPr>
            <w:tcW w:w="1258" w:type="dxa"/>
          </w:tcPr>
          <w:p w:rsidR="00904814" w:rsidRPr="005A7BEA" w:rsidRDefault="00904814" w:rsidP="00141422">
            <w:pPr>
              <w:spacing w:line="276" w:lineRule="auto"/>
              <w:rPr>
                <w:rFonts w:ascii="Times New Roman" w:hAnsi="Times New Roman" w:cs="Times New Roman"/>
              </w:rPr>
            </w:pPr>
          </w:p>
        </w:tc>
      </w:tr>
      <w:tr w:rsidR="00D64F8C" w:rsidRPr="005A7BEA" w:rsidTr="00704A03">
        <w:trPr>
          <w:trHeight w:val="1035"/>
        </w:trPr>
        <w:tc>
          <w:tcPr>
            <w:tcW w:w="3990"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Total inflows (sum of FDI, ODA and REM) as a percentage of GDP – Tinflows</w:t>
            </w:r>
          </w:p>
        </w:tc>
        <w:tc>
          <w:tcPr>
            <w:tcW w:w="1302" w:type="dxa"/>
          </w:tcPr>
          <w:p w:rsidR="00904814" w:rsidRPr="005A7BEA" w:rsidRDefault="00904814" w:rsidP="00141422">
            <w:pPr>
              <w:pStyle w:val="Abstracttext"/>
              <w:spacing w:line="276" w:lineRule="auto"/>
              <w:rPr>
                <w:color w:val="auto"/>
                <w:sz w:val="22"/>
                <w:szCs w:val="22"/>
              </w:rPr>
            </w:pPr>
          </w:p>
        </w:tc>
        <w:tc>
          <w:tcPr>
            <w:tcW w:w="1177" w:type="dxa"/>
          </w:tcPr>
          <w:p w:rsidR="00904814" w:rsidRPr="005A7BEA" w:rsidRDefault="00904814" w:rsidP="00141422">
            <w:pPr>
              <w:spacing w:line="276" w:lineRule="auto"/>
              <w:rPr>
                <w:rFonts w:ascii="Times New Roman" w:hAnsi="Times New Roman" w:cs="Times New Roman"/>
              </w:rPr>
            </w:pPr>
          </w:p>
        </w:tc>
        <w:tc>
          <w:tcPr>
            <w:tcW w:w="1229" w:type="dxa"/>
          </w:tcPr>
          <w:p w:rsidR="00904814" w:rsidRPr="005A7BEA" w:rsidRDefault="00904814" w:rsidP="00141422">
            <w:pPr>
              <w:spacing w:line="276" w:lineRule="auto"/>
              <w:rPr>
                <w:rFonts w:ascii="Times New Roman" w:hAnsi="Times New Roman" w:cs="Times New Roman"/>
              </w:rPr>
            </w:pPr>
          </w:p>
        </w:tc>
        <w:tc>
          <w:tcPr>
            <w:tcW w:w="1258"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0.763***</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(0.097)</w:t>
            </w:r>
          </w:p>
        </w:tc>
      </w:tr>
      <w:tr w:rsidR="00D64F8C" w:rsidRPr="005A7BEA" w:rsidTr="00704A03">
        <w:trPr>
          <w:trHeight w:val="1035"/>
        </w:trPr>
        <w:tc>
          <w:tcPr>
            <w:tcW w:w="3990"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Open is the sum of exports and imports of goods and services (% of GDP)  - OPEN</w:t>
            </w: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-0.359***</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(0.092)</w:t>
            </w:r>
          </w:p>
        </w:tc>
        <w:tc>
          <w:tcPr>
            <w:tcW w:w="1177"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-0.344***</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(0.091)</w:t>
            </w:r>
          </w:p>
        </w:tc>
        <w:tc>
          <w:tcPr>
            <w:tcW w:w="1229"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-0.340***</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(0.090)</w:t>
            </w:r>
          </w:p>
        </w:tc>
        <w:tc>
          <w:tcPr>
            <w:tcW w:w="1258"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-0.341***</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(0.089)</w:t>
            </w:r>
          </w:p>
        </w:tc>
      </w:tr>
      <w:tr w:rsidR="005A7BEA" w:rsidRPr="005A7BEA" w:rsidTr="00704A03">
        <w:trPr>
          <w:trHeight w:val="522"/>
        </w:trPr>
        <w:tc>
          <w:tcPr>
            <w:tcW w:w="3990"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Terms of Trade Index - TOT</w:t>
            </w: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0.622***</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(0.033)</w:t>
            </w:r>
          </w:p>
        </w:tc>
        <w:tc>
          <w:tcPr>
            <w:tcW w:w="1177"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0.626***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(0.045)</w:t>
            </w:r>
          </w:p>
        </w:tc>
        <w:tc>
          <w:tcPr>
            <w:tcW w:w="1229"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0.636***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(0.029)</w:t>
            </w:r>
          </w:p>
        </w:tc>
        <w:tc>
          <w:tcPr>
            <w:tcW w:w="1258"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0.628***</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(0.026)</w:t>
            </w:r>
          </w:p>
          <w:p w:rsidR="003371AE" w:rsidRPr="005A7BEA" w:rsidRDefault="003371AE" w:rsidP="00141422">
            <w:pPr>
              <w:spacing w:line="276" w:lineRule="auto"/>
              <w:rPr>
                <w:rFonts w:ascii="Times New Roman" w:hAnsi="Times New Roman" w:cs="Times New Roman"/>
              </w:rPr>
            </w:pPr>
          </w:p>
        </w:tc>
      </w:tr>
      <w:tr w:rsidR="005A7BEA" w:rsidRPr="005A7BEA" w:rsidTr="00704A03">
        <w:trPr>
          <w:trHeight w:val="512"/>
        </w:trPr>
        <w:tc>
          <w:tcPr>
            <w:tcW w:w="3990"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Balassa Samuelson Index - BSI</w:t>
            </w:r>
            <w:r w:rsidRPr="005A7BEA">
              <w:rPr>
                <w:rFonts w:ascii="Times New Roman" w:hAnsi="Times New Roman" w:cs="Times New Roman"/>
              </w:rPr>
              <w:tab/>
            </w:r>
          </w:p>
          <w:p w:rsidR="00904814" w:rsidRPr="005A7BEA" w:rsidRDefault="00904814" w:rsidP="00141422">
            <w:pPr>
              <w:spacing w:line="276" w:lineRule="auto"/>
              <w:rPr>
                <w:rFonts w:ascii="Times New Roman" w:hAnsi="Times New Roman" w:cs="Times New Roman"/>
              </w:rPr>
            </w:pPr>
          </w:p>
        </w:tc>
        <w:tc>
          <w:tcPr>
            <w:tcW w:w="1302"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0.173***</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(0.046)</w:t>
            </w:r>
          </w:p>
        </w:tc>
        <w:tc>
          <w:tcPr>
            <w:tcW w:w="1177"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0.26***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(0.038)</w:t>
            </w:r>
          </w:p>
        </w:tc>
        <w:tc>
          <w:tcPr>
            <w:tcW w:w="1229"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0.181</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(0.204)</w:t>
            </w:r>
          </w:p>
        </w:tc>
        <w:tc>
          <w:tcPr>
            <w:tcW w:w="1258" w:type="dxa"/>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0.173*</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(0.101)</w:t>
            </w:r>
          </w:p>
          <w:p w:rsidR="003371AE" w:rsidRPr="005A7BEA" w:rsidRDefault="003371AE" w:rsidP="00141422">
            <w:pPr>
              <w:spacing w:line="276" w:lineRule="auto"/>
              <w:rPr>
                <w:rFonts w:ascii="Times New Roman" w:hAnsi="Times New Roman" w:cs="Times New Roman"/>
              </w:rPr>
            </w:pPr>
          </w:p>
        </w:tc>
      </w:tr>
      <w:tr w:rsidR="00D64F8C" w:rsidRPr="005A7BEA" w:rsidTr="00781704">
        <w:trPr>
          <w:trHeight w:val="779"/>
        </w:trPr>
        <w:tc>
          <w:tcPr>
            <w:tcW w:w="3990" w:type="dxa"/>
            <w:tcBorders>
              <w:bottom w:val="sing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General government final consumption expenditure (% of GDP) - GCON</w:t>
            </w:r>
            <w:r w:rsidRPr="005A7BEA">
              <w:rPr>
                <w:rFonts w:ascii="Times New Roman" w:hAnsi="Times New Roman" w:cs="Times New Roman"/>
              </w:rPr>
              <w:tab/>
            </w:r>
          </w:p>
        </w:tc>
        <w:tc>
          <w:tcPr>
            <w:tcW w:w="1302" w:type="dxa"/>
            <w:tcBorders>
              <w:bottom w:val="sing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0.422***</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(0.102)</w:t>
            </w:r>
          </w:p>
        </w:tc>
        <w:tc>
          <w:tcPr>
            <w:tcW w:w="1177" w:type="dxa"/>
            <w:tcBorders>
              <w:bottom w:val="sing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0.536***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(0.107)</w:t>
            </w:r>
          </w:p>
        </w:tc>
        <w:tc>
          <w:tcPr>
            <w:tcW w:w="1229" w:type="dxa"/>
            <w:tcBorders>
              <w:bottom w:val="sing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0.126***</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(0.039)</w:t>
            </w:r>
          </w:p>
        </w:tc>
        <w:tc>
          <w:tcPr>
            <w:tcW w:w="1258" w:type="dxa"/>
            <w:tcBorders>
              <w:bottom w:val="single" w:sz="4" w:space="0" w:color="auto"/>
            </w:tcBorders>
          </w:tcPr>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0.220***</w:t>
            </w:r>
          </w:p>
          <w:p w:rsidR="00904814" w:rsidRPr="005A7BEA" w:rsidRDefault="00904814" w:rsidP="00141422">
            <w:pPr>
              <w:spacing w:line="276" w:lineRule="auto"/>
              <w:rPr>
                <w:rFonts w:ascii="Times New Roman" w:hAnsi="Times New Roman" w:cs="Times New Roman"/>
              </w:rPr>
            </w:pPr>
            <w:r w:rsidRPr="005A7BEA">
              <w:rPr>
                <w:rFonts w:ascii="Times New Roman" w:hAnsi="Times New Roman" w:cs="Times New Roman"/>
              </w:rPr>
              <w:t>(0.068)</w:t>
            </w:r>
          </w:p>
        </w:tc>
      </w:tr>
      <w:tr w:rsidR="00D64F8C" w:rsidRPr="005A7BEA" w:rsidTr="00781704">
        <w:trPr>
          <w:trHeight w:val="319"/>
        </w:trPr>
        <w:tc>
          <w:tcPr>
            <w:tcW w:w="8956" w:type="dxa"/>
            <w:gridSpan w:val="5"/>
            <w:tcBorders>
              <w:top w:val="single" w:sz="4" w:space="0" w:color="auto"/>
            </w:tcBorders>
          </w:tcPr>
          <w:p w:rsidR="009C7B4B" w:rsidRPr="005A7BEA" w:rsidRDefault="009C7B4B" w:rsidP="00141422">
            <w:pPr>
              <w:spacing w:line="276" w:lineRule="auto"/>
              <w:rPr>
                <w:rFonts w:ascii="Times New Roman" w:hAnsi="Times New Roman" w:cs="Times New Roman"/>
              </w:rPr>
            </w:pPr>
            <w:r w:rsidRPr="005A7BEA">
              <w:rPr>
                <w:rFonts w:ascii="Times New Roman" w:hAnsi="Times New Roman" w:cs="Times New Roman"/>
              </w:rPr>
              <w:t>*Significant at 10%, ** significant at 5% and *** significant at 1%. Standard errors in parenthesis</w:t>
            </w:r>
          </w:p>
        </w:tc>
      </w:tr>
      <w:tr w:rsidR="00D64F8C" w:rsidRPr="005A7BEA" w:rsidTr="00781704">
        <w:trPr>
          <w:trHeight w:val="281"/>
        </w:trPr>
        <w:tc>
          <w:tcPr>
            <w:tcW w:w="8956" w:type="dxa"/>
            <w:gridSpan w:val="5"/>
            <w:tcBorders>
              <w:bottom w:val="double" w:sz="4" w:space="0" w:color="auto"/>
            </w:tcBorders>
          </w:tcPr>
          <w:p w:rsidR="009C7B4B" w:rsidRPr="005A7BEA" w:rsidRDefault="009C7B4B" w:rsidP="00141422">
            <w:pPr>
              <w:spacing w:line="276" w:lineRule="auto"/>
              <w:rPr>
                <w:rFonts w:ascii="Times New Roman" w:hAnsi="Times New Roman" w:cs="Times New Roman"/>
              </w:rPr>
            </w:pPr>
            <w:r w:rsidRPr="005A7BEA">
              <w:rPr>
                <w:rFonts w:ascii="Times New Roman" w:hAnsi="Times New Roman" w:cs="Times New Roman"/>
              </w:rPr>
              <w:t>All variables are in natural logarithms except POP growth and Inflation that are in annual % change</w:t>
            </w:r>
          </w:p>
        </w:tc>
      </w:tr>
    </w:tbl>
    <w:p w:rsidR="00457DD5" w:rsidRPr="00D64F8C" w:rsidRDefault="00457DD5" w:rsidP="00141422">
      <w:pPr>
        <w:pStyle w:val="Abstracttext"/>
        <w:spacing w:line="276" w:lineRule="auto"/>
        <w:rPr>
          <w:color w:val="auto"/>
        </w:rPr>
      </w:pPr>
    </w:p>
    <w:p w:rsidR="00457DD5" w:rsidRPr="00D64F8C" w:rsidRDefault="00A136EF" w:rsidP="00141422">
      <w:pPr>
        <w:pStyle w:val="Abstracttext"/>
        <w:spacing w:line="276" w:lineRule="auto"/>
        <w:rPr>
          <w:color w:val="auto"/>
        </w:rPr>
      </w:pPr>
      <w:r w:rsidRPr="00D64F8C">
        <w:rPr>
          <w:color w:val="auto"/>
        </w:rPr>
        <w:t xml:space="preserve">BSI </w:t>
      </w:r>
      <w:r w:rsidR="008B7ED6" w:rsidRPr="00D64F8C">
        <w:rPr>
          <w:color w:val="auto"/>
        </w:rPr>
        <w:t xml:space="preserve">is used to capture the impact of the increasing price of non-tradable goods over the development process within a sample for which per capital GDP levels are quite heterogeneous. </w:t>
      </w:r>
      <w:r w:rsidRPr="00D64F8C">
        <w:rPr>
          <w:color w:val="auto"/>
        </w:rPr>
        <w:t>The BSI</w:t>
      </w:r>
      <w:r w:rsidR="008B7ED6" w:rsidRPr="00D64F8C">
        <w:rPr>
          <w:color w:val="auto"/>
        </w:rPr>
        <w:t xml:space="preserve"> claims that productivity grows faster in the tradable than non-tradable sectors. Consequently, wages grow faster in tradable sector which spillover to the non-tradable sectors. The upward pressure on wages in the non-tradable sectors is not matched by similar wage increases in the tradable sectors since prices in the tradable sectors are internationally determined and hence homogeneous across countries. Higher wages in the non-tradable sectors results in higher relative prices for non-tradable</w:t>
      </w:r>
      <w:r w:rsidR="00F15B47" w:rsidRPr="00D64F8C">
        <w:rPr>
          <w:color w:val="auto"/>
        </w:rPr>
        <w:t xml:space="preserve"> good</w:t>
      </w:r>
      <w:r w:rsidR="008B7ED6" w:rsidRPr="00D64F8C">
        <w:rPr>
          <w:color w:val="auto"/>
        </w:rPr>
        <w:t xml:space="preserve">s. This implies an increase in domestic </w:t>
      </w:r>
      <w:r w:rsidR="008B7ED6" w:rsidRPr="00D64F8C">
        <w:rPr>
          <w:color w:val="auto"/>
        </w:rPr>
        <w:lastRenderedPageBreak/>
        <w:t xml:space="preserve">inflation and an appreciation of the REER. </w:t>
      </w:r>
      <w:r w:rsidR="00457DD5" w:rsidRPr="00D64F8C">
        <w:rPr>
          <w:color w:val="auto"/>
        </w:rPr>
        <w:t xml:space="preserve">The </w:t>
      </w:r>
      <w:r w:rsidR="00383A5F" w:rsidRPr="00D64F8C">
        <w:rPr>
          <w:color w:val="auto"/>
        </w:rPr>
        <w:t xml:space="preserve">results indicate that the coefficient of the </w:t>
      </w:r>
      <w:r w:rsidR="00457DD5" w:rsidRPr="00D64F8C">
        <w:rPr>
          <w:color w:val="auto"/>
        </w:rPr>
        <w:t xml:space="preserve">Balasa-Samuelson Index (BSI) is significant in the equation (1) , equation (2) and equation (4) and not significant in equation (3) but with </w:t>
      </w:r>
      <w:r w:rsidR="00383A5F" w:rsidRPr="00D64F8C">
        <w:rPr>
          <w:color w:val="auto"/>
        </w:rPr>
        <w:t>a positive</w:t>
      </w:r>
      <w:r w:rsidR="00457DD5" w:rsidRPr="00D64F8C">
        <w:rPr>
          <w:color w:val="auto"/>
        </w:rPr>
        <w:t xml:space="preserve"> sign. This suggest that FDI, Net ODA and total inflows have a more lasting influence on REER</w:t>
      </w:r>
      <w:r w:rsidR="00F15B47" w:rsidRPr="00D64F8C">
        <w:rPr>
          <w:color w:val="auto"/>
        </w:rPr>
        <w:t xml:space="preserve"> (tends to appreciate)</w:t>
      </w:r>
      <w:r w:rsidR="00457DD5" w:rsidRPr="00D64F8C">
        <w:rPr>
          <w:color w:val="auto"/>
        </w:rPr>
        <w:t xml:space="preserve"> possibly indicating that they tend to be more stable unlike remittances flows in these economies. </w:t>
      </w:r>
    </w:p>
    <w:p w:rsidR="008B7ED6" w:rsidRPr="00D64F8C" w:rsidRDefault="008B7ED6" w:rsidP="00141422">
      <w:pPr>
        <w:pStyle w:val="Abstracttext"/>
        <w:spacing w:line="276" w:lineRule="auto"/>
        <w:rPr>
          <w:color w:val="auto"/>
        </w:rPr>
      </w:pPr>
    </w:p>
    <w:p w:rsidR="00C41552" w:rsidRPr="00D64F8C" w:rsidRDefault="00C41552" w:rsidP="00141422">
      <w:pPr>
        <w:pStyle w:val="HeadingNumbering1"/>
        <w:numPr>
          <w:ilvl w:val="0"/>
          <w:numId w:val="1"/>
        </w:numPr>
        <w:rPr>
          <w:sz w:val="24"/>
          <w:szCs w:val="24"/>
        </w:rPr>
      </w:pPr>
      <w:r w:rsidRPr="00D64F8C">
        <w:rPr>
          <w:sz w:val="24"/>
          <w:szCs w:val="24"/>
        </w:rPr>
        <w:t>Conclusion</w:t>
      </w:r>
      <w:r w:rsidR="00457DD5" w:rsidRPr="00D64F8C">
        <w:rPr>
          <w:sz w:val="24"/>
          <w:szCs w:val="24"/>
        </w:rPr>
        <w:t xml:space="preserve"> and Policy Implications</w:t>
      </w:r>
    </w:p>
    <w:p w:rsidR="00C41552" w:rsidRPr="00D64F8C" w:rsidRDefault="00ED6043" w:rsidP="00141422">
      <w:pPr>
        <w:pStyle w:val="Abstracttext"/>
        <w:spacing w:line="276" w:lineRule="auto"/>
        <w:rPr>
          <w:color w:val="auto"/>
        </w:rPr>
      </w:pPr>
      <w:r w:rsidRPr="00D64F8C">
        <w:rPr>
          <w:color w:val="auto"/>
        </w:rPr>
        <w:t xml:space="preserve">The </w:t>
      </w:r>
      <w:r w:rsidR="004D698E" w:rsidRPr="00D64F8C">
        <w:rPr>
          <w:color w:val="auto"/>
        </w:rPr>
        <w:t>study</w:t>
      </w:r>
      <w:r w:rsidRPr="00D64F8C">
        <w:rPr>
          <w:color w:val="auto"/>
        </w:rPr>
        <w:t xml:space="preserve"> examines the </w:t>
      </w:r>
      <w:r w:rsidR="004D698E" w:rsidRPr="00D64F8C">
        <w:rPr>
          <w:color w:val="auto"/>
        </w:rPr>
        <w:t>link between</w:t>
      </w:r>
      <w:r w:rsidRPr="00D64F8C">
        <w:rPr>
          <w:color w:val="auto"/>
        </w:rPr>
        <w:t xml:space="preserve"> </w:t>
      </w:r>
      <w:r w:rsidR="004D698E" w:rsidRPr="00D64F8C">
        <w:rPr>
          <w:color w:val="auto"/>
        </w:rPr>
        <w:t>capital</w:t>
      </w:r>
      <w:r w:rsidRPr="00D64F8C">
        <w:rPr>
          <w:color w:val="auto"/>
        </w:rPr>
        <w:t xml:space="preserve"> inflows </w:t>
      </w:r>
      <w:r w:rsidR="004D698E" w:rsidRPr="00D64F8C">
        <w:rPr>
          <w:color w:val="auto"/>
        </w:rPr>
        <w:t xml:space="preserve">and </w:t>
      </w:r>
      <w:r w:rsidRPr="00D64F8C">
        <w:rPr>
          <w:color w:val="auto"/>
        </w:rPr>
        <w:t xml:space="preserve">economic </w:t>
      </w:r>
      <w:r w:rsidR="004D698E" w:rsidRPr="00D64F8C">
        <w:rPr>
          <w:color w:val="auto"/>
        </w:rPr>
        <w:t>growth</w:t>
      </w:r>
      <w:r w:rsidRPr="00D64F8C">
        <w:rPr>
          <w:color w:val="auto"/>
        </w:rPr>
        <w:t xml:space="preserve"> </w:t>
      </w:r>
      <w:r w:rsidR="004D698E" w:rsidRPr="00D64F8C">
        <w:rPr>
          <w:color w:val="auto"/>
        </w:rPr>
        <w:t>for</w:t>
      </w:r>
      <w:r w:rsidRPr="00D64F8C">
        <w:rPr>
          <w:color w:val="auto"/>
        </w:rPr>
        <w:t xml:space="preserve"> the economies of the Common Market for Eastern and Southern Afri</w:t>
      </w:r>
      <w:r w:rsidR="004342B9" w:rsidRPr="00D64F8C">
        <w:rPr>
          <w:color w:val="auto"/>
        </w:rPr>
        <w:t xml:space="preserve">ca (COMESA). </w:t>
      </w:r>
      <w:r w:rsidR="004D698E" w:rsidRPr="00D64F8C">
        <w:rPr>
          <w:color w:val="auto"/>
        </w:rPr>
        <w:t xml:space="preserve">With the region working towards establishing a monetary union, the role of capital inflows, a </w:t>
      </w:r>
      <w:r w:rsidR="004D698E" w:rsidRPr="003765F8">
        <w:rPr>
          <w:i/>
          <w:color w:val="FF0000"/>
        </w:rPr>
        <w:t>de facto</w:t>
      </w:r>
      <w:r w:rsidR="004D698E" w:rsidRPr="003765F8">
        <w:rPr>
          <w:color w:val="FF0000"/>
        </w:rPr>
        <w:t xml:space="preserve"> </w:t>
      </w:r>
      <w:r w:rsidR="004D698E" w:rsidRPr="00D64F8C">
        <w:rPr>
          <w:color w:val="auto"/>
        </w:rPr>
        <w:t>measure of financial integ</w:t>
      </w:r>
      <w:r w:rsidR="00A5584C" w:rsidRPr="00D64F8C">
        <w:rPr>
          <w:color w:val="auto"/>
        </w:rPr>
        <w:t>ration, will be a critical ingredient to this process</w:t>
      </w:r>
      <w:r w:rsidR="000821D0">
        <w:rPr>
          <w:color w:val="auto"/>
        </w:rPr>
        <w:t xml:space="preserve"> (Mougani, 2012 [41])</w:t>
      </w:r>
      <w:r w:rsidR="00A5584C" w:rsidRPr="00D64F8C">
        <w:rPr>
          <w:color w:val="auto"/>
        </w:rPr>
        <w:t xml:space="preserve">. </w:t>
      </w:r>
      <w:r w:rsidR="004342B9" w:rsidRPr="00D64F8C">
        <w:rPr>
          <w:color w:val="auto"/>
        </w:rPr>
        <w:t xml:space="preserve">The </w:t>
      </w:r>
      <w:r w:rsidR="00A5584C" w:rsidRPr="00D64F8C">
        <w:rPr>
          <w:color w:val="auto"/>
        </w:rPr>
        <w:t>study</w:t>
      </w:r>
      <w:r w:rsidR="004342B9" w:rsidRPr="00D64F8C">
        <w:rPr>
          <w:color w:val="auto"/>
        </w:rPr>
        <w:t xml:space="preserve"> finds a strong positive</w:t>
      </w:r>
      <w:r w:rsidR="0007355E" w:rsidRPr="00D64F8C">
        <w:rPr>
          <w:color w:val="auto"/>
        </w:rPr>
        <w:t>,</w:t>
      </w:r>
      <w:r w:rsidR="004342B9" w:rsidRPr="00D64F8C">
        <w:rPr>
          <w:color w:val="auto"/>
        </w:rPr>
        <w:t xml:space="preserve"> significant </w:t>
      </w:r>
      <w:r w:rsidR="0007355E" w:rsidRPr="00D64F8C">
        <w:rPr>
          <w:color w:val="auto"/>
        </w:rPr>
        <w:t xml:space="preserve">and robust correlation </w:t>
      </w:r>
      <w:r w:rsidR="004342B9" w:rsidRPr="00D64F8C">
        <w:rPr>
          <w:color w:val="auto"/>
        </w:rPr>
        <w:t xml:space="preserve">of capital inflows </w:t>
      </w:r>
      <w:r w:rsidR="0007355E" w:rsidRPr="00D64F8C">
        <w:rPr>
          <w:color w:val="auto"/>
        </w:rPr>
        <w:t>with</w:t>
      </w:r>
      <w:r w:rsidR="004342B9" w:rsidRPr="00D64F8C">
        <w:rPr>
          <w:color w:val="auto"/>
        </w:rPr>
        <w:t xml:space="preserve"> GDP </w:t>
      </w:r>
      <w:r w:rsidR="00D57F27" w:rsidRPr="00D64F8C">
        <w:rPr>
          <w:color w:val="auto"/>
        </w:rPr>
        <w:t xml:space="preserve">per capita </w:t>
      </w:r>
      <w:r w:rsidR="004342B9" w:rsidRPr="00D64F8C">
        <w:rPr>
          <w:color w:val="auto"/>
        </w:rPr>
        <w:t xml:space="preserve">growth, </w:t>
      </w:r>
      <w:r w:rsidR="00F15B47" w:rsidRPr="00D64F8C">
        <w:rPr>
          <w:color w:val="auto"/>
        </w:rPr>
        <w:t>support</w:t>
      </w:r>
      <w:r w:rsidR="004342B9" w:rsidRPr="00D64F8C">
        <w:rPr>
          <w:color w:val="auto"/>
        </w:rPr>
        <w:t xml:space="preserve"> the positive role </w:t>
      </w:r>
      <w:r w:rsidR="00DC4F19" w:rsidRPr="00D64F8C">
        <w:rPr>
          <w:color w:val="auto"/>
        </w:rPr>
        <w:t>capital</w:t>
      </w:r>
      <w:r w:rsidR="004342B9" w:rsidRPr="00D64F8C">
        <w:rPr>
          <w:color w:val="auto"/>
        </w:rPr>
        <w:t xml:space="preserve"> </w:t>
      </w:r>
      <w:r w:rsidR="0007355E" w:rsidRPr="00D64F8C">
        <w:rPr>
          <w:color w:val="auto"/>
        </w:rPr>
        <w:t>in</w:t>
      </w:r>
      <w:r w:rsidR="004342B9" w:rsidRPr="00D64F8C">
        <w:rPr>
          <w:color w:val="auto"/>
        </w:rPr>
        <w:t>flows</w:t>
      </w:r>
      <w:r w:rsidR="00F15B47" w:rsidRPr="00D64F8C">
        <w:rPr>
          <w:color w:val="auto"/>
        </w:rPr>
        <w:t xml:space="preserve"> play</w:t>
      </w:r>
      <w:r w:rsidR="004342B9" w:rsidRPr="00D64F8C">
        <w:rPr>
          <w:color w:val="auto"/>
        </w:rPr>
        <w:t xml:space="preserve"> </w:t>
      </w:r>
      <w:r w:rsidR="00DC4F19" w:rsidRPr="00D64F8C">
        <w:rPr>
          <w:color w:val="auto"/>
        </w:rPr>
        <w:t xml:space="preserve">in bridging the </w:t>
      </w:r>
      <w:r w:rsidR="004342B9" w:rsidRPr="00D64F8C">
        <w:rPr>
          <w:color w:val="auto"/>
        </w:rPr>
        <w:t>saving</w:t>
      </w:r>
      <w:r w:rsidR="00A5584C" w:rsidRPr="00D64F8C">
        <w:rPr>
          <w:color w:val="auto"/>
        </w:rPr>
        <w:t xml:space="preserve"> and </w:t>
      </w:r>
      <w:r w:rsidR="004342B9" w:rsidRPr="00D64F8C">
        <w:rPr>
          <w:color w:val="auto"/>
        </w:rPr>
        <w:t>investment gap</w:t>
      </w:r>
      <w:r w:rsidR="00DC4F19" w:rsidRPr="00D64F8C">
        <w:rPr>
          <w:color w:val="auto"/>
        </w:rPr>
        <w:t xml:space="preserve"> and providing financing for investment needs. </w:t>
      </w:r>
      <w:r w:rsidR="00F15B47" w:rsidRPr="00D64F8C">
        <w:rPr>
          <w:color w:val="auto"/>
        </w:rPr>
        <w:t xml:space="preserve">However, capital inflows also leads to appreciation of the REER that </w:t>
      </w:r>
      <w:r w:rsidR="00781704" w:rsidRPr="00D64F8C">
        <w:rPr>
          <w:color w:val="auto"/>
        </w:rPr>
        <w:t>may be</w:t>
      </w:r>
      <w:r w:rsidR="00F15B47" w:rsidRPr="00D64F8C">
        <w:rPr>
          <w:color w:val="auto"/>
        </w:rPr>
        <w:t xml:space="preserve"> detrimental to growth for the economies of the COMESA region.</w:t>
      </w:r>
    </w:p>
    <w:p w:rsidR="00021323" w:rsidRPr="00D64F8C" w:rsidRDefault="00021323" w:rsidP="00141422">
      <w:pPr>
        <w:pStyle w:val="Abstracttext"/>
        <w:spacing w:line="276" w:lineRule="auto"/>
        <w:rPr>
          <w:color w:val="auto"/>
        </w:rPr>
      </w:pPr>
    </w:p>
    <w:p w:rsidR="00D57F27" w:rsidRPr="00D64F8C" w:rsidRDefault="00D57F27" w:rsidP="00141422">
      <w:pPr>
        <w:pStyle w:val="Abstracttext"/>
        <w:spacing w:line="276" w:lineRule="auto"/>
        <w:rPr>
          <w:color w:val="auto"/>
        </w:rPr>
      </w:pPr>
      <w:r w:rsidRPr="00D64F8C">
        <w:rPr>
          <w:color w:val="auto"/>
        </w:rPr>
        <w:t>In particular,</w:t>
      </w:r>
    </w:p>
    <w:p w:rsidR="00D57F27" w:rsidRPr="00D64F8C" w:rsidRDefault="00D57F27" w:rsidP="00141422">
      <w:pPr>
        <w:pStyle w:val="Abstracttext"/>
        <w:numPr>
          <w:ilvl w:val="0"/>
          <w:numId w:val="9"/>
        </w:numPr>
        <w:spacing w:line="276" w:lineRule="auto"/>
        <w:rPr>
          <w:color w:val="auto"/>
        </w:rPr>
      </w:pPr>
      <w:r w:rsidRPr="00D64F8C">
        <w:rPr>
          <w:color w:val="auto"/>
        </w:rPr>
        <w:t>T</w:t>
      </w:r>
      <w:r w:rsidR="00021323" w:rsidRPr="00D64F8C">
        <w:rPr>
          <w:color w:val="auto"/>
        </w:rPr>
        <w:t xml:space="preserve">he results from empirical estimation </w:t>
      </w:r>
      <w:r w:rsidRPr="00D64F8C">
        <w:rPr>
          <w:color w:val="auto"/>
        </w:rPr>
        <w:t xml:space="preserve">of the growth model </w:t>
      </w:r>
      <w:r w:rsidR="00021323" w:rsidRPr="00D64F8C">
        <w:rPr>
          <w:color w:val="auto"/>
        </w:rPr>
        <w:t>shows that</w:t>
      </w:r>
      <w:r w:rsidRPr="00D64F8C">
        <w:rPr>
          <w:color w:val="auto"/>
        </w:rPr>
        <w:t>:</w:t>
      </w:r>
      <w:r w:rsidR="00021323" w:rsidRPr="00D64F8C">
        <w:rPr>
          <w:color w:val="auto"/>
        </w:rPr>
        <w:t xml:space="preserve"> </w:t>
      </w:r>
    </w:p>
    <w:p w:rsidR="000821D0" w:rsidRPr="000821D0" w:rsidRDefault="00D57F27" w:rsidP="0035796B">
      <w:pPr>
        <w:pStyle w:val="Abstracttext"/>
        <w:numPr>
          <w:ilvl w:val="0"/>
          <w:numId w:val="8"/>
        </w:numPr>
        <w:spacing w:line="276" w:lineRule="auto"/>
        <w:rPr>
          <w:color w:val="auto"/>
        </w:rPr>
      </w:pPr>
      <w:r w:rsidRPr="000821D0">
        <w:rPr>
          <w:color w:val="auto"/>
        </w:rPr>
        <w:t xml:space="preserve">FDI inflows, ODA inflows and Total inflows </w:t>
      </w:r>
      <w:r w:rsidR="00F15B47" w:rsidRPr="000821D0">
        <w:rPr>
          <w:color w:val="auto"/>
        </w:rPr>
        <w:t>positively impacts</w:t>
      </w:r>
      <w:r w:rsidR="00021323" w:rsidRPr="000821D0">
        <w:rPr>
          <w:color w:val="auto"/>
        </w:rPr>
        <w:t xml:space="preserve"> economic growth for countries in the COMESA region</w:t>
      </w:r>
      <w:r w:rsidRPr="000821D0">
        <w:rPr>
          <w:color w:val="auto"/>
        </w:rPr>
        <w:t xml:space="preserve">. The coefficients of FDI, ODA and Total Inflows are positive and statistically significant, suggesting that FDI and ODA are important for economic growth </w:t>
      </w:r>
      <w:r w:rsidR="00F15B47" w:rsidRPr="000821D0">
        <w:rPr>
          <w:color w:val="auto"/>
        </w:rPr>
        <w:t>and by extension</w:t>
      </w:r>
      <w:r w:rsidRPr="000821D0">
        <w:rPr>
          <w:color w:val="auto"/>
        </w:rPr>
        <w:t xml:space="preserve"> the total inflows. ODA for some COMESA member countries contributes to human capital and infrastructure development, and provision of public goods such as public health</w:t>
      </w:r>
      <w:r w:rsidR="00781704" w:rsidRPr="000821D0">
        <w:rPr>
          <w:color w:val="auto"/>
        </w:rPr>
        <w:t>,</w:t>
      </w:r>
      <w:r w:rsidRPr="000821D0">
        <w:rPr>
          <w:color w:val="auto"/>
        </w:rPr>
        <w:t xml:space="preserve"> setting a country on the path of </w:t>
      </w:r>
      <w:r w:rsidR="008A438C" w:rsidRPr="000821D0">
        <w:rPr>
          <w:color w:val="auto"/>
        </w:rPr>
        <w:t>long-term</w:t>
      </w:r>
      <w:r w:rsidRPr="000821D0">
        <w:rPr>
          <w:color w:val="auto"/>
        </w:rPr>
        <w:t xml:space="preserve"> economic growth. </w:t>
      </w:r>
      <w:r w:rsidR="008D351E" w:rsidRPr="000821D0">
        <w:rPr>
          <w:color w:val="auto"/>
        </w:rPr>
        <w:t xml:space="preserve">The </w:t>
      </w:r>
      <w:r w:rsidRPr="000821D0">
        <w:rPr>
          <w:color w:val="auto"/>
        </w:rPr>
        <w:t xml:space="preserve">FDI </w:t>
      </w:r>
      <w:r w:rsidR="00F15B47" w:rsidRPr="000821D0">
        <w:rPr>
          <w:color w:val="auto"/>
        </w:rPr>
        <w:t xml:space="preserve">parameter is </w:t>
      </w:r>
      <w:r w:rsidRPr="000821D0">
        <w:rPr>
          <w:color w:val="auto"/>
        </w:rPr>
        <w:t xml:space="preserve">positive </w:t>
      </w:r>
      <w:r w:rsidR="008A438C" w:rsidRPr="000821D0">
        <w:rPr>
          <w:color w:val="auto"/>
        </w:rPr>
        <w:t>and a</w:t>
      </w:r>
      <w:r w:rsidR="008D351E" w:rsidRPr="000821D0">
        <w:rPr>
          <w:color w:val="auto"/>
        </w:rPr>
        <w:t xml:space="preserve"> </w:t>
      </w:r>
      <w:r w:rsidRPr="000821D0">
        <w:rPr>
          <w:color w:val="auto"/>
        </w:rPr>
        <w:t>significant determinant of economic growth for countries in COMESA region</w:t>
      </w:r>
      <w:r w:rsidR="008D351E" w:rsidRPr="000821D0">
        <w:rPr>
          <w:color w:val="auto"/>
        </w:rPr>
        <w:t xml:space="preserve">. This </w:t>
      </w:r>
      <w:r w:rsidRPr="000821D0">
        <w:rPr>
          <w:color w:val="auto"/>
        </w:rPr>
        <w:t xml:space="preserve">reinforces </w:t>
      </w:r>
      <w:r w:rsidR="008D351E" w:rsidRPr="000821D0">
        <w:rPr>
          <w:color w:val="auto"/>
        </w:rPr>
        <w:t xml:space="preserve">the FDI’s </w:t>
      </w:r>
      <w:r w:rsidRPr="000821D0">
        <w:rPr>
          <w:color w:val="auto"/>
        </w:rPr>
        <w:t>role as stable and more reliable source of foreign finance and hence</w:t>
      </w:r>
      <w:r w:rsidR="008D351E" w:rsidRPr="000821D0">
        <w:rPr>
          <w:color w:val="auto"/>
        </w:rPr>
        <w:t xml:space="preserve"> the need to promote </w:t>
      </w:r>
      <w:r w:rsidRPr="000821D0">
        <w:rPr>
          <w:color w:val="auto"/>
        </w:rPr>
        <w:t xml:space="preserve">policies that attract FDI. </w:t>
      </w:r>
      <w:r w:rsidR="008D351E" w:rsidRPr="000821D0">
        <w:rPr>
          <w:color w:val="auto"/>
        </w:rPr>
        <w:t>Notably</w:t>
      </w:r>
      <w:r w:rsidRPr="000821D0">
        <w:rPr>
          <w:color w:val="auto"/>
        </w:rPr>
        <w:t>, debt financing is more prone to adverse international development that forces developing countries to shoulder the negative effects of such developments by either paying higher premiums as markets rightly factor in more risk or defaulting on such commitments that tend to have devastating long term effects on the debtor country including full brown financial crisis and default. On the contrary, FDI financing builds shock absorbers</w:t>
      </w:r>
      <w:r w:rsidR="008A438C">
        <w:rPr>
          <w:color w:val="auto"/>
        </w:rPr>
        <w:t xml:space="preserve"> and</w:t>
      </w:r>
      <w:r w:rsidRPr="000821D0">
        <w:rPr>
          <w:color w:val="auto"/>
        </w:rPr>
        <w:t xml:space="preserve"> does not typically produce a sudden rush for exist but are committed for the long term</w:t>
      </w:r>
      <w:r w:rsidR="00781704" w:rsidRPr="000821D0">
        <w:rPr>
          <w:color w:val="auto"/>
        </w:rPr>
        <w:t>. FDI</w:t>
      </w:r>
      <w:r w:rsidRPr="000821D0">
        <w:rPr>
          <w:color w:val="auto"/>
        </w:rPr>
        <w:t xml:space="preserve"> can absorb and tolerate a certain amount of near-term adversity. Policy should endeavor to attract more FDI that can have stronger structural influences through horizontal and vertical linkages with the domestic economy</w:t>
      </w:r>
      <w:r w:rsidR="00781704" w:rsidRPr="000821D0">
        <w:rPr>
          <w:color w:val="auto"/>
        </w:rPr>
        <w:t xml:space="preserve">. This </w:t>
      </w:r>
      <w:r w:rsidRPr="000821D0">
        <w:rPr>
          <w:color w:val="auto"/>
        </w:rPr>
        <w:t xml:space="preserve">would promote raw material processing and a larger participation in the global value chain, thereby creating employment and economic growth. </w:t>
      </w:r>
      <w:r w:rsidR="008D351E" w:rsidRPr="000821D0">
        <w:rPr>
          <w:color w:val="auto"/>
        </w:rPr>
        <w:t xml:space="preserve">Dependency on </w:t>
      </w:r>
      <w:r w:rsidR="00781704" w:rsidRPr="000821D0">
        <w:rPr>
          <w:color w:val="auto"/>
        </w:rPr>
        <w:t>overseas development assistance</w:t>
      </w:r>
      <w:r w:rsidR="008D351E" w:rsidRPr="000821D0">
        <w:rPr>
          <w:color w:val="auto"/>
        </w:rPr>
        <w:t xml:space="preserve"> need to be checked even though it continues to be an important source of development finance for the region’s economy</w:t>
      </w:r>
      <w:r w:rsidR="00781704" w:rsidRPr="000821D0">
        <w:rPr>
          <w:color w:val="auto"/>
        </w:rPr>
        <w:t>, in order</w:t>
      </w:r>
      <w:r w:rsidR="008D351E" w:rsidRPr="000821D0">
        <w:rPr>
          <w:color w:val="auto"/>
        </w:rPr>
        <w:t xml:space="preserve"> to avoid donor fatigue. </w:t>
      </w:r>
    </w:p>
    <w:p w:rsidR="00D57F27" w:rsidRPr="00D64F8C" w:rsidRDefault="00D57F27" w:rsidP="00141422">
      <w:pPr>
        <w:pStyle w:val="Abstracttext"/>
        <w:numPr>
          <w:ilvl w:val="0"/>
          <w:numId w:val="8"/>
        </w:numPr>
        <w:spacing w:line="276" w:lineRule="auto"/>
        <w:rPr>
          <w:color w:val="auto"/>
        </w:rPr>
      </w:pPr>
      <w:r w:rsidRPr="00D64F8C">
        <w:rPr>
          <w:color w:val="auto"/>
        </w:rPr>
        <w:t xml:space="preserve">Remittances do not significantly influence economic growth possibly because </w:t>
      </w:r>
      <w:r w:rsidRPr="00D64F8C">
        <w:rPr>
          <w:color w:val="auto"/>
        </w:rPr>
        <w:lastRenderedPageBreak/>
        <w:t xml:space="preserve">remittances are used for consumption smoothing. This imply that there is room for remittances to play a critical role in influencing economic growth if appropriate investment vehicles are developed. The results of a positive and significant interaction term of remittances and a proxy for domestic financial depth further support this argument. Remittance contribute positive to GDP growth only when we interact it with a variable for domestic financial sector development, suggesting that going forward and as the region financial sector evolves, remittances will play more crucial role in determining economic performances of the </w:t>
      </w:r>
      <w:r w:rsidR="00781704" w:rsidRPr="00D64F8C">
        <w:rPr>
          <w:color w:val="auto"/>
        </w:rPr>
        <w:t xml:space="preserve">countries in the COMESA </w:t>
      </w:r>
      <w:r w:rsidRPr="00D64F8C">
        <w:rPr>
          <w:color w:val="auto"/>
        </w:rPr>
        <w:t xml:space="preserve">region. This means that countries </w:t>
      </w:r>
      <w:r w:rsidR="008D351E" w:rsidRPr="00D64F8C">
        <w:rPr>
          <w:color w:val="auto"/>
        </w:rPr>
        <w:t xml:space="preserve">in the region need to continue implementing </w:t>
      </w:r>
      <w:r w:rsidRPr="00D64F8C">
        <w:rPr>
          <w:color w:val="auto"/>
        </w:rPr>
        <w:t xml:space="preserve">domestic financial sector reforms that </w:t>
      </w:r>
      <w:r w:rsidR="008D351E" w:rsidRPr="00D64F8C">
        <w:rPr>
          <w:color w:val="auto"/>
        </w:rPr>
        <w:t>will lead</w:t>
      </w:r>
      <w:r w:rsidRPr="00D64F8C">
        <w:rPr>
          <w:color w:val="auto"/>
        </w:rPr>
        <w:t xml:space="preserve"> to a deeper financial sector</w:t>
      </w:r>
      <w:r w:rsidR="00781704" w:rsidRPr="00D64F8C">
        <w:rPr>
          <w:color w:val="auto"/>
        </w:rPr>
        <w:t>,</w:t>
      </w:r>
      <w:r w:rsidRPr="00D64F8C">
        <w:rPr>
          <w:color w:val="auto"/>
        </w:rPr>
        <w:t xml:space="preserve"> </w:t>
      </w:r>
      <w:r w:rsidR="008D351E" w:rsidRPr="00D64F8C">
        <w:rPr>
          <w:color w:val="auto"/>
        </w:rPr>
        <w:t>capable of</w:t>
      </w:r>
      <w:r w:rsidRPr="00D64F8C">
        <w:rPr>
          <w:color w:val="auto"/>
        </w:rPr>
        <w:t xml:space="preserve"> harness</w:t>
      </w:r>
      <w:r w:rsidR="008D351E" w:rsidRPr="00D64F8C">
        <w:rPr>
          <w:color w:val="auto"/>
        </w:rPr>
        <w:t>ing</w:t>
      </w:r>
      <w:r w:rsidRPr="00D64F8C">
        <w:rPr>
          <w:color w:val="auto"/>
        </w:rPr>
        <w:t xml:space="preserve"> and provid</w:t>
      </w:r>
      <w:r w:rsidR="008D351E" w:rsidRPr="00D64F8C">
        <w:rPr>
          <w:color w:val="auto"/>
        </w:rPr>
        <w:t>ing</w:t>
      </w:r>
      <w:r w:rsidRPr="00D64F8C">
        <w:rPr>
          <w:color w:val="auto"/>
        </w:rPr>
        <w:t xml:space="preserve"> efficient vehicles that</w:t>
      </w:r>
      <w:r w:rsidR="008D351E" w:rsidRPr="00D64F8C">
        <w:rPr>
          <w:color w:val="auto"/>
        </w:rPr>
        <w:t xml:space="preserve"> can</w:t>
      </w:r>
      <w:r w:rsidRPr="00D64F8C">
        <w:rPr>
          <w:color w:val="auto"/>
        </w:rPr>
        <w:t xml:space="preserve"> direct remittances to investment</w:t>
      </w:r>
      <w:r w:rsidR="008D351E" w:rsidRPr="00D64F8C">
        <w:rPr>
          <w:color w:val="auto"/>
        </w:rPr>
        <w:t xml:space="preserve">, for remittances to have a significant </w:t>
      </w:r>
      <w:r w:rsidRPr="00D64F8C">
        <w:rPr>
          <w:color w:val="auto"/>
        </w:rPr>
        <w:t>contribut</w:t>
      </w:r>
      <w:r w:rsidR="008D351E" w:rsidRPr="00D64F8C">
        <w:rPr>
          <w:color w:val="auto"/>
        </w:rPr>
        <w:t xml:space="preserve">ion </w:t>
      </w:r>
      <w:r w:rsidRPr="00D64F8C">
        <w:rPr>
          <w:color w:val="auto"/>
        </w:rPr>
        <w:t xml:space="preserve">to economic growth </w:t>
      </w:r>
      <w:r w:rsidR="008D351E" w:rsidRPr="00D64F8C">
        <w:rPr>
          <w:color w:val="auto"/>
        </w:rPr>
        <w:t>in the region</w:t>
      </w:r>
      <w:r w:rsidRPr="00D64F8C">
        <w:rPr>
          <w:color w:val="auto"/>
        </w:rPr>
        <w:t>.</w:t>
      </w:r>
      <w:r w:rsidR="00781704" w:rsidRPr="00D64F8C">
        <w:rPr>
          <w:color w:val="auto"/>
        </w:rPr>
        <w:t xml:space="preserve"> </w:t>
      </w:r>
    </w:p>
    <w:p w:rsidR="00D57F27" w:rsidRDefault="00D57F27" w:rsidP="00141422">
      <w:pPr>
        <w:pStyle w:val="Abstracttext"/>
        <w:numPr>
          <w:ilvl w:val="0"/>
          <w:numId w:val="8"/>
        </w:numPr>
        <w:spacing w:line="276" w:lineRule="auto"/>
        <w:rPr>
          <w:color w:val="auto"/>
        </w:rPr>
      </w:pPr>
      <w:r w:rsidRPr="00D64F8C">
        <w:rPr>
          <w:color w:val="auto"/>
        </w:rPr>
        <w:t xml:space="preserve">Most of the other fundamental determinants of growth have coefficients that are statistically significant and with the expected signs. Private sector credit, openness and fiscal discipline have positive and significant effects on real GDP per capita growth. With credit markets not so well developed, this imply that improving credit availability and access to the private sector, reducing trade restriction and encouraging more open trade regimes, and ensuring fiscal discipline, are important for increasing economic growth. In addition, development of </w:t>
      </w:r>
      <w:r w:rsidR="008D351E" w:rsidRPr="00D64F8C">
        <w:rPr>
          <w:color w:val="auto"/>
        </w:rPr>
        <w:t xml:space="preserve">domestic </w:t>
      </w:r>
      <w:r w:rsidRPr="00D64F8C">
        <w:rPr>
          <w:color w:val="auto"/>
        </w:rPr>
        <w:t xml:space="preserve">financial markets will encourage foreign participation, increase capital inflows while at the same time supporting access to credit by the private sector. These measures will improve domestic investment and spur economic growth in the regional economies.  </w:t>
      </w:r>
    </w:p>
    <w:p w:rsidR="00C14B67" w:rsidRPr="00D64F8C" w:rsidRDefault="00BE08A9" w:rsidP="00141422">
      <w:pPr>
        <w:pStyle w:val="Abstracttext"/>
        <w:numPr>
          <w:ilvl w:val="0"/>
          <w:numId w:val="9"/>
        </w:numPr>
        <w:spacing w:line="276" w:lineRule="auto"/>
        <w:rPr>
          <w:color w:val="auto"/>
        </w:rPr>
      </w:pPr>
      <w:r w:rsidRPr="00D64F8C">
        <w:rPr>
          <w:color w:val="auto"/>
        </w:rPr>
        <w:t xml:space="preserve">Examining whether capital inflows adversely affect economic growth, the study </w:t>
      </w:r>
      <w:r w:rsidR="00B369E8" w:rsidRPr="00D64F8C">
        <w:rPr>
          <w:color w:val="auto"/>
        </w:rPr>
        <w:t>find</w:t>
      </w:r>
      <w:r w:rsidRPr="00D64F8C">
        <w:rPr>
          <w:color w:val="auto"/>
        </w:rPr>
        <w:t>s</w:t>
      </w:r>
      <w:r w:rsidR="00B369E8" w:rsidRPr="00D64F8C">
        <w:rPr>
          <w:color w:val="auto"/>
        </w:rPr>
        <w:t xml:space="preserve"> that except for the remittances whose effect is not significant, capital inflows leads to an appreciation of the REER across COMESA member countries. Specifically, FDI, ODA and total inflows leads to appreciation of the REER, </w:t>
      </w:r>
      <w:r w:rsidR="00F62CA9" w:rsidRPr="00D64F8C">
        <w:rPr>
          <w:color w:val="auto"/>
        </w:rPr>
        <w:t>that is statistically different from zero.</w:t>
      </w:r>
      <w:r w:rsidR="00B369E8" w:rsidRPr="00D64F8C">
        <w:rPr>
          <w:color w:val="auto"/>
        </w:rPr>
        <w:t xml:space="preserve"> </w:t>
      </w:r>
      <w:r w:rsidR="00EA4F7A" w:rsidRPr="00D64F8C">
        <w:rPr>
          <w:color w:val="auto"/>
        </w:rPr>
        <w:t>This suggest that countries in the region should focus on attracting FDI inflows that provide a more s</w:t>
      </w:r>
      <w:r w:rsidR="00781704" w:rsidRPr="00D64F8C">
        <w:rPr>
          <w:color w:val="auto"/>
        </w:rPr>
        <w:t>table source of capital inflows</w:t>
      </w:r>
      <w:r w:rsidR="00EA4F7A" w:rsidRPr="00D64F8C">
        <w:rPr>
          <w:color w:val="auto"/>
        </w:rPr>
        <w:t xml:space="preserve">. The flexible exchange rates in most economies in the region allows the exchange rate to be an automatic stabilizer, and helps dampen real appreciation </w:t>
      </w:r>
      <w:r w:rsidR="00F40EA2" w:rsidRPr="00D64F8C">
        <w:rPr>
          <w:color w:val="auto"/>
        </w:rPr>
        <w:t>emanating from</w:t>
      </w:r>
      <w:r w:rsidR="00EA4F7A" w:rsidRPr="00D64F8C">
        <w:rPr>
          <w:color w:val="auto"/>
        </w:rPr>
        <w:t xml:space="preserve"> capital inflows. The results are consistent across the three capital inflows categories. </w:t>
      </w:r>
      <w:r w:rsidR="00195B9F" w:rsidRPr="00D64F8C">
        <w:rPr>
          <w:color w:val="auto"/>
        </w:rPr>
        <w:t>In this regards</w:t>
      </w:r>
      <w:r w:rsidR="00EA4F7A" w:rsidRPr="00D64F8C">
        <w:rPr>
          <w:color w:val="auto"/>
        </w:rPr>
        <w:t xml:space="preserve">, </w:t>
      </w:r>
      <w:r w:rsidR="00195B9F" w:rsidRPr="00D64F8C">
        <w:rPr>
          <w:color w:val="auto"/>
        </w:rPr>
        <w:t>while implementing policies to attract capital inflows</w:t>
      </w:r>
      <w:r w:rsidR="00AF0B72" w:rsidRPr="00D64F8C">
        <w:rPr>
          <w:color w:val="auto"/>
        </w:rPr>
        <w:t xml:space="preserve"> critical to finance development needs and spur economic growth</w:t>
      </w:r>
      <w:r w:rsidR="00195B9F" w:rsidRPr="00D64F8C">
        <w:rPr>
          <w:color w:val="auto"/>
        </w:rPr>
        <w:t xml:space="preserve">, </w:t>
      </w:r>
      <w:r w:rsidR="00EA4F7A" w:rsidRPr="00D64F8C">
        <w:rPr>
          <w:color w:val="auto"/>
        </w:rPr>
        <w:t xml:space="preserve">policy makers in the region should remain vigilant and ensure that </w:t>
      </w:r>
      <w:r w:rsidR="00AF0B72" w:rsidRPr="00D64F8C">
        <w:rPr>
          <w:color w:val="auto"/>
        </w:rPr>
        <w:t xml:space="preserve">there is no </w:t>
      </w:r>
      <w:r w:rsidR="00EA4F7A" w:rsidRPr="00D64F8C">
        <w:rPr>
          <w:color w:val="auto"/>
        </w:rPr>
        <w:t xml:space="preserve">significant REER appreciation </w:t>
      </w:r>
      <w:r w:rsidR="00AF0B72" w:rsidRPr="00D64F8C">
        <w:rPr>
          <w:color w:val="auto"/>
        </w:rPr>
        <w:t xml:space="preserve">and loss of competitiveness that can lead to destabilizing </w:t>
      </w:r>
      <w:r w:rsidR="00EA4F7A" w:rsidRPr="00D64F8C">
        <w:rPr>
          <w:color w:val="auto"/>
        </w:rPr>
        <w:t xml:space="preserve">macroeconomic management. </w:t>
      </w:r>
      <w:r w:rsidR="0077673B" w:rsidRPr="00D64F8C">
        <w:rPr>
          <w:color w:val="auto"/>
        </w:rPr>
        <w:t xml:space="preserve">The appreciation could impede growth but if capital inflows are directed to viable investments, can contribute to economic growth.  </w:t>
      </w:r>
      <w:r w:rsidR="00B369E8" w:rsidRPr="00D64F8C">
        <w:rPr>
          <w:color w:val="auto"/>
        </w:rPr>
        <w:t xml:space="preserve">The insignificance of the effect of remittances on REER may point to the counter-cyclical nature of remittances, mostly </w:t>
      </w:r>
      <w:r w:rsidR="00F40EA2" w:rsidRPr="00D64F8C">
        <w:rPr>
          <w:color w:val="auto"/>
        </w:rPr>
        <w:t xml:space="preserve">used </w:t>
      </w:r>
      <w:r w:rsidR="00B369E8" w:rsidRPr="00D64F8C">
        <w:rPr>
          <w:color w:val="auto"/>
        </w:rPr>
        <w:t xml:space="preserve">to smoothen </w:t>
      </w:r>
      <w:r w:rsidR="00195B9F" w:rsidRPr="00D64F8C">
        <w:rPr>
          <w:color w:val="auto"/>
        </w:rPr>
        <w:t>households’</w:t>
      </w:r>
      <w:r w:rsidR="00B369E8" w:rsidRPr="00D64F8C">
        <w:rPr>
          <w:color w:val="auto"/>
        </w:rPr>
        <w:t xml:space="preserve"> consumptions during macroeconomic shocks thereby not leading to changes in relative prices of tradable and non-tradable goods. </w:t>
      </w:r>
      <w:r w:rsidR="00195B9F" w:rsidRPr="00D64F8C">
        <w:rPr>
          <w:color w:val="auto"/>
        </w:rPr>
        <w:t xml:space="preserve">FDI inflows and flexible exchange rate regime could assist in </w:t>
      </w:r>
      <w:r w:rsidR="00643423" w:rsidRPr="00D64F8C">
        <w:rPr>
          <w:color w:val="auto"/>
        </w:rPr>
        <w:t>stemming</w:t>
      </w:r>
      <w:r w:rsidR="00195B9F" w:rsidRPr="00D64F8C">
        <w:rPr>
          <w:color w:val="auto"/>
        </w:rPr>
        <w:t xml:space="preserve"> the effect of appreciation and avoiding significant loss of competitiveness.</w:t>
      </w:r>
      <w:r w:rsidR="00AF0B72" w:rsidRPr="00D64F8C">
        <w:rPr>
          <w:color w:val="auto"/>
        </w:rPr>
        <w:t xml:space="preserve"> </w:t>
      </w:r>
      <w:r w:rsidR="00021323" w:rsidRPr="00D64F8C">
        <w:rPr>
          <w:color w:val="auto"/>
        </w:rPr>
        <w:t>Reducing dependency on foreign aid will continue to be an important policy prescription for some of the economies in the region</w:t>
      </w:r>
      <w:r w:rsidR="00F40EA2" w:rsidRPr="00D64F8C">
        <w:rPr>
          <w:color w:val="auto"/>
        </w:rPr>
        <w:t xml:space="preserve"> especially those that heavily depend on ODA</w:t>
      </w:r>
      <w:r w:rsidR="00021323" w:rsidRPr="00D64F8C">
        <w:rPr>
          <w:color w:val="auto"/>
        </w:rPr>
        <w:t>.</w:t>
      </w:r>
    </w:p>
    <w:p w:rsidR="00F95781" w:rsidRPr="00D64F8C" w:rsidRDefault="00C14B67" w:rsidP="005A7BEA">
      <w:pPr>
        <w:pStyle w:val="HeadingNumbering1"/>
      </w:pPr>
      <w:r w:rsidRPr="00D64F8C">
        <w:lastRenderedPageBreak/>
        <w:t xml:space="preserve"> </w:t>
      </w:r>
      <w:r w:rsidR="00F95781" w:rsidRPr="00D64F8C">
        <w:t>Reference</w:t>
      </w:r>
      <w:r w:rsidR="005A7BEA">
        <w:t>s</w:t>
      </w:r>
    </w:p>
    <w:p w:rsidR="00B175C6" w:rsidRPr="00D206CB" w:rsidRDefault="007053B8" w:rsidP="00141422">
      <w:pPr>
        <w:pStyle w:val="Abstracttext"/>
        <w:spacing w:line="276" w:lineRule="auto"/>
        <w:rPr>
          <w:color w:val="auto"/>
        </w:rPr>
      </w:pPr>
      <w:r w:rsidRPr="00D206CB">
        <w:rPr>
          <w:color w:val="auto"/>
        </w:rPr>
        <w:t xml:space="preserve">[1] </w:t>
      </w:r>
      <w:r w:rsidR="00B175C6" w:rsidRPr="00D206CB">
        <w:rPr>
          <w:color w:val="auto"/>
        </w:rPr>
        <w:t xml:space="preserve">Adedokun A. J. (2017). Foreign aid, governance and economic growth in Sub-Saharan Africa: Does one cap fit all? African Development Review, 29, </w:t>
      </w:r>
      <w:r w:rsidR="00B6197D">
        <w:rPr>
          <w:color w:val="auto"/>
        </w:rPr>
        <w:t>(</w:t>
      </w:r>
      <w:r w:rsidR="00B175C6" w:rsidRPr="00D206CB">
        <w:rPr>
          <w:color w:val="auto"/>
        </w:rPr>
        <w:t>2</w:t>
      </w:r>
      <w:r w:rsidR="00B6197D">
        <w:rPr>
          <w:color w:val="auto"/>
        </w:rPr>
        <w:t>)</w:t>
      </w:r>
      <w:r w:rsidR="00B175C6" w:rsidRPr="00D206CB">
        <w:rPr>
          <w:color w:val="auto"/>
        </w:rPr>
        <w:t>, 184-196.</w:t>
      </w:r>
    </w:p>
    <w:p w:rsidR="00B175C6" w:rsidRPr="00D206CB" w:rsidRDefault="00B175C6" w:rsidP="00141422">
      <w:pPr>
        <w:pStyle w:val="Abstracttext"/>
        <w:spacing w:line="276" w:lineRule="auto"/>
        <w:rPr>
          <w:color w:val="auto"/>
        </w:rPr>
      </w:pPr>
    </w:p>
    <w:p w:rsidR="00BF0812" w:rsidRPr="00D206CB" w:rsidRDefault="0043557B" w:rsidP="00141422">
      <w:pPr>
        <w:pStyle w:val="Abstracttext"/>
        <w:spacing w:line="276" w:lineRule="auto"/>
        <w:rPr>
          <w:color w:val="auto"/>
        </w:rPr>
      </w:pPr>
      <w:r w:rsidRPr="00D206CB">
        <w:rPr>
          <w:color w:val="auto"/>
        </w:rPr>
        <w:t>[</w:t>
      </w:r>
      <w:r w:rsidR="007053B8" w:rsidRPr="00D206CB">
        <w:rPr>
          <w:color w:val="auto"/>
        </w:rPr>
        <w:t>2</w:t>
      </w:r>
      <w:r w:rsidRPr="00D206CB">
        <w:rPr>
          <w:color w:val="auto"/>
        </w:rPr>
        <w:t>]</w:t>
      </w:r>
      <w:r w:rsidR="007053B8" w:rsidRPr="00D206CB">
        <w:rPr>
          <w:color w:val="auto"/>
        </w:rPr>
        <w:t xml:space="preserve"> </w:t>
      </w:r>
      <w:r w:rsidR="007C71B2" w:rsidRPr="00D206CB">
        <w:rPr>
          <w:color w:val="auto"/>
        </w:rPr>
        <w:t>Albulescu, C. T. (2015). Do Foreign Direct and Portfolio Investments Affect Long-Term Economic Growth in Central and Eastern Europe? Procedia Economics and Finance</w:t>
      </w:r>
      <w:r w:rsidR="00F138FD">
        <w:rPr>
          <w:color w:val="auto"/>
        </w:rPr>
        <w:t>,</w:t>
      </w:r>
      <w:r w:rsidR="007C71B2" w:rsidRPr="00D206CB">
        <w:rPr>
          <w:color w:val="auto"/>
        </w:rPr>
        <w:t xml:space="preserve"> 23</w:t>
      </w:r>
      <w:r w:rsidR="00F138FD">
        <w:rPr>
          <w:color w:val="auto"/>
        </w:rPr>
        <w:t>,</w:t>
      </w:r>
      <w:r w:rsidR="007C71B2" w:rsidRPr="00D206CB">
        <w:rPr>
          <w:color w:val="auto"/>
        </w:rPr>
        <w:t xml:space="preserve"> 507–12.</w:t>
      </w:r>
    </w:p>
    <w:p w:rsidR="00D07A68" w:rsidRPr="00D206CB" w:rsidRDefault="00D07A68" w:rsidP="00141422">
      <w:pPr>
        <w:pStyle w:val="Abstracttext"/>
        <w:spacing w:line="276" w:lineRule="auto"/>
        <w:rPr>
          <w:color w:val="auto"/>
        </w:rPr>
      </w:pPr>
    </w:p>
    <w:p w:rsidR="00D07A68" w:rsidRPr="00D206CB" w:rsidRDefault="0043557B" w:rsidP="00141422">
      <w:pPr>
        <w:pStyle w:val="Abstracttext"/>
        <w:spacing w:line="276" w:lineRule="auto"/>
        <w:rPr>
          <w:color w:val="auto"/>
        </w:rPr>
      </w:pPr>
      <w:r w:rsidRPr="00D206CB">
        <w:rPr>
          <w:color w:val="auto"/>
        </w:rPr>
        <w:t>[</w:t>
      </w:r>
      <w:r w:rsidR="007053B8" w:rsidRPr="00D206CB">
        <w:rPr>
          <w:color w:val="auto"/>
        </w:rPr>
        <w:t>3</w:t>
      </w:r>
      <w:r w:rsidRPr="00D206CB">
        <w:rPr>
          <w:color w:val="auto"/>
        </w:rPr>
        <w:t>]</w:t>
      </w:r>
      <w:r w:rsidR="007053B8" w:rsidRPr="00D206CB">
        <w:rPr>
          <w:color w:val="auto"/>
        </w:rPr>
        <w:t xml:space="preserve"> </w:t>
      </w:r>
      <w:r w:rsidR="00D07A68" w:rsidRPr="00D206CB">
        <w:rPr>
          <w:color w:val="auto"/>
        </w:rPr>
        <w:t>Alesiena, A, and Dollar, D. (2000)</w:t>
      </w:r>
      <w:r w:rsidR="009A7A66" w:rsidRPr="00D206CB">
        <w:rPr>
          <w:color w:val="auto"/>
        </w:rPr>
        <w:t>.</w:t>
      </w:r>
      <w:r w:rsidR="00D07A68" w:rsidRPr="00D206CB">
        <w:rPr>
          <w:color w:val="auto"/>
        </w:rPr>
        <w:t xml:space="preserve"> Who gives aid to whom and why? Journal of Economic Growth, 5.</w:t>
      </w:r>
    </w:p>
    <w:p w:rsidR="00D07A68" w:rsidRPr="00D206CB" w:rsidRDefault="00D07A68" w:rsidP="00141422">
      <w:pPr>
        <w:pStyle w:val="Abstracttext"/>
        <w:spacing w:line="276" w:lineRule="auto"/>
        <w:rPr>
          <w:color w:val="auto"/>
        </w:rPr>
      </w:pPr>
    </w:p>
    <w:p w:rsidR="00D07A68" w:rsidRPr="00D206CB" w:rsidRDefault="0043557B" w:rsidP="00141422">
      <w:pPr>
        <w:pStyle w:val="Abstracttext"/>
        <w:spacing w:line="276" w:lineRule="auto"/>
        <w:rPr>
          <w:color w:val="auto"/>
        </w:rPr>
      </w:pPr>
      <w:r w:rsidRPr="00D206CB">
        <w:rPr>
          <w:color w:val="auto"/>
        </w:rPr>
        <w:t>[</w:t>
      </w:r>
      <w:r w:rsidR="007053B8" w:rsidRPr="00D206CB">
        <w:rPr>
          <w:color w:val="auto"/>
        </w:rPr>
        <w:t>4</w:t>
      </w:r>
      <w:r w:rsidRPr="00D206CB">
        <w:rPr>
          <w:color w:val="auto"/>
        </w:rPr>
        <w:t>]</w:t>
      </w:r>
      <w:r w:rsidR="007053B8" w:rsidRPr="00D206CB">
        <w:rPr>
          <w:color w:val="auto"/>
        </w:rPr>
        <w:t xml:space="preserve"> </w:t>
      </w:r>
      <w:r w:rsidR="00D07A68" w:rsidRPr="00D206CB">
        <w:rPr>
          <w:color w:val="auto"/>
        </w:rPr>
        <w:t>Aizenman, J., Y. Jinjarak, and D. Park. (2011). Capital Flows and Economic Growth in the Era of Financial Integration and Crisis, 1990–2010.</w:t>
      </w:r>
      <w:r w:rsidR="00B6197D">
        <w:rPr>
          <w:color w:val="auto"/>
        </w:rPr>
        <w:t xml:space="preserve"> NBER Working Paper, </w:t>
      </w:r>
      <w:r w:rsidR="00D07A68" w:rsidRPr="00D206CB">
        <w:rPr>
          <w:color w:val="auto"/>
        </w:rPr>
        <w:t>17502, National Bureau of Economics, Cambridge, MA.</w:t>
      </w:r>
    </w:p>
    <w:p w:rsidR="00BF0812" w:rsidRPr="00D206CB" w:rsidRDefault="00BF0812" w:rsidP="00141422">
      <w:pPr>
        <w:pStyle w:val="Abstracttext"/>
        <w:spacing w:line="276" w:lineRule="auto"/>
        <w:rPr>
          <w:color w:val="auto"/>
        </w:rPr>
      </w:pPr>
    </w:p>
    <w:p w:rsidR="00621F9C" w:rsidRPr="00D206CB" w:rsidRDefault="0043557B" w:rsidP="00141422">
      <w:pPr>
        <w:pStyle w:val="Abstracttext"/>
        <w:spacing w:line="276" w:lineRule="auto"/>
        <w:rPr>
          <w:color w:val="auto"/>
        </w:rPr>
      </w:pPr>
      <w:r w:rsidRPr="00D206CB">
        <w:rPr>
          <w:color w:val="auto"/>
        </w:rPr>
        <w:t>[</w:t>
      </w:r>
      <w:r w:rsidR="007053B8" w:rsidRPr="00D206CB">
        <w:rPr>
          <w:color w:val="auto"/>
        </w:rPr>
        <w:t>5</w:t>
      </w:r>
      <w:r w:rsidRPr="00D206CB">
        <w:rPr>
          <w:color w:val="auto"/>
        </w:rPr>
        <w:t>]</w:t>
      </w:r>
      <w:r w:rsidR="007053B8" w:rsidRPr="00D206CB">
        <w:rPr>
          <w:color w:val="auto"/>
        </w:rPr>
        <w:t xml:space="preserve"> </w:t>
      </w:r>
      <w:r w:rsidR="00621F9C" w:rsidRPr="00D206CB">
        <w:rPr>
          <w:color w:val="auto"/>
        </w:rPr>
        <w:t>Alley, I. (2015). Private Capital Flows and Economic Growth of Sub-Saharan African Countries. African Development Review</w:t>
      </w:r>
      <w:r w:rsidR="00F138FD">
        <w:rPr>
          <w:color w:val="auto"/>
        </w:rPr>
        <w:t>,</w:t>
      </w:r>
      <w:r w:rsidR="00621F9C" w:rsidRPr="00D206CB">
        <w:rPr>
          <w:color w:val="auto"/>
        </w:rPr>
        <w:t xml:space="preserve"> 27</w:t>
      </w:r>
      <w:r w:rsidR="00F138FD">
        <w:rPr>
          <w:color w:val="auto"/>
        </w:rPr>
        <w:t>,</w:t>
      </w:r>
      <w:r w:rsidR="00621F9C" w:rsidRPr="00D206CB">
        <w:rPr>
          <w:color w:val="auto"/>
        </w:rPr>
        <w:t xml:space="preserve"> (4)</w:t>
      </w:r>
      <w:r w:rsidR="00F138FD">
        <w:rPr>
          <w:color w:val="auto"/>
        </w:rPr>
        <w:t>,</w:t>
      </w:r>
      <w:r w:rsidR="00621F9C" w:rsidRPr="00D206CB">
        <w:rPr>
          <w:color w:val="auto"/>
        </w:rPr>
        <w:t xml:space="preserve"> 469–83.</w:t>
      </w:r>
    </w:p>
    <w:p w:rsidR="00621F9C" w:rsidRPr="00D206CB" w:rsidRDefault="00621F9C" w:rsidP="00141422">
      <w:pPr>
        <w:pStyle w:val="Abstracttext"/>
        <w:spacing w:line="276" w:lineRule="auto"/>
        <w:rPr>
          <w:color w:val="auto"/>
        </w:rPr>
      </w:pPr>
    </w:p>
    <w:p w:rsidR="009C358A" w:rsidRPr="00D206CB" w:rsidRDefault="0043557B" w:rsidP="00141422">
      <w:pPr>
        <w:pStyle w:val="Abstracttext"/>
        <w:spacing w:line="276" w:lineRule="auto"/>
        <w:rPr>
          <w:color w:val="auto"/>
        </w:rPr>
      </w:pPr>
      <w:r w:rsidRPr="00D206CB">
        <w:rPr>
          <w:color w:val="auto"/>
        </w:rPr>
        <w:t>[</w:t>
      </w:r>
      <w:r w:rsidR="007053B8" w:rsidRPr="00D206CB">
        <w:rPr>
          <w:color w:val="auto"/>
        </w:rPr>
        <w:t>6</w:t>
      </w:r>
      <w:r w:rsidRPr="00D206CB">
        <w:rPr>
          <w:color w:val="auto"/>
        </w:rPr>
        <w:t>]</w:t>
      </w:r>
      <w:r w:rsidR="007053B8" w:rsidRPr="00D206CB">
        <w:rPr>
          <w:color w:val="auto"/>
        </w:rPr>
        <w:t xml:space="preserve"> </w:t>
      </w:r>
      <w:r w:rsidR="009C358A" w:rsidRPr="00D206CB">
        <w:rPr>
          <w:color w:val="auto"/>
        </w:rPr>
        <w:t>Almfraji, M. A., Almsafir, M. K., and Yao, L. (2014).</w:t>
      </w:r>
      <w:r w:rsidR="00F138FD">
        <w:rPr>
          <w:color w:val="auto"/>
        </w:rPr>
        <w:t xml:space="preserve"> </w:t>
      </w:r>
      <w:r w:rsidR="009C358A" w:rsidRPr="00D206CB">
        <w:rPr>
          <w:color w:val="auto"/>
        </w:rPr>
        <w:t>Economic growth and foreign direct investment inflows: the case of Qatar. Procedia-Social and Behavioral Sciences, 109, 1040-1045.</w:t>
      </w:r>
    </w:p>
    <w:p w:rsidR="009C358A" w:rsidRPr="00D206CB" w:rsidRDefault="009C358A" w:rsidP="00141422">
      <w:pPr>
        <w:pStyle w:val="Abstracttext"/>
        <w:spacing w:line="276" w:lineRule="auto"/>
        <w:rPr>
          <w:color w:val="auto"/>
        </w:rPr>
      </w:pPr>
    </w:p>
    <w:p w:rsidR="0053138A" w:rsidRPr="00D206CB" w:rsidRDefault="0043557B" w:rsidP="00141422">
      <w:pPr>
        <w:pStyle w:val="Abstracttext"/>
        <w:spacing w:line="276" w:lineRule="auto"/>
        <w:rPr>
          <w:color w:val="auto"/>
        </w:rPr>
      </w:pPr>
      <w:r w:rsidRPr="00D206CB">
        <w:rPr>
          <w:color w:val="auto"/>
        </w:rPr>
        <w:t>[</w:t>
      </w:r>
      <w:r w:rsidR="007053B8" w:rsidRPr="00D206CB">
        <w:rPr>
          <w:color w:val="auto"/>
        </w:rPr>
        <w:t>7</w:t>
      </w:r>
      <w:r w:rsidRPr="00D206CB">
        <w:rPr>
          <w:color w:val="auto"/>
        </w:rPr>
        <w:t>]</w:t>
      </w:r>
      <w:r w:rsidR="007053B8" w:rsidRPr="00D206CB">
        <w:rPr>
          <w:color w:val="auto"/>
        </w:rPr>
        <w:t xml:space="preserve"> </w:t>
      </w:r>
      <w:r w:rsidR="0053138A" w:rsidRPr="00D206CB">
        <w:rPr>
          <w:color w:val="auto"/>
        </w:rPr>
        <w:t>Arellano, M., and Bond</w:t>
      </w:r>
      <w:r w:rsidR="00D206CB" w:rsidRPr="00D206CB">
        <w:rPr>
          <w:color w:val="auto"/>
        </w:rPr>
        <w:t>, S</w:t>
      </w:r>
      <w:r w:rsidR="0053138A" w:rsidRPr="00D206CB">
        <w:rPr>
          <w:color w:val="auto"/>
        </w:rPr>
        <w:t>. (1991). Some tests of speciﬁcation for panel data: Monte Carlo evidence and an application to employment equations. Review of Economic Studies</w:t>
      </w:r>
      <w:r w:rsidR="00F138FD">
        <w:rPr>
          <w:color w:val="auto"/>
        </w:rPr>
        <w:t>,</w:t>
      </w:r>
      <w:r w:rsidR="0053138A" w:rsidRPr="00D206CB">
        <w:rPr>
          <w:color w:val="auto"/>
        </w:rPr>
        <w:t xml:space="preserve"> 58</w:t>
      </w:r>
      <w:r w:rsidR="00F138FD">
        <w:rPr>
          <w:color w:val="auto"/>
        </w:rPr>
        <w:t>,</w:t>
      </w:r>
      <w:r w:rsidR="0053138A" w:rsidRPr="00D206CB">
        <w:rPr>
          <w:color w:val="auto"/>
        </w:rPr>
        <w:t xml:space="preserve"> 277–97.</w:t>
      </w:r>
    </w:p>
    <w:p w:rsidR="0053138A" w:rsidRPr="00D206CB" w:rsidRDefault="0053138A" w:rsidP="00141422">
      <w:pPr>
        <w:pStyle w:val="Abstracttext"/>
        <w:spacing w:line="276" w:lineRule="auto"/>
        <w:rPr>
          <w:color w:val="auto"/>
        </w:rPr>
      </w:pPr>
    </w:p>
    <w:p w:rsidR="0053138A" w:rsidRPr="00D206CB" w:rsidRDefault="0043557B" w:rsidP="00141422">
      <w:pPr>
        <w:pStyle w:val="Abstracttext"/>
        <w:spacing w:line="276" w:lineRule="auto"/>
        <w:rPr>
          <w:color w:val="auto"/>
        </w:rPr>
      </w:pPr>
      <w:r w:rsidRPr="00D206CB">
        <w:rPr>
          <w:color w:val="auto"/>
        </w:rPr>
        <w:t>[</w:t>
      </w:r>
      <w:r w:rsidR="007053B8" w:rsidRPr="00D206CB">
        <w:rPr>
          <w:color w:val="auto"/>
        </w:rPr>
        <w:t>8</w:t>
      </w:r>
      <w:r w:rsidRPr="00D206CB">
        <w:rPr>
          <w:color w:val="auto"/>
        </w:rPr>
        <w:t>]</w:t>
      </w:r>
      <w:r w:rsidR="007053B8" w:rsidRPr="00D206CB">
        <w:rPr>
          <w:color w:val="auto"/>
        </w:rPr>
        <w:t xml:space="preserve"> </w:t>
      </w:r>
      <w:r w:rsidR="0053138A" w:rsidRPr="00D206CB">
        <w:rPr>
          <w:color w:val="auto"/>
        </w:rPr>
        <w:t>Arellano, M., and Bover</w:t>
      </w:r>
      <w:r w:rsidR="00D206CB" w:rsidRPr="00D206CB">
        <w:rPr>
          <w:color w:val="auto"/>
        </w:rPr>
        <w:t>, O</w:t>
      </w:r>
      <w:r w:rsidR="0053138A" w:rsidRPr="00D206CB">
        <w:rPr>
          <w:color w:val="auto"/>
        </w:rPr>
        <w:t>. (1995). Another look at the instrumental variables estimation of error</w:t>
      </w:r>
      <w:r w:rsidR="00021323" w:rsidRPr="00D206CB">
        <w:rPr>
          <w:color w:val="auto"/>
        </w:rPr>
        <w:t xml:space="preserve"> </w:t>
      </w:r>
      <w:r w:rsidR="0053138A" w:rsidRPr="00D206CB">
        <w:rPr>
          <w:color w:val="auto"/>
        </w:rPr>
        <w:t>components models. Journal of Econometrics</w:t>
      </w:r>
      <w:r w:rsidR="00F138FD">
        <w:rPr>
          <w:color w:val="auto"/>
        </w:rPr>
        <w:t>,</w:t>
      </w:r>
      <w:r w:rsidR="0053138A" w:rsidRPr="00D206CB">
        <w:rPr>
          <w:color w:val="auto"/>
        </w:rPr>
        <w:t xml:space="preserve"> 68</w:t>
      </w:r>
      <w:r w:rsidR="00F138FD">
        <w:rPr>
          <w:color w:val="auto"/>
        </w:rPr>
        <w:t>,</w:t>
      </w:r>
      <w:r w:rsidR="0053138A" w:rsidRPr="00D206CB">
        <w:rPr>
          <w:color w:val="auto"/>
        </w:rPr>
        <w:t xml:space="preserve"> 29–51.</w:t>
      </w:r>
    </w:p>
    <w:p w:rsidR="0053138A" w:rsidRPr="00D206CB" w:rsidRDefault="0053138A" w:rsidP="00141422">
      <w:pPr>
        <w:pStyle w:val="Abstracttext"/>
        <w:spacing w:line="276" w:lineRule="auto"/>
        <w:rPr>
          <w:color w:val="auto"/>
        </w:rPr>
      </w:pPr>
    </w:p>
    <w:p w:rsidR="00346621" w:rsidRPr="00D206CB" w:rsidRDefault="0043557B" w:rsidP="00141422">
      <w:pPr>
        <w:pStyle w:val="Abstracttext"/>
        <w:spacing w:line="276" w:lineRule="auto"/>
        <w:rPr>
          <w:color w:val="auto"/>
        </w:rPr>
      </w:pPr>
      <w:r w:rsidRPr="00D206CB">
        <w:rPr>
          <w:color w:val="auto"/>
        </w:rPr>
        <w:t>[</w:t>
      </w:r>
      <w:r w:rsidR="007053B8" w:rsidRPr="00D206CB">
        <w:rPr>
          <w:color w:val="auto"/>
        </w:rPr>
        <w:t>9</w:t>
      </w:r>
      <w:r w:rsidRPr="00D206CB">
        <w:rPr>
          <w:color w:val="auto"/>
        </w:rPr>
        <w:t>]</w:t>
      </w:r>
      <w:r w:rsidR="007053B8" w:rsidRPr="00D206CB">
        <w:rPr>
          <w:color w:val="auto"/>
        </w:rPr>
        <w:t xml:space="preserve"> </w:t>
      </w:r>
      <w:r w:rsidR="00BD3F0B" w:rsidRPr="00D206CB">
        <w:rPr>
          <w:color w:val="auto"/>
        </w:rPr>
        <w:t>Athukorala, P-C., Rajapatirana, S., (2003). Capital Inflows and the Real Exchange Rate: Comparative Study of Asia and Latin America</w:t>
      </w:r>
      <w:r w:rsidR="00F138FD">
        <w:rPr>
          <w:color w:val="auto"/>
        </w:rPr>
        <w:t>.</w:t>
      </w:r>
      <w:r w:rsidR="00BD3F0B" w:rsidRPr="00D206CB">
        <w:rPr>
          <w:color w:val="auto"/>
        </w:rPr>
        <w:t xml:space="preserve"> World Economy</w:t>
      </w:r>
      <w:r w:rsidR="00B6197D">
        <w:rPr>
          <w:color w:val="auto"/>
        </w:rPr>
        <w:t xml:space="preserve">, </w:t>
      </w:r>
      <w:r w:rsidR="00BD3F0B" w:rsidRPr="00D206CB">
        <w:rPr>
          <w:color w:val="auto"/>
        </w:rPr>
        <w:t>26</w:t>
      </w:r>
      <w:r w:rsidR="00F138FD">
        <w:rPr>
          <w:color w:val="auto"/>
        </w:rPr>
        <w:t>,</w:t>
      </w:r>
      <w:r w:rsidR="00BD3F0B" w:rsidRPr="00D206CB">
        <w:rPr>
          <w:color w:val="auto"/>
        </w:rPr>
        <w:t xml:space="preserve"> (4), 613-637.</w:t>
      </w:r>
    </w:p>
    <w:p w:rsidR="00BD3F0B" w:rsidRPr="00D206CB" w:rsidRDefault="00BD3F0B" w:rsidP="00141422">
      <w:pPr>
        <w:pStyle w:val="Abstracttext"/>
        <w:spacing w:line="276" w:lineRule="auto"/>
        <w:rPr>
          <w:color w:val="auto"/>
        </w:rPr>
      </w:pPr>
      <w:r w:rsidRPr="00D206CB">
        <w:rPr>
          <w:color w:val="auto"/>
        </w:rPr>
        <w:t xml:space="preserve">  </w:t>
      </w:r>
    </w:p>
    <w:p w:rsidR="005D3416" w:rsidRPr="00D206CB" w:rsidRDefault="0043557B" w:rsidP="00141422">
      <w:pPr>
        <w:pStyle w:val="Abstracttext"/>
        <w:spacing w:line="276" w:lineRule="auto"/>
        <w:rPr>
          <w:color w:val="auto"/>
        </w:rPr>
      </w:pPr>
      <w:r w:rsidRPr="00D206CB">
        <w:rPr>
          <w:color w:val="auto"/>
        </w:rPr>
        <w:t>[</w:t>
      </w:r>
      <w:r w:rsidR="007053B8" w:rsidRPr="00D206CB">
        <w:rPr>
          <w:color w:val="auto"/>
        </w:rPr>
        <w:t>10</w:t>
      </w:r>
      <w:r w:rsidRPr="00D206CB">
        <w:rPr>
          <w:color w:val="auto"/>
        </w:rPr>
        <w:t>]</w:t>
      </w:r>
      <w:r w:rsidR="007053B8" w:rsidRPr="00D206CB">
        <w:rPr>
          <w:color w:val="auto"/>
        </w:rPr>
        <w:t xml:space="preserve"> </w:t>
      </w:r>
      <w:r w:rsidR="005D3416" w:rsidRPr="00D206CB">
        <w:rPr>
          <w:color w:val="auto"/>
        </w:rPr>
        <w:t>Blanchard, O. and S. Fischer. (1989). Lectures on Macroeconomics</w:t>
      </w:r>
      <w:r w:rsidR="00B6197D">
        <w:rPr>
          <w:color w:val="auto"/>
        </w:rPr>
        <w:t>.</w:t>
      </w:r>
      <w:r w:rsidR="005D3416" w:rsidRPr="00D206CB">
        <w:rPr>
          <w:color w:val="auto"/>
        </w:rPr>
        <w:t xml:space="preserve"> The MIT Press, Cambridge.</w:t>
      </w:r>
    </w:p>
    <w:p w:rsidR="00A51597" w:rsidRPr="00D206CB" w:rsidRDefault="00A51597" w:rsidP="00141422">
      <w:pPr>
        <w:pStyle w:val="Abstracttext"/>
        <w:spacing w:line="276" w:lineRule="auto"/>
        <w:rPr>
          <w:color w:val="auto"/>
        </w:rPr>
      </w:pPr>
    </w:p>
    <w:p w:rsidR="00A51597" w:rsidRPr="00D206CB" w:rsidRDefault="0043557B" w:rsidP="00141422">
      <w:pPr>
        <w:pStyle w:val="Abstracttext"/>
        <w:spacing w:line="276" w:lineRule="auto"/>
        <w:rPr>
          <w:color w:val="auto"/>
        </w:rPr>
      </w:pPr>
      <w:r w:rsidRPr="00D206CB">
        <w:rPr>
          <w:color w:val="auto"/>
        </w:rPr>
        <w:t>[</w:t>
      </w:r>
      <w:r w:rsidR="007053B8" w:rsidRPr="00D206CB">
        <w:rPr>
          <w:color w:val="auto"/>
        </w:rPr>
        <w:t>11</w:t>
      </w:r>
      <w:r w:rsidRPr="00D206CB">
        <w:rPr>
          <w:color w:val="auto"/>
        </w:rPr>
        <w:t>]</w:t>
      </w:r>
      <w:r w:rsidR="007053B8" w:rsidRPr="00D206CB">
        <w:rPr>
          <w:color w:val="auto"/>
        </w:rPr>
        <w:t xml:space="preserve"> </w:t>
      </w:r>
      <w:r w:rsidR="00A51597" w:rsidRPr="00D206CB">
        <w:rPr>
          <w:color w:val="auto"/>
        </w:rPr>
        <w:t>Blundell,</w:t>
      </w:r>
      <w:r w:rsidR="008A438C">
        <w:rPr>
          <w:color w:val="auto"/>
        </w:rPr>
        <w:t xml:space="preserve"> </w:t>
      </w:r>
      <w:r w:rsidR="00A51597" w:rsidRPr="00D206CB">
        <w:rPr>
          <w:color w:val="auto"/>
        </w:rPr>
        <w:t xml:space="preserve">R., and </w:t>
      </w:r>
      <w:r w:rsidR="00D206CB" w:rsidRPr="00D206CB">
        <w:rPr>
          <w:color w:val="auto"/>
        </w:rPr>
        <w:t>Bond,</w:t>
      </w:r>
      <w:r w:rsidR="00A51597" w:rsidRPr="00D206CB">
        <w:rPr>
          <w:color w:val="auto"/>
        </w:rPr>
        <w:t xml:space="preserve"> </w:t>
      </w:r>
      <w:r w:rsidR="00D206CB" w:rsidRPr="00D206CB">
        <w:rPr>
          <w:color w:val="auto"/>
        </w:rPr>
        <w:t xml:space="preserve">S. </w:t>
      </w:r>
      <w:r w:rsidR="00A51597" w:rsidRPr="00D206CB">
        <w:rPr>
          <w:color w:val="auto"/>
        </w:rPr>
        <w:t>(1998). Initial conditions and moment restrictions in dynamic panel data models. Journal of Econometrics</w:t>
      </w:r>
      <w:r w:rsidR="00F138FD">
        <w:rPr>
          <w:color w:val="auto"/>
        </w:rPr>
        <w:t>,</w:t>
      </w:r>
      <w:r w:rsidR="00A51597" w:rsidRPr="00D206CB">
        <w:rPr>
          <w:color w:val="auto"/>
        </w:rPr>
        <w:t xml:space="preserve"> 87</w:t>
      </w:r>
      <w:r w:rsidR="00F138FD">
        <w:rPr>
          <w:color w:val="auto"/>
        </w:rPr>
        <w:t>,</w:t>
      </w:r>
      <w:r w:rsidR="00A51597" w:rsidRPr="00D206CB">
        <w:rPr>
          <w:color w:val="auto"/>
        </w:rPr>
        <w:t xml:space="preserve"> 11–143.</w:t>
      </w:r>
    </w:p>
    <w:p w:rsidR="00DD196F" w:rsidRPr="00D206CB" w:rsidRDefault="00DD196F" w:rsidP="00141422">
      <w:pPr>
        <w:pStyle w:val="Abstracttext"/>
        <w:spacing w:line="276" w:lineRule="auto"/>
        <w:rPr>
          <w:color w:val="auto"/>
        </w:rPr>
      </w:pPr>
    </w:p>
    <w:p w:rsidR="00FA1DB7" w:rsidRPr="00D206CB" w:rsidRDefault="0043557B" w:rsidP="00141422">
      <w:pPr>
        <w:pStyle w:val="Abstracttext"/>
        <w:spacing w:line="276" w:lineRule="auto"/>
        <w:rPr>
          <w:color w:val="auto"/>
        </w:rPr>
      </w:pPr>
      <w:r w:rsidRPr="00D206CB">
        <w:rPr>
          <w:color w:val="auto"/>
        </w:rPr>
        <w:t>[</w:t>
      </w:r>
      <w:r w:rsidR="007053B8" w:rsidRPr="00D206CB">
        <w:rPr>
          <w:color w:val="auto"/>
        </w:rPr>
        <w:t>12</w:t>
      </w:r>
      <w:r w:rsidRPr="00D206CB">
        <w:rPr>
          <w:color w:val="auto"/>
        </w:rPr>
        <w:t>]</w:t>
      </w:r>
      <w:r w:rsidR="007053B8" w:rsidRPr="00D206CB">
        <w:rPr>
          <w:color w:val="auto"/>
        </w:rPr>
        <w:t xml:space="preserve"> </w:t>
      </w:r>
      <w:r w:rsidR="00FA1DB7" w:rsidRPr="00D206CB">
        <w:rPr>
          <w:color w:val="auto"/>
        </w:rPr>
        <w:t>Bourdet, Y.</w:t>
      </w:r>
      <w:r w:rsidR="00744361" w:rsidRPr="00D206CB">
        <w:rPr>
          <w:color w:val="auto"/>
        </w:rPr>
        <w:t xml:space="preserve"> and </w:t>
      </w:r>
      <w:r w:rsidR="00FA1DB7" w:rsidRPr="00D206CB">
        <w:rPr>
          <w:color w:val="auto"/>
        </w:rPr>
        <w:t>Falck, H., (2006). Emigrants’ Remittances and Dutch Disease in Cape Verde.  International Economic Journal, 20</w:t>
      </w:r>
      <w:r w:rsidR="00F138FD">
        <w:rPr>
          <w:color w:val="auto"/>
        </w:rPr>
        <w:t>,</w:t>
      </w:r>
      <w:r w:rsidR="00FA1DB7" w:rsidRPr="00D206CB">
        <w:rPr>
          <w:color w:val="auto"/>
        </w:rPr>
        <w:t xml:space="preserve"> (3), 267-284.</w:t>
      </w:r>
    </w:p>
    <w:p w:rsidR="00FA1DB7" w:rsidRPr="00D206CB" w:rsidRDefault="00FA1DB7" w:rsidP="00141422">
      <w:pPr>
        <w:pStyle w:val="Abstracttext"/>
        <w:spacing w:line="276" w:lineRule="auto"/>
        <w:rPr>
          <w:color w:val="auto"/>
        </w:rPr>
      </w:pPr>
    </w:p>
    <w:p w:rsidR="00DD196F" w:rsidRPr="00D206CB" w:rsidRDefault="0043557B" w:rsidP="00141422">
      <w:pPr>
        <w:pStyle w:val="Abstracttext"/>
        <w:spacing w:line="276" w:lineRule="auto"/>
        <w:rPr>
          <w:color w:val="auto"/>
        </w:rPr>
      </w:pPr>
      <w:r w:rsidRPr="00D206CB">
        <w:rPr>
          <w:color w:val="auto"/>
        </w:rPr>
        <w:t>[</w:t>
      </w:r>
      <w:r w:rsidR="007053B8" w:rsidRPr="00D206CB">
        <w:rPr>
          <w:color w:val="auto"/>
        </w:rPr>
        <w:t>13</w:t>
      </w:r>
      <w:r w:rsidRPr="00D206CB">
        <w:rPr>
          <w:color w:val="auto"/>
        </w:rPr>
        <w:t>]</w:t>
      </w:r>
      <w:r w:rsidR="007053B8" w:rsidRPr="00D206CB">
        <w:rPr>
          <w:color w:val="auto"/>
        </w:rPr>
        <w:t xml:space="preserve"> </w:t>
      </w:r>
      <w:r w:rsidR="00DD196F" w:rsidRPr="00D206CB">
        <w:rPr>
          <w:color w:val="auto"/>
        </w:rPr>
        <w:t>Burnside, C. and D. Dollar. (2000). Aid, Policies and Growth. American Economic Review</w:t>
      </w:r>
      <w:r w:rsidR="00F138FD">
        <w:rPr>
          <w:color w:val="auto"/>
        </w:rPr>
        <w:t>,</w:t>
      </w:r>
      <w:r w:rsidR="00DD196F" w:rsidRPr="00D206CB">
        <w:rPr>
          <w:color w:val="auto"/>
        </w:rPr>
        <w:t xml:space="preserve"> 90</w:t>
      </w:r>
      <w:r w:rsidR="00F138FD">
        <w:rPr>
          <w:color w:val="auto"/>
        </w:rPr>
        <w:t>,</w:t>
      </w:r>
      <w:r w:rsidR="00DD196F" w:rsidRPr="00D206CB">
        <w:rPr>
          <w:color w:val="auto"/>
        </w:rPr>
        <w:t xml:space="preserve"> 847-868.</w:t>
      </w:r>
    </w:p>
    <w:p w:rsidR="005D3416" w:rsidRPr="00D206CB" w:rsidRDefault="005D3416" w:rsidP="00141422">
      <w:pPr>
        <w:pStyle w:val="Abstracttext"/>
        <w:spacing w:line="276" w:lineRule="auto"/>
        <w:rPr>
          <w:color w:val="auto"/>
        </w:rPr>
      </w:pPr>
    </w:p>
    <w:p w:rsidR="00ED0E15" w:rsidRPr="00D206CB" w:rsidRDefault="0043557B" w:rsidP="00141422">
      <w:pPr>
        <w:pStyle w:val="Abstracttext"/>
        <w:spacing w:line="276" w:lineRule="auto"/>
        <w:rPr>
          <w:color w:val="auto"/>
        </w:rPr>
      </w:pPr>
      <w:r w:rsidRPr="00D206CB">
        <w:rPr>
          <w:color w:val="auto"/>
        </w:rPr>
        <w:t>[</w:t>
      </w:r>
      <w:r w:rsidR="007053B8" w:rsidRPr="00D206CB">
        <w:rPr>
          <w:color w:val="auto"/>
        </w:rPr>
        <w:t>14</w:t>
      </w:r>
      <w:r w:rsidRPr="00D206CB">
        <w:rPr>
          <w:color w:val="auto"/>
        </w:rPr>
        <w:t>]</w:t>
      </w:r>
      <w:r w:rsidR="007053B8" w:rsidRPr="00D206CB">
        <w:rPr>
          <w:color w:val="auto"/>
        </w:rPr>
        <w:t xml:space="preserve"> </w:t>
      </w:r>
      <w:r w:rsidR="00ED0E15" w:rsidRPr="00D206CB">
        <w:rPr>
          <w:color w:val="auto"/>
        </w:rPr>
        <w:t>Calderon, C., and H. M. Nguyen. (2015). Do Capital Inflows Boost Growth in Developing</w:t>
      </w:r>
      <w:r w:rsidR="007053B8" w:rsidRPr="00D206CB">
        <w:rPr>
          <w:color w:val="auto"/>
        </w:rPr>
        <w:t xml:space="preserve"> </w:t>
      </w:r>
      <w:r w:rsidR="00ED0E15" w:rsidRPr="00D206CB">
        <w:rPr>
          <w:color w:val="auto"/>
        </w:rPr>
        <w:t>Countries? Evidence from Sub-Saharan Africa. Policy Research Working Paper</w:t>
      </w:r>
      <w:r w:rsidR="00F138FD">
        <w:rPr>
          <w:color w:val="auto"/>
        </w:rPr>
        <w:t>,</w:t>
      </w:r>
      <w:r w:rsidR="00ED0E15" w:rsidRPr="00D206CB">
        <w:rPr>
          <w:color w:val="auto"/>
        </w:rPr>
        <w:t xml:space="preserve"> 7298,</w:t>
      </w:r>
      <w:r w:rsidR="00F138FD">
        <w:rPr>
          <w:color w:val="auto"/>
        </w:rPr>
        <w:t xml:space="preserve"> </w:t>
      </w:r>
      <w:r w:rsidR="00ED0E15" w:rsidRPr="00D206CB">
        <w:rPr>
          <w:color w:val="auto"/>
        </w:rPr>
        <w:t>World Bank, Washington, DC.</w:t>
      </w:r>
    </w:p>
    <w:p w:rsidR="00542DBC" w:rsidRPr="00D206CB" w:rsidRDefault="00542DBC" w:rsidP="00141422">
      <w:pPr>
        <w:pStyle w:val="Abstracttext"/>
        <w:spacing w:line="276" w:lineRule="auto"/>
        <w:rPr>
          <w:color w:val="auto"/>
        </w:rPr>
      </w:pPr>
    </w:p>
    <w:p w:rsidR="00DA6BBB" w:rsidRPr="00D206CB" w:rsidRDefault="0043557B" w:rsidP="00141422">
      <w:pPr>
        <w:pStyle w:val="Abstracttext"/>
        <w:spacing w:line="276" w:lineRule="auto"/>
        <w:rPr>
          <w:color w:val="auto"/>
        </w:rPr>
      </w:pPr>
      <w:r w:rsidRPr="00D206CB">
        <w:rPr>
          <w:color w:val="auto"/>
        </w:rPr>
        <w:t>[</w:t>
      </w:r>
      <w:r w:rsidR="007053B8" w:rsidRPr="00D206CB">
        <w:rPr>
          <w:color w:val="auto"/>
        </w:rPr>
        <w:t>15</w:t>
      </w:r>
      <w:r w:rsidRPr="00D206CB">
        <w:rPr>
          <w:color w:val="auto"/>
        </w:rPr>
        <w:t>]</w:t>
      </w:r>
      <w:r w:rsidR="007053B8" w:rsidRPr="00D206CB">
        <w:rPr>
          <w:color w:val="auto"/>
        </w:rPr>
        <w:t xml:space="preserve"> </w:t>
      </w:r>
      <w:r w:rsidR="00542DBC" w:rsidRPr="00D206CB">
        <w:rPr>
          <w:color w:val="auto"/>
        </w:rPr>
        <w:t>Calvo, G., Leiderman, L., and Reinhart, C., (1993). Capital Inflows and Real Exchange Rate Appreciation in Latin America: The Role of External Factors.  IMF Staff Papers, 40</w:t>
      </w:r>
      <w:r w:rsidR="00F138FD">
        <w:rPr>
          <w:color w:val="auto"/>
        </w:rPr>
        <w:t>,</w:t>
      </w:r>
      <w:r w:rsidR="00542DBC" w:rsidRPr="00D206CB">
        <w:rPr>
          <w:color w:val="auto"/>
        </w:rPr>
        <w:t xml:space="preserve"> (1), 108–51.</w:t>
      </w:r>
    </w:p>
    <w:p w:rsidR="00AC6699" w:rsidRPr="00D206CB" w:rsidRDefault="00AC6699" w:rsidP="00141422">
      <w:pPr>
        <w:pStyle w:val="Abstracttext"/>
        <w:spacing w:line="276" w:lineRule="auto"/>
        <w:rPr>
          <w:color w:val="auto"/>
        </w:rPr>
      </w:pPr>
    </w:p>
    <w:p w:rsidR="0086726D" w:rsidRPr="00D206CB" w:rsidRDefault="0043557B" w:rsidP="00141422">
      <w:pPr>
        <w:pStyle w:val="Abstracttext"/>
        <w:spacing w:line="276" w:lineRule="auto"/>
        <w:rPr>
          <w:color w:val="auto"/>
        </w:rPr>
      </w:pPr>
      <w:r w:rsidRPr="00D206CB">
        <w:rPr>
          <w:color w:val="auto"/>
        </w:rPr>
        <w:t>[</w:t>
      </w:r>
      <w:r w:rsidR="007053B8" w:rsidRPr="00D206CB">
        <w:rPr>
          <w:color w:val="auto"/>
        </w:rPr>
        <w:t>16</w:t>
      </w:r>
      <w:r w:rsidRPr="00D206CB">
        <w:rPr>
          <w:color w:val="auto"/>
        </w:rPr>
        <w:t>]</w:t>
      </w:r>
      <w:r w:rsidR="007053B8" w:rsidRPr="00D206CB">
        <w:rPr>
          <w:color w:val="auto"/>
        </w:rPr>
        <w:t xml:space="preserve"> </w:t>
      </w:r>
      <w:r w:rsidR="0086726D" w:rsidRPr="00D206CB">
        <w:rPr>
          <w:color w:val="auto"/>
        </w:rPr>
        <w:t>Catrinescu, N., Leon-Ledesma, M., Piracha, M. and Quillin, B. (2009)</w:t>
      </w:r>
      <w:r w:rsidR="00F138FD">
        <w:rPr>
          <w:color w:val="auto"/>
        </w:rPr>
        <w:t>.</w:t>
      </w:r>
      <w:r w:rsidR="0086726D" w:rsidRPr="00D206CB">
        <w:rPr>
          <w:color w:val="auto"/>
        </w:rPr>
        <w:t xml:space="preserve"> Remittances, institutions, and economic growth. World Development</w:t>
      </w:r>
      <w:r w:rsidR="00F138FD">
        <w:rPr>
          <w:color w:val="auto"/>
        </w:rPr>
        <w:t>,</w:t>
      </w:r>
      <w:r w:rsidR="0086726D" w:rsidRPr="00D206CB">
        <w:rPr>
          <w:color w:val="auto"/>
        </w:rPr>
        <w:t xml:space="preserve"> 37</w:t>
      </w:r>
      <w:r w:rsidR="00F138FD">
        <w:rPr>
          <w:color w:val="auto"/>
        </w:rPr>
        <w:t xml:space="preserve">, </w:t>
      </w:r>
      <w:r w:rsidR="0086726D" w:rsidRPr="00D206CB">
        <w:rPr>
          <w:color w:val="auto"/>
        </w:rPr>
        <w:t>(1)</w:t>
      </w:r>
      <w:r w:rsidR="00F138FD">
        <w:rPr>
          <w:color w:val="auto"/>
        </w:rPr>
        <w:t xml:space="preserve">, </w:t>
      </w:r>
      <w:r w:rsidR="0086726D" w:rsidRPr="00D206CB">
        <w:rPr>
          <w:color w:val="auto"/>
        </w:rPr>
        <w:t>81–92.</w:t>
      </w:r>
    </w:p>
    <w:p w:rsidR="0086726D" w:rsidRPr="00D206CB" w:rsidRDefault="0086726D" w:rsidP="00141422">
      <w:pPr>
        <w:pStyle w:val="Abstracttext"/>
        <w:spacing w:line="276" w:lineRule="auto"/>
        <w:rPr>
          <w:color w:val="auto"/>
        </w:rPr>
      </w:pPr>
    </w:p>
    <w:p w:rsidR="00AC6699" w:rsidRPr="00D206CB" w:rsidRDefault="0043557B" w:rsidP="00141422">
      <w:pPr>
        <w:pStyle w:val="Abstracttext"/>
        <w:spacing w:line="276" w:lineRule="auto"/>
        <w:rPr>
          <w:color w:val="auto"/>
        </w:rPr>
      </w:pPr>
      <w:r w:rsidRPr="00D206CB">
        <w:rPr>
          <w:color w:val="auto"/>
        </w:rPr>
        <w:t>[</w:t>
      </w:r>
      <w:r w:rsidR="007053B8" w:rsidRPr="00D206CB">
        <w:rPr>
          <w:color w:val="auto"/>
        </w:rPr>
        <w:t>17</w:t>
      </w:r>
      <w:r w:rsidRPr="00D206CB">
        <w:rPr>
          <w:color w:val="auto"/>
        </w:rPr>
        <w:t>]</w:t>
      </w:r>
      <w:r w:rsidR="007053B8" w:rsidRPr="00D206CB">
        <w:rPr>
          <w:color w:val="auto"/>
        </w:rPr>
        <w:t xml:space="preserve"> </w:t>
      </w:r>
      <w:r w:rsidR="00AC6699" w:rsidRPr="00D206CB">
        <w:rPr>
          <w:color w:val="auto"/>
        </w:rPr>
        <w:t>Cerra, V., Tekin, S., Turnovsky, S.J. (2008). Foreign Aid and Real Exchange Rate Adjustments in a Financially Constrained Dependent Economy.  IMF Working Paper</w:t>
      </w:r>
      <w:r w:rsidR="00F138FD">
        <w:rPr>
          <w:color w:val="auto"/>
        </w:rPr>
        <w:t>,</w:t>
      </w:r>
      <w:r w:rsidR="00AC6699" w:rsidRPr="00D206CB">
        <w:rPr>
          <w:color w:val="auto"/>
        </w:rPr>
        <w:t xml:space="preserve"> 204, Washington: International Monetary Fund.</w:t>
      </w:r>
    </w:p>
    <w:p w:rsidR="00AC6699" w:rsidRPr="00D206CB" w:rsidRDefault="00AC6699" w:rsidP="00141422">
      <w:pPr>
        <w:pStyle w:val="Abstracttext"/>
        <w:spacing w:line="276" w:lineRule="auto"/>
        <w:rPr>
          <w:color w:val="auto"/>
        </w:rPr>
      </w:pPr>
    </w:p>
    <w:p w:rsidR="00271DBD" w:rsidRPr="00D206CB" w:rsidRDefault="0043557B" w:rsidP="00141422">
      <w:pPr>
        <w:pStyle w:val="Abstracttext"/>
        <w:spacing w:line="276" w:lineRule="auto"/>
        <w:rPr>
          <w:color w:val="auto"/>
        </w:rPr>
      </w:pPr>
      <w:r w:rsidRPr="00D206CB">
        <w:rPr>
          <w:color w:val="auto"/>
        </w:rPr>
        <w:t>[</w:t>
      </w:r>
      <w:r w:rsidR="007053B8" w:rsidRPr="00D206CB">
        <w:rPr>
          <w:color w:val="auto"/>
        </w:rPr>
        <w:t>18</w:t>
      </w:r>
      <w:r w:rsidRPr="00D206CB">
        <w:rPr>
          <w:color w:val="auto"/>
        </w:rPr>
        <w:t>]</w:t>
      </w:r>
      <w:r w:rsidR="007053B8" w:rsidRPr="00D206CB">
        <w:rPr>
          <w:color w:val="auto"/>
        </w:rPr>
        <w:t xml:space="preserve"> </w:t>
      </w:r>
      <w:r w:rsidR="00271DBD" w:rsidRPr="00D206CB">
        <w:rPr>
          <w:color w:val="auto"/>
        </w:rPr>
        <w:t>Chami, R., Barajas, A., Cosimano, T., Fullenkamp, C., Gapen, M., Montiel, P., (2008). Macroeconomic Consequences of Remittances.  IMF Occasional Paper</w:t>
      </w:r>
      <w:r w:rsidR="00F138FD">
        <w:rPr>
          <w:color w:val="auto"/>
        </w:rPr>
        <w:t>,</w:t>
      </w:r>
      <w:r w:rsidR="00271DBD" w:rsidRPr="00D206CB">
        <w:rPr>
          <w:color w:val="auto"/>
        </w:rPr>
        <w:t xml:space="preserve"> 259 (Washington: International Monetary Fund).</w:t>
      </w:r>
    </w:p>
    <w:p w:rsidR="00271DBD" w:rsidRPr="00D206CB" w:rsidRDefault="00271DBD" w:rsidP="00141422">
      <w:pPr>
        <w:pStyle w:val="Abstracttext"/>
        <w:spacing w:line="276" w:lineRule="auto"/>
        <w:rPr>
          <w:color w:val="auto"/>
        </w:rPr>
      </w:pPr>
    </w:p>
    <w:p w:rsidR="004E1E52" w:rsidRPr="00D206CB" w:rsidRDefault="0043557B" w:rsidP="00141422">
      <w:pPr>
        <w:pStyle w:val="Abstracttext"/>
        <w:spacing w:line="276" w:lineRule="auto"/>
        <w:rPr>
          <w:color w:val="auto"/>
        </w:rPr>
      </w:pPr>
      <w:r w:rsidRPr="00D206CB">
        <w:rPr>
          <w:color w:val="auto"/>
        </w:rPr>
        <w:t>[</w:t>
      </w:r>
      <w:r w:rsidR="007053B8" w:rsidRPr="00D206CB">
        <w:rPr>
          <w:color w:val="auto"/>
        </w:rPr>
        <w:t>19</w:t>
      </w:r>
      <w:r w:rsidRPr="00D206CB">
        <w:rPr>
          <w:color w:val="auto"/>
        </w:rPr>
        <w:t>]</w:t>
      </w:r>
      <w:r w:rsidR="007053B8" w:rsidRPr="00D206CB">
        <w:rPr>
          <w:color w:val="auto"/>
        </w:rPr>
        <w:t xml:space="preserve"> </w:t>
      </w:r>
      <w:r w:rsidR="004E1E52" w:rsidRPr="00D206CB">
        <w:rPr>
          <w:color w:val="auto"/>
        </w:rPr>
        <w:t>Cho, Y., and B. N. Tien. (2014). Sub-Saharan Africa’s Recent Growth Spurt: An Analysis of the Sources of Growth. Policy Research Working Paper</w:t>
      </w:r>
      <w:r w:rsidR="00F138FD">
        <w:rPr>
          <w:color w:val="auto"/>
        </w:rPr>
        <w:t>,</w:t>
      </w:r>
      <w:r w:rsidR="004E1E52" w:rsidRPr="00D206CB">
        <w:rPr>
          <w:color w:val="auto"/>
        </w:rPr>
        <w:t xml:space="preserve"> 6862, World Bank, Washington, DC</w:t>
      </w:r>
    </w:p>
    <w:p w:rsidR="004E1E52" w:rsidRPr="00D206CB" w:rsidRDefault="004E1E52" w:rsidP="00141422">
      <w:pPr>
        <w:pStyle w:val="Abstracttext"/>
        <w:spacing w:line="276" w:lineRule="auto"/>
        <w:rPr>
          <w:color w:val="auto"/>
        </w:rPr>
      </w:pPr>
    </w:p>
    <w:p w:rsidR="00D206CB" w:rsidRPr="00D206CB" w:rsidRDefault="00D206CB" w:rsidP="00D206CB">
      <w:pPr>
        <w:pStyle w:val="Abstracttext"/>
        <w:spacing w:line="276" w:lineRule="auto"/>
        <w:rPr>
          <w:color w:val="auto"/>
        </w:rPr>
      </w:pPr>
      <w:r w:rsidRPr="00B6197D">
        <w:rPr>
          <w:color w:val="auto"/>
        </w:rPr>
        <w:t>[2</w:t>
      </w:r>
      <w:r w:rsidR="00B6197D" w:rsidRPr="00B6197D">
        <w:rPr>
          <w:color w:val="auto"/>
        </w:rPr>
        <w:t>0</w:t>
      </w:r>
      <w:r w:rsidRPr="00B6197D">
        <w:rPr>
          <w:color w:val="auto"/>
        </w:rPr>
        <w:t>] Collier</w:t>
      </w:r>
      <w:r w:rsidRPr="00D206CB">
        <w:rPr>
          <w:color w:val="auto"/>
        </w:rPr>
        <w:t>, P. and Dollar, D. (2002). Aid Allocation and Poverty Reduction. European Economic Review, 46, 1475-1500</w:t>
      </w:r>
    </w:p>
    <w:p w:rsidR="00D206CB" w:rsidRPr="00D206CB" w:rsidRDefault="00D206CB" w:rsidP="00D206CB">
      <w:pPr>
        <w:pStyle w:val="Abstracttext"/>
        <w:spacing w:line="276" w:lineRule="auto"/>
        <w:rPr>
          <w:color w:val="auto"/>
        </w:rPr>
      </w:pPr>
    </w:p>
    <w:p w:rsidR="00DA6BBB" w:rsidRPr="00D206CB" w:rsidRDefault="00D206CB" w:rsidP="00D206CB">
      <w:pPr>
        <w:pStyle w:val="Abstracttext"/>
        <w:spacing w:line="276" w:lineRule="auto"/>
        <w:rPr>
          <w:color w:val="auto"/>
        </w:rPr>
      </w:pPr>
      <w:r w:rsidRPr="00D206CB">
        <w:rPr>
          <w:color w:val="auto"/>
        </w:rPr>
        <w:t xml:space="preserve"> </w:t>
      </w:r>
      <w:r w:rsidR="0043557B" w:rsidRPr="00D206CB">
        <w:rPr>
          <w:color w:val="auto"/>
        </w:rPr>
        <w:t>[</w:t>
      </w:r>
      <w:r w:rsidR="007053B8" w:rsidRPr="00D206CB">
        <w:rPr>
          <w:color w:val="auto"/>
        </w:rPr>
        <w:t>2</w:t>
      </w:r>
      <w:r w:rsidR="00B6197D">
        <w:rPr>
          <w:color w:val="auto"/>
        </w:rPr>
        <w:t>1</w:t>
      </w:r>
      <w:r w:rsidR="0043557B" w:rsidRPr="00D206CB">
        <w:rPr>
          <w:color w:val="auto"/>
        </w:rPr>
        <w:t>]</w:t>
      </w:r>
      <w:r w:rsidR="007053B8" w:rsidRPr="00D206CB">
        <w:rPr>
          <w:color w:val="auto"/>
        </w:rPr>
        <w:t xml:space="preserve"> </w:t>
      </w:r>
      <w:r w:rsidR="00DA6BBB" w:rsidRPr="00D206CB">
        <w:rPr>
          <w:color w:val="auto"/>
        </w:rPr>
        <w:t>Coon M., and Neumann R. (2015). Follow the money: Remittance responses to FDI inflows, MPRA Paper, 62220.</w:t>
      </w:r>
    </w:p>
    <w:p w:rsidR="00ED0E15" w:rsidRPr="00D206CB" w:rsidRDefault="00ED0E15" w:rsidP="00141422">
      <w:pPr>
        <w:pStyle w:val="Abstracttext"/>
        <w:spacing w:line="276" w:lineRule="auto"/>
        <w:rPr>
          <w:color w:val="auto"/>
        </w:rPr>
      </w:pPr>
    </w:p>
    <w:p w:rsidR="00D206CB" w:rsidRPr="00D206CB" w:rsidRDefault="00D206CB" w:rsidP="00D206CB">
      <w:pPr>
        <w:pStyle w:val="Abstracttext"/>
        <w:spacing w:line="276" w:lineRule="auto"/>
        <w:rPr>
          <w:color w:val="auto"/>
        </w:rPr>
      </w:pPr>
      <w:r w:rsidRPr="00B6197D">
        <w:rPr>
          <w:color w:val="auto"/>
        </w:rPr>
        <w:t>[2</w:t>
      </w:r>
      <w:r w:rsidR="00B6197D" w:rsidRPr="00B6197D">
        <w:rPr>
          <w:color w:val="auto"/>
        </w:rPr>
        <w:t>2</w:t>
      </w:r>
      <w:r w:rsidRPr="00B6197D">
        <w:rPr>
          <w:color w:val="auto"/>
        </w:rPr>
        <w:t>] Deléchat</w:t>
      </w:r>
      <w:r w:rsidRPr="00D206CB">
        <w:rPr>
          <w:color w:val="auto"/>
        </w:rPr>
        <w:t>, C., G. Ramirez, S. Wagh, and J. Wakeman-Linn. (2009). Sub-Saharan Africa’s</w:t>
      </w:r>
    </w:p>
    <w:p w:rsidR="00D206CB" w:rsidRPr="00D206CB" w:rsidRDefault="00D206CB" w:rsidP="00D206CB">
      <w:pPr>
        <w:pStyle w:val="Abstracttext"/>
        <w:spacing w:line="276" w:lineRule="auto"/>
        <w:rPr>
          <w:color w:val="auto"/>
        </w:rPr>
      </w:pPr>
      <w:r w:rsidRPr="00D206CB">
        <w:rPr>
          <w:color w:val="auto"/>
        </w:rPr>
        <w:t>Integration in the Global Financial Markets. IMF Working Paper No. 09</w:t>
      </w:r>
      <w:r w:rsidR="00F138FD">
        <w:rPr>
          <w:color w:val="auto"/>
        </w:rPr>
        <w:t xml:space="preserve">, </w:t>
      </w:r>
      <w:r w:rsidRPr="00D206CB">
        <w:rPr>
          <w:color w:val="auto"/>
        </w:rPr>
        <w:t>114, International Monetary Fund, Washington, DC.</w:t>
      </w:r>
    </w:p>
    <w:p w:rsidR="00D206CB" w:rsidRPr="00D206CB" w:rsidRDefault="00D206CB" w:rsidP="00D206CB">
      <w:pPr>
        <w:pStyle w:val="Abstracttext"/>
        <w:spacing w:line="276" w:lineRule="auto"/>
        <w:rPr>
          <w:color w:val="auto"/>
        </w:rPr>
      </w:pPr>
    </w:p>
    <w:p w:rsidR="00271768" w:rsidRPr="00D206CB" w:rsidRDefault="00D206CB" w:rsidP="00D206CB">
      <w:pPr>
        <w:pStyle w:val="Abstracttext"/>
        <w:spacing w:line="276" w:lineRule="auto"/>
        <w:rPr>
          <w:color w:val="auto"/>
        </w:rPr>
      </w:pPr>
      <w:r w:rsidRPr="00D206CB">
        <w:rPr>
          <w:color w:val="auto"/>
        </w:rPr>
        <w:t xml:space="preserve"> </w:t>
      </w:r>
      <w:r w:rsidR="0043557B" w:rsidRPr="00D206CB">
        <w:rPr>
          <w:color w:val="auto"/>
        </w:rPr>
        <w:t>[</w:t>
      </w:r>
      <w:r w:rsidR="007053B8" w:rsidRPr="00D206CB">
        <w:rPr>
          <w:color w:val="auto"/>
        </w:rPr>
        <w:t>2</w:t>
      </w:r>
      <w:r w:rsidR="00B6197D">
        <w:rPr>
          <w:color w:val="auto"/>
        </w:rPr>
        <w:t>3</w:t>
      </w:r>
      <w:r w:rsidR="0043557B" w:rsidRPr="00D206CB">
        <w:rPr>
          <w:color w:val="auto"/>
        </w:rPr>
        <w:t>]</w:t>
      </w:r>
      <w:r w:rsidR="007053B8" w:rsidRPr="00D206CB">
        <w:rPr>
          <w:color w:val="auto"/>
        </w:rPr>
        <w:t xml:space="preserve"> </w:t>
      </w:r>
      <w:r w:rsidR="000A2395" w:rsidRPr="00D206CB">
        <w:rPr>
          <w:color w:val="auto"/>
        </w:rPr>
        <w:t>D</w:t>
      </w:r>
      <w:r w:rsidR="00271768" w:rsidRPr="00D206CB">
        <w:rPr>
          <w:color w:val="auto"/>
        </w:rPr>
        <w:t>e Mello, Jr., L. R. (1999). Foreign Direct Investment-Led Growth: Evidence from Time Series and Panel Data. Oxford Economic Papers 51</w:t>
      </w:r>
      <w:r w:rsidR="00F138FD">
        <w:rPr>
          <w:color w:val="auto"/>
        </w:rPr>
        <w:t>,</w:t>
      </w:r>
      <w:r w:rsidR="00271768" w:rsidRPr="00D206CB">
        <w:rPr>
          <w:color w:val="auto"/>
        </w:rPr>
        <w:t xml:space="preserve"> (1)</w:t>
      </w:r>
      <w:r w:rsidR="00F138FD">
        <w:rPr>
          <w:color w:val="auto"/>
        </w:rPr>
        <w:t>,</w:t>
      </w:r>
      <w:r w:rsidR="00271768" w:rsidRPr="00D206CB">
        <w:rPr>
          <w:color w:val="auto"/>
        </w:rPr>
        <w:t xml:space="preserve"> 133–51.</w:t>
      </w:r>
    </w:p>
    <w:p w:rsidR="00621F9C" w:rsidRPr="00D206CB" w:rsidRDefault="00621F9C" w:rsidP="00141422">
      <w:pPr>
        <w:pStyle w:val="Abstracttext"/>
        <w:spacing w:line="276" w:lineRule="auto"/>
        <w:rPr>
          <w:color w:val="auto"/>
        </w:rPr>
      </w:pPr>
    </w:p>
    <w:p w:rsidR="00271768" w:rsidRPr="00D206CB" w:rsidRDefault="00271768" w:rsidP="00141422">
      <w:pPr>
        <w:pStyle w:val="Abstracttext"/>
        <w:spacing w:line="276" w:lineRule="auto"/>
        <w:rPr>
          <w:color w:val="auto"/>
        </w:rPr>
      </w:pPr>
    </w:p>
    <w:p w:rsidR="00F95781" w:rsidRPr="00D206CB" w:rsidRDefault="0043557B" w:rsidP="00141422">
      <w:pPr>
        <w:pStyle w:val="Abstracttext"/>
        <w:spacing w:line="276" w:lineRule="auto"/>
        <w:rPr>
          <w:color w:val="auto"/>
        </w:rPr>
      </w:pPr>
      <w:r w:rsidRPr="00D206CB">
        <w:rPr>
          <w:color w:val="auto"/>
        </w:rPr>
        <w:t>[</w:t>
      </w:r>
      <w:r w:rsidR="007053B8" w:rsidRPr="00D206CB">
        <w:rPr>
          <w:color w:val="auto"/>
        </w:rPr>
        <w:t>24</w:t>
      </w:r>
      <w:r w:rsidRPr="00D206CB">
        <w:rPr>
          <w:color w:val="auto"/>
        </w:rPr>
        <w:t>]</w:t>
      </w:r>
      <w:r w:rsidR="007053B8" w:rsidRPr="00D206CB">
        <w:rPr>
          <w:color w:val="auto"/>
        </w:rPr>
        <w:t xml:space="preserve"> </w:t>
      </w:r>
      <w:r w:rsidR="00F95781" w:rsidRPr="00D206CB">
        <w:rPr>
          <w:color w:val="auto"/>
        </w:rPr>
        <w:t xml:space="preserve">Driffield, N and Jones, C. (2013). Impact of FDI, ODA and migrant remittances on economic growth in developing countries: a systems approach. The European Journal of Development Research, 25, </w:t>
      </w:r>
      <w:r w:rsidR="00F138FD">
        <w:rPr>
          <w:color w:val="auto"/>
        </w:rPr>
        <w:t>(</w:t>
      </w:r>
      <w:r w:rsidR="00F95781" w:rsidRPr="00D206CB">
        <w:rPr>
          <w:color w:val="auto"/>
        </w:rPr>
        <w:t>2</w:t>
      </w:r>
      <w:r w:rsidR="00F138FD">
        <w:rPr>
          <w:color w:val="auto"/>
        </w:rPr>
        <w:t>)</w:t>
      </w:r>
      <w:r w:rsidR="00F95781" w:rsidRPr="00D206CB">
        <w:rPr>
          <w:color w:val="auto"/>
        </w:rPr>
        <w:t>, 173-196</w:t>
      </w:r>
      <w:r w:rsidR="006F3D03" w:rsidRPr="00D206CB">
        <w:rPr>
          <w:color w:val="auto"/>
        </w:rPr>
        <w:t>.</w:t>
      </w:r>
    </w:p>
    <w:p w:rsidR="00B26817" w:rsidRPr="00D206CB" w:rsidRDefault="00B26817" w:rsidP="00141422">
      <w:pPr>
        <w:pStyle w:val="Abstracttext"/>
        <w:spacing w:line="276" w:lineRule="auto"/>
        <w:rPr>
          <w:color w:val="auto"/>
        </w:rPr>
      </w:pPr>
    </w:p>
    <w:p w:rsidR="0010110A" w:rsidRPr="00D206CB" w:rsidRDefault="0043557B" w:rsidP="00141422">
      <w:pPr>
        <w:pStyle w:val="Abstracttext"/>
        <w:spacing w:line="276" w:lineRule="auto"/>
        <w:rPr>
          <w:color w:val="auto"/>
        </w:rPr>
      </w:pPr>
      <w:r w:rsidRPr="00D206CB">
        <w:rPr>
          <w:color w:val="auto"/>
        </w:rPr>
        <w:t>[</w:t>
      </w:r>
      <w:r w:rsidR="007053B8" w:rsidRPr="00D206CB">
        <w:rPr>
          <w:color w:val="auto"/>
        </w:rPr>
        <w:t>25</w:t>
      </w:r>
      <w:r w:rsidRPr="00D206CB">
        <w:rPr>
          <w:color w:val="auto"/>
        </w:rPr>
        <w:t>]</w:t>
      </w:r>
      <w:r w:rsidR="007053B8" w:rsidRPr="00D206CB">
        <w:rPr>
          <w:color w:val="auto"/>
        </w:rPr>
        <w:t xml:space="preserve"> </w:t>
      </w:r>
      <w:r w:rsidR="0010110A" w:rsidRPr="00D206CB">
        <w:rPr>
          <w:color w:val="auto"/>
        </w:rPr>
        <w:t>Easterly, W., Levine, R. and Roodman, D. (2004). Aid, policies, and growth: Comment. American Economic Review 94</w:t>
      </w:r>
      <w:r w:rsidR="00F138FD">
        <w:rPr>
          <w:color w:val="auto"/>
        </w:rPr>
        <w:t xml:space="preserve">, </w:t>
      </w:r>
      <w:r w:rsidR="0010110A" w:rsidRPr="00D206CB">
        <w:rPr>
          <w:color w:val="auto"/>
        </w:rPr>
        <w:t>(3)</w:t>
      </w:r>
      <w:r w:rsidR="00F138FD">
        <w:rPr>
          <w:color w:val="auto"/>
        </w:rPr>
        <w:t xml:space="preserve">, </w:t>
      </w:r>
      <w:r w:rsidR="0010110A" w:rsidRPr="00D206CB">
        <w:rPr>
          <w:color w:val="auto"/>
        </w:rPr>
        <w:t>774–780.</w:t>
      </w:r>
    </w:p>
    <w:p w:rsidR="0010110A" w:rsidRPr="00D206CB" w:rsidRDefault="0010110A" w:rsidP="00141422">
      <w:pPr>
        <w:pStyle w:val="Abstracttext"/>
        <w:spacing w:line="276" w:lineRule="auto"/>
        <w:rPr>
          <w:color w:val="auto"/>
        </w:rPr>
      </w:pPr>
    </w:p>
    <w:p w:rsidR="00B26817" w:rsidRPr="00D206CB" w:rsidRDefault="0043557B" w:rsidP="00141422">
      <w:pPr>
        <w:pStyle w:val="Abstracttext"/>
        <w:spacing w:line="276" w:lineRule="auto"/>
        <w:rPr>
          <w:color w:val="auto"/>
        </w:rPr>
      </w:pPr>
      <w:r w:rsidRPr="00D206CB">
        <w:rPr>
          <w:color w:val="auto"/>
        </w:rPr>
        <w:t>[</w:t>
      </w:r>
      <w:r w:rsidR="007053B8" w:rsidRPr="00D206CB">
        <w:rPr>
          <w:color w:val="auto"/>
        </w:rPr>
        <w:t>26</w:t>
      </w:r>
      <w:r w:rsidRPr="00D206CB">
        <w:rPr>
          <w:color w:val="auto"/>
        </w:rPr>
        <w:t>]</w:t>
      </w:r>
      <w:r w:rsidR="007053B8" w:rsidRPr="00D206CB">
        <w:rPr>
          <w:color w:val="auto"/>
        </w:rPr>
        <w:t xml:space="preserve"> </w:t>
      </w:r>
      <w:r w:rsidR="00B26817" w:rsidRPr="00D206CB">
        <w:rPr>
          <w:color w:val="auto"/>
        </w:rPr>
        <w:t>Edwards, S. (1998). Capital Flows, Real Exchange Rates, and Capital Controls: Some Latin American Experiences.  NBER Working Papers</w:t>
      </w:r>
      <w:r w:rsidR="00F138FD">
        <w:rPr>
          <w:color w:val="auto"/>
        </w:rPr>
        <w:t>,</w:t>
      </w:r>
      <w:r w:rsidR="00B26817" w:rsidRPr="00D206CB">
        <w:rPr>
          <w:color w:val="auto"/>
        </w:rPr>
        <w:t xml:space="preserve"> 6800 (Cambridge, MA: National Bureau of Economic Research, Inc.).</w:t>
      </w:r>
    </w:p>
    <w:p w:rsidR="00B26817" w:rsidRPr="00D206CB" w:rsidRDefault="00B26817" w:rsidP="00141422">
      <w:pPr>
        <w:pStyle w:val="Abstracttext"/>
        <w:spacing w:line="276" w:lineRule="auto"/>
        <w:rPr>
          <w:color w:val="auto"/>
        </w:rPr>
      </w:pPr>
    </w:p>
    <w:p w:rsidR="000A2395" w:rsidRPr="00D206CB" w:rsidRDefault="0043557B" w:rsidP="00141422">
      <w:pPr>
        <w:pStyle w:val="Abstracttext"/>
        <w:spacing w:line="276" w:lineRule="auto"/>
        <w:rPr>
          <w:color w:val="auto"/>
        </w:rPr>
      </w:pPr>
      <w:r w:rsidRPr="00D206CB">
        <w:rPr>
          <w:color w:val="auto"/>
        </w:rPr>
        <w:t>[</w:t>
      </w:r>
      <w:r w:rsidR="007053B8" w:rsidRPr="00D206CB">
        <w:rPr>
          <w:color w:val="auto"/>
        </w:rPr>
        <w:t>27</w:t>
      </w:r>
      <w:r w:rsidRPr="00D206CB">
        <w:rPr>
          <w:color w:val="auto"/>
        </w:rPr>
        <w:t>]</w:t>
      </w:r>
      <w:r w:rsidR="007053B8" w:rsidRPr="00D206CB">
        <w:rPr>
          <w:color w:val="auto"/>
        </w:rPr>
        <w:t xml:space="preserve"> </w:t>
      </w:r>
      <w:r w:rsidR="000A2395" w:rsidRPr="00D206CB">
        <w:rPr>
          <w:color w:val="auto"/>
        </w:rPr>
        <w:t>Giuliano, P. and M. Ruiz-Arranz (2009). Re</w:t>
      </w:r>
      <w:r w:rsidR="006B12DE" w:rsidRPr="00D206CB">
        <w:rPr>
          <w:color w:val="auto"/>
        </w:rPr>
        <w:t>mittances, Financial Development and Growth</w:t>
      </w:r>
      <w:r w:rsidR="00F138FD">
        <w:rPr>
          <w:color w:val="auto"/>
        </w:rPr>
        <w:t>.</w:t>
      </w:r>
      <w:r w:rsidR="006B12DE" w:rsidRPr="00D206CB">
        <w:rPr>
          <w:color w:val="auto"/>
        </w:rPr>
        <w:t xml:space="preserve"> Journal of Development Economics, 90</w:t>
      </w:r>
      <w:r w:rsidR="00F138FD">
        <w:rPr>
          <w:color w:val="auto"/>
        </w:rPr>
        <w:t>,</w:t>
      </w:r>
      <w:r w:rsidR="006B12DE" w:rsidRPr="00D206CB">
        <w:rPr>
          <w:color w:val="auto"/>
        </w:rPr>
        <w:t xml:space="preserve"> 144-152.</w:t>
      </w:r>
    </w:p>
    <w:p w:rsidR="000A2395" w:rsidRPr="00D206CB" w:rsidRDefault="000A2395" w:rsidP="00141422">
      <w:pPr>
        <w:pStyle w:val="Abstracttext"/>
        <w:spacing w:line="276" w:lineRule="auto"/>
        <w:rPr>
          <w:color w:val="auto"/>
        </w:rPr>
      </w:pPr>
    </w:p>
    <w:p w:rsidR="00AF283D" w:rsidRPr="00D206CB" w:rsidRDefault="0043557B" w:rsidP="00141422">
      <w:pPr>
        <w:pStyle w:val="Abstracttext"/>
        <w:spacing w:line="276" w:lineRule="auto"/>
        <w:rPr>
          <w:color w:val="auto"/>
        </w:rPr>
      </w:pPr>
      <w:r w:rsidRPr="00D206CB">
        <w:rPr>
          <w:color w:val="auto"/>
        </w:rPr>
        <w:t>[</w:t>
      </w:r>
      <w:r w:rsidR="007053B8" w:rsidRPr="00D206CB">
        <w:rPr>
          <w:color w:val="auto"/>
        </w:rPr>
        <w:t>28</w:t>
      </w:r>
      <w:r w:rsidRPr="00D206CB">
        <w:rPr>
          <w:color w:val="auto"/>
        </w:rPr>
        <w:t>]</w:t>
      </w:r>
      <w:r w:rsidR="007053B8" w:rsidRPr="00D206CB">
        <w:rPr>
          <w:color w:val="auto"/>
        </w:rPr>
        <w:t xml:space="preserve"> </w:t>
      </w:r>
      <w:r w:rsidR="00AF283D" w:rsidRPr="00D206CB">
        <w:rPr>
          <w:color w:val="auto"/>
        </w:rPr>
        <w:t>Gourinchas, P.-O., and O. Jeanne. (2013). Capital Flows to Developing Countries: The Allocation Puzzle. Review of Economic Studies 80</w:t>
      </w:r>
      <w:r w:rsidR="00F138FD">
        <w:rPr>
          <w:color w:val="auto"/>
        </w:rPr>
        <w:t>,</w:t>
      </w:r>
      <w:r w:rsidR="00AF283D" w:rsidRPr="00D206CB">
        <w:rPr>
          <w:color w:val="auto"/>
        </w:rPr>
        <w:t xml:space="preserve"> 1484–515.</w:t>
      </w:r>
    </w:p>
    <w:p w:rsidR="00AF283D" w:rsidRPr="00D206CB" w:rsidRDefault="00AF283D" w:rsidP="00141422">
      <w:pPr>
        <w:pStyle w:val="Abstracttext"/>
        <w:spacing w:line="276" w:lineRule="auto"/>
        <w:rPr>
          <w:color w:val="auto"/>
        </w:rPr>
      </w:pPr>
    </w:p>
    <w:p w:rsidR="009D450D" w:rsidRPr="00D206CB" w:rsidRDefault="0043557B" w:rsidP="00141422">
      <w:pPr>
        <w:pStyle w:val="Abstracttext"/>
        <w:spacing w:line="276" w:lineRule="auto"/>
        <w:rPr>
          <w:color w:val="auto"/>
        </w:rPr>
      </w:pPr>
      <w:r w:rsidRPr="00D206CB">
        <w:rPr>
          <w:color w:val="auto"/>
        </w:rPr>
        <w:t>[</w:t>
      </w:r>
      <w:r w:rsidR="007053B8" w:rsidRPr="00D206CB">
        <w:rPr>
          <w:color w:val="auto"/>
        </w:rPr>
        <w:t>29</w:t>
      </w:r>
      <w:r w:rsidRPr="00D206CB">
        <w:rPr>
          <w:color w:val="auto"/>
        </w:rPr>
        <w:t>]</w:t>
      </w:r>
      <w:r w:rsidR="007053B8" w:rsidRPr="00D206CB">
        <w:rPr>
          <w:color w:val="auto"/>
        </w:rPr>
        <w:t xml:space="preserve"> </w:t>
      </w:r>
      <w:r w:rsidR="009D450D" w:rsidRPr="00D206CB">
        <w:rPr>
          <w:color w:val="auto"/>
        </w:rPr>
        <w:t>Haddad, M</w:t>
      </w:r>
      <w:r w:rsidR="00E11999" w:rsidRPr="00D206CB">
        <w:rPr>
          <w:color w:val="auto"/>
        </w:rPr>
        <w:t>.,</w:t>
      </w:r>
      <w:r w:rsidR="009D450D" w:rsidRPr="00D206CB">
        <w:rPr>
          <w:color w:val="auto"/>
        </w:rPr>
        <w:t xml:space="preserve"> and Harrison</w:t>
      </w:r>
      <w:r w:rsidR="00E11999" w:rsidRPr="00D206CB">
        <w:rPr>
          <w:color w:val="auto"/>
        </w:rPr>
        <w:t>.</w:t>
      </w:r>
      <w:r w:rsidR="009D450D" w:rsidRPr="00D206CB">
        <w:rPr>
          <w:color w:val="auto"/>
        </w:rPr>
        <w:t xml:space="preserve"> (1993)</w:t>
      </w:r>
      <w:r w:rsidR="00F138FD">
        <w:rPr>
          <w:color w:val="auto"/>
        </w:rPr>
        <w:t>.</w:t>
      </w:r>
      <w:r w:rsidR="00E11999" w:rsidRPr="00D206CB">
        <w:rPr>
          <w:color w:val="auto"/>
        </w:rPr>
        <w:t xml:space="preserve"> Are there positive spillovers from direct foreign investment? Evidence from panel data for Morocco. Journal of Development Economics, 42, </w:t>
      </w:r>
      <w:r w:rsidR="00F138FD">
        <w:rPr>
          <w:color w:val="auto"/>
        </w:rPr>
        <w:t>(</w:t>
      </w:r>
      <w:r w:rsidR="00E11999" w:rsidRPr="00D206CB">
        <w:rPr>
          <w:color w:val="auto"/>
        </w:rPr>
        <w:t>1</w:t>
      </w:r>
      <w:r w:rsidR="00F138FD">
        <w:rPr>
          <w:color w:val="auto"/>
        </w:rPr>
        <w:t>)</w:t>
      </w:r>
      <w:r w:rsidR="00E11999" w:rsidRPr="00D206CB">
        <w:rPr>
          <w:color w:val="auto"/>
        </w:rPr>
        <w:t>, 51-74.</w:t>
      </w:r>
    </w:p>
    <w:p w:rsidR="00E366D5" w:rsidRPr="00D206CB" w:rsidRDefault="00E366D5" w:rsidP="00141422">
      <w:pPr>
        <w:pStyle w:val="Abstracttext"/>
        <w:spacing w:line="276" w:lineRule="auto"/>
        <w:rPr>
          <w:color w:val="auto"/>
        </w:rPr>
      </w:pPr>
    </w:p>
    <w:p w:rsidR="00E366D5" w:rsidRPr="00D206CB" w:rsidRDefault="0043557B" w:rsidP="00141422">
      <w:pPr>
        <w:pStyle w:val="Abstracttext"/>
        <w:spacing w:line="276" w:lineRule="auto"/>
        <w:rPr>
          <w:color w:val="auto"/>
        </w:rPr>
      </w:pPr>
      <w:r w:rsidRPr="00D206CB">
        <w:rPr>
          <w:color w:val="auto"/>
        </w:rPr>
        <w:t>[</w:t>
      </w:r>
      <w:r w:rsidR="007053B8" w:rsidRPr="00D206CB">
        <w:rPr>
          <w:color w:val="auto"/>
        </w:rPr>
        <w:t>30</w:t>
      </w:r>
      <w:r w:rsidRPr="00D206CB">
        <w:rPr>
          <w:color w:val="auto"/>
        </w:rPr>
        <w:t>]</w:t>
      </w:r>
      <w:r w:rsidR="007053B8" w:rsidRPr="00D206CB">
        <w:rPr>
          <w:color w:val="auto"/>
        </w:rPr>
        <w:t xml:space="preserve"> </w:t>
      </w:r>
      <w:r w:rsidR="00E366D5" w:rsidRPr="00D206CB">
        <w:rPr>
          <w:color w:val="auto"/>
        </w:rPr>
        <w:t xml:space="preserve">Javaid W. (2017). Impact of remittances on consumption and investment: Case study of Tehsil Sargodha, Punjab, Pakistan. Journal of Finance and Economics, 5, </w:t>
      </w:r>
      <w:r w:rsidR="00F138FD">
        <w:rPr>
          <w:color w:val="auto"/>
        </w:rPr>
        <w:t>(</w:t>
      </w:r>
      <w:r w:rsidR="00E366D5" w:rsidRPr="00D206CB">
        <w:rPr>
          <w:color w:val="auto"/>
        </w:rPr>
        <w:t>4</w:t>
      </w:r>
      <w:r w:rsidR="00F138FD">
        <w:rPr>
          <w:color w:val="auto"/>
        </w:rPr>
        <w:t>)</w:t>
      </w:r>
      <w:r w:rsidR="00E366D5" w:rsidRPr="00D206CB">
        <w:rPr>
          <w:color w:val="auto"/>
        </w:rPr>
        <w:t>, 156- 163.</w:t>
      </w:r>
    </w:p>
    <w:p w:rsidR="009378CF" w:rsidRPr="00D206CB" w:rsidRDefault="009378CF" w:rsidP="00141422">
      <w:pPr>
        <w:pStyle w:val="Abstracttext"/>
        <w:spacing w:line="276" w:lineRule="auto"/>
        <w:rPr>
          <w:color w:val="auto"/>
        </w:rPr>
      </w:pPr>
    </w:p>
    <w:p w:rsidR="0001480F" w:rsidRPr="00D206CB" w:rsidRDefault="0043557B" w:rsidP="00141422">
      <w:pPr>
        <w:pStyle w:val="Abstracttext"/>
        <w:spacing w:line="276" w:lineRule="auto"/>
        <w:rPr>
          <w:color w:val="auto"/>
        </w:rPr>
      </w:pPr>
      <w:r w:rsidRPr="00D206CB">
        <w:rPr>
          <w:color w:val="auto"/>
        </w:rPr>
        <w:t>[</w:t>
      </w:r>
      <w:r w:rsidR="007053B8" w:rsidRPr="00D206CB">
        <w:rPr>
          <w:color w:val="auto"/>
        </w:rPr>
        <w:t>31</w:t>
      </w:r>
      <w:r w:rsidRPr="00D206CB">
        <w:rPr>
          <w:color w:val="auto"/>
        </w:rPr>
        <w:t>]</w:t>
      </w:r>
      <w:r w:rsidR="007053B8" w:rsidRPr="00D206CB">
        <w:rPr>
          <w:color w:val="auto"/>
        </w:rPr>
        <w:t xml:space="preserve"> </w:t>
      </w:r>
      <w:r w:rsidR="0001480F" w:rsidRPr="00D206CB">
        <w:rPr>
          <w:color w:val="auto"/>
        </w:rPr>
        <w:t xml:space="preserve">Kinda T. (2009). Investment Climate and FDI: Firm-level Evidence. World Development, 38 (3), 498-513.  </w:t>
      </w:r>
    </w:p>
    <w:p w:rsidR="0001480F" w:rsidRPr="00D206CB" w:rsidRDefault="0001480F" w:rsidP="00141422">
      <w:pPr>
        <w:pStyle w:val="Abstracttext"/>
        <w:spacing w:line="276" w:lineRule="auto"/>
        <w:rPr>
          <w:color w:val="auto"/>
        </w:rPr>
      </w:pPr>
    </w:p>
    <w:p w:rsidR="00205085" w:rsidRPr="00D206CB" w:rsidRDefault="0043557B" w:rsidP="00141422">
      <w:pPr>
        <w:pStyle w:val="Abstracttext"/>
        <w:spacing w:line="276" w:lineRule="auto"/>
        <w:rPr>
          <w:color w:val="auto"/>
        </w:rPr>
      </w:pPr>
      <w:r w:rsidRPr="00D206CB">
        <w:rPr>
          <w:color w:val="auto"/>
        </w:rPr>
        <w:t>[</w:t>
      </w:r>
      <w:r w:rsidR="007053B8" w:rsidRPr="00D206CB">
        <w:rPr>
          <w:color w:val="auto"/>
        </w:rPr>
        <w:t>32</w:t>
      </w:r>
      <w:r w:rsidRPr="00D206CB">
        <w:rPr>
          <w:color w:val="auto"/>
        </w:rPr>
        <w:t>]</w:t>
      </w:r>
      <w:r w:rsidR="007053B8" w:rsidRPr="00D206CB">
        <w:rPr>
          <w:color w:val="auto"/>
        </w:rPr>
        <w:t xml:space="preserve"> </w:t>
      </w:r>
      <w:r w:rsidR="00205085" w:rsidRPr="00D206CB">
        <w:rPr>
          <w:color w:val="auto"/>
        </w:rPr>
        <w:t xml:space="preserve">Kodama M. (2012). Aid unpredictability and economic growth. World Development 40, </w:t>
      </w:r>
      <w:r w:rsidR="00F138FD">
        <w:rPr>
          <w:color w:val="auto"/>
        </w:rPr>
        <w:t>(</w:t>
      </w:r>
      <w:r w:rsidR="00205085" w:rsidRPr="00D206CB">
        <w:rPr>
          <w:color w:val="auto"/>
        </w:rPr>
        <w:t>2</w:t>
      </w:r>
      <w:r w:rsidR="00F138FD">
        <w:rPr>
          <w:color w:val="auto"/>
        </w:rPr>
        <w:t>)</w:t>
      </w:r>
      <w:r w:rsidR="00205085" w:rsidRPr="00D206CB">
        <w:rPr>
          <w:color w:val="auto"/>
        </w:rPr>
        <w:t>, 266- 272.</w:t>
      </w:r>
    </w:p>
    <w:p w:rsidR="00205085" w:rsidRPr="00D206CB" w:rsidRDefault="00205085" w:rsidP="00141422">
      <w:pPr>
        <w:pStyle w:val="Abstracttext"/>
        <w:spacing w:line="276" w:lineRule="auto"/>
        <w:rPr>
          <w:color w:val="auto"/>
        </w:rPr>
      </w:pPr>
    </w:p>
    <w:p w:rsidR="009378CF" w:rsidRPr="00D206CB" w:rsidRDefault="0043557B" w:rsidP="00141422">
      <w:pPr>
        <w:pStyle w:val="Abstracttext"/>
        <w:spacing w:line="276" w:lineRule="auto"/>
        <w:rPr>
          <w:color w:val="auto"/>
        </w:rPr>
      </w:pPr>
      <w:r w:rsidRPr="00D206CB">
        <w:rPr>
          <w:color w:val="auto"/>
        </w:rPr>
        <w:t>[</w:t>
      </w:r>
      <w:r w:rsidR="007053B8" w:rsidRPr="00D206CB">
        <w:rPr>
          <w:color w:val="auto"/>
        </w:rPr>
        <w:t>33</w:t>
      </w:r>
      <w:r w:rsidRPr="00D206CB">
        <w:rPr>
          <w:color w:val="auto"/>
        </w:rPr>
        <w:t>]</w:t>
      </w:r>
      <w:r w:rsidR="007053B8" w:rsidRPr="00D206CB">
        <w:rPr>
          <w:color w:val="auto"/>
        </w:rPr>
        <w:t xml:space="preserve"> </w:t>
      </w:r>
      <w:r w:rsidR="009378CF" w:rsidRPr="00D206CB">
        <w:rPr>
          <w:color w:val="auto"/>
        </w:rPr>
        <w:t>Kose, M. A., E. Prasad, K. Rogoff, and S.-J. Wei. (2010). Financial Globalization and Economic</w:t>
      </w:r>
      <w:r w:rsidR="00F324E0" w:rsidRPr="00D206CB">
        <w:rPr>
          <w:color w:val="auto"/>
        </w:rPr>
        <w:t xml:space="preserve"> </w:t>
      </w:r>
      <w:r w:rsidR="009378CF" w:rsidRPr="00D206CB">
        <w:rPr>
          <w:color w:val="auto"/>
        </w:rPr>
        <w:t>Policies. In Handbook of Development Economics Vol. 5, edited by D. Rodrik, and M.</w:t>
      </w:r>
      <w:r w:rsidR="00F324E0" w:rsidRPr="00D206CB">
        <w:rPr>
          <w:color w:val="auto"/>
        </w:rPr>
        <w:t xml:space="preserve"> </w:t>
      </w:r>
      <w:r w:rsidR="009378CF" w:rsidRPr="00D206CB">
        <w:rPr>
          <w:color w:val="auto"/>
        </w:rPr>
        <w:t>Rosenzweig, 4283–359. Amsterdam: North-Holland.</w:t>
      </w:r>
    </w:p>
    <w:p w:rsidR="009378CF" w:rsidRPr="00D206CB" w:rsidRDefault="009378CF" w:rsidP="00141422">
      <w:pPr>
        <w:pStyle w:val="Abstracttext"/>
        <w:spacing w:line="276" w:lineRule="auto"/>
        <w:rPr>
          <w:color w:val="auto"/>
        </w:rPr>
      </w:pPr>
    </w:p>
    <w:p w:rsidR="00BD3F0B" w:rsidRPr="00D206CB" w:rsidRDefault="0043557B" w:rsidP="00141422">
      <w:pPr>
        <w:pStyle w:val="Abstracttext"/>
        <w:spacing w:line="276" w:lineRule="auto"/>
        <w:rPr>
          <w:color w:val="auto"/>
        </w:rPr>
      </w:pPr>
      <w:r w:rsidRPr="00D206CB">
        <w:rPr>
          <w:color w:val="auto"/>
        </w:rPr>
        <w:t>[</w:t>
      </w:r>
      <w:r w:rsidR="007053B8" w:rsidRPr="00D206CB">
        <w:rPr>
          <w:color w:val="auto"/>
        </w:rPr>
        <w:t>34</w:t>
      </w:r>
      <w:r w:rsidRPr="00D206CB">
        <w:rPr>
          <w:color w:val="auto"/>
        </w:rPr>
        <w:t>]</w:t>
      </w:r>
      <w:r w:rsidR="007053B8" w:rsidRPr="00D206CB">
        <w:rPr>
          <w:color w:val="auto"/>
        </w:rPr>
        <w:t xml:space="preserve"> </w:t>
      </w:r>
      <w:r w:rsidR="00BD3F0B" w:rsidRPr="00D206CB">
        <w:rPr>
          <w:color w:val="auto"/>
        </w:rPr>
        <w:t>Lartey E. (2007). Capital Inflows and the Real Exchange Rate: An Empirical Study of Sub</w:t>
      </w:r>
      <w:r w:rsidR="008A438C">
        <w:rPr>
          <w:color w:val="auto"/>
        </w:rPr>
        <w:t>-</w:t>
      </w:r>
      <w:r w:rsidR="00BD3F0B" w:rsidRPr="00D206CB">
        <w:rPr>
          <w:color w:val="auto"/>
        </w:rPr>
        <w:t xml:space="preserve">Saharan Africa.  Journal of International Trade &amp; Economic Development, 16 (3),   337–57.  </w:t>
      </w:r>
    </w:p>
    <w:p w:rsidR="007053B8" w:rsidRPr="00D206CB" w:rsidRDefault="007053B8" w:rsidP="00141422">
      <w:pPr>
        <w:pStyle w:val="Abstracttext"/>
        <w:spacing w:line="276" w:lineRule="auto"/>
        <w:rPr>
          <w:color w:val="auto"/>
        </w:rPr>
      </w:pPr>
    </w:p>
    <w:p w:rsidR="00E7060B" w:rsidRPr="00D206CB" w:rsidRDefault="0043557B" w:rsidP="00141422">
      <w:pPr>
        <w:pStyle w:val="Abstracttext"/>
        <w:spacing w:line="276" w:lineRule="auto"/>
        <w:rPr>
          <w:color w:val="auto"/>
        </w:rPr>
      </w:pPr>
      <w:r w:rsidRPr="00D206CB">
        <w:rPr>
          <w:color w:val="auto"/>
        </w:rPr>
        <w:t>[</w:t>
      </w:r>
      <w:r w:rsidR="007053B8" w:rsidRPr="00D206CB">
        <w:rPr>
          <w:color w:val="auto"/>
        </w:rPr>
        <w:t>35</w:t>
      </w:r>
      <w:r w:rsidR="008A438C" w:rsidRPr="00D206CB">
        <w:rPr>
          <w:color w:val="auto"/>
        </w:rPr>
        <w:t>] Lartey</w:t>
      </w:r>
      <w:r w:rsidR="00D206CB" w:rsidRPr="00D206CB">
        <w:rPr>
          <w:color w:val="auto"/>
        </w:rPr>
        <w:t>, E.</w:t>
      </w:r>
      <w:r w:rsidR="00E7060B" w:rsidRPr="00D206CB">
        <w:rPr>
          <w:color w:val="auto"/>
        </w:rPr>
        <w:t>, (2008). Capital Inflows, Dutch Disease Effects and Monetary Policy in a Small Open Economy.  Review of International Economics, 16</w:t>
      </w:r>
      <w:r w:rsidR="00F138FD">
        <w:rPr>
          <w:color w:val="auto"/>
        </w:rPr>
        <w:t>,</w:t>
      </w:r>
      <w:r w:rsidR="00E7060B" w:rsidRPr="00D206CB">
        <w:rPr>
          <w:color w:val="auto"/>
        </w:rPr>
        <w:t xml:space="preserve"> (5), 971–989.  </w:t>
      </w:r>
    </w:p>
    <w:p w:rsidR="00E7060B" w:rsidRPr="00D206CB" w:rsidRDefault="00E7060B" w:rsidP="00141422">
      <w:pPr>
        <w:pStyle w:val="Abstracttext"/>
        <w:spacing w:line="276" w:lineRule="auto"/>
        <w:rPr>
          <w:color w:val="auto"/>
        </w:rPr>
      </w:pPr>
    </w:p>
    <w:p w:rsidR="00205085" w:rsidRPr="00D206CB" w:rsidRDefault="0043557B" w:rsidP="00141422">
      <w:pPr>
        <w:pStyle w:val="Abstracttext"/>
        <w:spacing w:line="276" w:lineRule="auto"/>
        <w:rPr>
          <w:color w:val="auto"/>
        </w:rPr>
      </w:pPr>
      <w:r w:rsidRPr="00D206CB">
        <w:rPr>
          <w:color w:val="auto"/>
        </w:rPr>
        <w:t>[</w:t>
      </w:r>
      <w:r w:rsidR="007053B8" w:rsidRPr="00D206CB">
        <w:rPr>
          <w:color w:val="auto"/>
        </w:rPr>
        <w:t>36</w:t>
      </w:r>
      <w:r w:rsidRPr="00D206CB">
        <w:rPr>
          <w:color w:val="auto"/>
        </w:rPr>
        <w:t xml:space="preserve">] </w:t>
      </w:r>
      <w:r w:rsidR="00205085" w:rsidRPr="00D206CB">
        <w:rPr>
          <w:color w:val="auto"/>
        </w:rPr>
        <w:t>Lensink R., and Morrissey</w:t>
      </w:r>
      <w:r w:rsidR="00D206CB" w:rsidRPr="00D206CB">
        <w:rPr>
          <w:color w:val="auto"/>
        </w:rPr>
        <w:t>,</w:t>
      </w:r>
      <w:r w:rsidR="00205085" w:rsidRPr="00D206CB">
        <w:rPr>
          <w:color w:val="auto"/>
        </w:rPr>
        <w:t xml:space="preserve"> </w:t>
      </w:r>
      <w:r w:rsidR="00D206CB" w:rsidRPr="00D206CB">
        <w:rPr>
          <w:color w:val="auto"/>
        </w:rPr>
        <w:t xml:space="preserve">O. </w:t>
      </w:r>
      <w:r w:rsidR="00F138FD">
        <w:rPr>
          <w:color w:val="auto"/>
        </w:rPr>
        <w:t xml:space="preserve">(2000). </w:t>
      </w:r>
      <w:r w:rsidR="00205085" w:rsidRPr="00D206CB">
        <w:rPr>
          <w:color w:val="auto"/>
        </w:rPr>
        <w:t>Aid instability as a measure of uncertainty and the positive impact of aid on growth</w:t>
      </w:r>
      <w:r w:rsidR="00005401" w:rsidRPr="00D206CB">
        <w:rPr>
          <w:color w:val="auto"/>
        </w:rPr>
        <w:t>.</w:t>
      </w:r>
      <w:r w:rsidR="00205085" w:rsidRPr="00D206CB">
        <w:rPr>
          <w:color w:val="auto"/>
        </w:rPr>
        <w:t xml:space="preserve"> Journal of Development Studies, 36, </w:t>
      </w:r>
      <w:r w:rsidR="00F138FD">
        <w:rPr>
          <w:color w:val="auto"/>
        </w:rPr>
        <w:t>(</w:t>
      </w:r>
      <w:r w:rsidR="00205085" w:rsidRPr="00D206CB">
        <w:rPr>
          <w:color w:val="auto"/>
        </w:rPr>
        <w:t>3</w:t>
      </w:r>
      <w:r w:rsidR="00F138FD">
        <w:rPr>
          <w:color w:val="auto"/>
        </w:rPr>
        <w:t>)</w:t>
      </w:r>
      <w:r w:rsidR="00205085" w:rsidRPr="00D206CB">
        <w:rPr>
          <w:color w:val="auto"/>
        </w:rPr>
        <w:t>, 31-49.</w:t>
      </w:r>
    </w:p>
    <w:p w:rsidR="00005401" w:rsidRPr="00D206CB" w:rsidRDefault="00005401" w:rsidP="00141422">
      <w:pPr>
        <w:pStyle w:val="Abstracttext"/>
        <w:spacing w:line="276" w:lineRule="auto"/>
        <w:rPr>
          <w:color w:val="auto"/>
        </w:rPr>
      </w:pPr>
    </w:p>
    <w:p w:rsidR="00005401" w:rsidRPr="00D206CB" w:rsidRDefault="0043557B" w:rsidP="00141422">
      <w:pPr>
        <w:pStyle w:val="Abstracttext"/>
        <w:spacing w:line="276" w:lineRule="auto"/>
        <w:rPr>
          <w:color w:val="auto"/>
        </w:rPr>
      </w:pPr>
      <w:r w:rsidRPr="00D206CB">
        <w:rPr>
          <w:color w:val="auto"/>
        </w:rPr>
        <w:t>[</w:t>
      </w:r>
      <w:r w:rsidR="007053B8" w:rsidRPr="00D206CB">
        <w:rPr>
          <w:color w:val="auto"/>
        </w:rPr>
        <w:t>37</w:t>
      </w:r>
      <w:r w:rsidRPr="00D206CB">
        <w:rPr>
          <w:color w:val="auto"/>
        </w:rPr>
        <w:t xml:space="preserve">] </w:t>
      </w:r>
      <w:r w:rsidR="00005401" w:rsidRPr="00D206CB">
        <w:rPr>
          <w:color w:val="auto"/>
        </w:rPr>
        <w:t>Lensink R., and White, H. (2000)</w:t>
      </w:r>
      <w:r w:rsidR="00F138FD">
        <w:rPr>
          <w:color w:val="auto"/>
        </w:rPr>
        <w:t>.</w:t>
      </w:r>
      <w:r w:rsidR="00005401" w:rsidRPr="00D206CB">
        <w:rPr>
          <w:color w:val="auto"/>
        </w:rPr>
        <w:t xml:space="preserve"> Aid allocation, poverty reduction and the Assessing Aid Report. Journal of International Development, 12.   </w:t>
      </w:r>
    </w:p>
    <w:p w:rsidR="00205085" w:rsidRPr="00D206CB" w:rsidRDefault="00205085" w:rsidP="00141422">
      <w:pPr>
        <w:pStyle w:val="Abstracttext"/>
        <w:spacing w:line="276" w:lineRule="auto"/>
        <w:rPr>
          <w:color w:val="auto"/>
        </w:rPr>
      </w:pPr>
    </w:p>
    <w:p w:rsidR="00B22E95" w:rsidRPr="00D206CB" w:rsidRDefault="0043557B" w:rsidP="00141422">
      <w:pPr>
        <w:pStyle w:val="Abstracttext"/>
        <w:spacing w:line="276" w:lineRule="auto"/>
        <w:rPr>
          <w:color w:val="auto"/>
        </w:rPr>
      </w:pPr>
      <w:r w:rsidRPr="00D206CB">
        <w:rPr>
          <w:color w:val="auto"/>
        </w:rPr>
        <w:t>[</w:t>
      </w:r>
      <w:r w:rsidR="007053B8" w:rsidRPr="00D206CB">
        <w:rPr>
          <w:color w:val="auto"/>
        </w:rPr>
        <w:t>38</w:t>
      </w:r>
      <w:r w:rsidRPr="00D206CB">
        <w:rPr>
          <w:color w:val="auto"/>
        </w:rPr>
        <w:t xml:space="preserve">] </w:t>
      </w:r>
      <w:r w:rsidR="00B22E95" w:rsidRPr="00D206CB">
        <w:rPr>
          <w:color w:val="auto"/>
        </w:rPr>
        <w:t>MacDonald, M. (2015). Patterns of International Capital Flows and Productivity Growth: New Evidence. Review of International Economics</w:t>
      </w:r>
      <w:r w:rsidR="00F138FD">
        <w:rPr>
          <w:color w:val="auto"/>
        </w:rPr>
        <w:t>,</w:t>
      </w:r>
      <w:r w:rsidR="00B22E95" w:rsidRPr="00D206CB">
        <w:rPr>
          <w:color w:val="auto"/>
        </w:rPr>
        <w:t xml:space="preserve"> 23</w:t>
      </w:r>
      <w:r w:rsidR="00F138FD">
        <w:rPr>
          <w:color w:val="auto"/>
        </w:rPr>
        <w:t>,</w:t>
      </w:r>
      <w:r w:rsidR="00B22E95" w:rsidRPr="00D206CB">
        <w:rPr>
          <w:color w:val="auto"/>
        </w:rPr>
        <w:t xml:space="preserve"> (5)</w:t>
      </w:r>
      <w:r w:rsidR="00F138FD">
        <w:rPr>
          <w:color w:val="auto"/>
        </w:rPr>
        <w:t>,</w:t>
      </w:r>
      <w:r w:rsidR="00B22E95" w:rsidRPr="00D206CB">
        <w:rPr>
          <w:color w:val="auto"/>
        </w:rPr>
        <w:t xml:space="preserve"> 846–72.</w:t>
      </w:r>
    </w:p>
    <w:p w:rsidR="00B22E95" w:rsidRPr="00D206CB" w:rsidRDefault="00B22E95" w:rsidP="00141422">
      <w:pPr>
        <w:pStyle w:val="Abstracttext"/>
        <w:spacing w:line="276" w:lineRule="auto"/>
        <w:rPr>
          <w:color w:val="auto"/>
        </w:rPr>
      </w:pPr>
    </w:p>
    <w:p w:rsidR="00793786" w:rsidRPr="00D206CB" w:rsidRDefault="0043557B" w:rsidP="00141422">
      <w:pPr>
        <w:pStyle w:val="Abstracttext"/>
        <w:spacing w:line="276" w:lineRule="auto"/>
        <w:rPr>
          <w:color w:val="auto"/>
        </w:rPr>
      </w:pPr>
      <w:r w:rsidRPr="00D206CB">
        <w:rPr>
          <w:color w:val="auto"/>
        </w:rPr>
        <w:lastRenderedPageBreak/>
        <w:t>[</w:t>
      </w:r>
      <w:r w:rsidR="007053B8" w:rsidRPr="00D206CB">
        <w:rPr>
          <w:color w:val="auto"/>
        </w:rPr>
        <w:t>39</w:t>
      </w:r>
      <w:r w:rsidRPr="00D206CB">
        <w:rPr>
          <w:color w:val="auto"/>
        </w:rPr>
        <w:t xml:space="preserve">] </w:t>
      </w:r>
      <w:r w:rsidR="00793786" w:rsidRPr="00D206CB">
        <w:rPr>
          <w:color w:val="auto"/>
        </w:rPr>
        <w:t>Mckinnon, R. and H. Pill. (1997). Credible Economic Liberalizations and Over</w:t>
      </w:r>
      <w:r w:rsidR="007B5026" w:rsidRPr="00D206CB">
        <w:rPr>
          <w:color w:val="auto"/>
        </w:rPr>
        <w:t xml:space="preserve"> </w:t>
      </w:r>
      <w:r w:rsidR="00793786" w:rsidRPr="00D206CB">
        <w:rPr>
          <w:color w:val="auto"/>
        </w:rPr>
        <w:t>borrowing</w:t>
      </w:r>
      <w:r w:rsidR="00F138FD">
        <w:rPr>
          <w:color w:val="auto"/>
        </w:rPr>
        <w:t>.</w:t>
      </w:r>
      <w:r w:rsidR="00793786" w:rsidRPr="00D206CB">
        <w:rPr>
          <w:color w:val="auto"/>
        </w:rPr>
        <w:t xml:space="preserve"> American Economic Review, 87</w:t>
      </w:r>
      <w:r w:rsidR="00F138FD">
        <w:rPr>
          <w:color w:val="auto"/>
        </w:rPr>
        <w:t xml:space="preserve">, </w:t>
      </w:r>
      <w:r w:rsidR="00793786" w:rsidRPr="00D206CB">
        <w:rPr>
          <w:color w:val="auto"/>
        </w:rPr>
        <w:t>(2).</w:t>
      </w:r>
    </w:p>
    <w:p w:rsidR="00793786" w:rsidRPr="00D206CB" w:rsidRDefault="00793786" w:rsidP="00141422">
      <w:pPr>
        <w:pStyle w:val="Abstracttext"/>
        <w:spacing w:line="276" w:lineRule="auto"/>
        <w:rPr>
          <w:color w:val="auto"/>
        </w:rPr>
      </w:pPr>
    </w:p>
    <w:p w:rsidR="001F2D78" w:rsidRPr="00D206CB" w:rsidRDefault="0043557B" w:rsidP="00141422">
      <w:pPr>
        <w:pStyle w:val="Abstracttext"/>
        <w:spacing w:line="276" w:lineRule="auto"/>
        <w:rPr>
          <w:color w:val="auto"/>
        </w:rPr>
      </w:pPr>
      <w:r w:rsidRPr="00D206CB">
        <w:rPr>
          <w:color w:val="auto"/>
        </w:rPr>
        <w:t>[</w:t>
      </w:r>
      <w:r w:rsidR="007053B8" w:rsidRPr="00D206CB">
        <w:rPr>
          <w:color w:val="auto"/>
        </w:rPr>
        <w:t>40</w:t>
      </w:r>
      <w:r w:rsidRPr="00D206CB">
        <w:rPr>
          <w:color w:val="auto"/>
        </w:rPr>
        <w:t xml:space="preserve">] </w:t>
      </w:r>
      <w:r w:rsidR="001F2D78" w:rsidRPr="00D206CB">
        <w:rPr>
          <w:color w:val="auto"/>
        </w:rPr>
        <w:t>Minasyan A., and Nunnenkamp</w:t>
      </w:r>
      <w:r w:rsidR="007053B8" w:rsidRPr="00D206CB">
        <w:rPr>
          <w:color w:val="auto"/>
        </w:rPr>
        <w:t xml:space="preserve">, P. </w:t>
      </w:r>
      <w:r w:rsidR="001F2D78" w:rsidRPr="00D206CB">
        <w:rPr>
          <w:color w:val="auto"/>
        </w:rPr>
        <w:t xml:space="preserve">(2016). Remittances and the effectiveness of foreign aid. Review of Development Economics, 20, </w:t>
      </w:r>
      <w:r w:rsidR="00F138FD">
        <w:rPr>
          <w:color w:val="auto"/>
        </w:rPr>
        <w:t>(</w:t>
      </w:r>
      <w:r w:rsidR="001F2D78" w:rsidRPr="00D206CB">
        <w:rPr>
          <w:color w:val="auto"/>
        </w:rPr>
        <w:t>3</w:t>
      </w:r>
      <w:r w:rsidR="00F138FD">
        <w:rPr>
          <w:color w:val="auto"/>
        </w:rPr>
        <w:t>),</w:t>
      </w:r>
      <w:r w:rsidR="001F2D78" w:rsidRPr="00D206CB">
        <w:rPr>
          <w:color w:val="auto"/>
        </w:rPr>
        <w:t xml:space="preserve"> 681-701.</w:t>
      </w:r>
    </w:p>
    <w:p w:rsidR="00471C36" w:rsidRPr="00D206CB" w:rsidRDefault="00471C36" w:rsidP="00141422">
      <w:pPr>
        <w:pStyle w:val="Abstracttext"/>
        <w:spacing w:line="276" w:lineRule="auto"/>
        <w:rPr>
          <w:color w:val="auto"/>
        </w:rPr>
      </w:pPr>
    </w:p>
    <w:p w:rsidR="002B4336" w:rsidRPr="00D206CB" w:rsidRDefault="0043557B" w:rsidP="00141422">
      <w:pPr>
        <w:pStyle w:val="Abstracttext"/>
        <w:spacing w:line="276" w:lineRule="auto"/>
        <w:rPr>
          <w:color w:val="auto"/>
        </w:rPr>
      </w:pPr>
      <w:r w:rsidRPr="00D206CB">
        <w:rPr>
          <w:color w:val="auto"/>
        </w:rPr>
        <w:t>[</w:t>
      </w:r>
      <w:r w:rsidR="007053B8" w:rsidRPr="00D206CB">
        <w:rPr>
          <w:color w:val="auto"/>
        </w:rPr>
        <w:t>41</w:t>
      </w:r>
      <w:r w:rsidRPr="00D206CB">
        <w:rPr>
          <w:color w:val="auto"/>
        </w:rPr>
        <w:t xml:space="preserve">] </w:t>
      </w:r>
      <w:r w:rsidR="002B4336" w:rsidRPr="00D206CB">
        <w:rPr>
          <w:color w:val="auto"/>
        </w:rPr>
        <w:t>Mougani, G. (2012). An Analysis of the Impact of Financial Integration on Economic Activity and Macroeconomic Volatility in Africa within the Financial Globalization Context</w:t>
      </w:r>
      <w:r w:rsidR="00F138FD">
        <w:rPr>
          <w:color w:val="auto"/>
        </w:rPr>
        <w:t>.</w:t>
      </w:r>
      <w:r w:rsidR="002B4336" w:rsidRPr="00D206CB">
        <w:rPr>
          <w:color w:val="auto"/>
        </w:rPr>
        <w:t xml:space="preserve"> Working</w:t>
      </w:r>
      <w:r w:rsidR="007053B8" w:rsidRPr="00D206CB">
        <w:rPr>
          <w:color w:val="auto"/>
        </w:rPr>
        <w:t xml:space="preserve"> </w:t>
      </w:r>
      <w:r w:rsidR="002B4336" w:rsidRPr="00D206CB">
        <w:rPr>
          <w:color w:val="auto"/>
        </w:rPr>
        <w:t>Paper</w:t>
      </w:r>
      <w:r w:rsidR="00626536">
        <w:rPr>
          <w:color w:val="auto"/>
        </w:rPr>
        <w:t xml:space="preserve">, </w:t>
      </w:r>
      <w:r w:rsidR="002B4336" w:rsidRPr="00D206CB">
        <w:rPr>
          <w:color w:val="auto"/>
        </w:rPr>
        <w:t>144, February, African Development Bank, Tunis.</w:t>
      </w:r>
    </w:p>
    <w:p w:rsidR="000D7742" w:rsidRPr="00D206CB" w:rsidRDefault="000D7742" w:rsidP="00141422">
      <w:pPr>
        <w:pStyle w:val="Abstracttext"/>
        <w:spacing w:line="276" w:lineRule="auto"/>
        <w:rPr>
          <w:color w:val="auto"/>
        </w:rPr>
      </w:pPr>
    </w:p>
    <w:p w:rsidR="000D7742" w:rsidRPr="00D206CB" w:rsidRDefault="0043557B" w:rsidP="00141422">
      <w:pPr>
        <w:pStyle w:val="Abstracttext"/>
        <w:spacing w:line="276" w:lineRule="auto"/>
        <w:rPr>
          <w:color w:val="auto"/>
        </w:rPr>
      </w:pPr>
      <w:r w:rsidRPr="00D206CB">
        <w:rPr>
          <w:color w:val="auto"/>
        </w:rPr>
        <w:t>[</w:t>
      </w:r>
      <w:r w:rsidR="007053B8" w:rsidRPr="00D206CB">
        <w:rPr>
          <w:color w:val="auto"/>
        </w:rPr>
        <w:t>42</w:t>
      </w:r>
      <w:r w:rsidRPr="00D206CB">
        <w:rPr>
          <w:color w:val="auto"/>
        </w:rPr>
        <w:t xml:space="preserve">] </w:t>
      </w:r>
      <w:r w:rsidR="000D7742" w:rsidRPr="00D206CB">
        <w:rPr>
          <w:color w:val="auto"/>
        </w:rPr>
        <w:t>Murinde, V. (2012)</w:t>
      </w:r>
      <w:r w:rsidR="00626536">
        <w:rPr>
          <w:color w:val="auto"/>
        </w:rPr>
        <w:t xml:space="preserve">. </w:t>
      </w:r>
      <w:r w:rsidR="000D7742" w:rsidRPr="00D206CB">
        <w:rPr>
          <w:color w:val="auto"/>
        </w:rPr>
        <w:t>Financial Development and Economic Growth: Global and African Evidence</w:t>
      </w:r>
      <w:r w:rsidR="00626536">
        <w:rPr>
          <w:color w:val="auto"/>
        </w:rPr>
        <w:t>.</w:t>
      </w:r>
      <w:r w:rsidR="000D7742" w:rsidRPr="00D206CB">
        <w:rPr>
          <w:color w:val="auto"/>
        </w:rPr>
        <w:t xml:space="preserve"> Journal of African Economies, Oxford University Press, 21</w:t>
      </w:r>
      <w:r w:rsidR="00626536">
        <w:rPr>
          <w:color w:val="auto"/>
        </w:rPr>
        <w:t xml:space="preserve">, </w:t>
      </w:r>
      <w:r w:rsidR="000D7742" w:rsidRPr="00D206CB">
        <w:rPr>
          <w:color w:val="auto"/>
        </w:rPr>
        <w:t>(1).</w:t>
      </w:r>
    </w:p>
    <w:p w:rsidR="009378CF" w:rsidRPr="00D206CB" w:rsidRDefault="009378CF" w:rsidP="00141422">
      <w:pPr>
        <w:pStyle w:val="Abstracttext"/>
        <w:spacing w:line="276" w:lineRule="auto"/>
        <w:rPr>
          <w:color w:val="auto"/>
        </w:rPr>
      </w:pPr>
    </w:p>
    <w:p w:rsidR="001D7EF6" w:rsidRPr="00D206CB" w:rsidRDefault="0043557B" w:rsidP="00141422">
      <w:pPr>
        <w:pStyle w:val="Abstracttext"/>
        <w:spacing w:line="276" w:lineRule="auto"/>
        <w:rPr>
          <w:color w:val="auto"/>
        </w:rPr>
      </w:pPr>
      <w:r w:rsidRPr="00D206CB">
        <w:rPr>
          <w:color w:val="auto"/>
        </w:rPr>
        <w:t>[</w:t>
      </w:r>
      <w:r w:rsidR="007053B8" w:rsidRPr="00D206CB">
        <w:rPr>
          <w:color w:val="auto"/>
        </w:rPr>
        <w:t>43</w:t>
      </w:r>
      <w:r w:rsidRPr="00D206CB">
        <w:rPr>
          <w:color w:val="auto"/>
        </w:rPr>
        <w:t xml:space="preserve">] </w:t>
      </w:r>
      <w:r w:rsidR="001D7EF6" w:rsidRPr="00D206CB">
        <w:rPr>
          <w:color w:val="auto"/>
        </w:rPr>
        <w:t>Obstfeld, M. (1994), Risk-Taking, Global Diversification, and Growth</w:t>
      </w:r>
      <w:r w:rsidR="00626536">
        <w:rPr>
          <w:color w:val="auto"/>
        </w:rPr>
        <w:t>.</w:t>
      </w:r>
      <w:r w:rsidR="001D7EF6" w:rsidRPr="00D206CB">
        <w:rPr>
          <w:color w:val="auto"/>
        </w:rPr>
        <w:t xml:space="preserve"> American Economic Review, 84</w:t>
      </w:r>
      <w:r w:rsidR="00626536">
        <w:rPr>
          <w:color w:val="auto"/>
        </w:rPr>
        <w:t xml:space="preserve">, </w:t>
      </w:r>
      <w:r w:rsidR="001D7EF6" w:rsidRPr="00D206CB">
        <w:rPr>
          <w:color w:val="auto"/>
        </w:rPr>
        <w:t>(5).</w:t>
      </w:r>
    </w:p>
    <w:p w:rsidR="004E1E52" w:rsidRPr="00D206CB" w:rsidRDefault="004E1E52" w:rsidP="00141422">
      <w:pPr>
        <w:pStyle w:val="Abstracttext"/>
        <w:spacing w:line="276" w:lineRule="auto"/>
        <w:rPr>
          <w:color w:val="auto"/>
        </w:rPr>
      </w:pPr>
    </w:p>
    <w:p w:rsidR="004E1E52" w:rsidRPr="00D206CB" w:rsidRDefault="0043557B" w:rsidP="00141422">
      <w:pPr>
        <w:pStyle w:val="Abstracttext"/>
        <w:spacing w:line="276" w:lineRule="auto"/>
        <w:rPr>
          <w:color w:val="auto"/>
        </w:rPr>
      </w:pPr>
      <w:r w:rsidRPr="00D206CB">
        <w:rPr>
          <w:color w:val="auto"/>
        </w:rPr>
        <w:t>[</w:t>
      </w:r>
      <w:r w:rsidR="007053B8" w:rsidRPr="00D206CB">
        <w:rPr>
          <w:color w:val="auto"/>
        </w:rPr>
        <w:t>44</w:t>
      </w:r>
      <w:r w:rsidRPr="00D206CB">
        <w:rPr>
          <w:color w:val="auto"/>
        </w:rPr>
        <w:t xml:space="preserve">] </w:t>
      </w:r>
      <w:r w:rsidR="004E1E52" w:rsidRPr="00D206CB">
        <w:rPr>
          <w:color w:val="auto"/>
        </w:rPr>
        <w:t>Omr</w:t>
      </w:r>
      <w:r w:rsidR="00626536">
        <w:rPr>
          <w:color w:val="auto"/>
        </w:rPr>
        <w:t xml:space="preserve">i, A., and Kahouli, B. (2014). </w:t>
      </w:r>
      <w:r w:rsidR="004E1E52" w:rsidRPr="00D206CB">
        <w:rPr>
          <w:color w:val="auto"/>
        </w:rPr>
        <w:t>The Nexus among Foreign Investment, Domestic Capital and Economic Growth: Empirical Evidence from the MENA Region. Research in Economics</w:t>
      </w:r>
      <w:r w:rsidR="00626536">
        <w:rPr>
          <w:color w:val="auto"/>
        </w:rPr>
        <w:t xml:space="preserve">, </w:t>
      </w:r>
      <w:r w:rsidR="004E1E52" w:rsidRPr="00D206CB">
        <w:rPr>
          <w:color w:val="auto"/>
        </w:rPr>
        <w:t>68</w:t>
      </w:r>
      <w:r w:rsidR="00626536">
        <w:rPr>
          <w:color w:val="auto"/>
        </w:rPr>
        <w:t>,</w:t>
      </w:r>
      <w:r w:rsidR="004E1E52" w:rsidRPr="00D206CB">
        <w:rPr>
          <w:color w:val="auto"/>
        </w:rPr>
        <w:t xml:space="preserve"> (3)</w:t>
      </w:r>
      <w:r w:rsidR="00626536">
        <w:rPr>
          <w:color w:val="auto"/>
        </w:rPr>
        <w:t xml:space="preserve">, </w:t>
      </w:r>
      <w:r w:rsidR="004E1E52" w:rsidRPr="00D206CB">
        <w:rPr>
          <w:color w:val="auto"/>
        </w:rPr>
        <w:t>257–63.</w:t>
      </w:r>
    </w:p>
    <w:p w:rsidR="001D7EF6" w:rsidRPr="00D206CB" w:rsidRDefault="001D7EF6" w:rsidP="00141422">
      <w:pPr>
        <w:pStyle w:val="Abstracttext"/>
        <w:spacing w:line="276" w:lineRule="auto"/>
        <w:rPr>
          <w:color w:val="auto"/>
        </w:rPr>
      </w:pPr>
    </w:p>
    <w:p w:rsidR="0008201C" w:rsidRPr="00D206CB" w:rsidRDefault="0043557B" w:rsidP="00141422">
      <w:pPr>
        <w:pStyle w:val="Abstracttext"/>
        <w:spacing w:line="276" w:lineRule="auto"/>
        <w:rPr>
          <w:color w:val="auto"/>
        </w:rPr>
      </w:pPr>
      <w:r w:rsidRPr="00D206CB">
        <w:rPr>
          <w:color w:val="auto"/>
        </w:rPr>
        <w:t>[</w:t>
      </w:r>
      <w:r w:rsidR="007053B8" w:rsidRPr="00D206CB">
        <w:rPr>
          <w:color w:val="auto"/>
        </w:rPr>
        <w:t>45</w:t>
      </w:r>
      <w:r w:rsidRPr="00D206CB">
        <w:rPr>
          <w:color w:val="auto"/>
        </w:rPr>
        <w:t xml:space="preserve">] </w:t>
      </w:r>
      <w:r w:rsidR="0008201C" w:rsidRPr="00D206CB">
        <w:rPr>
          <w:color w:val="auto"/>
        </w:rPr>
        <w:t>Pradhan, M., R. Balakrishnan, R. Baqir, G. Heenan, S. Nowak, C. Oner, and S. Panth. (2011).</w:t>
      </w:r>
      <w:r w:rsidR="007053B8" w:rsidRPr="00D206CB">
        <w:rPr>
          <w:color w:val="auto"/>
        </w:rPr>
        <w:t xml:space="preserve"> </w:t>
      </w:r>
      <w:r w:rsidR="0008201C" w:rsidRPr="00D206CB">
        <w:rPr>
          <w:color w:val="auto"/>
        </w:rPr>
        <w:t>Policy Responses to Capital Flows in Emerging Markets. IMF Staff Discussion Note</w:t>
      </w:r>
      <w:r w:rsidR="00626536">
        <w:rPr>
          <w:color w:val="auto"/>
        </w:rPr>
        <w:t>,</w:t>
      </w:r>
    </w:p>
    <w:p w:rsidR="0008201C" w:rsidRPr="00D206CB" w:rsidRDefault="0008201C" w:rsidP="00141422">
      <w:pPr>
        <w:pStyle w:val="Abstracttext"/>
        <w:spacing w:line="276" w:lineRule="auto"/>
        <w:rPr>
          <w:color w:val="auto"/>
        </w:rPr>
      </w:pPr>
      <w:r w:rsidRPr="00D206CB">
        <w:rPr>
          <w:color w:val="auto"/>
        </w:rPr>
        <w:t>SDN/11/10, April 21, Asia and Pacific Department, International Monetary Fund.</w:t>
      </w:r>
    </w:p>
    <w:p w:rsidR="0008201C" w:rsidRPr="00D206CB" w:rsidRDefault="0008201C" w:rsidP="00141422">
      <w:pPr>
        <w:pStyle w:val="Abstracttext"/>
        <w:spacing w:line="276" w:lineRule="auto"/>
        <w:rPr>
          <w:color w:val="auto"/>
        </w:rPr>
      </w:pPr>
    </w:p>
    <w:p w:rsidR="008F30D0" w:rsidRPr="00D206CB" w:rsidRDefault="0043557B" w:rsidP="00141422">
      <w:pPr>
        <w:pStyle w:val="Abstracttext"/>
        <w:spacing w:line="276" w:lineRule="auto"/>
        <w:rPr>
          <w:color w:val="auto"/>
        </w:rPr>
      </w:pPr>
      <w:r w:rsidRPr="00D206CB">
        <w:rPr>
          <w:color w:val="auto"/>
        </w:rPr>
        <w:t>[</w:t>
      </w:r>
      <w:r w:rsidR="007053B8" w:rsidRPr="00D206CB">
        <w:rPr>
          <w:color w:val="auto"/>
        </w:rPr>
        <w:t>46</w:t>
      </w:r>
      <w:r w:rsidRPr="00D206CB">
        <w:rPr>
          <w:color w:val="auto"/>
        </w:rPr>
        <w:t xml:space="preserve">] </w:t>
      </w:r>
      <w:r w:rsidR="008F30D0" w:rsidRPr="00D206CB">
        <w:rPr>
          <w:color w:val="auto"/>
        </w:rPr>
        <w:t>Rajan, R., and Subramanian, A., (2005). What Undermines Aid’s Impact on Growth?  NBER Working Paper</w:t>
      </w:r>
      <w:r w:rsidR="00626536">
        <w:rPr>
          <w:color w:val="auto"/>
        </w:rPr>
        <w:t xml:space="preserve">, </w:t>
      </w:r>
      <w:r w:rsidR="008F30D0" w:rsidRPr="00D206CB">
        <w:rPr>
          <w:color w:val="auto"/>
        </w:rPr>
        <w:t xml:space="preserve">11657 (Cambridge, MA: National Bureau of Economic Research).  </w:t>
      </w:r>
    </w:p>
    <w:p w:rsidR="00F342E4" w:rsidRPr="00D206CB" w:rsidRDefault="00F342E4" w:rsidP="00141422">
      <w:pPr>
        <w:pStyle w:val="Abstracttext"/>
        <w:spacing w:line="276" w:lineRule="auto"/>
        <w:rPr>
          <w:color w:val="auto"/>
        </w:rPr>
      </w:pPr>
    </w:p>
    <w:p w:rsidR="00E71C72" w:rsidRPr="00D206CB" w:rsidRDefault="00F342E4" w:rsidP="00141422">
      <w:pPr>
        <w:pStyle w:val="Abstracttext"/>
        <w:spacing w:line="276" w:lineRule="auto"/>
        <w:rPr>
          <w:color w:val="auto"/>
        </w:rPr>
      </w:pPr>
      <w:r w:rsidRPr="00D206CB">
        <w:rPr>
          <w:color w:val="auto"/>
        </w:rPr>
        <w:t>[47]</w:t>
      </w:r>
      <w:r w:rsidR="00B6197D">
        <w:rPr>
          <w:color w:val="auto"/>
        </w:rPr>
        <w:t xml:space="preserve"> </w:t>
      </w:r>
      <w:r w:rsidR="00E71C72" w:rsidRPr="00D206CB">
        <w:rPr>
          <w:color w:val="auto"/>
        </w:rPr>
        <w:t>Rodrik, D. and A. Velasco. (1999). Short-term Capital Flows</w:t>
      </w:r>
      <w:r w:rsidR="00626536">
        <w:rPr>
          <w:color w:val="auto"/>
        </w:rPr>
        <w:t>.</w:t>
      </w:r>
      <w:r w:rsidR="00E71C72" w:rsidRPr="00D206CB">
        <w:rPr>
          <w:color w:val="auto"/>
        </w:rPr>
        <w:t xml:space="preserve"> NBER Working Paper</w:t>
      </w:r>
      <w:r w:rsidR="00626536">
        <w:rPr>
          <w:color w:val="auto"/>
        </w:rPr>
        <w:t>,</w:t>
      </w:r>
      <w:r w:rsidR="00E71C72" w:rsidRPr="00D206CB">
        <w:rPr>
          <w:color w:val="auto"/>
        </w:rPr>
        <w:t xml:space="preserve"> 7364.</w:t>
      </w:r>
    </w:p>
    <w:p w:rsidR="00E71C72" w:rsidRPr="00D206CB" w:rsidRDefault="00E71C72" w:rsidP="00141422">
      <w:pPr>
        <w:pStyle w:val="Abstracttext"/>
        <w:spacing w:line="276" w:lineRule="auto"/>
        <w:rPr>
          <w:color w:val="auto"/>
        </w:rPr>
      </w:pPr>
    </w:p>
    <w:p w:rsidR="0080024B" w:rsidRPr="00D206CB" w:rsidRDefault="0043557B" w:rsidP="00141422">
      <w:pPr>
        <w:pStyle w:val="Abstracttext"/>
        <w:spacing w:line="276" w:lineRule="auto"/>
        <w:rPr>
          <w:color w:val="auto"/>
        </w:rPr>
      </w:pPr>
      <w:r w:rsidRPr="00D206CB">
        <w:rPr>
          <w:color w:val="auto"/>
        </w:rPr>
        <w:t>[</w:t>
      </w:r>
      <w:r w:rsidR="007053B8" w:rsidRPr="00D206CB">
        <w:rPr>
          <w:color w:val="auto"/>
        </w:rPr>
        <w:t>4</w:t>
      </w:r>
      <w:r w:rsidR="00F342E4" w:rsidRPr="00D206CB">
        <w:rPr>
          <w:color w:val="auto"/>
        </w:rPr>
        <w:t>8</w:t>
      </w:r>
      <w:r w:rsidRPr="00D206CB">
        <w:rPr>
          <w:color w:val="auto"/>
        </w:rPr>
        <w:t xml:space="preserve">] </w:t>
      </w:r>
      <w:r w:rsidR="006173E4" w:rsidRPr="00D206CB">
        <w:rPr>
          <w:color w:val="auto"/>
        </w:rPr>
        <w:t>Saadi-Sedik, T.</w:t>
      </w:r>
      <w:r w:rsidR="00744361" w:rsidRPr="00D206CB">
        <w:rPr>
          <w:color w:val="auto"/>
        </w:rPr>
        <w:t xml:space="preserve"> and </w:t>
      </w:r>
      <w:r w:rsidR="006173E4" w:rsidRPr="00D206CB">
        <w:rPr>
          <w:color w:val="auto"/>
        </w:rPr>
        <w:t>Petri, M. (2006). To Smooth or Not to Smooth - The Impact of Grants and Remittances on the Equilibrium Real Exchange Rate in Jordan.  IMF Working Paper</w:t>
      </w:r>
      <w:r w:rsidR="00626536">
        <w:rPr>
          <w:color w:val="auto"/>
        </w:rPr>
        <w:t>,</w:t>
      </w:r>
      <w:r w:rsidR="006173E4" w:rsidRPr="00D206CB">
        <w:rPr>
          <w:color w:val="auto"/>
        </w:rPr>
        <w:t xml:space="preserve"> WP/06/257, Washington: International Monetary Fund.   </w:t>
      </w:r>
    </w:p>
    <w:p w:rsidR="00BD3F0B" w:rsidRPr="00D206CB" w:rsidRDefault="00BD3F0B" w:rsidP="00141422">
      <w:pPr>
        <w:pStyle w:val="Abstracttext"/>
        <w:spacing w:line="276" w:lineRule="auto"/>
        <w:rPr>
          <w:color w:val="auto"/>
        </w:rPr>
      </w:pPr>
    </w:p>
    <w:p w:rsidR="005A7BEA" w:rsidRPr="00D206CB" w:rsidRDefault="0043557B" w:rsidP="00141422">
      <w:pPr>
        <w:pStyle w:val="Abstracttext"/>
        <w:spacing w:line="276" w:lineRule="auto"/>
        <w:rPr>
          <w:color w:val="auto"/>
        </w:rPr>
      </w:pPr>
      <w:r w:rsidRPr="00D206CB">
        <w:rPr>
          <w:color w:val="auto"/>
        </w:rPr>
        <w:t>[</w:t>
      </w:r>
      <w:r w:rsidR="007053B8" w:rsidRPr="00D206CB">
        <w:rPr>
          <w:color w:val="auto"/>
        </w:rPr>
        <w:t>4</w:t>
      </w:r>
      <w:r w:rsidR="00F342E4" w:rsidRPr="00D206CB">
        <w:rPr>
          <w:color w:val="auto"/>
        </w:rPr>
        <w:t>9</w:t>
      </w:r>
      <w:r w:rsidRPr="00D206CB">
        <w:rPr>
          <w:color w:val="auto"/>
        </w:rPr>
        <w:t xml:space="preserve">] </w:t>
      </w:r>
      <w:r w:rsidR="00BD3F0B" w:rsidRPr="00D206CB">
        <w:rPr>
          <w:color w:val="auto"/>
        </w:rPr>
        <w:t>Saborowski, C. (2009). Capital Inflows and the Real Exchange Rate: Can Financial Development Cure the Dutch Disease? IMF Working Paper</w:t>
      </w:r>
      <w:r w:rsidR="00626536">
        <w:rPr>
          <w:color w:val="auto"/>
        </w:rPr>
        <w:t>,</w:t>
      </w:r>
      <w:r w:rsidR="00BD3F0B" w:rsidRPr="00D206CB">
        <w:rPr>
          <w:color w:val="auto"/>
        </w:rPr>
        <w:t xml:space="preserve"> 09/20 (Washington: International Monetary Fund).  </w:t>
      </w:r>
    </w:p>
    <w:p w:rsidR="00BD3F0B" w:rsidRPr="00D206CB" w:rsidRDefault="00BD3F0B" w:rsidP="00141422">
      <w:pPr>
        <w:pStyle w:val="Abstracttext"/>
        <w:spacing w:line="276" w:lineRule="auto"/>
        <w:rPr>
          <w:color w:val="auto"/>
        </w:rPr>
      </w:pPr>
      <w:r w:rsidRPr="00D206CB">
        <w:rPr>
          <w:color w:val="auto"/>
        </w:rPr>
        <w:t xml:space="preserve"> </w:t>
      </w:r>
    </w:p>
    <w:p w:rsidR="00F47273" w:rsidRPr="00D206CB" w:rsidRDefault="0043557B" w:rsidP="00141422">
      <w:pPr>
        <w:pStyle w:val="Abstracttext"/>
        <w:spacing w:line="276" w:lineRule="auto"/>
        <w:rPr>
          <w:color w:val="auto"/>
        </w:rPr>
      </w:pPr>
      <w:r w:rsidRPr="00D206CB">
        <w:rPr>
          <w:color w:val="auto"/>
        </w:rPr>
        <w:t>[</w:t>
      </w:r>
      <w:r w:rsidR="00F342E4" w:rsidRPr="00D206CB">
        <w:rPr>
          <w:color w:val="auto"/>
        </w:rPr>
        <w:t>50</w:t>
      </w:r>
      <w:r w:rsidRPr="00D206CB">
        <w:rPr>
          <w:color w:val="auto"/>
        </w:rPr>
        <w:t xml:space="preserve">] </w:t>
      </w:r>
      <w:r w:rsidR="00F47273" w:rsidRPr="00D206CB">
        <w:rPr>
          <w:color w:val="auto"/>
        </w:rPr>
        <w:t>Solow, R. (1956)</w:t>
      </w:r>
      <w:r w:rsidR="005404B5" w:rsidRPr="00D206CB">
        <w:rPr>
          <w:color w:val="auto"/>
        </w:rPr>
        <w:t>.</w:t>
      </w:r>
      <w:r w:rsidR="00F47273" w:rsidRPr="00D206CB">
        <w:rPr>
          <w:color w:val="auto"/>
        </w:rPr>
        <w:t xml:space="preserve"> A contribution to the theory of economic growth. The Quarterly Journal of Economics</w:t>
      </w:r>
      <w:r w:rsidR="00626536">
        <w:rPr>
          <w:color w:val="auto"/>
        </w:rPr>
        <w:t>,</w:t>
      </w:r>
      <w:r w:rsidR="00F47273" w:rsidRPr="00D206CB">
        <w:rPr>
          <w:color w:val="auto"/>
        </w:rPr>
        <w:t xml:space="preserve"> 70</w:t>
      </w:r>
      <w:r w:rsidR="00626536">
        <w:rPr>
          <w:color w:val="auto"/>
        </w:rPr>
        <w:t xml:space="preserve">, </w:t>
      </w:r>
      <w:r w:rsidR="00F47273" w:rsidRPr="00D206CB">
        <w:rPr>
          <w:color w:val="auto"/>
        </w:rPr>
        <w:t>(1)</w:t>
      </w:r>
      <w:r w:rsidR="005404B5" w:rsidRPr="00D206CB">
        <w:rPr>
          <w:color w:val="auto"/>
        </w:rPr>
        <w:t>,</w:t>
      </w:r>
      <w:r w:rsidR="00F47273" w:rsidRPr="00D206CB">
        <w:rPr>
          <w:color w:val="auto"/>
        </w:rPr>
        <w:t xml:space="preserve"> 65–94.</w:t>
      </w:r>
    </w:p>
    <w:p w:rsidR="005A7BEA" w:rsidRPr="00D206CB" w:rsidRDefault="005A7BEA" w:rsidP="00141422">
      <w:pPr>
        <w:pStyle w:val="Abstracttext"/>
        <w:spacing w:line="276" w:lineRule="auto"/>
        <w:rPr>
          <w:color w:val="auto"/>
        </w:rPr>
      </w:pPr>
    </w:p>
    <w:p w:rsidR="006D6229" w:rsidRPr="00D206CB" w:rsidRDefault="0043557B" w:rsidP="00141422">
      <w:pPr>
        <w:pStyle w:val="Abstracttext"/>
        <w:spacing w:line="276" w:lineRule="auto"/>
        <w:rPr>
          <w:color w:val="auto"/>
        </w:rPr>
      </w:pPr>
      <w:r w:rsidRPr="00D206CB">
        <w:rPr>
          <w:color w:val="auto"/>
        </w:rPr>
        <w:t>[</w:t>
      </w:r>
      <w:r w:rsidR="007053B8" w:rsidRPr="00D206CB">
        <w:rPr>
          <w:color w:val="auto"/>
        </w:rPr>
        <w:t>5</w:t>
      </w:r>
      <w:r w:rsidR="00F342E4" w:rsidRPr="00D206CB">
        <w:rPr>
          <w:color w:val="auto"/>
        </w:rPr>
        <w:t>1</w:t>
      </w:r>
      <w:r w:rsidRPr="00D206CB">
        <w:rPr>
          <w:color w:val="auto"/>
        </w:rPr>
        <w:t xml:space="preserve">] </w:t>
      </w:r>
      <w:r w:rsidR="001D7EF6" w:rsidRPr="00D206CB">
        <w:rPr>
          <w:color w:val="auto"/>
        </w:rPr>
        <w:t>Q</w:t>
      </w:r>
      <w:r w:rsidR="00205085" w:rsidRPr="00D206CB">
        <w:rPr>
          <w:color w:val="auto"/>
        </w:rPr>
        <w:t>uattara B. (2006). Foreign aid and government fiscal behavior in developing countries: Panel data evidence</w:t>
      </w:r>
      <w:r w:rsidR="00626536">
        <w:rPr>
          <w:color w:val="auto"/>
        </w:rPr>
        <w:t>.</w:t>
      </w:r>
      <w:r w:rsidR="00205085" w:rsidRPr="00D206CB">
        <w:rPr>
          <w:color w:val="auto"/>
        </w:rPr>
        <w:t xml:space="preserve"> Economic Modeling, 23, 506-514.</w:t>
      </w:r>
    </w:p>
    <w:p w:rsidR="005A7BEA" w:rsidRPr="00D206CB" w:rsidRDefault="005A7BEA" w:rsidP="00141422">
      <w:pPr>
        <w:pStyle w:val="Abstracttext"/>
        <w:spacing w:line="276" w:lineRule="auto"/>
        <w:rPr>
          <w:color w:val="auto"/>
        </w:rPr>
      </w:pPr>
    </w:p>
    <w:p w:rsidR="00C242B2" w:rsidRPr="00D206CB" w:rsidRDefault="0043557B" w:rsidP="00141422">
      <w:pPr>
        <w:spacing w:line="276" w:lineRule="auto"/>
        <w:rPr>
          <w:rFonts w:ascii="Times New Roman" w:eastAsia="PMingLiU" w:hAnsi="Times New Roman" w:cs="Times New Roman"/>
          <w:sz w:val="24"/>
          <w:szCs w:val="24"/>
          <w:lang w:eastAsia="zh-TW"/>
        </w:rPr>
      </w:pPr>
      <w:r w:rsidRPr="00D206CB">
        <w:rPr>
          <w:rFonts w:ascii="Times New Roman" w:hAnsi="Times New Roman" w:cs="Times New Roman"/>
          <w:sz w:val="24"/>
          <w:szCs w:val="24"/>
        </w:rPr>
        <w:lastRenderedPageBreak/>
        <w:t>[</w:t>
      </w:r>
      <w:r w:rsidR="007053B8" w:rsidRPr="00D206CB">
        <w:rPr>
          <w:rFonts w:ascii="Times New Roman" w:eastAsia="PMingLiU" w:hAnsi="Times New Roman" w:cs="Times New Roman"/>
          <w:sz w:val="24"/>
          <w:szCs w:val="24"/>
          <w:lang w:eastAsia="zh-TW"/>
        </w:rPr>
        <w:t>5</w:t>
      </w:r>
      <w:r w:rsidR="00F342E4" w:rsidRPr="00D206CB">
        <w:rPr>
          <w:rFonts w:ascii="Times New Roman" w:eastAsia="PMingLiU" w:hAnsi="Times New Roman" w:cs="Times New Roman"/>
          <w:sz w:val="24"/>
          <w:szCs w:val="24"/>
          <w:lang w:eastAsia="zh-TW"/>
        </w:rPr>
        <w:t>2</w:t>
      </w:r>
      <w:r w:rsidRPr="00D206CB">
        <w:rPr>
          <w:rFonts w:ascii="Times New Roman" w:eastAsia="PMingLiU" w:hAnsi="Times New Roman" w:cs="Times New Roman"/>
          <w:sz w:val="24"/>
          <w:szCs w:val="24"/>
          <w:lang w:eastAsia="zh-TW"/>
        </w:rPr>
        <w:t xml:space="preserve">] </w:t>
      </w:r>
      <w:r w:rsidR="00C242B2" w:rsidRPr="00D206CB">
        <w:rPr>
          <w:rFonts w:ascii="Times New Roman" w:eastAsia="PMingLiU" w:hAnsi="Times New Roman" w:cs="Times New Roman"/>
          <w:sz w:val="24"/>
          <w:szCs w:val="24"/>
          <w:lang w:eastAsia="zh-TW"/>
        </w:rPr>
        <w:t>World Bank. (1998). Assessing Aid. What Works, What Doesn’t and Why. Oxford University Press</w:t>
      </w:r>
      <w:r w:rsidR="00626536">
        <w:rPr>
          <w:rFonts w:ascii="Times New Roman" w:eastAsia="PMingLiU" w:hAnsi="Times New Roman" w:cs="Times New Roman"/>
          <w:sz w:val="24"/>
          <w:szCs w:val="24"/>
          <w:lang w:eastAsia="zh-TW"/>
        </w:rPr>
        <w:t>,</w:t>
      </w:r>
      <w:r w:rsidR="00C242B2" w:rsidRPr="00D206CB">
        <w:rPr>
          <w:rFonts w:ascii="Times New Roman" w:eastAsia="PMingLiU" w:hAnsi="Times New Roman" w:cs="Times New Roman"/>
          <w:sz w:val="24"/>
          <w:szCs w:val="24"/>
          <w:lang w:eastAsia="zh-TW"/>
        </w:rPr>
        <w:t xml:space="preserve"> New York. </w:t>
      </w:r>
    </w:p>
    <w:p w:rsidR="001D7EF6" w:rsidRPr="00D206CB" w:rsidRDefault="0043557B" w:rsidP="00141422">
      <w:pPr>
        <w:pStyle w:val="Abstracttext"/>
        <w:spacing w:line="276" w:lineRule="auto"/>
        <w:rPr>
          <w:color w:val="auto"/>
        </w:rPr>
      </w:pPr>
      <w:r w:rsidRPr="00D206CB">
        <w:rPr>
          <w:color w:val="auto"/>
        </w:rPr>
        <w:t>[</w:t>
      </w:r>
      <w:r w:rsidR="007053B8" w:rsidRPr="00D206CB">
        <w:rPr>
          <w:color w:val="auto"/>
        </w:rPr>
        <w:t>5</w:t>
      </w:r>
      <w:r w:rsidR="00F342E4" w:rsidRPr="00D206CB">
        <w:rPr>
          <w:color w:val="auto"/>
        </w:rPr>
        <w:t>3</w:t>
      </w:r>
      <w:r w:rsidRPr="00D206CB">
        <w:rPr>
          <w:color w:val="auto"/>
        </w:rPr>
        <w:t xml:space="preserve">] </w:t>
      </w:r>
      <w:r w:rsidR="001D7EF6" w:rsidRPr="00D206CB">
        <w:rPr>
          <w:color w:val="auto"/>
        </w:rPr>
        <w:t xml:space="preserve">Zardoub, A and El Abed Riadh. (2019). Short and Long-Term Effects of Financial Flows on Economic Growth. Journal of Economic Integration, 34, </w:t>
      </w:r>
      <w:r w:rsidR="00626536">
        <w:rPr>
          <w:color w:val="auto"/>
        </w:rPr>
        <w:t>(</w:t>
      </w:r>
      <w:r w:rsidR="001D7EF6" w:rsidRPr="00D206CB">
        <w:rPr>
          <w:color w:val="auto"/>
        </w:rPr>
        <w:t>4</w:t>
      </w:r>
      <w:r w:rsidR="00626536">
        <w:rPr>
          <w:color w:val="auto"/>
        </w:rPr>
        <w:t>)</w:t>
      </w:r>
      <w:r w:rsidR="001D7EF6" w:rsidRPr="00D206CB">
        <w:rPr>
          <w:color w:val="auto"/>
        </w:rPr>
        <w:t xml:space="preserve">, 705-724. </w:t>
      </w:r>
    </w:p>
    <w:p w:rsidR="005A7BEA" w:rsidRDefault="005A7BEA" w:rsidP="00141422">
      <w:pPr>
        <w:spacing w:line="276" w:lineRule="auto"/>
        <w:jc w:val="center"/>
        <w:rPr>
          <w:rFonts w:ascii="Times New Roman" w:hAnsi="Times New Roman" w:cs="Times New Roman"/>
          <w:b/>
          <w:sz w:val="24"/>
          <w:szCs w:val="24"/>
        </w:rPr>
      </w:pPr>
    </w:p>
    <w:p w:rsidR="0080024B" w:rsidRPr="00D64F8C" w:rsidRDefault="0012645C" w:rsidP="00141422">
      <w:pPr>
        <w:spacing w:line="276" w:lineRule="auto"/>
        <w:jc w:val="center"/>
        <w:rPr>
          <w:rFonts w:ascii="Times New Roman" w:hAnsi="Times New Roman" w:cs="Times New Roman"/>
          <w:b/>
          <w:sz w:val="24"/>
          <w:szCs w:val="24"/>
        </w:rPr>
      </w:pPr>
      <w:r w:rsidRPr="00D64F8C">
        <w:rPr>
          <w:rFonts w:ascii="Times New Roman" w:hAnsi="Times New Roman" w:cs="Times New Roman"/>
          <w:b/>
          <w:sz w:val="24"/>
          <w:szCs w:val="24"/>
        </w:rPr>
        <w:t>APPENDIX</w:t>
      </w:r>
    </w:p>
    <w:p w:rsidR="002C311E" w:rsidRPr="00D64F8C" w:rsidRDefault="0012645C" w:rsidP="00141422">
      <w:pPr>
        <w:pStyle w:val="Abstracttext"/>
        <w:spacing w:line="276" w:lineRule="auto"/>
        <w:jc w:val="center"/>
        <w:rPr>
          <w:b/>
          <w:color w:val="auto"/>
        </w:rPr>
      </w:pPr>
      <w:r w:rsidRPr="00D64F8C">
        <w:rPr>
          <w:b/>
          <w:color w:val="auto"/>
        </w:rPr>
        <w:t>List of COMESA Member Countries</w:t>
      </w:r>
    </w:p>
    <w:p w:rsidR="0012645C" w:rsidRPr="00D64F8C" w:rsidRDefault="002C311E" w:rsidP="00141422">
      <w:pPr>
        <w:pStyle w:val="Abstracttext"/>
        <w:numPr>
          <w:ilvl w:val="0"/>
          <w:numId w:val="7"/>
        </w:numPr>
        <w:spacing w:line="276" w:lineRule="auto"/>
        <w:jc w:val="left"/>
        <w:rPr>
          <w:color w:val="auto"/>
        </w:rPr>
      </w:pPr>
      <w:r w:rsidRPr="00D64F8C">
        <w:rPr>
          <w:color w:val="auto"/>
        </w:rPr>
        <w:t xml:space="preserve">Countries </w:t>
      </w:r>
      <w:r w:rsidR="0012645C" w:rsidRPr="00D64F8C">
        <w:rPr>
          <w:color w:val="auto"/>
        </w:rPr>
        <w:t>with data include</w:t>
      </w:r>
      <w:r w:rsidRPr="00D64F8C">
        <w:rPr>
          <w:color w:val="auto"/>
        </w:rPr>
        <w:t>d</w:t>
      </w:r>
      <w:r w:rsidR="0012645C" w:rsidRPr="00D64F8C">
        <w:rPr>
          <w:color w:val="auto"/>
        </w:rPr>
        <w:t xml:space="preserve"> in the </w:t>
      </w:r>
      <w:r w:rsidRPr="00D64F8C">
        <w:rPr>
          <w:color w:val="auto"/>
        </w:rPr>
        <w:t>study</w:t>
      </w:r>
    </w:p>
    <w:p w:rsidR="0012645C" w:rsidRPr="00D64F8C" w:rsidRDefault="0012645C" w:rsidP="00141422">
      <w:pPr>
        <w:pStyle w:val="Abstracttext"/>
        <w:spacing w:line="276" w:lineRule="auto"/>
        <w:rPr>
          <w:color w:val="auto"/>
        </w:rPr>
      </w:pPr>
      <w:r w:rsidRPr="00D64F8C">
        <w:rPr>
          <w:color w:val="auto"/>
        </w:rPr>
        <w:t>Burundi (BRD), Comoros (COM), Democratic Republic of Congo (DRC), Egypt (EGY), Eswatini (ESW), Ethiopia (ETH), Kenya (KEN), Madagascar (MAD), Malawi (MAL), Mauritius (MAU), Rwanda (RWA), Seychelles (SEY), Sudan (SUD), Tunisia (TUN), Uganda (UGA), Zambia (ZAM), and Zimbabwe (ZIM).</w:t>
      </w:r>
    </w:p>
    <w:p w:rsidR="002C311E" w:rsidRPr="00D64F8C" w:rsidRDefault="002C311E" w:rsidP="00141422">
      <w:pPr>
        <w:pStyle w:val="Abstracttext"/>
        <w:spacing w:line="276" w:lineRule="auto"/>
        <w:rPr>
          <w:color w:val="auto"/>
        </w:rPr>
      </w:pPr>
    </w:p>
    <w:p w:rsidR="002C311E" w:rsidRPr="00D64F8C" w:rsidRDefault="002C311E" w:rsidP="00141422">
      <w:pPr>
        <w:pStyle w:val="Abstracttext"/>
        <w:numPr>
          <w:ilvl w:val="0"/>
          <w:numId w:val="7"/>
        </w:numPr>
        <w:spacing w:line="276" w:lineRule="auto"/>
        <w:rPr>
          <w:color w:val="auto"/>
        </w:rPr>
      </w:pPr>
      <w:r w:rsidRPr="00D64F8C">
        <w:rPr>
          <w:color w:val="auto"/>
        </w:rPr>
        <w:t>Countries that have data gaps and could therefore not be included in the study</w:t>
      </w:r>
      <w:r w:rsidR="00804B35" w:rsidRPr="00D64F8C">
        <w:rPr>
          <w:color w:val="auto"/>
        </w:rPr>
        <w:t xml:space="preserve"> are:</w:t>
      </w:r>
    </w:p>
    <w:p w:rsidR="002C311E" w:rsidRPr="00D64F8C" w:rsidRDefault="002C311E" w:rsidP="00141422">
      <w:pPr>
        <w:pStyle w:val="Abstracttext"/>
        <w:spacing w:line="276" w:lineRule="auto"/>
        <w:ind w:left="360"/>
        <w:rPr>
          <w:color w:val="auto"/>
        </w:rPr>
      </w:pPr>
      <w:r w:rsidRPr="00D64F8C">
        <w:rPr>
          <w:color w:val="auto"/>
        </w:rPr>
        <w:t>Djibouti (DJ), Eritrea (ER), Libya (LY) and Somalia (SO).</w:t>
      </w:r>
    </w:p>
    <w:p w:rsidR="0043557B" w:rsidRPr="00D64F8C" w:rsidRDefault="0043557B" w:rsidP="00141422">
      <w:pPr>
        <w:pStyle w:val="Abstracttext"/>
        <w:spacing w:line="276" w:lineRule="auto"/>
        <w:ind w:left="360"/>
        <w:rPr>
          <w:color w:val="auto"/>
        </w:rPr>
      </w:pPr>
    </w:p>
    <w:p w:rsidR="002C311E" w:rsidRPr="00D64F8C" w:rsidRDefault="002C311E" w:rsidP="00141422">
      <w:pPr>
        <w:pStyle w:val="Abstracttext"/>
        <w:spacing w:line="276" w:lineRule="auto"/>
        <w:ind w:left="360"/>
        <w:jc w:val="center"/>
        <w:rPr>
          <w:b/>
          <w:color w:val="auto"/>
        </w:rPr>
      </w:pPr>
      <w:r w:rsidRPr="00D64F8C">
        <w:rPr>
          <w:b/>
          <w:color w:val="auto"/>
        </w:rPr>
        <w:t>Table 1A: List, Definitions, and Sources of Variables</w:t>
      </w:r>
    </w:p>
    <w:tbl>
      <w:tblPr>
        <w:tblStyle w:val="TableGrid"/>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2540"/>
        <w:gridCol w:w="4936"/>
      </w:tblGrid>
      <w:tr w:rsidR="007C7FBC" w:rsidRPr="00D64F8C" w:rsidTr="002E3031">
        <w:tc>
          <w:tcPr>
            <w:tcW w:w="1520" w:type="dxa"/>
            <w:tcBorders>
              <w:top w:val="single" w:sz="4" w:space="0" w:color="auto"/>
              <w:bottom w:val="double" w:sz="4" w:space="0" w:color="auto"/>
            </w:tcBorders>
          </w:tcPr>
          <w:p w:rsidR="007C7FBC" w:rsidRPr="00D64F8C" w:rsidRDefault="007C7FBC" w:rsidP="00141422">
            <w:pPr>
              <w:pStyle w:val="Abstracttext"/>
              <w:spacing w:line="276" w:lineRule="auto"/>
              <w:rPr>
                <w:color w:val="auto"/>
              </w:rPr>
            </w:pPr>
            <w:r w:rsidRPr="00D64F8C">
              <w:rPr>
                <w:color w:val="auto"/>
              </w:rPr>
              <w:t>Variable</w:t>
            </w:r>
          </w:p>
        </w:tc>
        <w:tc>
          <w:tcPr>
            <w:tcW w:w="2540" w:type="dxa"/>
            <w:tcBorders>
              <w:top w:val="single" w:sz="4" w:space="0" w:color="auto"/>
              <w:bottom w:val="double" w:sz="4" w:space="0" w:color="auto"/>
            </w:tcBorders>
          </w:tcPr>
          <w:p w:rsidR="007C7FBC" w:rsidRPr="00D64F8C" w:rsidRDefault="007C7FBC" w:rsidP="00141422">
            <w:pPr>
              <w:pStyle w:val="Abstracttext"/>
              <w:spacing w:line="276" w:lineRule="auto"/>
              <w:rPr>
                <w:color w:val="auto"/>
              </w:rPr>
            </w:pPr>
            <w:r w:rsidRPr="00D64F8C">
              <w:rPr>
                <w:color w:val="auto"/>
              </w:rPr>
              <w:t>Definition</w:t>
            </w:r>
          </w:p>
        </w:tc>
        <w:tc>
          <w:tcPr>
            <w:tcW w:w="4936" w:type="dxa"/>
            <w:tcBorders>
              <w:top w:val="single" w:sz="4" w:space="0" w:color="auto"/>
              <w:bottom w:val="double" w:sz="4" w:space="0" w:color="auto"/>
            </w:tcBorders>
          </w:tcPr>
          <w:p w:rsidR="007C7FBC" w:rsidRPr="00D64F8C" w:rsidRDefault="007C7FBC" w:rsidP="00141422">
            <w:pPr>
              <w:pStyle w:val="Abstracttext"/>
              <w:spacing w:line="276" w:lineRule="auto"/>
              <w:rPr>
                <w:color w:val="auto"/>
              </w:rPr>
            </w:pPr>
            <w:r w:rsidRPr="00D64F8C">
              <w:rPr>
                <w:color w:val="auto"/>
              </w:rPr>
              <w:t>Source</w:t>
            </w:r>
          </w:p>
        </w:tc>
      </w:tr>
      <w:tr w:rsidR="0065360E" w:rsidRPr="00D64F8C" w:rsidTr="002E3031">
        <w:tc>
          <w:tcPr>
            <w:tcW w:w="1520" w:type="dxa"/>
            <w:tcBorders>
              <w:top w:val="double" w:sz="4" w:space="0" w:color="auto"/>
            </w:tcBorders>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GDPKG</w:t>
            </w:r>
          </w:p>
          <w:p w:rsidR="001D6DD0" w:rsidRPr="00D64F8C" w:rsidRDefault="001D6DD0" w:rsidP="00141422">
            <w:pPr>
              <w:spacing w:line="276" w:lineRule="auto"/>
              <w:rPr>
                <w:rFonts w:ascii="Times New Roman" w:hAnsi="Times New Roman" w:cs="Times New Roman"/>
                <w:sz w:val="24"/>
                <w:szCs w:val="24"/>
              </w:rPr>
            </w:pPr>
          </w:p>
          <w:p w:rsidR="001D6DD0" w:rsidRPr="00D64F8C" w:rsidRDefault="001D6DD0" w:rsidP="00141422">
            <w:pPr>
              <w:spacing w:line="276" w:lineRule="auto"/>
              <w:rPr>
                <w:rFonts w:ascii="Times New Roman" w:hAnsi="Times New Roman" w:cs="Times New Roman"/>
                <w:sz w:val="24"/>
                <w:szCs w:val="24"/>
              </w:rPr>
            </w:pPr>
          </w:p>
        </w:tc>
        <w:tc>
          <w:tcPr>
            <w:tcW w:w="2540" w:type="dxa"/>
            <w:tcBorders>
              <w:top w:val="double" w:sz="4" w:space="0" w:color="auto"/>
            </w:tcBorders>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GDP per capita growth (annual %)</w:t>
            </w:r>
          </w:p>
          <w:p w:rsidR="001D6DD0" w:rsidRPr="00D64F8C" w:rsidRDefault="001D6DD0" w:rsidP="00141422">
            <w:pPr>
              <w:spacing w:line="276" w:lineRule="auto"/>
              <w:rPr>
                <w:rFonts w:ascii="Times New Roman" w:hAnsi="Times New Roman" w:cs="Times New Roman"/>
                <w:sz w:val="24"/>
                <w:szCs w:val="24"/>
              </w:rPr>
            </w:pPr>
          </w:p>
        </w:tc>
        <w:tc>
          <w:tcPr>
            <w:tcW w:w="4936" w:type="dxa"/>
            <w:tcBorders>
              <w:top w:val="double" w:sz="4" w:space="0" w:color="auto"/>
            </w:tcBorders>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p w:rsidR="001D6DD0" w:rsidRPr="00D64F8C" w:rsidRDefault="001D6DD0" w:rsidP="00141422">
            <w:pPr>
              <w:pStyle w:val="Abstracttext"/>
              <w:spacing w:line="276" w:lineRule="auto"/>
              <w:rPr>
                <w:color w:val="auto"/>
              </w:rPr>
            </w:pP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FDI</w:t>
            </w:r>
          </w:p>
          <w:p w:rsidR="001D6DD0" w:rsidRPr="00D64F8C" w:rsidRDefault="001D6DD0" w:rsidP="00141422">
            <w:pPr>
              <w:spacing w:line="276" w:lineRule="auto"/>
              <w:rPr>
                <w:rFonts w:ascii="Times New Roman" w:hAnsi="Times New Roman" w:cs="Times New Roman"/>
                <w:sz w:val="24"/>
                <w:szCs w:val="24"/>
              </w:rPr>
            </w:pPr>
          </w:p>
          <w:p w:rsidR="001D6DD0" w:rsidRPr="00D64F8C" w:rsidRDefault="001D6DD0"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Foreign direct investment, net inflows (% of GDP)</w:t>
            </w:r>
          </w:p>
          <w:p w:rsidR="001D6DD0" w:rsidRPr="00D64F8C" w:rsidRDefault="001D6DD0" w:rsidP="00141422">
            <w:pPr>
              <w:spacing w:line="276" w:lineRule="auto"/>
              <w:rPr>
                <w:rFonts w:ascii="Times New Roman" w:hAnsi="Times New Roman" w:cs="Times New Roman"/>
                <w:sz w:val="24"/>
                <w:szCs w:val="24"/>
              </w:rPr>
            </w:pPr>
          </w:p>
        </w:tc>
        <w:tc>
          <w:tcPr>
            <w:tcW w:w="4936" w:type="dxa"/>
          </w:tcPr>
          <w:p w:rsidR="0065360E" w:rsidRPr="00D64F8C" w:rsidRDefault="00933442" w:rsidP="00141422">
            <w:pPr>
              <w:pStyle w:val="Abstracttext"/>
              <w:spacing w:line="276" w:lineRule="auto"/>
              <w:rPr>
                <w:color w:val="auto"/>
              </w:rPr>
            </w:pPr>
            <w:r w:rsidRPr="00D64F8C">
              <w:rPr>
                <w:color w:val="auto"/>
              </w:rPr>
              <w:t xml:space="preserve">UNCTAD data base </w:t>
            </w:r>
          </w:p>
        </w:tc>
      </w:tr>
      <w:tr w:rsidR="0065360E"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ODA</w:t>
            </w:r>
          </w:p>
          <w:p w:rsidR="001D6DD0" w:rsidRPr="00D64F8C" w:rsidRDefault="001D6DD0" w:rsidP="00141422">
            <w:pPr>
              <w:spacing w:line="276" w:lineRule="auto"/>
              <w:rPr>
                <w:rFonts w:ascii="Times New Roman" w:hAnsi="Times New Roman" w:cs="Times New Roman"/>
                <w:sz w:val="24"/>
                <w:szCs w:val="24"/>
              </w:rPr>
            </w:pPr>
          </w:p>
          <w:p w:rsidR="001D6DD0" w:rsidRPr="00D64F8C" w:rsidRDefault="001D6DD0"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Net ODA received (% of GNI)</w:t>
            </w:r>
          </w:p>
          <w:p w:rsidR="001D6DD0" w:rsidRPr="00D64F8C" w:rsidRDefault="001D6DD0"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p w:rsidR="001D6DD0" w:rsidRPr="00D64F8C" w:rsidRDefault="001D6DD0" w:rsidP="00141422">
            <w:pPr>
              <w:pStyle w:val="Abstracttext"/>
              <w:spacing w:line="276" w:lineRule="auto"/>
              <w:rPr>
                <w:color w:val="auto"/>
              </w:rPr>
            </w:pP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REM</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Personal remittances, received (% of GDP)</w:t>
            </w: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933442" w:rsidP="00141422">
            <w:pPr>
              <w:pStyle w:val="Abstracttext"/>
              <w:spacing w:line="276" w:lineRule="auto"/>
              <w:rPr>
                <w:color w:val="auto"/>
              </w:rPr>
            </w:pPr>
            <w:r w:rsidRPr="00D64F8C">
              <w:rPr>
                <w:color w:val="auto"/>
              </w:rPr>
              <w:t>UNCTAD data base</w:t>
            </w:r>
          </w:p>
        </w:tc>
      </w:tr>
      <w:tr w:rsidR="00D64F8C" w:rsidRPr="00D64F8C" w:rsidTr="00B2114A">
        <w:tc>
          <w:tcPr>
            <w:tcW w:w="1520" w:type="dxa"/>
            <w:vAlign w:val="bottom"/>
          </w:tcPr>
          <w:p w:rsidR="0043557B"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REER</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Real effective exchange rate (CPI-based)</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4936" w:type="dxa"/>
          </w:tcPr>
          <w:p w:rsidR="00753481" w:rsidRPr="00D64F8C" w:rsidRDefault="00753481" w:rsidP="00141422">
            <w:pPr>
              <w:pStyle w:val="Abstracttext"/>
              <w:spacing w:line="276" w:lineRule="auto"/>
              <w:rPr>
                <w:color w:val="auto"/>
              </w:rPr>
            </w:pPr>
            <w:r w:rsidRPr="00D64F8C">
              <w:rPr>
                <w:color w:val="auto"/>
              </w:rPr>
              <w:t xml:space="preserve">International Financial Statistics (IFS) and calculations from </w:t>
            </w:r>
            <w:hyperlink r:id="rId12" w:history="1">
              <w:r w:rsidRPr="00D64F8C">
                <w:rPr>
                  <w:rStyle w:val="Hyperlink"/>
                  <w:color w:val="auto"/>
                </w:rPr>
                <w:t>http://www.bruegel.org/publications/publication-detail/publication/716-real-effective-exchange-rates-for-178-countries-a-new-database/</w:t>
              </w:r>
            </w:hyperlink>
          </w:p>
        </w:tc>
      </w:tr>
      <w:tr w:rsidR="00D64F8C" w:rsidRPr="00D64F8C" w:rsidTr="00B2114A">
        <w:tc>
          <w:tcPr>
            <w:tcW w:w="1520" w:type="dxa"/>
            <w:vAlign w:val="bottom"/>
          </w:tcPr>
          <w:p w:rsidR="0065360E" w:rsidRPr="00D64F8C" w:rsidRDefault="00B547D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OPEN</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lastRenderedPageBreak/>
              <w:t xml:space="preserve">Trade is the sum of exports and imports of goods and services </w:t>
            </w:r>
            <w:r w:rsidRPr="00D64F8C">
              <w:rPr>
                <w:rFonts w:ascii="Times New Roman" w:hAnsi="Times New Roman" w:cs="Times New Roman"/>
                <w:sz w:val="24"/>
                <w:szCs w:val="24"/>
              </w:rPr>
              <w:lastRenderedPageBreak/>
              <w:t>measured as a share of gross domestic product.</w:t>
            </w: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lastRenderedPageBreak/>
              <w:t>World Development Indicators (WDI) and World Economic Outlook (WEO) data</w:t>
            </w: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INF</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Inflation, GDP deflator (annual %)</w:t>
            </w: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GFKF</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Gross Fixed Capital Formation</w:t>
            </w:r>
            <w:r w:rsidR="00B547DE" w:rsidRPr="00D64F8C">
              <w:rPr>
                <w:rFonts w:ascii="Times New Roman" w:hAnsi="Times New Roman" w:cs="Times New Roman"/>
                <w:sz w:val="24"/>
                <w:szCs w:val="24"/>
              </w:rPr>
              <w:t xml:space="preserve"> (% of GDP)</w:t>
            </w: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GCON</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8C5728"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General government final consumption expenditure (% of GDP)</w:t>
            </w: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tc>
      </w:tr>
      <w:tr w:rsidR="00D64F8C" w:rsidRPr="00D64F8C" w:rsidTr="00B2114A">
        <w:tc>
          <w:tcPr>
            <w:tcW w:w="1520" w:type="dxa"/>
            <w:vAlign w:val="bottom"/>
          </w:tcPr>
          <w:p w:rsidR="0065360E" w:rsidRPr="00D64F8C" w:rsidRDefault="0065360E"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BM</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2540" w:type="dxa"/>
            <w:vAlign w:val="bottom"/>
          </w:tcPr>
          <w:p w:rsidR="0065360E" w:rsidRPr="00D64F8C" w:rsidRDefault="008C5728" w:rsidP="00141422">
            <w:pPr>
              <w:spacing w:line="276" w:lineRule="auto"/>
              <w:rPr>
                <w:rFonts w:ascii="Times New Roman" w:hAnsi="Times New Roman" w:cs="Times New Roman"/>
                <w:sz w:val="24"/>
                <w:szCs w:val="24"/>
              </w:rPr>
            </w:pPr>
            <w:r w:rsidRPr="00D64F8C">
              <w:rPr>
                <w:rFonts w:ascii="Times New Roman" w:hAnsi="Times New Roman" w:cs="Times New Roman"/>
                <w:sz w:val="24"/>
                <w:szCs w:val="24"/>
              </w:rPr>
              <w:t>Broad money (% of GDP)</w:t>
            </w:r>
          </w:p>
          <w:p w:rsidR="0043557B" w:rsidRPr="00D64F8C" w:rsidRDefault="0043557B" w:rsidP="00141422">
            <w:pPr>
              <w:spacing w:line="276" w:lineRule="auto"/>
              <w:rPr>
                <w:rFonts w:ascii="Times New Roman" w:hAnsi="Times New Roman" w:cs="Times New Roman"/>
                <w:sz w:val="24"/>
                <w:szCs w:val="24"/>
              </w:rPr>
            </w:pPr>
          </w:p>
          <w:p w:rsidR="0043557B" w:rsidRPr="00D64F8C" w:rsidRDefault="0043557B" w:rsidP="00141422">
            <w:pPr>
              <w:spacing w:line="276" w:lineRule="auto"/>
              <w:rPr>
                <w:rFonts w:ascii="Times New Roman" w:hAnsi="Times New Roman" w:cs="Times New Roman"/>
                <w:sz w:val="24"/>
                <w:szCs w:val="24"/>
              </w:rPr>
            </w:pPr>
          </w:p>
        </w:tc>
        <w:tc>
          <w:tcPr>
            <w:tcW w:w="4936" w:type="dxa"/>
          </w:tcPr>
          <w:p w:rsidR="0065360E" w:rsidRPr="00D64F8C" w:rsidRDefault="00753481" w:rsidP="00141422">
            <w:pPr>
              <w:pStyle w:val="Abstracttext"/>
              <w:spacing w:line="276" w:lineRule="auto"/>
              <w:rPr>
                <w:color w:val="auto"/>
              </w:rPr>
            </w:pPr>
            <w:r w:rsidRPr="00D64F8C">
              <w:rPr>
                <w:color w:val="auto"/>
              </w:rPr>
              <w:t>World Development Indicators (WDI) and World Economic Outlook (WEO) data</w:t>
            </w:r>
          </w:p>
        </w:tc>
      </w:tr>
      <w:tr w:rsidR="00D64F8C" w:rsidRPr="00D64F8C" w:rsidTr="00B2114A">
        <w:tc>
          <w:tcPr>
            <w:tcW w:w="1520" w:type="dxa"/>
          </w:tcPr>
          <w:p w:rsidR="007C7FBC" w:rsidRPr="00D64F8C" w:rsidRDefault="009E2913" w:rsidP="00141422">
            <w:pPr>
              <w:pStyle w:val="Abstracttext"/>
              <w:spacing w:line="276" w:lineRule="auto"/>
              <w:rPr>
                <w:color w:val="auto"/>
              </w:rPr>
            </w:pPr>
            <w:r w:rsidRPr="00D64F8C">
              <w:rPr>
                <w:color w:val="auto"/>
              </w:rPr>
              <w:t>G</w:t>
            </w:r>
            <w:r w:rsidR="00B547DE" w:rsidRPr="00D64F8C">
              <w:rPr>
                <w:color w:val="auto"/>
              </w:rPr>
              <w:t>CON</w:t>
            </w:r>
          </w:p>
        </w:tc>
        <w:tc>
          <w:tcPr>
            <w:tcW w:w="2540" w:type="dxa"/>
          </w:tcPr>
          <w:p w:rsidR="007C7FBC" w:rsidRPr="00D64F8C" w:rsidRDefault="009E2913" w:rsidP="00141422">
            <w:pPr>
              <w:pStyle w:val="Abstracttext"/>
              <w:spacing w:line="276" w:lineRule="auto"/>
              <w:rPr>
                <w:color w:val="auto"/>
              </w:rPr>
            </w:pPr>
            <w:r w:rsidRPr="00D64F8C">
              <w:rPr>
                <w:color w:val="auto"/>
              </w:rPr>
              <w:t>Government final consumption expenditure as a percent of GDP</w:t>
            </w:r>
          </w:p>
          <w:p w:rsidR="0043557B" w:rsidRPr="00D64F8C" w:rsidRDefault="0043557B" w:rsidP="00141422">
            <w:pPr>
              <w:pStyle w:val="Abstracttext"/>
              <w:spacing w:line="276" w:lineRule="auto"/>
              <w:rPr>
                <w:color w:val="auto"/>
              </w:rPr>
            </w:pPr>
          </w:p>
        </w:tc>
        <w:tc>
          <w:tcPr>
            <w:tcW w:w="4936" w:type="dxa"/>
          </w:tcPr>
          <w:p w:rsidR="007C7FBC" w:rsidRPr="00D64F8C" w:rsidRDefault="009E2913" w:rsidP="00141422">
            <w:pPr>
              <w:pStyle w:val="Abstracttext"/>
              <w:spacing w:line="276" w:lineRule="auto"/>
              <w:rPr>
                <w:color w:val="auto"/>
              </w:rPr>
            </w:pPr>
            <w:r w:rsidRPr="00D64F8C">
              <w:rPr>
                <w:color w:val="auto"/>
              </w:rPr>
              <w:t>World Bank – World Development Indicators</w:t>
            </w:r>
          </w:p>
        </w:tc>
      </w:tr>
      <w:tr w:rsidR="00D64F8C" w:rsidRPr="00D64F8C" w:rsidTr="00B2114A">
        <w:tc>
          <w:tcPr>
            <w:tcW w:w="1520" w:type="dxa"/>
          </w:tcPr>
          <w:p w:rsidR="007C7FBC" w:rsidRPr="00D64F8C" w:rsidRDefault="00911EAC" w:rsidP="00141422">
            <w:pPr>
              <w:pStyle w:val="Abstracttext"/>
              <w:spacing w:line="276" w:lineRule="auto"/>
              <w:rPr>
                <w:color w:val="auto"/>
              </w:rPr>
            </w:pPr>
            <w:r w:rsidRPr="00D64F8C">
              <w:rPr>
                <w:color w:val="auto"/>
              </w:rPr>
              <w:t>TInflows</w:t>
            </w:r>
          </w:p>
        </w:tc>
        <w:tc>
          <w:tcPr>
            <w:tcW w:w="2540" w:type="dxa"/>
          </w:tcPr>
          <w:p w:rsidR="007C7FBC" w:rsidRPr="00D64F8C" w:rsidRDefault="00911EAC" w:rsidP="00141422">
            <w:pPr>
              <w:pStyle w:val="Abstracttext"/>
              <w:spacing w:line="276" w:lineRule="auto"/>
              <w:rPr>
                <w:color w:val="auto"/>
              </w:rPr>
            </w:pPr>
            <w:r w:rsidRPr="00D64F8C">
              <w:rPr>
                <w:color w:val="auto"/>
              </w:rPr>
              <w:t xml:space="preserve">Total </w:t>
            </w:r>
            <w:r w:rsidR="00B547DE" w:rsidRPr="00D64F8C">
              <w:rPr>
                <w:color w:val="auto"/>
              </w:rPr>
              <w:t xml:space="preserve">inflows </w:t>
            </w:r>
          </w:p>
        </w:tc>
        <w:tc>
          <w:tcPr>
            <w:tcW w:w="4936" w:type="dxa"/>
          </w:tcPr>
          <w:p w:rsidR="007C7FBC" w:rsidRPr="00D64F8C" w:rsidRDefault="00B547DE" w:rsidP="00141422">
            <w:pPr>
              <w:pStyle w:val="Abstracttext"/>
              <w:spacing w:line="276" w:lineRule="auto"/>
              <w:rPr>
                <w:color w:val="auto"/>
              </w:rPr>
            </w:pPr>
            <w:r w:rsidRPr="00D64F8C">
              <w:rPr>
                <w:color w:val="auto"/>
              </w:rPr>
              <w:t>Authors calculation</w:t>
            </w:r>
            <w:r w:rsidR="00AB759F" w:rsidRPr="00D64F8C">
              <w:rPr>
                <w:color w:val="auto"/>
              </w:rPr>
              <w:t xml:space="preserve"> from </w:t>
            </w:r>
            <w:r w:rsidR="00DF0846" w:rsidRPr="00D64F8C">
              <w:rPr>
                <w:color w:val="auto"/>
              </w:rPr>
              <w:t>UNCTAD data base</w:t>
            </w:r>
            <w:r w:rsidR="00034430" w:rsidRPr="00D64F8C">
              <w:rPr>
                <w:color w:val="auto"/>
              </w:rPr>
              <w:t xml:space="preserve"> – Calculated as the sum of FDI, ODA and REM as a percentage of GDP</w:t>
            </w:r>
          </w:p>
          <w:p w:rsidR="0043557B" w:rsidRPr="00D64F8C" w:rsidRDefault="0043557B" w:rsidP="00141422">
            <w:pPr>
              <w:pStyle w:val="Abstracttext"/>
              <w:spacing w:line="276" w:lineRule="auto"/>
              <w:rPr>
                <w:color w:val="auto"/>
              </w:rPr>
            </w:pPr>
          </w:p>
        </w:tc>
      </w:tr>
      <w:tr w:rsidR="00D64F8C" w:rsidRPr="00D64F8C" w:rsidTr="00B2114A">
        <w:tc>
          <w:tcPr>
            <w:tcW w:w="1520" w:type="dxa"/>
          </w:tcPr>
          <w:p w:rsidR="007C7FBC" w:rsidRPr="00D64F8C" w:rsidRDefault="00617F2C" w:rsidP="00141422">
            <w:pPr>
              <w:pStyle w:val="Abstracttext"/>
              <w:spacing w:line="276" w:lineRule="auto"/>
              <w:rPr>
                <w:color w:val="auto"/>
              </w:rPr>
            </w:pPr>
            <w:r w:rsidRPr="00D64F8C">
              <w:rPr>
                <w:color w:val="auto"/>
              </w:rPr>
              <w:t>BSI</w:t>
            </w:r>
          </w:p>
        </w:tc>
        <w:tc>
          <w:tcPr>
            <w:tcW w:w="2540" w:type="dxa"/>
          </w:tcPr>
          <w:p w:rsidR="007C7FBC" w:rsidRPr="00D64F8C" w:rsidRDefault="00034430" w:rsidP="00141422">
            <w:pPr>
              <w:pStyle w:val="Abstracttext"/>
              <w:spacing w:line="276" w:lineRule="auto"/>
              <w:rPr>
                <w:color w:val="auto"/>
              </w:rPr>
            </w:pPr>
            <w:r w:rsidRPr="00D64F8C">
              <w:rPr>
                <w:color w:val="auto"/>
              </w:rPr>
              <w:t xml:space="preserve">Balassa Samuelson Index is computed as a country's GDP per capita relative to the weighted average GDP per capita of COMESA's </w:t>
            </w:r>
            <w:r w:rsidR="0043557B" w:rsidRPr="00D64F8C">
              <w:rPr>
                <w:color w:val="auto"/>
              </w:rPr>
              <w:t xml:space="preserve">five </w:t>
            </w:r>
            <w:r w:rsidRPr="00D64F8C">
              <w:rPr>
                <w:color w:val="auto"/>
              </w:rPr>
              <w:t xml:space="preserve">major trading partners (namely European Union, United Arab </w:t>
            </w:r>
            <w:r w:rsidR="004B1ABD" w:rsidRPr="00D64F8C">
              <w:rPr>
                <w:color w:val="auto"/>
              </w:rPr>
              <w:t>Emirates</w:t>
            </w:r>
            <w:r w:rsidRPr="00D64F8C">
              <w:rPr>
                <w:color w:val="auto"/>
              </w:rPr>
              <w:t>, South Africa, China and COMESA countries)</w:t>
            </w:r>
          </w:p>
          <w:p w:rsidR="00B2114A" w:rsidRPr="00D64F8C" w:rsidRDefault="00B2114A" w:rsidP="00141422">
            <w:pPr>
              <w:pStyle w:val="Abstracttext"/>
              <w:spacing w:line="276" w:lineRule="auto"/>
              <w:rPr>
                <w:color w:val="auto"/>
              </w:rPr>
            </w:pPr>
          </w:p>
        </w:tc>
        <w:tc>
          <w:tcPr>
            <w:tcW w:w="4936" w:type="dxa"/>
          </w:tcPr>
          <w:p w:rsidR="007C7FBC" w:rsidRPr="00D64F8C" w:rsidRDefault="00034430" w:rsidP="00141422">
            <w:pPr>
              <w:pStyle w:val="Abstracttext"/>
              <w:spacing w:line="276" w:lineRule="auto"/>
              <w:rPr>
                <w:color w:val="auto"/>
              </w:rPr>
            </w:pPr>
            <w:r w:rsidRPr="00D64F8C">
              <w:rPr>
                <w:color w:val="auto"/>
              </w:rPr>
              <w:t xml:space="preserve">Author’s calculation - Calculated as the average of the 5 major trading partners average GDP per capita divided by SSA average GDP per capita. The resulting </w:t>
            </w:r>
            <w:r w:rsidR="008A438C" w:rsidRPr="00D64F8C">
              <w:rPr>
                <w:color w:val="auto"/>
              </w:rPr>
              <w:t>weighted</w:t>
            </w:r>
            <w:r w:rsidR="008A438C">
              <w:rPr>
                <w:color w:val="auto"/>
              </w:rPr>
              <w:t xml:space="preserve"> index is </w:t>
            </w:r>
            <w:r w:rsidRPr="00D64F8C">
              <w:rPr>
                <w:color w:val="auto"/>
              </w:rPr>
              <w:t>used to divide each country GDP per capita.</w:t>
            </w:r>
          </w:p>
        </w:tc>
      </w:tr>
      <w:tr w:rsidR="00B2114A" w:rsidRPr="00D64F8C" w:rsidTr="00B2114A">
        <w:tc>
          <w:tcPr>
            <w:tcW w:w="1520" w:type="dxa"/>
            <w:vAlign w:val="bottom"/>
          </w:tcPr>
          <w:p w:rsidR="00B2114A" w:rsidRPr="00D64F8C" w:rsidRDefault="00B2114A" w:rsidP="00141422">
            <w:pPr>
              <w:pStyle w:val="Abstracttext"/>
              <w:spacing w:line="276" w:lineRule="auto"/>
              <w:rPr>
                <w:color w:val="auto"/>
              </w:rPr>
            </w:pPr>
            <w:r w:rsidRPr="00D64F8C">
              <w:rPr>
                <w:color w:val="auto"/>
              </w:rPr>
              <w:t>PSC</w:t>
            </w:r>
          </w:p>
          <w:p w:rsidR="00B2114A" w:rsidRPr="00D64F8C" w:rsidRDefault="00B2114A" w:rsidP="00141422">
            <w:pPr>
              <w:pStyle w:val="Abstracttext"/>
              <w:spacing w:line="276" w:lineRule="auto"/>
              <w:rPr>
                <w:color w:val="auto"/>
              </w:rPr>
            </w:pPr>
          </w:p>
          <w:p w:rsidR="00404651" w:rsidRPr="00D64F8C" w:rsidRDefault="00404651" w:rsidP="00141422">
            <w:pPr>
              <w:pStyle w:val="Abstracttext"/>
              <w:spacing w:line="276" w:lineRule="auto"/>
              <w:rPr>
                <w:color w:val="auto"/>
              </w:rPr>
            </w:pPr>
          </w:p>
          <w:p w:rsidR="00B2114A" w:rsidRPr="00D64F8C" w:rsidRDefault="00B2114A" w:rsidP="00141422">
            <w:pPr>
              <w:pStyle w:val="Abstracttext"/>
              <w:spacing w:line="276" w:lineRule="auto"/>
              <w:rPr>
                <w:color w:val="auto"/>
              </w:rPr>
            </w:pPr>
          </w:p>
        </w:tc>
        <w:tc>
          <w:tcPr>
            <w:tcW w:w="2540" w:type="dxa"/>
            <w:vAlign w:val="bottom"/>
          </w:tcPr>
          <w:p w:rsidR="00B2114A" w:rsidRPr="00D64F8C" w:rsidRDefault="00B2114A" w:rsidP="00141422">
            <w:pPr>
              <w:pStyle w:val="Abstracttext"/>
              <w:spacing w:line="276" w:lineRule="auto"/>
              <w:rPr>
                <w:color w:val="auto"/>
              </w:rPr>
            </w:pPr>
            <w:r w:rsidRPr="00D64F8C">
              <w:rPr>
                <w:color w:val="auto"/>
              </w:rPr>
              <w:lastRenderedPageBreak/>
              <w:t xml:space="preserve">Domestic credit to private sector (% of </w:t>
            </w:r>
            <w:r w:rsidRPr="00D64F8C">
              <w:rPr>
                <w:color w:val="auto"/>
              </w:rPr>
              <w:lastRenderedPageBreak/>
              <w:t>GDP)</w:t>
            </w:r>
          </w:p>
          <w:p w:rsidR="00B2114A" w:rsidRPr="00D64F8C" w:rsidRDefault="00B2114A" w:rsidP="00141422">
            <w:pPr>
              <w:pStyle w:val="Abstracttext"/>
              <w:spacing w:line="276" w:lineRule="auto"/>
              <w:rPr>
                <w:color w:val="auto"/>
              </w:rPr>
            </w:pPr>
          </w:p>
        </w:tc>
        <w:tc>
          <w:tcPr>
            <w:tcW w:w="4936" w:type="dxa"/>
            <w:vAlign w:val="bottom"/>
          </w:tcPr>
          <w:p w:rsidR="00B2114A" w:rsidRPr="00D64F8C" w:rsidRDefault="00B2114A" w:rsidP="00141422">
            <w:pPr>
              <w:pStyle w:val="Abstracttext"/>
              <w:spacing w:line="276" w:lineRule="auto"/>
              <w:rPr>
                <w:color w:val="auto"/>
              </w:rPr>
            </w:pPr>
            <w:r w:rsidRPr="00D64F8C">
              <w:rPr>
                <w:color w:val="auto"/>
              </w:rPr>
              <w:lastRenderedPageBreak/>
              <w:t>International Financial Statistics – IMF</w:t>
            </w:r>
          </w:p>
          <w:p w:rsidR="00B2114A" w:rsidRPr="00D64F8C" w:rsidRDefault="00B2114A" w:rsidP="00141422">
            <w:pPr>
              <w:pStyle w:val="Abstracttext"/>
              <w:spacing w:line="276" w:lineRule="auto"/>
              <w:rPr>
                <w:color w:val="auto"/>
              </w:rPr>
            </w:pPr>
          </w:p>
          <w:p w:rsidR="00B2114A" w:rsidRPr="00D64F8C" w:rsidRDefault="00B2114A" w:rsidP="00141422">
            <w:pPr>
              <w:pStyle w:val="Abstracttext"/>
              <w:spacing w:line="276" w:lineRule="auto"/>
              <w:rPr>
                <w:color w:val="auto"/>
              </w:rPr>
            </w:pPr>
          </w:p>
          <w:p w:rsidR="00B2114A" w:rsidRPr="00D64F8C" w:rsidRDefault="00B2114A" w:rsidP="00141422">
            <w:pPr>
              <w:pStyle w:val="Abstracttext"/>
              <w:spacing w:line="276" w:lineRule="auto"/>
              <w:rPr>
                <w:color w:val="auto"/>
              </w:rPr>
            </w:pPr>
          </w:p>
        </w:tc>
      </w:tr>
      <w:tr w:rsidR="00D64F8C" w:rsidRPr="00D64F8C" w:rsidTr="002E3031">
        <w:tc>
          <w:tcPr>
            <w:tcW w:w="1520" w:type="dxa"/>
            <w:vAlign w:val="bottom"/>
          </w:tcPr>
          <w:p w:rsidR="00B2114A" w:rsidRPr="00D64F8C" w:rsidRDefault="00B2114A" w:rsidP="00141422">
            <w:pPr>
              <w:pStyle w:val="Abstracttext"/>
              <w:spacing w:line="276" w:lineRule="auto"/>
              <w:rPr>
                <w:color w:val="auto"/>
              </w:rPr>
            </w:pPr>
            <w:r w:rsidRPr="00D64F8C">
              <w:rPr>
                <w:color w:val="auto"/>
              </w:rPr>
              <w:lastRenderedPageBreak/>
              <w:t>POP</w:t>
            </w:r>
          </w:p>
          <w:p w:rsidR="00B2114A" w:rsidRPr="00D64F8C" w:rsidRDefault="00B2114A" w:rsidP="00141422">
            <w:pPr>
              <w:pStyle w:val="Abstracttext"/>
              <w:spacing w:line="276" w:lineRule="auto"/>
              <w:rPr>
                <w:color w:val="auto"/>
              </w:rPr>
            </w:pPr>
          </w:p>
          <w:p w:rsidR="0043557B" w:rsidRPr="00D64F8C" w:rsidRDefault="0043557B" w:rsidP="00141422">
            <w:pPr>
              <w:pStyle w:val="Abstracttext"/>
              <w:spacing w:line="276" w:lineRule="auto"/>
              <w:rPr>
                <w:color w:val="auto"/>
              </w:rPr>
            </w:pPr>
          </w:p>
        </w:tc>
        <w:tc>
          <w:tcPr>
            <w:tcW w:w="2540" w:type="dxa"/>
            <w:vAlign w:val="bottom"/>
          </w:tcPr>
          <w:p w:rsidR="00B2114A" w:rsidRPr="00D64F8C" w:rsidRDefault="00B2114A" w:rsidP="00141422">
            <w:pPr>
              <w:pStyle w:val="Abstracttext"/>
              <w:spacing w:line="276" w:lineRule="auto"/>
              <w:rPr>
                <w:color w:val="auto"/>
              </w:rPr>
            </w:pPr>
            <w:r w:rsidRPr="00D64F8C">
              <w:rPr>
                <w:color w:val="auto"/>
              </w:rPr>
              <w:t>Population growth (annual %)</w:t>
            </w:r>
          </w:p>
          <w:p w:rsidR="0043557B" w:rsidRPr="00D64F8C" w:rsidRDefault="0043557B" w:rsidP="00141422">
            <w:pPr>
              <w:pStyle w:val="Abstracttext"/>
              <w:spacing w:line="276" w:lineRule="auto"/>
              <w:rPr>
                <w:color w:val="auto"/>
              </w:rPr>
            </w:pPr>
          </w:p>
        </w:tc>
        <w:tc>
          <w:tcPr>
            <w:tcW w:w="4936" w:type="dxa"/>
            <w:vAlign w:val="bottom"/>
          </w:tcPr>
          <w:p w:rsidR="00B2114A" w:rsidRPr="00D64F8C" w:rsidRDefault="00B2114A" w:rsidP="00141422">
            <w:pPr>
              <w:pStyle w:val="Abstracttext"/>
              <w:spacing w:line="276" w:lineRule="auto"/>
              <w:rPr>
                <w:color w:val="auto"/>
              </w:rPr>
            </w:pPr>
            <w:r w:rsidRPr="00D64F8C">
              <w:rPr>
                <w:color w:val="auto"/>
              </w:rPr>
              <w:t>World Bank – World Development Indicators</w:t>
            </w:r>
          </w:p>
          <w:p w:rsidR="00B2114A" w:rsidRPr="00D64F8C" w:rsidRDefault="00B2114A" w:rsidP="00141422">
            <w:pPr>
              <w:pStyle w:val="Abstracttext"/>
              <w:spacing w:line="276" w:lineRule="auto"/>
              <w:rPr>
                <w:color w:val="auto"/>
              </w:rPr>
            </w:pPr>
          </w:p>
          <w:p w:rsidR="0043557B" w:rsidRPr="00D64F8C" w:rsidRDefault="0043557B" w:rsidP="00141422">
            <w:pPr>
              <w:pStyle w:val="Abstracttext"/>
              <w:spacing w:line="276" w:lineRule="auto"/>
              <w:rPr>
                <w:color w:val="auto"/>
              </w:rPr>
            </w:pPr>
          </w:p>
        </w:tc>
      </w:tr>
      <w:tr w:rsidR="00D64F8C" w:rsidRPr="00D64F8C" w:rsidTr="002E3031">
        <w:trPr>
          <w:trHeight w:val="249"/>
        </w:trPr>
        <w:tc>
          <w:tcPr>
            <w:tcW w:w="1520" w:type="dxa"/>
            <w:tcBorders>
              <w:bottom w:val="double" w:sz="4" w:space="0" w:color="auto"/>
            </w:tcBorders>
            <w:vAlign w:val="bottom"/>
          </w:tcPr>
          <w:p w:rsidR="00B2114A" w:rsidRPr="00D64F8C" w:rsidRDefault="00B2114A" w:rsidP="00141422">
            <w:pPr>
              <w:pStyle w:val="Abstracttext"/>
              <w:spacing w:line="276" w:lineRule="auto"/>
              <w:rPr>
                <w:color w:val="auto"/>
              </w:rPr>
            </w:pPr>
            <w:r w:rsidRPr="00D64F8C">
              <w:rPr>
                <w:color w:val="auto"/>
              </w:rPr>
              <w:t xml:space="preserve">TOT </w:t>
            </w:r>
          </w:p>
          <w:p w:rsidR="0043557B" w:rsidRPr="00D64F8C" w:rsidRDefault="0043557B" w:rsidP="00141422">
            <w:pPr>
              <w:pStyle w:val="Abstracttext"/>
              <w:spacing w:line="276" w:lineRule="auto"/>
              <w:rPr>
                <w:color w:val="auto"/>
              </w:rPr>
            </w:pPr>
          </w:p>
        </w:tc>
        <w:tc>
          <w:tcPr>
            <w:tcW w:w="2540" w:type="dxa"/>
            <w:tcBorders>
              <w:bottom w:val="double" w:sz="4" w:space="0" w:color="auto"/>
            </w:tcBorders>
            <w:vAlign w:val="bottom"/>
          </w:tcPr>
          <w:p w:rsidR="00B2114A" w:rsidRPr="00D64F8C" w:rsidRDefault="00B2114A" w:rsidP="00141422">
            <w:pPr>
              <w:pStyle w:val="Abstracttext"/>
              <w:spacing w:line="276" w:lineRule="auto"/>
              <w:rPr>
                <w:color w:val="auto"/>
              </w:rPr>
            </w:pPr>
            <w:r w:rsidRPr="00D64F8C">
              <w:rPr>
                <w:color w:val="auto"/>
              </w:rPr>
              <w:t>Terms of Trade Index</w:t>
            </w:r>
          </w:p>
          <w:p w:rsidR="0043557B" w:rsidRPr="00D64F8C" w:rsidRDefault="0043557B" w:rsidP="00141422">
            <w:pPr>
              <w:pStyle w:val="Abstracttext"/>
              <w:spacing w:line="276" w:lineRule="auto"/>
              <w:rPr>
                <w:color w:val="auto"/>
              </w:rPr>
            </w:pPr>
          </w:p>
        </w:tc>
        <w:tc>
          <w:tcPr>
            <w:tcW w:w="4936" w:type="dxa"/>
            <w:tcBorders>
              <w:bottom w:val="double" w:sz="4" w:space="0" w:color="auto"/>
            </w:tcBorders>
            <w:vAlign w:val="bottom"/>
          </w:tcPr>
          <w:p w:rsidR="0043557B" w:rsidRDefault="00B2114A" w:rsidP="002E3031">
            <w:pPr>
              <w:pStyle w:val="Abstracttext"/>
              <w:spacing w:line="276" w:lineRule="auto"/>
              <w:rPr>
                <w:color w:val="auto"/>
              </w:rPr>
            </w:pPr>
            <w:r w:rsidRPr="00D64F8C">
              <w:rPr>
                <w:color w:val="auto"/>
              </w:rPr>
              <w:t>UNCTAD data base</w:t>
            </w:r>
          </w:p>
          <w:p w:rsidR="002E3031" w:rsidRPr="00D64F8C" w:rsidRDefault="002E3031" w:rsidP="002E3031">
            <w:pPr>
              <w:pStyle w:val="Abstracttext"/>
              <w:spacing w:line="276" w:lineRule="auto"/>
              <w:rPr>
                <w:color w:val="auto"/>
              </w:rPr>
            </w:pPr>
          </w:p>
        </w:tc>
      </w:tr>
    </w:tbl>
    <w:p w:rsidR="002C311E" w:rsidRPr="00D64F8C" w:rsidRDefault="002C311E" w:rsidP="00141422">
      <w:pPr>
        <w:pStyle w:val="Abstracttext"/>
        <w:spacing w:line="276" w:lineRule="auto"/>
        <w:ind w:left="360"/>
        <w:rPr>
          <w:color w:val="auto"/>
        </w:rPr>
      </w:pPr>
    </w:p>
    <w:sectPr w:rsidR="002C311E" w:rsidRPr="00D64F8C" w:rsidSect="00577C8F">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95" w:rsidRDefault="00105B95" w:rsidP="00D32492">
      <w:pPr>
        <w:spacing w:after="0" w:line="240" w:lineRule="auto"/>
      </w:pPr>
      <w:r>
        <w:separator/>
      </w:r>
    </w:p>
  </w:endnote>
  <w:endnote w:type="continuationSeparator" w:id="0">
    <w:p w:rsidR="00105B95" w:rsidRDefault="00105B95" w:rsidP="00D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64024"/>
      <w:docPartObj>
        <w:docPartGallery w:val="Page Numbers (Bottom of Page)"/>
        <w:docPartUnique/>
      </w:docPartObj>
    </w:sdtPr>
    <w:sdtEndPr>
      <w:rPr>
        <w:noProof/>
      </w:rPr>
    </w:sdtEndPr>
    <w:sdtContent>
      <w:p w:rsidR="0035796B" w:rsidRDefault="0035796B">
        <w:pPr>
          <w:pStyle w:val="Footer"/>
          <w:jc w:val="center"/>
        </w:pPr>
        <w:r>
          <w:fldChar w:fldCharType="begin"/>
        </w:r>
        <w:r>
          <w:instrText xml:space="preserve"> PAGE   \* MERGEFORMAT </w:instrText>
        </w:r>
        <w:r>
          <w:fldChar w:fldCharType="separate"/>
        </w:r>
        <w:r w:rsidR="003E704C">
          <w:rPr>
            <w:noProof/>
          </w:rPr>
          <w:t>1</w:t>
        </w:r>
        <w:r>
          <w:rPr>
            <w:noProof/>
          </w:rPr>
          <w:fldChar w:fldCharType="end"/>
        </w:r>
      </w:p>
    </w:sdtContent>
  </w:sdt>
  <w:p w:rsidR="0035796B" w:rsidRDefault="0035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95" w:rsidRDefault="00105B95" w:rsidP="00D32492">
      <w:pPr>
        <w:spacing w:after="0" w:line="240" w:lineRule="auto"/>
      </w:pPr>
      <w:r>
        <w:separator/>
      </w:r>
    </w:p>
  </w:footnote>
  <w:footnote w:type="continuationSeparator" w:id="0">
    <w:p w:rsidR="00105B95" w:rsidRDefault="00105B95" w:rsidP="00D32492">
      <w:pPr>
        <w:spacing w:after="0" w:line="240" w:lineRule="auto"/>
      </w:pPr>
      <w:r>
        <w:continuationSeparator/>
      </w:r>
    </w:p>
  </w:footnote>
  <w:footnote w:id="1">
    <w:p w:rsidR="0035796B" w:rsidRPr="00155DCB" w:rsidRDefault="0035796B">
      <w:pPr>
        <w:pStyle w:val="FootnoteText"/>
        <w:rPr>
          <w:lang w:val="en-US"/>
        </w:rPr>
      </w:pPr>
      <w:r>
        <w:rPr>
          <w:rStyle w:val="FootnoteReference"/>
        </w:rPr>
        <w:footnoteRef/>
      </w:r>
      <w:r>
        <w:t xml:space="preserve"> </w:t>
      </w:r>
      <w:r>
        <w:rPr>
          <w:lang w:val="en-US"/>
        </w:rPr>
        <w:t>Senior Economist at the COMESA Monetary Institute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E41"/>
    <w:multiLevelType w:val="hybridMultilevel"/>
    <w:tmpl w:val="258E4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250DF5"/>
    <w:multiLevelType w:val="hybridMultilevel"/>
    <w:tmpl w:val="47A0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C3D84"/>
    <w:multiLevelType w:val="multilevel"/>
    <w:tmpl w:val="823E06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D47916"/>
    <w:multiLevelType w:val="multilevel"/>
    <w:tmpl w:val="496071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66289F"/>
    <w:multiLevelType w:val="hybridMultilevel"/>
    <w:tmpl w:val="926A83EE"/>
    <w:lvl w:ilvl="0" w:tplc="1C9E2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17633"/>
    <w:multiLevelType w:val="hybridMultilevel"/>
    <w:tmpl w:val="C4883A6E"/>
    <w:lvl w:ilvl="0" w:tplc="A07E90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3A3457"/>
    <w:multiLevelType w:val="multilevel"/>
    <w:tmpl w:val="45FE747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760165"/>
    <w:multiLevelType w:val="hybridMultilevel"/>
    <w:tmpl w:val="63BCBAC8"/>
    <w:lvl w:ilvl="0" w:tplc="68748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40976"/>
    <w:multiLevelType w:val="multilevel"/>
    <w:tmpl w:val="3C3E7E28"/>
    <w:lvl w:ilvl="0">
      <w:start w:val="1"/>
      <w:numFmt w:val="decimal"/>
      <w:lvlText w:val="%1."/>
      <w:lvlJc w:val="left"/>
      <w:pPr>
        <w:tabs>
          <w:tab w:val="num" w:pos="720"/>
        </w:tabs>
        <w:ind w:left="720" w:hanging="720"/>
      </w:pPr>
    </w:lvl>
    <w:lvl w:ilvl="1">
      <w:start w:val="1"/>
      <w:numFmt w:val="decimal"/>
      <w:pStyle w:val="HeadingNumber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1"/>
  </w:num>
  <w:num w:numId="4">
    <w:abstractNumId w:val="3"/>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0D"/>
    <w:rsid w:val="00005401"/>
    <w:rsid w:val="00011B94"/>
    <w:rsid w:val="00012421"/>
    <w:rsid w:val="000145B5"/>
    <w:rsid w:val="0001480F"/>
    <w:rsid w:val="00014970"/>
    <w:rsid w:val="000163D8"/>
    <w:rsid w:val="00021323"/>
    <w:rsid w:val="00022517"/>
    <w:rsid w:val="000246FF"/>
    <w:rsid w:val="00031E9C"/>
    <w:rsid w:val="00031ECD"/>
    <w:rsid w:val="00032E23"/>
    <w:rsid w:val="00034430"/>
    <w:rsid w:val="000423FF"/>
    <w:rsid w:val="000467A9"/>
    <w:rsid w:val="00047212"/>
    <w:rsid w:val="00056440"/>
    <w:rsid w:val="00061474"/>
    <w:rsid w:val="00061EFC"/>
    <w:rsid w:val="000654B1"/>
    <w:rsid w:val="00066B9A"/>
    <w:rsid w:val="000672F2"/>
    <w:rsid w:val="0007355E"/>
    <w:rsid w:val="000771F5"/>
    <w:rsid w:val="000801F6"/>
    <w:rsid w:val="0008201C"/>
    <w:rsid w:val="000821D0"/>
    <w:rsid w:val="00095AD1"/>
    <w:rsid w:val="00096BCC"/>
    <w:rsid w:val="00097173"/>
    <w:rsid w:val="000A213F"/>
    <w:rsid w:val="000A2395"/>
    <w:rsid w:val="000A45CB"/>
    <w:rsid w:val="000B1143"/>
    <w:rsid w:val="000B3217"/>
    <w:rsid w:val="000B3DBB"/>
    <w:rsid w:val="000B638A"/>
    <w:rsid w:val="000C196F"/>
    <w:rsid w:val="000C2308"/>
    <w:rsid w:val="000C6E84"/>
    <w:rsid w:val="000D0276"/>
    <w:rsid w:val="000D0512"/>
    <w:rsid w:val="000D6599"/>
    <w:rsid w:val="000D7742"/>
    <w:rsid w:val="000E2A6E"/>
    <w:rsid w:val="000E6825"/>
    <w:rsid w:val="000F554F"/>
    <w:rsid w:val="0010110A"/>
    <w:rsid w:val="00102BD6"/>
    <w:rsid w:val="00105B95"/>
    <w:rsid w:val="00105F2E"/>
    <w:rsid w:val="00116438"/>
    <w:rsid w:val="00121981"/>
    <w:rsid w:val="001226BE"/>
    <w:rsid w:val="00125956"/>
    <w:rsid w:val="00126115"/>
    <w:rsid w:val="0012645C"/>
    <w:rsid w:val="001276DA"/>
    <w:rsid w:val="0013515E"/>
    <w:rsid w:val="00141422"/>
    <w:rsid w:val="001415F7"/>
    <w:rsid w:val="001426F9"/>
    <w:rsid w:val="00155763"/>
    <w:rsid w:val="00155DCB"/>
    <w:rsid w:val="0016524F"/>
    <w:rsid w:val="00167C4E"/>
    <w:rsid w:val="00176BE9"/>
    <w:rsid w:val="00187395"/>
    <w:rsid w:val="00190797"/>
    <w:rsid w:val="00190A2C"/>
    <w:rsid w:val="00191157"/>
    <w:rsid w:val="00192B56"/>
    <w:rsid w:val="00195B9F"/>
    <w:rsid w:val="001A33EF"/>
    <w:rsid w:val="001A6E25"/>
    <w:rsid w:val="001A779C"/>
    <w:rsid w:val="001B4C51"/>
    <w:rsid w:val="001B562D"/>
    <w:rsid w:val="001C0DAA"/>
    <w:rsid w:val="001C5130"/>
    <w:rsid w:val="001D6DD0"/>
    <w:rsid w:val="001D7EF6"/>
    <w:rsid w:val="001E0C55"/>
    <w:rsid w:val="001F0E65"/>
    <w:rsid w:val="001F2D78"/>
    <w:rsid w:val="001F5239"/>
    <w:rsid w:val="00205085"/>
    <w:rsid w:val="0023402B"/>
    <w:rsid w:val="00234365"/>
    <w:rsid w:val="00236FE0"/>
    <w:rsid w:val="00237AB6"/>
    <w:rsid w:val="00241984"/>
    <w:rsid w:val="00242321"/>
    <w:rsid w:val="002472FF"/>
    <w:rsid w:val="00264277"/>
    <w:rsid w:val="00264E8C"/>
    <w:rsid w:val="002653C6"/>
    <w:rsid w:val="00271768"/>
    <w:rsid w:val="00271DBD"/>
    <w:rsid w:val="00274DBB"/>
    <w:rsid w:val="0029025B"/>
    <w:rsid w:val="002A6F87"/>
    <w:rsid w:val="002A7212"/>
    <w:rsid w:val="002A73E5"/>
    <w:rsid w:val="002B4336"/>
    <w:rsid w:val="002B4EFC"/>
    <w:rsid w:val="002B58BD"/>
    <w:rsid w:val="002B6D29"/>
    <w:rsid w:val="002C311E"/>
    <w:rsid w:val="002D5CCB"/>
    <w:rsid w:val="002E0A5B"/>
    <w:rsid w:val="002E3031"/>
    <w:rsid w:val="002E369F"/>
    <w:rsid w:val="002E39F0"/>
    <w:rsid w:val="002F2748"/>
    <w:rsid w:val="002F779D"/>
    <w:rsid w:val="003153AD"/>
    <w:rsid w:val="0031588A"/>
    <w:rsid w:val="00315E67"/>
    <w:rsid w:val="00316A96"/>
    <w:rsid w:val="003246BE"/>
    <w:rsid w:val="0032534A"/>
    <w:rsid w:val="00333B63"/>
    <w:rsid w:val="003346B4"/>
    <w:rsid w:val="00335A14"/>
    <w:rsid w:val="00336C8D"/>
    <w:rsid w:val="003371AE"/>
    <w:rsid w:val="00345B82"/>
    <w:rsid w:val="00346621"/>
    <w:rsid w:val="00347EF0"/>
    <w:rsid w:val="003513C4"/>
    <w:rsid w:val="00351DFC"/>
    <w:rsid w:val="003543F5"/>
    <w:rsid w:val="003567E3"/>
    <w:rsid w:val="0035796B"/>
    <w:rsid w:val="0036500E"/>
    <w:rsid w:val="00375940"/>
    <w:rsid w:val="003765F8"/>
    <w:rsid w:val="00380D9E"/>
    <w:rsid w:val="00383A5F"/>
    <w:rsid w:val="00384A3B"/>
    <w:rsid w:val="00394D66"/>
    <w:rsid w:val="00395BF8"/>
    <w:rsid w:val="003A5446"/>
    <w:rsid w:val="003A5D5C"/>
    <w:rsid w:val="003B24D5"/>
    <w:rsid w:val="003B38F4"/>
    <w:rsid w:val="003C65D2"/>
    <w:rsid w:val="003D1361"/>
    <w:rsid w:val="003E4CB6"/>
    <w:rsid w:val="003E704C"/>
    <w:rsid w:val="003F1F53"/>
    <w:rsid w:val="003F3BD2"/>
    <w:rsid w:val="0040319A"/>
    <w:rsid w:val="00404651"/>
    <w:rsid w:val="00405632"/>
    <w:rsid w:val="0042105A"/>
    <w:rsid w:val="00425E6F"/>
    <w:rsid w:val="004342B9"/>
    <w:rsid w:val="0043557B"/>
    <w:rsid w:val="00436912"/>
    <w:rsid w:val="0044329B"/>
    <w:rsid w:val="0045020E"/>
    <w:rsid w:val="00453B16"/>
    <w:rsid w:val="004547EE"/>
    <w:rsid w:val="00457DD5"/>
    <w:rsid w:val="004636D8"/>
    <w:rsid w:val="00465196"/>
    <w:rsid w:val="0046573F"/>
    <w:rsid w:val="00471C36"/>
    <w:rsid w:val="00471F2A"/>
    <w:rsid w:val="004800A6"/>
    <w:rsid w:val="0048324B"/>
    <w:rsid w:val="00486E0A"/>
    <w:rsid w:val="00491CA5"/>
    <w:rsid w:val="00492FC0"/>
    <w:rsid w:val="0049635D"/>
    <w:rsid w:val="004A0457"/>
    <w:rsid w:val="004A4FFA"/>
    <w:rsid w:val="004B0868"/>
    <w:rsid w:val="004B1ABD"/>
    <w:rsid w:val="004B2917"/>
    <w:rsid w:val="004B3DFA"/>
    <w:rsid w:val="004B52EA"/>
    <w:rsid w:val="004B7F14"/>
    <w:rsid w:val="004C1714"/>
    <w:rsid w:val="004C7C60"/>
    <w:rsid w:val="004D0834"/>
    <w:rsid w:val="004D265B"/>
    <w:rsid w:val="004D3F1B"/>
    <w:rsid w:val="004D698E"/>
    <w:rsid w:val="004E1E52"/>
    <w:rsid w:val="004E4F4B"/>
    <w:rsid w:val="004E7362"/>
    <w:rsid w:val="004F2419"/>
    <w:rsid w:val="004F3100"/>
    <w:rsid w:val="004F3213"/>
    <w:rsid w:val="004F5464"/>
    <w:rsid w:val="004F7507"/>
    <w:rsid w:val="004F7EA0"/>
    <w:rsid w:val="00506495"/>
    <w:rsid w:val="00506E8C"/>
    <w:rsid w:val="00507A2F"/>
    <w:rsid w:val="005136BF"/>
    <w:rsid w:val="00516494"/>
    <w:rsid w:val="00520B57"/>
    <w:rsid w:val="00524028"/>
    <w:rsid w:val="005270C5"/>
    <w:rsid w:val="005300D8"/>
    <w:rsid w:val="0053138A"/>
    <w:rsid w:val="00531CB8"/>
    <w:rsid w:val="00534B24"/>
    <w:rsid w:val="005404B5"/>
    <w:rsid w:val="00542DBC"/>
    <w:rsid w:val="005430B0"/>
    <w:rsid w:val="005449E7"/>
    <w:rsid w:val="00546D7E"/>
    <w:rsid w:val="00547E0F"/>
    <w:rsid w:val="0055534D"/>
    <w:rsid w:val="0056114E"/>
    <w:rsid w:val="00572D11"/>
    <w:rsid w:val="00575712"/>
    <w:rsid w:val="00577C8F"/>
    <w:rsid w:val="005820A6"/>
    <w:rsid w:val="00586692"/>
    <w:rsid w:val="005942D5"/>
    <w:rsid w:val="005975B7"/>
    <w:rsid w:val="005A082B"/>
    <w:rsid w:val="005A196B"/>
    <w:rsid w:val="005A7BEA"/>
    <w:rsid w:val="005B42DD"/>
    <w:rsid w:val="005B68A5"/>
    <w:rsid w:val="005C4903"/>
    <w:rsid w:val="005C6A67"/>
    <w:rsid w:val="005D0ABB"/>
    <w:rsid w:val="005D21D1"/>
    <w:rsid w:val="005D2937"/>
    <w:rsid w:val="005D3416"/>
    <w:rsid w:val="005D6061"/>
    <w:rsid w:val="005E7E4E"/>
    <w:rsid w:val="005F1DA8"/>
    <w:rsid w:val="005F74AC"/>
    <w:rsid w:val="005F759A"/>
    <w:rsid w:val="00601480"/>
    <w:rsid w:val="00606B7C"/>
    <w:rsid w:val="00610015"/>
    <w:rsid w:val="0061706F"/>
    <w:rsid w:val="006173E4"/>
    <w:rsid w:val="00617F2C"/>
    <w:rsid w:val="00621620"/>
    <w:rsid w:val="00621F9C"/>
    <w:rsid w:val="00626536"/>
    <w:rsid w:val="0063235B"/>
    <w:rsid w:val="00643423"/>
    <w:rsid w:val="0064678B"/>
    <w:rsid w:val="00651223"/>
    <w:rsid w:val="0065360E"/>
    <w:rsid w:val="00661976"/>
    <w:rsid w:val="00661F4E"/>
    <w:rsid w:val="0067059B"/>
    <w:rsid w:val="0068111C"/>
    <w:rsid w:val="00681977"/>
    <w:rsid w:val="0068367A"/>
    <w:rsid w:val="00690BDB"/>
    <w:rsid w:val="00692EF5"/>
    <w:rsid w:val="006A2058"/>
    <w:rsid w:val="006A3C4B"/>
    <w:rsid w:val="006B12DE"/>
    <w:rsid w:val="006B2963"/>
    <w:rsid w:val="006B3F1F"/>
    <w:rsid w:val="006C34D3"/>
    <w:rsid w:val="006C7A68"/>
    <w:rsid w:val="006D1182"/>
    <w:rsid w:val="006D4211"/>
    <w:rsid w:val="006D6229"/>
    <w:rsid w:val="006D64FD"/>
    <w:rsid w:val="006D6740"/>
    <w:rsid w:val="006E0BB1"/>
    <w:rsid w:val="006E30B9"/>
    <w:rsid w:val="006F1C8E"/>
    <w:rsid w:val="006F3D03"/>
    <w:rsid w:val="006F6843"/>
    <w:rsid w:val="00701215"/>
    <w:rsid w:val="00702C5C"/>
    <w:rsid w:val="0070385C"/>
    <w:rsid w:val="00704A03"/>
    <w:rsid w:val="007053B8"/>
    <w:rsid w:val="00716A84"/>
    <w:rsid w:val="00716D23"/>
    <w:rsid w:val="0072144F"/>
    <w:rsid w:val="00731BEC"/>
    <w:rsid w:val="00737574"/>
    <w:rsid w:val="00744361"/>
    <w:rsid w:val="00745153"/>
    <w:rsid w:val="007505C8"/>
    <w:rsid w:val="00753481"/>
    <w:rsid w:val="00753695"/>
    <w:rsid w:val="00756C3C"/>
    <w:rsid w:val="00761EAF"/>
    <w:rsid w:val="007760D9"/>
    <w:rsid w:val="0077673B"/>
    <w:rsid w:val="00776B80"/>
    <w:rsid w:val="007802E8"/>
    <w:rsid w:val="00781704"/>
    <w:rsid w:val="00782538"/>
    <w:rsid w:val="00792A86"/>
    <w:rsid w:val="00793786"/>
    <w:rsid w:val="00793CAD"/>
    <w:rsid w:val="00793DEE"/>
    <w:rsid w:val="00795C09"/>
    <w:rsid w:val="00796CF1"/>
    <w:rsid w:val="00797D67"/>
    <w:rsid w:val="007A096F"/>
    <w:rsid w:val="007A0EA8"/>
    <w:rsid w:val="007B5026"/>
    <w:rsid w:val="007C1803"/>
    <w:rsid w:val="007C39C0"/>
    <w:rsid w:val="007C3A3A"/>
    <w:rsid w:val="007C40D4"/>
    <w:rsid w:val="007C5767"/>
    <w:rsid w:val="007C71B2"/>
    <w:rsid w:val="007C7FBC"/>
    <w:rsid w:val="007D2A9B"/>
    <w:rsid w:val="007D3A32"/>
    <w:rsid w:val="007D5312"/>
    <w:rsid w:val="007D6398"/>
    <w:rsid w:val="007E2043"/>
    <w:rsid w:val="007F49C2"/>
    <w:rsid w:val="007F55BB"/>
    <w:rsid w:val="007F5F0E"/>
    <w:rsid w:val="0080024B"/>
    <w:rsid w:val="00804B35"/>
    <w:rsid w:val="0081342D"/>
    <w:rsid w:val="00814F0D"/>
    <w:rsid w:val="00824EB6"/>
    <w:rsid w:val="0083235C"/>
    <w:rsid w:val="00834AAE"/>
    <w:rsid w:val="00852D81"/>
    <w:rsid w:val="008613F0"/>
    <w:rsid w:val="00863FDF"/>
    <w:rsid w:val="00864FE5"/>
    <w:rsid w:val="0086726D"/>
    <w:rsid w:val="00882479"/>
    <w:rsid w:val="008A2BC2"/>
    <w:rsid w:val="008A438C"/>
    <w:rsid w:val="008A6450"/>
    <w:rsid w:val="008A7D48"/>
    <w:rsid w:val="008B6084"/>
    <w:rsid w:val="008B7ED6"/>
    <w:rsid w:val="008C0CA6"/>
    <w:rsid w:val="008C244C"/>
    <w:rsid w:val="008C5728"/>
    <w:rsid w:val="008D351E"/>
    <w:rsid w:val="008E369C"/>
    <w:rsid w:val="008F30D0"/>
    <w:rsid w:val="00902103"/>
    <w:rsid w:val="00904814"/>
    <w:rsid w:val="00911EAC"/>
    <w:rsid w:val="009141A6"/>
    <w:rsid w:val="009212EF"/>
    <w:rsid w:val="00922C03"/>
    <w:rsid w:val="00924305"/>
    <w:rsid w:val="00924CEB"/>
    <w:rsid w:val="00933442"/>
    <w:rsid w:val="009378CF"/>
    <w:rsid w:val="0094153E"/>
    <w:rsid w:val="00946255"/>
    <w:rsid w:val="009469A1"/>
    <w:rsid w:val="0095050C"/>
    <w:rsid w:val="00950CC0"/>
    <w:rsid w:val="00954F6D"/>
    <w:rsid w:val="00956324"/>
    <w:rsid w:val="009568E5"/>
    <w:rsid w:val="009650E3"/>
    <w:rsid w:val="0098013D"/>
    <w:rsid w:val="00984718"/>
    <w:rsid w:val="00986789"/>
    <w:rsid w:val="00991E86"/>
    <w:rsid w:val="00994AE3"/>
    <w:rsid w:val="00997E72"/>
    <w:rsid w:val="009A05B8"/>
    <w:rsid w:val="009A442C"/>
    <w:rsid w:val="009A6D87"/>
    <w:rsid w:val="009A7A66"/>
    <w:rsid w:val="009B58BA"/>
    <w:rsid w:val="009B6D3F"/>
    <w:rsid w:val="009C358A"/>
    <w:rsid w:val="009C6139"/>
    <w:rsid w:val="009C7B4B"/>
    <w:rsid w:val="009D1DC6"/>
    <w:rsid w:val="009D3A83"/>
    <w:rsid w:val="009D3ABA"/>
    <w:rsid w:val="009D450D"/>
    <w:rsid w:val="009E168E"/>
    <w:rsid w:val="009E2913"/>
    <w:rsid w:val="009E6093"/>
    <w:rsid w:val="009E65D8"/>
    <w:rsid w:val="009E734F"/>
    <w:rsid w:val="00A01DBA"/>
    <w:rsid w:val="00A03D8D"/>
    <w:rsid w:val="00A136EF"/>
    <w:rsid w:val="00A2100D"/>
    <w:rsid w:val="00A25F3D"/>
    <w:rsid w:val="00A37780"/>
    <w:rsid w:val="00A46746"/>
    <w:rsid w:val="00A50566"/>
    <w:rsid w:val="00A51597"/>
    <w:rsid w:val="00A51C10"/>
    <w:rsid w:val="00A533F8"/>
    <w:rsid w:val="00A539F8"/>
    <w:rsid w:val="00A5584C"/>
    <w:rsid w:val="00A56106"/>
    <w:rsid w:val="00A564D5"/>
    <w:rsid w:val="00A624D2"/>
    <w:rsid w:val="00A7117D"/>
    <w:rsid w:val="00A73793"/>
    <w:rsid w:val="00A83196"/>
    <w:rsid w:val="00A835E1"/>
    <w:rsid w:val="00A84FDC"/>
    <w:rsid w:val="00A91C1E"/>
    <w:rsid w:val="00A976C9"/>
    <w:rsid w:val="00AA16C5"/>
    <w:rsid w:val="00AB525A"/>
    <w:rsid w:val="00AB759F"/>
    <w:rsid w:val="00AC0200"/>
    <w:rsid w:val="00AC3BC9"/>
    <w:rsid w:val="00AC6699"/>
    <w:rsid w:val="00AC703D"/>
    <w:rsid w:val="00AE0216"/>
    <w:rsid w:val="00AE18CA"/>
    <w:rsid w:val="00AE5E40"/>
    <w:rsid w:val="00AF0B72"/>
    <w:rsid w:val="00AF24A8"/>
    <w:rsid w:val="00AF283D"/>
    <w:rsid w:val="00AF2A28"/>
    <w:rsid w:val="00AF5AA7"/>
    <w:rsid w:val="00B14FFB"/>
    <w:rsid w:val="00B175C6"/>
    <w:rsid w:val="00B17A1C"/>
    <w:rsid w:val="00B2114A"/>
    <w:rsid w:val="00B22E95"/>
    <w:rsid w:val="00B26817"/>
    <w:rsid w:val="00B268E3"/>
    <w:rsid w:val="00B26FAB"/>
    <w:rsid w:val="00B32AC8"/>
    <w:rsid w:val="00B347A5"/>
    <w:rsid w:val="00B369E8"/>
    <w:rsid w:val="00B37837"/>
    <w:rsid w:val="00B44AC1"/>
    <w:rsid w:val="00B45ADD"/>
    <w:rsid w:val="00B547DE"/>
    <w:rsid w:val="00B6197D"/>
    <w:rsid w:val="00B64213"/>
    <w:rsid w:val="00B8434F"/>
    <w:rsid w:val="00B85373"/>
    <w:rsid w:val="00B863EF"/>
    <w:rsid w:val="00B95672"/>
    <w:rsid w:val="00B95DE0"/>
    <w:rsid w:val="00BA08B1"/>
    <w:rsid w:val="00BA5246"/>
    <w:rsid w:val="00BB037E"/>
    <w:rsid w:val="00BB47CB"/>
    <w:rsid w:val="00BB4BD7"/>
    <w:rsid w:val="00BD30CD"/>
    <w:rsid w:val="00BD3F0B"/>
    <w:rsid w:val="00BE08A9"/>
    <w:rsid w:val="00BE1DEE"/>
    <w:rsid w:val="00BE5E79"/>
    <w:rsid w:val="00BE5F68"/>
    <w:rsid w:val="00BF0812"/>
    <w:rsid w:val="00BF1ECD"/>
    <w:rsid w:val="00BF4B29"/>
    <w:rsid w:val="00C00627"/>
    <w:rsid w:val="00C006A4"/>
    <w:rsid w:val="00C00AB1"/>
    <w:rsid w:val="00C10CD4"/>
    <w:rsid w:val="00C1374B"/>
    <w:rsid w:val="00C14B67"/>
    <w:rsid w:val="00C22134"/>
    <w:rsid w:val="00C224AA"/>
    <w:rsid w:val="00C242B2"/>
    <w:rsid w:val="00C300B3"/>
    <w:rsid w:val="00C3175A"/>
    <w:rsid w:val="00C41552"/>
    <w:rsid w:val="00C500A3"/>
    <w:rsid w:val="00C50FC3"/>
    <w:rsid w:val="00C529FA"/>
    <w:rsid w:val="00C543BB"/>
    <w:rsid w:val="00C701A4"/>
    <w:rsid w:val="00C729F0"/>
    <w:rsid w:val="00C75360"/>
    <w:rsid w:val="00C774B1"/>
    <w:rsid w:val="00C9387D"/>
    <w:rsid w:val="00CA0324"/>
    <w:rsid w:val="00CA5DC4"/>
    <w:rsid w:val="00CA69B1"/>
    <w:rsid w:val="00CB0575"/>
    <w:rsid w:val="00CB535E"/>
    <w:rsid w:val="00CB6D31"/>
    <w:rsid w:val="00CD0D87"/>
    <w:rsid w:val="00CD0F61"/>
    <w:rsid w:val="00CD6C9A"/>
    <w:rsid w:val="00CD7B70"/>
    <w:rsid w:val="00CE07E2"/>
    <w:rsid w:val="00CE087F"/>
    <w:rsid w:val="00CE327B"/>
    <w:rsid w:val="00CF0B26"/>
    <w:rsid w:val="00CF1EF7"/>
    <w:rsid w:val="00D0572C"/>
    <w:rsid w:val="00D06B40"/>
    <w:rsid w:val="00D07A68"/>
    <w:rsid w:val="00D07D86"/>
    <w:rsid w:val="00D10D79"/>
    <w:rsid w:val="00D206CB"/>
    <w:rsid w:val="00D25895"/>
    <w:rsid w:val="00D26ECF"/>
    <w:rsid w:val="00D32492"/>
    <w:rsid w:val="00D4109E"/>
    <w:rsid w:val="00D465E7"/>
    <w:rsid w:val="00D50EA5"/>
    <w:rsid w:val="00D51720"/>
    <w:rsid w:val="00D57F27"/>
    <w:rsid w:val="00D61A8D"/>
    <w:rsid w:val="00D626F1"/>
    <w:rsid w:val="00D62EEB"/>
    <w:rsid w:val="00D64A99"/>
    <w:rsid w:val="00D64F8C"/>
    <w:rsid w:val="00D96B27"/>
    <w:rsid w:val="00DA0183"/>
    <w:rsid w:val="00DA6BBB"/>
    <w:rsid w:val="00DB1287"/>
    <w:rsid w:val="00DB5DB1"/>
    <w:rsid w:val="00DC279B"/>
    <w:rsid w:val="00DC4F19"/>
    <w:rsid w:val="00DD196F"/>
    <w:rsid w:val="00DF0846"/>
    <w:rsid w:val="00DF38A1"/>
    <w:rsid w:val="00DF7104"/>
    <w:rsid w:val="00E027E5"/>
    <w:rsid w:val="00E05841"/>
    <w:rsid w:val="00E1166E"/>
    <w:rsid w:val="00E11999"/>
    <w:rsid w:val="00E20D7C"/>
    <w:rsid w:val="00E25603"/>
    <w:rsid w:val="00E275B8"/>
    <w:rsid w:val="00E27693"/>
    <w:rsid w:val="00E31195"/>
    <w:rsid w:val="00E34EFC"/>
    <w:rsid w:val="00E366D5"/>
    <w:rsid w:val="00E403FE"/>
    <w:rsid w:val="00E428D3"/>
    <w:rsid w:val="00E435BC"/>
    <w:rsid w:val="00E552F3"/>
    <w:rsid w:val="00E5790D"/>
    <w:rsid w:val="00E66030"/>
    <w:rsid w:val="00E67008"/>
    <w:rsid w:val="00E7060B"/>
    <w:rsid w:val="00E71C72"/>
    <w:rsid w:val="00E80E85"/>
    <w:rsid w:val="00E81B55"/>
    <w:rsid w:val="00E8608B"/>
    <w:rsid w:val="00E95801"/>
    <w:rsid w:val="00EA39A9"/>
    <w:rsid w:val="00EA3E10"/>
    <w:rsid w:val="00EA4F7A"/>
    <w:rsid w:val="00EA5DBD"/>
    <w:rsid w:val="00EB04C3"/>
    <w:rsid w:val="00EB3D95"/>
    <w:rsid w:val="00EC2647"/>
    <w:rsid w:val="00EC416A"/>
    <w:rsid w:val="00EC42B5"/>
    <w:rsid w:val="00EC4E92"/>
    <w:rsid w:val="00EC585F"/>
    <w:rsid w:val="00EC7231"/>
    <w:rsid w:val="00ED0638"/>
    <w:rsid w:val="00ED0E15"/>
    <w:rsid w:val="00ED24A1"/>
    <w:rsid w:val="00ED6043"/>
    <w:rsid w:val="00ED709B"/>
    <w:rsid w:val="00EE1B17"/>
    <w:rsid w:val="00EE3934"/>
    <w:rsid w:val="00EE56E5"/>
    <w:rsid w:val="00EF12A3"/>
    <w:rsid w:val="00EF1822"/>
    <w:rsid w:val="00F014D3"/>
    <w:rsid w:val="00F105FA"/>
    <w:rsid w:val="00F133FC"/>
    <w:rsid w:val="00F138FD"/>
    <w:rsid w:val="00F15B47"/>
    <w:rsid w:val="00F222BB"/>
    <w:rsid w:val="00F23657"/>
    <w:rsid w:val="00F31A2E"/>
    <w:rsid w:val="00F324E0"/>
    <w:rsid w:val="00F342E4"/>
    <w:rsid w:val="00F40EA2"/>
    <w:rsid w:val="00F43CFC"/>
    <w:rsid w:val="00F441E3"/>
    <w:rsid w:val="00F47273"/>
    <w:rsid w:val="00F5399A"/>
    <w:rsid w:val="00F53B6F"/>
    <w:rsid w:val="00F54638"/>
    <w:rsid w:val="00F61D8A"/>
    <w:rsid w:val="00F62CA9"/>
    <w:rsid w:val="00F64579"/>
    <w:rsid w:val="00F74068"/>
    <w:rsid w:val="00F744F7"/>
    <w:rsid w:val="00F774B8"/>
    <w:rsid w:val="00F841A7"/>
    <w:rsid w:val="00F86B66"/>
    <w:rsid w:val="00F93548"/>
    <w:rsid w:val="00F95781"/>
    <w:rsid w:val="00F95B68"/>
    <w:rsid w:val="00F96CB8"/>
    <w:rsid w:val="00FA1DAF"/>
    <w:rsid w:val="00FA1DB7"/>
    <w:rsid w:val="00FA1E73"/>
    <w:rsid w:val="00FA6692"/>
    <w:rsid w:val="00FB05F7"/>
    <w:rsid w:val="00FB5968"/>
    <w:rsid w:val="00FB61E6"/>
    <w:rsid w:val="00FC1D03"/>
    <w:rsid w:val="00FC5D2E"/>
    <w:rsid w:val="00FE3DF3"/>
    <w:rsid w:val="00FE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BDD6"/>
  <w15:chartTrackingRefBased/>
  <w15:docId w15:val="{F354F16D-B4C4-4B93-9804-6AECAF1A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38"/>
  </w:style>
  <w:style w:type="paragraph" w:styleId="Heading1">
    <w:name w:val="heading 1"/>
    <w:basedOn w:val="Normal"/>
    <w:next w:val="Normal"/>
    <w:link w:val="Heading1Char"/>
    <w:uiPriority w:val="9"/>
    <w:qFormat/>
    <w:rsid w:val="00800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0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Heading5"/>
    <w:link w:val="Heading4Char"/>
    <w:qFormat/>
    <w:rsid w:val="00D32492"/>
    <w:pPr>
      <w:keepNext/>
      <w:keepLines/>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Heading5">
    <w:name w:val="heading 5"/>
    <w:basedOn w:val="Normal"/>
    <w:next w:val="Normal"/>
    <w:link w:val="Heading5Char"/>
    <w:uiPriority w:val="9"/>
    <w:semiHidden/>
    <w:unhideWhenUsed/>
    <w:qFormat/>
    <w:rsid w:val="00D324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2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6229"/>
    <w:rPr>
      <w:rFonts w:asciiTheme="majorHAnsi" w:eastAsiaTheme="majorEastAsia" w:hAnsiTheme="majorHAnsi" w:cstheme="majorBidi"/>
      <w:color w:val="2E74B5" w:themeColor="accent1" w:themeShade="BF"/>
      <w:sz w:val="26"/>
      <w:szCs w:val="26"/>
    </w:rPr>
  </w:style>
  <w:style w:type="paragraph" w:customStyle="1" w:styleId="Titleofpaper-line1">
    <w:name w:val="Title of paper-line 1"/>
    <w:basedOn w:val="BodyText"/>
    <w:link w:val="Titleofpaper-line1Char"/>
    <w:qFormat/>
    <w:rsid w:val="00C41552"/>
    <w:pPr>
      <w:autoSpaceDE w:val="0"/>
      <w:autoSpaceDN w:val="0"/>
      <w:adjustRightInd w:val="0"/>
      <w:spacing w:after="0" w:line="240" w:lineRule="auto"/>
      <w:jc w:val="center"/>
      <w:textAlignment w:val="bottom"/>
    </w:pPr>
    <w:rPr>
      <w:rFonts w:ascii="Times New Roman" w:eastAsia="PMingLiU" w:hAnsi="Times New Roman" w:cs="Times New Roman"/>
      <w:b/>
      <w:color w:val="000000"/>
      <w:sz w:val="36"/>
      <w:szCs w:val="36"/>
      <w:lang w:val="bg-BG" w:eastAsia="zh-TW"/>
    </w:rPr>
  </w:style>
  <w:style w:type="character" w:customStyle="1" w:styleId="Titleofpaper-line1Char">
    <w:name w:val="Title of paper-line 1 Char"/>
    <w:link w:val="Titleofpaper-line1"/>
    <w:rsid w:val="00C41552"/>
    <w:rPr>
      <w:rFonts w:ascii="Times New Roman" w:eastAsia="PMingLiU" w:hAnsi="Times New Roman" w:cs="Times New Roman"/>
      <w:b/>
      <w:color w:val="000000"/>
      <w:sz w:val="36"/>
      <w:szCs w:val="36"/>
      <w:lang w:val="bg-BG" w:eastAsia="zh-TW"/>
    </w:rPr>
  </w:style>
  <w:style w:type="paragraph" w:styleId="BodyText">
    <w:name w:val="Body Text"/>
    <w:basedOn w:val="Normal"/>
    <w:link w:val="BodyTextChar"/>
    <w:uiPriority w:val="99"/>
    <w:semiHidden/>
    <w:unhideWhenUsed/>
    <w:rsid w:val="00C41552"/>
    <w:pPr>
      <w:spacing w:after="120"/>
    </w:pPr>
  </w:style>
  <w:style w:type="character" w:customStyle="1" w:styleId="BodyTextChar">
    <w:name w:val="Body Text Char"/>
    <w:basedOn w:val="DefaultParagraphFont"/>
    <w:link w:val="BodyText"/>
    <w:uiPriority w:val="99"/>
    <w:semiHidden/>
    <w:rsid w:val="00C41552"/>
  </w:style>
  <w:style w:type="paragraph" w:customStyle="1" w:styleId="Abstracttext">
    <w:name w:val="Abstract text"/>
    <w:basedOn w:val="Normal"/>
    <w:link w:val="AbstracttextChar"/>
    <w:qFormat/>
    <w:rsid w:val="00C41552"/>
    <w:pPr>
      <w:widowControl w:val="0"/>
      <w:adjustRightInd w:val="0"/>
      <w:spacing w:after="0" w:line="240" w:lineRule="auto"/>
      <w:jc w:val="both"/>
      <w:textAlignment w:val="baseline"/>
    </w:pPr>
    <w:rPr>
      <w:rFonts w:ascii="Times New Roman" w:eastAsia="PMingLiU" w:hAnsi="Times New Roman" w:cs="Times New Roman"/>
      <w:color w:val="000000"/>
      <w:sz w:val="24"/>
      <w:szCs w:val="24"/>
      <w:lang w:eastAsia="zh-TW"/>
    </w:rPr>
  </w:style>
  <w:style w:type="character" w:customStyle="1" w:styleId="AbstracttextChar">
    <w:name w:val="Abstract text Char"/>
    <w:link w:val="Abstracttext"/>
    <w:rsid w:val="00C41552"/>
    <w:rPr>
      <w:rFonts w:ascii="Times New Roman" w:eastAsia="PMingLiU" w:hAnsi="Times New Roman" w:cs="Times New Roman"/>
      <w:color w:val="000000"/>
      <w:sz w:val="24"/>
      <w:szCs w:val="24"/>
      <w:lang w:eastAsia="zh-TW"/>
    </w:rPr>
  </w:style>
  <w:style w:type="paragraph" w:customStyle="1" w:styleId="HeadingNumbering1">
    <w:name w:val="Heading Numbering 1"/>
    <w:basedOn w:val="Normal"/>
    <w:link w:val="HeadingNumbering1Char"/>
    <w:qFormat/>
    <w:rsid w:val="00C41552"/>
    <w:pPr>
      <w:widowControl w:val="0"/>
      <w:adjustRightInd w:val="0"/>
      <w:spacing w:after="0" w:line="276" w:lineRule="auto"/>
      <w:jc w:val="both"/>
      <w:textAlignment w:val="baseline"/>
    </w:pPr>
    <w:rPr>
      <w:rFonts w:ascii="Times New Roman" w:eastAsia="PMingLiU" w:hAnsi="Times New Roman" w:cs="Times New Roman"/>
      <w:b/>
      <w:sz w:val="30"/>
      <w:szCs w:val="30"/>
      <w:lang w:eastAsia="zh-TW"/>
    </w:rPr>
  </w:style>
  <w:style w:type="character" w:customStyle="1" w:styleId="HeadingNumbering1Char">
    <w:name w:val="Heading Numbering 1 Char"/>
    <w:link w:val="HeadingNumbering1"/>
    <w:rsid w:val="00C41552"/>
    <w:rPr>
      <w:rFonts w:ascii="Times New Roman" w:eastAsia="PMingLiU" w:hAnsi="Times New Roman" w:cs="Times New Roman"/>
      <w:b/>
      <w:sz w:val="30"/>
      <w:szCs w:val="30"/>
      <w:lang w:eastAsia="zh-TW"/>
    </w:rPr>
  </w:style>
  <w:style w:type="character" w:styleId="PlaceholderText">
    <w:name w:val="Placeholder Text"/>
    <w:basedOn w:val="DefaultParagraphFont"/>
    <w:uiPriority w:val="99"/>
    <w:semiHidden/>
    <w:rsid w:val="000D0276"/>
    <w:rPr>
      <w:color w:val="808080"/>
    </w:rPr>
  </w:style>
  <w:style w:type="character" w:customStyle="1" w:styleId="Heading4Char">
    <w:name w:val="Heading 4 Char"/>
    <w:basedOn w:val="DefaultParagraphFont"/>
    <w:link w:val="Heading4"/>
    <w:rsid w:val="00D32492"/>
    <w:rPr>
      <w:rFonts w:ascii="Times New Roman" w:eastAsia="Times New Roman" w:hAnsi="Times New Roman" w:cs="Times New Roman"/>
      <w:szCs w:val="20"/>
      <w:lang w:val="en-GB"/>
    </w:rPr>
  </w:style>
  <w:style w:type="character" w:styleId="FootnoteReference">
    <w:name w:val="footnote reference"/>
    <w:semiHidden/>
    <w:rsid w:val="00D32492"/>
    <w:rPr>
      <w:vertAlign w:val="superscript"/>
    </w:rPr>
  </w:style>
  <w:style w:type="paragraph" w:styleId="FootnoteText">
    <w:name w:val="footnote text"/>
    <w:basedOn w:val="Normal"/>
    <w:link w:val="FootnoteTextChar"/>
    <w:semiHidden/>
    <w:rsid w:val="00D3249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3249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semiHidden/>
    <w:rsid w:val="00D32492"/>
    <w:rPr>
      <w:rFonts w:asciiTheme="majorHAnsi" w:eastAsiaTheme="majorEastAsia" w:hAnsiTheme="majorHAnsi" w:cstheme="majorBidi"/>
      <w:color w:val="2E74B5" w:themeColor="accent1" w:themeShade="BF"/>
    </w:rPr>
  </w:style>
  <w:style w:type="paragraph" w:customStyle="1" w:styleId="HeadingNumbering2">
    <w:name w:val="Heading Numbering 2"/>
    <w:basedOn w:val="HeadingNumbering1"/>
    <w:qFormat/>
    <w:rsid w:val="00167C4E"/>
    <w:pPr>
      <w:numPr>
        <w:ilvl w:val="1"/>
        <w:numId w:val="5"/>
      </w:numPr>
    </w:pPr>
    <w:rPr>
      <w:sz w:val="24"/>
    </w:rPr>
  </w:style>
  <w:style w:type="character" w:styleId="Hyperlink">
    <w:name w:val="Hyperlink"/>
    <w:basedOn w:val="DefaultParagraphFont"/>
    <w:uiPriority w:val="99"/>
    <w:unhideWhenUsed/>
    <w:rsid w:val="00471C36"/>
    <w:rPr>
      <w:color w:val="0563C1" w:themeColor="hyperlink"/>
      <w:u w:val="single"/>
    </w:rPr>
  </w:style>
  <w:style w:type="paragraph" w:styleId="BalloonText">
    <w:name w:val="Balloon Text"/>
    <w:basedOn w:val="Normal"/>
    <w:link w:val="BalloonTextChar"/>
    <w:uiPriority w:val="99"/>
    <w:semiHidden/>
    <w:unhideWhenUsed/>
    <w:rsid w:val="0057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8F"/>
    <w:rPr>
      <w:rFonts w:ascii="Segoe UI" w:hAnsi="Segoe UI" w:cs="Segoe UI"/>
      <w:sz w:val="18"/>
      <w:szCs w:val="18"/>
    </w:rPr>
  </w:style>
  <w:style w:type="paragraph" w:styleId="Header">
    <w:name w:val="header"/>
    <w:basedOn w:val="Normal"/>
    <w:link w:val="HeaderChar"/>
    <w:uiPriority w:val="99"/>
    <w:unhideWhenUsed/>
    <w:rsid w:val="002F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48"/>
  </w:style>
  <w:style w:type="paragraph" w:styleId="Footer">
    <w:name w:val="footer"/>
    <w:basedOn w:val="Normal"/>
    <w:link w:val="FooterChar"/>
    <w:uiPriority w:val="99"/>
    <w:unhideWhenUsed/>
    <w:rsid w:val="002F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48"/>
  </w:style>
  <w:style w:type="table" w:styleId="TableGrid">
    <w:name w:val="Table Grid"/>
    <w:basedOn w:val="TableNormal"/>
    <w:uiPriority w:val="39"/>
    <w:rsid w:val="007C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062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5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uegel.org/publications/publication-detail/publication/716-real-effective-exchange-rates-for-178-countries-a-new-data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jorogelk\Documents\CMI%202021\New%20Research%20papers\Financial%20flows%20and%20econ%20perf\DataProcess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jorogelk\Documents\CMI%202021\New%20Research%20papers\Financial%20flows%20and%20econ%20perf\DataProcess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jorogelk\Documents\CMI%202019\Research%20Current\Topic%20for%20CMI%20own%20study\Financial%20flows%20and%20econ%20perf\DataProcess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jorogelk\Documents\CMI%202021\New%20Research%20papers\Financial%20flows%20and%20econ%20perf\DataProcessing.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Chart!$D$88</c:f>
              <c:strCache>
                <c:ptCount val="1"/>
                <c:pt idx="0">
                  <c:v>FDI</c:v>
                </c:pt>
              </c:strCache>
            </c:strRef>
          </c:tx>
          <c:spPr>
            <a:ln w="28575" cap="rnd">
              <a:solidFill>
                <a:schemeClr val="accent2"/>
              </a:solidFill>
              <a:round/>
            </a:ln>
            <a:effectLst/>
          </c:spPr>
          <c:marker>
            <c:symbol val="none"/>
          </c:marke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Chart!$D$89:$D$113</c:f>
              <c:numCache>
                <c:formatCode>General</c:formatCode>
                <c:ptCount val="25"/>
                <c:pt idx="0">
                  <c:v>1.3652232621925304</c:v>
                </c:pt>
                <c:pt idx="1">
                  <c:v>1.1370716904024019</c:v>
                </c:pt>
                <c:pt idx="2">
                  <c:v>1.5805794382881813</c:v>
                </c:pt>
                <c:pt idx="3">
                  <c:v>2.8256673786039919</c:v>
                </c:pt>
                <c:pt idx="4">
                  <c:v>2.1635587518794934</c:v>
                </c:pt>
                <c:pt idx="5">
                  <c:v>2.1906903928122672</c:v>
                </c:pt>
                <c:pt idx="6">
                  <c:v>2.042431086649525</c:v>
                </c:pt>
                <c:pt idx="7">
                  <c:v>2.3361916970635193</c:v>
                </c:pt>
                <c:pt idx="8">
                  <c:v>2.3425575257658795</c:v>
                </c:pt>
                <c:pt idx="9">
                  <c:v>2.4570483997928152</c:v>
                </c:pt>
                <c:pt idx="10">
                  <c:v>2.4611336353760653</c:v>
                </c:pt>
                <c:pt idx="11">
                  <c:v>3.9437310546169111</c:v>
                </c:pt>
                <c:pt idx="12">
                  <c:v>4.9876577780940785</c:v>
                </c:pt>
                <c:pt idx="13">
                  <c:v>4.5959702213708917</c:v>
                </c:pt>
                <c:pt idx="14">
                  <c:v>3.6228075110133595</c:v>
                </c:pt>
                <c:pt idx="15">
                  <c:v>4.3773565423747227</c:v>
                </c:pt>
                <c:pt idx="16">
                  <c:v>3.9020572149513773</c:v>
                </c:pt>
                <c:pt idx="17">
                  <c:v>6.4732227884769404</c:v>
                </c:pt>
                <c:pt idx="18">
                  <c:v>3.5081812335445561</c:v>
                </c:pt>
                <c:pt idx="19">
                  <c:v>3.497006456957497</c:v>
                </c:pt>
                <c:pt idx="20">
                  <c:v>3.0899831299092932</c:v>
                </c:pt>
                <c:pt idx="21">
                  <c:v>2.2578583183210421</c:v>
                </c:pt>
                <c:pt idx="22">
                  <c:v>2.5014893427530147</c:v>
                </c:pt>
                <c:pt idx="23">
                  <c:v>3.4578979974484896</c:v>
                </c:pt>
                <c:pt idx="24">
                  <c:v>3.2021109171608195</c:v>
                </c:pt>
              </c:numCache>
            </c:numRef>
          </c:val>
          <c:smooth val="0"/>
          <c:extLst>
            <c:ext xmlns:c16="http://schemas.microsoft.com/office/drawing/2014/chart" uri="{C3380CC4-5D6E-409C-BE32-E72D297353CC}">
              <c16:uniqueId val="{00000000-31FC-48FE-9E43-32051D23A4FF}"/>
            </c:ext>
          </c:extLst>
        </c:ser>
        <c:ser>
          <c:idx val="2"/>
          <c:order val="1"/>
          <c:tx>
            <c:strRef>
              <c:f>Chart!$E$88</c:f>
              <c:strCache>
                <c:ptCount val="1"/>
                <c:pt idx="0">
                  <c:v>ODA</c:v>
                </c:pt>
              </c:strCache>
            </c:strRef>
          </c:tx>
          <c:spPr>
            <a:ln w="28575" cap="rnd">
              <a:solidFill>
                <a:srgbClr val="7030A0"/>
              </a:solidFill>
              <a:round/>
            </a:ln>
            <a:effectLst/>
          </c:spPr>
          <c:marker>
            <c:symbol val="none"/>
          </c:marke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Chart!$E$89:$E$113</c:f>
              <c:numCache>
                <c:formatCode>General</c:formatCode>
                <c:ptCount val="25"/>
                <c:pt idx="0">
                  <c:v>14.603449021616878</c:v>
                </c:pt>
                <c:pt idx="1">
                  <c:v>8.8460558618740421</c:v>
                </c:pt>
                <c:pt idx="2">
                  <c:v>6.8083225747007408</c:v>
                </c:pt>
                <c:pt idx="3">
                  <c:v>7.2958190041186235</c:v>
                </c:pt>
                <c:pt idx="4">
                  <c:v>7.5168107451669437</c:v>
                </c:pt>
                <c:pt idx="5">
                  <c:v>7.7135625049411694</c:v>
                </c:pt>
                <c:pt idx="6">
                  <c:v>7.9197965950069396</c:v>
                </c:pt>
                <c:pt idx="7">
                  <c:v>8.9834071934477073</c:v>
                </c:pt>
                <c:pt idx="8">
                  <c:v>12.180291897163183</c:v>
                </c:pt>
                <c:pt idx="9">
                  <c:v>11.695269215947173</c:v>
                </c:pt>
                <c:pt idx="10">
                  <c:v>10.364027896116667</c:v>
                </c:pt>
                <c:pt idx="11">
                  <c:v>9.7876829923465198</c:v>
                </c:pt>
                <c:pt idx="12">
                  <c:v>9.2870479973475</c:v>
                </c:pt>
                <c:pt idx="13">
                  <c:v>8.8988552251499708</c:v>
                </c:pt>
                <c:pt idx="14">
                  <c:v>8.2014118179379416</c:v>
                </c:pt>
                <c:pt idx="15">
                  <c:v>8.2569012869638794</c:v>
                </c:pt>
                <c:pt idx="16">
                  <c:v>7.7401701156024405</c:v>
                </c:pt>
                <c:pt idx="17">
                  <c:v>7.0321833491476085</c:v>
                </c:pt>
                <c:pt idx="18">
                  <c:v>7.0321107509009435</c:v>
                </c:pt>
                <c:pt idx="19">
                  <c:v>5.7742408865136099</c:v>
                </c:pt>
                <c:pt idx="20">
                  <c:v>5.365959039123152</c:v>
                </c:pt>
                <c:pt idx="21">
                  <c:v>6.4677434488473846</c:v>
                </c:pt>
                <c:pt idx="22">
                  <c:v>6.0175785708868945</c:v>
                </c:pt>
                <c:pt idx="23">
                  <c:v>5.694951792966199</c:v>
                </c:pt>
                <c:pt idx="24">
                  <c:v>5.886558212955908</c:v>
                </c:pt>
              </c:numCache>
            </c:numRef>
          </c:val>
          <c:smooth val="0"/>
          <c:extLst>
            <c:ext xmlns:c16="http://schemas.microsoft.com/office/drawing/2014/chart" uri="{C3380CC4-5D6E-409C-BE32-E72D297353CC}">
              <c16:uniqueId val="{00000001-31FC-48FE-9E43-32051D23A4FF}"/>
            </c:ext>
          </c:extLst>
        </c:ser>
        <c:ser>
          <c:idx val="3"/>
          <c:order val="2"/>
          <c:tx>
            <c:strRef>
              <c:f>Chart!$F$88</c:f>
              <c:strCache>
                <c:ptCount val="1"/>
                <c:pt idx="0">
                  <c:v>REM</c:v>
                </c:pt>
              </c:strCache>
            </c:strRef>
          </c:tx>
          <c:spPr>
            <a:ln w="28575" cap="rnd">
              <a:solidFill>
                <a:srgbClr val="00B050"/>
              </a:solidFill>
              <a:round/>
            </a:ln>
            <a:effectLst/>
          </c:spPr>
          <c:marker>
            <c:symbol val="none"/>
          </c:marke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Chart!$F$89:$F$113</c:f>
              <c:numCache>
                <c:formatCode>General</c:formatCode>
                <c:ptCount val="25"/>
                <c:pt idx="0">
                  <c:v>2.5694204209320537</c:v>
                </c:pt>
                <c:pt idx="1">
                  <c:v>2.760995179848305</c:v>
                </c:pt>
                <c:pt idx="2">
                  <c:v>2.9535254484583415</c:v>
                </c:pt>
                <c:pt idx="3">
                  <c:v>3.0756106429807901</c:v>
                </c:pt>
                <c:pt idx="4">
                  <c:v>3.0137046719101241</c:v>
                </c:pt>
                <c:pt idx="5">
                  <c:v>2.9032399652750436</c:v>
                </c:pt>
                <c:pt idx="6">
                  <c:v>2.6326807368591596</c:v>
                </c:pt>
                <c:pt idx="7">
                  <c:v>2.863666822397501</c:v>
                </c:pt>
                <c:pt idx="8">
                  <c:v>2.6632084181670681</c:v>
                </c:pt>
                <c:pt idx="9">
                  <c:v>2.8687650493614409</c:v>
                </c:pt>
                <c:pt idx="10">
                  <c:v>2.7594185961446516</c:v>
                </c:pt>
                <c:pt idx="11">
                  <c:v>2.7584576096009701</c:v>
                </c:pt>
                <c:pt idx="12">
                  <c:v>2.8005363570400976</c:v>
                </c:pt>
                <c:pt idx="13">
                  <c:v>2.9620473668651108</c:v>
                </c:pt>
                <c:pt idx="14">
                  <c:v>3.0155381241826014</c:v>
                </c:pt>
                <c:pt idx="15">
                  <c:v>3.0464586009560835</c:v>
                </c:pt>
                <c:pt idx="16">
                  <c:v>3.467081622374256</c:v>
                </c:pt>
                <c:pt idx="17">
                  <c:v>3.4021659242243407</c:v>
                </c:pt>
                <c:pt idx="18">
                  <c:v>3.1412851686789818</c:v>
                </c:pt>
                <c:pt idx="19">
                  <c:v>3.5263388130422495</c:v>
                </c:pt>
                <c:pt idx="20">
                  <c:v>3.3563857302847104</c:v>
                </c:pt>
                <c:pt idx="21">
                  <c:v>3.0628481443951805</c:v>
                </c:pt>
                <c:pt idx="22">
                  <c:v>3.5018492477996883</c:v>
                </c:pt>
                <c:pt idx="23">
                  <c:v>3.8414919634162015</c:v>
                </c:pt>
                <c:pt idx="24">
                  <c:v>3.675143836710975</c:v>
                </c:pt>
              </c:numCache>
            </c:numRef>
          </c:val>
          <c:smooth val="0"/>
          <c:extLst>
            <c:ext xmlns:c16="http://schemas.microsoft.com/office/drawing/2014/chart" uri="{C3380CC4-5D6E-409C-BE32-E72D297353CC}">
              <c16:uniqueId val="{00000002-31FC-48FE-9E43-32051D23A4FF}"/>
            </c:ext>
          </c:extLst>
        </c:ser>
        <c:dLbls>
          <c:showLegendKey val="0"/>
          <c:showVal val="0"/>
          <c:showCatName val="0"/>
          <c:showSerName val="0"/>
          <c:showPercent val="0"/>
          <c:showBubbleSize val="0"/>
        </c:dLbls>
        <c:smooth val="0"/>
        <c:axId val="1334273199"/>
        <c:axId val="1334270287"/>
      </c:lineChart>
      <c:catAx>
        <c:axId val="133427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70287"/>
        <c:crosses val="autoZero"/>
        <c:auto val="1"/>
        <c:lblAlgn val="ctr"/>
        <c:lblOffset val="100"/>
        <c:noMultiLvlLbl val="0"/>
      </c:catAx>
      <c:valAx>
        <c:axId val="1334270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73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Chart!$E$59</c:f>
              <c:strCache>
                <c:ptCount val="1"/>
                <c:pt idx="0">
                  <c:v>Tcap-Inflows</c:v>
                </c:pt>
              </c:strCache>
            </c:strRef>
          </c:tx>
          <c:spPr>
            <a:solidFill>
              <a:srgbClr val="7030A0"/>
            </a:solidFill>
            <a:ln>
              <a:solidFill>
                <a:srgbClr val="7030A0"/>
              </a:solidFill>
            </a:ln>
            <a:effectLst/>
          </c:spPr>
          <c:invertIfNegative val="0"/>
          <c:cat>
            <c:numRef>
              <c:f>Chart!$C$60:$C$84</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Chart!$E$60:$E$84</c:f>
              <c:numCache>
                <c:formatCode>General</c:formatCode>
                <c:ptCount val="25"/>
                <c:pt idx="0">
                  <c:v>18.538092704741462</c:v>
                </c:pt>
                <c:pt idx="1">
                  <c:v>12.744122732124749</c:v>
                </c:pt>
                <c:pt idx="2">
                  <c:v>11.342427461447263</c:v>
                </c:pt>
                <c:pt idx="3">
                  <c:v>13.197097025703405</c:v>
                </c:pt>
                <c:pt idx="4">
                  <c:v>12.694074168956561</c:v>
                </c:pt>
                <c:pt idx="5">
                  <c:v>12.807492863028481</c:v>
                </c:pt>
                <c:pt idx="6">
                  <c:v>12.594908418515624</c:v>
                </c:pt>
                <c:pt idx="7">
                  <c:v>14.183265712908728</c:v>
                </c:pt>
                <c:pt idx="8">
                  <c:v>17.18605784109613</c:v>
                </c:pt>
                <c:pt idx="9">
                  <c:v>17.021082665101432</c:v>
                </c:pt>
                <c:pt idx="10">
                  <c:v>15.584580127637384</c:v>
                </c:pt>
                <c:pt idx="11">
                  <c:v>16.4898716565644</c:v>
                </c:pt>
                <c:pt idx="12">
                  <c:v>17.075242132481677</c:v>
                </c:pt>
                <c:pt idx="13">
                  <c:v>16.456872813385974</c:v>
                </c:pt>
                <c:pt idx="14">
                  <c:v>14.839757453133902</c:v>
                </c:pt>
                <c:pt idx="15">
                  <c:v>15.680716430294684</c:v>
                </c:pt>
                <c:pt idx="16">
                  <c:v>15.109308952928073</c:v>
                </c:pt>
                <c:pt idx="17">
                  <c:v>16.907572061848889</c:v>
                </c:pt>
                <c:pt idx="18">
                  <c:v>13.681577153124481</c:v>
                </c:pt>
                <c:pt idx="19">
                  <c:v>12.797586156513356</c:v>
                </c:pt>
                <c:pt idx="20">
                  <c:v>11.812327899317156</c:v>
                </c:pt>
                <c:pt idx="21">
                  <c:v>11.788449911563609</c:v>
                </c:pt>
                <c:pt idx="22">
                  <c:v>12.020917161439597</c:v>
                </c:pt>
                <c:pt idx="23">
                  <c:v>12.99434175383089</c:v>
                </c:pt>
                <c:pt idx="24">
                  <c:v>12.763812966827702</c:v>
                </c:pt>
              </c:numCache>
            </c:numRef>
          </c:val>
          <c:extLst>
            <c:ext xmlns:c16="http://schemas.microsoft.com/office/drawing/2014/chart" uri="{C3380CC4-5D6E-409C-BE32-E72D297353CC}">
              <c16:uniqueId val="{00000000-CEBC-49DE-9400-309EA3382432}"/>
            </c:ext>
          </c:extLst>
        </c:ser>
        <c:dLbls>
          <c:showLegendKey val="0"/>
          <c:showVal val="0"/>
          <c:showCatName val="0"/>
          <c:showSerName val="0"/>
          <c:showPercent val="0"/>
          <c:showBubbleSize val="0"/>
        </c:dLbls>
        <c:gapWidth val="150"/>
        <c:axId val="76238128"/>
        <c:axId val="76247696"/>
      </c:barChart>
      <c:lineChart>
        <c:grouping val="standard"/>
        <c:varyColors val="0"/>
        <c:ser>
          <c:idx val="1"/>
          <c:order val="0"/>
          <c:tx>
            <c:strRef>
              <c:f>Chart!$D$59</c:f>
              <c:strCache>
                <c:ptCount val="1"/>
                <c:pt idx="0">
                  <c:v>REER - RHS</c:v>
                </c:pt>
              </c:strCache>
            </c:strRef>
          </c:tx>
          <c:spPr>
            <a:ln w="28575" cap="rnd">
              <a:solidFill>
                <a:schemeClr val="accent2"/>
              </a:solidFill>
              <a:round/>
            </a:ln>
            <a:effectLst/>
          </c:spPr>
          <c:marker>
            <c:symbol val="none"/>
          </c:marker>
          <c:cat>
            <c:numRef>
              <c:f>Chart!$C$60:$C$84</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Chart!$D$60:$D$84</c:f>
              <c:numCache>
                <c:formatCode>General</c:formatCode>
                <c:ptCount val="25"/>
                <c:pt idx="0">
                  <c:v>108.02338424100674</c:v>
                </c:pt>
                <c:pt idx="1">
                  <c:v>112.29498929119326</c:v>
                </c:pt>
                <c:pt idx="2">
                  <c:v>118.53352238500396</c:v>
                </c:pt>
                <c:pt idx="3">
                  <c:v>114.9216153335651</c:v>
                </c:pt>
                <c:pt idx="4">
                  <c:v>117.89221005922955</c:v>
                </c:pt>
                <c:pt idx="5">
                  <c:v>123.66076874942109</c:v>
                </c:pt>
                <c:pt idx="6">
                  <c:v>112.50771103149046</c:v>
                </c:pt>
                <c:pt idx="7">
                  <c:v>108.60676969705446</c:v>
                </c:pt>
                <c:pt idx="8">
                  <c:v>97.819417883095994</c:v>
                </c:pt>
                <c:pt idx="9">
                  <c:v>93.496889872992796</c:v>
                </c:pt>
                <c:pt idx="10">
                  <c:v>97.460028766093842</c:v>
                </c:pt>
                <c:pt idx="11">
                  <c:v>102.32733125044302</c:v>
                </c:pt>
                <c:pt idx="12">
                  <c:v>101.38756818978236</c:v>
                </c:pt>
                <c:pt idx="13">
                  <c:v>107.13055713060203</c:v>
                </c:pt>
                <c:pt idx="14">
                  <c:v>107.28192529126697</c:v>
                </c:pt>
                <c:pt idx="15">
                  <c:v>106.36669559569152</c:v>
                </c:pt>
                <c:pt idx="16">
                  <c:v>105.3002668699155</c:v>
                </c:pt>
                <c:pt idx="17">
                  <c:v>108.39048732811054</c:v>
                </c:pt>
                <c:pt idx="18">
                  <c:v>108.60852564564721</c:v>
                </c:pt>
                <c:pt idx="19">
                  <c:v>110.51585497842925</c:v>
                </c:pt>
                <c:pt idx="20">
                  <c:v>118.1751374565313</c:v>
                </c:pt>
                <c:pt idx="21">
                  <c:v>111.96801393413378</c:v>
                </c:pt>
                <c:pt idx="22">
                  <c:v>116.83318223585221</c:v>
                </c:pt>
                <c:pt idx="23">
                  <c:v>111.03660665586038</c:v>
                </c:pt>
                <c:pt idx="24">
                  <c:v>106.41790615166963</c:v>
                </c:pt>
              </c:numCache>
            </c:numRef>
          </c:val>
          <c:smooth val="0"/>
          <c:extLst>
            <c:ext xmlns:c16="http://schemas.microsoft.com/office/drawing/2014/chart" uri="{C3380CC4-5D6E-409C-BE32-E72D297353CC}">
              <c16:uniqueId val="{00000001-CEBC-49DE-9400-309EA3382432}"/>
            </c:ext>
          </c:extLst>
        </c:ser>
        <c:dLbls>
          <c:showLegendKey val="0"/>
          <c:showVal val="0"/>
          <c:showCatName val="0"/>
          <c:showSerName val="0"/>
          <c:showPercent val="0"/>
          <c:showBubbleSize val="0"/>
        </c:dLbls>
        <c:marker val="1"/>
        <c:smooth val="0"/>
        <c:axId val="596086879"/>
        <c:axId val="596083967"/>
      </c:lineChart>
      <c:catAx>
        <c:axId val="7623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7696"/>
        <c:crosses val="autoZero"/>
        <c:auto val="1"/>
        <c:lblAlgn val="ctr"/>
        <c:lblOffset val="100"/>
        <c:noMultiLvlLbl val="0"/>
      </c:catAx>
      <c:valAx>
        <c:axId val="76247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8128"/>
        <c:crosses val="autoZero"/>
        <c:crossBetween val="between"/>
      </c:valAx>
      <c:valAx>
        <c:axId val="596083967"/>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86879"/>
        <c:crosses val="max"/>
        <c:crossBetween val="between"/>
      </c:valAx>
      <c:catAx>
        <c:axId val="596086879"/>
        <c:scaling>
          <c:orientation val="minMax"/>
        </c:scaling>
        <c:delete val="1"/>
        <c:axPos val="b"/>
        <c:numFmt formatCode="General" sourceLinked="1"/>
        <c:majorTickMark val="out"/>
        <c:minorTickMark val="none"/>
        <c:tickLblPos val="nextTo"/>
        <c:crossAx val="59608396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Average!$E$6</c:f>
              <c:strCache>
                <c:ptCount val="1"/>
                <c:pt idx="0">
                  <c:v>GDPKG</c:v>
                </c:pt>
              </c:strCache>
            </c:strRef>
          </c:tx>
          <c:spPr>
            <a:ln w="28575" cap="rnd">
              <a:solidFill>
                <a:schemeClr val="accent2"/>
              </a:solidFill>
              <a:round/>
            </a:ln>
            <a:effectLst/>
          </c:spPr>
          <c:marker>
            <c:symbol val="none"/>
          </c:marker>
          <c:cat>
            <c:numRef>
              <c:f>Average!$A$7:$A$31</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Average!$E$7:$E$31</c:f>
              <c:numCache>
                <c:formatCode>General</c:formatCode>
                <c:ptCount val="25"/>
                <c:pt idx="0">
                  <c:v>3.6538939860824478</c:v>
                </c:pt>
                <c:pt idx="1">
                  <c:v>2.7498468821490785</c:v>
                </c:pt>
                <c:pt idx="2">
                  <c:v>1.9384030476708152</c:v>
                </c:pt>
                <c:pt idx="3">
                  <c:v>0.95821461520258522</c:v>
                </c:pt>
                <c:pt idx="4">
                  <c:v>0.46312224615252262</c:v>
                </c:pt>
                <c:pt idx="5">
                  <c:v>1.0191427069365939</c:v>
                </c:pt>
                <c:pt idx="6">
                  <c:v>0.8929879273736816</c:v>
                </c:pt>
                <c:pt idx="7">
                  <c:v>-0.10078393703479512</c:v>
                </c:pt>
                <c:pt idx="8">
                  <c:v>0.44509566544456147</c:v>
                </c:pt>
                <c:pt idx="9">
                  <c:v>2.5234479109190193</c:v>
                </c:pt>
                <c:pt idx="10">
                  <c:v>2.8684613146159279</c:v>
                </c:pt>
                <c:pt idx="11">
                  <c:v>4.0156850413557885</c:v>
                </c:pt>
                <c:pt idx="12">
                  <c:v>4.2538585983184296</c:v>
                </c:pt>
                <c:pt idx="13">
                  <c:v>1.9684101612013762</c:v>
                </c:pt>
                <c:pt idx="14">
                  <c:v>2.1808516463640424</c:v>
                </c:pt>
                <c:pt idx="15">
                  <c:v>4.0193263480928181</c:v>
                </c:pt>
                <c:pt idx="16">
                  <c:v>4.1466617024843444</c:v>
                </c:pt>
                <c:pt idx="17">
                  <c:v>3.4453045537053129</c:v>
                </c:pt>
                <c:pt idx="18">
                  <c:v>2.3301230908367216</c:v>
                </c:pt>
                <c:pt idx="19">
                  <c:v>2.1507360069643351</c:v>
                </c:pt>
                <c:pt idx="20">
                  <c:v>1.5298035705660988</c:v>
                </c:pt>
                <c:pt idx="21">
                  <c:v>1.357635246914574</c:v>
                </c:pt>
                <c:pt idx="22">
                  <c:v>1.6613771893395273</c:v>
                </c:pt>
                <c:pt idx="23">
                  <c:v>1.9151749189715721</c:v>
                </c:pt>
                <c:pt idx="24">
                  <c:v>1.0655263542029563</c:v>
                </c:pt>
              </c:numCache>
            </c:numRef>
          </c:val>
          <c:smooth val="0"/>
          <c:extLst>
            <c:ext xmlns:c16="http://schemas.microsoft.com/office/drawing/2014/chart" uri="{C3380CC4-5D6E-409C-BE32-E72D297353CC}">
              <c16:uniqueId val="{00000000-C6BB-4EBE-B3F0-04B1382514CB}"/>
            </c:ext>
          </c:extLst>
        </c:ser>
        <c:dLbls>
          <c:showLegendKey val="0"/>
          <c:showVal val="0"/>
          <c:showCatName val="0"/>
          <c:showSerName val="0"/>
          <c:showPercent val="0"/>
          <c:showBubbleSize val="0"/>
        </c:dLbls>
        <c:marker val="1"/>
        <c:smooth val="0"/>
        <c:axId val="122938064"/>
        <c:axId val="122941808"/>
      </c:lineChart>
      <c:lineChart>
        <c:grouping val="standard"/>
        <c:varyColors val="0"/>
        <c:ser>
          <c:idx val="2"/>
          <c:order val="1"/>
          <c:tx>
            <c:strRef>
              <c:f>Average!$F$6</c:f>
              <c:strCache>
                <c:ptCount val="1"/>
                <c:pt idx="0">
                  <c:v>REER - RHS</c:v>
                </c:pt>
              </c:strCache>
            </c:strRef>
          </c:tx>
          <c:spPr>
            <a:ln w="28575" cap="rnd">
              <a:solidFill>
                <a:srgbClr val="7030A0"/>
              </a:solidFill>
              <a:round/>
            </a:ln>
            <a:effectLst/>
          </c:spPr>
          <c:marker>
            <c:symbol val="none"/>
          </c:marker>
          <c:cat>
            <c:numRef>
              <c:f>Average!$A$7:$A$31</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Average!$F$7:$F$31</c:f>
              <c:numCache>
                <c:formatCode>0.00</c:formatCode>
                <c:ptCount val="25"/>
                <c:pt idx="0">
                  <c:v>108.02338424100674</c:v>
                </c:pt>
                <c:pt idx="1">
                  <c:v>112.29498929119326</c:v>
                </c:pt>
                <c:pt idx="2">
                  <c:v>118.53352238500396</c:v>
                </c:pt>
                <c:pt idx="3">
                  <c:v>114.9216153335651</c:v>
                </c:pt>
                <c:pt idx="4">
                  <c:v>117.89221005922955</c:v>
                </c:pt>
                <c:pt idx="5">
                  <c:v>123.66076874942109</c:v>
                </c:pt>
                <c:pt idx="6">
                  <c:v>112.50771103149046</c:v>
                </c:pt>
                <c:pt idx="7">
                  <c:v>108.60676969705446</c:v>
                </c:pt>
                <c:pt idx="8">
                  <c:v>97.819417883095994</c:v>
                </c:pt>
                <c:pt idx="9">
                  <c:v>93.496889872992796</c:v>
                </c:pt>
                <c:pt idx="10">
                  <c:v>97.460028766093842</c:v>
                </c:pt>
                <c:pt idx="11">
                  <c:v>102.32733125044302</c:v>
                </c:pt>
                <c:pt idx="12">
                  <c:v>101.38756818978236</c:v>
                </c:pt>
                <c:pt idx="13">
                  <c:v>107.13055713060203</c:v>
                </c:pt>
                <c:pt idx="14">
                  <c:v>107.28192529126697</c:v>
                </c:pt>
                <c:pt idx="15">
                  <c:v>106.36669559569152</c:v>
                </c:pt>
                <c:pt idx="16">
                  <c:v>105.3002668699155</c:v>
                </c:pt>
                <c:pt idx="17">
                  <c:v>108.39048732811054</c:v>
                </c:pt>
                <c:pt idx="18">
                  <c:v>108.60852564564721</c:v>
                </c:pt>
                <c:pt idx="19">
                  <c:v>110.51585497842925</c:v>
                </c:pt>
                <c:pt idx="20">
                  <c:v>118.1751374565313</c:v>
                </c:pt>
                <c:pt idx="21">
                  <c:v>111.96801393413378</c:v>
                </c:pt>
                <c:pt idx="22">
                  <c:v>116.83318223585221</c:v>
                </c:pt>
                <c:pt idx="23">
                  <c:v>111.03660665586038</c:v>
                </c:pt>
                <c:pt idx="24">
                  <c:v>106.41790615166963</c:v>
                </c:pt>
              </c:numCache>
            </c:numRef>
          </c:val>
          <c:smooth val="0"/>
          <c:extLst>
            <c:ext xmlns:c16="http://schemas.microsoft.com/office/drawing/2014/chart" uri="{C3380CC4-5D6E-409C-BE32-E72D297353CC}">
              <c16:uniqueId val="{00000001-C6BB-4EBE-B3F0-04B1382514CB}"/>
            </c:ext>
          </c:extLst>
        </c:ser>
        <c:dLbls>
          <c:showLegendKey val="0"/>
          <c:showVal val="0"/>
          <c:showCatName val="0"/>
          <c:showSerName val="0"/>
          <c:showPercent val="0"/>
          <c:showBubbleSize val="0"/>
        </c:dLbls>
        <c:marker val="1"/>
        <c:smooth val="0"/>
        <c:axId val="751882159"/>
        <c:axId val="751896719"/>
      </c:lineChart>
      <c:catAx>
        <c:axId val="12293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41808"/>
        <c:crosses val="autoZero"/>
        <c:auto val="1"/>
        <c:lblAlgn val="ctr"/>
        <c:lblOffset val="100"/>
        <c:noMultiLvlLbl val="0"/>
      </c:catAx>
      <c:valAx>
        <c:axId val="12294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38064"/>
        <c:crosses val="autoZero"/>
        <c:crossBetween val="between"/>
      </c:valAx>
      <c:valAx>
        <c:axId val="751896719"/>
        <c:scaling>
          <c:orientation val="minMax"/>
          <c:min val="8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82159"/>
        <c:crosses val="max"/>
        <c:crossBetween val="between"/>
      </c:valAx>
      <c:catAx>
        <c:axId val="751882159"/>
        <c:scaling>
          <c:orientation val="minMax"/>
        </c:scaling>
        <c:delete val="1"/>
        <c:axPos val="b"/>
        <c:numFmt formatCode="General" sourceLinked="1"/>
        <c:majorTickMark val="out"/>
        <c:minorTickMark val="none"/>
        <c:tickLblPos val="nextTo"/>
        <c:crossAx val="7518967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0"/>
          <c:tx>
            <c:strRef>
              <c:f>Chart!$D$88</c:f>
              <c:strCache>
                <c:ptCount val="1"/>
                <c:pt idx="0">
                  <c:v>FDI</c:v>
                </c:pt>
              </c:strCache>
            </c:strRef>
          </c:tx>
          <c:spPr>
            <a:solidFill>
              <a:schemeClr val="accent2"/>
            </a:solidFill>
            <a:ln>
              <a:noFill/>
            </a:ln>
            <a:effectLst/>
          </c:spP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Chart!$D$89:$D$113</c:f>
              <c:numCache>
                <c:formatCode>General</c:formatCode>
                <c:ptCount val="25"/>
                <c:pt idx="0">
                  <c:v>1.3652232621925304</c:v>
                </c:pt>
                <c:pt idx="1">
                  <c:v>1.1370716904024019</c:v>
                </c:pt>
                <c:pt idx="2">
                  <c:v>1.5805794382881813</c:v>
                </c:pt>
                <c:pt idx="3">
                  <c:v>2.8256673786039919</c:v>
                </c:pt>
                <c:pt idx="4">
                  <c:v>2.1635587518794934</c:v>
                </c:pt>
                <c:pt idx="5">
                  <c:v>2.1906903928122672</c:v>
                </c:pt>
                <c:pt idx="6">
                  <c:v>2.042431086649525</c:v>
                </c:pt>
                <c:pt idx="7">
                  <c:v>2.3361916970635193</c:v>
                </c:pt>
                <c:pt idx="8">
                  <c:v>2.3425575257658795</c:v>
                </c:pt>
                <c:pt idx="9">
                  <c:v>2.4570483997928152</c:v>
                </c:pt>
                <c:pt idx="10">
                  <c:v>2.4611336353760653</c:v>
                </c:pt>
                <c:pt idx="11">
                  <c:v>3.9437310546169111</c:v>
                </c:pt>
                <c:pt idx="12">
                  <c:v>4.9876577780940785</c:v>
                </c:pt>
                <c:pt idx="13">
                  <c:v>4.5959702213708917</c:v>
                </c:pt>
                <c:pt idx="14">
                  <c:v>3.6228075110133595</c:v>
                </c:pt>
                <c:pt idx="15">
                  <c:v>4.3773565423747227</c:v>
                </c:pt>
                <c:pt idx="16">
                  <c:v>3.9020572149513773</c:v>
                </c:pt>
                <c:pt idx="17">
                  <c:v>6.4732227884769404</c:v>
                </c:pt>
                <c:pt idx="18">
                  <c:v>3.5081812335445561</c:v>
                </c:pt>
                <c:pt idx="19">
                  <c:v>3.497006456957497</c:v>
                </c:pt>
                <c:pt idx="20">
                  <c:v>3.0899831299092932</c:v>
                </c:pt>
                <c:pt idx="21">
                  <c:v>2.2578583183210421</c:v>
                </c:pt>
                <c:pt idx="22">
                  <c:v>2.5014893427530147</c:v>
                </c:pt>
                <c:pt idx="23">
                  <c:v>3.4578979974484896</c:v>
                </c:pt>
                <c:pt idx="24">
                  <c:v>3.2021109171608195</c:v>
                </c:pt>
              </c:numCache>
            </c:numRef>
          </c:val>
          <c:extLst>
            <c:ext xmlns:c16="http://schemas.microsoft.com/office/drawing/2014/chart" uri="{C3380CC4-5D6E-409C-BE32-E72D297353CC}">
              <c16:uniqueId val="{00000000-6A70-46C7-BE0B-1542CF4E2601}"/>
            </c:ext>
          </c:extLst>
        </c:ser>
        <c:ser>
          <c:idx val="2"/>
          <c:order val="1"/>
          <c:tx>
            <c:strRef>
              <c:f>Chart!$E$88</c:f>
              <c:strCache>
                <c:ptCount val="1"/>
                <c:pt idx="0">
                  <c:v>ODA</c:v>
                </c:pt>
              </c:strCache>
            </c:strRef>
          </c:tx>
          <c:spPr>
            <a:solidFill>
              <a:srgbClr val="7030A0"/>
            </a:solidFill>
            <a:ln>
              <a:noFill/>
            </a:ln>
            <a:effectLst/>
          </c:spP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Chart!$E$89:$E$113</c:f>
              <c:numCache>
                <c:formatCode>General</c:formatCode>
                <c:ptCount val="25"/>
                <c:pt idx="0">
                  <c:v>14.603449021616878</c:v>
                </c:pt>
                <c:pt idx="1">
                  <c:v>8.8460558618740421</c:v>
                </c:pt>
                <c:pt idx="2">
                  <c:v>6.8083225747007408</c:v>
                </c:pt>
                <c:pt idx="3">
                  <c:v>7.2958190041186235</c:v>
                </c:pt>
                <c:pt idx="4">
                  <c:v>7.5168107451669437</c:v>
                </c:pt>
                <c:pt idx="5">
                  <c:v>7.7135625049411694</c:v>
                </c:pt>
                <c:pt idx="6">
                  <c:v>7.9197965950069396</c:v>
                </c:pt>
                <c:pt idx="7">
                  <c:v>8.9834071934477073</c:v>
                </c:pt>
                <c:pt idx="8">
                  <c:v>12.180291897163183</c:v>
                </c:pt>
                <c:pt idx="9">
                  <c:v>11.695269215947173</c:v>
                </c:pt>
                <c:pt idx="10">
                  <c:v>10.364027896116667</c:v>
                </c:pt>
                <c:pt idx="11">
                  <c:v>9.7876829923465198</c:v>
                </c:pt>
                <c:pt idx="12">
                  <c:v>9.2870479973475</c:v>
                </c:pt>
                <c:pt idx="13">
                  <c:v>8.8988552251499708</c:v>
                </c:pt>
                <c:pt idx="14">
                  <c:v>8.2014118179379416</c:v>
                </c:pt>
                <c:pt idx="15">
                  <c:v>8.2569012869638794</c:v>
                </c:pt>
                <c:pt idx="16">
                  <c:v>7.7401701156024405</c:v>
                </c:pt>
                <c:pt idx="17">
                  <c:v>7.0321833491476085</c:v>
                </c:pt>
                <c:pt idx="18">
                  <c:v>7.0321107509009435</c:v>
                </c:pt>
                <c:pt idx="19">
                  <c:v>5.7742408865136099</c:v>
                </c:pt>
                <c:pt idx="20">
                  <c:v>5.365959039123152</c:v>
                </c:pt>
                <c:pt idx="21">
                  <c:v>6.4677434488473846</c:v>
                </c:pt>
                <c:pt idx="22">
                  <c:v>6.0175785708868945</c:v>
                </c:pt>
                <c:pt idx="23">
                  <c:v>5.694951792966199</c:v>
                </c:pt>
                <c:pt idx="24">
                  <c:v>5.886558212955908</c:v>
                </c:pt>
              </c:numCache>
            </c:numRef>
          </c:val>
          <c:extLst>
            <c:ext xmlns:c16="http://schemas.microsoft.com/office/drawing/2014/chart" uri="{C3380CC4-5D6E-409C-BE32-E72D297353CC}">
              <c16:uniqueId val="{00000001-6A70-46C7-BE0B-1542CF4E2601}"/>
            </c:ext>
          </c:extLst>
        </c:ser>
        <c:ser>
          <c:idx val="3"/>
          <c:order val="2"/>
          <c:tx>
            <c:strRef>
              <c:f>Chart!$F$88</c:f>
              <c:strCache>
                <c:ptCount val="1"/>
                <c:pt idx="0">
                  <c:v>REM</c:v>
                </c:pt>
              </c:strCache>
            </c:strRef>
          </c:tx>
          <c:spPr>
            <a:solidFill>
              <a:schemeClr val="accent4"/>
            </a:solidFill>
            <a:ln>
              <a:noFill/>
            </a:ln>
            <a:effectLst/>
          </c:spP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Chart!$F$89:$F$113</c:f>
              <c:numCache>
                <c:formatCode>General</c:formatCode>
                <c:ptCount val="25"/>
                <c:pt idx="0">
                  <c:v>2.5694204209320537</c:v>
                </c:pt>
                <c:pt idx="1">
                  <c:v>2.760995179848305</c:v>
                </c:pt>
                <c:pt idx="2">
                  <c:v>2.9535254484583415</c:v>
                </c:pt>
                <c:pt idx="3">
                  <c:v>3.0756106429807901</c:v>
                </c:pt>
                <c:pt idx="4">
                  <c:v>3.0137046719101241</c:v>
                </c:pt>
                <c:pt idx="5">
                  <c:v>2.9032399652750436</c:v>
                </c:pt>
                <c:pt idx="6">
                  <c:v>2.6326807368591596</c:v>
                </c:pt>
                <c:pt idx="7">
                  <c:v>2.863666822397501</c:v>
                </c:pt>
                <c:pt idx="8">
                  <c:v>2.6632084181670681</c:v>
                </c:pt>
                <c:pt idx="9">
                  <c:v>2.8687650493614409</c:v>
                </c:pt>
                <c:pt idx="10">
                  <c:v>2.7594185961446516</c:v>
                </c:pt>
                <c:pt idx="11">
                  <c:v>2.7584576096009701</c:v>
                </c:pt>
                <c:pt idx="12">
                  <c:v>2.8005363570400976</c:v>
                </c:pt>
                <c:pt idx="13">
                  <c:v>2.9620473668651108</c:v>
                </c:pt>
                <c:pt idx="14">
                  <c:v>3.0155381241826014</c:v>
                </c:pt>
                <c:pt idx="15">
                  <c:v>3.0464586009560835</c:v>
                </c:pt>
                <c:pt idx="16">
                  <c:v>3.467081622374256</c:v>
                </c:pt>
                <c:pt idx="17">
                  <c:v>3.4021659242243407</c:v>
                </c:pt>
                <c:pt idx="18">
                  <c:v>3.1412851686789818</c:v>
                </c:pt>
                <c:pt idx="19">
                  <c:v>3.5263388130422495</c:v>
                </c:pt>
                <c:pt idx="20">
                  <c:v>3.3563857302847104</c:v>
                </c:pt>
                <c:pt idx="21">
                  <c:v>3.0628481443951805</c:v>
                </c:pt>
                <c:pt idx="22">
                  <c:v>3.5018492477996883</c:v>
                </c:pt>
                <c:pt idx="23">
                  <c:v>3.8414919634162015</c:v>
                </c:pt>
                <c:pt idx="24">
                  <c:v>3.675143836710975</c:v>
                </c:pt>
              </c:numCache>
            </c:numRef>
          </c:val>
          <c:extLst>
            <c:ext xmlns:c16="http://schemas.microsoft.com/office/drawing/2014/chart" uri="{C3380CC4-5D6E-409C-BE32-E72D297353CC}">
              <c16:uniqueId val="{00000002-6A70-46C7-BE0B-1542CF4E2601}"/>
            </c:ext>
          </c:extLst>
        </c:ser>
        <c:ser>
          <c:idx val="4"/>
          <c:order val="3"/>
          <c:tx>
            <c:strRef>
              <c:f>Chart!$G$88</c:f>
              <c:strCache>
                <c:ptCount val="1"/>
                <c:pt idx="0">
                  <c:v>Tcap-Inflows</c:v>
                </c:pt>
              </c:strCache>
            </c:strRef>
          </c:tx>
          <c:spPr>
            <a:solidFill>
              <a:schemeClr val="accent5"/>
            </a:solidFill>
            <a:ln>
              <a:noFill/>
            </a:ln>
            <a:effectLst/>
          </c:spPr>
          <c:cat>
            <c:numRef>
              <c:f>Chart!$C$89:$C$113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Chart!$G$89:$G$113</c:f>
              <c:numCache>
                <c:formatCode>General</c:formatCode>
                <c:ptCount val="25"/>
                <c:pt idx="0">
                  <c:v>18.538092704741462</c:v>
                </c:pt>
                <c:pt idx="1">
                  <c:v>12.744122732124749</c:v>
                </c:pt>
                <c:pt idx="2">
                  <c:v>11.342427461447263</c:v>
                </c:pt>
                <c:pt idx="3">
                  <c:v>13.197097025703405</c:v>
                </c:pt>
                <c:pt idx="4">
                  <c:v>12.694074168956561</c:v>
                </c:pt>
                <c:pt idx="5">
                  <c:v>12.807492863028481</c:v>
                </c:pt>
                <c:pt idx="6">
                  <c:v>12.594908418515624</c:v>
                </c:pt>
                <c:pt idx="7">
                  <c:v>14.183265712908728</c:v>
                </c:pt>
                <c:pt idx="8">
                  <c:v>17.18605784109613</c:v>
                </c:pt>
                <c:pt idx="9">
                  <c:v>17.021082665101432</c:v>
                </c:pt>
                <c:pt idx="10">
                  <c:v>15.584580127637384</c:v>
                </c:pt>
                <c:pt idx="11">
                  <c:v>16.4898716565644</c:v>
                </c:pt>
                <c:pt idx="12">
                  <c:v>17.075242132481677</c:v>
                </c:pt>
                <c:pt idx="13">
                  <c:v>16.456872813385974</c:v>
                </c:pt>
                <c:pt idx="14">
                  <c:v>14.839757453133902</c:v>
                </c:pt>
                <c:pt idx="15">
                  <c:v>15.680716430294684</c:v>
                </c:pt>
                <c:pt idx="16">
                  <c:v>15.109308952928073</c:v>
                </c:pt>
                <c:pt idx="17">
                  <c:v>16.907572061848889</c:v>
                </c:pt>
                <c:pt idx="18">
                  <c:v>13.681577153124481</c:v>
                </c:pt>
                <c:pt idx="19">
                  <c:v>12.797586156513356</c:v>
                </c:pt>
                <c:pt idx="20">
                  <c:v>11.812327899317156</c:v>
                </c:pt>
                <c:pt idx="21">
                  <c:v>11.788449911563609</c:v>
                </c:pt>
                <c:pt idx="22">
                  <c:v>12.020917161439597</c:v>
                </c:pt>
                <c:pt idx="23">
                  <c:v>12.99434175383089</c:v>
                </c:pt>
                <c:pt idx="24">
                  <c:v>12.763812966827702</c:v>
                </c:pt>
              </c:numCache>
            </c:numRef>
          </c:val>
          <c:extLst>
            <c:ext xmlns:c16="http://schemas.microsoft.com/office/drawing/2014/chart" uri="{C3380CC4-5D6E-409C-BE32-E72D297353CC}">
              <c16:uniqueId val="{00000003-6A70-46C7-BE0B-1542CF4E2601}"/>
            </c:ext>
          </c:extLst>
        </c:ser>
        <c:dLbls>
          <c:showLegendKey val="0"/>
          <c:showVal val="0"/>
          <c:showCatName val="0"/>
          <c:showSerName val="0"/>
          <c:showPercent val="0"/>
          <c:showBubbleSize val="0"/>
        </c:dLbls>
        <c:axId val="189216639"/>
        <c:axId val="189230367"/>
      </c:areaChart>
      <c:catAx>
        <c:axId val="18921663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230367"/>
        <c:crosses val="autoZero"/>
        <c:auto val="1"/>
        <c:lblAlgn val="ctr"/>
        <c:lblOffset val="100"/>
        <c:noMultiLvlLbl val="0"/>
      </c:catAx>
      <c:valAx>
        <c:axId val="189230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2166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6983-AB64-495D-A258-D36DB6E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9958</Words>
  <Characters>56765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Njoroge L.K. (Dr)</dc:creator>
  <cp:keywords/>
  <dc:description/>
  <cp:lastModifiedBy>Njoroge L.K. (Dr)</cp:lastModifiedBy>
  <cp:revision>2</cp:revision>
  <cp:lastPrinted>2021-10-06T04:24:00Z</cp:lastPrinted>
  <dcterms:created xsi:type="dcterms:W3CDTF">2021-10-06T05:34:00Z</dcterms:created>
  <dcterms:modified xsi:type="dcterms:W3CDTF">2021-10-06T05:34:00Z</dcterms:modified>
</cp:coreProperties>
</file>