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b/>
          <w:iCs/>
          <w:sz w:val="36"/>
          <w:szCs w:val="36"/>
          <w:lang w:val="el-GR"/>
        </w:rPr>
        <w:id w:val="14084347"/>
        <w:docPartObj>
          <w:docPartGallery w:val="Cover Pages"/>
          <w:docPartUnique/>
        </w:docPartObj>
      </w:sdtPr>
      <w:sdtEndPr>
        <w:rPr>
          <w:sz w:val="24"/>
          <w:szCs w:val="24"/>
          <w:lang w:val="en-US"/>
        </w:rPr>
      </w:sdtEndPr>
      <w:sdtContent>
        <w:p w:rsidR="00976DC4" w:rsidRPr="00A07730" w:rsidRDefault="00976DC4" w:rsidP="00976DC4">
          <w:pPr>
            <w:spacing w:after="0" w:line="240" w:lineRule="auto"/>
            <w:jc w:val="center"/>
            <w:rPr>
              <w:rFonts w:ascii="Times New Roman" w:hAnsi="Times New Roman" w:cs="Times New Roman"/>
              <w:b/>
              <w:sz w:val="36"/>
              <w:szCs w:val="36"/>
            </w:rPr>
          </w:pPr>
          <w:r>
            <w:rPr>
              <w:rFonts w:ascii="Times New Roman" w:eastAsiaTheme="majorEastAsia" w:hAnsi="Times New Roman" w:cs="Times New Roman"/>
              <w:b/>
              <w:iCs/>
              <w:sz w:val="36"/>
              <w:szCs w:val="36"/>
            </w:rPr>
            <w:t>Financial Crisis and</w:t>
          </w:r>
          <w:r w:rsidRPr="00A07730">
            <w:rPr>
              <w:rFonts w:ascii="Times New Roman" w:hAnsi="Times New Roman" w:cs="Times New Roman"/>
              <w:b/>
              <w:sz w:val="36"/>
              <w:szCs w:val="36"/>
            </w:rPr>
            <w:t xml:space="preserve"> Capital Adequacy Ratio</w:t>
          </w:r>
          <w:r>
            <w:rPr>
              <w:rFonts w:ascii="Times New Roman" w:hAnsi="Times New Roman" w:cs="Times New Roman"/>
              <w:b/>
              <w:sz w:val="36"/>
              <w:szCs w:val="36"/>
            </w:rPr>
            <w:t>:</w:t>
          </w:r>
          <w:r w:rsidRPr="00A07730">
            <w:rPr>
              <w:rFonts w:ascii="Times New Roman" w:hAnsi="Times New Roman" w:cs="Times New Roman"/>
              <w:b/>
              <w:sz w:val="36"/>
              <w:szCs w:val="36"/>
            </w:rPr>
            <w:t xml:space="preserve"> </w:t>
          </w:r>
          <w:r>
            <w:rPr>
              <w:rFonts w:ascii="Times New Roman" w:hAnsi="Times New Roman" w:cs="Times New Roman"/>
              <w:b/>
              <w:sz w:val="36"/>
              <w:szCs w:val="36"/>
            </w:rPr>
            <w:t>A Case</w:t>
          </w:r>
          <w:r w:rsidRPr="00A37AF2">
            <w:rPr>
              <w:rFonts w:ascii="Times New Roman" w:hAnsi="Times New Roman" w:cs="Times New Roman"/>
              <w:b/>
              <w:sz w:val="36"/>
              <w:szCs w:val="36"/>
            </w:rPr>
            <w:t xml:space="preserve"> </w:t>
          </w:r>
          <w:r>
            <w:rPr>
              <w:rFonts w:ascii="Times New Roman" w:hAnsi="Times New Roman" w:cs="Times New Roman"/>
              <w:b/>
              <w:sz w:val="36"/>
              <w:szCs w:val="36"/>
            </w:rPr>
            <w:t xml:space="preserve">Study for </w:t>
          </w:r>
          <w:r w:rsidRPr="00A07730">
            <w:rPr>
              <w:rFonts w:ascii="Times New Roman" w:hAnsi="Times New Roman" w:cs="Times New Roman"/>
              <w:b/>
              <w:sz w:val="36"/>
              <w:szCs w:val="36"/>
            </w:rPr>
            <w:t>Cypriot Commercial Banks</w:t>
          </w:r>
        </w:p>
        <w:p w:rsidR="00976DC4" w:rsidRPr="004F1C07" w:rsidRDefault="00976DC4" w:rsidP="00976DC4">
          <w:pPr>
            <w:spacing w:after="0" w:line="240" w:lineRule="auto"/>
            <w:rPr>
              <w:rFonts w:ascii="Times New Roman" w:hAnsi="Times New Roman" w:cs="Times New Roman"/>
              <w:b/>
              <w:sz w:val="24"/>
              <w:szCs w:val="24"/>
            </w:rPr>
          </w:pPr>
        </w:p>
        <w:p w:rsidR="00976DC4" w:rsidRPr="004F1C07" w:rsidRDefault="00976DC4" w:rsidP="00976DC4">
          <w:pPr>
            <w:autoSpaceDE w:val="0"/>
            <w:autoSpaceDN w:val="0"/>
            <w:spacing w:line="240" w:lineRule="auto"/>
            <w:jc w:val="center"/>
            <w:textAlignment w:val="bottom"/>
            <w:rPr>
              <w:rFonts w:ascii="Times New Roman" w:hAnsi="Times New Roman" w:cs="Times New Roman"/>
              <w:b/>
              <w:color w:val="000000"/>
              <w:sz w:val="24"/>
              <w:szCs w:val="24"/>
            </w:rPr>
          </w:pPr>
          <w:r w:rsidRPr="004F1C07">
            <w:rPr>
              <w:rFonts w:ascii="Times New Roman" w:hAnsi="Times New Roman" w:cs="Times New Roman"/>
              <w:b/>
              <w:sz w:val="24"/>
              <w:szCs w:val="24"/>
            </w:rPr>
            <w:t>Andreas Hadjixenophontos</w:t>
          </w:r>
          <w:r w:rsidRPr="004F1C07">
            <w:rPr>
              <w:rStyle w:val="FootnoteReference"/>
              <w:rFonts w:ascii="Times New Roman" w:hAnsi="Times New Roman" w:cs="Times New Roman"/>
              <w:b/>
              <w:color w:val="000000"/>
              <w:sz w:val="24"/>
              <w:szCs w:val="24"/>
            </w:rPr>
            <w:footnoteReference w:id="1"/>
          </w:r>
          <w:r w:rsidRPr="004F1C07">
            <w:rPr>
              <w:rFonts w:ascii="Times New Roman" w:hAnsi="Times New Roman" w:cs="Times New Roman"/>
              <w:b/>
              <w:color w:val="000000"/>
              <w:sz w:val="24"/>
              <w:szCs w:val="24"/>
            </w:rPr>
            <w:t xml:space="preserve"> and </w:t>
          </w:r>
          <w:r w:rsidRPr="004F1C07">
            <w:rPr>
              <w:rFonts w:ascii="Times New Roman" w:hAnsi="Times New Roman" w:cs="Times New Roman"/>
              <w:b/>
              <w:sz w:val="24"/>
              <w:szCs w:val="24"/>
              <w:lang w:val="fr-FR"/>
            </w:rPr>
            <w:t>Christos Christodoulou-Volos</w:t>
          </w:r>
          <w:r w:rsidRPr="004F1C07">
            <w:rPr>
              <w:rStyle w:val="FootnoteReference"/>
              <w:rFonts w:ascii="Times New Roman" w:hAnsi="Times New Roman" w:cs="Times New Roman"/>
              <w:b/>
              <w:color w:val="000000"/>
              <w:sz w:val="24"/>
              <w:szCs w:val="24"/>
            </w:rPr>
            <w:footnoteReference w:id="2"/>
          </w:r>
        </w:p>
        <w:p w:rsidR="00976DC4" w:rsidRPr="004F1C07" w:rsidRDefault="00976DC4" w:rsidP="00976DC4">
          <w:pPr>
            <w:spacing w:after="0" w:line="240" w:lineRule="auto"/>
            <w:rPr>
              <w:rFonts w:ascii="Times New Roman" w:hAnsi="Times New Roman" w:cs="Times New Roman"/>
              <w:b/>
              <w:sz w:val="24"/>
              <w:szCs w:val="24"/>
            </w:rPr>
          </w:pPr>
        </w:p>
        <w:p w:rsidR="00976DC4" w:rsidRPr="004F1C07" w:rsidRDefault="00976DC4" w:rsidP="00976DC4">
          <w:pPr>
            <w:spacing w:after="0" w:line="240" w:lineRule="auto"/>
            <w:rPr>
              <w:rFonts w:ascii="Times New Roman" w:hAnsi="Times New Roman" w:cs="Times New Roman"/>
              <w:b/>
              <w:sz w:val="24"/>
              <w:szCs w:val="24"/>
            </w:rPr>
          </w:pPr>
        </w:p>
        <w:p w:rsidR="00976DC4" w:rsidRPr="00A07730" w:rsidRDefault="00976DC4" w:rsidP="00976DC4">
          <w:pPr>
            <w:spacing w:after="0" w:line="240" w:lineRule="auto"/>
            <w:jc w:val="center"/>
            <w:rPr>
              <w:rFonts w:ascii="Times New Roman" w:hAnsi="Times New Roman" w:cs="Times New Roman"/>
              <w:b/>
              <w:sz w:val="26"/>
              <w:szCs w:val="26"/>
            </w:rPr>
          </w:pPr>
          <w:r w:rsidRPr="00A07730">
            <w:rPr>
              <w:rFonts w:ascii="Times New Roman" w:hAnsi="Times New Roman" w:cs="Times New Roman"/>
              <w:b/>
              <w:sz w:val="26"/>
              <w:szCs w:val="26"/>
            </w:rPr>
            <w:t>Abstract</w:t>
          </w: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This empirical study analyses the determinants of capital adequacy of Cypriot banks mainly during the period of financial crisis using multiple linear regression. Specifically, the study focuses on certain features of banks (risk, liquidity, return etc.) to determine whether they affect the volatility of capital adequacy. The study provides </w:t>
          </w:r>
          <w:r>
            <w:rPr>
              <w:rFonts w:ascii="Times New Roman" w:hAnsi="Times New Roman" w:cs="Times New Roman"/>
              <w:color w:val="222222"/>
              <w:sz w:val="24"/>
              <w:szCs w:val="24"/>
              <w:lang w:val="en"/>
            </w:rPr>
            <w:t xml:space="preserve">supportive </w:t>
          </w:r>
          <w:r w:rsidRPr="00D71846">
            <w:rPr>
              <w:rFonts w:ascii="Times New Roman" w:hAnsi="Times New Roman" w:cs="Times New Roman"/>
              <w:color w:val="222222"/>
              <w:sz w:val="24"/>
              <w:szCs w:val="24"/>
              <w:lang w:val="en"/>
            </w:rPr>
            <w:t xml:space="preserve">evidence that there is a negative statistically significant relationship regarding </w:t>
          </w:r>
          <w:proofErr w:type="spellStart"/>
          <w:r w:rsidRPr="00D71846">
            <w:rPr>
              <w:rFonts w:ascii="Times New Roman" w:hAnsi="Times New Roman" w:cs="Times New Roman"/>
              <w:color w:val="222222"/>
              <w:sz w:val="24"/>
              <w:szCs w:val="24"/>
              <w:lang w:val="en"/>
            </w:rPr>
            <w:t>banksize</w:t>
          </w:r>
          <w:proofErr w:type="spellEnd"/>
          <w:r w:rsidRPr="00D71846">
            <w:rPr>
              <w:rFonts w:ascii="Times New Roman" w:hAnsi="Times New Roman" w:cs="Times New Roman"/>
              <w:color w:val="222222"/>
              <w:sz w:val="24"/>
              <w:szCs w:val="24"/>
              <w:lang w:val="en"/>
            </w:rPr>
            <w:t xml:space="preserve"> and risk and a positive regarding the level of provisions and percentage of Net Interest Margin. The factors affecting the capital adequacy ratio in Cyprus are the increases in credit risk and nonperforming loans, excessive leverage, increased requirements by regulatory authorities for the implementation and fulfillment of the Basel III rules by 2019, the negative environment and lack of trust, intensive competition among banks, the small size of banks in comparison with the interbank market, low yield and target for long-term growth, poor corporate governance and the problem of information asymmetry. Moreover, in the case of Cyprus, the additional capital is a strategic hedge to secure access to deposits and money markets and “buffer” as insurance in case of unforeseen events in the future due to the previous negative experience.</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2D249C" w:rsidRDefault="00976DC4" w:rsidP="00976DC4">
          <w:pPr>
            <w:spacing w:after="0" w:line="240" w:lineRule="auto"/>
            <w:rPr>
              <w:rFonts w:ascii="Times New Roman" w:eastAsia="Times New Roman" w:hAnsi="Times New Roman" w:cs="Times New Roman"/>
              <w:color w:val="505050"/>
              <w:sz w:val="24"/>
              <w:szCs w:val="24"/>
              <w:lang w:val="en"/>
            </w:rPr>
          </w:pPr>
          <w:r w:rsidRPr="00E87ADE">
            <w:rPr>
              <w:rFonts w:ascii="Times New Roman" w:hAnsi="Times New Roman" w:cs="Times New Roman"/>
              <w:b/>
              <w:sz w:val="24"/>
              <w:szCs w:val="24"/>
            </w:rPr>
            <w:t xml:space="preserve">JEL </w:t>
          </w:r>
          <w:r>
            <w:rPr>
              <w:rFonts w:ascii="Times New Roman" w:hAnsi="Times New Roman" w:cs="Times New Roman"/>
              <w:b/>
              <w:sz w:val="24"/>
              <w:szCs w:val="24"/>
            </w:rPr>
            <w:t>c</w:t>
          </w:r>
          <w:r w:rsidRPr="00E87ADE">
            <w:rPr>
              <w:rFonts w:ascii="Times New Roman" w:hAnsi="Times New Roman" w:cs="Times New Roman"/>
              <w:b/>
              <w:sz w:val="24"/>
              <w:szCs w:val="24"/>
            </w:rPr>
            <w:t xml:space="preserve">lassification </w:t>
          </w:r>
          <w:r>
            <w:rPr>
              <w:rFonts w:ascii="Times New Roman" w:hAnsi="Times New Roman" w:cs="Times New Roman"/>
              <w:b/>
              <w:sz w:val="24"/>
              <w:szCs w:val="24"/>
            </w:rPr>
            <w:t>n</w:t>
          </w:r>
          <w:r w:rsidRPr="00E87ADE">
            <w:rPr>
              <w:rFonts w:ascii="Times New Roman" w:hAnsi="Times New Roman" w:cs="Times New Roman"/>
              <w:b/>
              <w:sz w:val="24"/>
              <w:szCs w:val="24"/>
            </w:rPr>
            <w:t>umbers:</w:t>
          </w:r>
          <w:r w:rsidRPr="00D71846">
            <w:rPr>
              <w:rFonts w:ascii="Times New Roman" w:hAnsi="Times New Roman" w:cs="Times New Roman"/>
              <w:sz w:val="24"/>
              <w:szCs w:val="24"/>
            </w:rPr>
            <w:t xml:space="preserve"> F15, </w:t>
          </w:r>
          <w:r w:rsidRPr="002D249C">
            <w:rPr>
              <w:rFonts w:ascii="Times New Roman" w:eastAsia="Times New Roman" w:hAnsi="Times New Roman" w:cs="Times New Roman"/>
              <w:sz w:val="24"/>
              <w:szCs w:val="24"/>
              <w:lang w:val="en"/>
            </w:rPr>
            <w:t>F34</w:t>
          </w:r>
          <w:r w:rsidRPr="00D71846">
            <w:rPr>
              <w:rFonts w:ascii="Times New Roman" w:eastAsia="Times New Roman" w:hAnsi="Times New Roman" w:cs="Times New Roman"/>
              <w:sz w:val="24"/>
              <w:szCs w:val="24"/>
              <w:lang w:val="en"/>
            </w:rPr>
            <w:t xml:space="preserve">, </w:t>
          </w:r>
          <w:r w:rsidRPr="002D249C">
            <w:rPr>
              <w:rFonts w:ascii="Times New Roman" w:eastAsia="Times New Roman" w:hAnsi="Times New Roman" w:cs="Times New Roman"/>
              <w:sz w:val="24"/>
              <w:szCs w:val="24"/>
              <w:lang w:val="en"/>
            </w:rPr>
            <w:t>G21</w:t>
          </w:r>
        </w:p>
        <w:p w:rsidR="00976DC4" w:rsidRPr="00D71846" w:rsidRDefault="00976DC4" w:rsidP="00976DC4">
          <w:pPr>
            <w:spacing w:after="0" w:line="240" w:lineRule="auto"/>
            <w:jc w:val="both"/>
            <w:rPr>
              <w:rFonts w:ascii="Times New Roman" w:hAnsi="Times New Roman" w:cs="Times New Roman"/>
              <w:sz w:val="24"/>
              <w:szCs w:val="24"/>
            </w:rPr>
          </w:pPr>
          <w:r w:rsidRPr="00E87ADE">
            <w:rPr>
              <w:rFonts w:ascii="Times New Roman" w:hAnsi="Times New Roman" w:cs="Times New Roman"/>
              <w:b/>
              <w:sz w:val="24"/>
              <w:szCs w:val="24"/>
            </w:rPr>
            <w:t>Keywords:</w:t>
          </w:r>
          <w:r w:rsidRPr="00D71846">
            <w:rPr>
              <w:rFonts w:ascii="Times New Roman" w:hAnsi="Times New Roman" w:cs="Times New Roman"/>
              <w:sz w:val="24"/>
              <w:szCs w:val="24"/>
            </w:rPr>
            <w:t xml:space="preserve"> Capital Adequacy Ratio (CAR), Commercial banks, Liquidity, Basel, Return</w:t>
          </w:r>
        </w:p>
        <w:p w:rsidR="0011696C" w:rsidRDefault="0011696C" w:rsidP="00976DC4">
          <w:pPr>
            <w:pStyle w:val="AcknowledgementDedicationTitle"/>
            <w:spacing w:after="0"/>
            <w:jc w:val="left"/>
            <w:rPr>
              <w:b/>
              <w:sz w:val="24"/>
            </w:rPr>
          </w:pPr>
        </w:p>
        <w:p w:rsidR="00976DC4" w:rsidRDefault="004466A1" w:rsidP="00976DC4">
          <w:pPr>
            <w:pStyle w:val="AcknowledgementDedicationTitle"/>
            <w:spacing w:after="0"/>
            <w:jc w:val="left"/>
            <w:rPr>
              <w:b/>
              <w:sz w:val="24"/>
            </w:rPr>
          </w:pPr>
        </w:p>
      </w:sdtContent>
    </w:sdt>
    <w:p w:rsidR="00976DC4" w:rsidRPr="00A07730" w:rsidRDefault="00976DC4" w:rsidP="00976DC4">
      <w:pPr>
        <w:pStyle w:val="AcknowledgementDedicationTitle"/>
        <w:numPr>
          <w:ilvl w:val="0"/>
          <w:numId w:val="18"/>
        </w:numPr>
        <w:spacing w:after="0"/>
        <w:ind w:left="360"/>
        <w:jc w:val="left"/>
        <w:rPr>
          <w:b/>
          <w:sz w:val="24"/>
        </w:rPr>
      </w:pPr>
      <w:r w:rsidRPr="00A07730">
        <w:rPr>
          <w:b/>
          <w:sz w:val="24"/>
        </w:rPr>
        <w:t>Introduction</w:t>
      </w:r>
    </w:p>
    <w:p w:rsidR="00976DC4" w:rsidRPr="00A07730" w:rsidRDefault="00976DC4" w:rsidP="00976DC4">
      <w:pPr>
        <w:pStyle w:val="ListParagraph"/>
        <w:spacing w:after="0" w:line="240" w:lineRule="auto"/>
        <w:ind w:left="0"/>
        <w:rPr>
          <w:rFonts w:ascii="Times New Roman" w:hAnsi="Times New Roman" w:cs="Times New Roman"/>
          <w:b/>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Financial institutions play a crucial role in the development, growth and orderly functioning of the economy as a whole. An efficient financial system is seen as a prerequisite </w:t>
      </w:r>
      <w:r w:rsidR="00B1795E">
        <w:rPr>
          <w:rFonts w:ascii="Times New Roman" w:hAnsi="Times New Roman" w:cs="Times New Roman"/>
          <w:color w:val="222222"/>
          <w:sz w:val="24"/>
          <w:szCs w:val="24"/>
          <w:lang w:val="en"/>
        </w:rPr>
        <w:t>for rapid economic development</w:t>
      </w:r>
      <w:r w:rsidRPr="00D71846">
        <w:rPr>
          <w:rFonts w:ascii="Times New Roman" w:hAnsi="Times New Roman" w:cs="Times New Roman"/>
          <w:color w:val="222222"/>
          <w:sz w:val="24"/>
          <w:szCs w:val="24"/>
          <w:lang w:val="en"/>
        </w:rPr>
        <w:t>. On the other hand, poor performance of the banking sector may lead to bank failure. The bankruptcy of a bank may have an enormous impact on an economy due to contagion that can lead to overall economic crisis (</w:t>
      </w:r>
      <w:proofErr w:type="spellStart"/>
      <w:r w:rsidRPr="00D71846">
        <w:rPr>
          <w:rFonts w:ascii="Times New Roman" w:hAnsi="Times New Roman" w:cs="Times New Roman"/>
          <w:color w:val="222222"/>
          <w:sz w:val="24"/>
          <w:szCs w:val="24"/>
          <w:lang w:val="en"/>
        </w:rPr>
        <w:t>Oloo</w:t>
      </w:r>
      <w:proofErr w:type="spellEnd"/>
      <w:r w:rsidRPr="00D71846">
        <w:rPr>
          <w:rFonts w:ascii="Times New Roman" w:hAnsi="Times New Roman" w:cs="Times New Roman"/>
          <w:color w:val="222222"/>
          <w:sz w:val="24"/>
          <w:szCs w:val="24"/>
          <w:lang w:val="en"/>
        </w:rPr>
        <w:t xml:space="preserve">, 2011).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The global financial crisis of 2007-2009 highlighted the importance of bank managerial efficiency and effectiveness. Due to the significant influence of the </w:t>
      </w:r>
      <w:r>
        <w:rPr>
          <w:rFonts w:ascii="Times New Roman" w:hAnsi="Times New Roman" w:cs="Times New Roman"/>
          <w:color w:val="222222"/>
          <w:sz w:val="24"/>
          <w:szCs w:val="24"/>
          <w:lang w:val="en"/>
        </w:rPr>
        <w:t xml:space="preserve">banking </w:t>
      </w:r>
      <w:r w:rsidRPr="00D71846">
        <w:rPr>
          <w:rFonts w:ascii="Times New Roman" w:hAnsi="Times New Roman" w:cs="Times New Roman"/>
          <w:color w:val="222222"/>
          <w:sz w:val="24"/>
          <w:szCs w:val="24"/>
          <w:lang w:val="en"/>
        </w:rPr>
        <w:t xml:space="preserve">sector on the economy, bank regulation and supervision are considered of </w:t>
      </w:r>
      <w:r w:rsidR="00441642">
        <w:rPr>
          <w:rFonts w:ascii="Times New Roman" w:hAnsi="Times New Roman" w:cs="Times New Roman"/>
          <w:color w:val="222222"/>
          <w:sz w:val="24"/>
          <w:szCs w:val="24"/>
          <w:lang w:val="en"/>
        </w:rPr>
        <w:t>great</w:t>
      </w:r>
      <w:r w:rsidRPr="00D71846">
        <w:rPr>
          <w:rFonts w:ascii="Times New Roman" w:hAnsi="Times New Roman" w:cs="Times New Roman"/>
          <w:color w:val="222222"/>
          <w:sz w:val="24"/>
          <w:szCs w:val="24"/>
          <w:lang w:val="en"/>
        </w:rPr>
        <w:t xml:space="preserve"> importance (Barth and others, 2006). Stricter bank supervision can prevent or at least reduce the frequency of bank crisis (Morgan, 1984). Such supervision aims to maintain a sufficient and satisfactory level of capital </w:t>
      </w:r>
      <w:r w:rsidRPr="00D71846">
        <w:rPr>
          <w:rFonts w:ascii="Times New Roman" w:hAnsi="Times New Roman" w:cs="Times New Roman"/>
          <w:color w:val="222222"/>
          <w:sz w:val="24"/>
          <w:szCs w:val="24"/>
          <w:lang w:val="en"/>
        </w:rPr>
        <w:lastRenderedPageBreak/>
        <w:t>adequacy. Commercial banks must create buffer reserves to meet potential losses in a crisis period and countercyclical capital reserves as protection against excessive credit expansion that could disrupt the stability of the financial system. Usually banks have more capital than required by regulations. This is partly explained by the fact that banks operate preventively against unexpected crises. Recent studies show that factors determining the capital adequacy ratio are not limited to the requirements of the regulatory authorities, but other variables are also important.</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 xml:space="preserve">The second part of this paper describes the banking system in Cyprus and the recent economic crisis which affected significantly the capital adequacy ratios. Part three explains how the introduction of the Basel Agreements has affected the regulatory framework regarding capital adequacy. Part four reviews the theoretical and empirical approach followed by regression analysis in the fifth part aiming to identify correlations between various financial indicators. Conclusions based on the findings are presented in part six. </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pStyle w:val="HTMLPreformatted"/>
        <w:numPr>
          <w:ilvl w:val="0"/>
          <w:numId w:val="18"/>
        </w:numPr>
        <w:shd w:val="clear" w:color="auto" w:fill="FFFFFF"/>
        <w:ind w:left="360"/>
        <w:rPr>
          <w:rFonts w:ascii="Times New Roman" w:hAnsi="Times New Roman" w:cs="Times New Roman"/>
          <w:b/>
          <w:sz w:val="24"/>
          <w:szCs w:val="24"/>
          <w:lang w:val="el-GR"/>
        </w:rPr>
      </w:pPr>
      <w:r w:rsidRPr="00D71846">
        <w:rPr>
          <w:rFonts w:ascii="Times New Roman" w:hAnsi="Times New Roman" w:cs="Times New Roman"/>
          <w:b/>
          <w:sz w:val="24"/>
          <w:szCs w:val="24"/>
        </w:rPr>
        <w:t xml:space="preserve">The </w:t>
      </w:r>
      <w:r>
        <w:rPr>
          <w:rFonts w:ascii="Times New Roman" w:hAnsi="Times New Roman" w:cs="Times New Roman"/>
          <w:b/>
          <w:sz w:val="24"/>
          <w:szCs w:val="24"/>
        </w:rPr>
        <w:t>C</w:t>
      </w:r>
      <w:r w:rsidRPr="00D71846">
        <w:rPr>
          <w:rFonts w:ascii="Times New Roman" w:hAnsi="Times New Roman" w:cs="Times New Roman"/>
          <w:b/>
          <w:sz w:val="24"/>
          <w:szCs w:val="24"/>
        </w:rPr>
        <w:t xml:space="preserve">ypriot </w:t>
      </w:r>
      <w:r>
        <w:rPr>
          <w:rFonts w:ascii="Times New Roman" w:hAnsi="Times New Roman" w:cs="Times New Roman"/>
          <w:b/>
          <w:sz w:val="24"/>
          <w:szCs w:val="24"/>
        </w:rPr>
        <w:t>B</w:t>
      </w:r>
      <w:r w:rsidRPr="00D71846">
        <w:rPr>
          <w:rFonts w:ascii="Times New Roman" w:hAnsi="Times New Roman" w:cs="Times New Roman"/>
          <w:b/>
          <w:sz w:val="24"/>
          <w:szCs w:val="24"/>
        </w:rPr>
        <w:t xml:space="preserve">anking </w:t>
      </w:r>
      <w:r>
        <w:rPr>
          <w:rFonts w:ascii="Times New Roman" w:hAnsi="Times New Roman" w:cs="Times New Roman"/>
          <w:b/>
          <w:sz w:val="24"/>
          <w:szCs w:val="24"/>
        </w:rPr>
        <w:t>S</w:t>
      </w:r>
      <w:r w:rsidRPr="00D71846">
        <w:rPr>
          <w:rFonts w:ascii="Times New Roman" w:hAnsi="Times New Roman" w:cs="Times New Roman"/>
          <w:b/>
          <w:sz w:val="24"/>
          <w:szCs w:val="24"/>
        </w:rPr>
        <w:t>ystem</w:t>
      </w:r>
      <w:r w:rsidRPr="00D71846">
        <w:rPr>
          <w:rFonts w:ascii="Times New Roman" w:hAnsi="Times New Roman" w:cs="Times New Roman"/>
          <w:b/>
          <w:sz w:val="24"/>
          <w:szCs w:val="24"/>
          <w:lang w:val="el-GR"/>
        </w:rPr>
        <w:t xml:space="preserve"> </w:t>
      </w:r>
    </w:p>
    <w:p w:rsidR="00976DC4" w:rsidRPr="00D71846" w:rsidRDefault="00976DC4" w:rsidP="00976DC4">
      <w:pPr>
        <w:pStyle w:val="HTMLPreformatted"/>
        <w:shd w:val="clear" w:color="auto" w:fill="FFFFFF"/>
        <w:jc w:val="both"/>
        <w:rPr>
          <w:rFonts w:ascii="Times New Roman" w:hAnsi="Times New Roman" w:cs="Times New Roman"/>
          <w:sz w:val="24"/>
          <w:szCs w:val="24"/>
          <w:lang w:val="el-GR"/>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Financial sector systemic crises can often lead to a destabilization of the entire economic system. The recent global economic crisis started in early autumn of 2008 with the collapse of key financial institutions. These failures spread to all international financial markets. The Cyprus economy and the Cypriot financial system were directly and strongly affected by this crisis.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numPr>
          <w:ilvl w:val="1"/>
          <w:numId w:val="19"/>
        </w:numPr>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 xml:space="preserve">Major </w:t>
      </w:r>
      <w:r>
        <w:rPr>
          <w:rFonts w:ascii="Times New Roman" w:hAnsi="Times New Roman" w:cs="Times New Roman"/>
          <w:b/>
          <w:sz w:val="24"/>
          <w:szCs w:val="24"/>
        </w:rPr>
        <w:t>C</w:t>
      </w:r>
      <w:r w:rsidRPr="00D71846">
        <w:rPr>
          <w:rFonts w:ascii="Times New Roman" w:hAnsi="Times New Roman" w:cs="Times New Roman"/>
          <w:b/>
          <w:sz w:val="24"/>
          <w:szCs w:val="24"/>
        </w:rPr>
        <w:t xml:space="preserve">auses of the </w:t>
      </w:r>
      <w:r>
        <w:rPr>
          <w:rFonts w:ascii="Times New Roman" w:hAnsi="Times New Roman" w:cs="Times New Roman"/>
          <w:b/>
          <w:sz w:val="24"/>
          <w:szCs w:val="24"/>
        </w:rPr>
        <w:t>E</w:t>
      </w:r>
      <w:r w:rsidRPr="00D71846">
        <w:rPr>
          <w:rFonts w:ascii="Times New Roman" w:hAnsi="Times New Roman" w:cs="Times New Roman"/>
          <w:b/>
          <w:sz w:val="24"/>
          <w:szCs w:val="24"/>
        </w:rPr>
        <w:t xml:space="preserve">conomic </w:t>
      </w:r>
      <w:r>
        <w:rPr>
          <w:rFonts w:ascii="Times New Roman" w:hAnsi="Times New Roman" w:cs="Times New Roman"/>
          <w:b/>
          <w:sz w:val="24"/>
          <w:szCs w:val="24"/>
        </w:rPr>
        <w:t>C</w:t>
      </w:r>
      <w:r w:rsidRPr="00D71846">
        <w:rPr>
          <w:rFonts w:ascii="Times New Roman" w:hAnsi="Times New Roman" w:cs="Times New Roman"/>
          <w:b/>
          <w:sz w:val="24"/>
          <w:szCs w:val="24"/>
        </w:rPr>
        <w:t xml:space="preserve">risis in </w:t>
      </w:r>
      <w:r>
        <w:rPr>
          <w:rFonts w:ascii="Times New Roman" w:hAnsi="Times New Roman" w:cs="Times New Roman"/>
          <w:b/>
          <w:sz w:val="24"/>
          <w:szCs w:val="24"/>
        </w:rPr>
        <w:t>C</w:t>
      </w:r>
      <w:r w:rsidRPr="00D71846">
        <w:rPr>
          <w:rFonts w:ascii="Times New Roman" w:hAnsi="Times New Roman" w:cs="Times New Roman"/>
          <w:b/>
          <w:sz w:val="24"/>
          <w:szCs w:val="24"/>
        </w:rPr>
        <w:t>yprus</w:t>
      </w:r>
    </w:p>
    <w:p w:rsidR="00976DC4" w:rsidRPr="00D71846" w:rsidRDefault="00976DC4" w:rsidP="00976DC4">
      <w:pPr>
        <w:pStyle w:val="HTMLPreformatted"/>
        <w:shd w:val="clear" w:color="auto" w:fill="FFFFFF"/>
        <w:jc w:val="both"/>
        <w:rPr>
          <w:rFonts w:ascii="Times New Roman" w:hAnsi="Times New Roman" w:cs="Times New Roman"/>
          <w:b/>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main</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causes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of</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the economic</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crisis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in</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Cyprus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are</w:t>
      </w:r>
      <w:r w:rsidRPr="00D71846">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highlighted </w:t>
      </w:r>
      <w:r w:rsidRPr="00D71846">
        <w:rPr>
          <w:rFonts w:ascii="Times New Roman" w:hAnsi="Times New Roman" w:cs="Times New Roman"/>
          <w:color w:val="222222"/>
          <w:sz w:val="24"/>
          <w:szCs w:val="24"/>
          <w:lang w:val="en"/>
        </w:rPr>
        <w:t>below</w:t>
      </w:r>
      <w:r w:rsidRPr="00D71846">
        <w:rPr>
          <w:rFonts w:ascii="Times New Roman" w:hAnsi="Times New Roman" w:cs="Times New Roman"/>
          <w:color w:val="222222"/>
          <w:sz w:val="24"/>
          <w:szCs w:val="24"/>
        </w:rPr>
        <w:t>:</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sz w:val="24"/>
          <w:szCs w:val="24"/>
        </w:rPr>
        <w:t>EU membership:</w:t>
      </w:r>
      <w:r w:rsidRPr="00D71846">
        <w:rPr>
          <w:rFonts w:ascii="Times New Roman" w:hAnsi="Times New Roman" w:cs="Times New Roman"/>
          <w:sz w:val="24"/>
          <w:szCs w:val="24"/>
        </w:rPr>
        <w:t xml:space="preserve">  </w:t>
      </w:r>
      <w:r w:rsidRPr="00D71846">
        <w:rPr>
          <w:rFonts w:ascii="Times New Roman" w:hAnsi="Times New Roman" w:cs="Times New Roman"/>
          <w:color w:val="222222"/>
          <w:sz w:val="24"/>
          <w:szCs w:val="24"/>
          <w:lang w:val="en"/>
        </w:rPr>
        <w:t xml:space="preserve">In the context of becoming a member of the EU, Cyprus had to meet certain criteria such as the </w:t>
      </w:r>
      <w:proofErr w:type="spellStart"/>
      <w:r w:rsidRPr="00D71846">
        <w:rPr>
          <w:rFonts w:ascii="Times New Roman" w:hAnsi="Times New Roman" w:cs="Times New Roman"/>
          <w:color w:val="222222"/>
          <w:sz w:val="24"/>
          <w:szCs w:val="24"/>
          <w:lang w:val="en"/>
        </w:rPr>
        <w:t>libelarisation</w:t>
      </w:r>
      <w:proofErr w:type="spellEnd"/>
      <w:r w:rsidRPr="00D71846">
        <w:rPr>
          <w:rFonts w:ascii="Times New Roman" w:hAnsi="Times New Roman" w:cs="Times New Roman"/>
          <w:color w:val="222222"/>
          <w:sz w:val="24"/>
          <w:szCs w:val="24"/>
          <w:lang w:val="en"/>
        </w:rPr>
        <w:t xml:space="preserve"> of fiscal policy. The introduction of the euro has removed Cyprus pound – euro currency uncertainty but at the same time removed national monetary independence.</w:t>
      </w: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color w:val="222222"/>
          <w:sz w:val="24"/>
          <w:szCs w:val="24"/>
          <w:lang w:val="en"/>
        </w:rPr>
        <w:t>Bank size and credit expansion</w:t>
      </w:r>
      <w:r w:rsidRPr="00D71846">
        <w:rPr>
          <w:rFonts w:ascii="Times New Roman" w:hAnsi="Times New Roman" w:cs="Times New Roman"/>
          <w:color w:val="222222"/>
          <w:sz w:val="24"/>
          <w:szCs w:val="24"/>
          <w:lang w:val="en"/>
        </w:rPr>
        <w:t>: Three years after the euro adoption, the leading Cypriot banks held assets of more than 8 times the country's GDP and had undertaken excessive risks contrary to standard principles of risk management and portfolio diversification theory.</w:t>
      </w:r>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sz w:val="24"/>
          <w:szCs w:val="24"/>
        </w:rPr>
        <w:t>Real estate bubble</w:t>
      </w:r>
      <w:r w:rsidRPr="00D71846">
        <w:rPr>
          <w:rFonts w:ascii="Times New Roman" w:hAnsi="Times New Roman" w:cs="Times New Roman"/>
          <w:color w:val="222222"/>
          <w:sz w:val="24"/>
          <w:szCs w:val="24"/>
          <w:lang w:val="en"/>
        </w:rPr>
        <w:t>: Poor risk management and uncontrollable credit expansion caused a bubble in real estate that finally resulted in the significant hike in non-performing loans and the rapid deterioration of the economy.</w:t>
      </w: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color w:val="222222"/>
          <w:sz w:val="24"/>
          <w:szCs w:val="24"/>
          <w:lang w:val="en"/>
        </w:rPr>
        <w:t>Overexposure to the Greek economy:</w:t>
      </w:r>
      <w:r w:rsidRPr="00D71846">
        <w:rPr>
          <w:rFonts w:ascii="Times New Roman" w:hAnsi="Times New Roman" w:cs="Times New Roman"/>
          <w:color w:val="222222"/>
          <w:sz w:val="24"/>
          <w:szCs w:val="24"/>
          <w:lang w:val="en"/>
        </w:rPr>
        <w:t xml:space="preserve"> Due to historical reasons Cyprus has always had close ties with Greece. The opening of subsidiaries in Greece by the Cypriot banks and the investment of more than €4bn in Greek government bonds at a time when the Greek economy followed a downward trend resulted in serious problems for the economy of Cyprus especially following the PSI. The downgrading of Cyprus </w:t>
      </w:r>
      <w:r w:rsidR="00441642" w:rsidRPr="00D71846">
        <w:rPr>
          <w:rFonts w:ascii="Times New Roman" w:hAnsi="Times New Roman" w:cs="Times New Roman"/>
          <w:color w:val="222222"/>
          <w:sz w:val="24"/>
          <w:szCs w:val="24"/>
          <w:lang w:val="en"/>
        </w:rPr>
        <w:t>following</w:t>
      </w:r>
      <w:r w:rsidRPr="00D71846">
        <w:rPr>
          <w:rFonts w:ascii="Times New Roman" w:hAnsi="Times New Roman" w:cs="Times New Roman"/>
          <w:color w:val="222222"/>
          <w:sz w:val="24"/>
          <w:szCs w:val="24"/>
          <w:lang w:val="en"/>
        </w:rPr>
        <w:t xml:space="preserve"> the €4bn loss due to the PSI led to a </w:t>
      </w:r>
      <w:r w:rsidR="00441642" w:rsidRPr="00D71846">
        <w:rPr>
          <w:rFonts w:ascii="Times New Roman" w:hAnsi="Times New Roman" w:cs="Times New Roman"/>
          <w:color w:val="222222"/>
          <w:sz w:val="24"/>
          <w:szCs w:val="24"/>
          <w:lang w:val="en"/>
        </w:rPr>
        <w:t>mammoth</w:t>
      </w:r>
      <w:r w:rsidRPr="00D71846">
        <w:rPr>
          <w:rFonts w:ascii="Times New Roman" w:hAnsi="Times New Roman" w:cs="Times New Roman"/>
          <w:color w:val="222222"/>
          <w:sz w:val="24"/>
          <w:szCs w:val="24"/>
          <w:lang w:val="en"/>
        </w:rPr>
        <w:t xml:space="preserve"> increase in the cost of national borrowing and effectively </w:t>
      </w:r>
      <w:r w:rsidR="00441642">
        <w:rPr>
          <w:rFonts w:ascii="Times New Roman" w:hAnsi="Times New Roman" w:cs="Times New Roman"/>
          <w:color w:val="222222"/>
          <w:sz w:val="24"/>
          <w:szCs w:val="24"/>
          <w:lang w:val="en"/>
        </w:rPr>
        <w:t>threw</w:t>
      </w:r>
      <w:r w:rsidRPr="00D71846">
        <w:rPr>
          <w:rFonts w:ascii="Times New Roman" w:hAnsi="Times New Roman" w:cs="Times New Roman"/>
          <w:color w:val="222222"/>
          <w:sz w:val="24"/>
          <w:szCs w:val="24"/>
          <w:lang w:val="en"/>
        </w:rPr>
        <w:t xml:space="preserve"> Cyprus out</w:t>
      </w:r>
      <w:r w:rsidR="00441642">
        <w:rPr>
          <w:rFonts w:ascii="Times New Roman" w:hAnsi="Times New Roman" w:cs="Times New Roman"/>
          <w:color w:val="222222"/>
          <w:sz w:val="24"/>
          <w:szCs w:val="24"/>
          <w:lang w:val="en"/>
        </w:rPr>
        <w:t xml:space="preserve"> of</w:t>
      </w:r>
      <w:r w:rsidRPr="00D71846">
        <w:rPr>
          <w:rFonts w:ascii="Times New Roman" w:hAnsi="Times New Roman" w:cs="Times New Roman"/>
          <w:color w:val="222222"/>
          <w:sz w:val="24"/>
          <w:szCs w:val="24"/>
          <w:lang w:val="en"/>
        </w:rPr>
        <w:t xml:space="preserve"> the international credit markets.</w:t>
      </w:r>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color w:val="222222"/>
          <w:sz w:val="24"/>
          <w:szCs w:val="24"/>
          <w:lang w:val="en"/>
        </w:rPr>
        <w:t>Expansion in other markets:</w:t>
      </w:r>
      <w:r w:rsidRPr="00D71846">
        <w:rPr>
          <w:rFonts w:ascii="Times New Roman" w:hAnsi="Times New Roman" w:cs="Times New Roman"/>
          <w:color w:val="222222"/>
          <w:sz w:val="24"/>
          <w:szCs w:val="24"/>
          <w:lang w:val="en"/>
        </w:rPr>
        <w:t xml:space="preserve"> The expansion in foreign markets as well as in non-traditional commercial banking activities, although profitable during the growth period, proved dangerous during the crisis.</w:t>
      </w:r>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color w:val="222222"/>
          <w:sz w:val="24"/>
          <w:szCs w:val="24"/>
          <w:lang w:val="en"/>
        </w:rPr>
        <w:lastRenderedPageBreak/>
        <w:t>Close association with Russia:</w:t>
      </w:r>
      <w:r w:rsidRPr="00D71846">
        <w:rPr>
          <w:rFonts w:ascii="Times New Roman" w:hAnsi="Times New Roman" w:cs="Times New Roman"/>
          <w:color w:val="222222"/>
          <w:sz w:val="24"/>
          <w:szCs w:val="24"/>
          <w:lang w:val="en"/>
        </w:rPr>
        <w:t xml:space="preserve"> The close association with Russia due to an attractive tax regime and loose controls over money transfers had a negative impact on the Cyprus economy.</w:t>
      </w:r>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ind w:left="360"/>
        <w:jc w:val="both"/>
        <w:rPr>
          <w:rFonts w:ascii="Times New Roman" w:hAnsi="Times New Roman" w:cs="Times New Roman"/>
          <w:sz w:val="24"/>
          <w:szCs w:val="24"/>
        </w:rPr>
      </w:pPr>
      <w:r w:rsidRPr="00D71846">
        <w:rPr>
          <w:rFonts w:ascii="Times New Roman" w:hAnsi="Times New Roman" w:cs="Times New Roman"/>
          <w:b/>
          <w:color w:val="222222"/>
          <w:sz w:val="24"/>
          <w:szCs w:val="24"/>
          <w:lang w:val="en"/>
        </w:rPr>
        <w:t>Lack of corporate governance:</w:t>
      </w:r>
      <w:r w:rsidRPr="00D71846">
        <w:rPr>
          <w:rFonts w:ascii="Times New Roman" w:hAnsi="Times New Roman" w:cs="Times New Roman"/>
          <w:color w:val="222222"/>
          <w:sz w:val="24"/>
          <w:szCs w:val="24"/>
          <w:lang w:val="en"/>
        </w:rPr>
        <w:t xml:space="preserve"> The lack of effective corporate governance was also crucial during the crisis. The moral hazard due to the relationship between bankers’ bonuses and short-term revenues and the bearing of losses by taxpayers, had a negative impact on how prudently executives carried out their managerial duties and responsibilities. Good governance creates value to shareholders through transparency and through creating an effective two-way line of communication between the Board of Directors and shareholders.</w:t>
      </w:r>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numPr>
          <w:ilvl w:val="1"/>
          <w:numId w:val="19"/>
        </w:numPr>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 xml:space="preserve">Effects of the </w:t>
      </w:r>
      <w:r>
        <w:rPr>
          <w:rFonts w:ascii="Times New Roman" w:hAnsi="Times New Roman" w:cs="Times New Roman"/>
          <w:b/>
          <w:sz w:val="24"/>
          <w:szCs w:val="24"/>
        </w:rPr>
        <w:t>E</w:t>
      </w:r>
      <w:r w:rsidRPr="00D71846">
        <w:rPr>
          <w:rFonts w:ascii="Times New Roman" w:hAnsi="Times New Roman" w:cs="Times New Roman"/>
          <w:b/>
          <w:sz w:val="24"/>
          <w:szCs w:val="24"/>
        </w:rPr>
        <w:t xml:space="preserve">conomic </w:t>
      </w:r>
      <w:r>
        <w:rPr>
          <w:rFonts w:ascii="Times New Roman" w:hAnsi="Times New Roman" w:cs="Times New Roman"/>
          <w:b/>
          <w:sz w:val="24"/>
          <w:szCs w:val="24"/>
        </w:rPr>
        <w:t>C</w:t>
      </w:r>
      <w:r w:rsidRPr="00D71846">
        <w:rPr>
          <w:rFonts w:ascii="Times New Roman" w:hAnsi="Times New Roman" w:cs="Times New Roman"/>
          <w:b/>
          <w:sz w:val="24"/>
          <w:szCs w:val="24"/>
        </w:rPr>
        <w:t>risis</w:t>
      </w:r>
    </w:p>
    <w:p w:rsidR="00976DC4" w:rsidRPr="00D71846" w:rsidRDefault="00976DC4" w:rsidP="00976DC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imes New Roman" w:hAnsi="Times New Roman" w:cs="Times New Roman"/>
          <w:b/>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As a result of all the above </w:t>
      </w:r>
      <w:r>
        <w:rPr>
          <w:rFonts w:ascii="Times New Roman" w:hAnsi="Times New Roman" w:cs="Times New Roman"/>
          <w:color w:val="222222"/>
          <w:sz w:val="24"/>
          <w:szCs w:val="24"/>
          <w:lang w:val="en"/>
        </w:rPr>
        <w:t xml:space="preserve">stated </w:t>
      </w:r>
      <w:r w:rsidRPr="00D71846">
        <w:rPr>
          <w:rFonts w:ascii="Times New Roman" w:hAnsi="Times New Roman" w:cs="Times New Roman"/>
          <w:color w:val="222222"/>
          <w:sz w:val="24"/>
          <w:szCs w:val="24"/>
          <w:lang w:val="en"/>
        </w:rPr>
        <w:t>problems, banks were downgraded by credit rating agencies with significant loss of investor confidence and a significant increase in their borrowing costs.</w:t>
      </w:r>
      <w:r>
        <w:rPr>
          <w:rFonts w:ascii="Times New Roman" w:hAnsi="Times New Roman" w:cs="Times New Roman"/>
          <w:sz w:val="24"/>
          <w:szCs w:val="24"/>
        </w:rPr>
        <w:t xml:space="preserve"> </w:t>
      </w:r>
      <w:r w:rsidRPr="00D71846">
        <w:rPr>
          <w:rFonts w:ascii="Times New Roman" w:hAnsi="Times New Roman" w:cs="Times New Roman"/>
          <w:color w:val="222222"/>
          <w:sz w:val="24"/>
          <w:szCs w:val="24"/>
          <w:lang w:val="en"/>
        </w:rPr>
        <w:t>In 2011, the Cyprus government deficit reached 7.4% of GDP, more than double the maximum amount as per EU regulations. When the economic indicators began to deteriorate in 2011, the European Banking Authority (EBA</w:t>
      </w:r>
      <w:proofErr w:type="gramStart"/>
      <w:r w:rsidRPr="00D71846">
        <w:rPr>
          <w:rFonts w:ascii="Times New Roman" w:hAnsi="Times New Roman" w:cs="Times New Roman"/>
          <w:color w:val="222222"/>
          <w:sz w:val="24"/>
          <w:szCs w:val="24"/>
          <w:lang w:val="en"/>
        </w:rPr>
        <w:t>),</w:t>
      </w:r>
      <w:proofErr w:type="gramEnd"/>
      <w:r w:rsidRPr="00D71846">
        <w:rPr>
          <w:rFonts w:ascii="Times New Roman" w:hAnsi="Times New Roman" w:cs="Times New Roman"/>
          <w:color w:val="222222"/>
          <w:sz w:val="24"/>
          <w:szCs w:val="24"/>
          <w:lang w:val="en"/>
        </w:rPr>
        <w:t xml:space="preserve"> informed the Cypriot government that as from 2012, national banks had to create a </w:t>
      </w:r>
      <w:r w:rsidR="00851947">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capital buffer</w:t>
      </w:r>
      <w:r w:rsidR="00851947">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of around 9% of their Tier 1 </w:t>
      </w:r>
      <w:r w:rsidR="00441642" w:rsidRPr="00D71846">
        <w:rPr>
          <w:rFonts w:ascii="Times New Roman" w:hAnsi="Times New Roman" w:cs="Times New Roman"/>
          <w:color w:val="222222"/>
          <w:sz w:val="24"/>
          <w:szCs w:val="24"/>
          <w:lang w:val="en"/>
        </w:rPr>
        <w:t>reserves</w:t>
      </w:r>
      <w:r w:rsidRPr="00D71846">
        <w:rPr>
          <w:rFonts w:ascii="Times New Roman" w:hAnsi="Times New Roman" w:cs="Times New Roman"/>
          <w:color w:val="222222"/>
          <w:sz w:val="24"/>
          <w:szCs w:val="24"/>
          <w:lang w:val="en"/>
        </w:rPr>
        <w:t xml:space="preserve">. Due to the impairment of Greek debt, this target became unattainable. Had the banks managed to successfully create this regulatory capital buffer, the impact on depositors would have been significantly smaller. As a result of fiscal mismanagement, and perhaps the close relationship with Russia, the two major banks depositors in March 2013 suffered a significant haircut. Cyprus becomes a first test case for “Bail in”. The domestic economic output fell by over 5%, unemployment rose to 17% </w:t>
      </w:r>
      <w:r w:rsidR="00441642">
        <w:rPr>
          <w:rFonts w:ascii="Times New Roman" w:hAnsi="Times New Roman" w:cs="Times New Roman"/>
          <w:color w:val="222222"/>
          <w:sz w:val="24"/>
          <w:szCs w:val="24"/>
          <w:lang w:val="en"/>
        </w:rPr>
        <w:t xml:space="preserve">for the first time since the Turkish invasion in 1974 </w:t>
      </w:r>
      <w:r w:rsidRPr="00D71846">
        <w:rPr>
          <w:rFonts w:ascii="Times New Roman" w:hAnsi="Times New Roman" w:cs="Times New Roman"/>
          <w:color w:val="222222"/>
          <w:sz w:val="24"/>
          <w:szCs w:val="24"/>
          <w:lang w:val="en"/>
        </w:rPr>
        <w:t xml:space="preserve">and Cyprus is forced to enter a very strict program of fiscal and monetary austerity in exchange for financial aid from Troika (The IMF, ECB and the EU Commission). The loss of confidence in the banking system led to 28% reduction in deposits and the temporary imposition of capital controls that lasted for nearly two years.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ListParagraph"/>
        <w:numPr>
          <w:ilvl w:val="1"/>
          <w:numId w:val="19"/>
        </w:numPr>
        <w:autoSpaceDE w:val="0"/>
        <w:autoSpaceDN w:val="0"/>
        <w:adjustRightInd w:val="0"/>
        <w:spacing w:after="0" w:line="240" w:lineRule="auto"/>
        <w:jc w:val="both"/>
        <w:rPr>
          <w:rFonts w:ascii="Times New Roman" w:hAnsi="Times New Roman" w:cs="Times New Roman"/>
          <w:b/>
          <w:sz w:val="24"/>
          <w:szCs w:val="24"/>
        </w:rPr>
      </w:pPr>
      <w:r w:rsidRPr="00D71846">
        <w:rPr>
          <w:rFonts w:ascii="Times New Roman" w:hAnsi="Times New Roman" w:cs="Times New Roman"/>
          <w:b/>
          <w:sz w:val="24"/>
          <w:szCs w:val="24"/>
        </w:rPr>
        <w:t xml:space="preserve">The </w:t>
      </w:r>
      <w:r>
        <w:rPr>
          <w:rFonts w:ascii="Times New Roman" w:hAnsi="Times New Roman" w:cs="Times New Roman"/>
          <w:b/>
          <w:sz w:val="24"/>
          <w:szCs w:val="24"/>
        </w:rPr>
        <w:t>C</w:t>
      </w:r>
      <w:r w:rsidRPr="00D71846">
        <w:rPr>
          <w:rFonts w:ascii="Times New Roman" w:hAnsi="Times New Roman" w:cs="Times New Roman"/>
          <w:b/>
          <w:sz w:val="24"/>
          <w:szCs w:val="24"/>
        </w:rPr>
        <w:t xml:space="preserve">urrent </w:t>
      </w:r>
      <w:r>
        <w:rPr>
          <w:rFonts w:ascii="Times New Roman" w:hAnsi="Times New Roman" w:cs="Times New Roman"/>
          <w:b/>
          <w:sz w:val="24"/>
          <w:szCs w:val="24"/>
        </w:rPr>
        <w:t>S</w:t>
      </w:r>
      <w:r w:rsidRPr="00D71846">
        <w:rPr>
          <w:rFonts w:ascii="Times New Roman" w:hAnsi="Times New Roman" w:cs="Times New Roman"/>
          <w:b/>
          <w:sz w:val="24"/>
          <w:szCs w:val="24"/>
        </w:rPr>
        <w:t xml:space="preserve">tate of the </w:t>
      </w:r>
      <w:r>
        <w:rPr>
          <w:rFonts w:ascii="Times New Roman" w:hAnsi="Times New Roman" w:cs="Times New Roman"/>
          <w:b/>
          <w:sz w:val="24"/>
          <w:szCs w:val="24"/>
        </w:rPr>
        <w:t>C</w:t>
      </w:r>
      <w:r w:rsidRPr="00D71846">
        <w:rPr>
          <w:rFonts w:ascii="Times New Roman" w:hAnsi="Times New Roman" w:cs="Times New Roman"/>
          <w:b/>
          <w:sz w:val="24"/>
          <w:szCs w:val="24"/>
        </w:rPr>
        <w:t xml:space="preserve">ypriot </w:t>
      </w:r>
      <w:r>
        <w:rPr>
          <w:rFonts w:ascii="Times New Roman" w:hAnsi="Times New Roman" w:cs="Times New Roman"/>
          <w:b/>
          <w:sz w:val="24"/>
          <w:szCs w:val="24"/>
        </w:rPr>
        <w:t>B</w:t>
      </w:r>
      <w:r w:rsidRPr="00D71846">
        <w:rPr>
          <w:rFonts w:ascii="Times New Roman" w:hAnsi="Times New Roman" w:cs="Times New Roman"/>
          <w:b/>
          <w:sz w:val="24"/>
          <w:szCs w:val="24"/>
        </w:rPr>
        <w:t xml:space="preserve">anking </w:t>
      </w:r>
      <w:r>
        <w:rPr>
          <w:rFonts w:ascii="Times New Roman" w:hAnsi="Times New Roman" w:cs="Times New Roman"/>
          <w:b/>
          <w:sz w:val="24"/>
          <w:szCs w:val="24"/>
        </w:rPr>
        <w:t>I</w:t>
      </w:r>
      <w:r w:rsidRPr="00D71846">
        <w:rPr>
          <w:rFonts w:ascii="Times New Roman" w:hAnsi="Times New Roman" w:cs="Times New Roman"/>
          <w:b/>
          <w:sz w:val="24"/>
          <w:szCs w:val="24"/>
        </w:rPr>
        <w:t>ndustry</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Following the difficult days of 2013, with the imposition of a bail in and capital controls, the Cyprus economy has since managed to recover faster than originally expected and all capital controls were lifted. A series of upgrad</w:t>
      </w:r>
      <w:r w:rsidR="00441642">
        <w:rPr>
          <w:rFonts w:ascii="Times New Roman" w:hAnsi="Times New Roman" w:cs="Times New Roman"/>
          <w:sz w:val="24"/>
          <w:szCs w:val="24"/>
        </w:rPr>
        <w:t>e</w:t>
      </w:r>
      <w:r w:rsidRPr="00D71846">
        <w:rPr>
          <w:rFonts w:ascii="Times New Roman" w:hAnsi="Times New Roman" w:cs="Times New Roman"/>
          <w:sz w:val="24"/>
          <w:szCs w:val="24"/>
        </w:rPr>
        <w:t xml:space="preserve">s by rating agencies have restored confidence in the banking system and deposits are again on an upward trend. The major banks of Cyprus have successfully been recapitalized mainly through the participation of foreign investors. Capital adequacy ratios range from 12.4% to 15.2% and Cypriot banks have successfully passed the recent </w:t>
      </w:r>
      <w:r>
        <w:rPr>
          <w:rFonts w:ascii="Times New Roman" w:hAnsi="Times New Roman" w:cs="Times New Roman"/>
          <w:sz w:val="24"/>
          <w:szCs w:val="24"/>
        </w:rPr>
        <w:t>European Central Bank (</w:t>
      </w:r>
      <w:r w:rsidRPr="00D71846">
        <w:rPr>
          <w:rFonts w:ascii="Times New Roman" w:hAnsi="Times New Roman" w:cs="Times New Roman"/>
          <w:sz w:val="24"/>
          <w:szCs w:val="24"/>
        </w:rPr>
        <w:t>ECB</w:t>
      </w:r>
      <w:r>
        <w:rPr>
          <w:rFonts w:ascii="Times New Roman" w:hAnsi="Times New Roman" w:cs="Times New Roman"/>
          <w:sz w:val="24"/>
          <w:szCs w:val="24"/>
        </w:rPr>
        <w:t>)</w:t>
      </w:r>
      <w:r w:rsidRPr="00D71846">
        <w:rPr>
          <w:rFonts w:ascii="Times New Roman" w:hAnsi="Times New Roman" w:cs="Times New Roman"/>
          <w:sz w:val="24"/>
          <w:szCs w:val="24"/>
        </w:rPr>
        <w:t xml:space="preserve"> stress tests. </w:t>
      </w:r>
    </w:p>
    <w:p w:rsidR="00976DC4" w:rsidRPr="00D71846" w:rsidRDefault="00976DC4" w:rsidP="00976DC4">
      <w:pPr>
        <w:pStyle w:val="NormalWeb"/>
        <w:shd w:val="clear" w:color="auto" w:fill="FFFFFF"/>
        <w:spacing w:before="0" w:beforeAutospacing="0" w:after="0" w:afterAutospacing="0"/>
        <w:jc w:val="both"/>
      </w:pPr>
    </w:p>
    <w:p w:rsidR="00976DC4" w:rsidRPr="00D71846" w:rsidRDefault="00976DC4" w:rsidP="00976DC4">
      <w:pPr>
        <w:pStyle w:val="NormalWeb"/>
        <w:shd w:val="clear" w:color="auto" w:fill="FFFFFF"/>
        <w:spacing w:before="0" w:beforeAutospacing="0" w:after="0" w:afterAutospacing="0"/>
        <w:jc w:val="both"/>
      </w:pPr>
      <w:r w:rsidRPr="00D71846">
        <w:t>The large drop and subsequent recovery of the capital adequacy ratios of Cypriot banks is shown in figure 1 that follows.</w:t>
      </w:r>
    </w:p>
    <w:p w:rsidR="00976DC4" w:rsidRPr="00D71846" w:rsidRDefault="00976DC4" w:rsidP="00976DC4">
      <w:pPr>
        <w:pStyle w:val="NormalWeb"/>
        <w:shd w:val="clear" w:color="auto" w:fill="FFFFFF"/>
        <w:spacing w:before="0" w:beforeAutospacing="0" w:after="0" w:afterAutospacing="0"/>
        <w:jc w:val="both"/>
        <w:rPr>
          <w:b/>
        </w:rPr>
      </w:pPr>
    </w:p>
    <w:p w:rsidR="000F5E42" w:rsidRDefault="00976DC4" w:rsidP="00976DC4">
      <w:pPr>
        <w:pStyle w:val="NormalWeb"/>
        <w:shd w:val="clear" w:color="auto" w:fill="FFFFFF"/>
        <w:spacing w:before="0" w:beforeAutospacing="0" w:after="0" w:afterAutospacing="0"/>
        <w:ind w:left="720" w:firstLine="720"/>
        <w:jc w:val="both"/>
      </w:pPr>
      <w:r w:rsidRPr="00D71846">
        <w:rPr>
          <w:b/>
        </w:rPr>
        <w:t xml:space="preserve">Figure 1 Capital Adequacy </w:t>
      </w:r>
      <w:r w:rsidR="009A6873">
        <w:rPr>
          <w:b/>
        </w:rPr>
        <w:t>R</w:t>
      </w:r>
      <w:r w:rsidRPr="00D71846">
        <w:rPr>
          <w:b/>
        </w:rPr>
        <w:t>atio of Cypriot Banks</w:t>
      </w:r>
    </w:p>
    <w:p w:rsidR="00976DC4" w:rsidRPr="000F5E42" w:rsidRDefault="000F5E42" w:rsidP="000F5E42">
      <w:pPr>
        <w:tabs>
          <w:tab w:val="left" w:pos="6672"/>
        </w:tabs>
      </w:pPr>
      <w:r>
        <w:tab/>
      </w:r>
    </w:p>
    <w:p w:rsidR="00976DC4" w:rsidRPr="00D71846" w:rsidRDefault="00976DC4" w:rsidP="00976DC4">
      <w:pPr>
        <w:pStyle w:val="NormalWeb"/>
        <w:shd w:val="clear" w:color="auto" w:fill="FFFFFF"/>
        <w:spacing w:before="0" w:beforeAutospacing="0" w:after="0" w:afterAutospacing="0"/>
        <w:jc w:val="center"/>
        <w:rPr>
          <w:lang w:val="el-GR"/>
        </w:rPr>
      </w:pPr>
      <w:r w:rsidRPr="00D71846">
        <w:rPr>
          <w:noProof/>
        </w:rPr>
        <w:lastRenderedPageBreak/>
        <w:drawing>
          <wp:inline distT="0" distB="0" distL="0" distR="0" wp14:anchorId="6D583365" wp14:editId="6BB889F9">
            <wp:extent cx="4086225" cy="1609725"/>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6DC4" w:rsidRPr="00D71846" w:rsidRDefault="00976DC4" w:rsidP="00976DC4">
      <w:pPr>
        <w:pStyle w:val="HTMLPreformatted"/>
        <w:shd w:val="clear" w:color="auto" w:fill="FFFFFF"/>
        <w:rPr>
          <w:rFonts w:ascii="Times New Roman" w:hAnsi="Times New Roman" w:cs="Times New Roman"/>
          <w:i/>
        </w:rPr>
      </w:pPr>
      <w:r w:rsidRPr="00D71846">
        <w:rPr>
          <w:rFonts w:ascii="Times New Roman" w:hAnsi="Times New Roman" w:cs="Times New Roman"/>
          <w:i/>
        </w:rPr>
        <w:tab/>
      </w:r>
      <w:r w:rsidRPr="00D71846">
        <w:rPr>
          <w:rFonts w:ascii="Times New Roman" w:hAnsi="Times New Roman" w:cs="Times New Roman"/>
          <w:i/>
        </w:rPr>
        <w:tab/>
        <w:t>Source: Central Bank of Cyprus</w:t>
      </w:r>
    </w:p>
    <w:p w:rsidR="00976DC4" w:rsidRPr="00D71846" w:rsidRDefault="00976DC4" w:rsidP="00976DC4">
      <w:pPr>
        <w:pStyle w:val="NormalWeb"/>
        <w:shd w:val="clear" w:color="auto" w:fill="FFFFFF"/>
        <w:spacing w:before="0" w:beforeAutospacing="0" w:after="0" w:afterAutospacing="0"/>
        <w:jc w:val="both"/>
        <w:rPr>
          <w:i/>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Additionally, as a result of reduced lending activity and a series of Balance sheet write-offs, there is a significant decrease in the risk weighted assets (RWA) causing the capital adequacy ratio to increase. Due to the recent economic crisis, an ambitious European project was launched in 2014: the Single Supervisory Mechanism (SSM) covering the 130 major banks in the Euro zone. The main objective of the stress tests was a simulation of banks’ capital based on two 3-year macroeconomic scenarios, the expected scenario and the worst case scenario, so as to assess whether the existing capital reserves of banks are sufficient over </w:t>
      </w:r>
      <w:r w:rsidR="00441642" w:rsidRPr="00D71846">
        <w:rPr>
          <w:rFonts w:ascii="Times New Roman" w:hAnsi="Times New Roman" w:cs="Times New Roman"/>
          <w:color w:val="222222"/>
          <w:sz w:val="24"/>
          <w:szCs w:val="24"/>
          <w:lang w:val="en"/>
        </w:rPr>
        <w:t>a three</w:t>
      </w:r>
      <w:r w:rsidRPr="00D71846">
        <w:rPr>
          <w:rFonts w:ascii="Times New Roman" w:hAnsi="Times New Roman" w:cs="Times New Roman"/>
          <w:color w:val="222222"/>
          <w:sz w:val="24"/>
          <w:szCs w:val="24"/>
          <w:lang w:val="en"/>
        </w:rPr>
        <w:t xml:space="preserve"> </w:t>
      </w:r>
      <w:r w:rsidR="00441642" w:rsidRPr="00D71846">
        <w:rPr>
          <w:rFonts w:ascii="Times New Roman" w:hAnsi="Times New Roman" w:cs="Times New Roman"/>
          <w:color w:val="222222"/>
          <w:sz w:val="24"/>
          <w:szCs w:val="24"/>
          <w:lang w:val="en"/>
        </w:rPr>
        <w:t>years’ time</w:t>
      </w:r>
      <w:r w:rsidRPr="00D71846">
        <w:rPr>
          <w:rFonts w:ascii="Times New Roman" w:hAnsi="Times New Roman" w:cs="Times New Roman"/>
          <w:color w:val="222222"/>
          <w:sz w:val="24"/>
          <w:szCs w:val="24"/>
          <w:lang w:val="en"/>
        </w:rPr>
        <w:t xml:space="preserve"> horizon. Since the end of 2014, all banks were well capitalized, as the index rose to high levels, as shown in the table below</w:t>
      </w:r>
      <w:r>
        <w:rPr>
          <w:rFonts w:ascii="Times New Roman" w:hAnsi="Times New Roman" w:cs="Times New Roman"/>
          <w:color w:val="222222"/>
          <w:sz w:val="24"/>
          <w:szCs w:val="24"/>
          <w:lang w:val="en"/>
        </w:rPr>
        <w:t>.</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spacing w:after="0" w:line="240" w:lineRule="auto"/>
        <w:contextualSpacing/>
        <w:rPr>
          <w:rFonts w:ascii="Times New Roman" w:hAnsi="Times New Roman" w:cs="Times New Roman"/>
          <w:b/>
          <w:sz w:val="24"/>
          <w:szCs w:val="24"/>
        </w:rPr>
      </w:pPr>
      <w:r w:rsidRPr="00D71846">
        <w:rPr>
          <w:rFonts w:ascii="Times New Roman" w:hAnsi="Times New Roman" w:cs="Times New Roman"/>
          <w:b/>
          <w:sz w:val="24"/>
          <w:szCs w:val="24"/>
        </w:rPr>
        <w:t xml:space="preserve">Table 1 </w:t>
      </w:r>
      <w:proofErr w:type="spellStart"/>
      <w:r w:rsidRPr="00D71846">
        <w:rPr>
          <w:rFonts w:ascii="Times New Roman" w:hAnsi="Times New Roman" w:cs="Times New Roman"/>
          <w:b/>
          <w:sz w:val="24"/>
          <w:szCs w:val="24"/>
        </w:rPr>
        <w:t>Capitalisation</w:t>
      </w:r>
      <w:proofErr w:type="spellEnd"/>
      <w:r w:rsidRPr="00D71846">
        <w:rPr>
          <w:rFonts w:ascii="Times New Roman" w:hAnsi="Times New Roman" w:cs="Times New Roman"/>
          <w:b/>
          <w:sz w:val="24"/>
          <w:szCs w:val="24"/>
        </w:rPr>
        <w:t xml:space="preserve"> of </w:t>
      </w:r>
      <w:r w:rsidR="009A6873">
        <w:rPr>
          <w:rFonts w:ascii="Times New Roman" w:hAnsi="Times New Roman" w:cs="Times New Roman"/>
          <w:b/>
          <w:sz w:val="24"/>
          <w:szCs w:val="24"/>
        </w:rPr>
        <w:t>B</w:t>
      </w:r>
      <w:r w:rsidRPr="00D71846">
        <w:rPr>
          <w:rFonts w:ascii="Times New Roman" w:hAnsi="Times New Roman" w:cs="Times New Roman"/>
          <w:b/>
          <w:sz w:val="24"/>
          <w:szCs w:val="24"/>
        </w:rPr>
        <w:t>anks in Cyprus</w:t>
      </w:r>
    </w:p>
    <w:p w:rsidR="00976DC4" w:rsidRPr="00D71846" w:rsidRDefault="00976DC4" w:rsidP="00976DC4">
      <w:pPr>
        <w:pStyle w:val="HTMLPreformatted"/>
        <w:shd w:val="clear" w:color="auto" w:fill="FFFFFF"/>
        <w:jc w:val="both"/>
        <w:rPr>
          <w:rFonts w:ascii="Times New Roman" w:hAnsi="Times New Roman" w:cs="Times New Roman"/>
          <w:sz w:val="24"/>
          <w:szCs w:val="24"/>
          <w:lang w:val="el-GR"/>
        </w:rPr>
      </w:pPr>
      <w:r w:rsidRPr="00D71846">
        <w:rPr>
          <w:rFonts w:ascii="Times New Roman" w:hAnsi="Times New Roman" w:cs="Times New Roman"/>
          <w:noProof/>
          <w:sz w:val="24"/>
          <w:szCs w:val="24"/>
        </w:rPr>
        <w:drawing>
          <wp:inline distT="0" distB="0" distL="0" distR="0" wp14:anchorId="2191FF08" wp14:editId="78F1AD32">
            <wp:extent cx="5847360" cy="3075709"/>
            <wp:effectExtent l="0" t="0" r="20320" b="10795"/>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6DC4" w:rsidRPr="00D71846" w:rsidRDefault="00976DC4" w:rsidP="00976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D71846">
        <w:rPr>
          <w:rFonts w:ascii="Times New Roman" w:hAnsi="Times New Roman" w:cs="Times New Roman"/>
          <w:i/>
          <w:sz w:val="20"/>
          <w:szCs w:val="20"/>
        </w:rPr>
        <w:t>Source: Banks’ published financial statements</w:t>
      </w:r>
    </w:p>
    <w:p w:rsidR="00976DC4" w:rsidRPr="00D71846" w:rsidRDefault="00976DC4" w:rsidP="00976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76DC4" w:rsidRPr="00D71846" w:rsidRDefault="00976DC4" w:rsidP="00976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val="en"/>
        </w:rPr>
      </w:pPr>
      <w:r w:rsidRPr="00D71846">
        <w:rPr>
          <w:rFonts w:ascii="Times New Roman" w:hAnsi="Times New Roman" w:cs="Times New Roman"/>
          <w:sz w:val="24"/>
          <w:szCs w:val="24"/>
        </w:rPr>
        <w:t>It is also encouraging that bank deposit outflows are now within normal levels despite the gradual lifting of all capital controls imposed in</w:t>
      </w:r>
      <w:bookmarkStart w:id="0" w:name="_GoBack"/>
      <w:bookmarkEnd w:id="0"/>
      <w:r w:rsidRPr="00D71846">
        <w:rPr>
          <w:rFonts w:ascii="Times New Roman" w:hAnsi="Times New Roman" w:cs="Times New Roman"/>
          <w:sz w:val="24"/>
          <w:szCs w:val="24"/>
        </w:rPr>
        <w:t xml:space="preserve"> 2013. Confidence in the banking system of Cyprus has now been restored as clearly shown by the recent successes in the issue of government bonds. However, the size of the banking sector continues to be four times bigger than the island’s GDP. According to the memorandum signed between the government and </w:t>
      </w:r>
      <w:r w:rsidRPr="00D71846">
        <w:rPr>
          <w:rFonts w:ascii="Times New Roman" w:hAnsi="Times New Roman" w:cs="Times New Roman"/>
          <w:sz w:val="24"/>
          <w:szCs w:val="24"/>
        </w:rPr>
        <w:lastRenderedPageBreak/>
        <w:t xml:space="preserve">TROIKA in March 2013 the size of the banking sector in Cyprus in 2018 must not exceed the EU average, </w:t>
      </w:r>
      <w:proofErr w:type="spellStart"/>
      <w:r w:rsidRPr="00D71846">
        <w:rPr>
          <w:rFonts w:ascii="Times New Roman" w:hAnsi="Times New Roman" w:cs="Times New Roman"/>
          <w:sz w:val="24"/>
          <w:szCs w:val="24"/>
        </w:rPr>
        <w:t>ie</w:t>
      </w:r>
      <w:proofErr w:type="spellEnd"/>
      <w:r w:rsidRPr="00D71846">
        <w:rPr>
          <w:rFonts w:ascii="Times New Roman" w:hAnsi="Times New Roman" w:cs="Times New Roman"/>
          <w:sz w:val="24"/>
          <w:szCs w:val="24"/>
        </w:rPr>
        <w:t xml:space="preserve"> three times the island’s </w:t>
      </w:r>
      <w:proofErr w:type="gramStart"/>
      <w:r w:rsidRPr="00D71846">
        <w:rPr>
          <w:rFonts w:ascii="Times New Roman" w:hAnsi="Times New Roman" w:cs="Times New Roman"/>
          <w:sz w:val="24"/>
          <w:szCs w:val="24"/>
        </w:rPr>
        <w:t>GDP.</w:t>
      </w:r>
      <w:proofErr w:type="gramEnd"/>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Despite the </w:t>
      </w:r>
      <w:r w:rsidR="002C5AD1" w:rsidRPr="00D71846">
        <w:rPr>
          <w:rFonts w:ascii="Times New Roman" w:hAnsi="Times New Roman" w:cs="Times New Roman"/>
          <w:color w:val="222222"/>
          <w:sz w:val="24"/>
          <w:szCs w:val="24"/>
          <w:lang w:val="en"/>
        </w:rPr>
        <w:t>significant</w:t>
      </w:r>
      <w:r w:rsidRPr="00D71846">
        <w:rPr>
          <w:rFonts w:ascii="Times New Roman" w:hAnsi="Times New Roman" w:cs="Times New Roman"/>
          <w:color w:val="222222"/>
          <w:sz w:val="24"/>
          <w:szCs w:val="24"/>
          <w:lang w:val="en"/>
        </w:rPr>
        <w:t xml:space="preserve"> progress made, Cypriot banks still continue to face a number of challenges in relation to regaining their position of confidence and reliability. The most important of these challenges is the problem of non-performing loans. The adoption of new attitudes within the banking industry has enabled the implementation of new ideas and the coming of new people thus promoting economic recovery.</w:t>
      </w:r>
    </w:p>
    <w:p w:rsidR="00976DC4" w:rsidRPr="00D71846" w:rsidRDefault="00976DC4" w:rsidP="00976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76DC4" w:rsidRPr="00A07730" w:rsidRDefault="00976DC4" w:rsidP="00976DC4">
      <w:pPr>
        <w:pStyle w:val="HTMLPreformatted"/>
        <w:numPr>
          <w:ilvl w:val="0"/>
          <w:numId w:val="19"/>
        </w:numPr>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 xml:space="preserve">Bank </w:t>
      </w:r>
      <w:r>
        <w:rPr>
          <w:rFonts w:ascii="Times New Roman" w:hAnsi="Times New Roman" w:cs="Times New Roman"/>
          <w:b/>
          <w:sz w:val="24"/>
          <w:szCs w:val="24"/>
        </w:rPr>
        <w:t>S</w:t>
      </w:r>
      <w:r w:rsidRPr="00D71846">
        <w:rPr>
          <w:rFonts w:ascii="Times New Roman" w:hAnsi="Times New Roman" w:cs="Times New Roman"/>
          <w:b/>
          <w:sz w:val="24"/>
          <w:szCs w:val="24"/>
        </w:rPr>
        <w:t>upervision</w:t>
      </w:r>
    </w:p>
    <w:p w:rsidR="00976DC4" w:rsidRPr="00D71846" w:rsidRDefault="00976DC4" w:rsidP="00976DC4">
      <w:pPr>
        <w:pStyle w:val="ListParagraph"/>
        <w:numPr>
          <w:ilvl w:val="0"/>
          <w:numId w:val="1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T</w:t>
      </w:r>
      <w:r w:rsidRPr="00D71846">
        <w:rPr>
          <w:rFonts w:ascii="Times New Roman" w:hAnsi="Times New Roman" w:cs="Times New Roman"/>
          <w:b/>
          <w:sz w:val="24"/>
          <w:szCs w:val="24"/>
        </w:rPr>
        <w:t xml:space="preserve">he </w:t>
      </w:r>
      <w:r>
        <w:rPr>
          <w:rFonts w:ascii="Times New Roman" w:hAnsi="Times New Roman" w:cs="Times New Roman"/>
          <w:b/>
          <w:sz w:val="24"/>
          <w:szCs w:val="24"/>
        </w:rPr>
        <w:t>R</w:t>
      </w:r>
      <w:r w:rsidRPr="00D71846">
        <w:rPr>
          <w:rFonts w:ascii="Times New Roman" w:hAnsi="Times New Roman" w:cs="Times New Roman"/>
          <w:b/>
          <w:sz w:val="24"/>
          <w:szCs w:val="24"/>
        </w:rPr>
        <w:t xml:space="preserve">ole of the </w:t>
      </w:r>
      <w:r>
        <w:rPr>
          <w:rFonts w:ascii="Times New Roman" w:hAnsi="Times New Roman" w:cs="Times New Roman"/>
          <w:b/>
          <w:sz w:val="24"/>
          <w:szCs w:val="24"/>
        </w:rPr>
        <w:t>S</w:t>
      </w:r>
      <w:r w:rsidRPr="00D71846">
        <w:rPr>
          <w:rFonts w:ascii="Times New Roman" w:hAnsi="Times New Roman" w:cs="Times New Roman"/>
          <w:b/>
          <w:sz w:val="24"/>
          <w:szCs w:val="24"/>
        </w:rPr>
        <w:t xml:space="preserve">upervisory </w:t>
      </w:r>
      <w:r>
        <w:rPr>
          <w:rFonts w:ascii="Times New Roman" w:hAnsi="Times New Roman" w:cs="Times New Roman"/>
          <w:b/>
          <w:sz w:val="24"/>
          <w:szCs w:val="24"/>
        </w:rPr>
        <w:t>A</w:t>
      </w:r>
      <w:r w:rsidRPr="00D71846">
        <w:rPr>
          <w:rFonts w:ascii="Times New Roman" w:hAnsi="Times New Roman" w:cs="Times New Roman"/>
          <w:b/>
          <w:sz w:val="24"/>
          <w:szCs w:val="24"/>
        </w:rPr>
        <w:t>uthorities</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main objective of the banking supervisory authorities is to safeguard the smooth operation of the financial system through setting limits on banks’ risk exposure and through setting minimum capital adequacy requirements. In the absence of such regulatory requirements, banks will tend to combine low capital adequacy ratios with excessive risk taking.</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pStyle w:val="HTMLPreformatted"/>
        <w:numPr>
          <w:ilvl w:val="0"/>
          <w:numId w:val="12"/>
        </w:numPr>
        <w:ind w:left="360"/>
        <w:jc w:val="both"/>
        <w:rPr>
          <w:rFonts w:ascii="Times New Roman" w:hAnsi="Times New Roman" w:cs="Times New Roman"/>
          <w:b/>
          <w:sz w:val="24"/>
          <w:szCs w:val="24"/>
          <w:lang w:val="el-GR"/>
        </w:rPr>
      </w:pPr>
      <w:r w:rsidRPr="00D71846">
        <w:rPr>
          <w:rFonts w:ascii="Times New Roman" w:hAnsi="Times New Roman" w:cs="Times New Roman"/>
          <w:b/>
          <w:sz w:val="24"/>
          <w:szCs w:val="24"/>
        </w:rPr>
        <w:t>The BASEL Committee</w:t>
      </w:r>
    </w:p>
    <w:p w:rsidR="00976DC4" w:rsidRPr="00D71846" w:rsidRDefault="00976DC4" w:rsidP="00976DC4">
      <w:pPr>
        <w:spacing w:after="0" w:line="240" w:lineRule="auto"/>
        <w:jc w:val="both"/>
        <w:rPr>
          <w:rFonts w:ascii="Times New Roman" w:hAnsi="Times New Roman" w:cs="Times New Roman"/>
          <w:sz w:val="24"/>
          <w:szCs w:val="24"/>
          <w:lang w:val="el-GR"/>
        </w:rPr>
      </w:pPr>
    </w:p>
    <w:p w:rsidR="00976DC4" w:rsidRPr="00D71846" w:rsidRDefault="00976DC4" w:rsidP="00976DC4">
      <w:pPr>
        <w:spacing w:after="0" w:line="240" w:lineRule="auto"/>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levels of capital reserves tend to be very volatile due to fluctuations in the prices of financial instruments thus making it extremely difficult to estimate the minimum necessary needed to protect the banks against their basic risk exposures. In order to prevent excessive risk taking by banks a safety financial framework has been created including micro and macro regulations of supervision. The Basel Committee on Banking Supervision (BCBS) emerged after the collapse of the Bretton Woods exchange-rate system in 1973. The main pillar of the Basel Committee regulatory system of intervention is the need for consistency between the various domestic supervisory systems due to their interdependence. Essentially, the Commission offers a network for close member states cooperation, promoting a spirit of cooperation between all supervisory authorities. It was within this context that the Basel Committee issued the regulatory frameworks of Basel I, Basel II and Basel III, in order to strengthen micro regulatory intervention in the operation of banks facing macro systemic risks of the financial system.</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b/>
          <w:sz w:val="24"/>
          <w:szCs w:val="24"/>
        </w:rPr>
      </w:pPr>
      <w:r w:rsidRPr="00D71846">
        <w:rPr>
          <w:rFonts w:ascii="Times New Roman" w:hAnsi="Times New Roman" w:cs="Times New Roman"/>
          <w:b/>
          <w:sz w:val="24"/>
          <w:szCs w:val="24"/>
        </w:rPr>
        <w:t>3.2.1. BASEL III</w:t>
      </w:r>
    </w:p>
    <w:p w:rsidR="00976DC4" w:rsidRPr="00D71846" w:rsidRDefault="00976DC4" w:rsidP="00976DC4">
      <w:pPr>
        <w:autoSpaceDE w:val="0"/>
        <w:autoSpaceDN w:val="0"/>
        <w:adjustRightInd w:val="0"/>
        <w:spacing w:after="0" w:line="240" w:lineRule="auto"/>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 xml:space="preserve">Despite acceptable levels of capital adequacy ratios in most member states following the incorporation of </w:t>
      </w:r>
      <w:r>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Basel II</w:t>
      </w:r>
      <w:r>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regulations into their national </w:t>
      </w:r>
      <w:proofErr w:type="gramStart"/>
      <w:r w:rsidRPr="00D71846">
        <w:rPr>
          <w:rFonts w:ascii="Times New Roman" w:hAnsi="Times New Roman" w:cs="Times New Roman"/>
          <w:color w:val="222222"/>
          <w:sz w:val="24"/>
          <w:szCs w:val="24"/>
          <w:lang w:val="en"/>
        </w:rPr>
        <w:t>laws,</w:t>
      </w:r>
      <w:proofErr w:type="gramEnd"/>
      <w:r w:rsidRPr="00D71846">
        <w:rPr>
          <w:rFonts w:ascii="Times New Roman" w:hAnsi="Times New Roman" w:cs="Times New Roman"/>
          <w:color w:val="222222"/>
          <w:sz w:val="24"/>
          <w:szCs w:val="24"/>
          <w:lang w:val="en"/>
        </w:rPr>
        <w:t xml:space="preserve"> this has not proved enough to prevent the crisis. The credit crunch of 2007-2008 clearly indicated the inadequacy of the regulatory system. One of the main causes of the crisis was excessive leveraging of the banking system both on and off balance sheet. At the same time, many banks had insufficient liquidity reserves thus highlighting the importance of having such reserves for the smooth functioning of the banking system. Moreover, the regulatory framework did not have provisions for the prevention of systemic risk, either on a time dimension or on a cross-sectoral dimension. </w:t>
      </w: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Consequently, the Basel Committee, </w:t>
      </w:r>
      <w:proofErr w:type="spellStart"/>
      <w:r w:rsidRPr="00D71846">
        <w:rPr>
          <w:rFonts w:ascii="Times New Roman" w:hAnsi="Times New Roman" w:cs="Times New Roman"/>
          <w:color w:val="222222"/>
          <w:sz w:val="24"/>
          <w:szCs w:val="24"/>
          <w:lang w:val="en"/>
        </w:rPr>
        <w:t>recognising</w:t>
      </w:r>
      <w:proofErr w:type="spellEnd"/>
      <w:r w:rsidRPr="00D71846">
        <w:rPr>
          <w:rFonts w:ascii="Times New Roman" w:hAnsi="Times New Roman" w:cs="Times New Roman"/>
          <w:color w:val="222222"/>
          <w:sz w:val="24"/>
          <w:szCs w:val="24"/>
          <w:lang w:val="en"/>
        </w:rPr>
        <w:t xml:space="preserve"> the inadequacies of the </w:t>
      </w:r>
      <w:r w:rsidR="002C5AD1" w:rsidRPr="00D71846">
        <w:rPr>
          <w:rFonts w:ascii="Times New Roman" w:hAnsi="Times New Roman" w:cs="Times New Roman"/>
          <w:color w:val="222222"/>
          <w:sz w:val="24"/>
          <w:szCs w:val="24"/>
          <w:lang w:val="en"/>
        </w:rPr>
        <w:t>regulatory</w:t>
      </w:r>
      <w:r w:rsidRPr="00D71846">
        <w:rPr>
          <w:rFonts w:ascii="Times New Roman" w:hAnsi="Times New Roman" w:cs="Times New Roman"/>
          <w:color w:val="222222"/>
          <w:sz w:val="24"/>
          <w:szCs w:val="24"/>
          <w:lang w:val="en"/>
        </w:rPr>
        <w:t xml:space="preserve"> framework in the banking sector, issued Basel III in 2011. Basel III was an attempt to strengthen the stability of the financial system through micro regulatory interventions for the strengthening of banks at </w:t>
      </w:r>
      <w:r w:rsidRPr="00D71846">
        <w:rPr>
          <w:rFonts w:ascii="Times New Roman" w:hAnsi="Times New Roman" w:cs="Times New Roman"/>
          <w:color w:val="222222"/>
          <w:sz w:val="24"/>
          <w:szCs w:val="24"/>
          <w:lang w:val="en"/>
        </w:rPr>
        <w:lastRenderedPageBreak/>
        <w:t xml:space="preserve">times of crises and macro regulatory interventions for the protection of the banking system from systemic risk. The application of the provisions of Basel III is due to take place over 2013–2019 and is very complicated. It raises bank capital requirements and introduces new regulations regarding liquidity and bank leverage. Assuming strict compliance with the new regulations the international banking industry will become more stable and international banks will be provided with new opportunities.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rPr>
          <w:rFonts w:ascii="Times New Roman" w:hAnsi="Times New Roman" w:cs="Times New Roman"/>
          <w:b/>
          <w:sz w:val="24"/>
          <w:szCs w:val="24"/>
        </w:rPr>
      </w:pPr>
      <w:r w:rsidRPr="00D71846">
        <w:rPr>
          <w:rFonts w:ascii="Times New Roman" w:hAnsi="Times New Roman" w:cs="Times New Roman"/>
          <w:b/>
          <w:sz w:val="24"/>
          <w:szCs w:val="24"/>
        </w:rPr>
        <w:t>3.2.2 BASEL III Challenges</w:t>
      </w:r>
    </w:p>
    <w:p w:rsidR="00976DC4" w:rsidRPr="00D71846" w:rsidRDefault="00976DC4" w:rsidP="00976DC4">
      <w:pPr>
        <w:pStyle w:val="HTMLPreformatted"/>
        <w:rPr>
          <w:rFonts w:ascii="Times New Roman" w:hAnsi="Times New Roman" w:cs="Times New Roman"/>
          <w:b/>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The new regulatory framework gives a much stricter definition of capital and introduces new standards for the valuation of weighted risk assets. Increased capital requirements lead to constraints as more capital is needed in order to achieve the minimum capital adequacy levels. </w:t>
      </w:r>
      <w:r w:rsidRPr="00D7184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8E4874" wp14:editId="6F7E7C8E">
                <wp:simplePos x="0" y="0"/>
                <wp:positionH relativeFrom="column">
                  <wp:posOffset>5473065</wp:posOffset>
                </wp:positionH>
                <wp:positionV relativeFrom="paragraph">
                  <wp:posOffset>8334375</wp:posOffset>
                </wp:positionV>
                <wp:extent cx="648335" cy="424180"/>
                <wp:effectExtent l="11430" t="8890" r="6985" b="508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424180"/>
                        </a:xfrm>
                        <a:prstGeom prst="rect">
                          <a:avLst/>
                        </a:prstGeom>
                        <a:solidFill>
                          <a:srgbClr val="FFFFFF"/>
                        </a:solidFill>
                        <a:ln w="9525">
                          <a:solidFill>
                            <a:schemeClr val="bg1">
                              <a:lumMod val="100000"/>
                              <a:lumOff val="0"/>
                            </a:schemeClr>
                          </a:solidFill>
                          <a:miter lim="800000"/>
                          <a:headEnd/>
                          <a:tailEnd/>
                        </a:ln>
                      </wps:spPr>
                      <wps:txbx>
                        <w:txbxContent>
                          <w:p w:rsidR="008527C3" w:rsidRDefault="008527C3" w:rsidP="00976DC4">
                            <w:r>
                              <w:rPr>
                                <w:lang w:val="el-GR"/>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430.95pt;margin-top:656.25pt;width:51.05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" strokecolor="white [3212]">
                <v:textbox style="mso-fit-shape-to-text:t">
                  <w:txbxContent>
                    <w:p w:rsidR="008527C3" w:rsidRDefault="008527C3" w:rsidP="00976DC4">
                      <w:r>
                        <w:rPr>
                          <w:lang w:val="el-GR"/>
                        </w:rPr>
                        <w:t>9</w:t>
                      </w:r>
                    </w:p>
                  </w:txbxContent>
                </v:textbox>
              </v:shape>
            </w:pict>
          </mc:Fallback>
        </mc:AlternateContent>
      </w:r>
      <w:r w:rsidRPr="00D71846">
        <w:rPr>
          <w:rFonts w:ascii="Times New Roman" w:hAnsi="Times New Roman" w:cs="Times New Roman"/>
          <w:sz w:val="24"/>
          <w:szCs w:val="24"/>
        </w:rPr>
        <w:t xml:space="preserve">The main problem of applying Basel III is the effect on profitability. It is estimated by Fitch that under the new regulatory framework the 29 international systemic financial institutions (GSIFI) will need $556 </w:t>
      </w:r>
      <w:r w:rsidR="00851947">
        <w:rPr>
          <w:rFonts w:ascii="Times New Roman" w:hAnsi="Times New Roman" w:cs="Times New Roman"/>
          <w:sz w:val="24"/>
          <w:szCs w:val="24"/>
        </w:rPr>
        <w:t>i</w:t>
      </w:r>
      <w:r w:rsidRPr="00D71846">
        <w:rPr>
          <w:rFonts w:ascii="Times New Roman" w:hAnsi="Times New Roman" w:cs="Times New Roman"/>
          <w:sz w:val="24"/>
          <w:szCs w:val="24"/>
        </w:rPr>
        <w:t>n extra capital by 1/1/2019 and is expected that the average Return on Equity (ROE) will fall by more than 20%. Also many believe that a much stricter regulatory framework is to blame for the slow rate of recovery from the recent economic crisis (Santos, 200</w:t>
      </w:r>
      <w:r w:rsidR="000F5E42">
        <w:rPr>
          <w:rFonts w:ascii="Times New Roman" w:hAnsi="Times New Roman" w:cs="Times New Roman"/>
          <w:sz w:val="24"/>
          <w:szCs w:val="24"/>
        </w:rPr>
        <w:t>1</w:t>
      </w:r>
      <w:r w:rsidRPr="00D71846">
        <w:rPr>
          <w:rFonts w:ascii="Times New Roman" w:hAnsi="Times New Roman" w:cs="Times New Roman"/>
          <w:sz w:val="24"/>
          <w:szCs w:val="24"/>
        </w:rPr>
        <w:t xml:space="preserve">). Bank managements must examine alternative courses of action regarding risk and opportunity management so as to successfully implement Basel III. </w:t>
      </w:r>
    </w:p>
    <w:p w:rsidR="00976DC4" w:rsidRPr="00D71846" w:rsidRDefault="00976DC4" w:rsidP="00976DC4">
      <w:pPr>
        <w:pStyle w:val="HTMLPreformatted"/>
        <w:shd w:val="clear" w:color="auto" w:fill="FFFFFF"/>
        <w:jc w:val="both"/>
        <w:rPr>
          <w:rFonts w:ascii="Times New Roman" w:hAnsi="Times New Roman" w:cs="Times New Roman"/>
          <w:b/>
          <w:sz w:val="24"/>
          <w:szCs w:val="24"/>
        </w:rPr>
      </w:pPr>
    </w:p>
    <w:p w:rsidR="00976DC4" w:rsidRPr="00A07730" w:rsidRDefault="00976DC4" w:rsidP="00976DC4">
      <w:pPr>
        <w:pStyle w:val="ListParagraph"/>
        <w:numPr>
          <w:ilvl w:val="0"/>
          <w:numId w:val="19"/>
        </w:numPr>
        <w:spacing w:after="0" w:line="240" w:lineRule="auto"/>
        <w:rPr>
          <w:rFonts w:ascii="Times New Roman" w:hAnsi="Times New Roman" w:cs="Times New Roman"/>
          <w:b/>
          <w:sz w:val="24"/>
          <w:szCs w:val="24"/>
          <w:lang w:val="el-GR"/>
        </w:rPr>
      </w:pPr>
      <w:r w:rsidRPr="00D71846">
        <w:rPr>
          <w:rFonts w:ascii="Times New Roman" w:hAnsi="Times New Roman" w:cs="Times New Roman"/>
          <w:b/>
          <w:sz w:val="24"/>
          <w:szCs w:val="24"/>
        </w:rPr>
        <w:t>Literature Review</w:t>
      </w:r>
    </w:p>
    <w:p w:rsidR="00976DC4" w:rsidRPr="00D71846" w:rsidRDefault="00976DC4" w:rsidP="00976DC4">
      <w:pPr>
        <w:pStyle w:val="ListParagraph"/>
        <w:numPr>
          <w:ilvl w:val="1"/>
          <w:numId w:val="19"/>
        </w:numPr>
        <w:autoSpaceDE w:val="0"/>
        <w:autoSpaceDN w:val="0"/>
        <w:adjustRightInd w:val="0"/>
        <w:spacing w:after="0" w:line="240" w:lineRule="auto"/>
        <w:rPr>
          <w:rFonts w:ascii="Times New Roman" w:hAnsi="Times New Roman" w:cs="Times New Roman"/>
          <w:b/>
          <w:bCs/>
          <w:caps/>
          <w:sz w:val="24"/>
          <w:szCs w:val="24"/>
          <w:lang w:val="el-GR"/>
        </w:rPr>
      </w:pPr>
      <w:r w:rsidRPr="00D71846">
        <w:rPr>
          <w:rFonts w:ascii="Times New Roman" w:hAnsi="Times New Roman" w:cs="Times New Roman"/>
          <w:b/>
          <w:bCs/>
          <w:caps/>
          <w:sz w:val="24"/>
          <w:szCs w:val="24"/>
        </w:rPr>
        <w:t>C</w:t>
      </w:r>
      <w:r w:rsidRPr="00D71846">
        <w:rPr>
          <w:rFonts w:ascii="Times New Roman" w:hAnsi="Times New Roman" w:cs="Times New Roman"/>
          <w:b/>
          <w:bCs/>
          <w:sz w:val="24"/>
          <w:szCs w:val="24"/>
        </w:rPr>
        <w:t xml:space="preserve">apital </w:t>
      </w:r>
      <w:r>
        <w:rPr>
          <w:rFonts w:ascii="Times New Roman" w:hAnsi="Times New Roman" w:cs="Times New Roman"/>
          <w:b/>
          <w:bCs/>
          <w:sz w:val="24"/>
          <w:szCs w:val="24"/>
        </w:rPr>
        <w:t>S</w:t>
      </w:r>
      <w:r w:rsidRPr="00D71846">
        <w:rPr>
          <w:rFonts w:ascii="Times New Roman" w:hAnsi="Times New Roman" w:cs="Times New Roman"/>
          <w:b/>
          <w:bCs/>
          <w:sz w:val="24"/>
          <w:szCs w:val="24"/>
        </w:rPr>
        <w:t xml:space="preserve">tructure of </w:t>
      </w:r>
      <w:r>
        <w:rPr>
          <w:rFonts w:ascii="Times New Roman" w:hAnsi="Times New Roman" w:cs="Times New Roman"/>
          <w:b/>
          <w:bCs/>
          <w:sz w:val="24"/>
          <w:szCs w:val="24"/>
        </w:rPr>
        <w:t>B</w:t>
      </w:r>
      <w:r w:rsidRPr="00D71846">
        <w:rPr>
          <w:rFonts w:ascii="Times New Roman" w:hAnsi="Times New Roman" w:cs="Times New Roman"/>
          <w:b/>
          <w:bCs/>
          <w:sz w:val="24"/>
          <w:szCs w:val="24"/>
        </w:rPr>
        <w:t>anks</w:t>
      </w:r>
    </w:p>
    <w:p w:rsidR="00976DC4" w:rsidRPr="00D71846" w:rsidRDefault="00976DC4" w:rsidP="00976DC4">
      <w:pPr>
        <w:pStyle w:val="HTMLPreformatted"/>
        <w:shd w:val="clear" w:color="auto" w:fill="FFFFFF"/>
        <w:jc w:val="both"/>
        <w:rPr>
          <w:rFonts w:ascii="Times New Roman" w:hAnsi="Times New Roman" w:cs="Times New Roman"/>
          <w:sz w:val="24"/>
          <w:szCs w:val="24"/>
          <w:lang w:val="el-GR"/>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Bank regulators use capital regulations in order to ensure that a bank’s capital is sufficient to meet its risk exposure. </w:t>
      </w:r>
      <w:proofErr w:type="spellStart"/>
      <w:r w:rsidRPr="00D71846">
        <w:rPr>
          <w:rFonts w:ascii="Times New Roman" w:hAnsi="Times New Roman" w:cs="Times New Roman"/>
          <w:sz w:val="24"/>
          <w:szCs w:val="24"/>
        </w:rPr>
        <w:t>Mishkin</w:t>
      </w:r>
      <w:proofErr w:type="spellEnd"/>
      <w:r w:rsidRPr="00D71846">
        <w:rPr>
          <w:rFonts w:ascii="Times New Roman" w:hAnsi="Times New Roman" w:cs="Times New Roman"/>
          <w:sz w:val="24"/>
          <w:szCs w:val="24"/>
        </w:rPr>
        <w:t xml:space="preserve"> (2000) argue that capital requirements set by the regulatory authorities affect capital structure decisions by banks. In general, the capital structure of a bank is determined by decisions that are initiated by the banks themselves on the basis of the theory of capital structure and decisions initiated by the regulatory authorities that relate to the determination of the minimum capital requirements (</w:t>
      </w:r>
      <w:proofErr w:type="spellStart"/>
      <w:r w:rsidRPr="00D71846">
        <w:rPr>
          <w:rFonts w:ascii="Times New Roman" w:hAnsi="Times New Roman" w:cs="Times New Roman"/>
          <w:sz w:val="24"/>
          <w:szCs w:val="24"/>
        </w:rPr>
        <w:t>Besanko</w:t>
      </w:r>
      <w:proofErr w:type="spellEnd"/>
      <w:r w:rsidRPr="00D71846">
        <w:rPr>
          <w:rFonts w:ascii="Times New Roman" w:hAnsi="Times New Roman" w:cs="Times New Roman"/>
          <w:sz w:val="24"/>
          <w:szCs w:val="24"/>
        </w:rPr>
        <w:t xml:space="preserve"> </w:t>
      </w:r>
      <w:r w:rsidR="00B04169">
        <w:rPr>
          <w:rFonts w:ascii="Times New Roman" w:hAnsi="Times New Roman" w:cs="Times New Roman"/>
          <w:sz w:val="24"/>
          <w:szCs w:val="24"/>
        </w:rPr>
        <w:t xml:space="preserve">and </w:t>
      </w:r>
      <w:proofErr w:type="spellStart"/>
      <w:r w:rsidR="00B04169">
        <w:rPr>
          <w:rFonts w:ascii="Times New Roman" w:hAnsi="Times New Roman" w:cs="Times New Roman"/>
          <w:sz w:val="24"/>
          <w:szCs w:val="24"/>
        </w:rPr>
        <w:t>Kanatas</w:t>
      </w:r>
      <w:proofErr w:type="spellEnd"/>
      <w:r w:rsidR="00B04169">
        <w:rPr>
          <w:rFonts w:ascii="Times New Roman" w:hAnsi="Times New Roman" w:cs="Times New Roman"/>
          <w:sz w:val="24"/>
          <w:szCs w:val="24"/>
        </w:rPr>
        <w:t xml:space="preserve"> 1996</w:t>
      </w:r>
      <w:r w:rsidRPr="00D71846">
        <w:rPr>
          <w:rFonts w:ascii="Times New Roman" w:hAnsi="Times New Roman" w:cs="Times New Roman"/>
          <w:sz w:val="24"/>
          <w:szCs w:val="24"/>
        </w:rPr>
        <w:t>).</w:t>
      </w:r>
    </w:p>
    <w:p w:rsidR="00976DC4" w:rsidRPr="00D71846" w:rsidRDefault="00976DC4" w:rsidP="00976DC4">
      <w:pPr>
        <w:autoSpaceDE w:val="0"/>
        <w:autoSpaceDN w:val="0"/>
        <w:adjustRightInd w:val="0"/>
        <w:spacing w:after="0" w:line="240" w:lineRule="auto"/>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Under voluntary capital structure it is possible that the bank maintains a higher level of capital than the minimum capital adequacy requirements set by the regulatory authorities. There are many reasons as to why the capital ratio of a bank is maintained above the minimum required. One of these reasons is a hedging strategy. Under normal conditions, the decisions on capital structure are taken by management however the owners/shareholders are able to exercise control over the decision making process or policies of a company. The agency relationships within the banking sector are far more complicated as they include the relationship between shareholders and management, the relationship between the bank and its loan customers and the relationship between the bank and the regulatory authorities. Thus, in addition to the risk exposure and the relevant extra capital requirements, there are other critical factors affecting the capital adequacy percentage. </w:t>
      </w:r>
    </w:p>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Differences in risk preferences between owners and executives can also affect capital levels. According to Saunders, </w:t>
      </w:r>
      <w:proofErr w:type="spellStart"/>
      <w:r w:rsidRPr="00D71846">
        <w:rPr>
          <w:rFonts w:ascii="Times New Roman" w:hAnsi="Times New Roman" w:cs="Times New Roman"/>
          <w:sz w:val="24"/>
          <w:szCs w:val="24"/>
        </w:rPr>
        <w:t>Strock</w:t>
      </w:r>
      <w:proofErr w:type="spellEnd"/>
      <w:r w:rsidRPr="00D71846">
        <w:rPr>
          <w:rFonts w:ascii="Times New Roman" w:hAnsi="Times New Roman" w:cs="Times New Roman"/>
          <w:sz w:val="24"/>
          <w:szCs w:val="24"/>
        </w:rPr>
        <w:t xml:space="preserve"> and </w:t>
      </w:r>
      <w:proofErr w:type="spellStart"/>
      <w:r w:rsidRPr="00D71846">
        <w:rPr>
          <w:rFonts w:ascii="Times New Roman" w:hAnsi="Times New Roman" w:cs="Times New Roman"/>
          <w:sz w:val="24"/>
          <w:szCs w:val="24"/>
        </w:rPr>
        <w:t>Travlos</w:t>
      </w:r>
      <w:proofErr w:type="spellEnd"/>
      <w:r w:rsidRPr="00D71846">
        <w:rPr>
          <w:rFonts w:ascii="Times New Roman" w:hAnsi="Times New Roman" w:cs="Times New Roman"/>
          <w:sz w:val="24"/>
          <w:szCs w:val="24"/>
        </w:rPr>
        <w:t xml:space="preserve"> (1990), executive directors may have an incentive to reduce the risk of default as they stand to lose the most in case of bankruptcy like the loss of high salaries and other attractive benefits. Therefore executives may seek to hedge the risk of default </w:t>
      </w:r>
      <w:r w:rsidRPr="00D71846">
        <w:rPr>
          <w:rFonts w:ascii="Times New Roman" w:hAnsi="Times New Roman" w:cs="Times New Roman"/>
          <w:sz w:val="24"/>
          <w:szCs w:val="24"/>
        </w:rPr>
        <w:lastRenderedPageBreak/>
        <w:t xml:space="preserve">through low leverage thus leading to a positive relationship between changes in risk and capital. </w:t>
      </w:r>
      <w:proofErr w:type="gramStart"/>
      <w:r w:rsidRPr="00D71846">
        <w:rPr>
          <w:rFonts w:ascii="Times New Roman" w:hAnsi="Times New Roman" w:cs="Times New Roman"/>
          <w:sz w:val="24"/>
          <w:szCs w:val="24"/>
        </w:rPr>
        <w:t>(</w:t>
      </w:r>
      <w:proofErr w:type="spellStart"/>
      <w:r w:rsidRPr="00D71846">
        <w:rPr>
          <w:rFonts w:ascii="Times New Roman" w:hAnsi="Times New Roman" w:cs="Times New Roman"/>
          <w:sz w:val="24"/>
          <w:szCs w:val="24"/>
        </w:rPr>
        <w:t>Shrieves</w:t>
      </w:r>
      <w:proofErr w:type="spellEnd"/>
      <w:r w:rsidRPr="00D71846">
        <w:rPr>
          <w:rFonts w:ascii="Times New Roman" w:hAnsi="Times New Roman" w:cs="Times New Roman"/>
          <w:sz w:val="24"/>
          <w:szCs w:val="24"/>
        </w:rPr>
        <w:t xml:space="preserve"> and Dahl, 1992).</w:t>
      </w:r>
      <w:proofErr w:type="gramEnd"/>
      <w:r w:rsidRPr="00D71846">
        <w:rPr>
          <w:rFonts w:ascii="Times New Roman" w:hAnsi="Times New Roman" w:cs="Times New Roman"/>
          <w:sz w:val="24"/>
          <w:szCs w:val="24"/>
        </w:rPr>
        <w:t xml:space="preserve"> Additionally, an unexpected rise in the costs of default may force the banks to suddenly increase their capital adequacy ratio. </w:t>
      </w:r>
      <w:proofErr w:type="spellStart"/>
      <w:proofErr w:type="gramStart"/>
      <w:r w:rsidRPr="00D71846">
        <w:rPr>
          <w:rFonts w:ascii="Times New Roman" w:hAnsi="Times New Roman" w:cs="Times New Roman"/>
          <w:sz w:val="24"/>
          <w:szCs w:val="24"/>
        </w:rPr>
        <w:t>Orgler</w:t>
      </w:r>
      <w:proofErr w:type="spellEnd"/>
      <w:r w:rsidRPr="00D71846">
        <w:rPr>
          <w:rFonts w:ascii="Times New Roman" w:hAnsi="Times New Roman" w:cs="Times New Roman"/>
          <w:sz w:val="24"/>
          <w:szCs w:val="24"/>
        </w:rPr>
        <w:t xml:space="preserve"> and Taggart (1983) report that the optimum capital level for banks may depend on the netting off between the tax advantage from financing bank deposits and the tax advantage from capital accumulation.</w:t>
      </w:r>
      <w:proofErr w:type="gramEnd"/>
      <w:r w:rsidRPr="00D71846">
        <w:rPr>
          <w:rFonts w:ascii="Times New Roman" w:hAnsi="Times New Roman" w:cs="Times New Roman"/>
          <w:sz w:val="24"/>
          <w:szCs w:val="24"/>
        </w:rPr>
        <w:t xml:space="preserve"> As the expected cost of bankruptcy reflects the probability of failure, banks may increase their capital levels when high risk assets increase. </w:t>
      </w:r>
      <w:proofErr w:type="gramStart"/>
      <w:r w:rsidRPr="00D71846">
        <w:rPr>
          <w:rFonts w:ascii="Times New Roman" w:hAnsi="Times New Roman" w:cs="Times New Roman"/>
          <w:sz w:val="24"/>
          <w:szCs w:val="24"/>
        </w:rPr>
        <w:t xml:space="preserve">(Berger </w:t>
      </w:r>
      <w:r w:rsidR="00F362DC">
        <w:rPr>
          <w:rFonts w:ascii="Times New Roman" w:hAnsi="Times New Roman" w:cs="Times New Roman"/>
          <w:sz w:val="24"/>
          <w:szCs w:val="24"/>
        </w:rPr>
        <w:t xml:space="preserve">et al, </w:t>
      </w:r>
      <w:r w:rsidRPr="00D71846">
        <w:rPr>
          <w:rFonts w:ascii="Times New Roman" w:hAnsi="Times New Roman" w:cs="Times New Roman"/>
          <w:sz w:val="24"/>
          <w:szCs w:val="24"/>
        </w:rPr>
        <w:t xml:space="preserve">1995, </w:t>
      </w:r>
      <w:proofErr w:type="spellStart"/>
      <w:r w:rsidRPr="00D71846">
        <w:rPr>
          <w:rFonts w:ascii="Times New Roman" w:hAnsi="Times New Roman" w:cs="Times New Roman"/>
          <w:sz w:val="24"/>
          <w:szCs w:val="24"/>
        </w:rPr>
        <w:t>Shrieves</w:t>
      </w:r>
      <w:proofErr w:type="spellEnd"/>
      <w:r w:rsidRPr="00D71846">
        <w:rPr>
          <w:rFonts w:ascii="Times New Roman" w:hAnsi="Times New Roman" w:cs="Times New Roman"/>
          <w:sz w:val="24"/>
          <w:szCs w:val="24"/>
        </w:rPr>
        <w:t xml:space="preserve"> and Dahl, 1992).</w:t>
      </w:r>
      <w:proofErr w:type="gramEnd"/>
      <w:r w:rsidRPr="00D71846">
        <w:rPr>
          <w:rFonts w:ascii="Times New Roman" w:hAnsi="Times New Roman" w:cs="Times New Roman"/>
          <w:sz w:val="24"/>
          <w:szCs w:val="24"/>
        </w:rPr>
        <w:t xml:space="preserve"> </w:t>
      </w:r>
    </w:p>
    <w:p w:rsidR="00976DC4" w:rsidRPr="00D71846" w:rsidRDefault="00976DC4" w:rsidP="00976DC4">
      <w:pPr>
        <w:pStyle w:val="HTMLPreformatted"/>
        <w:jc w:val="both"/>
        <w:rPr>
          <w:rFonts w:ascii="Times New Roman" w:hAnsi="Times New Roman" w:cs="Times New Roman"/>
          <w:sz w:val="24"/>
          <w:szCs w:val="24"/>
        </w:rPr>
      </w:pPr>
    </w:p>
    <w:p w:rsidR="00976DC4" w:rsidRPr="00D71846" w:rsidRDefault="00976DC4" w:rsidP="00976DC4">
      <w:pPr>
        <w:pStyle w:val="HTMLPreformatted"/>
        <w:numPr>
          <w:ilvl w:val="1"/>
          <w:numId w:val="19"/>
        </w:numPr>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 xml:space="preserve">Review of the </w:t>
      </w:r>
      <w:r>
        <w:rPr>
          <w:rFonts w:ascii="Times New Roman" w:hAnsi="Times New Roman" w:cs="Times New Roman"/>
          <w:b/>
          <w:sz w:val="24"/>
          <w:szCs w:val="24"/>
        </w:rPr>
        <w:t>T</w:t>
      </w:r>
      <w:r w:rsidRPr="00D71846">
        <w:rPr>
          <w:rFonts w:ascii="Times New Roman" w:hAnsi="Times New Roman" w:cs="Times New Roman"/>
          <w:b/>
          <w:sz w:val="24"/>
          <w:szCs w:val="24"/>
        </w:rPr>
        <w:t xml:space="preserve">heoretical and </w:t>
      </w:r>
      <w:r>
        <w:rPr>
          <w:rFonts w:ascii="Times New Roman" w:hAnsi="Times New Roman" w:cs="Times New Roman"/>
          <w:b/>
          <w:sz w:val="24"/>
          <w:szCs w:val="24"/>
        </w:rPr>
        <w:t>E</w:t>
      </w:r>
      <w:r w:rsidRPr="00D71846">
        <w:rPr>
          <w:rFonts w:ascii="Times New Roman" w:hAnsi="Times New Roman" w:cs="Times New Roman"/>
          <w:b/>
          <w:sz w:val="24"/>
          <w:szCs w:val="24"/>
        </w:rPr>
        <w:t xml:space="preserve">mpirical </w:t>
      </w:r>
      <w:r>
        <w:rPr>
          <w:rFonts w:ascii="Times New Roman" w:hAnsi="Times New Roman" w:cs="Times New Roman"/>
          <w:b/>
          <w:sz w:val="24"/>
          <w:szCs w:val="24"/>
        </w:rPr>
        <w:t>A</w:t>
      </w:r>
      <w:r w:rsidRPr="00D71846">
        <w:rPr>
          <w:rFonts w:ascii="Times New Roman" w:hAnsi="Times New Roman" w:cs="Times New Roman"/>
          <w:b/>
          <w:sz w:val="24"/>
          <w:szCs w:val="24"/>
        </w:rPr>
        <w:t xml:space="preserve">pproach </w:t>
      </w:r>
      <w:r>
        <w:rPr>
          <w:rFonts w:ascii="Times New Roman" w:hAnsi="Times New Roman" w:cs="Times New Roman"/>
          <w:b/>
          <w:sz w:val="24"/>
          <w:szCs w:val="24"/>
        </w:rPr>
        <w:t>T</w:t>
      </w:r>
      <w:r w:rsidRPr="00D71846">
        <w:rPr>
          <w:rFonts w:ascii="Times New Roman" w:hAnsi="Times New Roman" w:cs="Times New Roman"/>
          <w:b/>
          <w:sz w:val="24"/>
          <w:szCs w:val="24"/>
        </w:rPr>
        <w:t xml:space="preserve">owards the </w:t>
      </w:r>
      <w:r>
        <w:rPr>
          <w:rFonts w:ascii="Times New Roman" w:hAnsi="Times New Roman" w:cs="Times New Roman"/>
          <w:b/>
          <w:sz w:val="24"/>
          <w:szCs w:val="24"/>
        </w:rPr>
        <w:t>D</w:t>
      </w:r>
      <w:r w:rsidRPr="00D71846">
        <w:rPr>
          <w:rFonts w:ascii="Times New Roman" w:hAnsi="Times New Roman" w:cs="Times New Roman"/>
          <w:b/>
          <w:sz w:val="24"/>
          <w:szCs w:val="24"/>
        </w:rPr>
        <w:t xml:space="preserve">eterminants of </w:t>
      </w:r>
      <w:r>
        <w:rPr>
          <w:rFonts w:ascii="Times New Roman" w:hAnsi="Times New Roman" w:cs="Times New Roman"/>
          <w:b/>
          <w:sz w:val="24"/>
          <w:szCs w:val="24"/>
        </w:rPr>
        <w:t>C</w:t>
      </w:r>
      <w:r w:rsidRPr="00D71846">
        <w:rPr>
          <w:rFonts w:ascii="Times New Roman" w:hAnsi="Times New Roman" w:cs="Times New Roman"/>
          <w:b/>
          <w:sz w:val="24"/>
          <w:szCs w:val="24"/>
        </w:rPr>
        <w:t xml:space="preserve">apital </w:t>
      </w:r>
      <w:r>
        <w:rPr>
          <w:rFonts w:ascii="Times New Roman" w:hAnsi="Times New Roman" w:cs="Times New Roman"/>
          <w:b/>
          <w:sz w:val="24"/>
          <w:szCs w:val="24"/>
        </w:rPr>
        <w:t>A</w:t>
      </w:r>
      <w:r w:rsidRPr="00D71846">
        <w:rPr>
          <w:rFonts w:ascii="Times New Roman" w:hAnsi="Times New Roman" w:cs="Times New Roman"/>
          <w:b/>
          <w:sz w:val="24"/>
          <w:szCs w:val="24"/>
        </w:rPr>
        <w:t xml:space="preserve">dequacy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approach towards the determinants of the bank capital adequacy ratio is becoming increasingly important. A better understanding of these determinants enables regulators to better assess possible interventions and future responses to banking problems (Francis and Osborne, 2010). Since the proper functioning and development of the banking system plays a key role in economic growth</w:t>
      </w:r>
      <w:r w:rsidR="00F362DC">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it is imperative to understand the factors affecting decisions on bank capital structures and the dominant role of capital adequacy ratios in preventive supervision.</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In the financial world opinions on the appropriate level of capital adequacy differ among experts, and between regulators and bankers. On the one hand, regulators prefer higher capital adequacy levels to ensure bank </w:t>
      </w:r>
      <w:r w:rsidR="002C5AD1" w:rsidRPr="00D71846">
        <w:rPr>
          <w:rFonts w:ascii="Times New Roman" w:hAnsi="Times New Roman" w:cs="Times New Roman"/>
          <w:color w:val="222222"/>
          <w:sz w:val="24"/>
          <w:szCs w:val="24"/>
          <w:lang w:val="en"/>
        </w:rPr>
        <w:t>solvency</w:t>
      </w:r>
      <w:r w:rsidRPr="00D71846">
        <w:rPr>
          <w:rFonts w:ascii="Times New Roman" w:hAnsi="Times New Roman" w:cs="Times New Roman"/>
          <w:color w:val="222222"/>
          <w:sz w:val="24"/>
          <w:szCs w:val="24"/>
          <w:lang w:val="en"/>
        </w:rPr>
        <w:t xml:space="preserve">. A higher level of capital adequacy will increase the bank's liquidity and reduce the possibility of bankruptcy. On the other hand, bankers often prefer lower levels of capital adequacy. The importance of minimum capital adequacy ratios needed to ensure the stability of banking systems has motivated many researchers to study the determinants of bank capital. Jeff (1990) revealed that capital adequacy is the main reference point for the safety and soundness of banks and financial institutions. </w:t>
      </w:r>
      <w:proofErr w:type="spellStart"/>
      <w:r w:rsidRPr="00D71846">
        <w:rPr>
          <w:rFonts w:ascii="Times New Roman" w:hAnsi="Times New Roman" w:cs="Times New Roman"/>
          <w:color w:val="222222"/>
          <w:sz w:val="24"/>
          <w:szCs w:val="24"/>
          <w:lang w:val="en"/>
        </w:rPr>
        <w:t>Onoh</w:t>
      </w:r>
      <w:proofErr w:type="spellEnd"/>
      <w:r w:rsidRPr="00D71846">
        <w:rPr>
          <w:rFonts w:ascii="Times New Roman" w:hAnsi="Times New Roman" w:cs="Times New Roman"/>
          <w:color w:val="222222"/>
          <w:sz w:val="24"/>
          <w:szCs w:val="24"/>
          <w:lang w:val="en"/>
        </w:rPr>
        <w:t xml:space="preserve"> (2002) argues that sufficient funds are considered as the percentage of capital that can effectively protect the banking operations from failure through loss absorption. Moreover, the amount of capital must be adjusted when it is probable that total operating costs and requirements will increase. </w:t>
      </w:r>
      <w:proofErr w:type="spellStart"/>
      <w:r w:rsidRPr="00D71846">
        <w:rPr>
          <w:rFonts w:ascii="Times New Roman" w:hAnsi="Times New Roman" w:cs="Times New Roman"/>
          <w:color w:val="222222"/>
          <w:sz w:val="24"/>
          <w:szCs w:val="24"/>
          <w:lang w:val="en"/>
        </w:rPr>
        <w:t>Umoh</w:t>
      </w:r>
      <w:proofErr w:type="spellEnd"/>
      <w:r w:rsidRPr="00D71846">
        <w:rPr>
          <w:rFonts w:ascii="Times New Roman" w:hAnsi="Times New Roman" w:cs="Times New Roman"/>
          <w:color w:val="222222"/>
          <w:sz w:val="24"/>
          <w:szCs w:val="24"/>
          <w:lang w:val="en"/>
        </w:rPr>
        <w:t xml:space="preserve"> (1991) argued that adequate capitalization is an important variable in the banking business.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proofErr w:type="gramStart"/>
      <w:r w:rsidRPr="00D71846">
        <w:rPr>
          <w:rFonts w:ascii="Times New Roman" w:hAnsi="Times New Roman" w:cs="Times New Roman"/>
          <w:color w:val="222222"/>
          <w:sz w:val="24"/>
          <w:szCs w:val="24"/>
          <w:lang w:val="en"/>
        </w:rPr>
        <w:t>Initial studies on the capital structures of banks and their determinants</w:t>
      </w:r>
      <w:r w:rsidR="00B32766">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focused on characteristics such as size, risk, liquidity, profitability and leverage.</w:t>
      </w:r>
      <w:proofErr w:type="gramEnd"/>
      <w:r w:rsidRPr="00D71846">
        <w:rPr>
          <w:rFonts w:ascii="Times New Roman" w:hAnsi="Times New Roman" w:cs="Times New Roman"/>
          <w:color w:val="222222"/>
          <w:sz w:val="24"/>
          <w:szCs w:val="24"/>
          <w:lang w:val="en"/>
        </w:rPr>
        <w:t xml:space="preserve"> Some of these studies have concluded that factors affecting these decisions in the case of banks do not differ from those in the case of non-financial institutions (</w:t>
      </w:r>
      <w:proofErr w:type="spellStart"/>
      <w:r w:rsidRPr="00D71846">
        <w:rPr>
          <w:rFonts w:ascii="Times New Roman" w:hAnsi="Times New Roman" w:cs="Times New Roman"/>
          <w:color w:val="222222"/>
          <w:sz w:val="24"/>
          <w:szCs w:val="24"/>
          <w:lang w:val="en"/>
        </w:rPr>
        <w:t>Gropp</w:t>
      </w:r>
      <w:proofErr w:type="spellEnd"/>
      <w:r w:rsidRPr="00D71846">
        <w:rPr>
          <w:rFonts w:ascii="Times New Roman" w:hAnsi="Times New Roman" w:cs="Times New Roman"/>
          <w:color w:val="222222"/>
          <w:sz w:val="24"/>
          <w:szCs w:val="24"/>
          <w:lang w:val="en"/>
        </w:rPr>
        <w:t xml:space="preserve"> </w:t>
      </w:r>
      <w:r w:rsidR="003140A4">
        <w:rPr>
          <w:rFonts w:ascii="Times New Roman" w:hAnsi="Times New Roman" w:cs="Times New Roman"/>
          <w:color w:val="222222"/>
          <w:sz w:val="24"/>
          <w:szCs w:val="24"/>
          <w:lang w:val="en"/>
        </w:rPr>
        <w:t>and</w:t>
      </w:r>
      <w:r w:rsidRPr="00D71846">
        <w:rPr>
          <w:rFonts w:ascii="Times New Roman" w:hAnsi="Times New Roman" w:cs="Times New Roman"/>
          <w:color w:val="222222"/>
          <w:sz w:val="24"/>
          <w:szCs w:val="24"/>
          <w:lang w:val="en"/>
        </w:rPr>
        <w:t xml:space="preserve"> </w:t>
      </w:r>
      <w:proofErr w:type="spellStart"/>
      <w:r w:rsidRPr="00D71846">
        <w:rPr>
          <w:rFonts w:ascii="Times New Roman" w:hAnsi="Times New Roman" w:cs="Times New Roman"/>
          <w:color w:val="222222"/>
          <w:sz w:val="24"/>
          <w:szCs w:val="24"/>
          <w:lang w:val="en"/>
        </w:rPr>
        <w:t>Heider</w:t>
      </w:r>
      <w:proofErr w:type="spellEnd"/>
      <w:r w:rsidRPr="00D71846">
        <w:rPr>
          <w:rFonts w:ascii="Times New Roman" w:hAnsi="Times New Roman" w:cs="Times New Roman"/>
          <w:color w:val="222222"/>
          <w:sz w:val="24"/>
          <w:szCs w:val="24"/>
          <w:lang w:val="en"/>
        </w:rPr>
        <w:t xml:space="preserve">, 2010, </w:t>
      </w:r>
      <w:proofErr w:type="spellStart"/>
      <w:r w:rsidRPr="00D71846">
        <w:rPr>
          <w:rFonts w:ascii="Times New Roman" w:hAnsi="Times New Roman" w:cs="Times New Roman"/>
          <w:color w:val="222222"/>
          <w:sz w:val="24"/>
          <w:szCs w:val="24"/>
          <w:lang w:val="en"/>
        </w:rPr>
        <w:t>Juca</w:t>
      </w:r>
      <w:proofErr w:type="spellEnd"/>
      <w:r w:rsidRPr="00D71846">
        <w:rPr>
          <w:rFonts w:ascii="Times New Roman" w:hAnsi="Times New Roman" w:cs="Times New Roman"/>
          <w:color w:val="222222"/>
          <w:sz w:val="24"/>
          <w:szCs w:val="24"/>
          <w:lang w:val="en"/>
        </w:rPr>
        <w:t xml:space="preserve"> </w:t>
      </w:r>
      <w:r w:rsidR="003140A4">
        <w:rPr>
          <w:rFonts w:ascii="Times New Roman" w:hAnsi="Times New Roman" w:cs="Times New Roman"/>
          <w:color w:val="222222"/>
          <w:sz w:val="24"/>
          <w:szCs w:val="24"/>
          <w:lang w:val="en"/>
        </w:rPr>
        <w:t>et al</w:t>
      </w:r>
      <w:r w:rsidRPr="00D71846">
        <w:rPr>
          <w:rFonts w:ascii="Times New Roman" w:hAnsi="Times New Roman" w:cs="Times New Roman"/>
          <w:color w:val="222222"/>
          <w:sz w:val="24"/>
          <w:szCs w:val="24"/>
          <w:lang w:val="en"/>
        </w:rPr>
        <w:t xml:space="preserve">, 2012). </w:t>
      </w:r>
      <w:proofErr w:type="spellStart"/>
      <w:r w:rsidRPr="00D71846">
        <w:rPr>
          <w:rFonts w:ascii="Times New Roman" w:hAnsi="Times New Roman" w:cs="Times New Roman"/>
          <w:color w:val="222222"/>
          <w:sz w:val="24"/>
          <w:szCs w:val="24"/>
          <w:lang w:val="en"/>
        </w:rPr>
        <w:t>Baltaci</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Ayaydin</w:t>
      </w:r>
      <w:proofErr w:type="spellEnd"/>
      <w:r w:rsidRPr="00D71846">
        <w:rPr>
          <w:rFonts w:ascii="Times New Roman" w:hAnsi="Times New Roman" w:cs="Times New Roman"/>
          <w:color w:val="222222"/>
          <w:sz w:val="24"/>
          <w:szCs w:val="24"/>
          <w:lang w:val="en"/>
        </w:rPr>
        <w:t xml:space="preserve"> (2014) found that capital structure is affected by the same determinants. </w:t>
      </w:r>
      <w:proofErr w:type="spellStart"/>
      <w:r w:rsidRPr="00D71846">
        <w:rPr>
          <w:rFonts w:ascii="Times New Roman" w:hAnsi="Times New Roman" w:cs="Times New Roman"/>
          <w:color w:val="222222"/>
          <w:sz w:val="24"/>
          <w:szCs w:val="24"/>
          <w:lang w:val="en"/>
        </w:rPr>
        <w:t>Asarkaya</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Ozcan</w:t>
      </w:r>
      <w:proofErr w:type="spellEnd"/>
      <w:r w:rsidRPr="00D71846">
        <w:rPr>
          <w:rFonts w:ascii="Times New Roman" w:hAnsi="Times New Roman" w:cs="Times New Roman"/>
          <w:color w:val="222222"/>
          <w:sz w:val="24"/>
          <w:szCs w:val="24"/>
          <w:lang w:val="en"/>
        </w:rPr>
        <w:t xml:space="preserve"> (2007) analyzed the determinants of capital structure and identified those factors that explain why banks hold capital in excess of the amount required by the regulators. </w:t>
      </w: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 xml:space="preserve">According to the findings of all the above studies portfolio risk, economic growth, average level of capital and return on equity are positively correlated with the capital adequacy ratio and deposits negatively correlated. </w:t>
      </w: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p>
    <w:p w:rsidR="00976DC4" w:rsidRPr="00D71846" w:rsidRDefault="00976DC4" w:rsidP="00976DC4">
      <w:pPr>
        <w:autoSpaceDE w:val="0"/>
        <w:autoSpaceDN w:val="0"/>
        <w:adjustRightInd w:val="0"/>
        <w:spacing w:after="0" w:line="240" w:lineRule="auto"/>
        <w:rPr>
          <w:rFonts w:ascii="Times New Roman" w:hAnsi="Times New Roman" w:cs="Times New Roman"/>
          <w:b/>
          <w:sz w:val="24"/>
          <w:szCs w:val="24"/>
        </w:rPr>
      </w:pPr>
      <w:r w:rsidRPr="00D71846">
        <w:rPr>
          <w:rFonts w:ascii="Times New Roman" w:hAnsi="Times New Roman" w:cs="Times New Roman"/>
          <w:b/>
          <w:sz w:val="24"/>
          <w:szCs w:val="24"/>
        </w:rPr>
        <w:t>4.2.1 Regulatory Capital</w:t>
      </w:r>
    </w:p>
    <w:p w:rsidR="00976DC4" w:rsidRPr="00976DC4" w:rsidRDefault="00976DC4" w:rsidP="00976DC4">
      <w:pPr>
        <w:autoSpaceDE w:val="0"/>
        <w:autoSpaceDN w:val="0"/>
        <w:adjustRightInd w:val="0"/>
        <w:spacing w:after="0" w:line="240" w:lineRule="auto"/>
        <w:rPr>
          <w:rFonts w:ascii="Times New Roman" w:hAnsi="Times New Roman" w:cs="Times New Roman"/>
          <w:sz w:val="24"/>
          <w:szCs w:val="24"/>
        </w:rPr>
      </w:pPr>
    </w:p>
    <w:p w:rsidR="00976DC4" w:rsidRPr="00D71846" w:rsidRDefault="00976DC4" w:rsidP="00976DC4">
      <w:pPr>
        <w:autoSpaceDE w:val="0"/>
        <w:autoSpaceDN w:val="0"/>
        <w:adjustRightInd w:val="0"/>
        <w:spacing w:after="0" w:line="240" w:lineRule="auto"/>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lastRenderedPageBreak/>
        <w:t xml:space="preserve">Due to their nature as financial intermediaries, banks may tend to hold less capital. </w:t>
      </w:r>
      <w:proofErr w:type="gramStart"/>
      <w:r w:rsidRPr="00D71846">
        <w:rPr>
          <w:rFonts w:ascii="Times New Roman" w:hAnsi="Times New Roman" w:cs="Times New Roman"/>
          <w:color w:val="222222"/>
          <w:sz w:val="24"/>
          <w:szCs w:val="24"/>
          <w:lang w:val="en"/>
        </w:rPr>
        <w:t>Hence</w:t>
      </w:r>
      <w:r w:rsidR="00EC585C">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the need for regulation.</w:t>
      </w:r>
      <w:proofErr w:type="gramEnd"/>
      <w:r w:rsidRPr="00D71846">
        <w:rPr>
          <w:rFonts w:ascii="Times New Roman" w:hAnsi="Times New Roman" w:cs="Times New Roman"/>
          <w:color w:val="222222"/>
          <w:sz w:val="24"/>
          <w:szCs w:val="24"/>
          <w:lang w:val="en"/>
        </w:rPr>
        <w:t xml:space="preserve"> </w:t>
      </w:r>
      <w:proofErr w:type="gramStart"/>
      <w:r w:rsidRPr="00D71846">
        <w:rPr>
          <w:rFonts w:ascii="Times New Roman" w:hAnsi="Times New Roman" w:cs="Times New Roman"/>
          <w:color w:val="222222"/>
          <w:sz w:val="24"/>
          <w:szCs w:val="24"/>
          <w:lang w:val="en"/>
        </w:rPr>
        <w:t>(Rime, 2001).</w:t>
      </w:r>
      <w:proofErr w:type="gramEnd"/>
      <w:r w:rsidRPr="00D71846">
        <w:rPr>
          <w:rFonts w:ascii="Times New Roman" w:hAnsi="Times New Roman" w:cs="Times New Roman"/>
          <w:color w:val="222222"/>
          <w:sz w:val="24"/>
          <w:szCs w:val="24"/>
          <w:lang w:val="en"/>
        </w:rPr>
        <w:t xml:space="preserve"> Due to the high cost of capital retention, </w:t>
      </w:r>
      <w:proofErr w:type="spellStart"/>
      <w:r w:rsidRPr="00D71846">
        <w:rPr>
          <w:rFonts w:ascii="Times New Roman" w:hAnsi="Times New Roman" w:cs="Times New Roman"/>
          <w:color w:val="222222"/>
          <w:sz w:val="24"/>
          <w:szCs w:val="24"/>
          <w:lang w:val="en"/>
        </w:rPr>
        <w:t>Mishkin</w:t>
      </w:r>
      <w:proofErr w:type="spellEnd"/>
      <w:r w:rsidRPr="00D71846">
        <w:rPr>
          <w:rFonts w:ascii="Times New Roman" w:hAnsi="Times New Roman" w:cs="Times New Roman"/>
          <w:color w:val="222222"/>
          <w:sz w:val="24"/>
          <w:szCs w:val="24"/>
          <w:lang w:val="en"/>
        </w:rPr>
        <w:t xml:space="preserve"> (2000) argues that banks hold that amount of capital as required by the regulatory authorities. Due to high expenses, bank managers prefer to hold as little capital as possible and this equals to the amount required by the authorities. Therefore, the level of bank capital is determined by the minimum regulatory capital. Instead, Jackson et</w:t>
      </w:r>
      <w:r w:rsidR="00433922">
        <w:rPr>
          <w:rFonts w:ascii="Times New Roman" w:hAnsi="Times New Roman" w:cs="Times New Roman"/>
          <w:color w:val="222222"/>
          <w:sz w:val="24"/>
          <w:szCs w:val="24"/>
          <w:lang w:val="en"/>
        </w:rPr>
        <w:t xml:space="preserve"> al</w:t>
      </w:r>
      <w:r w:rsidRPr="00D71846">
        <w:rPr>
          <w:rFonts w:ascii="Times New Roman" w:hAnsi="Times New Roman" w:cs="Times New Roman"/>
          <w:color w:val="222222"/>
          <w:sz w:val="24"/>
          <w:szCs w:val="24"/>
          <w:lang w:val="en"/>
        </w:rPr>
        <w:t xml:space="preserve"> (</w:t>
      </w:r>
      <w:r w:rsidR="00433922">
        <w:rPr>
          <w:rFonts w:ascii="Times New Roman" w:hAnsi="Times New Roman" w:cs="Times New Roman"/>
          <w:color w:val="222222"/>
          <w:sz w:val="24"/>
          <w:szCs w:val="24"/>
          <w:lang w:val="en"/>
        </w:rPr>
        <w:t>2002</w:t>
      </w:r>
      <w:r w:rsidRPr="00D71846">
        <w:rPr>
          <w:rFonts w:ascii="Times New Roman" w:hAnsi="Times New Roman" w:cs="Times New Roman"/>
          <w:color w:val="222222"/>
          <w:sz w:val="24"/>
          <w:szCs w:val="24"/>
          <w:lang w:val="en"/>
        </w:rPr>
        <w:t>) in a review in earlier studies concluded that banks could maintain high levels of capital without the imposition of minimum capital by regulators.</w:t>
      </w:r>
    </w:p>
    <w:p w:rsidR="00976DC4" w:rsidRPr="00433922" w:rsidRDefault="00976DC4" w:rsidP="00976DC4">
      <w:pPr>
        <w:autoSpaceDE w:val="0"/>
        <w:autoSpaceDN w:val="0"/>
        <w:adjustRightInd w:val="0"/>
        <w:spacing w:after="0" w:line="240" w:lineRule="auto"/>
        <w:jc w:val="both"/>
        <w:rPr>
          <w:rFonts w:ascii="Times New Roman" w:hAnsi="Times New Roman" w:cs="Times New Roman"/>
          <w:sz w:val="24"/>
          <w:szCs w:val="24"/>
          <w:lang w:val="en"/>
        </w:rPr>
      </w:pPr>
    </w:p>
    <w:p w:rsidR="00976DC4" w:rsidRPr="00433922" w:rsidRDefault="00976DC4" w:rsidP="00976DC4">
      <w:pPr>
        <w:pStyle w:val="HTMLPreformatted"/>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 xml:space="preserve">According to most studies the capital adequacy ratio of banks is mainly determined by the </w:t>
      </w:r>
      <w:r w:rsidR="00A83594">
        <w:rPr>
          <w:rFonts w:ascii="Times New Roman" w:hAnsi="Times New Roman" w:cs="Times New Roman"/>
          <w:color w:val="222222"/>
          <w:sz w:val="24"/>
          <w:szCs w:val="24"/>
          <w:lang w:val="en"/>
        </w:rPr>
        <w:t xml:space="preserve">existing </w:t>
      </w:r>
      <w:r w:rsidRPr="00D71846">
        <w:rPr>
          <w:rFonts w:ascii="Times New Roman" w:hAnsi="Times New Roman" w:cs="Times New Roman"/>
          <w:color w:val="222222"/>
          <w:sz w:val="24"/>
          <w:szCs w:val="24"/>
          <w:lang w:val="en"/>
        </w:rPr>
        <w:t>regulations. But the question remains as to why banks hold capital above the minimum regulatory level</w:t>
      </w:r>
      <w:r>
        <w:rPr>
          <w:rFonts w:ascii="Times New Roman" w:hAnsi="Times New Roman" w:cs="Times New Roman"/>
          <w:color w:val="222222"/>
          <w:sz w:val="24"/>
          <w:szCs w:val="24"/>
          <w:lang w:val="en"/>
        </w:rPr>
        <w:t>.</w:t>
      </w:r>
      <w:r w:rsidR="00433922">
        <w:rPr>
          <w:rFonts w:ascii="Times New Roman" w:hAnsi="Times New Roman" w:cs="Times New Roman"/>
          <w:color w:val="222222"/>
          <w:sz w:val="24"/>
          <w:szCs w:val="24"/>
          <w:lang w:val="en"/>
        </w:rPr>
        <w:t xml:space="preserve"> </w:t>
      </w:r>
      <w:r w:rsidRPr="00D71846">
        <w:rPr>
          <w:rFonts w:ascii="Times New Roman" w:hAnsi="Times New Roman" w:cs="Times New Roman"/>
          <w:color w:val="222222"/>
          <w:sz w:val="24"/>
          <w:szCs w:val="24"/>
          <w:lang w:val="en"/>
        </w:rPr>
        <w:t>Different studies have tried to identify the determinants of additional capital holding (</w:t>
      </w:r>
      <w:r w:rsidR="00A83594" w:rsidRPr="00C47D56">
        <w:rPr>
          <w:rFonts w:ascii="Times New Roman" w:hAnsi="Times New Roman" w:cs="Times New Roman"/>
          <w:color w:val="111111"/>
          <w:sz w:val="24"/>
          <w:szCs w:val="24"/>
          <w:lang w:val="en"/>
        </w:rPr>
        <w:t>Lindquist, 2004</w:t>
      </w:r>
      <w:r w:rsidR="00A83594">
        <w:rPr>
          <w:rFonts w:ascii="Times New Roman" w:hAnsi="Times New Roman" w:cs="Times New Roman"/>
          <w:color w:val="111111"/>
          <w:sz w:val="24"/>
          <w:szCs w:val="24"/>
          <w:lang w:val="en"/>
        </w:rPr>
        <w:t xml:space="preserve">, </w:t>
      </w:r>
      <w:proofErr w:type="spellStart"/>
      <w:r w:rsidRPr="00D71846">
        <w:rPr>
          <w:rFonts w:ascii="Times New Roman" w:hAnsi="Times New Roman" w:cs="Times New Roman"/>
          <w:color w:val="222222"/>
          <w:sz w:val="24"/>
          <w:szCs w:val="24"/>
          <w:lang w:val="en"/>
        </w:rPr>
        <w:t>Nier</w:t>
      </w:r>
      <w:proofErr w:type="spellEnd"/>
      <w:r w:rsidRPr="00D71846">
        <w:rPr>
          <w:rFonts w:ascii="Times New Roman" w:hAnsi="Times New Roman" w:cs="Times New Roman"/>
          <w:color w:val="222222"/>
          <w:sz w:val="24"/>
          <w:szCs w:val="24"/>
          <w:lang w:val="en"/>
        </w:rPr>
        <w:t xml:space="preserve"> and Bauman, 2006, </w:t>
      </w:r>
      <w:proofErr w:type="spellStart"/>
      <w:r w:rsidRPr="00D71846">
        <w:rPr>
          <w:rFonts w:ascii="Times New Roman" w:hAnsi="Times New Roman" w:cs="Times New Roman"/>
          <w:color w:val="222222"/>
          <w:sz w:val="24"/>
          <w:szCs w:val="24"/>
          <w:lang w:val="en"/>
        </w:rPr>
        <w:t>Jokipii</w:t>
      </w:r>
      <w:proofErr w:type="spellEnd"/>
      <w:r w:rsidRPr="00D71846">
        <w:rPr>
          <w:rFonts w:ascii="Times New Roman" w:hAnsi="Times New Roman" w:cs="Times New Roman"/>
          <w:color w:val="222222"/>
          <w:sz w:val="24"/>
          <w:szCs w:val="24"/>
          <w:lang w:val="en"/>
        </w:rPr>
        <w:t xml:space="preserve"> and Mine, 2008), and how banks adjust their capital ratios (Berger et</w:t>
      </w:r>
      <w:r w:rsidR="00304676">
        <w:rPr>
          <w:rFonts w:ascii="Times New Roman" w:hAnsi="Times New Roman" w:cs="Times New Roman"/>
          <w:color w:val="222222"/>
          <w:sz w:val="24"/>
          <w:szCs w:val="24"/>
          <w:lang w:val="en"/>
        </w:rPr>
        <w:t xml:space="preserve"> al,</w:t>
      </w:r>
      <w:r w:rsidRPr="00D71846">
        <w:rPr>
          <w:rFonts w:ascii="Times New Roman" w:hAnsi="Times New Roman" w:cs="Times New Roman"/>
          <w:color w:val="222222"/>
          <w:sz w:val="24"/>
          <w:szCs w:val="24"/>
          <w:lang w:val="en"/>
        </w:rPr>
        <w:t xml:space="preserve"> 2008, Flannery and Ragan, 2008). The banks have an incentive to maintain a level of capital above the regulatory minimum, the so-called </w:t>
      </w:r>
      <w:r w:rsidR="00304676">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buffer</w:t>
      </w:r>
      <w:r w:rsidR="00304676">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as insurance in case of unforeseen events that cause the capital ratio to fall below the regulatory minimum (Marcus 1984</w:t>
      </w:r>
      <w:r w:rsidR="00304676">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Milne and </w:t>
      </w:r>
      <w:proofErr w:type="spellStart"/>
      <w:r w:rsidRPr="00D71846">
        <w:rPr>
          <w:rFonts w:ascii="Times New Roman" w:hAnsi="Times New Roman" w:cs="Times New Roman"/>
          <w:color w:val="222222"/>
          <w:sz w:val="24"/>
          <w:szCs w:val="24"/>
          <w:lang w:val="en"/>
        </w:rPr>
        <w:t>Whalley</w:t>
      </w:r>
      <w:proofErr w:type="spellEnd"/>
      <w:r w:rsidRPr="00D71846">
        <w:rPr>
          <w:rFonts w:ascii="Times New Roman" w:hAnsi="Times New Roman" w:cs="Times New Roman"/>
          <w:color w:val="222222"/>
          <w:sz w:val="24"/>
          <w:szCs w:val="24"/>
          <w:lang w:val="en"/>
        </w:rPr>
        <w:t xml:space="preserve"> 2001).</w:t>
      </w:r>
    </w:p>
    <w:p w:rsidR="00976DC4" w:rsidRPr="00D71846" w:rsidRDefault="00976DC4" w:rsidP="00976DC4">
      <w:pPr>
        <w:autoSpaceDE w:val="0"/>
        <w:autoSpaceDN w:val="0"/>
        <w:adjustRightInd w:val="0"/>
        <w:spacing w:after="0" w:line="240" w:lineRule="auto"/>
        <w:rPr>
          <w:rFonts w:ascii="Times New Roman" w:hAnsi="Times New Roman" w:cs="Times New Roman"/>
          <w:color w:val="222222"/>
          <w:sz w:val="24"/>
          <w:szCs w:val="24"/>
          <w:lang w:val="en"/>
        </w:rPr>
      </w:pPr>
    </w:p>
    <w:p w:rsidR="00976DC4" w:rsidRPr="00D71846" w:rsidRDefault="00976DC4" w:rsidP="00976DC4">
      <w:pPr>
        <w:autoSpaceDE w:val="0"/>
        <w:autoSpaceDN w:val="0"/>
        <w:adjustRightInd w:val="0"/>
        <w:spacing w:after="0" w:line="240" w:lineRule="auto"/>
        <w:jc w:val="both"/>
        <w:rPr>
          <w:rFonts w:ascii="Times New Roman" w:hAnsi="Times New Roman" w:cs="Times New Roman"/>
          <w:caps/>
          <w:sz w:val="24"/>
          <w:szCs w:val="24"/>
        </w:rPr>
      </w:pPr>
      <w:r w:rsidRPr="00D71846">
        <w:rPr>
          <w:rFonts w:ascii="Times New Roman" w:hAnsi="Times New Roman" w:cs="Times New Roman"/>
          <w:color w:val="222222"/>
          <w:sz w:val="24"/>
          <w:szCs w:val="24"/>
          <w:lang w:val="en"/>
        </w:rPr>
        <w:t>Several factors have been identified affecting ba</w:t>
      </w:r>
      <w:r>
        <w:rPr>
          <w:rFonts w:ascii="Times New Roman" w:hAnsi="Times New Roman" w:cs="Times New Roman"/>
          <w:color w:val="222222"/>
          <w:sz w:val="24"/>
          <w:szCs w:val="24"/>
          <w:lang w:val="en"/>
        </w:rPr>
        <w:t>n</w:t>
      </w:r>
      <w:r w:rsidRPr="00D71846">
        <w:rPr>
          <w:rFonts w:ascii="Times New Roman" w:hAnsi="Times New Roman" w:cs="Times New Roman"/>
          <w:color w:val="222222"/>
          <w:sz w:val="24"/>
          <w:szCs w:val="24"/>
          <w:lang w:val="en"/>
        </w:rPr>
        <w:t xml:space="preserve">ks’ decisions to hold capital adequacy above the minimum prescribed by regulators. These include internal factors, pressures from regulators, competition, market discipline, the cyclical behavior of the credit markets, economic cycles, securing access to deposits and money markets, long-term growth as well as acquisition strategies. Most studies examine internal factors such as the cost of capital, the size of the bank and the value or risk taking (Berger </w:t>
      </w:r>
      <w:r w:rsidR="00433922">
        <w:rPr>
          <w:rFonts w:ascii="Times New Roman" w:hAnsi="Times New Roman" w:cs="Times New Roman"/>
          <w:color w:val="222222"/>
          <w:sz w:val="24"/>
          <w:szCs w:val="24"/>
          <w:lang w:val="en"/>
        </w:rPr>
        <w:t xml:space="preserve">et al </w:t>
      </w:r>
      <w:r w:rsidRPr="00D71846">
        <w:rPr>
          <w:rFonts w:ascii="Times New Roman" w:hAnsi="Times New Roman" w:cs="Times New Roman"/>
          <w:color w:val="222222"/>
          <w:sz w:val="24"/>
          <w:szCs w:val="24"/>
          <w:lang w:val="en"/>
        </w:rPr>
        <w:t xml:space="preserve">1995, </w:t>
      </w:r>
      <w:proofErr w:type="spellStart"/>
      <w:r w:rsidRPr="00D71846">
        <w:rPr>
          <w:rFonts w:ascii="Times New Roman" w:hAnsi="Times New Roman" w:cs="Times New Roman"/>
          <w:color w:val="222222"/>
          <w:sz w:val="24"/>
          <w:szCs w:val="24"/>
          <w:lang w:val="en"/>
        </w:rPr>
        <w:t>Ayuso</w:t>
      </w:r>
      <w:proofErr w:type="spellEnd"/>
      <w:r w:rsidRPr="00D71846">
        <w:rPr>
          <w:rFonts w:ascii="Times New Roman" w:hAnsi="Times New Roman" w:cs="Times New Roman"/>
          <w:color w:val="222222"/>
          <w:sz w:val="24"/>
          <w:szCs w:val="24"/>
          <w:lang w:val="en"/>
        </w:rPr>
        <w:t xml:space="preserve"> et al 2004, Lindquist 2004, </w:t>
      </w:r>
      <w:proofErr w:type="spellStart"/>
      <w:r w:rsidRPr="00D71846">
        <w:rPr>
          <w:rFonts w:ascii="Times New Roman" w:hAnsi="Times New Roman" w:cs="Times New Roman"/>
          <w:color w:val="222222"/>
          <w:sz w:val="24"/>
          <w:szCs w:val="24"/>
          <w:lang w:val="en"/>
        </w:rPr>
        <w:t>Stolz</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Wedow</w:t>
      </w:r>
      <w:proofErr w:type="spellEnd"/>
      <w:r w:rsidRPr="00D71846">
        <w:rPr>
          <w:rFonts w:ascii="Times New Roman" w:hAnsi="Times New Roman" w:cs="Times New Roman"/>
          <w:color w:val="222222"/>
          <w:sz w:val="24"/>
          <w:szCs w:val="24"/>
          <w:lang w:val="en"/>
        </w:rPr>
        <w:t xml:space="preserve"> 2005, </w:t>
      </w:r>
      <w:proofErr w:type="spellStart"/>
      <w:r w:rsidRPr="00D71846">
        <w:rPr>
          <w:rFonts w:ascii="Times New Roman" w:hAnsi="Times New Roman" w:cs="Times New Roman"/>
          <w:color w:val="222222"/>
          <w:sz w:val="24"/>
          <w:szCs w:val="24"/>
          <w:lang w:val="en"/>
        </w:rPr>
        <w:t>Jokipii</w:t>
      </w:r>
      <w:proofErr w:type="spellEnd"/>
      <w:r w:rsidRPr="00D71846">
        <w:rPr>
          <w:rFonts w:ascii="Times New Roman" w:hAnsi="Times New Roman" w:cs="Times New Roman"/>
          <w:color w:val="222222"/>
          <w:sz w:val="24"/>
          <w:szCs w:val="24"/>
          <w:lang w:val="en"/>
        </w:rPr>
        <w:t xml:space="preserve"> and Milne, 2008).</w:t>
      </w:r>
    </w:p>
    <w:p w:rsidR="00976DC4" w:rsidRPr="00D71846" w:rsidRDefault="00976DC4" w:rsidP="00976DC4">
      <w:pPr>
        <w:autoSpaceDE w:val="0"/>
        <w:autoSpaceDN w:val="0"/>
        <w:adjustRightInd w:val="0"/>
        <w:spacing w:after="0" w:line="240" w:lineRule="auto"/>
        <w:rPr>
          <w:rFonts w:ascii="Times New Roman" w:hAnsi="Times New Roman" w:cs="Times New Roman"/>
          <w:caps/>
          <w:sz w:val="24"/>
          <w:szCs w:val="24"/>
        </w:rPr>
      </w:pPr>
    </w:p>
    <w:p w:rsidR="00976DC4" w:rsidRPr="00D71846" w:rsidRDefault="00976DC4" w:rsidP="00976DC4">
      <w:pPr>
        <w:pStyle w:val="HTMLPreformatted"/>
        <w:shd w:val="clear" w:color="auto" w:fill="FFFFFF"/>
        <w:jc w:val="both"/>
        <w:rPr>
          <w:rFonts w:ascii="Times New Roman" w:hAnsi="Times New Roman" w:cs="Times New Roman"/>
          <w:b/>
          <w:caps/>
          <w:sz w:val="24"/>
          <w:szCs w:val="24"/>
        </w:rPr>
      </w:pPr>
      <w:r w:rsidRPr="00D71846">
        <w:rPr>
          <w:rFonts w:ascii="Times New Roman" w:hAnsi="Times New Roman" w:cs="Times New Roman"/>
          <w:b/>
          <w:caps/>
          <w:sz w:val="24"/>
          <w:szCs w:val="24"/>
        </w:rPr>
        <w:t>4.2.2 R</w:t>
      </w:r>
      <w:r w:rsidRPr="00D71846">
        <w:rPr>
          <w:rFonts w:ascii="Times New Roman" w:hAnsi="Times New Roman" w:cs="Times New Roman"/>
          <w:b/>
          <w:sz w:val="24"/>
          <w:szCs w:val="24"/>
        </w:rPr>
        <w:t>isk</w:t>
      </w:r>
    </w:p>
    <w:p w:rsidR="00976DC4" w:rsidRPr="00BB03E7"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The relationship between capital and risk in the banking sector has been considered by many empirical studies. Regarding this relationship there are four dimensions:</w:t>
      </w: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p>
    <w:p w:rsidR="00976DC4" w:rsidRPr="00D71846" w:rsidRDefault="00976DC4" w:rsidP="00976DC4">
      <w:pPr>
        <w:pStyle w:val="HTMLPreformatted"/>
        <w:numPr>
          <w:ilvl w:val="0"/>
          <w:numId w:val="14"/>
        </w:numPr>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The banks tend to increase their level of capital when their portfolio risk increases and vice versa.</w:t>
      </w:r>
    </w:p>
    <w:p w:rsidR="00976DC4" w:rsidRPr="00D71846" w:rsidRDefault="00976DC4" w:rsidP="00976DC4">
      <w:pPr>
        <w:pStyle w:val="HTMLPreformatted"/>
        <w:numPr>
          <w:ilvl w:val="0"/>
          <w:numId w:val="14"/>
        </w:numPr>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better the management of the bank, the greater the risk undertaken, and therefore the need for extra capital.</w:t>
      </w:r>
    </w:p>
    <w:p w:rsidR="00976DC4" w:rsidRPr="00D71846" w:rsidRDefault="00976DC4" w:rsidP="00976DC4">
      <w:pPr>
        <w:pStyle w:val="HTMLPreformatted"/>
        <w:numPr>
          <w:ilvl w:val="0"/>
          <w:numId w:val="14"/>
        </w:numPr>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The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imposition</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of</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capital</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requirements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may</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increase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risk</w:t>
      </w:r>
      <w:r w:rsidRPr="00D71846">
        <w:rPr>
          <w:rFonts w:ascii="Times New Roman" w:hAnsi="Times New Roman" w:cs="Times New Roman"/>
          <w:color w:val="222222"/>
          <w:sz w:val="24"/>
          <w:szCs w:val="24"/>
        </w:rPr>
        <w:t>-</w:t>
      </w:r>
      <w:r w:rsidRPr="00D71846">
        <w:rPr>
          <w:rFonts w:ascii="Times New Roman" w:hAnsi="Times New Roman" w:cs="Times New Roman"/>
          <w:color w:val="222222"/>
          <w:sz w:val="24"/>
          <w:szCs w:val="24"/>
          <w:lang w:val="en"/>
        </w:rPr>
        <w:t>taking</w:t>
      </w:r>
      <w:r w:rsidRPr="00D71846">
        <w:rPr>
          <w:rFonts w:ascii="Times New Roman" w:hAnsi="Times New Roman" w:cs="Times New Roman"/>
          <w:color w:val="222222"/>
          <w:sz w:val="24"/>
          <w:szCs w:val="24"/>
        </w:rPr>
        <w:t>.</w:t>
      </w:r>
    </w:p>
    <w:p w:rsidR="00976DC4" w:rsidRPr="00D71846" w:rsidRDefault="00976DC4" w:rsidP="00976DC4">
      <w:pPr>
        <w:pStyle w:val="HTMLPreformatted"/>
        <w:numPr>
          <w:ilvl w:val="0"/>
          <w:numId w:val="14"/>
        </w:numPr>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Differences in the relationship between risk and capital for well capitalized and marginally capitalized banks.</w:t>
      </w:r>
    </w:p>
    <w:p w:rsidR="00976DC4" w:rsidRPr="00D71846" w:rsidRDefault="00976DC4" w:rsidP="00976DC4">
      <w:pPr>
        <w:pStyle w:val="HTMLPreformatted"/>
        <w:shd w:val="clear" w:color="auto" w:fill="FFFFFF"/>
        <w:jc w:val="both"/>
        <w:rPr>
          <w:rFonts w:ascii="Times New Roman" w:hAnsi="Times New Roman" w:cs="Times New Roman"/>
          <w:sz w:val="24"/>
          <w:szCs w:val="24"/>
          <w:lang w:val="en"/>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proofErr w:type="gramStart"/>
      <w:r w:rsidRPr="00D71846">
        <w:rPr>
          <w:rFonts w:ascii="Times New Roman" w:hAnsi="Times New Roman" w:cs="Times New Roman"/>
          <w:color w:val="222222"/>
          <w:sz w:val="24"/>
          <w:szCs w:val="24"/>
          <w:lang w:val="en"/>
        </w:rPr>
        <w:t xml:space="preserve">Santos (1999) notes that capital requirements may increase </w:t>
      </w:r>
      <w:r w:rsidR="00B32766" w:rsidRPr="00D71846">
        <w:rPr>
          <w:rFonts w:ascii="Times New Roman" w:hAnsi="Times New Roman" w:cs="Times New Roman"/>
          <w:color w:val="222222"/>
          <w:sz w:val="24"/>
          <w:szCs w:val="24"/>
          <w:lang w:val="en"/>
        </w:rPr>
        <w:t>risk-taking</w:t>
      </w:r>
      <w:r w:rsidRPr="00D71846">
        <w:rPr>
          <w:rFonts w:ascii="Times New Roman" w:hAnsi="Times New Roman" w:cs="Times New Roman"/>
          <w:color w:val="222222"/>
          <w:sz w:val="24"/>
          <w:szCs w:val="24"/>
          <w:lang w:val="en"/>
        </w:rPr>
        <w:t>.</w:t>
      </w:r>
      <w:proofErr w:type="gramEnd"/>
      <w:r w:rsidRPr="00D71846">
        <w:rPr>
          <w:rFonts w:ascii="Times New Roman" w:hAnsi="Times New Roman" w:cs="Times New Roman"/>
          <w:color w:val="222222"/>
          <w:sz w:val="24"/>
          <w:szCs w:val="24"/>
          <w:lang w:val="en"/>
        </w:rPr>
        <w:t xml:space="preserve"> In agreement with Santos, Berger et al (2008), </w:t>
      </w:r>
      <w:proofErr w:type="spellStart"/>
      <w:r w:rsidRPr="00D71846">
        <w:rPr>
          <w:rFonts w:ascii="Times New Roman" w:hAnsi="Times New Roman" w:cs="Times New Roman"/>
          <w:color w:val="222222"/>
          <w:sz w:val="24"/>
          <w:szCs w:val="24"/>
          <w:lang w:val="en"/>
        </w:rPr>
        <w:t>Shrieves</w:t>
      </w:r>
      <w:proofErr w:type="spellEnd"/>
      <w:r w:rsidRPr="00D71846">
        <w:rPr>
          <w:rFonts w:ascii="Times New Roman" w:hAnsi="Times New Roman" w:cs="Times New Roman"/>
          <w:color w:val="222222"/>
          <w:sz w:val="24"/>
          <w:szCs w:val="24"/>
          <w:lang w:val="en"/>
        </w:rPr>
        <w:t xml:space="preserve"> and Dahl (1992) argue that banks that increased their capital level also increased their exposure to risk. </w:t>
      </w:r>
      <w:proofErr w:type="spellStart"/>
      <w:r w:rsidRPr="00D71846">
        <w:rPr>
          <w:rFonts w:ascii="Times New Roman" w:hAnsi="Times New Roman" w:cs="Times New Roman"/>
          <w:color w:val="222222"/>
          <w:sz w:val="24"/>
          <w:szCs w:val="24"/>
          <w:lang w:val="en"/>
        </w:rPr>
        <w:t>Calem</w:t>
      </w:r>
      <w:proofErr w:type="spellEnd"/>
      <w:r w:rsidRPr="00D71846">
        <w:rPr>
          <w:rFonts w:ascii="Times New Roman" w:hAnsi="Times New Roman" w:cs="Times New Roman"/>
          <w:color w:val="222222"/>
          <w:sz w:val="24"/>
          <w:szCs w:val="24"/>
          <w:lang w:val="en"/>
        </w:rPr>
        <w:t xml:space="preserve"> and </w:t>
      </w:r>
      <w:r w:rsidR="00E76A3F">
        <w:rPr>
          <w:rFonts w:ascii="Times New Roman" w:hAnsi="Times New Roman" w:cs="Times New Roman"/>
          <w:color w:val="222222"/>
          <w:sz w:val="24"/>
          <w:szCs w:val="24"/>
          <w:lang w:val="en"/>
        </w:rPr>
        <w:t>R</w:t>
      </w:r>
      <w:r w:rsidRPr="00D71846">
        <w:rPr>
          <w:rFonts w:ascii="Times New Roman" w:hAnsi="Times New Roman" w:cs="Times New Roman"/>
          <w:color w:val="222222"/>
          <w:sz w:val="24"/>
          <w:szCs w:val="24"/>
          <w:lang w:val="en"/>
        </w:rPr>
        <w:t xml:space="preserve">ob (1999) suggest that increased capital regulation may force </w:t>
      </w:r>
      <w:proofErr w:type="spellStart"/>
      <w:r w:rsidRPr="00D71846">
        <w:rPr>
          <w:rFonts w:ascii="Times New Roman" w:hAnsi="Times New Roman" w:cs="Times New Roman"/>
          <w:color w:val="222222"/>
          <w:sz w:val="24"/>
          <w:szCs w:val="24"/>
          <w:lang w:val="en"/>
        </w:rPr>
        <w:t>undercapitalised</w:t>
      </w:r>
      <w:proofErr w:type="spellEnd"/>
      <w:r w:rsidRPr="00D71846">
        <w:rPr>
          <w:rFonts w:ascii="Times New Roman" w:hAnsi="Times New Roman" w:cs="Times New Roman"/>
          <w:color w:val="222222"/>
          <w:sz w:val="24"/>
          <w:szCs w:val="24"/>
          <w:lang w:val="en"/>
        </w:rPr>
        <w:t xml:space="preserve"> banks to engage in risk-taking that may have unintended negative consequences for the banks.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lastRenderedPageBreak/>
        <w:t xml:space="preserve">Banks will choose to hold capital above the minimum regulatory capital as there is a risk of easily falling under the minimum. Therefore, banks with capital levels close (or less) than the minimum capital requirements will choose to increase their capital and reduce their risk levels, while banks with significant capital buffers will tend to increase their level of risk, together with the level of capital buffer (Milne and Whaley 2001 and </w:t>
      </w:r>
      <w:proofErr w:type="spellStart"/>
      <w:r w:rsidRPr="00D71846">
        <w:rPr>
          <w:rFonts w:ascii="Times New Roman" w:hAnsi="Times New Roman" w:cs="Times New Roman"/>
          <w:color w:val="222222"/>
          <w:sz w:val="24"/>
          <w:szCs w:val="24"/>
          <w:lang w:val="en"/>
        </w:rPr>
        <w:t>VanHoose</w:t>
      </w:r>
      <w:proofErr w:type="spellEnd"/>
      <w:r w:rsidRPr="00D71846">
        <w:rPr>
          <w:rFonts w:ascii="Times New Roman" w:hAnsi="Times New Roman" w:cs="Times New Roman"/>
          <w:color w:val="222222"/>
          <w:sz w:val="24"/>
          <w:szCs w:val="24"/>
          <w:lang w:val="en"/>
        </w:rPr>
        <w:t xml:space="preserve"> 2007). Therefore, the relationship between capital and risk varies depending on how close the capital of banks is to the minimum capital requirements.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976DC4"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4.2.3. Macroeconomic Factors</w:t>
      </w:r>
    </w:p>
    <w:p w:rsidR="00976DC4" w:rsidRPr="00976DC4" w:rsidRDefault="00976DC4" w:rsidP="00976DC4">
      <w:pPr>
        <w:pStyle w:val="HTMLPreformatted"/>
        <w:shd w:val="clear" w:color="auto" w:fill="FFFFFF"/>
        <w:jc w:val="both"/>
        <w:rPr>
          <w:rFonts w:ascii="Times New Roman" w:hAnsi="Times New Roman" w:cs="Times New Roman"/>
          <w:b/>
          <w:sz w:val="24"/>
          <w:szCs w:val="24"/>
          <w:u w:val="single"/>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A number of studies have attempted to take into account macroeconomic variables. Williams (1998) studied the effect of macroeconomic variables on the capital adequacy ratio and noted that variables such as inflation, the real exchange rate, money supply, unstable politics and return on investment determine the level of capital. Similarly, Octavia and Brown (2009) conclude that macroeconomic factors are important in determining capital structure.</w:t>
      </w:r>
      <w:r w:rsidRPr="00D71846">
        <w:rPr>
          <w:rFonts w:ascii="Times New Roman" w:hAnsi="Times New Roman" w:cs="Times New Roman"/>
          <w:sz w:val="24"/>
          <w:szCs w:val="24"/>
        </w:rPr>
        <w:t xml:space="preserve"> </w:t>
      </w:r>
      <w:proofErr w:type="spellStart"/>
      <w:r w:rsidRPr="00D71846">
        <w:rPr>
          <w:rFonts w:ascii="Times New Roman" w:hAnsi="Times New Roman" w:cs="Times New Roman"/>
          <w:sz w:val="24"/>
          <w:szCs w:val="24"/>
        </w:rPr>
        <w:t>Hortlund</w:t>
      </w:r>
      <w:proofErr w:type="spellEnd"/>
      <w:r w:rsidRPr="00D71846">
        <w:rPr>
          <w:rFonts w:ascii="Times New Roman" w:hAnsi="Times New Roman" w:cs="Times New Roman"/>
          <w:sz w:val="24"/>
          <w:szCs w:val="24"/>
        </w:rPr>
        <w:t xml:space="preserve"> (2005) studied the effect of inflation on the capitalization of Swedish banks and found that inflation is inversely related to capital adequacy. Williams (2011) also studied the relationship between inflation and capital adequacy ratio, in Nigeria.  According to most studies, like the one by </w:t>
      </w:r>
      <w:proofErr w:type="spellStart"/>
      <w:r w:rsidRPr="00D71846">
        <w:rPr>
          <w:rFonts w:ascii="Times New Roman" w:hAnsi="Times New Roman" w:cs="Times New Roman"/>
          <w:sz w:val="24"/>
          <w:szCs w:val="24"/>
        </w:rPr>
        <w:t>Ruckes</w:t>
      </w:r>
      <w:proofErr w:type="spellEnd"/>
      <w:r w:rsidRPr="00D71846">
        <w:rPr>
          <w:rFonts w:ascii="Times New Roman" w:hAnsi="Times New Roman" w:cs="Times New Roman"/>
          <w:sz w:val="24"/>
          <w:szCs w:val="24"/>
        </w:rPr>
        <w:t xml:space="preserve"> (2004), a negative relationship is expected between economic development and capital adequacy ratio. At times of fast growth, bank risks are smaller and this drives banks to lower their capital adequacy ratios. At times of slow growth bank risk goes up thus encouraging banks to maintain a higher capital adequacy ratio. Lindquist (2004), </w:t>
      </w:r>
      <w:proofErr w:type="spellStart"/>
      <w:r w:rsidRPr="00D71846">
        <w:rPr>
          <w:rFonts w:ascii="Times New Roman" w:hAnsi="Times New Roman" w:cs="Times New Roman"/>
          <w:sz w:val="24"/>
          <w:szCs w:val="24"/>
        </w:rPr>
        <w:t>Stolz</w:t>
      </w:r>
      <w:proofErr w:type="spellEnd"/>
      <w:r w:rsidRPr="00D71846">
        <w:rPr>
          <w:rFonts w:ascii="Times New Roman" w:hAnsi="Times New Roman" w:cs="Times New Roman"/>
          <w:sz w:val="24"/>
          <w:szCs w:val="24"/>
        </w:rPr>
        <w:t xml:space="preserve"> and </w:t>
      </w:r>
      <w:proofErr w:type="spellStart"/>
      <w:r w:rsidRPr="00D71846">
        <w:rPr>
          <w:rFonts w:ascii="Times New Roman" w:hAnsi="Times New Roman" w:cs="Times New Roman"/>
          <w:sz w:val="24"/>
          <w:szCs w:val="24"/>
        </w:rPr>
        <w:t>Wedow</w:t>
      </w:r>
      <w:proofErr w:type="spellEnd"/>
      <w:r w:rsidRPr="00D71846">
        <w:rPr>
          <w:rFonts w:ascii="Times New Roman" w:hAnsi="Times New Roman" w:cs="Times New Roman"/>
          <w:sz w:val="24"/>
          <w:szCs w:val="24"/>
        </w:rPr>
        <w:t xml:space="preserve"> (2005), </w:t>
      </w:r>
      <w:proofErr w:type="spellStart"/>
      <w:r w:rsidRPr="00D71846">
        <w:rPr>
          <w:rFonts w:ascii="Times New Roman" w:hAnsi="Times New Roman" w:cs="Times New Roman"/>
          <w:sz w:val="24"/>
          <w:szCs w:val="24"/>
        </w:rPr>
        <w:t>Jokipii</w:t>
      </w:r>
      <w:proofErr w:type="spellEnd"/>
      <w:r w:rsidRPr="00D71846">
        <w:rPr>
          <w:rFonts w:ascii="Times New Roman" w:hAnsi="Times New Roman" w:cs="Times New Roman"/>
          <w:sz w:val="24"/>
          <w:szCs w:val="24"/>
        </w:rPr>
        <w:t xml:space="preserve"> and Milne (2008), Francis and Osborne (2010) studied the level of capital reserves in Norway, Germany, Europe and the UK respectively within the context of Basel I. Their findings show that these capital reserves increase during recession and decrease during recovery thus showing an important negative relationship between capital adequacy and the business cycle. </w:t>
      </w:r>
      <w:r w:rsidRPr="00D71846">
        <w:rPr>
          <w:rFonts w:ascii="Times New Roman" w:hAnsi="Times New Roman" w:cs="Times New Roman"/>
          <w:color w:val="222222"/>
          <w:sz w:val="24"/>
          <w:szCs w:val="24"/>
          <w:lang w:val="en"/>
        </w:rPr>
        <w:t xml:space="preserve">In a study of the determinants of capital buffers, Fonseca and Gonzalez (2010) examined banks in 70 countries between 1992 and 2002. The results show a negative relationship between the economic cycle and capital buffers in seven countries, a positive relationship in five countries and no relationship in the other fifty-eight countries. </w:t>
      </w:r>
      <w:proofErr w:type="spellStart"/>
      <w:r w:rsidRPr="00D71846">
        <w:rPr>
          <w:rFonts w:ascii="Times New Roman" w:hAnsi="Times New Roman" w:cs="Times New Roman"/>
          <w:color w:val="222222"/>
          <w:sz w:val="24"/>
          <w:szCs w:val="24"/>
          <w:lang w:val="en"/>
        </w:rPr>
        <w:t>Ayuso</w:t>
      </w:r>
      <w:proofErr w:type="spellEnd"/>
      <w:r w:rsidRPr="00D71846">
        <w:rPr>
          <w:rFonts w:ascii="Times New Roman" w:hAnsi="Times New Roman" w:cs="Times New Roman"/>
          <w:color w:val="222222"/>
          <w:sz w:val="24"/>
          <w:szCs w:val="24"/>
          <w:lang w:val="en"/>
        </w:rPr>
        <w:t xml:space="preserve"> et</w:t>
      </w:r>
      <w:r>
        <w:rPr>
          <w:rFonts w:ascii="Times New Roman" w:hAnsi="Times New Roman" w:cs="Times New Roman"/>
          <w:color w:val="222222"/>
          <w:sz w:val="24"/>
          <w:szCs w:val="24"/>
          <w:lang w:val="en"/>
        </w:rPr>
        <w:t xml:space="preserve"> al.</w:t>
      </w:r>
      <w:r w:rsidRPr="00D71846">
        <w:rPr>
          <w:rFonts w:ascii="Times New Roman" w:hAnsi="Times New Roman" w:cs="Times New Roman"/>
          <w:color w:val="222222"/>
          <w:sz w:val="24"/>
          <w:szCs w:val="24"/>
          <w:lang w:val="en"/>
        </w:rPr>
        <w:t xml:space="preserve"> (2004) argue that there are pro-cyclical effects, commercial banks being less </w:t>
      </w:r>
      <w:proofErr w:type="spellStart"/>
      <w:r w:rsidRPr="00D71846">
        <w:rPr>
          <w:rFonts w:ascii="Times New Roman" w:hAnsi="Times New Roman" w:cs="Times New Roman"/>
          <w:color w:val="222222"/>
          <w:sz w:val="24"/>
          <w:szCs w:val="24"/>
          <w:lang w:val="en"/>
        </w:rPr>
        <w:t>procyclical</w:t>
      </w:r>
      <w:proofErr w:type="spellEnd"/>
      <w:r w:rsidRPr="00D71846">
        <w:rPr>
          <w:rFonts w:ascii="Times New Roman" w:hAnsi="Times New Roman" w:cs="Times New Roman"/>
          <w:color w:val="222222"/>
          <w:sz w:val="24"/>
          <w:szCs w:val="24"/>
          <w:lang w:val="en"/>
        </w:rPr>
        <w:t xml:space="preserve"> than savings banks.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C76A07" w:rsidRDefault="00976DC4" w:rsidP="00976DC4">
      <w:pPr>
        <w:pStyle w:val="HTMLPreformatted"/>
        <w:numPr>
          <w:ilvl w:val="0"/>
          <w:numId w:val="2"/>
        </w:numPr>
        <w:shd w:val="clear" w:color="auto" w:fill="FFFFFF"/>
        <w:ind w:left="720"/>
        <w:jc w:val="both"/>
        <w:rPr>
          <w:rFonts w:ascii="Times New Roman" w:hAnsi="Times New Roman" w:cs="Times New Roman"/>
          <w:sz w:val="24"/>
          <w:szCs w:val="24"/>
        </w:rPr>
      </w:pPr>
      <w:r w:rsidRPr="00C76A07">
        <w:rPr>
          <w:rFonts w:ascii="Times New Roman" w:hAnsi="Times New Roman" w:cs="Times New Roman"/>
          <w:sz w:val="24"/>
          <w:szCs w:val="24"/>
        </w:rPr>
        <w:t>Return</w:t>
      </w:r>
    </w:p>
    <w:p w:rsidR="00976DC4" w:rsidRPr="00C76A07"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Most studies in the literature show that profitability has a significant effect on the bank</w:t>
      </w:r>
      <w:r>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s capital. In a study of 12 banks in Europe, Australia and North America, Bourke (1989) found a positive relationship between capital adequacy and profitability showing that banks with higher capital adequacy ratio are more profitable than banks with a smaller capital adequacy. Similarly, Berger</w:t>
      </w:r>
      <w:r w:rsidR="00E245FA">
        <w:rPr>
          <w:rFonts w:ascii="Times New Roman" w:hAnsi="Times New Roman" w:cs="Times New Roman"/>
          <w:color w:val="222222"/>
          <w:sz w:val="24"/>
          <w:szCs w:val="24"/>
          <w:lang w:val="en"/>
        </w:rPr>
        <w:t xml:space="preserve"> et al </w:t>
      </w:r>
      <w:r w:rsidRPr="00D71846">
        <w:rPr>
          <w:rFonts w:ascii="Times New Roman" w:hAnsi="Times New Roman" w:cs="Times New Roman"/>
          <w:color w:val="222222"/>
          <w:sz w:val="24"/>
          <w:szCs w:val="24"/>
          <w:lang w:val="en"/>
        </w:rPr>
        <w:t xml:space="preserve">(1995) and </w:t>
      </w:r>
      <w:proofErr w:type="spellStart"/>
      <w:r w:rsidRPr="00D71846">
        <w:rPr>
          <w:rFonts w:ascii="Times New Roman" w:hAnsi="Times New Roman" w:cs="Times New Roman"/>
          <w:color w:val="222222"/>
          <w:sz w:val="24"/>
          <w:szCs w:val="24"/>
          <w:lang w:val="en"/>
        </w:rPr>
        <w:t>Anghazo</w:t>
      </w:r>
      <w:proofErr w:type="spellEnd"/>
      <w:r w:rsidRPr="00D71846">
        <w:rPr>
          <w:rFonts w:ascii="Times New Roman" w:hAnsi="Times New Roman" w:cs="Times New Roman"/>
          <w:color w:val="222222"/>
          <w:sz w:val="24"/>
          <w:szCs w:val="24"/>
          <w:lang w:val="en"/>
        </w:rPr>
        <w:t xml:space="preserve"> (1997) found that US banks with relatively high capital adequacy were more profitable than other banks with lower capital adequacy ratio.</w:t>
      </w:r>
    </w:p>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C76A07" w:rsidRDefault="00976DC4" w:rsidP="00976DC4">
      <w:pPr>
        <w:pStyle w:val="HTMLPreformatted"/>
        <w:numPr>
          <w:ilvl w:val="0"/>
          <w:numId w:val="2"/>
        </w:numPr>
        <w:shd w:val="clear" w:color="auto" w:fill="FFFFFF"/>
        <w:ind w:left="720"/>
        <w:jc w:val="both"/>
        <w:rPr>
          <w:rFonts w:ascii="Times New Roman" w:hAnsi="Times New Roman" w:cs="Times New Roman"/>
          <w:sz w:val="24"/>
          <w:szCs w:val="24"/>
          <w:lang w:val="el-GR"/>
        </w:rPr>
      </w:pPr>
      <w:r w:rsidRPr="00C76A07">
        <w:rPr>
          <w:rFonts w:ascii="Times New Roman" w:hAnsi="Times New Roman" w:cs="Times New Roman"/>
          <w:sz w:val="24"/>
          <w:szCs w:val="24"/>
        </w:rPr>
        <w:t>Size</w:t>
      </w:r>
    </w:p>
    <w:p w:rsidR="00976DC4" w:rsidRPr="00D71846" w:rsidRDefault="00976DC4" w:rsidP="00976DC4">
      <w:pPr>
        <w:pStyle w:val="HTMLPreformatted"/>
        <w:shd w:val="clear" w:color="auto" w:fill="FFFFFF"/>
        <w:jc w:val="both"/>
        <w:rPr>
          <w:rFonts w:ascii="Times New Roman" w:hAnsi="Times New Roman" w:cs="Times New Roman"/>
          <w:b/>
          <w:sz w:val="24"/>
          <w:szCs w:val="24"/>
          <w:u w:val="single"/>
          <w:lang w:val="el-GR"/>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Reynolds et</w:t>
      </w:r>
      <w:r>
        <w:rPr>
          <w:rFonts w:ascii="Times New Roman" w:hAnsi="Times New Roman" w:cs="Times New Roman"/>
          <w:color w:val="222222"/>
          <w:sz w:val="24"/>
          <w:szCs w:val="24"/>
          <w:lang w:val="en"/>
        </w:rPr>
        <w:t xml:space="preserve"> al</w:t>
      </w:r>
      <w:r w:rsidRPr="00D71846">
        <w:rPr>
          <w:rFonts w:ascii="Times New Roman" w:hAnsi="Times New Roman" w:cs="Times New Roman"/>
          <w:color w:val="222222"/>
          <w:sz w:val="24"/>
          <w:szCs w:val="24"/>
          <w:lang w:val="en"/>
        </w:rPr>
        <w:t xml:space="preserve">. (2000) found that the larger banks have smaller capital adequacy ratios. Similarly, </w:t>
      </w:r>
      <w:proofErr w:type="spellStart"/>
      <w:r w:rsidRPr="00D71846">
        <w:rPr>
          <w:rFonts w:ascii="Times New Roman" w:hAnsi="Times New Roman" w:cs="Times New Roman"/>
          <w:color w:val="222222"/>
          <w:sz w:val="24"/>
          <w:szCs w:val="24"/>
          <w:lang w:val="en"/>
        </w:rPr>
        <w:t>Ayuso</w:t>
      </w:r>
      <w:proofErr w:type="spellEnd"/>
      <w:r w:rsidRPr="00D71846">
        <w:rPr>
          <w:rFonts w:ascii="Times New Roman" w:hAnsi="Times New Roman" w:cs="Times New Roman"/>
          <w:color w:val="222222"/>
          <w:sz w:val="24"/>
          <w:szCs w:val="24"/>
          <w:lang w:val="en"/>
        </w:rPr>
        <w:t xml:space="preserve"> </w:t>
      </w:r>
      <w:r w:rsidR="0094228F">
        <w:rPr>
          <w:rFonts w:ascii="Times New Roman" w:hAnsi="Times New Roman" w:cs="Times New Roman"/>
          <w:color w:val="222222"/>
          <w:sz w:val="24"/>
          <w:szCs w:val="24"/>
          <w:lang w:val="en"/>
        </w:rPr>
        <w:t xml:space="preserve">and </w:t>
      </w:r>
      <w:proofErr w:type="spellStart"/>
      <w:r w:rsidR="0094228F">
        <w:rPr>
          <w:rFonts w:ascii="Times New Roman" w:hAnsi="Times New Roman" w:cs="Times New Roman"/>
          <w:color w:val="222222"/>
          <w:sz w:val="24"/>
          <w:szCs w:val="24"/>
          <w:lang w:val="en"/>
        </w:rPr>
        <w:t>Saurina</w:t>
      </w:r>
      <w:proofErr w:type="spellEnd"/>
      <w:r w:rsidRPr="00D71846">
        <w:rPr>
          <w:rFonts w:ascii="Times New Roman" w:hAnsi="Times New Roman" w:cs="Times New Roman"/>
          <w:color w:val="222222"/>
          <w:sz w:val="24"/>
          <w:szCs w:val="24"/>
          <w:lang w:val="en"/>
        </w:rPr>
        <w:t xml:space="preserve"> (2004) showed that larger banks are able to operate with lower </w:t>
      </w:r>
      <w:r w:rsidRPr="00D71846">
        <w:rPr>
          <w:rFonts w:ascii="Times New Roman" w:hAnsi="Times New Roman" w:cs="Times New Roman"/>
          <w:color w:val="222222"/>
          <w:sz w:val="24"/>
          <w:szCs w:val="24"/>
          <w:lang w:val="en"/>
        </w:rPr>
        <w:lastRenderedPageBreak/>
        <w:t>capital. This finding suggests that larger banks may benefit from diversification hence the need for lower capital ratios.</w:t>
      </w:r>
    </w:p>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C76A07" w:rsidRDefault="00976DC4" w:rsidP="00976DC4">
      <w:pPr>
        <w:pStyle w:val="HTMLPreformatted"/>
        <w:numPr>
          <w:ilvl w:val="0"/>
          <w:numId w:val="2"/>
        </w:numPr>
        <w:shd w:val="clear" w:color="auto" w:fill="FFFFFF"/>
        <w:ind w:left="720"/>
        <w:jc w:val="both"/>
        <w:rPr>
          <w:rFonts w:ascii="Times New Roman" w:hAnsi="Times New Roman" w:cs="Times New Roman"/>
          <w:sz w:val="24"/>
          <w:szCs w:val="24"/>
          <w:lang w:val="el-GR"/>
        </w:rPr>
      </w:pPr>
      <w:r w:rsidRPr="00C76A07">
        <w:rPr>
          <w:rFonts w:ascii="Times New Roman" w:hAnsi="Times New Roman" w:cs="Times New Roman"/>
          <w:sz w:val="24"/>
          <w:szCs w:val="24"/>
        </w:rPr>
        <w:t>Competition</w:t>
      </w:r>
    </w:p>
    <w:p w:rsidR="00976DC4" w:rsidRPr="00D71846" w:rsidRDefault="00976DC4" w:rsidP="00976DC4">
      <w:pPr>
        <w:pStyle w:val="HTMLPreformatted"/>
        <w:shd w:val="clear" w:color="auto" w:fill="FFFFFF"/>
        <w:jc w:val="both"/>
        <w:rPr>
          <w:rFonts w:ascii="Times New Roman" w:hAnsi="Times New Roman" w:cs="Times New Roman"/>
          <w:b/>
          <w:sz w:val="24"/>
          <w:szCs w:val="24"/>
          <w:lang w:val="el-GR"/>
        </w:rPr>
      </w:pPr>
    </w:p>
    <w:p w:rsidR="00976DC4" w:rsidRPr="00D71846" w:rsidRDefault="00976DC4" w:rsidP="00976DC4">
      <w:pPr>
        <w:pStyle w:val="HTMLPreformatted"/>
        <w:shd w:val="clear" w:color="auto" w:fill="FFFFFF"/>
        <w:jc w:val="both"/>
        <w:rPr>
          <w:rFonts w:ascii="Times New Roman" w:hAnsi="Times New Roman" w:cs="Times New Roman"/>
          <w:b/>
          <w:sz w:val="24"/>
          <w:szCs w:val="24"/>
          <w:u w:val="single"/>
        </w:rPr>
      </w:pPr>
      <w:r w:rsidRPr="00D71846">
        <w:rPr>
          <w:rFonts w:ascii="Times New Roman" w:hAnsi="Times New Roman" w:cs="Times New Roman"/>
          <w:color w:val="222222"/>
          <w:sz w:val="24"/>
          <w:szCs w:val="24"/>
          <w:lang w:val="en"/>
        </w:rPr>
        <w:t xml:space="preserve">Following a study of 2,600 banks in 10 European countries </w:t>
      </w:r>
      <w:proofErr w:type="spellStart"/>
      <w:r w:rsidRPr="00D71846">
        <w:rPr>
          <w:rFonts w:ascii="Times New Roman" w:hAnsi="Times New Roman" w:cs="Times New Roman"/>
          <w:color w:val="222222"/>
          <w:sz w:val="24"/>
          <w:szCs w:val="24"/>
          <w:lang w:val="en"/>
        </w:rPr>
        <w:t>Schaek</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Cihak</w:t>
      </w:r>
      <w:proofErr w:type="spellEnd"/>
      <w:r w:rsidRPr="00D71846">
        <w:rPr>
          <w:rFonts w:ascii="Times New Roman" w:hAnsi="Times New Roman" w:cs="Times New Roman"/>
          <w:color w:val="222222"/>
          <w:sz w:val="24"/>
          <w:szCs w:val="24"/>
          <w:lang w:val="en"/>
        </w:rPr>
        <w:t xml:space="preserve"> (20</w:t>
      </w:r>
      <w:r w:rsidR="0094228F">
        <w:rPr>
          <w:rFonts w:ascii="Times New Roman" w:hAnsi="Times New Roman" w:cs="Times New Roman"/>
          <w:color w:val="222222"/>
          <w:sz w:val="24"/>
          <w:szCs w:val="24"/>
          <w:lang w:val="en"/>
        </w:rPr>
        <w:t>07</w:t>
      </w:r>
      <w:r w:rsidRPr="00D71846">
        <w:rPr>
          <w:rFonts w:ascii="Times New Roman" w:hAnsi="Times New Roman" w:cs="Times New Roman"/>
          <w:color w:val="222222"/>
          <w:sz w:val="24"/>
          <w:szCs w:val="24"/>
          <w:lang w:val="en"/>
        </w:rPr>
        <w:t>) concluded that competition leads to higher capital holdings. They also found that the 20 largest banks in Brazil maintain a capital level around 18%, while the 20 largest banks in the world maintain a capital level of more than 14% due to high competition. Barth et</w:t>
      </w:r>
      <w:r w:rsidR="00403095">
        <w:rPr>
          <w:rFonts w:ascii="Times New Roman" w:hAnsi="Times New Roman" w:cs="Times New Roman"/>
          <w:color w:val="222222"/>
          <w:sz w:val="24"/>
          <w:szCs w:val="24"/>
          <w:lang w:val="en"/>
        </w:rPr>
        <w:t xml:space="preserve"> al</w:t>
      </w:r>
      <w:r w:rsidRPr="00D71846">
        <w:rPr>
          <w:rFonts w:ascii="Times New Roman" w:hAnsi="Times New Roman" w:cs="Times New Roman"/>
          <w:color w:val="222222"/>
          <w:sz w:val="24"/>
          <w:szCs w:val="24"/>
          <w:lang w:val="en"/>
        </w:rPr>
        <w:t xml:space="preserve"> (200</w:t>
      </w:r>
      <w:r w:rsidR="00FD6FF1">
        <w:rPr>
          <w:rFonts w:ascii="Times New Roman" w:hAnsi="Times New Roman" w:cs="Times New Roman"/>
          <w:color w:val="222222"/>
          <w:sz w:val="24"/>
          <w:szCs w:val="24"/>
          <w:lang w:val="en"/>
        </w:rPr>
        <w:t>4</w:t>
      </w:r>
      <w:r w:rsidRPr="00D71846">
        <w:rPr>
          <w:rFonts w:ascii="Times New Roman" w:hAnsi="Times New Roman" w:cs="Times New Roman"/>
          <w:color w:val="222222"/>
          <w:sz w:val="24"/>
          <w:szCs w:val="24"/>
          <w:lang w:val="en"/>
        </w:rPr>
        <w:t xml:space="preserve">), Flannery and </w:t>
      </w:r>
      <w:proofErr w:type="spellStart"/>
      <w:r w:rsidRPr="00D71846">
        <w:rPr>
          <w:rFonts w:ascii="Times New Roman" w:hAnsi="Times New Roman" w:cs="Times New Roman"/>
          <w:color w:val="222222"/>
          <w:sz w:val="24"/>
          <w:szCs w:val="24"/>
          <w:lang w:val="en"/>
        </w:rPr>
        <w:t>Rangan</w:t>
      </w:r>
      <w:proofErr w:type="spellEnd"/>
      <w:r w:rsidRPr="00D71846">
        <w:rPr>
          <w:rFonts w:ascii="Times New Roman" w:hAnsi="Times New Roman" w:cs="Times New Roman"/>
          <w:color w:val="222222"/>
          <w:sz w:val="24"/>
          <w:szCs w:val="24"/>
          <w:lang w:val="en"/>
        </w:rPr>
        <w:t xml:space="preserve"> (200</w:t>
      </w:r>
      <w:r w:rsidR="00FD6FF1">
        <w:rPr>
          <w:rFonts w:ascii="Times New Roman" w:hAnsi="Times New Roman" w:cs="Times New Roman"/>
          <w:color w:val="222222"/>
          <w:sz w:val="24"/>
          <w:szCs w:val="24"/>
          <w:lang w:val="en"/>
        </w:rPr>
        <w:t>8</w:t>
      </w:r>
      <w:r w:rsidRPr="00D71846">
        <w:rPr>
          <w:rFonts w:ascii="Times New Roman" w:hAnsi="Times New Roman" w:cs="Times New Roman"/>
          <w:color w:val="222222"/>
          <w:sz w:val="24"/>
          <w:szCs w:val="24"/>
          <w:lang w:val="en"/>
        </w:rPr>
        <w:t>) and Berger et al</w:t>
      </w:r>
      <w:r>
        <w:rPr>
          <w:rFonts w:ascii="Times New Roman" w:hAnsi="Times New Roman" w:cs="Times New Roman"/>
          <w:color w:val="222222"/>
          <w:sz w:val="24"/>
          <w:szCs w:val="24"/>
          <w:lang w:val="en"/>
        </w:rPr>
        <w:t>.</w:t>
      </w:r>
      <w:r w:rsidRPr="00D71846">
        <w:rPr>
          <w:rFonts w:ascii="Times New Roman" w:hAnsi="Times New Roman" w:cs="Times New Roman"/>
          <w:color w:val="222222"/>
          <w:sz w:val="24"/>
          <w:szCs w:val="24"/>
          <w:lang w:val="en"/>
        </w:rPr>
        <w:t xml:space="preserve"> (2007) showed that bank capital levels in America and around the world is much more than that required by supervisory authorities due to supervision.</w:t>
      </w:r>
    </w:p>
    <w:p w:rsidR="00976DC4" w:rsidRPr="00D71846" w:rsidRDefault="00976DC4" w:rsidP="00976DC4">
      <w:pPr>
        <w:pStyle w:val="HTMLPreformatted"/>
        <w:shd w:val="clear" w:color="auto" w:fill="FFFFFF"/>
        <w:jc w:val="both"/>
        <w:rPr>
          <w:rFonts w:ascii="Times New Roman" w:hAnsi="Times New Roman" w:cs="Times New Roman"/>
          <w:b/>
          <w:sz w:val="24"/>
          <w:szCs w:val="24"/>
          <w:u w:val="single"/>
        </w:rPr>
      </w:pPr>
    </w:p>
    <w:p w:rsidR="00976DC4" w:rsidRPr="0047519D" w:rsidRDefault="00976DC4" w:rsidP="00976DC4">
      <w:pPr>
        <w:pStyle w:val="HTMLPreformatted"/>
        <w:numPr>
          <w:ilvl w:val="0"/>
          <w:numId w:val="14"/>
        </w:numPr>
        <w:shd w:val="clear" w:color="auto" w:fill="FFFFFF"/>
        <w:ind w:left="360"/>
        <w:jc w:val="both"/>
        <w:rPr>
          <w:rFonts w:ascii="Times New Roman" w:hAnsi="Times New Roman" w:cs="Times New Roman"/>
          <w:b/>
          <w:sz w:val="24"/>
          <w:szCs w:val="24"/>
        </w:rPr>
      </w:pPr>
      <w:r w:rsidRPr="00D71846">
        <w:rPr>
          <w:rFonts w:ascii="Times New Roman" w:hAnsi="Times New Roman" w:cs="Times New Roman"/>
          <w:b/>
          <w:caps/>
          <w:sz w:val="24"/>
          <w:szCs w:val="24"/>
        </w:rPr>
        <w:t>E</w:t>
      </w:r>
      <w:r>
        <w:rPr>
          <w:rFonts w:ascii="Times New Roman" w:hAnsi="Times New Roman" w:cs="Times New Roman"/>
          <w:b/>
          <w:sz w:val="24"/>
          <w:szCs w:val="24"/>
        </w:rPr>
        <w:t>mpirical A</w:t>
      </w:r>
      <w:r w:rsidRPr="00D71846">
        <w:rPr>
          <w:rFonts w:ascii="Times New Roman" w:hAnsi="Times New Roman" w:cs="Times New Roman"/>
          <w:b/>
          <w:sz w:val="24"/>
          <w:szCs w:val="24"/>
        </w:rPr>
        <w:t>nalysis</w:t>
      </w:r>
    </w:p>
    <w:p w:rsidR="00976DC4" w:rsidRPr="0047519D"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CF0BBF" w:rsidP="00976DC4">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This empirical study </w:t>
      </w:r>
      <w:r w:rsidR="00976DC4" w:rsidRPr="00D71846">
        <w:rPr>
          <w:rFonts w:ascii="Times New Roman" w:hAnsi="Times New Roman" w:cs="Times New Roman"/>
          <w:sz w:val="24"/>
          <w:szCs w:val="24"/>
        </w:rPr>
        <w:t>follow</w:t>
      </w:r>
      <w:r>
        <w:rPr>
          <w:rFonts w:ascii="Times New Roman" w:hAnsi="Times New Roman" w:cs="Times New Roman"/>
          <w:sz w:val="24"/>
          <w:szCs w:val="24"/>
        </w:rPr>
        <w:t>s</w:t>
      </w:r>
      <w:r w:rsidR="00976DC4" w:rsidRPr="00D71846">
        <w:rPr>
          <w:rFonts w:ascii="Times New Roman" w:hAnsi="Times New Roman" w:cs="Times New Roman"/>
          <w:sz w:val="24"/>
          <w:szCs w:val="24"/>
        </w:rPr>
        <w:t xml:space="preserve"> an analytical approach in an attempt to measure the degree that specific factors affect the capital adequacy of Cypriot banks. As already mentioned, the level of capital in a bank is affected by both regulatory provisions but also by a number of other factors. The sample selected to study the effect of these factors includes all four systemic Cypriot banks and all subsidiaries of foreign banks that were supervised by the Central Bank of Cyprus mainly during the period of financial crisis. The analysis i</w:t>
      </w:r>
      <w:r w:rsidR="00226955">
        <w:rPr>
          <w:rFonts w:ascii="Times New Roman" w:hAnsi="Times New Roman" w:cs="Times New Roman"/>
          <w:sz w:val="24"/>
          <w:szCs w:val="24"/>
        </w:rPr>
        <w:t>s</w:t>
      </w:r>
      <w:r w:rsidR="00976DC4" w:rsidRPr="00D71846">
        <w:rPr>
          <w:rFonts w:ascii="Times New Roman" w:hAnsi="Times New Roman" w:cs="Times New Roman"/>
          <w:sz w:val="24"/>
          <w:szCs w:val="24"/>
        </w:rPr>
        <w:t xml:space="preserve"> based on secondary data obtained from the published financial statements of the banks included in the sample for the period 2009-2014. </w:t>
      </w:r>
      <w:r w:rsidR="00976DC4" w:rsidRPr="00D71846">
        <w:rPr>
          <w:rFonts w:ascii="Times New Roman" w:hAnsi="Times New Roman" w:cs="Times New Roman"/>
          <w:color w:val="222222"/>
          <w:sz w:val="24"/>
          <w:szCs w:val="24"/>
          <w:lang w:val="en"/>
        </w:rPr>
        <w:t xml:space="preserve">To determine the influence of the explanatory variables on the dependent variable (CAR), the multiple linear regression </w:t>
      </w:r>
      <w:proofErr w:type="gramStart"/>
      <w:r w:rsidR="00976DC4" w:rsidRPr="00D71846">
        <w:rPr>
          <w:rFonts w:ascii="Times New Roman" w:hAnsi="Times New Roman" w:cs="Times New Roman"/>
          <w:color w:val="222222"/>
          <w:sz w:val="24"/>
          <w:szCs w:val="24"/>
          <w:lang w:val="en"/>
        </w:rPr>
        <w:t>model</w:t>
      </w:r>
      <w:proofErr w:type="gramEnd"/>
      <w:r w:rsidR="00976DC4" w:rsidRPr="00D71846">
        <w:rPr>
          <w:rFonts w:ascii="Times New Roman" w:hAnsi="Times New Roman" w:cs="Times New Roman"/>
          <w:color w:val="222222"/>
          <w:sz w:val="24"/>
          <w:szCs w:val="24"/>
          <w:lang w:val="en"/>
        </w:rPr>
        <w:t xml:space="preserve"> is applied as follows:</w:t>
      </w:r>
      <w:r w:rsidR="00976DC4" w:rsidRPr="00D71846">
        <w:rPr>
          <w:rFonts w:ascii="Times New Roman" w:hAnsi="Times New Roman" w:cs="Times New Roman"/>
          <w:sz w:val="24"/>
          <w:szCs w:val="24"/>
          <w:lang w:val="en"/>
        </w:rPr>
        <w:t xml:space="preserve">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Default"/>
        <w:jc w:val="center"/>
        <w:rPr>
          <w:rFonts w:ascii="Times New Roman" w:hAnsi="Times New Roman" w:cs="Times New Roman"/>
          <w:bCs/>
          <w:i/>
          <w:iCs/>
          <w:color w:val="auto"/>
        </w:rPr>
      </w:pPr>
      <w:proofErr w:type="spellStart"/>
      <w:r w:rsidRPr="00D71846">
        <w:rPr>
          <w:rFonts w:ascii="Times New Roman" w:hAnsi="Times New Roman" w:cs="Times New Roman"/>
          <w:bCs/>
          <w:i/>
          <w:color w:val="auto"/>
        </w:rPr>
        <w:t>CAR</w:t>
      </w:r>
      <w:r w:rsidRPr="00D71846">
        <w:rPr>
          <w:rFonts w:ascii="Times New Roman" w:hAnsi="Times New Roman" w:cs="Times New Roman"/>
          <w:bCs/>
          <w:i/>
          <w:iCs/>
          <w:color w:val="auto"/>
        </w:rPr>
        <w:t>i</w:t>
      </w:r>
      <w:proofErr w:type="spellEnd"/>
      <w:r w:rsidRPr="00D71846">
        <w:rPr>
          <w:rFonts w:ascii="Times New Roman" w:hAnsi="Times New Roman" w:cs="Times New Roman"/>
          <w:bCs/>
          <w:i/>
          <w:iCs/>
          <w:color w:val="auto"/>
        </w:rPr>
        <w:t xml:space="preserve"> </w:t>
      </w:r>
      <w:r w:rsidRPr="00D71846">
        <w:rPr>
          <w:rFonts w:ascii="Times New Roman" w:hAnsi="Times New Roman" w:cs="Times New Roman"/>
          <w:bCs/>
          <w:i/>
          <w:color w:val="auto"/>
        </w:rPr>
        <w:t xml:space="preserve">=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0</w:t>
      </w:r>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1</w:t>
      </w:r>
      <w:r w:rsidRPr="00D71846">
        <w:rPr>
          <w:rFonts w:ascii="Times New Roman" w:hAnsi="Times New Roman" w:cs="Times New Roman"/>
          <w:bCs/>
          <w:i/>
          <w:color w:val="auto"/>
        </w:rPr>
        <w:t>SIZE</w:t>
      </w:r>
      <w:r w:rsidRPr="00D71846">
        <w:rPr>
          <w:rFonts w:ascii="Times New Roman" w:hAnsi="Times New Roman" w:cs="Times New Roman"/>
          <w:bCs/>
          <w:i/>
          <w:iCs/>
          <w:color w:val="auto"/>
        </w:rPr>
        <w:t>i</w:t>
      </w:r>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2</w:t>
      </w:r>
      <w:r w:rsidRPr="00D71846">
        <w:rPr>
          <w:rFonts w:ascii="Times New Roman" w:hAnsi="Times New Roman" w:cs="Times New Roman"/>
          <w:bCs/>
          <w:i/>
          <w:color w:val="auto"/>
        </w:rPr>
        <w:t>PROV</w:t>
      </w:r>
      <w:r w:rsidRPr="00D71846">
        <w:rPr>
          <w:rFonts w:ascii="Times New Roman" w:hAnsi="Times New Roman" w:cs="Times New Roman"/>
          <w:bCs/>
          <w:i/>
          <w:iCs/>
          <w:color w:val="auto"/>
        </w:rPr>
        <w:t>i</w:t>
      </w:r>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3</w:t>
      </w:r>
      <w:r w:rsidRPr="00D71846">
        <w:rPr>
          <w:rFonts w:ascii="Times New Roman" w:hAnsi="Times New Roman" w:cs="Times New Roman"/>
          <w:bCs/>
          <w:i/>
          <w:color w:val="auto"/>
        </w:rPr>
        <w:t>NIM</w:t>
      </w:r>
      <w:r w:rsidRPr="00D71846">
        <w:rPr>
          <w:rFonts w:ascii="Times New Roman" w:hAnsi="Times New Roman" w:cs="Times New Roman"/>
          <w:bCs/>
          <w:i/>
          <w:iCs/>
          <w:color w:val="auto"/>
        </w:rPr>
        <w:t>i</w:t>
      </w:r>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4</w:t>
      </w:r>
      <w:r w:rsidRPr="00D71846">
        <w:rPr>
          <w:rFonts w:ascii="Times New Roman" w:hAnsi="Times New Roman" w:cs="Times New Roman"/>
          <w:bCs/>
          <w:i/>
          <w:caps/>
          <w:color w:val="auto"/>
        </w:rPr>
        <w:t>ROA</w:t>
      </w:r>
      <w:r w:rsidRPr="00D71846">
        <w:rPr>
          <w:rFonts w:ascii="Times New Roman" w:hAnsi="Times New Roman" w:cs="Times New Roman"/>
          <w:bCs/>
          <w:i/>
          <w:iCs/>
          <w:color w:val="auto"/>
        </w:rPr>
        <w:t>i</w:t>
      </w:r>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5</w:t>
      </w:r>
      <w:r w:rsidRPr="00D71846">
        <w:rPr>
          <w:rFonts w:ascii="Times New Roman" w:hAnsi="Times New Roman" w:cs="Times New Roman"/>
          <w:bCs/>
          <w:i/>
          <w:color w:val="auto"/>
        </w:rPr>
        <w:t>LEV</w:t>
      </w:r>
      <w:r w:rsidRPr="00D71846">
        <w:rPr>
          <w:rFonts w:ascii="Times New Roman" w:hAnsi="Times New Roman" w:cs="Times New Roman"/>
          <w:bCs/>
          <w:i/>
          <w:iCs/>
          <w:color w:val="auto"/>
        </w:rPr>
        <w:t>i</w:t>
      </w:r>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6</w:t>
      </w:r>
      <w:r w:rsidRPr="00D71846">
        <w:rPr>
          <w:rFonts w:ascii="Times New Roman" w:eastAsia="Times New Roman" w:hAnsi="Times New Roman" w:cs="Times New Roman"/>
          <w:i/>
          <w:iCs/>
          <w:color w:val="auto"/>
        </w:rPr>
        <w:t xml:space="preserve"> </w:t>
      </w:r>
      <w:proofErr w:type="spellStart"/>
      <w:r w:rsidRPr="00D71846">
        <w:rPr>
          <w:rFonts w:ascii="Times New Roman" w:eastAsia="Times New Roman" w:hAnsi="Times New Roman" w:cs="Times New Roman"/>
          <w:i/>
          <w:iCs/>
          <w:color w:val="auto"/>
        </w:rPr>
        <w:t>LQDT</w:t>
      </w:r>
      <w:r w:rsidRPr="00D71846">
        <w:rPr>
          <w:rFonts w:ascii="Times New Roman" w:hAnsi="Times New Roman" w:cs="Times New Roman"/>
          <w:bCs/>
          <w:i/>
          <w:iCs/>
          <w:color w:val="auto"/>
        </w:rPr>
        <w:t>i</w:t>
      </w:r>
      <w:proofErr w:type="spellEnd"/>
      <w:r w:rsidRPr="00D71846">
        <w:rPr>
          <w:rFonts w:ascii="Times New Roman" w:hAnsi="Times New Roman" w:cs="Times New Roman"/>
          <w:bCs/>
          <w:i/>
          <w:color w:val="auto"/>
        </w:rPr>
        <w:t xml:space="preserve"> + </w:t>
      </w:r>
      <w:r w:rsidRPr="00D71846">
        <w:rPr>
          <w:rFonts w:ascii="Times New Roman" w:hAnsi="Times New Roman" w:cs="Times New Roman"/>
          <w:bCs/>
          <w:i/>
          <w:color w:val="auto"/>
          <w:lang w:val="el-GR"/>
        </w:rPr>
        <w:t>β</w:t>
      </w:r>
      <w:r w:rsidRPr="00D71846">
        <w:rPr>
          <w:rFonts w:ascii="Times New Roman" w:hAnsi="Times New Roman" w:cs="Times New Roman"/>
          <w:bCs/>
          <w:i/>
          <w:color w:val="auto"/>
          <w:vertAlign w:val="subscript"/>
        </w:rPr>
        <w:t>7</w:t>
      </w:r>
      <w:r w:rsidRPr="00D71846">
        <w:rPr>
          <w:rFonts w:ascii="Times New Roman" w:eastAsia="Times New Roman" w:hAnsi="Times New Roman" w:cs="Times New Roman"/>
          <w:i/>
          <w:color w:val="auto"/>
        </w:rPr>
        <w:t>RISK</w:t>
      </w:r>
      <w:r w:rsidRPr="00D71846">
        <w:rPr>
          <w:rFonts w:ascii="Times New Roman" w:hAnsi="Times New Roman" w:cs="Times New Roman"/>
          <w:bCs/>
          <w:i/>
          <w:iCs/>
          <w:color w:val="auto"/>
        </w:rPr>
        <w:t>i</w:t>
      </w:r>
      <w:r w:rsidRPr="00D71846">
        <w:rPr>
          <w:rFonts w:ascii="Times New Roman" w:eastAsia="Times New Roman" w:hAnsi="Times New Roman" w:cs="Times New Roman"/>
          <w:i/>
          <w:color w:val="auto"/>
        </w:rPr>
        <w:t>+</w:t>
      </w:r>
      <w:r w:rsidRPr="00D71846">
        <w:rPr>
          <w:rFonts w:ascii="Times New Roman" w:hAnsi="Times New Roman" w:cs="Times New Roman"/>
          <w:bCs/>
          <w:i/>
          <w:color w:val="auto"/>
        </w:rPr>
        <w:t xml:space="preserve"> e</w:t>
      </w:r>
      <w:r w:rsidRPr="00F96C3D">
        <w:rPr>
          <w:rFonts w:ascii="Times New Roman" w:hAnsi="Times New Roman" w:cs="Times New Roman"/>
          <w:bCs/>
          <w:i/>
          <w:iCs/>
          <w:color w:val="auto"/>
          <w:vertAlign w:val="subscript"/>
        </w:rPr>
        <w:t>i</w:t>
      </w:r>
    </w:p>
    <w:p w:rsidR="00976DC4" w:rsidRPr="00D71846" w:rsidRDefault="00976DC4" w:rsidP="00976DC4">
      <w:pPr>
        <w:autoSpaceDE w:val="0"/>
        <w:autoSpaceDN w:val="0"/>
        <w:adjustRightInd w:val="0"/>
        <w:spacing w:after="0" w:line="240" w:lineRule="auto"/>
        <w:rPr>
          <w:rFonts w:ascii="Times New Roman" w:hAnsi="Times New Roman" w:cs="Times New Roman"/>
          <w:sz w:val="24"/>
          <w:szCs w:val="24"/>
        </w:rPr>
      </w:pPr>
    </w:p>
    <w:p w:rsidR="00976DC4" w:rsidRPr="00D71846" w:rsidRDefault="00976DC4" w:rsidP="00976DC4">
      <w:pPr>
        <w:autoSpaceDE w:val="0"/>
        <w:autoSpaceDN w:val="0"/>
        <w:adjustRightInd w:val="0"/>
        <w:spacing w:after="0" w:line="240" w:lineRule="auto"/>
        <w:rPr>
          <w:rFonts w:ascii="Times New Roman" w:hAnsi="Times New Roman" w:cs="Times New Roman"/>
          <w:sz w:val="24"/>
          <w:szCs w:val="24"/>
        </w:rPr>
      </w:pPr>
      <w:proofErr w:type="gramStart"/>
      <w:r w:rsidRPr="00D71846">
        <w:rPr>
          <w:rFonts w:ascii="Times New Roman" w:hAnsi="Times New Roman" w:cs="Times New Roman"/>
          <w:sz w:val="24"/>
          <w:szCs w:val="24"/>
        </w:rPr>
        <w:t>where</w:t>
      </w:r>
      <w:proofErr w:type="gramEnd"/>
      <w:r w:rsidRPr="00D71846">
        <w:rPr>
          <w:rFonts w:ascii="Times New Roman" w:hAnsi="Times New Roman" w:cs="Times New Roman"/>
          <w:sz w:val="24"/>
          <w:szCs w:val="24"/>
        </w:rPr>
        <w:t xml:space="preserve"> </w:t>
      </w:r>
      <w:proofErr w:type="spellStart"/>
      <w:r w:rsidRPr="00D71846">
        <w:rPr>
          <w:rFonts w:ascii="Times New Roman" w:hAnsi="Times New Roman" w:cs="Times New Roman"/>
          <w:sz w:val="24"/>
          <w:szCs w:val="24"/>
        </w:rPr>
        <w:t>CAR</w:t>
      </w:r>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Capital Adequacy Ratio of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left="720"/>
        <w:rPr>
          <w:rFonts w:ascii="Times New Roman" w:hAnsi="Times New Roman" w:cs="Times New Roman"/>
          <w:bCs/>
          <w:iCs/>
          <w:sz w:val="24"/>
          <w:szCs w:val="24"/>
        </w:rPr>
      </w:pPr>
      <w:r w:rsidRPr="00D71846">
        <w:rPr>
          <w:rFonts w:ascii="Times New Roman" w:hAnsi="Times New Roman" w:cs="Times New Roman"/>
          <w:bCs/>
          <w:iCs/>
          <w:sz w:val="24"/>
          <w:szCs w:val="24"/>
        </w:rPr>
        <w:t>SI</w:t>
      </w:r>
      <w:r w:rsidRPr="00D71846">
        <w:rPr>
          <w:rFonts w:ascii="Times New Roman" w:hAnsi="Times New Roman" w:cs="Times New Roman"/>
          <w:bCs/>
          <w:iCs/>
          <w:sz w:val="24"/>
          <w:szCs w:val="24"/>
          <w:lang w:val="el-GR"/>
        </w:rPr>
        <w:t>ΖΕ</w:t>
      </w:r>
      <w:r w:rsidRPr="00D71846">
        <w:rPr>
          <w:rFonts w:ascii="Times New Roman" w:hAnsi="Times New Roman" w:cs="Times New Roman"/>
          <w:bCs/>
          <w:iCs/>
          <w:sz w:val="24"/>
          <w:szCs w:val="24"/>
        </w:rPr>
        <w:t xml:space="preserve"> i:  Size of the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firstLine="720"/>
        <w:rPr>
          <w:rFonts w:ascii="Times New Roman" w:hAnsi="Times New Roman" w:cs="Times New Roman"/>
          <w:bCs/>
          <w:iCs/>
          <w:sz w:val="24"/>
          <w:szCs w:val="24"/>
        </w:rPr>
      </w:pPr>
      <w:proofErr w:type="spellStart"/>
      <w:r w:rsidRPr="00D71846">
        <w:rPr>
          <w:rFonts w:ascii="Times New Roman" w:hAnsi="Times New Roman" w:cs="Times New Roman"/>
          <w:bCs/>
          <w:sz w:val="24"/>
          <w:szCs w:val="24"/>
        </w:rPr>
        <w:t>PROV</w:t>
      </w:r>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The provisions index of the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left="720"/>
        <w:rPr>
          <w:rFonts w:ascii="Times New Roman" w:hAnsi="Times New Roman" w:cs="Times New Roman"/>
          <w:bCs/>
          <w:iCs/>
          <w:sz w:val="24"/>
          <w:szCs w:val="24"/>
        </w:rPr>
      </w:pPr>
      <w:proofErr w:type="spellStart"/>
      <w:r w:rsidRPr="00D71846">
        <w:rPr>
          <w:rFonts w:ascii="Times New Roman" w:hAnsi="Times New Roman" w:cs="Times New Roman"/>
          <w:bCs/>
          <w:sz w:val="24"/>
          <w:szCs w:val="24"/>
        </w:rPr>
        <w:t>NIM</w:t>
      </w:r>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Net interest as a percentage of interest receivable of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firstLine="720"/>
        <w:rPr>
          <w:rFonts w:ascii="Times New Roman" w:hAnsi="Times New Roman" w:cs="Times New Roman"/>
          <w:bCs/>
          <w:iCs/>
          <w:sz w:val="24"/>
          <w:szCs w:val="24"/>
        </w:rPr>
      </w:pPr>
      <w:proofErr w:type="spellStart"/>
      <w:r w:rsidRPr="00D71846">
        <w:rPr>
          <w:rFonts w:ascii="Times New Roman" w:hAnsi="Times New Roman" w:cs="Times New Roman"/>
          <w:bCs/>
          <w:caps/>
          <w:sz w:val="24"/>
          <w:szCs w:val="24"/>
        </w:rPr>
        <w:t>ROA</w:t>
      </w:r>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Return On Assets of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firstLine="720"/>
        <w:rPr>
          <w:rFonts w:ascii="Times New Roman" w:hAnsi="Times New Roman" w:cs="Times New Roman"/>
          <w:bCs/>
          <w:iCs/>
          <w:sz w:val="24"/>
          <w:szCs w:val="24"/>
        </w:rPr>
      </w:pPr>
      <w:proofErr w:type="spellStart"/>
      <w:r w:rsidRPr="00D71846">
        <w:rPr>
          <w:rFonts w:ascii="Times New Roman" w:hAnsi="Times New Roman" w:cs="Times New Roman"/>
          <w:bCs/>
          <w:sz w:val="24"/>
          <w:szCs w:val="24"/>
        </w:rPr>
        <w:t>LEV</w:t>
      </w:r>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Liability to assets ratio of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firstLine="720"/>
        <w:rPr>
          <w:rFonts w:ascii="Times New Roman" w:hAnsi="Times New Roman" w:cs="Times New Roman"/>
          <w:bCs/>
          <w:iCs/>
          <w:sz w:val="24"/>
          <w:szCs w:val="24"/>
        </w:rPr>
      </w:pPr>
      <w:proofErr w:type="spellStart"/>
      <w:r w:rsidRPr="00D71846">
        <w:rPr>
          <w:rFonts w:ascii="Times New Roman" w:eastAsia="Times New Roman" w:hAnsi="Times New Roman" w:cs="Times New Roman"/>
          <w:iCs/>
          <w:sz w:val="24"/>
          <w:szCs w:val="24"/>
        </w:rPr>
        <w:t>LQDT</w:t>
      </w:r>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Liquidity ratio of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ind w:left="720"/>
        <w:rPr>
          <w:rFonts w:ascii="Times New Roman" w:eastAsia="Times New Roman" w:hAnsi="Times New Roman" w:cs="Times New Roman"/>
          <w:sz w:val="24"/>
          <w:szCs w:val="24"/>
        </w:rPr>
      </w:pPr>
      <w:r w:rsidRPr="00D71846">
        <w:rPr>
          <w:rFonts w:ascii="Times New Roman" w:eastAsia="Times New Roman" w:hAnsi="Times New Roman" w:cs="Times New Roman"/>
          <w:sz w:val="24"/>
          <w:szCs w:val="24"/>
        </w:rPr>
        <w:t xml:space="preserve">RISK:   </w:t>
      </w:r>
      <w:r w:rsidRPr="00D71846">
        <w:rPr>
          <w:rStyle w:val="shorttext"/>
          <w:rFonts w:ascii="Times New Roman" w:hAnsi="Times New Roman" w:cs="Times New Roman"/>
          <w:color w:val="222222"/>
          <w:sz w:val="24"/>
          <w:szCs w:val="24"/>
          <w:lang w:val="en"/>
        </w:rPr>
        <w:t>The risk weighted assets index to total assets</w:t>
      </w:r>
      <w:r w:rsidRPr="00D71846">
        <w:rPr>
          <w:rFonts w:ascii="Times New Roman" w:eastAsia="Times New Roman" w:hAnsi="Times New Roman" w:cs="Times New Roman"/>
          <w:sz w:val="24"/>
          <w:szCs w:val="24"/>
        </w:rPr>
        <w:t xml:space="preserve"> </w:t>
      </w:r>
      <w:r w:rsidRPr="00D71846">
        <w:rPr>
          <w:rFonts w:ascii="Times New Roman" w:hAnsi="Times New Roman" w:cs="Times New Roman"/>
          <w:bCs/>
          <w:iCs/>
          <w:sz w:val="24"/>
          <w:szCs w:val="24"/>
        </w:rPr>
        <w:t xml:space="preserve">of bank </w:t>
      </w:r>
      <w:proofErr w:type="spellStart"/>
      <w:r w:rsidRPr="00D71846">
        <w:rPr>
          <w:rFonts w:ascii="Times New Roman" w:hAnsi="Times New Roman" w:cs="Times New Roman"/>
          <w:bCs/>
          <w:iCs/>
          <w:sz w:val="24"/>
          <w:szCs w:val="24"/>
        </w:rPr>
        <w:t>i</w:t>
      </w:r>
      <w:proofErr w:type="spellEnd"/>
      <w:r w:rsidRPr="00D71846">
        <w:rPr>
          <w:rFonts w:ascii="Times New Roman" w:hAnsi="Times New Roman" w:cs="Times New Roman"/>
          <w:bCs/>
          <w:iCs/>
          <w:sz w:val="24"/>
          <w:szCs w:val="24"/>
        </w:rPr>
        <w:t xml:space="preserve"> </w:t>
      </w:r>
    </w:p>
    <w:p w:rsidR="00976DC4" w:rsidRPr="00D71846" w:rsidRDefault="00976DC4" w:rsidP="00976DC4">
      <w:pPr>
        <w:autoSpaceDE w:val="0"/>
        <w:autoSpaceDN w:val="0"/>
        <w:adjustRightInd w:val="0"/>
        <w:spacing w:after="0" w:line="240" w:lineRule="auto"/>
        <w:rPr>
          <w:rFonts w:ascii="Times New Roman" w:eastAsia="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sz w:val="24"/>
          <w:szCs w:val="24"/>
        </w:rPr>
        <w:t xml:space="preserve">In the above equation, </w:t>
      </w:r>
      <w:r w:rsidRPr="00D71846">
        <w:rPr>
          <w:rFonts w:ascii="Times New Roman" w:hAnsi="Times New Roman" w:cs="Times New Roman"/>
          <w:bCs/>
          <w:i/>
          <w:sz w:val="24"/>
          <w:szCs w:val="24"/>
          <w:lang w:val="el-GR"/>
        </w:rPr>
        <w:t>β</w:t>
      </w:r>
      <w:r w:rsidRPr="00D71846">
        <w:rPr>
          <w:rFonts w:ascii="Times New Roman" w:hAnsi="Times New Roman" w:cs="Times New Roman"/>
          <w:bCs/>
          <w:i/>
          <w:sz w:val="24"/>
          <w:szCs w:val="24"/>
          <w:vertAlign w:val="subscript"/>
        </w:rPr>
        <w:t>0</w:t>
      </w:r>
      <w:r w:rsidRPr="00D71846">
        <w:rPr>
          <w:rFonts w:ascii="Times New Roman" w:hAnsi="Times New Roman" w:cs="Times New Roman"/>
          <w:b/>
          <w:bCs/>
          <w:sz w:val="24"/>
          <w:szCs w:val="24"/>
        </w:rPr>
        <w:t xml:space="preserve"> </w:t>
      </w:r>
      <w:r w:rsidRPr="00D71846">
        <w:rPr>
          <w:rFonts w:ascii="Times New Roman" w:hAnsi="Times New Roman" w:cs="Times New Roman"/>
          <w:bCs/>
          <w:sz w:val="24"/>
          <w:szCs w:val="24"/>
        </w:rPr>
        <w:t>is the constant term</w:t>
      </w:r>
      <w:r w:rsidRPr="00D71846">
        <w:rPr>
          <w:rFonts w:ascii="Times New Roman" w:hAnsi="Times New Roman" w:cs="Times New Roman"/>
          <w:sz w:val="24"/>
          <w:szCs w:val="24"/>
        </w:rPr>
        <w:t xml:space="preserve"> and </w:t>
      </w:r>
      <w:r w:rsidRPr="00D71846">
        <w:rPr>
          <w:rFonts w:ascii="Times New Roman" w:hAnsi="Times New Roman" w:cs="Times New Roman"/>
          <w:bCs/>
          <w:i/>
          <w:sz w:val="24"/>
          <w:szCs w:val="24"/>
          <w:lang w:val="el-GR"/>
        </w:rPr>
        <w:t>β</w:t>
      </w:r>
      <w:r w:rsidRPr="00D71846">
        <w:rPr>
          <w:rFonts w:ascii="Times New Roman" w:hAnsi="Times New Roman" w:cs="Times New Roman"/>
          <w:b/>
          <w:bCs/>
          <w:sz w:val="24"/>
          <w:szCs w:val="24"/>
        </w:rPr>
        <w:t xml:space="preserve"> </w:t>
      </w:r>
      <w:r w:rsidRPr="00D71846">
        <w:rPr>
          <w:rFonts w:ascii="Times New Roman" w:hAnsi="Times New Roman" w:cs="Times New Roman"/>
          <w:bCs/>
          <w:sz w:val="24"/>
          <w:szCs w:val="24"/>
        </w:rPr>
        <w:t xml:space="preserve">is the slope </w:t>
      </w:r>
      <w:r w:rsidR="008F5CD4" w:rsidRPr="00D71846">
        <w:rPr>
          <w:rFonts w:ascii="Times New Roman" w:hAnsi="Times New Roman" w:cs="Times New Roman"/>
          <w:bCs/>
          <w:sz w:val="24"/>
          <w:szCs w:val="24"/>
        </w:rPr>
        <w:t>coefficient</w:t>
      </w:r>
      <w:r w:rsidRPr="00D71846">
        <w:rPr>
          <w:rFonts w:ascii="Times New Roman" w:hAnsi="Times New Roman" w:cs="Times New Roman"/>
          <w:bCs/>
          <w:sz w:val="24"/>
          <w:szCs w:val="24"/>
        </w:rPr>
        <w:t xml:space="preserve"> of the independent variables, </w:t>
      </w:r>
      <w:r w:rsidRPr="00D71846">
        <w:rPr>
          <w:rFonts w:ascii="Times New Roman" w:hAnsi="Times New Roman" w:cs="Times New Roman"/>
          <w:sz w:val="24"/>
          <w:szCs w:val="24"/>
        </w:rPr>
        <w:t xml:space="preserve">while </w:t>
      </w:r>
      <w:proofErr w:type="spellStart"/>
      <w:r w:rsidRPr="00D71846">
        <w:rPr>
          <w:rFonts w:ascii="Times New Roman" w:hAnsi="Times New Roman" w:cs="Times New Roman"/>
          <w:bCs/>
          <w:sz w:val="24"/>
          <w:szCs w:val="24"/>
        </w:rPr>
        <w:t>e</w:t>
      </w:r>
      <w:r w:rsidRPr="00D71846">
        <w:rPr>
          <w:rFonts w:ascii="Times New Roman" w:hAnsi="Times New Roman" w:cs="Times New Roman"/>
          <w:bCs/>
          <w:i/>
          <w:iCs/>
          <w:sz w:val="24"/>
          <w:szCs w:val="24"/>
          <w:vertAlign w:val="subscript"/>
        </w:rPr>
        <w:t>it</w:t>
      </w:r>
      <w:proofErr w:type="spellEnd"/>
      <w:r w:rsidRPr="00D71846">
        <w:rPr>
          <w:rFonts w:ascii="Times New Roman" w:hAnsi="Times New Roman" w:cs="Times New Roman"/>
          <w:bCs/>
          <w:i/>
          <w:iCs/>
          <w:sz w:val="24"/>
          <w:szCs w:val="24"/>
        </w:rPr>
        <w:t xml:space="preserve"> </w:t>
      </w:r>
      <w:r w:rsidRPr="00D71846">
        <w:rPr>
          <w:rFonts w:ascii="Times New Roman" w:hAnsi="Times New Roman" w:cs="Times New Roman"/>
          <w:bCs/>
          <w:iCs/>
          <w:sz w:val="24"/>
          <w:szCs w:val="24"/>
        </w:rPr>
        <w:t xml:space="preserve">is the error of the </w:t>
      </w:r>
      <w:r w:rsidRPr="00D71846">
        <w:rPr>
          <w:rFonts w:ascii="Times New Roman" w:hAnsi="Times New Roman" w:cs="Times New Roman"/>
          <w:sz w:val="24"/>
          <w:szCs w:val="24"/>
        </w:rPr>
        <w:t>residuals of the regression analysis.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The study tested the following seven null hypotheses on the relationship between the variables.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1</w:t>
      </w:r>
      <w:r w:rsidRPr="00D71846">
        <w:rPr>
          <w:rFonts w:ascii="Times New Roman" w:hAnsi="Times New Roman" w:cs="Times New Roman"/>
          <w:sz w:val="24"/>
          <w:szCs w:val="24"/>
        </w:rPr>
        <w:t>: There is no statistical significant relationship between CAR and SIZE</w:t>
      </w: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2</w:t>
      </w:r>
      <w:r w:rsidRPr="00D71846">
        <w:rPr>
          <w:rFonts w:ascii="Times New Roman" w:hAnsi="Times New Roman" w:cs="Times New Roman"/>
          <w:sz w:val="24"/>
          <w:szCs w:val="24"/>
        </w:rPr>
        <w:t>: There is no statistical significant relationship between CAR and PROVISION</w:t>
      </w: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3</w:t>
      </w:r>
      <w:r w:rsidRPr="00D71846">
        <w:rPr>
          <w:rFonts w:ascii="Times New Roman" w:hAnsi="Times New Roman" w:cs="Times New Roman"/>
          <w:sz w:val="24"/>
          <w:szCs w:val="24"/>
        </w:rPr>
        <w:t>: There is no statistical significant relationship between CAR and NIM</w:t>
      </w: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4</w:t>
      </w:r>
      <w:r w:rsidRPr="00D71846">
        <w:rPr>
          <w:rFonts w:ascii="Times New Roman" w:hAnsi="Times New Roman" w:cs="Times New Roman"/>
          <w:sz w:val="24"/>
          <w:szCs w:val="24"/>
        </w:rPr>
        <w:t>: There is no statistical significant relationship between CAR and ROA</w:t>
      </w: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5</w:t>
      </w:r>
      <w:r w:rsidRPr="00D71846">
        <w:rPr>
          <w:rFonts w:ascii="Times New Roman" w:hAnsi="Times New Roman" w:cs="Times New Roman"/>
          <w:sz w:val="24"/>
          <w:szCs w:val="24"/>
        </w:rPr>
        <w:t>: There is no statistical significant relationship between CAR and LEV</w:t>
      </w: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6</w:t>
      </w:r>
      <w:r w:rsidRPr="00D71846">
        <w:rPr>
          <w:rFonts w:ascii="Times New Roman" w:hAnsi="Times New Roman" w:cs="Times New Roman"/>
          <w:sz w:val="24"/>
          <w:szCs w:val="24"/>
        </w:rPr>
        <w:t>: There is no statistical significant relationship between CAR and LQDT</w:t>
      </w:r>
    </w:p>
    <w:p w:rsidR="00976DC4" w:rsidRPr="00D71846" w:rsidRDefault="00976DC4" w:rsidP="00976DC4">
      <w:pPr>
        <w:pStyle w:val="HTMLPreformatted"/>
        <w:shd w:val="clear" w:color="auto" w:fill="FFFFFF"/>
        <w:ind w:left="720"/>
        <w:rPr>
          <w:rFonts w:ascii="Times New Roman" w:hAnsi="Times New Roman" w:cs="Times New Roman"/>
          <w:sz w:val="24"/>
          <w:szCs w:val="24"/>
        </w:rPr>
      </w:pPr>
      <w:r w:rsidRPr="00D71846">
        <w:rPr>
          <w:rFonts w:ascii="Times New Roman" w:hAnsi="Times New Roman" w:cs="Times New Roman"/>
          <w:sz w:val="24"/>
          <w:szCs w:val="24"/>
        </w:rPr>
        <w:t>H0</w:t>
      </w:r>
      <w:r w:rsidRPr="00D71846">
        <w:rPr>
          <w:rFonts w:ascii="Times New Roman" w:hAnsi="Times New Roman" w:cs="Times New Roman"/>
          <w:sz w:val="24"/>
          <w:szCs w:val="24"/>
          <w:vertAlign w:val="subscript"/>
        </w:rPr>
        <w:t>7</w:t>
      </w:r>
      <w:r w:rsidRPr="00D71846">
        <w:rPr>
          <w:rFonts w:ascii="Times New Roman" w:hAnsi="Times New Roman" w:cs="Times New Roman"/>
          <w:sz w:val="24"/>
          <w:szCs w:val="24"/>
        </w:rPr>
        <w:t>: There is no statistical significant relationship between CAR and RISK</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pStyle w:val="ListParagraph"/>
        <w:numPr>
          <w:ilvl w:val="1"/>
          <w:numId w:val="15"/>
        </w:numPr>
        <w:spacing w:after="0" w:line="240" w:lineRule="auto"/>
        <w:jc w:val="both"/>
        <w:rPr>
          <w:rFonts w:ascii="Times New Roman" w:hAnsi="Times New Roman" w:cs="Times New Roman"/>
          <w:b/>
          <w:caps/>
          <w:sz w:val="24"/>
          <w:szCs w:val="24"/>
          <w:lang w:val="el-GR"/>
        </w:rPr>
      </w:pPr>
      <w:r w:rsidRPr="00D71846">
        <w:rPr>
          <w:rFonts w:ascii="Times New Roman" w:hAnsi="Times New Roman" w:cs="Times New Roman"/>
          <w:b/>
          <w:caps/>
          <w:sz w:val="24"/>
          <w:szCs w:val="24"/>
        </w:rPr>
        <w:t>M</w:t>
      </w:r>
      <w:r w:rsidRPr="00D71846">
        <w:rPr>
          <w:rFonts w:ascii="Times New Roman" w:hAnsi="Times New Roman" w:cs="Times New Roman"/>
          <w:b/>
          <w:sz w:val="24"/>
          <w:szCs w:val="24"/>
        </w:rPr>
        <w:t xml:space="preserve">easurement of </w:t>
      </w:r>
      <w:r>
        <w:rPr>
          <w:rFonts w:ascii="Times New Roman" w:hAnsi="Times New Roman" w:cs="Times New Roman"/>
          <w:b/>
          <w:sz w:val="24"/>
          <w:szCs w:val="24"/>
        </w:rPr>
        <w:t>V</w:t>
      </w:r>
      <w:r w:rsidRPr="00D71846">
        <w:rPr>
          <w:rFonts w:ascii="Times New Roman" w:hAnsi="Times New Roman" w:cs="Times New Roman"/>
          <w:b/>
          <w:sz w:val="24"/>
          <w:szCs w:val="24"/>
        </w:rPr>
        <w:t>ariables</w:t>
      </w:r>
    </w:p>
    <w:p w:rsidR="00976DC4" w:rsidRPr="00D71846" w:rsidRDefault="00976DC4" w:rsidP="00976DC4">
      <w:pPr>
        <w:spacing w:after="0" w:line="240" w:lineRule="auto"/>
        <w:jc w:val="both"/>
        <w:rPr>
          <w:rFonts w:ascii="Times New Roman" w:hAnsi="Times New Roman" w:cs="Times New Roman"/>
          <w:b/>
          <w:caps/>
          <w:sz w:val="24"/>
          <w:szCs w:val="24"/>
        </w:rPr>
      </w:pPr>
    </w:p>
    <w:p w:rsidR="00976DC4" w:rsidRPr="00D71846" w:rsidRDefault="00976DC4" w:rsidP="00976DC4">
      <w:pPr>
        <w:spacing w:after="0" w:line="240" w:lineRule="auto"/>
        <w:jc w:val="both"/>
        <w:rPr>
          <w:rFonts w:ascii="Times New Roman" w:hAnsi="Times New Roman" w:cs="Times New Roman"/>
          <w:caps/>
          <w:sz w:val="24"/>
          <w:szCs w:val="24"/>
        </w:rPr>
      </w:pPr>
      <w:r w:rsidRPr="00D71846">
        <w:rPr>
          <w:rFonts w:ascii="Times New Roman" w:hAnsi="Times New Roman" w:cs="Times New Roman"/>
          <w:caps/>
          <w:sz w:val="24"/>
          <w:szCs w:val="24"/>
        </w:rPr>
        <w:t>T</w:t>
      </w:r>
      <w:r w:rsidRPr="00D71846">
        <w:rPr>
          <w:rFonts w:ascii="Times New Roman" w:hAnsi="Times New Roman" w:cs="Times New Roman"/>
          <w:sz w:val="24"/>
          <w:szCs w:val="24"/>
        </w:rPr>
        <w:t>his part of the study discusses the measurement of the explanatory variables (</w:t>
      </w:r>
      <w:proofErr w:type="spellStart"/>
      <w:r w:rsidRPr="00D71846">
        <w:rPr>
          <w:rFonts w:ascii="Times New Roman" w:hAnsi="Times New Roman" w:cs="Times New Roman"/>
          <w:sz w:val="24"/>
          <w:szCs w:val="24"/>
        </w:rPr>
        <w:t>predictos</w:t>
      </w:r>
      <w:proofErr w:type="spellEnd"/>
      <w:r w:rsidRPr="00D71846">
        <w:rPr>
          <w:rFonts w:ascii="Times New Roman" w:hAnsi="Times New Roman" w:cs="Times New Roman"/>
          <w:sz w:val="24"/>
          <w:szCs w:val="24"/>
        </w:rPr>
        <w:t>) used in the multiple regression model.</w:t>
      </w:r>
    </w:p>
    <w:p w:rsidR="00976DC4" w:rsidRPr="00D71846" w:rsidRDefault="00976DC4" w:rsidP="00976DC4">
      <w:pPr>
        <w:pStyle w:val="HTMLPreformatted"/>
        <w:shd w:val="clear" w:color="auto" w:fill="FFFFFF"/>
        <w:rPr>
          <w:rFonts w:ascii="Times New Roman" w:hAnsi="Times New Roman" w:cs="Times New Roman"/>
          <w:b/>
          <w:caps/>
          <w:sz w:val="24"/>
          <w:szCs w:val="24"/>
        </w:rPr>
      </w:pPr>
    </w:p>
    <w:p w:rsidR="00976DC4" w:rsidRPr="00D71846" w:rsidRDefault="00976DC4" w:rsidP="00976DC4">
      <w:pPr>
        <w:pStyle w:val="HTMLPreformatted"/>
        <w:numPr>
          <w:ilvl w:val="2"/>
          <w:numId w:val="15"/>
        </w:numPr>
        <w:shd w:val="clear" w:color="auto" w:fill="FFFFFF"/>
        <w:rPr>
          <w:rFonts w:ascii="Times New Roman" w:hAnsi="Times New Roman" w:cs="Times New Roman"/>
          <w:b/>
          <w:caps/>
          <w:sz w:val="24"/>
          <w:szCs w:val="24"/>
        </w:rPr>
      </w:pPr>
      <w:r>
        <w:rPr>
          <w:rFonts w:ascii="Times New Roman" w:hAnsi="Times New Roman" w:cs="Times New Roman"/>
          <w:b/>
          <w:sz w:val="24"/>
          <w:szCs w:val="24"/>
        </w:rPr>
        <w:t>D</w:t>
      </w:r>
      <w:r w:rsidRPr="00D71846">
        <w:rPr>
          <w:rFonts w:ascii="Times New Roman" w:hAnsi="Times New Roman" w:cs="Times New Roman"/>
          <w:b/>
          <w:sz w:val="24"/>
          <w:szCs w:val="24"/>
        </w:rPr>
        <w:t xml:space="preserve">ependent </w:t>
      </w:r>
      <w:r>
        <w:rPr>
          <w:rFonts w:ascii="Times New Roman" w:hAnsi="Times New Roman" w:cs="Times New Roman"/>
          <w:b/>
          <w:sz w:val="24"/>
          <w:szCs w:val="24"/>
        </w:rPr>
        <w:t>V</w:t>
      </w:r>
      <w:r w:rsidRPr="00D71846">
        <w:rPr>
          <w:rFonts w:ascii="Times New Roman" w:hAnsi="Times New Roman" w:cs="Times New Roman"/>
          <w:b/>
          <w:sz w:val="24"/>
          <w:szCs w:val="24"/>
        </w:rPr>
        <w:t xml:space="preserve">ariable  </w:t>
      </w:r>
      <w:r w:rsidRPr="00D71846">
        <w:rPr>
          <w:rFonts w:ascii="Times New Roman" w:hAnsi="Times New Roman" w:cs="Times New Roman"/>
          <w:b/>
          <w:caps/>
          <w:sz w:val="24"/>
          <w:szCs w:val="24"/>
        </w:rPr>
        <w:t>– C</w:t>
      </w:r>
      <w:r w:rsidRPr="00D71846">
        <w:rPr>
          <w:rFonts w:ascii="Times New Roman" w:hAnsi="Times New Roman" w:cs="Times New Roman"/>
          <w:b/>
          <w:sz w:val="24"/>
          <w:szCs w:val="24"/>
        </w:rPr>
        <w:t xml:space="preserve">apital </w:t>
      </w:r>
      <w:r>
        <w:rPr>
          <w:rFonts w:ascii="Times New Roman" w:hAnsi="Times New Roman" w:cs="Times New Roman"/>
          <w:b/>
          <w:sz w:val="24"/>
          <w:szCs w:val="24"/>
        </w:rPr>
        <w:t>A</w:t>
      </w:r>
      <w:r w:rsidRPr="00D71846">
        <w:rPr>
          <w:rFonts w:ascii="Times New Roman" w:hAnsi="Times New Roman" w:cs="Times New Roman"/>
          <w:b/>
          <w:sz w:val="24"/>
          <w:szCs w:val="24"/>
        </w:rPr>
        <w:t xml:space="preserve">dequacy </w:t>
      </w:r>
      <w:r>
        <w:rPr>
          <w:rFonts w:ascii="Times New Roman" w:hAnsi="Times New Roman" w:cs="Times New Roman"/>
          <w:b/>
          <w:sz w:val="24"/>
          <w:szCs w:val="24"/>
        </w:rPr>
        <w:t>R</w:t>
      </w:r>
      <w:r w:rsidRPr="00D71846">
        <w:rPr>
          <w:rFonts w:ascii="Times New Roman" w:hAnsi="Times New Roman" w:cs="Times New Roman"/>
          <w:b/>
          <w:sz w:val="24"/>
          <w:szCs w:val="24"/>
        </w:rPr>
        <w:t>atio</w:t>
      </w:r>
      <w:r w:rsidRPr="00D71846">
        <w:rPr>
          <w:rFonts w:ascii="Times New Roman" w:hAnsi="Times New Roman" w:cs="Times New Roman"/>
          <w:b/>
          <w:caps/>
          <w:sz w:val="24"/>
          <w:szCs w:val="24"/>
        </w:rPr>
        <w:t xml:space="preserve"> (CAR)</w:t>
      </w:r>
    </w:p>
    <w:p w:rsidR="00976DC4" w:rsidRPr="00D71846" w:rsidRDefault="00976DC4" w:rsidP="00976DC4">
      <w:pPr>
        <w:pStyle w:val="HTMLPreformatted"/>
        <w:shd w:val="clear" w:color="auto" w:fill="FFFFFF"/>
        <w:rPr>
          <w:rFonts w:ascii="Times New Roman" w:hAnsi="Times New Roman" w:cs="Times New Roman"/>
          <w:b/>
          <w:sz w:val="24"/>
          <w:szCs w:val="24"/>
        </w:rPr>
      </w:pPr>
    </w:p>
    <w:p w:rsidR="00976DC4" w:rsidRPr="00D71846" w:rsidRDefault="00976DC4" w:rsidP="00976DC4">
      <w:pPr>
        <w:pStyle w:val="HTMLPreformatted"/>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65"/>
        </w:tabs>
        <w:jc w:val="both"/>
        <w:rPr>
          <w:rFonts w:ascii="Times New Roman" w:hAnsi="Times New Roman" w:cs="Times New Roman"/>
          <w:b/>
          <w:caps/>
          <w:sz w:val="24"/>
          <w:szCs w:val="24"/>
          <w:u w:val="single"/>
        </w:rPr>
      </w:pPr>
      <w:r w:rsidRPr="00D71846">
        <w:rPr>
          <w:rFonts w:ascii="Times New Roman" w:hAnsi="Times New Roman" w:cs="Times New Roman"/>
          <w:color w:val="222222"/>
          <w:sz w:val="24"/>
          <w:szCs w:val="24"/>
          <w:lang w:val="en"/>
        </w:rPr>
        <w:t xml:space="preserve">The dependent variable in the current study is CAR. This ratio is an important strength factor for a bank as it </w:t>
      </w:r>
      <w:r w:rsidR="008F5CD4" w:rsidRPr="00D71846">
        <w:rPr>
          <w:rFonts w:ascii="Times New Roman" w:hAnsi="Times New Roman" w:cs="Times New Roman"/>
          <w:color w:val="222222"/>
          <w:sz w:val="24"/>
          <w:szCs w:val="24"/>
          <w:lang w:val="en"/>
        </w:rPr>
        <w:t>develops</w:t>
      </w:r>
      <w:r w:rsidRPr="00D71846">
        <w:rPr>
          <w:rFonts w:ascii="Times New Roman" w:hAnsi="Times New Roman" w:cs="Times New Roman"/>
          <w:color w:val="222222"/>
          <w:sz w:val="24"/>
          <w:szCs w:val="24"/>
          <w:lang w:val="en"/>
        </w:rPr>
        <w:t xml:space="preserve"> through the capital. The higher the CAR, the stronger the bank and the greater will be the protection offered to investors. </w:t>
      </w:r>
      <w:proofErr w:type="spellStart"/>
      <w:r w:rsidRPr="00D71846">
        <w:rPr>
          <w:rFonts w:ascii="Times New Roman" w:hAnsi="Times New Roman" w:cs="Times New Roman"/>
          <w:color w:val="222222"/>
          <w:sz w:val="24"/>
          <w:szCs w:val="24"/>
          <w:lang w:val="en"/>
        </w:rPr>
        <w:t>Sangmi</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Tabassum</w:t>
      </w:r>
      <w:proofErr w:type="spellEnd"/>
      <w:r w:rsidRPr="00D71846">
        <w:rPr>
          <w:rFonts w:ascii="Times New Roman" w:hAnsi="Times New Roman" w:cs="Times New Roman"/>
          <w:color w:val="222222"/>
          <w:sz w:val="24"/>
          <w:szCs w:val="24"/>
          <w:lang w:val="en"/>
        </w:rPr>
        <w:t xml:space="preserve"> (2010) emphasize that CAR is directly proportional to the strength of the bank in crisis situations.</w:t>
      </w:r>
    </w:p>
    <w:p w:rsidR="00976DC4" w:rsidRPr="00D71846" w:rsidRDefault="00976DC4" w:rsidP="00976DC4">
      <w:pPr>
        <w:pStyle w:val="HTMLPreformatted"/>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65"/>
        </w:tabs>
        <w:jc w:val="both"/>
        <w:rPr>
          <w:rFonts w:ascii="Times New Roman" w:hAnsi="Times New Roman" w:cs="Times New Roman"/>
          <w:b/>
          <w:caps/>
          <w:sz w:val="24"/>
          <w:szCs w:val="24"/>
          <w:u w:val="single"/>
        </w:rPr>
      </w:pPr>
    </w:p>
    <w:p w:rsidR="00976DC4" w:rsidRPr="00D71846" w:rsidRDefault="00976DC4" w:rsidP="00976DC4">
      <w:pPr>
        <w:pStyle w:val="HTMLPreformatted"/>
        <w:numPr>
          <w:ilvl w:val="2"/>
          <w:numId w:val="15"/>
        </w:numPr>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65"/>
        </w:tabs>
        <w:jc w:val="both"/>
        <w:rPr>
          <w:rFonts w:ascii="Times New Roman" w:hAnsi="Times New Roman" w:cs="Times New Roman"/>
          <w:b/>
          <w:caps/>
          <w:sz w:val="24"/>
          <w:szCs w:val="24"/>
          <w:lang w:val="el-GR"/>
        </w:rPr>
      </w:pPr>
      <w:r w:rsidRPr="00D71846">
        <w:rPr>
          <w:rFonts w:ascii="Times New Roman" w:hAnsi="Times New Roman" w:cs="Times New Roman"/>
          <w:b/>
          <w:caps/>
          <w:sz w:val="24"/>
          <w:szCs w:val="24"/>
        </w:rPr>
        <w:t>I</w:t>
      </w:r>
      <w:r w:rsidRPr="00D71846">
        <w:rPr>
          <w:rFonts w:ascii="Times New Roman" w:hAnsi="Times New Roman" w:cs="Times New Roman"/>
          <w:b/>
          <w:sz w:val="24"/>
          <w:szCs w:val="24"/>
        </w:rPr>
        <w:t xml:space="preserve">ndependent </w:t>
      </w:r>
      <w:r>
        <w:rPr>
          <w:rFonts w:ascii="Times New Roman" w:hAnsi="Times New Roman" w:cs="Times New Roman"/>
          <w:b/>
          <w:sz w:val="24"/>
          <w:szCs w:val="24"/>
        </w:rPr>
        <w:t>V</w:t>
      </w:r>
      <w:r w:rsidRPr="00D71846">
        <w:rPr>
          <w:rFonts w:ascii="Times New Roman" w:hAnsi="Times New Roman" w:cs="Times New Roman"/>
          <w:b/>
          <w:sz w:val="24"/>
          <w:szCs w:val="24"/>
        </w:rPr>
        <w:t>ariables</w:t>
      </w:r>
    </w:p>
    <w:p w:rsidR="00976DC4" w:rsidRPr="00D71846" w:rsidRDefault="00976DC4" w:rsidP="00976DC4">
      <w:pPr>
        <w:pStyle w:val="HTMLPreformatted"/>
        <w:shd w:val="clear" w:color="auto" w:fill="FFFFFF"/>
        <w:jc w:val="center"/>
        <w:rPr>
          <w:rFonts w:ascii="Times New Roman" w:hAnsi="Times New Roman" w:cs="Times New Roman"/>
          <w:b/>
          <w:sz w:val="24"/>
          <w:szCs w:val="24"/>
          <w:u w:val="single"/>
        </w:rPr>
      </w:pPr>
    </w:p>
    <w:p w:rsidR="00976DC4" w:rsidRPr="00C76A07" w:rsidRDefault="00976DC4" w:rsidP="00976DC4">
      <w:pPr>
        <w:pStyle w:val="HTMLPreformatted"/>
        <w:numPr>
          <w:ilvl w:val="0"/>
          <w:numId w:val="16"/>
        </w:numPr>
        <w:shd w:val="clear" w:color="auto" w:fill="FFFFFF"/>
        <w:rPr>
          <w:rFonts w:ascii="Times New Roman" w:hAnsi="Times New Roman" w:cs="Times New Roman"/>
          <w:sz w:val="24"/>
          <w:szCs w:val="24"/>
        </w:rPr>
      </w:pPr>
      <w:r>
        <w:rPr>
          <w:rFonts w:ascii="Times New Roman" w:hAnsi="Times New Roman" w:cs="Times New Roman"/>
          <w:sz w:val="24"/>
          <w:szCs w:val="24"/>
        </w:rPr>
        <w:t>Size</w:t>
      </w:r>
    </w:p>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D71846" w:rsidRDefault="00976DC4" w:rsidP="00976DC4">
      <w:pPr>
        <w:pStyle w:val="HTMLPreformatted"/>
        <w:shd w:val="clear" w:color="auto" w:fill="FFFFFF"/>
        <w:rPr>
          <w:rFonts w:ascii="Times New Roman" w:hAnsi="Times New Roman" w:cs="Times New Roman"/>
          <w:sz w:val="24"/>
          <w:szCs w:val="24"/>
        </w:rPr>
      </w:pPr>
      <w:r w:rsidRPr="00D71846">
        <w:rPr>
          <w:rFonts w:ascii="Times New Roman" w:hAnsi="Times New Roman" w:cs="Times New Roman"/>
          <w:color w:val="222222"/>
          <w:sz w:val="24"/>
          <w:szCs w:val="24"/>
          <w:lang w:val="en"/>
        </w:rPr>
        <w:t>The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bank’s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total</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assets</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may</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be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used</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to</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define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the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size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of</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the</w:t>
      </w:r>
      <w:r w:rsidRPr="00D71846">
        <w:rPr>
          <w:rFonts w:ascii="Times New Roman" w:hAnsi="Times New Roman" w:cs="Times New Roman"/>
          <w:color w:val="222222"/>
          <w:sz w:val="24"/>
          <w:szCs w:val="24"/>
        </w:rPr>
        <w:t xml:space="preserve"> </w:t>
      </w:r>
      <w:r w:rsidRPr="00D71846">
        <w:rPr>
          <w:rFonts w:ascii="Times New Roman" w:hAnsi="Times New Roman" w:cs="Times New Roman"/>
          <w:color w:val="222222"/>
          <w:sz w:val="24"/>
          <w:szCs w:val="24"/>
          <w:lang w:val="en"/>
        </w:rPr>
        <w:t>bank</w:t>
      </w:r>
      <w:r w:rsidRPr="00D71846">
        <w:rPr>
          <w:rFonts w:ascii="Times New Roman" w:hAnsi="Times New Roman" w:cs="Times New Roman"/>
          <w:color w:val="222222"/>
          <w:sz w:val="24"/>
          <w:szCs w:val="24"/>
        </w:rPr>
        <w:t>:</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11696C" w:rsidRDefault="00976DC4" w:rsidP="00976DC4">
      <w:pPr>
        <w:pStyle w:val="HTMLPreformatted"/>
        <w:shd w:val="clear" w:color="auto" w:fill="FFFFFF"/>
        <w:jc w:val="center"/>
        <w:rPr>
          <w:rFonts w:ascii="Times New Roman" w:hAnsi="Times New Roman" w:cs="Times New Roman"/>
          <w:b/>
          <w:i/>
          <w:sz w:val="22"/>
          <w:szCs w:val="22"/>
        </w:rPr>
      </w:pPr>
      <w:r w:rsidRPr="0011696C">
        <w:rPr>
          <w:rFonts w:ascii="Times New Roman" w:hAnsi="Times New Roman" w:cs="Times New Roman"/>
          <w:b/>
          <w:i/>
          <w:sz w:val="22"/>
          <w:szCs w:val="22"/>
        </w:rPr>
        <w:t>SIZE = TOTAL ASSETS</w:t>
      </w:r>
    </w:p>
    <w:p w:rsidR="00976DC4" w:rsidRPr="00D71846" w:rsidRDefault="00976DC4" w:rsidP="00976DC4">
      <w:pPr>
        <w:pStyle w:val="HTMLPreformatted"/>
        <w:shd w:val="clear" w:color="auto" w:fill="FFFFFF"/>
        <w:jc w:val="center"/>
        <w:rPr>
          <w:rFonts w:ascii="Times New Roman" w:hAnsi="Times New Roman" w:cs="Times New Roman"/>
          <w:b/>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size of a bank can influence its capital ratio. The largest banks tend to hold less capital on average due to economies of scale and diversification, better access to finance, more advanced credit risk control techniques and better portfolio risk diversification. Additionally, larger banks will hold lower capital reserves due to a higher expectation of a government rescue in case of economic crisis</w:t>
      </w:r>
      <w:r w:rsidR="00CD7D82">
        <w:rPr>
          <w:rFonts w:ascii="Times New Roman" w:hAnsi="Times New Roman" w:cs="Times New Roman"/>
          <w:color w:val="222222"/>
          <w:sz w:val="24"/>
          <w:szCs w:val="24"/>
          <w:lang w:val="en"/>
        </w:rPr>
        <w:t xml:space="preserve"> (</w:t>
      </w:r>
      <w:proofErr w:type="spellStart"/>
      <w:r w:rsidRPr="00D71846">
        <w:rPr>
          <w:rFonts w:ascii="Times New Roman" w:hAnsi="Times New Roman" w:cs="Times New Roman"/>
          <w:color w:val="222222"/>
          <w:sz w:val="24"/>
          <w:szCs w:val="24"/>
          <w:lang w:val="en"/>
        </w:rPr>
        <w:t>Demsetz</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Strahan</w:t>
      </w:r>
      <w:proofErr w:type="spellEnd"/>
      <w:r w:rsidRPr="00D71846">
        <w:rPr>
          <w:rFonts w:ascii="Times New Roman" w:hAnsi="Times New Roman" w:cs="Times New Roman"/>
          <w:color w:val="222222"/>
          <w:sz w:val="24"/>
          <w:szCs w:val="24"/>
          <w:lang w:val="en"/>
        </w:rPr>
        <w:t xml:space="preserve"> 1997). A negative relationship between the two variables is therefore expected.</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C76A07" w:rsidRDefault="00976DC4" w:rsidP="00976DC4">
      <w:pPr>
        <w:pStyle w:val="HTMLPreformatted"/>
        <w:numPr>
          <w:ilvl w:val="0"/>
          <w:numId w:val="16"/>
        </w:numPr>
        <w:shd w:val="clear" w:color="auto" w:fill="FFFFFF"/>
        <w:jc w:val="both"/>
        <w:rPr>
          <w:rFonts w:ascii="Times New Roman" w:hAnsi="Times New Roman" w:cs="Times New Roman"/>
          <w:caps/>
          <w:sz w:val="24"/>
          <w:szCs w:val="24"/>
        </w:rPr>
      </w:pPr>
      <w:r w:rsidRPr="00C76A07">
        <w:rPr>
          <w:rFonts w:ascii="Times New Roman" w:hAnsi="Times New Roman" w:cs="Times New Roman"/>
          <w:caps/>
          <w:sz w:val="24"/>
          <w:szCs w:val="24"/>
        </w:rPr>
        <w:t>R</w:t>
      </w:r>
      <w:r w:rsidRPr="00C76A07">
        <w:rPr>
          <w:rFonts w:ascii="Times New Roman" w:hAnsi="Times New Roman" w:cs="Times New Roman"/>
          <w:sz w:val="24"/>
          <w:szCs w:val="24"/>
        </w:rPr>
        <w:t>isk</w:t>
      </w:r>
      <w:r w:rsidRPr="00C76A07">
        <w:rPr>
          <w:rFonts w:ascii="Times New Roman" w:hAnsi="Times New Roman" w:cs="Times New Roman"/>
          <w:caps/>
          <w:sz w:val="24"/>
          <w:szCs w:val="24"/>
        </w:rPr>
        <w:t xml:space="preserve"> I</w:t>
      </w:r>
      <w:r w:rsidRPr="00C76A07">
        <w:rPr>
          <w:rFonts w:ascii="Times New Roman" w:hAnsi="Times New Roman" w:cs="Times New Roman"/>
          <w:sz w:val="24"/>
          <w:szCs w:val="24"/>
        </w:rPr>
        <w:t>ndicators</w:t>
      </w:r>
    </w:p>
    <w:p w:rsidR="00976DC4" w:rsidRPr="00D71846" w:rsidRDefault="00976DC4" w:rsidP="00976DC4">
      <w:pPr>
        <w:pStyle w:val="HTMLPreformatted"/>
        <w:shd w:val="clear" w:color="auto" w:fill="FFFFFF"/>
        <w:rPr>
          <w:rFonts w:ascii="Times New Roman" w:hAnsi="Times New Roman" w:cs="Times New Roman"/>
          <w:b/>
          <w:sz w:val="24"/>
          <w:szCs w:val="24"/>
          <w:lang w:val="el-GR"/>
        </w:rPr>
      </w:pPr>
    </w:p>
    <w:p w:rsidR="00976DC4" w:rsidRPr="00D71846" w:rsidRDefault="00976DC4" w:rsidP="00976DC4">
      <w:pPr>
        <w:pStyle w:val="HTMLPreformatted"/>
        <w:numPr>
          <w:ilvl w:val="0"/>
          <w:numId w:val="5"/>
        </w:numPr>
        <w:shd w:val="clear" w:color="auto" w:fill="FFFFFF"/>
        <w:ind w:left="360"/>
        <w:rPr>
          <w:rFonts w:ascii="Times New Roman" w:hAnsi="Times New Roman" w:cs="Times New Roman"/>
          <w:sz w:val="24"/>
          <w:szCs w:val="24"/>
          <w:lang w:val="el-GR"/>
        </w:rPr>
      </w:pPr>
      <w:r w:rsidRPr="00D71846">
        <w:rPr>
          <w:rFonts w:ascii="Times New Roman" w:hAnsi="Times New Roman" w:cs="Times New Roman"/>
          <w:sz w:val="24"/>
          <w:szCs w:val="24"/>
        </w:rPr>
        <w:t>Provisions ratio</w:t>
      </w:r>
    </w:p>
    <w:p w:rsidR="00976DC4" w:rsidRPr="00D71846" w:rsidRDefault="00976DC4" w:rsidP="00976DC4">
      <w:pPr>
        <w:pStyle w:val="HTMLPreformatted"/>
        <w:shd w:val="clear" w:color="auto" w:fill="FFFFFF"/>
        <w:rPr>
          <w:rFonts w:ascii="Times New Roman" w:hAnsi="Times New Roman" w:cs="Times New Roman"/>
          <w:b/>
          <w:sz w:val="24"/>
          <w:szCs w:val="24"/>
          <w:lang w:val="el-GR"/>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risk resulting from increased provisions affects the capital adequacy of banks. For the purposes of the current study the rate of provisions is determined by the following ratio:</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6F3149" w:rsidRDefault="006F3149" w:rsidP="00976DC4">
      <w:pPr>
        <w:shd w:val="clear" w:color="auto" w:fill="FFFFFF" w:themeFill="background1"/>
        <w:spacing w:after="0" w:line="240" w:lineRule="auto"/>
        <w:jc w:val="both"/>
        <w:rPr>
          <w:rFonts w:ascii="Times New Roman" w:hAnsi="Times New Roman" w:cs="Times New Roman"/>
          <w:b/>
          <w:i/>
        </w:rPr>
      </w:pPr>
      <m:oMathPara>
        <m:oMath>
          <m:r>
            <m:rPr>
              <m:sty m:val="bi"/>
            </m:rPr>
            <w:rPr>
              <w:rFonts w:ascii="Cambria Math" w:hAnsi="Cambria Math" w:cs="Times New Roman"/>
            </w:rPr>
            <m:t>PROVISION (PROV)=</m:t>
          </m:r>
          <m:f>
            <m:fPr>
              <m:ctrlPr>
                <w:rPr>
                  <w:rFonts w:ascii="Cambria Math" w:hAnsi="Cambria Math" w:cs="Times New Roman"/>
                  <w:b/>
                  <w:i/>
                </w:rPr>
              </m:ctrlPr>
            </m:fPr>
            <m:num>
              <m:r>
                <m:rPr>
                  <m:sty m:val="bi"/>
                </m:rPr>
                <w:rPr>
                  <w:rFonts w:ascii="Cambria Math" w:hAnsi="Cambria Math" w:cs="Times New Roman"/>
                </w:rPr>
                <m:t>CUMULATIVE PROVIS</m:t>
              </m:r>
              <m:r>
                <m:rPr>
                  <m:sty m:val="bi"/>
                </m:rPr>
                <w:rPr>
                  <w:rFonts w:ascii="Cambria Math" w:hAnsi="Cambria Math" w:cs="Times New Roman"/>
                </w:rPr>
                <m:t>IONS</m:t>
              </m:r>
            </m:num>
            <m:den>
              <m:r>
                <m:rPr>
                  <m:sty m:val="bi"/>
                </m:rPr>
                <w:rPr>
                  <w:rFonts w:ascii="Cambria Math" w:hAnsi="Cambria Math" w:cs="Times New Roman"/>
                </w:rPr>
                <m:t>LOANS</m:t>
              </m:r>
            </m:den>
          </m:f>
        </m:oMath>
      </m:oMathPara>
    </w:p>
    <w:p w:rsidR="00976DC4" w:rsidRPr="00D71846" w:rsidRDefault="00976DC4" w:rsidP="00976DC4">
      <w:pPr>
        <w:pStyle w:val="HTMLPreformatted"/>
        <w:shd w:val="clear" w:color="auto" w:fill="FFFFFF"/>
        <w:jc w:val="both"/>
        <w:rPr>
          <w:rFonts w:ascii="Times New Roman" w:hAnsi="Times New Roman" w:cs="Times New Roman"/>
          <w:sz w:val="24"/>
          <w:szCs w:val="24"/>
          <w:lang w:val="el-GR"/>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The increase in provisions indicates a deterioration of the bank’s asset quality and hence the credit risk faced by the bank becomes greater with impact on bank profits (</w:t>
      </w:r>
      <w:proofErr w:type="spellStart"/>
      <w:r w:rsidRPr="00D71846">
        <w:rPr>
          <w:rFonts w:ascii="Times New Roman" w:hAnsi="Times New Roman" w:cs="Times New Roman"/>
          <w:color w:val="222222"/>
          <w:sz w:val="24"/>
          <w:szCs w:val="24"/>
          <w:lang w:val="en"/>
        </w:rPr>
        <w:t>Na</w:t>
      </w:r>
      <w:r w:rsidR="00FD6FF1">
        <w:rPr>
          <w:rFonts w:ascii="Times New Roman" w:hAnsi="Times New Roman" w:cs="Times New Roman"/>
          <w:color w:val="222222"/>
          <w:sz w:val="24"/>
          <w:szCs w:val="24"/>
          <w:lang w:val="en"/>
        </w:rPr>
        <w:t>ceur</w:t>
      </w:r>
      <w:proofErr w:type="spellEnd"/>
      <w:r w:rsidRPr="00D71846">
        <w:rPr>
          <w:rFonts w:ascii="Times New Roman" w:hAnsi="Times New Roman" w:cs="Times New Roman"/>
          <w:color w:val="222222"/>
          <w:sz w:val="24"/>
          <w:szCs w:val="24"/>
          <w:lang w:val="en"/>
        </w:rPr>
        <w:t>, 2003).</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ListParagraph"/>
        <w:numPr>
          <w:ilvl w:val="0"/>
          <w:numId w:val="5"/>
        </w:numPr>
        <w:spacing w:after="0" w:line="240" w:lineRule="auto"/>
        <w:ind w:left="360"/>
        <w:jc w:val="both"/>
        <w:rPr>
          <w:rFonts w:ascii="Times New Roman" w:hAnsi="Times New Roman" w:cs="Times New Roman"/>
          <w:sz w:val="24"/>
          <w:szCs w:val="24"/>
        </w:rPr>
      </w:pPr>
      <w:r w:rsidRPr="00D71846">
        <w:rPr>
          <w:rFonts w:ascii="Times New Roman" w:hAnsi="Times New Roman" w:cs="Times New Roman"/>
          <w:sz w:val="24"/>
          <w:szCs w:val="24"/>
        </w:rPr>
        <w:t>Risk ratio</w:t>
      </w:r>
    </w:p>
    <w:p w:rsidR="00976DC4" w:rsidRPr="00D71846" w:rsidRDefault="00976DC4" w:rsidP="00976DC4">
      <w:pPr>
        <w:shd w:val="clear" w:color="auto" w:fill="FFFFFF" w:themeFill="background1"/>
        <w:spacing w:after="0" w:line="240" w:lineRule="auto"/>
        <w:jc w:val="both"/>
        <w:rPr>
          <w:rFonts w:ascii="Times New Roman" w:hAnsi="Times New Roman" w:cs="Times New Roman"/>
          <w:sz w:val="24"/>
          <w:szCs w:val="24"/>
        </w:rPr>
      </w:pPr>
    </w:p>
    <w:p w:rsidR="00976DC4" w:rsidRPr="00D71846" w:rsidRDefault="00976DC4" w:rsidP="00976DC4">
      <w:pPr>
        <w:shd w:val="clear" w:color="auto" w:fill="FFFFFF" w:themeFill="background1"/>
        <w:spacing w:after="0" w:line="240" w:lineRule="auto"/>
        <w:jc w:val="both"/>
        <w:rPr>
          <w:rFonts w:ascii="Times New Roman" w:hAnsi="Times New Roman" w:cs="Times New Roman"/>
          <w:b/>
          <w:sz w:val="24"/>
          <w:szCs w:val="24"/>
        </w:rPr>
      </w:pPr>
      <w:r w:rsidRPr="00D71846">
        <w:rPr>
          <w:rFonts w:ascii="Times New Roman" w:hAnsi="Times New Roman" w:cs="Times New Roman"/>
          <w:color w:val="222222"/>
          <w:sz w:val="24"/>
          <w:szCs w:val="24"/>
          <w:lang w:val="en"/>
        </w:rPr>
        <w:t>It is one of the key indicators that can be used for the risk assessment of a bank:</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C55C63" w:rsidRDefault="00976DC4" w:rsidP="00976DC4">
      <w:pPr>
        <w:shd w:val="clear" w:color="auto" w:fill="FFFFFF" w:themeFill="background1"/>
        <w:spacing w:after="0" w:line="240" w:lineRule="auto"/>
        <w:jc w:val="both"/>
        <w:rPr>
          <w:rFonts w:ascii="Times New Roman" w:hAnsi="Times New Roman" w:cs="Times New Roman"/>
        </w:rPr>
      </w:pPr>
      <m:oMathPara>
        <m:oMath>
          <m:r>
            <m:rPr>
              <m:sty m:val="p"/>
            </m:rPr>
            <w:rPr>
              <w:rFonts w:ascii="Cambria Math" w:hAnsi="Cambria Math" w:cs="Times New Roman"/>
            </w:rPr>
            <m:t>B</m:t>
          </m:r>
          <m:r>
            <m:rPr>
              <m:sty m:val="bi"/>
            </m:rPr>
            <w:rPr>
              <w:rFonts w:ascii="Cambria Math" w:hAnsi="Cambria Math" w:cs="Times New Roman"/>
            </w:rPr>
            <m:t>ANK RISK (RISK)=</m:t>
          </m:r>
          <m:f>
            <m:fPr>
              <m:ctrlPr>
                <w:rPr>
                  <w:rFonts w:ascii="Cambria Math" w:hAnsi="Cambria Math" w:cs="Times New Roman"/>
                  <w:b/>
                  <w:i/>
                </w:rPr>
              </m:ctrlPr>
            </m:fPr>
            <m:num>
              <m:r>
                <m:rPr>
                  <m:sty m:val="bi"/>
                </m:rPr>
                <w:rPr>
                  <w:rFonts w:ascii="Cambria Math" w:hAnsi="Cambria Math" w:cs="Times New Roman"/>
                </w:rPr>
                <m:t>RISK WEIGHTED ASSETS</m:t>
              </m:r>
            </m:num>
            <m:den>
              <m:r>
                <m:rPr>
                  <m:sty m:val="bi"/>
                </m:rPr>
                <w:rPr>
                  <w:rFonts w:ascii="Cambria Math" w:hAnsi="Cambria Math" w:cs="Times New Roman"/>
                </w:rPr>
                <m:t>TOTAL ASSETS</m:t>
              </m:r>
            </m:den>
          </m:f>
        </m:oMath>
      </m:oMathPara>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caps/>
          <w:sz w:val="24"/>
          <w:szCs w:val="24"/>
        </w:rPr>
      </w:pPr>
      <w:r w:rsidRPr="00D71846">
        <w:rPr>
          <w:rFonts w:ascii="Times New Roman" w:hAnsi="Times New Roman" w:cs="Times New Roman"/>
          <w:color w:val="222222"/>
          <w:sz w:val="24"/>
          <w:szCs w:val="24"/>
          <w:lang w:val="en"/>
        </w:rPr>
        <w:t>Berger and DeYoung (1997) argue that the lower the capitalization of a bank the greater its tendency to risk taking due to moral hazard, as they will lose less capital in case of bankruptcy (</w:t>
      </w:r>
      <w:proofErr w:type="spellStart"/>
      <w:r w:rsidRPr="00D71846">
        <w:rPr>
          <w:rFonts w:ascii="Times New Roman" w:hAnsi="Times New Roman" w:cs="Times New Roman"/>
          <w:color w:val="222222"/>
          <w:sz w:val="24"/>
          <w:szCs w:val="24"/>
          <w:lang w:val="en"/>
        </w:rPr>
        <w:t>Horiuchi</w:t>
      </w:r>
      <w:proofErr w:type="spellEnd"/>
      <w:r w:rsidRPr="00D71846">
        <w:rPr>
          <w:rFonts w:ascii="Times New Roman" w:hAnsi="Times New Roman" w:cs="Times New Roman"/>
          <w:color w:val="222222"/>
          <w:sz w:val="24"/>
          <w:szCs w:val="24"/>
          <w:lang w:val="en"/>
        </w:rPr>
        <w:t xml:space="preserve"> and Shimizu, 1998 and William, 2003). Also, the pressure for compliance with capital regulatory standards may cause banks to increase portfolio risk. A positive relationship between the two variables is therefore expected.</w:t>
      </w:r>
    </w:p>
    <w:p w:rsidR="00976DC4" w:rsidRPr="00D71846" w:rsidRDefault="00976DC4" w:rsidP="00976DC4">
      <w:pPr>
        <w:pStyle w:val="HTMLPreformatted"/>
        <w:shd w:val="clear" w:color="auto" w:fill="FFFFFF"/>
        <w:jc w:val="both"/>
        <w:rPr>
          <w:rFonts w:ascii="Times New Roman" w:hAnsi="Times New Roman" w:cs="Times New Roman"/>
          <w:caps/>
          <w:sz w:val="24"/>
          <w:szCs w:val="24"/>
        </w:rPr>
      </w:pPr>
    </w:p>
    <w:p w:rsidR="00976DC4" w:rsidRPr="00C76A07" w:rsidRDefault="00976DC4" w:rsidP="00976DC4">
      <w:pPr>
        <w:pStyle w:val="ListParagraph"/>
        <w:numPr>
          <w:ilvl w:val="0"/>
          <w:numId w:val="16"/>
        </w:numPr>
        <w:spacing w:after="0" w:line="240" w:lineRule="auto"/>
        <w:jc w:val="both"/>
        <w:rPr>
          <w:rFonts w:ascii="Times New Roman" w:hAnsi="Times New Roman" w:cs="Times New Roman"/>
          <w:caps/>
          <w:sz w:val="24"/>
          <w:szCs w:val="24"/>
        </w:rPr>
      </w:pPr>
      <w:r w:rsidRPr="00C76A07">
        <w:rPr>
          <w:rFonts w:ascii="Times New Roman" w:hAnsi="Times New Roman" w:cs="Times New Roman"/>
          <w:caps/>
          <w:sz w:val="24"/>
          <w:szCs w:val="24"/>
        </w:rPr>
        <w:t>E</w:t>
      </w:r>
      <w:r w:rsidRPr="00C76A07">
        <w:rPr>
          <w:rFonts w:ascii="Times New Roman" w:hAnsi="Times New Roman" w:cs="Times New Roman"/>
          <w:sz w:val="24"/>
          <w:szCs w:val="24"/>
        </w:rPr>
        <w:t xml:space="preserve">ffectiveness </w:t>
      </w:r>
      <w:r w:rsidRPr="00C76A07">
        <w:rPr>
          <w:rFonts w:ascii="Times New Roman" w:hAnsi="Times New Roman" w:cs="Times New Roman"/>
          <w:caps/>
          <w:sz w:val="24"/>
          <w:szCs w:val="24"/>
        </w:rPr>
        <w:t>R</w:t>
      </w:r>
      <w:r w:rsidRPr="00C76A07">
        <w:rPr>
          <w:rFonts w:ascii="Times New Roman" w:hAnsi="Times New Roman" w:cs="Times New Roman"/>
          <w:sz w:val="24"/>
          <w:szCs w:val="24"/>
        </w:rPr>
        <w:t>atio</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sz w:val="24"/>
          <w:szCs w:val="24"/>
        </w:rPr>
        <w:t xml:space="preserve">The ratio of net interest income to total interest income indicates how effective a bank is, in generating income. Managerial effectiveness is a pre-requisite for the survival and development of any business. In the current study effectiveness is defined by the following ratio: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6F3149" w:rsidRDefault="006F3149" w:rsidP="00976DC4">
      <w:pPr>
        <w:shd w:val="clear" w:color="auto" w:fill="FFFFFF" w:themeFill="background1"/>
        <w:spacing w:after="0" w:line="240" w:lineRule="auto"/>
        <w:jc w:val="both"/>
        <w:rPr>
          <w:rFonts w:ascii="Times New Roman" w:hAnsi="Times New Roman" w:cs="Times New Roman"/>
          <w:b/>
          <w:i/>
          <w:lang w:val="el-GR"/>
        </w:rPr>
      </w:pPr>
      <m:oMathPara>
        <m:oMath>
          <m:r>
            <m:rPr>
              <m:sty m:val="bi"/>
            </m:rPr>
            <w:rPr>
              <w:rFonts w:ascii="Cambria Math" w:hAnsi="Cambria Math" w:cs="Times New Roman"/>
            </w:rPr>
            <m:t>NIM RATIO (ΝΙΜ)=</m:t>
          </m:r>
          <m:f>
            <m:fPr>
              <m:ctrlPr>
                <w:rPr>
                  <w:rFonts w:ascii="Cambria Math" w:hAnsi="Cambria Math" w:cs="Times New Roman"/>
                  <w:b/>
                  <w:i/>
                </w:rPr>
              </m:ctrlPr>
            </m:fPr>
            <m:num>
              <m:r>
                <m:rPr>
                  <m:sty m:val="bi"/>
                </m:rPr>
                <w:rPr>
                  <w:rFonts w:ascii="Cambria Math" w:hAnsi="Cambria Math" w:cs="Times New Roman"/>
                </w:rPr>
                <m:t>NET INTEREST INCOME</m:t>
              </m:r>
            </m:num>
            <m:den>
              <m:r>
                <m:rPr>
                  <m:sty m:val="bi"/>
                </m:rPr>
                <w:rPr>
                  <w:rFonts w:ascii="Cambria Math" w:hAnsi="Cambria Math" w:cs="Times New Roman"/>
                </w:rPr>
                <m:t>INTEREST INCOME</m:t>
              </m:r>
            </m:den>
          </m:f>
        </m:oMath>
      </m:oMathPara>
    </w:p>
    <w:p w:rsidR="00976DC4" w:rsidRPr="00D71846" w:rsidRDefault="00976DC4" w:rsidP="00976DC4">
      <w:pPr>
        <w:spacing w:after="0" w:line="240" w:lineRule="auto"/>
        <w:jc w:val="both"/>
        <w:rPr>
          <w:rFonts w:ascii="Times New Roman" w:hAnsi="Times New Roman" w:cs="Times New Roman"/>
          <w:b/>
          <w:caps/>
          <w:sz w:val="24"/>
          <w:szCs w:val="24"/>
          <w:u w:val="single"/>
          <w:lang w:val="el-GR"/>
        </w:rPr>
      </w:pPr>
    </w:p>
    <w:p w:rsidR="00976DC4" w:rsidRPr="00D71846" w:rsidRDefault="00976DC4" w:rsidP="00976DC4">
      <w:pPr>
        <w:spacing w:after="0" w:line="240" w:lineRule="auto"/>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High revenues enable banks to raise additional capital through retained earnings and give a positive message about the value of the bank (Rime, 2001) and provide easier access to markets and will act as incentives to a lower risk appetite (Saunders and Wilson 2001</w:t>
      </w:r>
      <w:r w:rsidR="00D25416">
        <w:rPr>
          <w:rFonts w:ascii="Times New Roman" w:hAnsi="Times New Roman" w:cs="Times New Roman"/>
          <w:color w:val="222222"/>
          <w:sz w:val="24"/>
          <w:szCs w:val="24"/>
          <w:lang w:val="en"/>
        </w:rPr>
        <w:t xml:space="preserve">). Berger </w:t>
      </w:r>
      <w:r w:rsidR="00FD6FF1">
        <w:rPr>
          <w:rFonts w:ascii="Times New Roman" w:hAnsi="Times New Roman" w:cs="Times New Roman"/>
          <w:color w:val="222222"/>
          <w:sz w:val="24"/>
          <w:szCs w:val="24"/>
          <w:lang w:val="en"/>
        </w:rPr>
        <w:t xml:space="preserve">et al </w:t>
      </w:r>
      <w:r w:rsidR="00D25416">
        <w:rPr>
          <w:rFonts w:ascii="Times New Roman" w:hAnsi="Times New Roman" w:cs="Times New Roman"/>
          <w:color w:val="222222"/>
          <w:sz w:val="24"/>
          <w:szCs w:val="24"/>
          <w:lang w:val="en"/>
        </w:rPr>
        <w:t xml:space="preserve">(1995) and </w:t>
      </w:r>
      <w:r w:rsidRPr="00D71846">
        <w:rPr>
          <w:rFonts w:ascii="Times New Roman" w:hAnsi="Times New Roman" w:cs="Times New Roman"/>
          <w:color w:val="222222"/>
          <w:sz w:val="24"/>
          <w:szCs w:val="24"/>
          <w:lang w:val="en"/>
        </w:rPr>
        <w:t xml:space="preserve">Huizinga (2002) found a positive relationship between net interest margin and capital ratio. On the other hand, high revenues may act as an incentive to the management of banks to reduce capital because of the lower risk of default and therefore this ratio may also have a negative influence (Yu, </w:t>
      </w:r>
      <w:r w:rsidR="00142CD3">
        <w:rPr>
          <w:rFonts w:ascii="Times New Roman" w:hAnsi="Times New Roman" w:cs="Times New Roman"/>
          <w:color w:val="222222"/>
          <w:sz w:val="24"/>
          <w:szCs w:val="24"/>
          <w:lang w:val="en"/>
        </w:rPr>
        <w:t>2000</w:t>
      </w:r>
      <w:r w:rsidRPr="00D71846">
        <w:rPr>
          <w:rFonts w:ascii="Times New Roman" w:hAnsi="Times New Roman" w:cs="Times New Roman"/>
          <w:color w:val="222222"/>
          <w:sz w:val="24"/>
          <w:szCs w:val="24"/>
          <w:lang w:val="en"/>
        </w:rPr>
        <w:t>).</w:t>
      </w:r>
    </w:p>
    <w:p w:rsidR="00976DC4" w:rsidRPr="00D71846" w:rsidRDefault="00976DC4" w:rsidP="00976DC4">
      <w:pPr>
        <w:spacing w:after="0" w:line="240" w:lineRule="auto"/>
        <w:jc w:val="both"/>
        <w:rPr>
          <w:rFonts w:ascii="Times New Roman" w:hAnsi="Times New Roman" w:cs="Times New Roman"/>
          <w:b/>
          <w:caps/>
          <w:sz w:val="24"/>
          <w:szCs w:val="24"/>
          <w:u w:val="single"/>
        </w:rPr>
      </w:pPr>
    </w:p>
    <w:p w:rsidR="00976DC4" w:rsidRPr="00C76A07" w:rsidRDefault="00976DC4" w:rsidP="00976DC4">
      <w:pPr>
        <w:pStyle w:val="ListParagraph"/>
        <w:numPr>
          <w:ilvl w:val="0"/>
          <w:numId w:val="16"/>
        </w:numPr>
        <w:spacing w:after="0" w:line="240" w:lineRule="auto"/>
        <w:jc w:val="both"/>
        <w:rPr>
          <w:rFonts w:ascii="Times New Roman" w:hAnsi="Times New Roman" w:cs="Times New Roman"/>
          <w:caps/>
          <w:sz w:val="24"/>
          <w:szCs w:val="24"/>
        </w:rPr>
      </w:pPr>
      <w:r w:rsidRPr="00C76A07">
        <w:rPr>
          <w:rFonts w:ascii="Times New Roman" w:hAnsi="Times New Roman" w:cs="Times New Roman"/>
          <w:caps/>
          <w:sz w:val="24"/>
          <w:szCs w:val="24"/>
        </w:rPr>
        <w:t>P</w:t>
      </w:r>
      <w:r w:rsidRPr="00C76A07">
        <w:rPr>
          <w:rFonts w:ascii="Times New Roman" w:hAnsi="Times New Roman" w:cs="Times New Roman"/>
          <w:sz w:val="24"/>
          <w:szCs w:val="24"/>
        </w:rPr>
        <w:t>rofit</w:t>
      </w:r>
      <w:r w:rsidRPr="00C76A07">
        <w:rPr>
          <w:rFonts w:ascii="Times New Roman" w:hAnsi="Times New Roman" w:cs="Times New Roman"/>
          <w:caps/>
          <w:sz w:val="24"/>
          <w:szCs w:val="24"/>
        </w:rPr>
        <w:t xml:space="preserve"> I</w:t>
      </w:r>
      <w:r w:rsidRPr="00C76A07">
        <w:rPr>
          <w:rFonts w:ascii="Times New Roman" w:hAnsi="Times New Roman" w:cs="Times New Roman"/>
          <w:sz w:val="24"/>
          <w:szCs w:val="24"/>
        </w:rPr>
        <w:t>ndicator</w:t>
      </w:r>
      <w:r w:rsidRPr="00C76A07">
        <w:rPr>
          <w:rFonts w:ascii="Times New Roman" w:hAnsi="Times New Roman" w:cs="Times New Roman"/>
          <w:caps/>
          <w:sz w:val="24"/>
          <w:szCs w:val="24"/>
        </w:rPr>
        <w:t>: R</w:t>
      </w:r>
      <w:r w:rsidRPr="00C76A07">
        <w:rPr>
          <w:rFonts w:ascii="Times New Roman" w:hAnsi="Times New Roman" w:cs="Times New Roman"/>
          <w:sz w:val="24"/>
          <w:szCs w:val="24"/>
        </w:rPr>
        <w:t>eturn</w:t>
      </w:r>
      <w:r w:rsidRPr="00C76A07">
        <w:rPr>
          <w:rFonts w:ascii="Times New Roman" w:hAnsi="Times New Roman" w:cs="Times New Roman"/>
          <w:caps/>
          <w:sz w:val="24"/>
          <w:szCs w:val="24"/>
        </w:rPr>
        <w:t xml:space="preserve"> </w:t>
      </w:r>
      <w:r w:rsidRPr="00C76A07">
        <w:rPr>
          <w:rFonts w:ascii="Times New Roman" w:hAnsi="Times New Roman" w:cs="Times New Roman"/>
          <w:sz w:val="24"/>
          <w:szCs w:val="24"/>
        </w:rPr>
        <w:t>o</w:t>
      </w:r>
      <w:r>
        <w:rPr>
          <w:rFonts w:ascii="Times New Roman" w:hAnsi="Times New Roman" w:cs="Times New Roman"/>
          <w:sz w:val="24"/>
          <w:szCs w:val="24"/>
        </w:rPr>
        <w:t>n</w:t>
      </w:r>
      <w:r w:rsidRPr="00C76A07">
        <w:rPr>
          <w:rFonts w:ascii="Times New Roman" w:hAnsi="Times New Roman" w:cs="Times New Roman"/>
          <w:caps/>
          <w:sz w:val="24"/>
          <w:szCs w:val="24"/>
        </w:rPr>
        <w:t xml:space="preserve"> A</w:t>
      </w:r>
      <w:r w:rsidRPr="00C76A07">
        <w:rPr>
          <w:rFonts w:ascii="Times New Roman" w:hAnsi="Times New Roman" w:cs="Times New Roman"/>
          <w:sz w:val="24"/>
          <w:szCs w:val="24"/>
        </w:rPr>
        <w:t>ssets</w:t>
      </w:r>
      <w:r w:rsidRPr="00C76A07">
        <w:rPr>
          <w:rFonts w:ascii="Times New Roman" w:hAnsi="Times New Roman" w:cs="Times New Roman"/>
          <w:caps/>
          <w:sz w:val="24"/>
          <w:szCs w:val="24"/>
        </w:rPr>
        <w:t xml:space="preserve"> (ROA)</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sz w:val="24"/>
          <w:szCs w:val="24"/>
        </w:rPr>
      </w:pPr>
      <w:r w:rsidRPr="00D71846">
        <w:rPr>
          <w:rFonts w:ascii="Times New Roman" w:hAnsi="Times New Roman" w:cs="Times New Roman"/>
          <w:color w:val="222222"/>
          <w:sz w:val="24"/>
          <w:szCs w:val="24"/>
        </w:rPr>
        <w:t xml:space="preserve">This ratio </w:t>
      </w:r>
      <w:r w:rsidRPr="00D71846">
        <w:rPr>
          <w:rFonts w:ascii="Times New Roman" w:hAnsi="Times New Roman" w:cs="Times New Roman"/>
          <w:color w:val="222222"/>
          <w:sz w:val="24"/>
          <w:szCs w:val="24"/>
          <w:lang w:val="en"/>
        </w:rPr>
        <w:t>shows the profits earned on the assets of a banking institution.</w:t>
      </w:r>
      <w:r w:rsidRPr="00D71846">
        <w:rPr>
          <w:rFonts w:ascii="Times New Roman" w:hAnsi="Times New Roman" w:cs="Times New Roman"/>
          <w:sz w:val="24"/>
          <w:szCs w:val="24"/>
        </w:rPr>
        <w:t xml:space="preserve"> </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9A6873" w:rsidRDefault="009A6873" w:rsidP="00976DC4">
      <w:pPr>
        <w:shd w:val="clear" w:color="auto" w:fill="FFFFFF" w:themeFill="background1"/>
        <w:spacing w:after="0" w:line="240" w:lineRule="auto"/>
        <w:jc w:val="both"/>
        <w:rPr>
          <w:rFonts w:ascii="Times New Roman" w:hAnsi="Times New Roman" w:cs="Times New Roman"/>
          <w:b/>
          <w:i/>
        </w:rPr>
      </w:pPr>
      <m:oMathPara>
        <m:oMath>
          <m:r>
            <m:rPr>
              <m:sty m:val="bi"/>
            </m:rPr>
            <w:rPr>
              <w:rFonts w:ascii="Cambria Math" w:hAnsi="Cambria Math" w:cs="Times New Roman"/>
            </w:rPr>
            <m:t xml:space="preserve">RETURN ON ASSETS </m:t>
          </m:r>
          <m:d>
            <m:dPr>
              <m:ctrlPr>
                <w:rPr>
                  <w:rFonts w:ascii="Cambria Math" w:hAnsi="Cambria Math" w:cs="Times New Roman"/>
                  <w:b/>
                  <w:i/>
                </w:rPr>
              </m:ctrlPr>
            </m:dPr>
            <m:e>
              <m:r>
                <m:rPr>
                  <m:sty m:val="bi"/>
                </m:rPr>
                <w:rPr>
                  <w:rFonts w:ascii="Cambria Math" w:hAnsi="Cambria Math" w:cs="Times New Roman"/>
                </w:rPr>
                <m:t>ROA</m:t>
              </m:r>
            </m:e>
          </m:d>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NET INCOME</m:t>
              </m:r>
            </m:num>
            <m:den>
              <m:r>
                <m:rPr>
                  <m:sty m:val="bi"/>
                </m:rPr>
                <w:rPr>
                  <w:rFonts w:ascii="Cambria Math" w:hAnsi="Cambria Math" w:cs="Times New Roman"/>
                </w:rPr>
                <m:t>TOTAL ASSETS</m:t>
              </m:r>
            </m:den>
          </m:f>
        </m:oMath>
      </m:oMathPara>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Most relevant studies in the literature indicate a significant effect of profit on the bank's capital. </w:t>
      </w:r>
      <w:proofErr w:type="spellStart"/>
      <w:r w:rsidRPr="00D71846">
        <w:rPr>
          <w:rFonts w:ascii="Times New Roman" w:hAnsi="Times New Roman" w:cs="Times New Roman"/>
          <w:color w:val="222222"/>
          <w:sz w:val="24"/>
          <w:szCs w:val="24"/>
          <w:lang w:val="en"/>
        </w:rPr>
        <w:t>Gropp</w:t>
      </w:r>
      <w:proofErr w:type="spellEnd"/>
      <w:r w:rsidRPr="00D71846">
        <w:rPr>
          <w:rFonts w:ascii="Times New Roman" w:hAnsi="Times New Roman" w:cs="Times New Roman"/>
          <w:color w:val="222222"/>
          <w:sz w:val="24"/>
          <w:szCs w:val="24"/>
          <w:lang w:val="en"/>
        </w:rPr>
        <w:t xml:space="preserve"> and </w:t>
      </w:r>
      <w:proofErr w:type="spellStart"/>
      <w:r w:rsidRPr="00D71846">
        <w:rPr>
          <w:rFonts w:ascii="Times New Roman" w:hAnsi="Times New Roman" w:cs="Times New Roman"/>
          <w:color w:val="222222"/>
          <w:sz w:val="24"/>
          <w:szCs w:val="24"/>
          <w:lang w:val="en"/>
        </w:rPr>
        <w:t>Heider</w:t>
      </w:r>
      <w:proofErr w:type="spellEnd"/>
      <w:r w:rsidRPr="00D71846">
        <w:rPr>
          <w:rFonts w:ascii="Times New Roman" w:hAnsi="Times New Roman" w:cs="Times New Roman"/>
          <w:color w:val="222222"/>
          <w:sz w:val="24"/>
          <w:szCs w:val="24"/>
          <w:lang w:val="en"/>
        </w:rPr>
        <w:t xml:space="preserve"> (200</w:t>
      </w:r>
      <w:r w:rsidR="00FD6FF1">
        <w:rPr>
          <w:rFonts w:ascii="Times New Roman" w:hAnsi="Times New Roman" w:cs="Times New Roman"/>
          <w:color w:val="222222"/>
          <w:sz w:val="24"/>
          <w:szCs w:val="24"/>
          <w:lang w:val="en"/>
        </w:rPr>
        <w:t>8</w:t>
      </w:r>
      <w:r w:rsidRPr="00D71846">
        <w:rPr>
          <w:rFonts w:ascii="Times New Roman" w:hAnsi="Times New Roman" w:cs="Times New Roman"/>
          <w:color w:val="222222"/>
          <w:sz w:val="24"/>
          <w:szCs w:val="24"/>
          <w:lang w:val="en"/>
        </w:rPr>
        <w:t>) concluded that the most profitable banks tend to have relatively lower levels of capital as compared to the less profitable ones.</w:t>
      </w:r>
      <w:r w:rsidRPr="00D71846">
        <w:rPr>
          <w:rFonts w:ascii="Times New Roman" w:hAnsi="Times New Roman" w:cs="Times New Roman"/>
          <w:sz w:val="24"/>
          <w:szCs w:val="24"/>
        </w:rPr>
        <w:t xml:space="preserve"> </w:t>
      </w:r>
    </w:p>
    <w:p w:rsidR="00976DC4" w:rsidRPr="00D71846" w:rsidRDefault="00976DC4" w:rsidP="00976DC4">
      <w:pPr>
        <w:pStyle w:val="HTMLPreformatted"/>
        <w:shd w:val="clear" w:color="auto" w:fill="FFFFFF"/>
        <w:jc w:val="both"/>
        <w:rPr>
          <w:rFonts w:ascii="Times New Roman" w:hAnsi="Times New Roman" w:cs="Times New Roman"/>
          <w:i/>
          <w:sz w:val="24"/>
          <w:szCs w:val="24"/>
        </w:rPr>
      </w:pPr>
    </w:p>
    <w:p w:rsidR="00976DC4" w:rsidRPr="00C76A07" w:rsidRDefault="00976DC4" w:rsidP="00976DC4">
      <w:pPr>
        <w:pStyle w:val="ListParagraph"/>
        <w:numPr>
          <w:ilvl w:val="0"/>
          <w:numId w:val="16"/>
        </w:numPr>
        <w:spacing w:after="0" w:line="240" w:lineRule="auto"/>
        <w:jc w:val="both"/>
        <w:rPr>
          <w:rFonts w:ascii="Times New Roman" w:hAnsi="Times New Roman" w:cs="Times New Roman"/>
          <w:sz w:val="24"/>
          <w:szCs w:val="24"/>
        </w:rPr>
      </w:pPr>
      <w:r w:rsidRPr="00C76A07">
        <w:rPr>
          <w:rFonts w:ascii="Times New Roman" w:hAnsi="Times New Roman" w:cs="Times New Roman"/>
          <w:sz w:val="24"/>
          <w:szCs w:val="24"/>
        </w:rPr>
        <w:t>Gearing Ratio (Leverage)</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sz w:val="24"/>
          <w:szCs w:val="24"/>
        </w:rPr>
      </w:pPr>
      <w:r w:rsidRPr="00D71846">
        <w:rPr>
          <w:rFonts w:ascii="Times New Roman" w:hAnsi="Times New Roman" w:cs="Times New Roman"/>
          <w:sz w:val="24"/>
          <w:szCs w:val="24"/>
        </w:rPr>
        <w:t xml:space="preserve">The formula for bank leverage is shown below. </w:t>
      </w:r>
      <w:r w:rsidRPr="00D71846">
        <w:rPr>
          <w:rFonts w:ascii="Times New Roman" w:hAnsi="Times New Roman" w:cs="Times New Roman"/>
          <w:color w:val="222222"/>
          <w:sz w:val="24"/>
          <w:szCs w:val="24"/>
          <w:lang w:val="en"/>
        </w:rPr>
        <w:t>It is expected that when leverage increases, capital adequacy decreases (</w:t>
      </w:r>
      <w:proofErr w:type="spellStart"/>
      <w:r w:rsidR="00CD7D82" w:rsidRPr="00CD7D82">
        <w:rPr>
          <w:rFonts w:ascii="Times New Roman" w:hAnsi="Times New Roman" w:cs="Times New Roman"/>
          <w:sz w:val="24"/>
          <w:szCs w:val="24"/>
        </w:rPr>
        <w:t>Büyüksalvarc</w:t>
      </w:r>
      <w:proofErr w:type="spellEnd"/>
      <w:r w:rsidR="00CD7D82" w:rsidRPr="00CD7D82">
        <w:rPr>
          <w:rFonts w:ascii="Times New Roman" w:hAnsi="Times New Roman" w:cs="Times New Roman"/>
          <w:sz w:val="24"/>
          <w:szCs w:val="24"/>
        </w:rPr>
        <w:t xml:space="preserve"> and </w:t>
      </w:r>
      <w:proofErr w:type="spellStart"/>
      <w:r w:rsidR="00CD7D82" w:rsidRPr="00CD7D82">
        <w:rPr>
          <w:rFonts w:ascii="Times New Roman" w:hAnsi="Times New Roman" w:cs="Times New Roman"/>
          <w:sz w:val="24"/>
          <w:szCs w:val="24"/>
        </w:rPr>
        <w:t>Abdioğlu</w:t>
      </w:r>
      <w:proofErr w:type="spellEnd"/>
      <w:r w:rsidR="00CD7D82" w:rsidRPr="00D71846">
        <w:rPr>
          <w:rFonts w:ascii="Times New Roman" w:hAnsi="Times New Roman" w:cs="Times New Roman"/>
          <w:color w:val="222222"/>
          <w:sz w:val="24"/>
          <w:szCs w:val="24"/>
          <w:lang w:val="en"/>
        </w:rPr>
        <w:t xml:space="preserve"> </w:t>
      </w:r>
      <w:r w:rsidRPr="00D71846">
        <w:rPr>
          <w:rFonts w:ascii="Times New Roman" w:hAnsi="Times New Roman" w:cs="Times New Roman"/>
          <w:color w:val="222222"/>
          <w:sz w:val="24"/>
          <w:szCs w:val="24"/>
          <w:lang w:val="en"/>
        </w:rPr>
        <w:t>2011).</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6F3149" w:rsidRDefault="006F3149" w:rsidP="006F3149">
      <w:pPr>
        <w:shd w:val="clear" w:color="auto" w:fill="FFFFFF" w:themeFill="background1"/>
        <w:spacing w:after="0" w:line="240" w:lineRule="auto"/>
        <w:jc w:val="both"/>
        <w:rPr>
          <w:rFonts w:ascii="Times New Roman" w:hAnsi="Times New Roman" w:cs="Times New Roman"/>
          <w:b/>
          <w:i/>
          <w:sz w:val="24"/>
          <w:szCs w:val="24"/>
          <w:lang w:val="el-GR"/>
        </w:rPr>
      </w:pPr>
      <m:oMathPara>
        <m:oMath>
          <m:r>
            <m:rPr>
              <m:sty m:val="bi"/>
            </m:rPr>
            <w:rPr>
              <w:rFonts w:ascii="Cambria Math" w:hAnsi="Cambria Math" w:cs="Times New Roman"/>
            </w:rPr>
            <m:t>LEVERAGE</m:t>
          </m:r>
          <m:r>
            <m:rPr>
              <m:sty m:val="bi"/>
            </m:rPr>
            <w:rPr>
              <w:rFonts w:ascii="Cambria Math" w:hAnsi="Cambria Math" w:cs="Times New Roman"/>
              <w:lang w:val="el-GR"/>
            </w:rPr>
            <m:t xml:space="preserve"> (</m:t>
          </m:r>
          <m:r>
            <m:rPr>
              <m:sty m:val="bi"/>
            </m:rPr>
            <w:rPr>
              <w:rFonts w:ascii="Cambria Math" w:hAnsi="Cambria Math" w:cs="Times New Roman"/>
            </w:rPr>
            <m:t>LEV</m:t>
          </m:r>
          <m:r>
            <m:rPr>
              <m:sty m:val="bi"/>
            </m:rPr>
            <w:rPr>
              <w:rFonts w:ascii="Cambria Math" w:hAnsi="Cambria Math" w:cs="Times New Roman"/>
              <w:lang w:val="el-GR"/>
            </w:rPr>
            <m:t>)=</m:t>
          </m:r>
          <m:f>
            <m:fPr>
              <m:ctrlPr>
                <w:rPr>
                  <w:rFonts w:ascii="Cambria Math" w:hAnsi="Cambria Math" w:cs="Times New Roman"/>
                  <w:b/>
                  <w:i/>
                </w:rPr>
              </m:ctrlPr>
            </m:fPr>
            <m:num>
              <m:r>
                <m:rPr>
                  <m:sty m:val="bi"/>
                </m:rPr>
                <w:rPr>
                  <w:rFonts w:ascii="Cambria Math" w:hAnsi="Cambria Math" w:cs="Times New Roman"/>
                </w:rPr>
                <m:t>TOTAL</m:t>
              </m:r>
              <m:r>
                <m:rPr>
                  <m:sty m:val="bi"/>
                </m:rPr>
                <w:rPr>
                  <w:rFonts w:ascii="Cambria Math" w:hAnsi="Cambria Math" w:cs="Times New Roman"/>
                  <w:lang w:val="el-GR"/>
                </w:rPr>
                <m:t xml:space="preserve"> </m:t>
              </m:r>
              <m:r>
                <m:rPr>
                  <m:sty m:val="bi"/>
                </m:rPr>
                <w:rPr>
                  <w:rFonts w:ascii="Cambria Math" w:hAnsi="Cambria Math" w:cs="Times New Roman"/>
                </w:rPr>
                <m:t>LIABILITIES</m:t>
              </m:r>
            </m:num>
            <m:den>
              <m:r>
                <m:rPr>
                  <m:sty m:val="bi"/>
                </m:rPr>
                <w:rPr>
                  <w:rFonts w:ascii="Cambria Math" w:hAnsi="Cambria Math" w:cs="Times New Roman"/>
                </w:rPr>
                <m:t>TOTAL</m:t>
              </m:r>
              <m:r>
                <m:rPr>
                  <m:sty m:val="bi"/>
                </m:rPr>
                <w:rPr>
                  <w:rFonts w:ascii="Cambria Math" w:hAnsi="Cambria Math" w:cs="Times New Roman"/>
                  <w:lang w:val="el-GR"/>
                </w:rPr>
                <m:t xml:space="preserve"> </m:t>
              </m:r>
              <m:r>
                <m:rPr>
                  <m:sty m:val="bi"/>
                </m:rPr>
                <w:rPr>
                  <w:rFonts w:ascii="Cambria Math" w:hAnsi="Cambria Math" w:cs="Times New Roman"/>
                </w:rPr>
                <m:t>ASSETS</m:t>
              </m:r>
            </m:den>
          </m:f>
        </m:oMath>
      </m:oMathPara>
    </w:p>
    <w:p w:rsidR="00976DC4" w:rsidRPr="00D71846" w:rsidRDefault="00976DC4" w:rsidP="00976DC4">
      <w:pPr>
        <w:spacing w:after="0" w:line="240" w:lineRule="auto"/>
        <w:jc w:val="both"/>
        <w:rPr>
          <w:rFonts w:ascii="Times New Roman" w:hAnsi="Times New Roman" w:cs="Times New Roman"/>
          <w:b/>
          <w:sz w:val="24"/>
          <w:szCs w:val="24"/>
          <w:u w:val="single"/>
          <w:lang w:val="el-GR"/>
        </w:rPr>
      </w:pPr>
    </w:p>
    <w:p w:rsidR="00976DC4" w:rsidRPr="00C76A07" w:rsidRDefault="00976DC4" w:rsidP="00976DC4">
      <w:pPr>
        <w:pStyle w:val="ListParagraph"/>
        <w:numPr>
          <w:ilvl w:val="0"/>
          <w:numId w:val="16"/>
        </w:numPr>
        <w:spacing w:after="0" w:line="240" w:lineRule="auto"/>
        <w:jc w:val="both"/>
        <w:rPr>
          <w:rFonts w:ascii="Times New Roman" w:hAnsi="Times New Roman" w:cs="Times New Roman"/>
          <w:sz w:val="24"/>
          <w:szCs w:val="24"/>
        </w:rPr>
      </w:pPr>
      <w:r w:rsidRPr="00C76A07">
        <w:rPr>
          <w:rFonts w:ascii="Times New Roman" w:hAnsi="Times New Roman" w:cs="Times New Roman"/>
          <w:sz w:val="24"/>
          <w:szCs w:val="24"/>
        </w:rPr>
        <w:t xml:space="preserve">Liquidity </w:t>
      </w:r>
      <w:r>
        <w:rPr>
          <w:rFonts w:ascii="Times New Roman" w:hAnsi="Times New Roman" w:cs="Times New Roman"/>
          <w:sz w:val="24"/>
          <w:szCs w:val="24"/>
        </w:rPr>
        <w:t>R</w:t>
      </w:r>
      <w:r w:rsidRPr="00C76A07">
        <w:rPr>
          <w:rFonts w:ascii="Times New Roman" w:hAnsi="Times New Roman" w:cs="Times New Roman"/>
          <w:sz w:val="24"/>
          <w:szCs w:val="24"/>
        </w:rPr>
        <w:t>atio</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The liquidity of a bank implies the ability to respond immediately to its current obligations and is calculated as follows:</w:t>
      </w:r>
    </w:p>
    <w:p w:rsidR="00976DC4" w:rsidRPr="00D71846" w:rsidRDefault="00976DC4" w:rsidP="00976DC4">
      <w:pPr>
        <w:spacing w:after="0" w:line="240" w:lineRule="auto"/>
        <w:jc w:val="both"/>
        <w:rPr>
          <w:rFonts w:ascii="Times New Roman" w:hAnsi="Times New Roman" w:cs="Times New Roman"/>
          <w:sz w:val="24"/>
          <w:szCs w:val="24"/>
        </w:rPr>
      </w:pPr>
    </w:p>
    <w:p w:rsidR="00976DC4" w:rsidRPr="006F3149" w:rsidRDefault="006F3149" w:rsidP="00976DC4">
      <w:pPr>
        <w:shd w:val="clear" w:color="auto" w:fill="FFFFFF" w:themeFill="background1"/>
        <w:spacing w:after="0" w:line="240" w:lineRule="auto"/>
        <w:jc w:val="both"/>
        <w:rPr>
          <w:rFonts w:ascii="Times New Roman" w:hAnsi="Times New Roman" w:cs="Times New Roman"/>
          <w:b/>
          <w:i/>
          <w:lang w:val="el-GR"/>
        </w:rPr>
      </w:pPr>
      <m:oMathPara>
        <m:oMath>
          <m:r>
            <m:rPr>
              <m:sty m:val="bi"/>
            </m:rPr>
            <w:rPr>
              <w:rFonts w:ascii="Cambria Math" w:hAnsi="Cambria Math" w:cs="Times New Roman"/>
            </w:rPr>
            <m:t>LIQUIDITY (LQDT)=</m:t>
          </m:r>
          <m:f>
            <m:fPr>
              <m:ctrlPr>
                <w:rPr>
                  <w:rFonts w:ascii="Cambria Math" w:hAnsi="Cambria Math" w:cs="Times New Roman"/>
                  <w:b/>
                  <w:i/>
                </w:rPr>
              </m:ctrlPr>
            </m:fPr>
            <m:num>
              <m:r>
                <m:rPr>
                  <m:sty m:val="bi"/>
                </m:rPr>
                <w:rPr>
                  <w:rFonts w:ascii="Cambria Math" w:hAnsi="Cambria Math" w:cs="Times New Roman"/>
                </w:rPr>
                <m:t>LIQUIDITY ASSETS</m:t>
              </m:r>
            </m:num>
            <m:den>
              <m:r>
                <m:rPr>
                  <m:sty m:val="bi"/>
                </m:rPr>
                <w:rPr>
                  <w:rFonts w:ascii="Cambria Math" w:hAnsi="Cambria Math" w:cs="Times New Roman"/>
                </w:rPr>
                <m:t>DEPOSITS AND MONEY MARKET</m:t>
              </m:r>
            </m:den>
          </m:f>
        </m:oMath>
      </m:oMathPara>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Liquidity determines the financial position of banks as it indicates the ability of a bank to fulfil its obligations towards its depositors. </w:t>
      </w:r>
      <w:proofErr w:type="gramStart"/>
      <w:r w:rsidRPr="00D71846">
        <w:rPr>
          <w:rFonts w:ascii="Times New Roman" w:hAnsi="Times New Roman" w:cs="Times New Roman"/>
          <w:sz w:val="24"/>
          <w:szCs w:val="24"/>
        </w:rPr>
        <w:t>(Rudolf, 2009).</w:t>
      </w:r>
      <w:proofErr w:type="gramEnd"/>
      <w:r w:rsidRPr="00D71846">
        <w:rPr>
          <w:rFonts w:ascii="Times New Roman" w:hAnsi="Times New Roman" w:cs="Times New Roman"/>
          <w:b/>
          <w:i/>
          <w:sz w:val="24"/>
          <w:szCs w:val="24"/>
        </w:rPr>
        <w:t xml:space="preserve"> </w:t>
      </w:r>
      <w:proofErr w:type="spellStart"/>
      <w:r w:rsidR="00CD7D82" w:rsidRPr="00CD7D82">
        <w:rPr>
          <w:rFonts w:ascii="Times New Roman" w:hAnsi="Times New Roman" w:cs="Times New Roman"/>
          <w:sz w:val="24"/>
          <w:szCs w:val="24"/>
        </w:rPr>
        <w:t>Büyüksalvarc</w:t>
      </w:r>
      <w:proofErr w:type="spellEnd"/>
      <w:r w:rsidR="00CD7D82">
        <w:rPr>
          <w:rFonts w:ascii="Times New Roman" w:hAnsi="Times New Roman" w:cs="Times New Roman"/>
          <w:sz w:val="24"/>
          <w:szCs w:val="24"/>
        </w:rPr>
        <w:t xml:space="preserve"> </w:t>
      </w:r>
      <w:r w:rsidR="00CD7D82" w:rsidRPr="00CD7D82">
        <w:rPr>
          <w:rFonts w:ascii="Times New Roman" w:hAnsi="Times New Roman" w:cs="Times New Roman"/>
          <w:sz w:val="24"/>
          <w:szCs w:val="24"/>
        </w:rPr>
        <w:t xml:space="preserve">and </w:t>
      </w:r>
      <w:proofErr w:type="spellStart"/>
      <w:r w:rsidR="00CD7D82" w:rsidRPr="00CD7D82">
        <w:rPr>
          <w:rFonts w:ascii="Times New Roman" w:hAnsi="Times New Roman" w:cs="Times New Roman"/>
          <w:sz w:val="24"/>
          <w:szCs w:val="24"/>
        </w:rPr>
        <w:t>Abdioğlu</w:t>
      </w:r>
      <w:proofErr w:type="spellEnd"/>
      <w:r w:rsidR="00CD7D82" w:rsidRPr="00D71846">
        <w:rPr>
          <w:rFonts w:ascii="Times New Roman" w:hAnsi="Times New Roman" w:cs="Times New Roman"/>
          <w:sz w:val="24"/>
          <w:szCs w:val="24"/>
        </w:rPr>
        <w:t xml:space="preserve"> </w:t>
      </w:r>
      <w:r w:rsidR="00CD7D82">
        <w:rPr>
          <w:rFonts w:ascii="Times New Roman" w:hAnsi="Times New Roman" w:cs="Times New Roman"/>
          <w:sz w:val="24"/>
          <w:szCs w:val="24"/>
        </w:rPr>
        <w:t>(</w:t>
      </w:r>
      <w:r w:rsidRPr="00D71846">
        <w:rPr>
          <w:rFonts w:ascii="Times New Roman" w:hAnsi="Times New Roman" w:cs="Times New Roman"/>
          <w:sz w:val="24"/>
          <w:szCs w:val="24"/>
        </w:rPr>
        <w:t xml:space="preserve">2011) concluded in a positive but not statistically significant relationship between the two variables. Based on the hierarchy theory high liquidity reduces the capital ratio as banks do not have to borrow or retain more capital. </w:t>
      </w:r>
    </w:p>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r w:rsidRPr="00D71846">
        <w:rPr>
          <w:rFonts w:ascii="Times New Roman" w:hAnsi="Times New Roman" w:cs="Times New Roman"/>
          <w:color w:val="222222"/>
          <w:sz w:val="24"/>
          <w:szCs w:val="24"/>
          <w:lang w:val="en"/>
        </w:rPr>
        <w:t xml:space="preserve">Table 2 below shows the test results of the multicollinearity problem. Cooper and Schindler (2003) argued that there is a multicollinearity problem when the value of the correlation </w:t>
      </w:r>
      <w:r w:rsidR="006F3149" w:rsidRPr="00D71846">
        <w:rPr>
          <w:rFonts w:ascii="Times New Roman" w:hAnsi="Times New Roman" w:cs="Times New Roman"/>
          <w:color w:val="222222"/>
          <w:sz w:val="24"/>
          <w:szCs w:val="24"/>
          <w:lang w:val="en"/>
        </w:rPr>
        <w:t>coefficient</w:t>
      </w:r>
      <w:r w:rsidRPr="00D71846">
        <w:rPr>
          <w:rFonts w:ascii="Times New Roman" w:hAnsi="Times New Roman" w:cs="Times New Roman"/>
          <w:color w:val="222222"/>
          <w:sz w:val="24"/>
          <w:szCs w:val="24"/>
          <w:lang w:val="en"/>
        </w:rPr>
        <w:t xml:space="preserve"> is 0.8 or greater. Based on the correlation analysis results, it can be concluded that there are no high correlations among the explanatory variables based on the 80% rule and therefore no serious multicollinearity problem.</w:t>
      </w: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p>
    <w:p w:rsidR="00976DC4" w:rsidRPr="00D71846" w:rsidRDefault="00976DC4" w:rsidP="00976DC4">
      <w:pPr>
        <w:pStyle w:val="HTMLPreformatted"/>
        <w:shd w:val="clear" w:color="auto" w:fill="FFFFFF"/>
        <w:jc w:val="both"/>
        <w:rPr>
          <w:rFonts w:ascii="Times New Roman" w:hAnsi="Times New Roman" w:cs="Times New Roman"/>
          <w:color w:val="222222"/>
          <w:sz w:val="24"/>
          <w:szCs w:val="24"/>
          <w:lang w:val="en"/>
        </w:rPr>
      </w:pPr>
      <w:r>
        <w:rPr>
          <w:rFonts w:ascii="Times New Roman" w:hAnsi="Times New Roman" w:cs="Times New Roman"/>
          <w:b/>
          <w:iCs/>
          <w:sz w:val="24"/>
          <w:szCs w:val="24"/>
        </w:rPr>
        <w:tab/>
      </w:r>
      <w:r w:rsidRPr="00D71846">
        <w:rPr>
          <w:rFonts w:ascii="Times New Roman" w:hAnsi="Times New Roman" w:cs="Times New Roman"/>
          <w:b/>
          <w:iCs/>
          <w:sz w:val="24"/>
          <w:szCs w:val="24"/>
        </w:rPr>
        <w:t>Table 2</w:t>
      </w:r>
      <w:r w:rsidRPr="00D71846">
        <w:rPr>
          <w:rFonts w:ascii="Times New Roman" w:hAnsi="Times New Roman" w:cs="Times New Roman"/>
          <w:b/>
          <w:iCs/>
          <w:sz w:val="24"/>
          <w:szCs w:val="24"/>
          <w:lang w:val="el-GR"/>
        </w:rPr>
        <w:t xml:space="preserve"> </w:t>
      </w:r>
      <w:r w:rsidRPr="00D71846">
        <w:rPr>
          <w:rFonts w:ascii="Times New Roman" w:hAnsi="Times New Roman" w:cs="Times New Roman"/>
          <w:b/>
          <w:iCs/>
          <w:sz w:val="24"/>
          <w:szCs w:val="24"/>
        </w:rPr>
        <w:t>Correlation</w:t>
      </w:r>
      <w:r w:rsidRPr="00D71846">
        <w:rPr>
          <w:rFonts w:ascii="Times New Roman" w:hAnsi="Times New Roman" w:cs="Times New Roman"/>
          <w:b/>
          <w:iCs/>
          <w:sz w:val="24"/>
          <w:szCs w:val="24"/>
          <w:lang w:val="el-GR"/>
        </w:rPr>
        <w:t xml:space="preserve"> </w:t>
      </w:r>
      <w:r w:rsidRPr="00D71846">
        <w:rPr>
          <w:rFonts w:ascii="Times New Roman" w:hAnsi="Times New Roman" w:cs="Times New Roman"/>
          <w:b/>
          <w:iCs/>
          <w:sz w:val="24"/>
          <w:szCs w:val="24"/>
        </w:rPr>
        <w:t>Analysis</w:t>
      </w:r>
    </w:p>
    <w:tbl>
      <w:tblPr>
        <w:tblW w:w="3958" w:type="pct"/>
        <w:jc w:val="center"/>
        <w:tblLook w:val="04A0" w:firstRow="1" w:lastRow="0" w:firstColumn="1" w:lastColumn="0" w:noHBand="0" w:noVBand="1"/>
      </w:tblPr>
      <w:tblGrid>
        <w:gridCol w:w="750"/>
        <w:gridCol w:w="810"/>
        <w:gridCol w:w="139"/>
        <w:gridCol w:w="637"/>
        <w:gridCol w:w="190"/>
        <w:gridCol w:w="1203"/>
        <w:gridCol w:w="14"/>
        <w:gridCol w:w="430"/>
        <w:gridCol w:w="197"/>
        <w:gridCol w:w="82"/>
        <w:gridCol w:w="407"/>
        <w:gridCol w:w="77"/>
        <w:gridCol w:w="222"/>
        <w:gridCol w:w="18"/>
        <w:gridCol w:w="605"/>
        <w:gridCol w:w="49"/>
        <w:gridCol w:w="1078"/>
        <w:gridCol w:w="672"/>
      </w:tblGrid>
      <w:tr w:rsidR="00976DC4" w:rsidRPr="008527C3" w:rsidTr="006F3149">
        <w:trPr>
          <w:trHeight w:val="276"/>
          <w:jc w:val="center"/>
        </w:trPr>
        <w:tc>
          <w:tcPr>
            <w:tcW w:w="495" w:type="pct"/>
            <w:tcBorders>
              <w:top w:val="single" w:sz="12" w:space="0" w:color="auto"/>
              <w:bottom w:val="single" w:sz="12" w:space="0" w:color="auto"/>
            </w:tcBorders>
            <w:noWrap/>
            <w:vAlign w:val="center"/>
          </w:tcPr>
          <w:p w:rsidR="00976DC4" w:rsidRPr="008527C3" w:rsidRDefault="00976DC4" w:rsidP="008527C3">
            <w:pPr>
              <w:spacing w:after="0" w:line="240" w:lineRule="auto"/>
              <w:jc w:val="center"/>
              <w:rPr>
                <w:rFonts w:ascii="Times New Roman" w:hAnsi="Times New Roman" w:cs="Times New Roman"/>
                <w:sz w:val="20"/>
                <w:szCs w:val="20"/>
                <w:lang w:val="el-GR"/>
              </w:rPr>
            </w:pPr>
          </w:p>
        </w:tc>
        <w:tc>
          <w:tcPr>
            <w:tcW w:w="537" w:type="pct"/>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CAR</w:t>
            </w:r>
          </w:p>
        </w:tc>
        <w:tc>
          <w:tcPr>
            <w:tcW w:w="517" w:type="pct"/>
            <w:gridSpan w:val="2"/>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 xml:space="preserve"> SIZE</w:t>
            </w:r>
          </w:p>
        </w:tc>
        <w:tc>
          <w:tcPr>
            <w:tcW w:w="934" w:type="pct"/>
            <w:gridSpan w:val="3"/>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PROV</w:t>
            </w:r>
          </w:p>
        </w:tc>
        <w:tc>
          <w:tcPr>
            <w:tcW w:w="473" w:type="pct"/>
            <w:gridSpan w:val="3"/>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NIM</w:t>
            </w:r>
          </w:p>
        </w:tc>
        <w:tc>
          <w:tcPr>
            <w:tcW w:w="482" w:type="pct"/>
            <w:gridSpan w:val="4"/>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ROA</w:t>
            </w:r>
          </w:p>
        </w:tc>
        <w:tc>
          <w:tcPr>
            <w:tcW w:w="399" w:type="pct"/>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LEV</w:t>
            </w:r>
          </w:p>
        </w:tc>
        <w:tc>
          <w:tcPr>
            <w:tcW w:w="749" w:type="pct"/>
            <w:gridSpan w:val="2"/>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LQDT</w:t>
            </w:r>
          </w:p>
        </w:tc>
        <w:tc>
          <w:tcPr>
            <w:tcW w:w="414" w:type="pct"/>
            <w:tcBorders>
              <w:top w:val="single" w:sz="12" w:space="0" w:color="auto"/>
              <w:bottom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RISK</w:t>
            </w:r>
          </w:p>
        </w:tc>
      </w:tr>
      <w:tr w:rsidR="00976DC4" w:rsidRPr="008527C3" w:rsidTr="006F3149">
        <w:trPr>
          <w:trHeight w:val="276"/>
          <w:jc w:val="center"/>
        </w:trPr>
        <w:tc>
          <w:tcPr>
            <w:tcW w:w="495" w:type="pct"/>
            <w:tcBorders>
              <w:top w:val="single" w:sz="12" w:space="0" w:color="auto"/>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CAR</w:t>
            </w:r>
          </w:p>
        </w:tc>
        <w:tc>
          <w:tcPr>
            <w:tcW w:w="537" w:type="pct"/>
            <w:tcBorders>
              <w:top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1.000</w:t>
            </w:r>
          </w:p>
        </w:tc>
        <w:tc>
          <w:tcPr>
            <w:tcW w:w="517" w:type="pct"/>
            <w:gridSpan w:val="2"/>
            <w:tcBorders>
              <w:top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934" w:type="pct"/>
            <w:gridSpan w:val="3"/>
            <w:tcBorders>
              <w:top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73" w:type="pct"/>
            <w:gridSpan w:val="3"/>
            <w:tcBorders>
              <w:top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82" w:type="pct"/>
            <w:gridSpan w:val="4"/>
            <w:tcBorders>
              <w:top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35" w:type="pct"/>
            <w:gridSpan w:val="2"/>
            <w:tcBorders>
              <w:top w:val="single" w:sz="12" w:space="0" w:color="auto"/>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713" w:type="pct"/>
            <w:tcBorders>
              <w:top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c>
          <w:tcPr>
            <w:tcW w:w="414" w:type="pct"/>
            <w:tcBorders>
              <w:top w:val="single" w:sz="12" w:space="0" w:color="auto"/>
              <w:righ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r>
      <w:tr w:rsidR="00976DC4" w:rsidRPr="008527C3" w:rsidTr="00441642">
        <w:trPr>
          <w:trHeight w:val="120"/>
          <w:jc w:val="center"/>
        </w:trPr>
        <w:tc>
          <w:tcPr>
            <w:tcW w:w="495" w:type="pct"/>
            <w:tcBorders>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SIZE</w:t>
            </w:r>
          </w:p>
        </w:tc>
        <w:tc>
          <w:tcPr>
            <w:tcW w:w="631" w:type="pct"/>
            <w:gridSpan w:val="2"/>
            <w:tcBorders>
              <w:lef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-0.265</w:t>
            </w:r>
          </w:p>
        </w:tc>
        <w:tc>
          <w:tcPr>
            <w:tcW w:w="55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w:t>
            </w:r>
          </w:p>
        </w:tc>
        <w:tc>
          <w:tcPr>
            <w:tcW w:w="805" w:type="pct"/>
            <w:gridSpan w:val="2"/>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73" w:type="pct"/>
            <w:gridSpan w:val="3"/>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82" w:type="pct"/>
            <w:gridSpan w:val="4"/>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35" w:type="pct"/>
            <w:gridSpan w:val="2"/>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713" w:type="pct"/>
            <w:vAlign w:val="center"/>
          </w:tcPr>
          <w:p w:rsidR="00976DC4" w:rsidRPr="008527C3" w:rsidRDefault="00976DC4" w:rsidP="008527C3">
            <w:pPr>
              <w:spacing w:after="0" w:line="240" w:lineRule="auto"/>
              <w:jc w:val="center"/>
              <w:rPr>
                <w:rFonts w:ascii="Times New Roman" w:hAnsi="Times New Roman" w:cs="Times New Roman"/>
                <w:sz w:val="20"/>
                <w:szCs w:val="20"/>
              </w:rPr>
            </w:pPr>
          </w:p>
        </w:tc>
        <w:tc>
          <w:tcPr>
            <w:tcW w:w="414" w:type="pct"/>
            <w:tcBorders>
              <w:righ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r>
      <w:tr w:rsidR="00976DC4" w:rsidRPr="008527C3" w:rsidTr="00441642">
        <w:trPr>
          <w:trHeight w:val="276"/>
          <w:jc w:val="center"/>
        </w:trPr>
        <w:tc>
          <w:tcPr>
            <w:tcW w:w="495" w:type="pct"/>
            <w:tcBorders>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PROV</w:t>
            </w:r>
          </w:p>
        </w:tc>
        <w:tc>
          <w:tcPr>
            <w:tcW w:w="63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-0.289</w:t>
            </w:r>
          </w:p>
        </w:tc>
        <w:tc>
          <w:tcPr>
            <w:tcW w:w="55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-0.20</w:t>
            </w:r>
          </w:p>
        </w:tc>
        <w:tc>
          <w:tcPr>
            <w:tcW w:w="796" w:type="pct"/>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w:t>
            </w:r>
          </w:p>
        </w:tc>
        <w:tc>
          <w:tcPr>
            <w:tcW w:w="297" w:type="pct"/>
            <w:gridSpan w:val="2"/>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454" w:type="pct"/>
            <w:gridSpan w:val="3"/>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199" w:type="pct"/>
            <w:gridSpan w:val="2"/>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1161" w:type="pct"/>
            <w:gridSpan w:val="4"/>
            <w:vAlign w:val="center"/>
          </w:tcPr>
          <w:p w:rsidR="00976DC4" w:rsidRPr="008527C3" w:rsidRDefault="00976DC4" w:rsidP="008527C3">
            <w:pPr>
              <w:spacing w:after="0" w:line="240" w:lineRule="auto"/>
              <w:jc w:val="center"/>
              <w:rPr>
                <w:rFonts w:ascii="Times New Roman" w:hAnsi="Times New Roman" w:cs="Times New Roman"/>
                <w:sz w:val="20"/>
                <w:szCs w:val="20"/>
              </w:rPr>
            </w:pPr>
          </w:p>
        </w:tc>
        <w:tc>
          <w:tcPr>
            <w:tcW w:w="414" w:type="pct"/>
            <w:tcBorders>
              <w:righ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r>
      <w:tr w:rsidR="00976DC4" w:rsidRPr="008527C3" w:rsidTr="00441642">
        <w:trPr>
          <w:trHeight w:val="202"/>
          <w:jc w:val="center"/>
        </w:trPr>
        <w:tc>
          <w:tcPr>
            <w:tcW w:w="495" w:type="pct"/>
            <w:tcBorders>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NIM</w:t>
            </w:r>
          </w:p>
        </w:tc>
        <w:tc>
          <w:tcPr>
            <w:tcW w:w="631" w:type="pct"/>
            <w:gridSpan w:val="2"/>
            <w:tcBorders>
              <w:lef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-0.039</w:t>
            </w:r>
          </w:p>
        </w:tc>
        <w:tc>
          <w:tcPr>
            <w:tcW w:w="55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0.13</w:t>
            </w:r>
          </w:p>
        </w:tc>
        <w:tc>
          <w:tcPr>
            <w:tcW w:w="796" w:type="pct"/>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0.33</w:t>
            </w:r>
          </w:p>
        </w:tc>
        <w:tc>
          <w:tcPr>
            <w:tcW w:w="429"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w:t>
            </w:r>
          </w:p>
        </w:tc>
        <w:tc>
          <w:tcPr>
            <w:tcW w:w="323" w:type="pct"/>
            <w:gridSpan w:val="2"/>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199" w:type="pct"/>
            <w:gridSpan w:val="2"/>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1161" w:type="pct"/>
            <w:gridSpan w:val="4"/>
            <w:vAlign w:val="center"/>
          </w:tcPr>
          <w:p w:rsidR="00976DC4" w:rsidRPr="008527C3" w:rsidRDefault="00976DC4" w:rsidP="008527C3">
            <w:pPr>
              <w:spacing w:after="0" w:line="240" w:lineRule="auto"/>
              <w:jc w:val="center"/>
              <w:rPr>
                <w:rFonts w:ascii="Times New Roman" w:hAnsi="Times New Roman" w:cs="Times New Roman"/>
                <w:sz w:val="20"/>
                <w:szCs w:val="20"/>
              </w:rPr>
            </w:pPr>
          </w:p>
        </w:tc>
        <w:tc>
          <w:tcPr>
            <w:tcW w:w="414" w:type="pct"/>
            <w:tcBorders>
              <w:righ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r>
      <w:tr w:rsidR="00976DC4" w:rsidRPr="008527C3" w:rsidTr="00441642">
        <w:trPr>
          <w:trHeight w:val="276"/>
          <w:jc w:val="center"/>
        </w:trPr>
        <w:tc>
          <w:tcPr>
            <w:tcW w:w="495" w:type="pct"/>
            <w:tcBorders>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ROA</w:t>
            </w:r>
          </w:p>
        </w:tc>
        <w:tc>
          <w:tcPr>
            <w:tcW w:w="63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-0.138</w:t>
            </w:r>
          </w:p>
        </w:tc>
        <w:tc>
          <w:tcPr>
            <w:tcW w:w="55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0.05</w:t>
            </w:r>
          </w:p>
        </w:tc>
        <w:tc>
          <w:tcPr>
            <w:tcW w:w="796" w:type="pct"/>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-0.36</w:t>
            </w:r>
          </w:p>
        </w:tc>
        <w:tc>
          <w:tcPr>
            <w:tcW w:w="429"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-0.42</w:t>
            </w:r>
          </w:p>
        </w:tc>
        <w:tc>
          <w:tcPr>
            <w:tcW w:w="374"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w:t>
            </w:r>
          </w:p>
        </w:tc>
        <w:tc>
          <w:tcPr>
            <w:tcW w:w="148" w:type="pct"/>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c>
          <w:tcPr>
            <w:tcW w:w="1161" w:type="pct"/>
            <w:gridSpan w:val="4"/>
            <w:vAlign w:val="center"/>
          </w:tcPr>
          <w:p w:rsidR="00976DC4" w:rsidRPr="008527C3" w:rsidRDefault="00976DC4" w:rsidP="008527C3">
            <w:pPr>
              <w:spacing w:after="0" w:line="240" w:lineRule="auto"/>
              <w:jc w:val="center"/>
              <w:rPr>
                <w:rFonts w:ascii="Times New Roman" w:hAnsi="Times New Roman" w:cs="Times New Roman"/>
                <w:sz w:val="20"/>
                <w:szCs w:val="20"/>
              </w:rPr>
            </w:pPr>
          </w:p>
        </w:tc>
        <w:tc>
          <w:tcPr>
            <w:tcW w:w="414" w:type="pct"/>
            <w:tcBorders>
              <w:righ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r>
      <w:tr w:rsidR="00976DC4" w:rsidRPr="008527C3" w:rsidTr="00441642">
        <w:trPr>
          <w:trHeight w:val="276"/>
          <w:jc w:val="center"/>
        </w:trPr>
        <w:tc>
          <w:tcPr>
            <w:tcW w:w="495" w:type="pct"/>
            <w:tcBorders>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LEV</w:t>
            </w:r>
          </w:p>
        </w:tc>
        <w:tc>
          <w:tcPr>
            <w:tcW w:w="631" w:type="pct"/>
            <w:gridSpan w:val="2"/>
            <w:tcBorders>
              <w:lef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0.326</w:t>
            </w:r>
          </w:p>
        </w:tc>
        <w:tc>
          <w:tcPr>
            <w:tcW w:w="55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-0.53</w:t>
            </w:r>
          </w:p>
        </w:tc>
        <w:tc>
          <w:tcPr>
            <w:tcW w:w="796" w:type="pct"/>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-0.15</w:t>
            </w:r>
          </w:p>
        </w:tc>
        <w:tc>
          <w:tcPr>
            <w:tcW w:w="429"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-0.27</w:t>
            </w:r>
          </w:p>
        </w:tc>
        <w:tc>
          <w:tcPr>
            <w:tcW w:w="522" w:type="pct"/>
            <w:gridSpan w:val="4"/>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0.09</w:t>
            </w:r>
          </w:p>
        </w:tc>
        <w:tc>
          <w:tcPr>
            <w:tcW w:w="448"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w:t>
            </w:r>
          </w:p>
        </w:tc>
        <w:tc>
          <w:tcPr>
            <w:tcW w:w="713" w:type="pct"/>
            <w:vAlign w:val="center"/>
          </w:tcPr>
          <w:p w:rsidR="00976DC4" w:rsidRPr="008527C3" w:rsidRDefault="00976DC4" w:rsidP="008527C3">
            <w:pPr>
              <w:spacing w:after="0" w:line="240" w:lineRule="auto"/>
              <w:jc w:val="center"/>
              <w:rPr>
                <w:rFonts w:ascii="Times New Roman" w:hAnsi="Times New Roman" w:cs="Times New Roman"/>
                <w:sz w:val="20"/>
                <w:szCs w:val="20"/>
              </w:rPr>
            </w:pPr>
          </w:p>
        </w:tc>
        <w:tc>
          <w:tcPr>
            <w:tcW w:w="414" w:type="pct"/>
            <w:tcBorders>
              <w:right w:val="nil"/>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p>
        </w:tc>
      </w:tr>
      <w:tr w:rsidR="00976DC4" w:rsidRPr="008527C3" w:rsidTr="006F3149">
        <w:trPr>
          <w:trHeight w:val="276"/>
          <w:jc w:val="center"/>
        </w:trPr>
        <w:tc>
          <w:tcPr>
            <w:tcW w:w="495" w:type="pct"/>
            <w:tcBorders>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iCs/>
                <w:sz w:val="20"/>
                <w:szCs w:val="20"/>
              </w:rPr>
            </w:pPr>
            <w:r w:rsidRPr="008527C3">
              <w:rPr>
                <w:rFonts w:ascii="Times New Roman" w:eastAsia="Times New Roman" w:hAnsi="Times New Roman" w:cs="Times New Roman"/>
                <w:iCs/>
                <w:sz w:val="20"/>
                <w:szCs w:val="20"/>
              </w:rPr>
              <w:t>LQDT</w:t>
            </w:r>
          </w:p>
        </w:tc>
        <w:tc>
          <w:tcPr>
            <w:tcW w:w="63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-0.329</w:t>
            </w:r>
          </w:p>
        </w:tc>
        <w:tc>
          <w:tcPr>
            <w:tcW w:w="551" w:type="pct"/>
            <w:gridSpan w:val="2"/>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0.21</w:t>
            </w:r>
          </w:p>
        </w:tc>
        <w:tc>
          <w:tcPr>
            <w:tcW w:w="796" w:type="pct"/>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0.52</w:t>
            </w:r>
          </w:p>
        </w:tc>
        <w:tc>
          <w:tcPr>
            <w:tcW w:w="429"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0.33</w:t>
            </w:r>
          </w:p>
        </w:tc>
        <w:tc>
          <w:tcPr>
            <w:tcW w:w="522" w:type="pct"/>
            <w:gridSpan w:val="4"/>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-0.57</w:t>
            </w:r>
          </w:p>
        </w:tc>
        <w:tc>
          <w:tcPr>
            <w:tcW w:w="448" w:type="pct"/>
            <w:gridSpan w:val="3"/>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-0.24</w:t>
            </w:r>
          </w:p>
        </w:tc>
        <w:tc>
          <w:tcPr>
            <w:tcW w:w="713" w:type="pct"/>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1.00</w:t>
            </w:r>
          </w:p>
        </w:tc>
        <w:tc>
          <w:tcPr>
            <w:tcW w:w="414" w:type="pct"/>
            <w:tcBorders>
              <w:right w:val="nil"/>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p>
        </w:tc>
      </w:tr>
      <w:tr w:rsidR="00976DC4" w:rsidRPr="008527C3" w:rsidTr="006F3149">
        <w:trPr>
          <w:trHeight w:val="261"/>
          <w:jc w:val="center"/>
        </w:trPr>
        <w:tc>
          <w:tcPr>
            <w:tcW w:w="495" w:type="pct"/>
            <w:tcBorders>
              <w:bottom w:val="single" w:sz="12" w:space="0" w:color="auto"/>
              <w:right w:val="nil"/>
            </w:tcBorders>
            <w:noWrap/>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RISK</w:t>
            </w:r>
          </w:p>
        </w:tc>
        <w:tc>
          <w:tcPr>
            <w:tcW w:w="631" w:type="pct"/>
            <w:gridSpan w:val="2"/>
            <w:tcBorders>
              <w:left w:val="nil"/>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-0.432</w:t>
            </w:r>
          </w:p>
        </w:tc>
        <w:tc>
          <w:tcPr>
            <w:tcW w:w="551" w:type="pct"/>
            <w:gridSpan w:val="2"/>
            <w:tcBorders>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0.09</w:t>
            </w:r>
          </w:p>
        </w:tc>
        <w:tc>
          <w:tcPr>
            <w:tcW w:w="796" w:type="pct"/>
            <w:tcBorders>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0.55</w:t>
            </w:r>
          </w:p>
        </w:tc>
        <w:tc>
          <w:tcPr>
            <w:tcW w:w="429" w:type="pct"/>
            <w:gridSpan w:val="3"/>
            <w:tcBorders>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0.66</w:t>
            </w:r>
          </w:p>
        </w:tc>
        <w:tc>
          <w:tcPr>
            <w:tcW w:w="522" w:type="pct"/>
            <w:gridSpan w:val="4"/>
            <w:tcBorders>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-0.10</w:t>
            </w:r>
          </w:p>
        </w:tc>
        <w:tc>
          <w:tcPr>
            <w:tcW w:w="448" w:type="pct"/>
            <w:gridSpan w:val="3"/>
            <w:tcBorders>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-0.14</w:t>
            </w:r>
          </w:p>
        </w:tc>
        <w:tc>
          <w:tcPr>
            <w:tcW w:w="713" w:type="pct"/>
            <w:tcBorders>
              <w:bottom w:val="single" w:sz="12" w:space="0" w:color="auto"/>
            </w:tcBorders>
            <w:vAlign w:val="center"/>
          </w:tcPr>
          <w:p w:rsidR="00976DC4" w:rsidRPr="008527C3" w:rsidRDefault="00976DC4" w:rsidP="008527C3">
            <w:pPr>
              <w:spacing w:after="0" w:line="240" w:lineRule="auto"/>
              <w:jc w:val="center"/>
              <w:rPr>
                <w:rFonts w:ascii="Times New Roman" w:hAnsi="Times New Roman" w:cs="Times New Roman"/>
                <w:sz w:val="20"/>
                <w:szCs w:val="20"/>
              </w:rPr>
            </w:pPr>
            <w:r w:rsidRPr="008527C3">
              <w:rPr>
                <w:rFonts w:ascii="Times New Roman" w:hAnsi="Times New Roman" w:cs="Times New Roman"/>
                <w:sz w:val="20"/>
                <w:szCs w:val="20"/>
              </w:rPr>
              <w:t>0.36</w:t>
            </w:r>
          </w:p>
        </w:tc>
        <w:tc>
          <w:tcPr>
            <w:tcW w:w="414" w:type="pct"/>
            <w:tcBorders>
              <w:bottom w:val="single" w:sz="12" w:space="0" w:color="auto"/>
              <w:right w:val="nil"/>
            </w:tcBorders>
            <w:vAlign w:val="center"/>
          </w:tcPr>
          <w:p w:rsidR="00976DC4" w:rsidRPr="008527C3" w:rsidRDefault="00976DC4" w:rsidP="008527C3">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1.00</w:t>
            </w:r>
          </w:p>
        </w:tc>
      </w:tr>
    </w:tbl>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D71846" w:rsidRDefault="00976DC4" w:rsidP="00976DC4">
      <w:pPr>
        <w:pStyle w:val="HTMLPreformatted"/>
        <w:shd w:val="clear" w:color="auto" w:fill="FFFFFF"/>
        <w:jc w:val="both"/>
        <w:rPr>
          <w:rStyle w:val="shorttext"/>
          <w:rFonts w:ascii="Times New Roman" w:hAnsi="Times New Roman" w:cs="Times New Roman"/>
          <w:color w:val="222222"/>
          <w:sz w:val="24"/>
          <w:szCs w:val="24"/>
          <w:lang w:val="en"/>
        </w:rPr>
      </w:pPr>
      <w:r w:rsidRPr="00D71846">
        <w:rPr>
          <w:rStyle w:val="shorttext"/>
          <w:rFonts w:ascii="Times New Roman" w:hAnsi="Times New Roman" w:cs="Times New Roman"/>
          <w:color w:val="222222"/>
          <w:sz w:val="24"/>
          <w:szCs w:val="24"/>
          <w:lang w:val="en"/>
        </w:rPr>
        <w:t>Descriptive statistics are presented in table 3 below.</w:t>
      </w:r>
      <w:r>
        <w:rPr>
          <w:rStyle w:val="shorttext"/>
          <w:rFonts w:ascii="Times New Roman" w:hAnsi="Times New Roman" w:cs="Times New Roman"/>
          <w:color w:val="222222"/>
          <w:sz w:val="24"/>
          <w:szCs w:val="24"/>
          <w:lang w:val="en"/>
        </w:rPr>
        <w:t xml:space="preserve"> It </w:t>
      </w:r>
      <w:r w:rsidRPr="00D71846">
        <w:rPr>
          <w:rFonts w:ascii="Times New Roman" w:hAnsi="Times New Roman" w:cs="Times New Roman"/>
          <w:sz w:val="24"/>
          <w:szCs w:val="24"/>
          <w:lang w:val="en"/>
        </w:rPr>
        <w:t>shows the mean, the median, min and max values, and skewness and kurtosis</w:t>
      </w:r>
      <w:r>
        <w:rPr>
          <w:rFonts w:ascii="Times New Roman" w:hAnsi="Times New Roman" w:cs="Times New Roman"/>
          <w:sz w:val="24"/>
          <w:szCs w:val="24"/>
          <w:lang w:val="en"/>
        </w:rPr>
        <w:t xml:space="preserve"> </w:t>
      </w:r>
      <w:r w:rsidRPr="00D71846">
        <w:rPr>
          <w:rFonts w:ascii="Times New Roman" w:hAnsi="Times New Roman" w:cs="Times New Roman"/>
          <w:sz w:val="24"/>
          <w:szCs w:val="24"/>
          <w:lang w:val="en"/>
        </w:rPr>
        <w:t>of individual variables.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Table 3 Descriptive Statistics</w:t>
      </w:r>
    </w:p>
    <w:tbl>
      <w:tblPr>
        <w:tblW w:w="8910" w:type="dxa"/>
        <w:jc w:val="center"/>
        <w:tblLook w:val="04A0" w:firstRow="1" w:lastRow="0" w:firstColumn="1" w:lastColumn="0" w:noHBand="0" w:noVBand="1"/>
      </w:tblPr>
      <w:tblGrid>
        <w:gridCol w:w="1013"/>
        <w:gridCol w:w="92"/>
        <w:gridCol w:w="1260"/>
        <w:gridCol w:w="1284"/>
        <w:gridCol w:w="960"/>
        <w:gridCol w:w="960"/>
        <w:gridCol w:w="960"/>
        <w:gridCol w:w="960"/>
        <w:gridCol w:w="960"/>
        <w:gridCol w:w="706"/>
      </w:tblGrid>
      <w:tr w:rsidR="00976DC4" w:rsidRPr="008527C3" w:rsidTr="006F3149">
        <w:trPr>
          <w:trHeight w:val="300"/>
          <w:jc w:val="center"/>
        </w:trPr>
        <w:tc>
          <w:tcPr>
            <w:tcW w:w="1105" w:type="dxa"/>
            <w:gridSpan w:val="2"/>
            <w:tcBorders>
              <w:top w:val="single" w:sz="12" w:space="0" w:color="auto"/>
              <w:left w:val="nil"/>
              <w:bottom w:val="single" w:sz="12" w:space="0" w:color="auto"/>
            </w:tcBorders>
            <w:shd w:val="clear" w:color="auto" w:fill="auto"/>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lang w:val="el-GR"/>
              </w:rPr>
            </w:pPr>
          </w:p>
        </w:tc>
        <w:tc>
          <w:tcPr>
            <w:tcW w:w="1260"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ind w:firstLine="288"/>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CAR</w:t>
            </w:r>
          </w:p>
        </w:tc>
        <w:tc>
          <w:tcPr>
            <w:tcW w:w="1284"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SIZE</w:t>
            </w:r>
          </w:p>
        </w:tc>
        <w:tc>
          <w:tcPr>
            <w:tcW w:w="960"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PROV</w:t>
            </w:r>
          </w:p>
        </w:tc>
        <w:tc>
          <w:tcPr>
            <w:tcW w:w="960"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NIM</w:t>
            </w:r>
          </w:p>
        </w:tc>
        <w:tc>
          <w:tcPr>
            <w:tcW w:w="960"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ROA</w:t>
            </w:r>
          </w:p>
        </w:tc>
        <w:tc>
          <w:tcPr>
            <w:tcW w:w="960"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LEV</w:t>
            </w:r>
          </w:p>
        </w:tc>
        <w:tc>
          <w:tcPr>
            <w:tcW w:w="960"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LQDT</w:t>
            </w:r>
          </w:p>
        </w:tc>
        <w:tc>
          <w:tcPr>
            <w:tcW w:w="461" w:type="dxa"/>
            <w:tcBorders>
              <w:top w:val="single" w:sz="12" w:space="0" w:color="auto"/>
              <w:bottom w:val="single" w:sz="12" w:space="0" w:color="auto"/>
              <w:right w:val="nil"/>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sz w:val="20"/>
                <w:szCs w:val="20"/>
              </w:rPr>
            </w:pPr>
            <w:r w:rsidRPr="006F3149">
              <w:rPr>
                <w:rFonts w:ascii="Times New Roman" w:eastAsia="Times New Roman" w:hAnsi="Times New Roman" w:cs="Times New Roman"/>
                <w:b/>
                <w:sz w:val="20"/>
                <w:szCs w:val="20"/>
              </w:rPr>
              <w:t>RISK</w:t>
            </w:r>
          </w:p>
        </w:tc>
      </w:tr>
      <w:tr w:rsidR="00976DC4" w:rsidRPr="008527C3" w:rsidTr="006F3149">
        <w:trPr>
          <w:trHeight w:val="300"/>
          <w:jc w:val="center"/>
        </w:trPr>
        <w:tc>
          <w:tcPr>
            <w:tcW w:w="1013" w:type="dxa"/>
            <w:tcBorders>
              <w:top w:val="single" w:sz="12" w:space="0" w:color="auto"/>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Mean</w:t>
            </w:r>
          </w:p>
        </w:tc>
        <w:tc>
          <w:tcPr>
            <w:tcW w:w="1352" w:type="dxa"/>
            <w:gridSpan w:val="2"/>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0.17</w:t>
            </w:r>
          </w:p>
        </w:tc>
        <w:tc>
          <w:tcPr>
            <w:tcW w:w="1284" w:type="dxa"/>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7460553</w:t>
            </w:r>
          </w:p>
        </w:tc>
        <w:tc>
          <w:tcPr>
            <w:tcW w:w="960" w:type="dxa"/>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0.11</w:t>
            </w:r>
          </w:p>
        </w:tc>
        <w:tc>
          <w:tcPr>
            <w:tcW w:w="960" w:type="dxa"/>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0.46</w:t>
            </w:r>
          </w:p>
        </w:tc>
        <w:tc>
          <w:tcPr>
            <w:tcW w:w="960" w:type="dxa"/>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0.00</w:t>
            </w:r>
          </w:p>
        </w:tc>
        <w:tc>
          <w:tcPr>
            <w:tcW w:w="960" w:type="dxa"/>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0.89</w:t>
            </w:r>
          </w:p>
        </w:tc>
        <w:tc>
          <w:tcPr>
            <w:tcW w:w="960" w:type="dxa"/>
            <w:tcBorders>
              <w:top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0.14</w:t>
            </w:r>
          </w:p>
        </w:tc>
        <w:tc>
          <w:tcPr>
            <w:tcW w:w="461" w:type="dxa"/>
            <w:tcBorders>
              <w:top w:val="single" w:sz="12" w:space="0" w:color="auto"/>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0.57</w:t>
            </w:r>
          </w:p>
        </w:tc>
      </w:tr>
      <w:tr w:rsidR="00976DC4" w:rsidRPr="008527C3" w:rsidTr="006F3149">
        <w:trPr>
          <w:trHeight w:val="300"/>
          <w:jc w:val="center"/>
        </w:trPr>
        <w:tc>
          <w:tcPr>
            <w:tcW w:w="1105" w:type="dxa"/>
            <w:gridSpan w:val="2"/>
            <w:tcBorders>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Standard Error</w:t>
            </w:r>
          </w:p>
        </w:tc>
        <w:tc>
          <w:tcPr>
            <w:tcW w:w="12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0.01</w:t>
            </w:r>
          </w:p>
        </w:tc>
        <w:tc>
          <w:tcPr>
            <w:tcW w:w="1284"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1916659</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0.00</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0.03</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0.02</w:t>
            </w:r>
          </w:p>
        </w:tc>
        <w:tc>
          <w:tcPr>
            <w:tcW w:w="461" w:type="dxa"/>
            <w:tcBorders>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0.04</w:t>
            </w:r>
          </w:p>
        </w:tc>
      </w:tr>
      <w:tr w:rsidR="00976DC4" w:rsidRPr="008527C3" w:rsidTr="006F3149">
        <w:trPr>
          <w:trHeight w:val="300"/>
          <w:jc w:val="center"/>
        </w:trPr>
        <w:tc>
          <w:tcPr>
            <w:tcW w:w="1105" w:type="dxa"/>
            <w:gridSpan w:val="2"/>
            <w:tcBorders>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Median</w:t>
            </w:r>
          </w:p>
        </w:tc>
        <w:tc>
          <w:tcPr>
            <w:tcW w:w="12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0.14</w:t>
            </w:r>
          </w:p>
        </w:tc>
        <w:tc>
          <w:tcPr>
            <w:tcW w:w="1284"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678325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0.10</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0.51</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0.01</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0.92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0.13</w:t>
            </w:r>
          </w:p>
        </w:tc>
        <w:tc>
          <w:tcPr>
            <w:tcW w:w="461" w:type="dxa"/>
            <w:tcBorders>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0.65</w:t>
            </w:r>
          </w:p>
        </w:tc>
      </w:tr>
      <w:tr w:rsidR="00976DC4" w:rsidRPr="008527C3" w:rsidTr="006F3149">
        <w:trPr>
          <w:trHeight w:val="300"/>
          <w:jc w:val="center"/>
        </w:trPr>
        <w:tc>
          <w:tcPr>
            <w:tcW w:w="1105" w:type="dxa"/>
            <w:gridSpan w:val="2"/>
            <w:tcBorders>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Standard Deviation</w:t>
            </w:r>
          </w:p>
        </w:tc>
        <w:tc>
          <w:tcPr>
            <w:tcW w:w="12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0.08</w:t>
            </w:r>
          </w:p>
        </w:tc>
        <w:tc>
          <w:tcPr>
            <w:tcW w:w="1284"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11499955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0.10</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0.16</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0.12</w:t>
            </w:r>
          </w:p>
        </w:tc>
        <w:tc>
          <w:tcPr>
            <w:tcW w:w="461" w:type="dxa"/>
            <w:tcBorders>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0.23</w:t>
            </w:r>
          </w:p>
        </w:tc>
      </w:tr>
      <w:tr w:rsidR="00976DC4" w:rsidRPr="008527C3" w:rsidTr="006F3149">
        <w:trPr>
          <w:trHeight w:val="300"/>
          <w:jc w:val="center"/>
        </w:trPr>
        <w:tc>
          <w:tcPr>
            <w:tcW w:w="1105" w:type="dxa"/>
            <w:gridSpan w:val="2"/>
            <w:tcBorders>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Kurtosis</w:t>
            </w:r>
          </w:p>
        </w:tc>
        <w:tc>
          <w:tcPr>
            <w:tcW w:w="12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4.24</w:t>
            </w:r>
          </w:p>
        </w:tc>
        <w:tc>
          <w:tcPr>
            <w:tcW w:w="1284"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4.85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-0.51</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2.85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30.55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1.41</w:t>
            </w:r>
          </w:p>
        </w:tc>
        <w:tc>
          <w:tcPr>
            <w:tcW w:w="461" w:type="dxa"/>
            <w:tcBorders>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-0.43</w:t>
            </w:r>
          </w:p>
        </w:tc>
      </w:tr>
      <w:tr w:rsidR="00976DC4" w:rsidRPr="008527C3" w:rsidTr="006F3149">
        <w:trPr>
          <w:trHeight w:val="300"/>
          <w:jc w:val="center"/>
        </w:trPr>
        <w:tc>
          <w:tcPr>
            <w:tcW w:w="1105" w:type="dxa"/>
            <w:gridSpan w:val="2"/>
            <w:tcBorders>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Skewness</w:t>
            </w:r>
          </w:p>
        </w:tc>
        <w:tc>
          <w:tcPr>
            <w:tcW w:w="12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1.99</w:t>
            </w:r>
          </w:p>
        </w:tc>
        <w:tc>
          <w:tcPr>
            <w:tcW w:w="1284"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1.65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-0.35</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-1.34</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-5.32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1.09</w:t>
            </w:r>
          </w:p>
        </w:tc>
        <w:tc>
          <w:tcPr>
            <w:tcW w:w="461" w:type="dxa"/>
            <w:tcBorders>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-0.83</w:t>
            </w:r>
          </w:p>
        </w:tc>
      </w:tr>
      <w:tr w:rsidR="00976DC4" w:rsidRPr="008527C3" w:rsidTr="006F3149">
        <w:trPr>
          <w:trHeight w:val="67"/>
          <w:jc w:val="center"/>
        </w:trPr>
        <w:tc>
          <w:tcPr>
            <w:tcW w:w="1105" w:type="dxa"/>
            <w:gridSpan w:val="2"/>
            <w:tcBorders>
              <w:left w:val="nil"/>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Minimum</w:t>
            </w:r>
          </w:p>
        </w:tc>
        <w:tc>
          <w:tcPr>
            <w:tcW w:w="12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0.09</w:t>
            </w:r>
          </w:p>
        </w:tc>
        <w:tc>
          <w:tcPr>
            <w:tcW w:w="1284"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3327</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0.00</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0.14</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-0.07</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0.02</w:t>
            </w:r>
          </w:p>
        </w:tc>
        <w:tc>
          <w:tcPr>
            <w:tcW w:w="960" w:type="dxa"/>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0.01</w:t>
            </w:r>
          </w:p>
        </w:tc>
        <w:tc>
          <w:tcPr>
            <w:tcW w:w="461" w:type="dxa"/>
            <w:tcBorders>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0.10</w:t>
            </w:r>
          </w:p>
        </w:tc>
      </w:tr>
      <w:tr w:rsidR="00976DC4" w:rsidRPr="008527C3" w:rsidTr="006F3149">
        <w:trPr>
          <w:trHeight w:val="300"/>
          <w:jc w:val="center"/>
        </w:trPr>
        <w:tc>
          <w:tcPr>
            <w:tcW w:w="1105" w:type="dxa"/>
            <w:gridSpan w:val="2"/>
            <w:tcBorders>
              <w:left w:val="nil"/>
              <w:bottom w:val="single" w:sz="12" w:space="0" w:color="auto"/>
            </w:tcBorders>
            <w:noWrap/>
            <w:vAlign w:val="center"/>
            <w:hideMark/>
          </w:tcPr>
          <w:p w:rsidR="00976DC4" w:rsidRPr="008527C3" w:rsidRDefault="00976DC4" w:rsidP="006F3149">
            <w:pPr>
              <w:spacing w:after="0" w:line="240" w:lineRule="auto"/>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Maximum</w:t>
            </w:r>
          </w:p>
        </w:tc>
        <w:tc>
          <w:tcPr>
            <w:tcW w:w="1260"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0.45</w:t>
            </w:r>
          </w:p>
        </w:tc>
        <w:tc>
          <w:tcPr>
            <w:tcW w:w="1284"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42636568</w:t>
            </w:r>
          </w:p>
        </w:tc>
        <w:tc>
          <w:tcPr>
            <w:tcW w:w="960"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0.47</w:t>
            </w:r>
          </w:p>
        </w:tc>
        <w:tc>
          <w:tcPr>
            <w:tcW w:w="960"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0.72</w:t>
            </w:r>
          </w:p>
        </w:tc>
        <w:tc>
          <w:tcPr>
            <w:tcW w:w="960"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0.04</w:t>
            </w:r>
          </w:p>
        </w:tc>
        <w:tc>
          <w:tcPr>
            <w:tcW w:w="960"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0.99</w:t>
            </w:r>
          </w:p>
        </w:tc>
        <w:tc>
          <w:tcPr>
            <w:tcW w:w="960" w:type="dxa"/>
            <w:tcBorders>
              <w:bottom w:val="single" w:sz="12" w:space="0" w:color="auto"/>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0.52</w:t>
            </w:r>
          </w:p>
        </w:tc>
        <w:tc>
          <w:tcPr>
            <w:tcW w:w="461" w:type="dxa"/>
            <w:tcBorders>
              <w:bottom w:val="single" w:sz="12" w:space="0" w:color="auto"/>
              <w:right w:val="nil"/>
            </w:tcBorders>
            <w:noWrap/>
            <w:vAlign w:val="center"/>
            <w:hideMark/>
          </w:tcPr>
          <w:p w:rsidR="00976DC4" w:rsidRPr="008527C3" w:rsidRDefault="00976DC4" w:rsidP="006F3149">
            <w:pPr>
              <w:spacing w:after="0" w:line="240" w:lineRule="auto"/>
              <w:jc w:val="center"/>
              <w:rPr>
                <w:rFonts w:ascii="Times New Roman" w:eastAsia="Times New Roman" w:hAnsi="Times New Roman" w:cs="Times New Roman"/>
                <w:sz w:val="20"/>
                <w:szCs w:val="20"/>
              </w:rPr>
            </w:pPr>
            <w:r w:rsidRPr="008527C3">
              <w:rPr>
                <w:rFonts w:ascii="Times New Roman" w:eastAsia="Times New Roman" w:hAnsi="Times New Roman" w:cs="Times New Roman"/>
                <w:sz w:val="20"/>
                <w:szCs w:val="20"/>
              </w:rPr>
              <w:t>0.93</w:t>
            </w:r>
          </w:p>
        </w:tc>
      </w:tr>
    </w:tbl>
    <w:p w:rsidR="00976DC4" w:rsidRPr="00D71846" w:rsidRDefault="00976DC4" w:rsidP="00976DC4">
      <w:pPr>
        <w:pStyle w:val="HTMLPreformatted"/>
        <w:shd w:val="clear" w:color="auto" w:fill="FFFFFF"/>
        <w:rPr>
          <w:rFonts w:ascii="Times New Roman" w:hAnsi="Times New Roman" w:cs="Times New Roman"/>
          <w:sz w:val="24"/>
          <w:szCs w:val="24"/>
        </w:rPr>
      </w:pPr>
    </w:p>
    <w:p w:rsidR="00976DC4" w:rsidRPr="00D71846" w:rsidRDefault="00976DC4" w:rsidP="00976DC4">
      <w:pPr>
        <w:spacing w:after="0" w:line="240" w:lineRule="auto"/>
        <w:jc w:val="both"/>
        <w:rPr>
          <w:rFonts w:ascii="Times New Roman" w:hAnsi="Times New Roman" w:cs="Times New Roman"/>
          <w:sz w:val="24"/>
          <w:szCs w:val="24"/>
        </w:rPr>
      </w:pPr>
      <w:r w:rsidRPr="00D71846">
        <w:rPr>
          <w:rFonts w:ascii="Times New Roman" w:eastAsia="Times New Roman" w:hAnsi="Times New Roman" w:cs="Times New Roman"/>
          <w:sz w:val="24"/>
          <w:szCs w:val="24"/>
          <w:lang w:val="en"/>
        </w:rPr>
        <w:t>Skewness and kurtosis are two commonly listed values of the shape of the distribution. Skewness is a measure of the symmetry in a distribution.  Skewness essentially measures the relative size of the two tails. </w:t>
      </w:r>
      <w:r w:rsidRPr="00D71846">
        <w:rPr>
          <w:rFonts w:ascii="Times New Roman" w:hAnsi="Times New Roman" w:cs="Times New Roman"/>
          <w:sz w:val="24"/>
          <w:szCs w:val="24"/>
          <w:lang w:val="en"/>
        </w:rPr>
        <w:t xml:space="preserve">Kurtosis is a measure of the combined sizes of the two tails.  It measures the amount of probability in the tails.  </w:t>
      </w:r>
      <w:r w:rsidRPr="00D71846">
        <w:rPr>
          <w:rFonts w:ascii="Times New Roman" w:hAnsi="Times New Roman" w:cs="Times New Roman"/>
          <w:sz w:val="24"/>
          <w:szCs w:val="24"/>
        </w:rPr>
        <w:t xml:space="preserve">All explanatory variables are approximately normally </w:t>
      </w:r>
      <w:r w:rsidRPr="00D71846">
        <w:rPr>
          <w:rFonts w:ascii="Times New Roman" w:hAnsi="Times New Roman" w:cs="Times New Roman"/>
          <w:sz w:val="24"/>
          <w:szCs w:val="24"/>
        </w:rPr>
        <w:lastRenderedPageBreak/>
        <w:t xml:space="preserve">distributed. Capital levels in the case of Cypriot banks were above the regulatory minimum (8%) during the period 2009-2014. The lowest Capital Adequacy Ratio was 9% and the highest 45%, with 14% being the average, showing that banks in Cyprus maintain a higher CAR than that dictated by the </w:t>
      </w:r>
      <w:r w:rsidR="008527C3" w:rsidRPr="00D71846">
        <w:rPr>
          <w:rFonts w:ascii="Times New Roman" w:hAnsi="Times New Roman" w:cs="Times New Roman"/>
          <w:sz w:val="24"/>
          <w:szCs w:val="24"/>
        </w:rPr>
        <w:t>Supervisory</w:t>
      </w:r>
      <w:r w:rsidRPr="00D71846">
        <w:rPr>
          <w:rFonts w:ascii="Times New Roman" w:hAnsi="Times New Roman" w:cs="Times New Roman"/>
          <w:sz w:val="24"/>
          <w:szCs w:val="24"/>
        </w:rPr>
        <w:t xml:space="preserve"> Authority.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rPr>
          <w:rFonts w:ascii="Times New Roman" w:hAnsi="Times New Roman" w:cs="Times New Roman"/>
          <w:b/>
          <w:caps/>
          <w:sz w:val="24"/>
          <w:szCs w:val="24"/>
        </w:rPr>
      </w:pPr>
      <w:r w:rsidRPr="00441642">
        <w:rPr>
          <w:rFonts w:ascii="Times New Roman" w:hAnsi="Times New Roman" w:cs="Times New Roman"/>
          <w:b/>
          <w:caps/>
          <w:sz w:val="24"/>
          <w:szCs w:val="24"/>
        </w:rPr>
        <w:t xml:space="preserve">4.4. </w:t>
      </w:r>
      <w:r w:rsidRPr="00D71846">
        <w:rPr>
          <w:rFonts w:ascii="Times New Roman" w:hAnsi="Times New Roman" w:cs="Times New Roman"/>
          <w:b/>
          <w:caps/>
          <w:sz w:val="24"/>
          <w:szCs w:val="24"/>
        </w:rPr>
        <w:t>R</w:t>
      </w:r>
      <w:r w:rsidRPr="00D71846">
        <w:rPr>
          <w:rFonts w:ascii="Times New Roman" w:hAnsi="Times New Roman" w:cs="Times New Roman"/>
          <w:b/>
          <w:sz w:val="24"/>
          <w:szCs w:val="24"/>
        </w:rPr>
        <w:t xml:space="preserve">esults of </w:t>
      </w:r>
      <w:r>
        <w:rPr>
          <w:rFonts w:ascii="Times New Roman" w:hAnsi="Times New Roman" w:cs="Times New Roman"/>
          <w:b/>
          <w:sz w:val="24"/>
          <w:szCs w:val="24"/>
        </w:rPr>
        <w:t>M</w:t>
      </w:r>
      <w:r w:rsidRPr="00D71846">
        <w:rPr>
          <w:rFonts w:ascii="Times New Roman" w:hAnsi="Times New Roman" w:cs="Times New Roman"/>
          <w:b/>
          <w:sz w:val="24"/>
          <w:szCs w:val="24"/>
        </w:rPr>
        <w:t xml:space="preserve">ultiple </w:t>
      </w:r>
      <w:r>
        <w:rPr>
          <w:rFonts w:ascii="Times New Roman" w:hAnsi="Times New Roman" w:cs="Times New Roman"/>
          <w:b/>
          <w:sz w:val="24"/>
          <w:szCs w:val="24"/>
        </w:rPr>
        <w:t>R</w:t>
      </w:r>
      <w:r w:rsidRPr="00D71846">
        <w:rPr>
          <w:rFonts w:ascii="Times New Roman" w:hAnsi="Times New Roman" w:cs="Times New Roman"/>
          <w:b/>
          <w:sz w:val="24"/>
          <w:szCs w:val="24"/>
        </w:rPr>
        <w:t xml:space="preserve">egression </w:t>
      </w:r>
      <w:r>
        <w:rPr>
          <w:rFonts w:ascii="Times New Roman" w:hAnsi="Times New Roman" w:cs="Times New Roman"/>
          <w:b/>
          <w:sz w:val="24"/>
          <w:szCs w:val="24"/>
        </w:rPr>
        <w:t>A</w:t>
      </w:r>
      <w:r w:rsidRPr="00D71846">
        <w:rPr>
          <w:rFonts w:ascii="Times New Roman" w:hAnsi="Times New Roman" w:cs="Times New Roman"/>
          <w:b/>
          <w:sz w:val="24"/>
          <w:szCs w:val="24"/>
        </w:rPr>
        <w:t>nalysis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autoSpaceDE w:val="0"/>
        <w:autoSpaceDN w:val="0"/>
        <w:adjustRightInd w:val="0"/>
        <w:spacing w:after="0" w:line="240" w:lineRule="auto"/>
        <w:jc w:val="both"/>
        <w:rPr>
          <w:rFonts w:ascii="Times New Roman" w:hAnsi="Times New Roman" w:cs="Times New Roman"/>
          <w:sz w:val="24"/>
          <w:szCs w:val="24"/>
        </w:rPr>
      </w:pPr>
      <w:r w:rsidRPr="00D71846">
        <w:rPr>
          <w:rFonts w:ascii="Times New Roman" w:hAnsi="Times New Roman" w:cs="Times New Roman"/>
          <w:sz w:val="24"/>
          <w:szCs w:val="24"/>
        </w:rPr>
        <w:t xml:space="preserve">Multiple </w:t>
      </w:r>
      <w:proofErr w:type="gramStart"/>
      <w:r w:rsidRPr="00D71846">
        <w:rPr>
          <w:rFonts w:ascii="Times New Roman" w:hAnsi="Times New Roman" w:cs="Times New Roman"/>
          <w:sz w:val="24"/>
          <w:szCs w:val="24"/>
        </w:rPr>
        <w:t>regression</w:t>
      </w:r>
      <w:proofErr w:type="gramEnd"/>
      <w:r w:rsidRPr="00D71846">
        <w:rPr>
          <w:rFonts w:ascii="Times New Roman" w:hAnsi="Times New Roman" w:cs="Times New Roman"/>
          <w:sz w:val="24"/>
          <w:szCs w:val="24"/>
        </w:rPr>
        <w:t xml:space="preserve"> examines the effects of the multiple predictors or independent variables on a single outcome variable. The following three tables show the results of </w:t>
      </w:r>
      <w:r>
        <w:rPr>
          <w:rFonts w:ascii="Times New Roman" w:hAnsi="Times New Roman" w:cs="Times New Roman"/>
          <w:sz w:val="24"/>
          <w:szCs w:val="24"/>
        </w:rPr>
        <w:t xml:space="preserve">the regression analysis. </w:t>
      </w:r>
      <w:r w:rsidRPr="00D71846">
        <w:rPr>
          <w:rFonts w:ascii="Times New Roman" w:hAnsi="Times New Roman" w:cs="Times New Roman"/>
          <w:sz w:val="24"/>
          <w:szCs w:val="24"/>
        </w:rPr>
        <w:t xml:space="preserve">Table 4 presents summary statistics of the multiple regression </w:t>
      </w:r>
      <w:proofErr w:type="gramStart"/>
      <w:r w:rsidRPr="00D71846">
        <w:rPr>
          <w:rFonts w:ascii="Times New Roman" w:hAnsi="Times New Roman" w:cs="Times New Roman"/>
          <w:sz w:val="24"/>
          <w:szCs w:val="24"/>
        </w:rPr>
        <w:t>model</w:t>
      </w:r>
      <w:proofErr w:type="gramEnd"/>
      <w:r w:rsidRPr="00D71846">
        <w:rPr>
          <w:rFonts w:ascii="Times New Roman" w:hAnsi="Times New Roman" w:cs="Times New Roman"/>
          <w:sz w:val="24"/>
          <w:szCs w:val="24"/>
        </w:rPr>
        <w:t>.</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Table 4 Model Summary</w:t>
      </w:r>
    </w:p>
    <w:tbl>
      <w:tblPr>
        <w:tblW w:w="9375" w:type="dxa"/>
        <w:jc w:val="center"/>
        <w:tblLook w:val="04A0" w:firstRow="1" w:lastRow="0" w:firstColumn="1" w:lastColumn="0" w:noHBand="0" w:noVBand="1"/>
      </w:tblPr>
      <w:tblGrid>
        <w:gridCol w:w="953"/>
        <w:gridCol w:w="990"/>
        <w:gridCol w:w="1150"/>
        <w:gridCol w:w="1150"/>
        <w:gridCol w:w="1057"/>
        <w:gridCol w:w="1057"/>
        <w:gridCol w:w="1578"/>
        <w:gridCol w:w="1440"/>
      </w:tblGrid>
      <w:tr w:rsidR="00976DC4" w:rsidRPr="00D71846" w:rsidTr="009A6873">
        <w:trPr>
          <w:trHeight w:val="324"/>
          <w:jc w:val="center"/>
        </w:trPr>
        <w:tc>
          <w:tcPr>
            <w:tcW w:w="953"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R</w:t>
            </w:r>
          </w:p>
        </w:tc>
        <w:tc>
          <w:tcPr>
            <w:tcW w:w="99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R Square</w:t>
            </w:r>
          </w:p>
        </w:tc>
        <w:tc>
          <w:tcPr>
            <w:tcW w:w="115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Adjusted R Square</w:t>
            </w:r>
          </w:p>
        </w:tc>
        <w:tc>
          <w:tcPr>
            <w:tcW w:w="115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Std. Error of the Estimate</w:t>
            </w:r>
          </w:p>
        </w:tc>
        <w:tc>
          <w:tcPr>
            <w:tcW w:w="3692" w:type="dxa"/>
            <w:gridSpan w:val="3"/>
            <w:tcBorders>
              <w:top w:val="single" w:sz="12" w:space="0" w:color="000000"/>
              <w:left w:val="nil"/>
              <w:bottom w:val="single" w:sz="4"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Change Statistics</w:t>
            </w:r>
          </w:p>
        </w:tc>
        <w:tc>
          <w:tcPr>
            <w:tcW w:w="144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Durbin-Watson</w:t>
            </w:r>
          </w:p>
        </w:tc>
      </w:tr>
      <w:tr w:rsidR="00976DC4" w:rsidRPr="00D71846" w:rsidTr="009A6873">
        <w:trPr>
          <w:trHeight w:val="525"/>
          <w:jc w:val="center"/>
        </w:trPr>
        <w:tc>
          <w:tcPr>
            <w:tcW w:w="953" w:type="dxa"/>
            <w:vMerge/>
            <w:tcBorders>
              <w:top w:val="single" w:sz="12" w:space="0" w:color="000000"/>
              <w:left w:val="single" w:sz="12" w:space="0" w:color="000000"/>
              <w:bottom w:val="single" w:sz="12" w:space="0" w:color="000000"/>
              <w:right w:val="single" w:sz="4" w:space="0" w:color="000000"/>
            </w:tcBorders>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p>
        </w:tc>
        <w:tc>
          <w:tcPr>
            <w:tcW w:w="990" w:type="dxa"/>
            <w:vMerge/>
            <w:tcBorders>
              <w:top w:val="single" w:sz="12" w:space="0" w:color="000000"/>
              <w:left w:val="single" w:sz="4" w:space="0" w:color="000000"/>
              <w:bottom w:val="single" w:sz="12" w:space="0" w:color="000000"/>
              <w:right w:val="single" w:sz="4" w:space="0" w:color="000000"/>
            </w:tcBorders>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p>
        </w:tc>
        <w:tc>
          <w:tcPr>
            <w:tcW w:w="1150" w:type="dxa"/>
            <w:vMerge/>
            <w:tcBorders>
              <w:top w:val="single" w:sz="12" w:space="0" w:color="000000"/>
              <w:left w:val="single" w:sz="4" w:space="0" w:color="000000"/>
              <w:bottom w:val="single" w:sz="12" w:space="0" w:color="000000"/>
              <w:right w:val="single" w:sz="4" w:space="0" w:color="000000"/>
            </w:tcBorders>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p>
        </w:tc>
        <w:tc>
          <w:tcPr>
            <w:tcW w:w="1150" w:type="dxa"/>
            <w:vMerge/>
            <w:tcBorders>
              <w:top w:val="single" w:sz="12" w:space="0" w:color="000000"/>
              <w:left w:val="single" w:sz="4" w:space="0" w:color="000000"/>
              <w:bottom w:val="single" w:sz="12" w:space="0" w:color="000000"/>
              <w:right w:val="single" w:sz="4" w:space="0" w:color="000000"/>
            </w:tcBorders>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R Square Change</w:t>
            </w:r>
          </w:p>
        </w:tc>
        <w:tc>
          <w:tcPr>
            <w:tcW w:w="1057" w:type="dxa"/>
            <w:tcBorders>
              <w:top w:val="nil"/>
              <w:left w:val="nil"/>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F Change</w:t>
            </w:r>
          </w:p>
        </w:tc>
        <w:tc>
          <w:tcPr>
            <w:tcW w:w="1578" w:type="dxa"/>
            <w:tcBorders>
              <w:top w:val="nil"/>
              <w:left w:val="nil"/>
              <w:bottom w:val="single" w:sz="12" w:space="0" w:color="000000"/>
              <w:right w:val="single" w:sz="4" w:space="0" w:color="000000"/>
            </w:tcBorders>
            <w:shd w:val="clear" w:color="auto" w:fill="auto"/>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Sig. F Change</w:t>
            </w:r>
          </w:p>
        </w:tc>
        <w:tc>
          <w:tcPr>
            <w:tcW w:w="1440" w:type="dxa"/>
            <w:tcBorders>
              <w:top w:val="single" w:sz="12" w:space="0" w:color="000000"/>
              <w:left w:val="single" w:sz="4" w:space="0" w:color="000000"/>
              <w:bottom w:val="single" w:sz="12" w:space="0" w:color="000000"/>
              <w:right w:val="single" w:sz="12" w:space="0" w:color="000000"/>
            </w:tcBorders>
            <w:vAlign w:val="center"/>
            <w:hideMark/>
          </w:tcPr>
          <w:p w:rsidR="00976DC4" w:rsidRPr="00D71846" w:rsidRDefault="00976DC4" w:rsidP="009A6873">
            <w:pPr>
              <w:spacing w:after="0" w:line="240" w:lineRule="auto"/>
              <w:jc w:val="center"/>
              <w:rPr>
                <w:rFonts w:ascii="Times New Roman" w:eastAsia="Times New Roman" w:hAnsi="Times New Roman" w:cs="Times New Roman"/>
                <w:sz w:val="20"/>
                <w:szCs w:val="20"/>
              </w:rPr>
            </w:pPr>
          </w:p>
        </w:tc>
      </w:tr>
      <w:tr w:rsidR="00976DC4" w:rsidRPr="00D71846" w:rsidTr="009A6873">
        <w:trPr>
          <w:trHeight w:val="340"/>
          <w:jc w:val="center"/>
        </w:trPr>
        <w:tc>
          <w:tcPr>
            <w:tcW w:w="953" w:type="dxa"/>
            <w:tcBorders>
              <w:top w:val="single" w:sz="12" w:space="0" w:color="000000"/>
              <w:left w:val="single" w:sz="12" w:space="0" w:color="000000"/>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lang w:val="el-GR"/>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.891</w:t>
            </w:r>
          </w:p>
        </w:tc>
        <w:tc>
          <w:tcPr>
            <w:tcW w:w="990" w:type="dxa"/>
            <w:tcBorders>
              <w:top w:val="single" w:sz="12" w:space="0" w:color="000000"/>
              <w:left w:val="nil"/>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.794</w:t>
            </w:r>
          </w:p>
        </w:tc>
        <w:tc>
          <w:tcPr>
            <w:tcW w:w="1150" w:type="dxa"/>
            <w:tcBorders>
              <w:top w:val="single" w:sz="12" w:space="0" w:color="000000"/>
              <w:left w:val="nil"/>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.613</w:t>
            </w:r>
          </w:p>
        </w:tc>
        <w:tc>
          <w:tcPr>
            <w:tcW w:w="1150" w:type="dxa"/>
            <w:tcBorders>
              <w:top w:val="single" w:sz="12" w:space="0" w:color="000000"/>
              <w:left w:val="nil"/>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.02619</w:t>
            </w:r>
          </w:p>
        </w:tc>
        <w:tc>
          <w:tcPr>
            <w:tcW w:w="1057" w:type="dxa"/>
            <w:tcBorders>
              <w:top w:val="single" w:sz="12" w:space="0" w:color="000000"/>
              <w:left w:val="nil"/>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.794</w:t>
            </w:r>
          </w:p>
        </w:tc>
        <w:tc>
          <w:tcPr>
            <w:tcW w:w="1057" w:type="dxa"/>
            <w:tcBorders>
              <w:top w:val="single" w:sz="12" w:space="0" w:color="000000"/>
              <w:left w:val="nil"/>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4.395</w:t>
            </w:r>
          </w:p>
        </w:tc>
        <w:tc>
          <w:tcPr>
            <w:tcW w:w="1578" w:type="dxa"/>
            <w:tcBorders>
              <w:top w:val="single" w:sz="12" w:space="0" w:color="000000"/>
              <w:left w:val="nil"/>
              <w:bottom w:val="single" w:sz="12" w:space="0" w:color="000000"/>
              <w:right w:val="single" w:sz="4"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.027</w:t>
            </w:r>
          </w:p>
        </w:tc>
        <w:tc>
          <w:tcPr>
            <w:tcW w:w="1440" w:type="dxa"/>
            <w:tcBorders>
              <w:top w:val="single" w:sz="12" w:space="0" w:color="000000"/>
              <w:left w:val="nil"/>
              <w:bottom w:val="single" w:sz="12" w:space="0" w:color="000000"/>
              <w:right w:val="single" w:sz="12" w:space="0" w:color="000000"/>
            </w:tcBorders>
            <w:shd w:val="clear" w:color="auto" w:fill="auto"/>
            <w:noWrap/>
            <w:vAlign w:val="center"/>
            <w:hideMark/>
          </w:tcPr>
          <w:p w:rsidR="00976DC4" w:rsidRPr="00D71846" w:rsidRDefault="00976DC4" w:rsidP="009A6873">
            <w:pPr>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1.810</w:t>
            </w:r>
          </w:p>
        </w:tc>
      </w:tr>
    </w:tbl>
    <w:p w:rsidR="00976DC4" w:rsidRPr="00D71846" w:rsidRDefault="00976DC4" w:rsidP="00976DC4">
      <w:pPr>
        <w:pStyle w:val="HTMLPreformatted"/>
        <w:shd w:val="clear" w:color="auto" w:fill="FFFFFF"/>
        <w:jc w:val="both"/>
        <w:rPr>
          <w:rFonts w:ascii="Times New Roman" w:hAnsi="Times New Roman" w:cs="Times New Roman"/>
          <w:sz w:val="24"/>
          <w:szCs w:val="24"/>
          <w:lang w:val="el-GR"/>
        </w:rPr>
      </w:pPr>
    </w:p>
    <w:p w:rsidR="008527C3" w:rsidRPr="00D71846" w:rsidRDefault="008527C3" w:rsidP="008527C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00CD7D82">
        <w:rPr>
          <w:rFonts w:ascii="Times New Roman" w:hAnsi="Times New Roman" w:cs="Times New Roman"/>
          <w:sz w:val="24"/>
          <w:szCs w:val="24"/>
        </w:rPr>
        <w:t xml:space="preserve">Coefficient of </w:t>
      </w:r>
      <w:r>
        <w:rPr>
          <w:rFonts w:ascii="Times New Roman" w:hAnsi="Times New Roman" w:cs="Times New Roman"/>
          <w:sz w:val="24"/>
          <w:szCs w:val="24"/>
        </w:rPr>
        <w:t>c</w:t>
      </w:r>
      <w:r w:rsidR="00CD7D82">
        <w:rPr>
          <w:rFonts w:ascii="Times New Roman" w:hAnsi="Times New Roman" w:cs="Times New Roman"/>
          <w:sz w:val="24"/>
          <w:szCs w:val="24"/>
        </w:rPr>
        <w:t>orrelation (</w:t>
      </w:r>
      <w:r w:rsidR="00976DC4" w:rsidRPr="00D71846">
        <w:rPr>
          <w:rFonts w:ascii="Times New Roman" w:hAnsi="Times New Roman" w:cs="Times New Roman"/>
          <w:sz w:val="24"/>
          <w:szCs w:val="24"/>
        </w:rPr>
        <w:t>R</w:t>
      </w:r>
      <w:r w:rsidR="00CD7D82">
        <w:rPr>
          <w:rFonts w:ascii="Times New Roman" w:hAnsi="Times New Roman" w:cs="Times New Roman"/>
          <w:sz w:val="24"/>
          <w:szCs w:val="24"/>
        </w:rPr>
        <w:t>)</w:t>
      </w:r>
      <w:r w:rsidR="00976DC4" w:rsidRPr="00D71846">
        <w:rPr>
          <w:rFonts w:ascii="Times New Roman" w:hAnsi="Times New Roman" w:cs="Times New Roman"/>
          <w:sz w:val="24"/>
          <w:szCs w:val="24"/>
        </w:rPr>
        <w:t xml:space="preserve"> can be considered as a measure of the quality of the prediction of the dependent variable. The value of 0.891 indicates a good level prediction. The </w:t>
      </w:r>
      <w:r w:rsidR="00CD7D82">
        <w:rPr>
          <w:rFonts w:ascii="Times New Roman" w:hAnsi="Times New Roman" w:cs="Times New Roman"/>
          <w:sz w:val="24"/>
          <w:szCs w:val="24"/>
        </w:rPr>
        <w:t>Coefficient of determination (</w:t>
      </w:r>
      <w:r w:rsidR="00976DC4" w:rsidRPr="00D71846">
        <w:rPr>
          <w:rFonts w:ascii="Times New Roman" w:hAnsi="Times New Roman" w:cs="Times New Roman"/>
          <w:sz w:val="24"/>
          <w:szCs w:val="24"/>
        </w:rPr>
        <w:t>R-square</w:t>
      </w:r>
      <w:r w:rsidR="00CD7D82">
        <w:rPr>
          <w:rFonts w:ascii="Times New Roman" w:hAnsi="Times New Roman" w:cs="Times New Roman"/>
          <w:sz w:val="24"/>
          <w:szCs w:val="24"/>
        </w:rPr>
        <w:t>)</w:t>
      </w:r>
      <w:r w:rsidR="00976DC4" w:rsidRPr="00D71846">
        <w:rPr>
          <w:rFonts w:ascii="Times New Roman" w:hAnsi="Times New Roman" w:cs="Times New Roman"/>
          <w:sz w:val="24"/>
          <w:szCs w:val="24"/>
        </w:rPr>
        <w:t xml:space="preserve"> is the proportion of variation in the dependent variable (CAR) that is explained by the independent variables. </w:t>
      </w:r>
      <w:r w:rsidR="00CD7D82">
        <w:rPr>
          <w:rFonts w:ascii="Times New Roman" w:hAnsi="Times New Roman" w:cs="Times New Roman"/>
          <w:sz w:val="24"/>
          <w:szCs w:val="24"/>
        </w:rPr>
        <w:t xml:space="preserve">Hence, </w:t>
      </w:r>
      <w:r w:rsidR="00976DC4" w:rsidRPr="00D71846">
        <w:rPr>
          <w:rFonts w:ascii="Times New Roman" w:hAnsi="Times New Roman" w:cs="Times New Roman"/>
          <w:sz w:val="24"/>
          <w:szCs w:val="24"/>
        </w:rPr>
        <w:t>79.4 percent of the variation in CAR can be explained by independent variables in the model. The adjusted R</w:t>
      </w:r>
      <w:r w:rsidR="00CD7D82">
        <w:rPr>
          <w:rFonts w:ascii="Times New Roman" w:hAnsi="Times New Roman" w:cs="Times New Roman"/>
          <w:sz w:val="24"/>
          <w:szCs w:val="24"/>
        </w:rPr>
        <w:t>-</w:t>
      </w:r>
      <w:r w:rsidR="00976DC4" w:rsidRPr="00D71846">
        <w:rPr>
          <w:rFonts w:ascii="Times New Roman" w:hAnsi="Times New Roman" w:cs="Times New Roman"/>
          <w:sz w:val="24"/>
          <w:szCs w:val="24"/>
        </w:rPr>
        <w:t>square is used to test the overestimation of R square because of the small sample. The estimates show an error of 0.026, which cannot be considered as very large. The Durbin – Watson statistic d = 1.810 lies between the two critical values of 1.5 &lt; d &lt; 2.5, and therefore it can be assumed that there is no first order linear autocorrelation data of multiple linear regression model.</w:t>
      </w:r>
      <w:r w:rsidRPr="008527C3">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D71846">
        <w:rPr>
          <w:rFonts w:ascii="Times New Roman" w:hAnsi="Times New Roman" w:cs="Times New Roman"/>
          <w:sz w:val="24"/>
          <w:szCs w:val="24"/>
        </w:rPr>
        <w:t xml:space="preserve">can </w:t>
      </w:r>
      <w:r>
        <w:rPr>
          <w:rFonts w:ascii="Times New Roman" w:hAnsi="Times New Roman" w:cs="Times New Roman"/>
          <w:sz w:val="24"/>
          <w:szCs w:val="24"/>
        </w:rPr>
        <w:t xml:space="preserve">also </w:t>
      </w:r>
      <w:r w:rsidRPr="00D71846">
        <w:rPr>
          <w:rFonts w:ascii="Times New Roman" w:hAnsi="Times New Roman" w:cs="Times New Roman"/>
          <w:sz w:val="24"/>
          <w:szCs w:val="24"/>
        </w:rPr>
        <w:t xml:space="preserve">be concluded that the overall model is statistically significant, or that the variables have a significant combined effect on the dependent variable </w:t>
      </w:r>
      <w:r w:rsidRPr="00D71846">
        <w:rPr>
          <w:rFonts w:ascii="Times New Roman" w:hAnsi="Times New Roman" w:cs="Times New Roman"/>
          <w:color w:val="222222"/>
          <w:sz w:val="24"/>
          <w:szCs w:val="24"/>
          <w:lang w:val="en"/>
        </w:rPr>
        <w:t>and the null hypothesis is rejected (H0: There is no influence of the independent variables to the dependent variables)</w:t>
      </w:r>
      <w:r>
        <w:rPr>
          <w:rFonts w:ascii="Times New Roman" w:hAnsi="Times New Roman" w:cs="Times New Roman"/>
          <w:color w:val="222222"/>
          <w:sz w:val="24"/>
          <w:szCs w:val="24"/>
          <w:lang w:val="en"/>
        </w:rPr>
        <w:t xml:space="preserve"> since the </w:t>
      </w:r>
      <w:r w:rsidRPr="00D71846">
        <w:rPr>
          <w:rFonts w:ascii="Times New Roman" w:hAnsi="Times New Roman" w:cs="Times New Roman"/>
          <w:sz w:val="24"/>
          <w:szCs w:val="24"/>
        </w:rPr>
        <w:t>sig. (or p-value) is .006 which is below the .10 level</w:t>
      </w:r>
      <w:r>
        <w:rPr>
          <w:rFonts w:ascii="Times New Roman" w:hAnsi="Times New Roman" w:cs="Times New Roman"/>
          <w:sz w:val="24"/>
          <w:szCs w:val="24"/>
        </w:rPr>
        <w:t xml:space="preserve"> (see table1 appendix)</w:t>
      </w:r>
      <w:r w:rsidRPr="00D71846">
        <w:rPr>
          <w:rFonts w:ascii="Times New Roman" w:hAnsi="Times New Roman" w:cs="Times New Roman"/>
          <w:color w:val="222222"/>
          <w:sz w:val="24"/>
          <w:szCs w:val="24"/>
          <w:lang w:val="en"/>
        </w:rPr>
        <w:t>.</w:t>
      </w:r>
    </w:p>
    <w:p w:rsidR="00976DC4" w:rsidRPr="00D71846" w:rsidRDefault="00976DC4" w:rsidP="008527C3">
      <w:pPr>
        <w:autoSpaceDE w:val="0"/>
        <w:autoSpaceDN w:val="0"/>
        <w:adjustRightInd w:val="0"/>
        <w:spacing w:after="0" w:line="240" w:lineRule="auto"/>
        <w:jc w:val="both"/>
        <w:rPr>
          <w:rFonts w:ascii="Times New Roman" w:hAnsi="Times New Roman" w:cs="Times New Roman"/>
          <w:sz w:val="24"/>
          <w:szCs w:val="24"/>
        </w:rPr>
      </w:pPr>
    </w:p>
    <w:p w:rsidR="00976DC4" w:rsidRPr="00D71846" w:rsidRDefault="00976DC4" w:rsidP="008527C3">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Table </w:t>
      </w:r>
      <w:r w:rsidR="008527C3">
        <w:rPr>
          <w:rFonts w:ascii="Times New Roman" w:hAnsi="Times New Roman" w:cs="Times New Roman"/>
          <w:sz w:val="24"/>
          <w:szCs w:val="24"/>
        </w:rPr>
        <w:t>5</w:t>
      </w:r>
      <w:r w:rsidRPr="00D71846">
        <w:rPr>
          <w:rFonts w:ascii="Times New Roman" w:hAnsi="Times New Roman" w:cs="Times New Roman"/>
          <w:sz w:val="24"/>
          <w:szCs w:val="24"/>
        </w:rPr>
        <w:t xml:space="preserve"> shows the effects of the individual independents.</w:t>
      </w:r>
    </w:p>
    <w:p w:rsidR="00976DC4" w:rsidRPr="00D71846" w:rsidRDefault="00976DC4" w:rsidP="008527C3">
      <w:pPr>
        <w:pStyle w:val="HTMLPreformatted"/>
        <w:shd w:val="clear" w:color="auto" w:fill="FFFFFF"/>
        <w:jc w:val="both"/>
        <w:rPr>
          <w:rFonts w:ascii="Times New Roman" w:hAnsi="Times New Roman" w:cs="Times New Roman"/>
          <w:b/>
          <w:sz w:val="24"/>
          <w:szCs w:val="24"/>
        </w:rPr>
      </w:pPr>
    </w:p>
    <w:p w:rsidR="00976DC4" w:rsidRPr="00D71846" w:rsidRDefault="00976DC4" w:rsidP="0011696C">
      <w:pPr>
        <w:autoSpaceDE w:val="0"/>
        <w:autoSpaceDN w:val="0"/>
        <w:adjustRightInd w:val="0"/>
        <w:spacing w:after="0" w:line="240" w:lineRule="auto"/>
        <w:jc w:val="both"/>
        <w:rPr>
          <w:rFonts w:ascii="Times New Roman" w:hAnsi="Times New Roman" w:cs="Times New Roman"/>
          <w:b/>
          <w:sz w:val="24"/>
          <w:szCs w:val="24"/>
        </w:rPr>
      </w:pPr>
      <w:r w:rsidRPr="00D71846">
        <w:rPr>
          <w:rFonts w:ascii="Times New Roman" w:hAnsi="Times New Roman" w:cs="Times New Roman"/>
          <w:b/>
          <w:sz w:val="24"/>
          <w:szCs w:val="24"/>
        </w:rPr>
        <w:t xml:space="preserve">Table </w:t>
      </w:r>
      <w:r w:rsidR="006F3149">
        <w:rPr>
          <w:rFonts w:ascii="Times New Roman" w:hAnsi="Times New Roman" w:cs="Times New Roman"/>
          <w:b/>
          <w:sz w:val="24"/>
          <w:szCs w:val="24"/>
        </w:rPr>
        <w:t>5</w:t>
      </w:r>
      <w:r w:rsidRPr="00D71846">
        <w:rPr>
          <w:rFonts w:ascii="Times New Roman" w:hAnsi="Times New Roman" w:cs="Times New Roman"/>
          <w:b/>
          <w:sz w:val="24"/>
          <w:szCs w:val="24"/>
        </w:rPr>
        <w:t xml:space="preserve"> Effects of </w:t>
      </w:r>
      <w:r w:rsidR="0011696C">
        <w:rPr>
          <w:rFonts w:ascii="Times New Roman" w:hAnsi="Times New Roman" w:cs="Times New Roman"/>
          <w:b/>
          <w:sz w:val="24"/>
          <w:szCs w:val="24"/>
        </w:rPr>
        <w:t>I</w:t>
      </w:r>
      <w:r w:rsidRPr="00D71846">
        <w:rPr>
          <w:rFonts w:ascii="Times New Roman" w:hAnsi="Times New Roman" w:cs="Times New Roman"/>
          <w:b/>
          <w:sz w:val="24"/>
          <w:szCs w:val="24"/>
        </w:rPr>
        <w:t xml:space="preserve">ndividual </w:t>
      </w:r>
      <w:r w:rsidR="0011696C">
        <w:rPr>
          <w:rFonts w:ascii="Times New Roman" w:hAnsi="Times New Roman" w:cs="Times New Roman"/>
          <w:b/>
          <w:sz w:val="24"/>
          <w:szCs w:val="24"/>
        </w:rPr>
        <w:t>I</w:t>
      </w:r>
      <w:r w:rsidRPr="00D71846">
        <w:rPr>
          <w:rFonts w:ascii="Times New Roman" w:hAnsi="Times New Roman" w:cs="Times New Roman"/>
          <w:b/>
          <w:sz w:val="24"/>
          <w:szCs w:val="24"/>
        </w:rPr>
        <w:t>ndependents</w:t>
      </w:r>
    </w:p>
    <w:tbl>
      <w:tblPr>
        <w:tblpPr w:leftFromText="180" w:rightFromText="180" w:vertAnchor="text" w:horzAnchor="page" w:tblpXSpec="center" w:tblpY="222"/>
        <w:tblW w:w="8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11"/>
        <w:gridCol w:w="904"/>
        <w:gridCol w:w="1046"/>
        <w:gridCol w:w="1153"/>
        <w:gridCol w:w="1109"/>
        <w:gridCol w:w="1076"/>
        <w:gridCol w:w="1165"/>
        <w:gridCol w:w="1046"/>
      </w:tblGrid>
      <w:tr w:rsidR="00976DC4" w:rsidRPr="00D71846" w:rsidTr="009A6873">
        <w:trPr>
          <w:cantSplit/>
          <w:trHeight w:val="484"/>
        </w:trPr>
        <w:tc>
          <w:tcPr>
            <w:tcW w:w="1251" w:type="dxa"/>
            <w:gridSpan w:val="2"/>
            <w:vMerge w:val="restart"/>
            <w:tcBorders>
              <w:top w:val="single" w:sz="16" w:space="0" w:color="000000"/>
              <w:left w:val="single" w:sz="16" w:space="0" w:color="000000"/>
              <w:bottom w:val="nil"/>
              <w:right w:val="nil"/>
            </w:tcBorders>
            <w:shd w:val="clear" w:color="auto" w:fill="FFFFFF"/>
            <w:vAlign w:val="center"/>
          </w:tcPr>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p>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p>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Model</w:t>
            </w:r>
          </w:p>
        </w:tc>
        <w:tc>
          <w:tcPr>
            <w:tcW w:w="1950" w:type="dxa"/>
            <w:gridSpan w:val="2"/>
            <w:tcBorders>
              <w:top w:val="single" w:sz="16" w:space="0" w:color="000000"/>
              <w:left w:val="single" w:sz="16" w:space="0" w:color="000000"/>
            </w:tcBorders>
            <w:shd w:val="clear" w:color="auto" w:fill="FFFFFF"/>
            <w:vAlign w:val="center"/>
          </w:tcPr>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Unstandardized Coefficients</w:t>
            </w:r>
          </w:p>
        </w:tc>
        <w:tc>
          <w:tcPr>
            <w:tcW w:w="1153" w:type="dxa"/>
            <w:tcBorders>
              <w:top w:val="single" w:sz="16" w:space="0" w:color="000000"/>
            </w:tcBorders>
            <w:shd w:val="clear" w:color="auto" w:fill="FFFFFF"/>
            <w:vAlign w:val="center"/>
          </w:tcPr>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Standardized Coefficients</w:t>
            </w:r>
          </w:p>
        </w:tc>
        <w:tc>
          <w:tcPr>
            <w:tcW w:w="1109" w:type="dxa"/>
            <w:vMerge w:val="restart"/>
            <w:tcBorders>
              <w:top w:val="single" w:sz="16" w:space="0" w:color="000000"/>
            </w:tcBorders>
            <w:shd w:val="clear" w:color="auto" w:fill="FFFFFF"/>
            <w:vAlign w:val="center"/>
          </w:tcPr>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t</w:t>
            </w:r>
          </w:p>
        </w:tc>
        <w:tc>
          <w:tcPr>
            <w:tcW w:w="1076" w:type="dxa"/>
            <w:vMerge w:val="restart"/>
            <w:tcBorders>
              <w:top w:val="single" w:sz="16" w:space="0" w:color="000000"/>
            </w:tcBorders>
            <w:shd w:val="clear" w:color="auto" w:fill="FFFFFF"/>
            <w:vAlign w:val="center"/>
          </w:tcPr>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Sig.</w:t>
            </w:r>
          </w:p>
        </w:tc>
        <w:tc>
          <w:tcPr>
            <w:tcW w:w="2211" w:type="dxa"/>
            <w:gridSpan w:val="2"/>
            <w:tcBorders>
              <w:top w:val="single" w:sz="18" w:space="0" w:color="000000"/>
              <w:right w:val="single" w:sz="12" w:space="0" w:color="000000"/>
            </w:tcBorders>
            <w:shd w:val="clear" w:color="auto" w:fill="FFFFFF"/>
            <w:vAlign w:val="center"/>
          </w:tcPr>
          <w:p w:rsidR="00976DC4" w:rsidRPr="00D71846" w:rsidRDefault="00976DC4" w:rsidP="0011696C">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Collinearity Statistics</w:t>
            </w:r>
          </w:p>
        </w:tc>
      </w:tr>
      <w:tr w:rsidR="00976DC4" w:rsidRPr="00D71846" w:rsidTr="009A6873">
        <w:trPr>
          <w:cantSplit/>
          <w:trHeight w:val="108"/>
        </w:trPr>
        <w:tc>
          <w:tcPr>
            <w:tcW w:w="1251" w:type="dxa"/>
            <w:gridSpan w:val="2"/>
            <w:vMerge/>
            <w:tcBorders>
              <w:top w:val="single" w:sz="16" w:space="0" w:color="000000"/>
              <w:left w:val="single" w:sz="16" w:space="0" w:color="000000"/>
              <w:bottom w:val="nil"/>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904" w:type="dxa"/>
            <w:tcBorders>
              <w:left w:val="single" w:sz="16" w:space="0" w:color="000000"/>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B</w:t>
            </w:r>
          </w:p>
        </w:tc>
        <w:tc>
          <w:tcPr>
            <w:tcW w:w="1046" w:type="dxa"/>
            <w:tcBorders>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Std. Error</w:t>
            </w:r>
          </w:p>
        </w:tc>
        <w:tc>
          <w:tcPr>
            <w:tcW w:w="1153" w:type="dxa"/>
            <w:tcBorders>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Beta</w:t>
            </w:r>
          </w:p>
        </w:tc>
        <w:tc>
          <w:tcPr>
            <w:tcW w:w="1109" w:type="dxa"/>
            <w:vMerge/>
            <w:tcBorders>
              <w:top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076" w:type="dxa"/>
            <w:vMerge/>
            <w:tcBorders>
              <w:top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165" w:type="dxa"/>
            <w:tcBorders>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Tolerance</w:t>
            </w:r>
          </w:p>
        </w:tc>
        <w:tc>
          <w:tcPr>
            <w:tcW w:w="1046" w:type="dxa"/>
            <w:tcBorders>
              <w:bottom w:val="single" w:sz="16" w:space="0" w:color="000000"/>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VIF</w:t>
            </w:r>
          </w:p>
        </w:tc>
      </w:tr>
      <w:tr w:rsidR="00976DC4" w:rsidRPr="00D71846" w:rsidTr="009A6873">
        <w:trPr>
          <w:cantSplit/>
          <w:trHeight w:val="320"/>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w:t>
            </w:r>
          </w:p>
        </w:tc>
        <w:tc>
          <w:tcPr>
            <w:tcW w:w="1211" w:type="dxa"/>
            <w:tcBorders>
              <w:top w:val="single" w:sz="16" w:space="0" w:color="000000"/>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(Constant)</w:t>
            </w:r>
          </w:p>
        </w:tc>
        <w:tc>
          <w:tcPr>
            <w:tcW w:w="904" w:type="dxa"/>
            <w:tcBorders>
              <w:top w:val="single" w:sz="16" w:space="0" w:color="000000"/>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.293</w:t>
            </w:r>
          </w:p>
        </w:tc>
        <w:tc>
          <w:tcPr>
            <w:tcW w:w="1046" w:type="dxa"/>
            <w:tcBorders>
              <w:top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.120</w:t>
            </w:r>
          </w:p>
        </w:tc>
        <w:tc>
          <w:tcPr>
            <w:tcW w:w="1153" w:type="dxa"/>
            <w:tcBorders>
              <w:top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109" w:type="dxa"/>
            <w:tcBorders>
              <w:top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2.439</w:t>
            </w:r>
          </w:p>
        </w:tc>
        <w:tc>
          <w:tcPr>
            <w:tcW w:w="1076" w:type="dxa"/>
            <w:tcBorders>
              <w:top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.021</w:t>
            </w:r>
          </w:p>
        </w:tc>
        <w:tc>
          <w:tcPr>
            <w:tcW w:w="1165" w:type="dxa"/>
            <w:tcBorders>
              <w:top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046" w:type="dxa"/>
            <w:tcBorders>
              <w:top w:val="single" w:sz="16" w:space="0" w:color="000000"/>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r>
      <w:tr w:rsidR="00976DC4" w:rsidRPr="00D71846" w:rsidTr="009A6873">
        <w:trPr>
          <w:cantSplit/>
          <w:trHeight w:val="10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SIZE</w:t>
            </w:r>
          </w:p>
        </w:tc>
        <w:tc>
          <w:tcPr>
            <w:tcW w:w="904" w:type="dxa"/>
            <w:tcBorders>
              <w:top w:val="nil"/>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lang w:val="el-GR"/>
              </w:rPr>
            </w:pPr>
            <w:r w:rsidRPr="00D71846">
              <w:rPr>
                <w:rFonts w:ascii="Times New Roman" w:hAnsi="Times New Roman" w:cs="Times New Roman"/>
                <w:sz w:val="20"/>
                <w:szCs w:val="20"/>
              </w:rPr>
              <w:t>-2.8</w:t>
            </w:r>
            <w:r w:rsidRPr="00D71846">
              <w:rPr>
                <w:rFonts w:ascii="Times New Roman" w:hAnsi="Times New Roman" w:cs="Times New Roman"/>
                <w:sz w:val="20"/>
                <w:szCs w:val="20"/>
                <w:lang w:val="el-GR"/>
              </w:rPr>
              <w:t>01</w:t>
            </w:r>
          </w:p>
        </w:tc>
        <w:tc>
          <w:tcPr>
            <w:tcW w:w="104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.000</w:t>
            </w:r>
          </w:p>
        </w:tc>
        <w:tc>
          <w:tcPr>
            <w:tcW w:w="1153"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.045</w:t>
            </w:r>
          </w:p>
        </w:tc>
        <w:tc>
          <w:tcPr>
            <w:tcW w:w="1109"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.244</w:t>
            </w:r>
          </w:p>
        </w:tc>
        <w:tc>
          <w:tcPr>
            <w:tcW w:w="107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.007</w:t>
            </w:r>
          </w:p>
        </w:tc>
        <w:tc>
          <w:tcPr>
            <w:tcW w:w="1165"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0.530</w:t>
            </w:r>
          </w:p>
        </w:tc>
        <w:tc>
          <w:tcPr>
            <w:tcW w:w="1046" w:type="dxa"/>
            <w:tcBorders>
              <w:top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1.886</w:t>
            </w:r>
          </w:p>
        </w:tc>
      </w:tr>
      <w:tr w:rsidR="00976DC4" w:rsidRPr="00D71846" w:rsidTr="009A6873">
        <w:trPr>
          <w:cantSplit/>
          <w:trHeight w:val="10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PROV</w:t>
            </w:r>
          </w:p>
        </w:tc>
        <w:tc>
          <w:tcPr>
            <w:tcW w:w="904" w:type="dxa"/>
            <w:tcBorders>
              <w:top w:val="nil"/>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.011</w:t>
            </w:r>
          </w:p>
        </w:tc>
        <w:tc>
          <w:tcPr>
            <w:tcW w:w="104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.077</w:t>
            </w:r>
          </w:p>
        </w:tc>
        <w:tc>
          <w:tcPr>
            <w:tcW w:w="1153"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.014</w:t>
            </w:r>
          </w:p>
        </w:tc>
        <w:tc>
          <w:tcPr>
            <w:tcW w:w="1109"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.064</w:t>
            </w:r>
          </w:p>
        </w:tc>
        <w:tc>
          <w:tcPr>
            <w:tcW w:w="107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49</w:t>
            </w:r>
          </w:p>
        </w:tc>
        <w:tc>
          <w:tcPr>
            <w:tcW w:w="1165"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0.412</w:t>
            </w:r>
          </w:p>
        </w:tc>
        <w:tc>
          <w:tcPr>
            <w:tcW w:w="1046" w:type="dxa"/>
            <w:tcBorders>
              <w:top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2.426</w:t>
            </w:r>
          </w:p>
        </w:tc>
      </w:tr>
      <w:tr w:rsidR="00976DC4" w:rsidRPr="00D71846" w:rsidTr="009A6873">
        <w:trPr>
          <w:cantSplit/>
          <w:trHeight w:val="10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NIM</w:t>
            </w:r>
          </w:p>
        </w:tc>
        <w:tc>
          <w:tcPr>
            <w:tcW w:w="904" w:type="dxa"/>
            <w:tcBorders>
              <w:top w:val="nil"/>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.245</w:t>
            </w:r>
          </w:p>
        </w:tc>
        <w:tc>
          <w:tcPr>
            <w:tcW w:w="104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.021</w:t>
            </w:r>
          </w:p>
        </w:tc>
        <w:tc>
          <w:tcPr>
            <w:tcW w:w="1153"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.453</w:t>
            </w:r>
          </w:p>
        </w:tc>
        <w:tc>
          <w:tcPr>
            <w:tcW w:w="1109"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2.025</w:t>
            </w:r>
          </w:p>
        </w:tc>
        <w:tc>
          <w:tcPr>
            <w:tcW w:w="107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.052</w:t>
            </w:r>
          </w:p>
        </w:tc>
        <w:tc>
          <w:tcPr>
            <w:tcW w:w="1165"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0.364</w:t>
            </w:r>
          </w:p>
        </w:tc>
        <w:tc>
          <w:tcPr>
            <w:tcW w:w="1046" w:type="dxa"/>
            <w:tcBorders>
              <w:top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2.747</w:t>
            </w:r>
          </w:p>
        </w:tc>
      </w:tr>
      <w:tr w:rsidR="00976DC4" w:rsidRPr="00D71846" w:rsidTr="009A6873">
        <w:trPr>
          <w:cantSplit/>
          <w:trHeight w:val="10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LEV</w:t>
            </w:r>
          </w:p>
        </w:tc>
        <w:tc>
          <w:tcPr>
            <w:tcW w:w="904" w:type="dxa"/>
            <w:tcBorders>
              <w:top w:val="nil"/>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.102</w:t>
            </w:r>
          </w:p>
        </w:tc>
        <w:tc>
          <w:tcPr>
            <w:tcW w:w="104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.005</w:t>
            </w:r>
          </w:p>
        </w:tc>
        <w:tc>
          <w:tcPr>
            <w:tcW w:w="1153"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.196</w:t>
            </w:r>
          </w:p>
        </w:tc>
        <w:tc>
          <w:tcPr>
            <w:tcW w:w="1109"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.967</w:t>
            </w:r>
          </w:p>
        </w:tc>
        <w:tc>
          <w:tcPr>
            <w:tcW w:w="107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.342</w:t>
            </w:r>
          </w:p>
        </w:tc>
        <w:tc>
          <w:tcPr>
            <w:tcW w:w="1165"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0.443</w:t>
            </w:r>
          </w:p>
        </w:tc>
        <w:tc>
          <w:tcPr>
            <w:tcW w:w="1046" w:type="dxa"/>
            <w:tcBorders>
              <w:top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2.259</w:t>
            </w:r>
          </w:p>
        </w:tc>
      </w:tr>
      <w:tr w:rsidR="00976DC4" w:rsidRPr="00D71846" w:rsidTr="009A6873">
        <w:trPr>
          <w:cantSplit/>
          <w:trHeight w:val="10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ROA</w:t>
            </w:r>
          </w:p>
        </w:tc>
        <w:tc>
          <w:tcPr>
            <w:tcW w:w="904" w:type="dxa"/>
            <w:tcBorders>
              <w:top w:val="nil"/>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1.067</w:t>
            </w:r>
          </w:p>
        </w:tc>
        <w:tc>
          <w:tcPr>
            <w:tcW w:w="104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.044</w:t>
            </w:r>
          </w:p>
        </w:tc>
        <w:tc>
          <w:tcPr>
            <w:tcW w:w="1153"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.287</w:t>
            </w:r>
          </w:p>
        </w:tc>
        <w:tc>
          <w:tcPr>
            <w:tcW w:w="1109"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1.655</w:t>
            </w:r>
          </w:p>
        </w:tc>
        <w:tc>
          <w:tcPr>
            <w:tcW w:w="107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.109</w:t>
            </w:r>
          </w:p>
        </w:tc>
        <w:tc>
          <w:tcPr>
            <w:tcW w:w="1165"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0.605</w:t>
            </w:r>
          </w:p>
        </w:tc>
        <w:tc>
          <w:tcPr>
            <w:tcW w:w="1046" w:type="dxa"/>
            <w:tcBorders>
              <w:top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1.652</w:t>
            </w:r>
          </w:p>
        </w:tc>
      </w:tr>
      <w:tr w:rsidR="00976DC4" w:rsidRPr="00D71846" w:rsidTr="009A6873">
        <w:trPr>
          <w:cantSplit/>
          <w:trHeight w:val="10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LQDT</w:t>
            </w:r>
          </w:p>
        </w:tc>
        <w:tc>
          <w:tcPr>
            <w:tcW w:w="904" w:type="dxa"/>
            <w:tcBorders>
              <w:top w:val="nil"/>
              <w:left w:val="single" w:sz="16" w:space="0" w:color="000000"/>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.199</w:t>
            </w:r>
          </w:p>
        </w:tc>
        <w:tc>
          <w:tcPr>
            <w:tcW w:w="104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.034</w:t>
            </w:r>
          </w:p>
        </w:tc>
        <w:tc>
          <w:tcPr>
            <w:tcW w:w="1153"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.299</w:t>
            </w:r>
          </w:p>
        </w:tc>
        <w:tc>
          <w:tcPr>
            <w:tcW w:w="1109"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-1.486</w:t>
            </w:r>
          </w:p>
        </w:tc>
        <w:tc>
          <w:tcPr>
            <w:tcW w:w="1076"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.148</w:t>
            </w:r>
          </w:p>
        </w:tc>
        <w:tc>
          <w:tcPr>
            <w:tcW w:w="1165" w:type="dxa"/>
            <w:tcBorders>
              <w:top w:val="nil"/>
              <w:bottom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0.450</w:t>
            </w:r>
          </w:p>
        </w:tc>
        <w:tc>
          <w:tcPr>
            <w:tcW w:w="1046" w:type="dxa"/>
            <w:tcBorders>
              <w:top w:val="nil"/>
              <w:bottom w:val="nil"/>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2.221</w:t>
            </w:r>
          </w:p>
        </w:tc>
      </w:tr>
      <w:tr w:rsidR="00976DC4" w:rsidRPr="00D71846" w:rsidTr="009A6873">
        <w:trPr>
          <w:cantSplit/>
          <w:trHeight w:val="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p>
        </w:tc>
        <w:tc>
          <w:tcPr>
            <w:tcW w:w="1211" w:type="dxa"/>
            <w:tcBorders>
              <w:top w:val="nil"/>
              <w:left w:val="nil"/>
              <w:bottom w:val="single" w:sz="16" w:space="0" w:color="000000"/>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RISK</w:t>
            </w:r>
          </w:p>
        </w:tc>
        <w:tc>
          <w:tcPr>
            <w:tcW w:w="904" w:type="dxa"/>
            <w:tcBorders>
              <w:top w:val="nil"/>
              <w:left w:val="single" w:sz="16" w:space="0" w:color="000000"/>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.215</w:t>
            </w:r>
          </w:p>
        </w:tc>
        <w:tc>
          <w:tcPr>
            <w:tcW w:w="1046" w:type="dxa"/>
            <w:tcBorders>
              <w:top w:val="nil"/>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.086</w:t>
            </w:r>
          </w:p>
        </w:tc>
        <w:tc>
          <w:tcPr>
            <w:tcW w:w="1153" w:type="dxa"/>
            <w:tcBorders>
              <w:top w:val="nil"/>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w:t>
            </w:r>
            <w:r w:rsidRPr="00D71846">
              <w:rPr>
                <w:rFonts w:ascii="Times New Roman" w:hAnsi="Times New Roman" w:cs="Times New Roman"/>
                <w:sz w:val="20"/>
                <w:szCs w:val="20"/>
                <w:lang w:val="el-GR"/>
              </w:rPr>
              <w:t>0</w:t>
            </w:r>
            <w:r w:rsidRPr="00D71846">
              <w:rPr>
                <w:rFonts w:ascii="Times New Roman" w:hAnsi="Times New Roman" w:cs="Times New Roman"/>
                <w:sz w:val="20"/>
                <w:szCs w:val="20"/>
              </w:rPr>
              <w:t>.605</w:t>
            </w:r>
          </w:p>
        </w:tc>
        <w:tc>
          <w:tcPr>
            <w:tcW w:w="1109" w:type="dxa"/>
            <w:tcBorders>
              <w:top w:val="nil"/>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-2.507</w:t>
            </w:r>
          </w:p>
        </w:tc>
        <w:tc>
          <w:tcPr>
            <w:tcW w:w="1076" w:type="dxa"/>
            <w:tcBorders>
              <w:top w:val="nil"/>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lang w:val="el-GR"/>
              </w:rPr>
              <w:t>0</w:t>
            </w:r>
            <w:r w:rsidRPr="00D71846">
              <w:rPr>
                <w:rFonts w:ascii="Times New Roman" w:hAnsi="Times New Roman" w:cs="Times New Roman"/>
                <w:sz w:val="20"/>
                <w:szCs w:val="20"/>
              </w:rPr>
              <w:t>.018</w:t>
            </w:r>
          </w:p>
        </w:tc>
        <w:tc>
          <w:tcPr>
            <w:tcW w:w="1165" w:type="dxa"/>
            <w:tcBorders>
              <w:top w:val="nil"/>
              <w:bottom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0.313</w:t>
            </w:r>
          </w:p>
        </w:tc>
        <w:tc>
          <w:tcPr>
            <w:tcW w:w="1046" w:type="dxa"/>
            <w:tcBorders>
              <w:top w:val="nil"/>
              <w:bottom w:val="single" w:sz="16" w:space="0" w:color="000000"/>
              <w:right w:val="single" w:sz="16" w:space="0" w:color="000000"/>
            </w:tcBorders>
            <w:shd w:val="clear" w:color="auto" w:fill="FFFFFF"/>
            <w:vAlign w:val="center"/>
          </w:tcPr>
          <w:p w:rsidR="00976DC4" w:rsidRPr="00D71846" w:rsidRDefault="00976DC4" w:rsidP="009A6873">
            <w:pPr>
              <w:autoSpaceDE w:val="0"/>
              <w:autoSpaceDN w:val="0"/>
              <w:adjustRightInd w:val="0"/>
              <w:spacing w:after="0" w:line="240" w:lineRule="auto"/>
              <w:jc w:val="center"/>
              <w:rPr>
                <w:rFonts w:ascii="Times New Roman" w:hAnsi="Times New Roman" w:cs="Times New Roman"/>
                <w:sz w:val="20"/>
                <w:szCs w:val="20"/>
              </w:rPr>
            </w:pPr>
            <w:r w:rsidRPr="00D71846">
              <w:rPr>
                <w:rFonts w:ascii="Times New Roman" w:hAnsi="Times New Roman" w:cs="Times New Roman"/>
                <w:sz w:val="20"/>
                <w:szCs w:val="20"/>
              </w:rPr>
              <w:t>3.193</w:t>
            </w:r>
          </w:p>
        </w:tc>
      </w:tr>
    </w:tbl>
    <w:p w:rsidR="00976DC4" w:rsidRPr="00D71846" w:rsidRDefault="00976DC4" w:rsidP="00976DC4">
      <w:pPr>
        <w:pStyle w:val="HTMLPreformatted"/>
        <w:shd w:val="clear" w:color="auto" w:fill="FFFFFF"/>
        <w:jc w:val="both"/>
        <w:rPr>
          <w:rFonts w:ascii="Times New Roman" w:eastAsiaTheme="minorHAnsi"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color w:val="222222"/>
          <w:sz w:val="24"/>
          <w:szCs w:val="24"/>
          <w:lang w:val="en"/>
        </w:rPr>
        <w:t xml:space="preserve">Tolerance must be greater than 0.1 (or VIF &lt; 10), which is true to all the above variables. Unstandardized coefficients show how the dependent variable changes with the independent variable when all other independent variables are held constant. The test sig. = 0.000 &lt; 0.05, therefore the null hypothesis is rejected for each of the variables. </w:t>
      </w:r>
      <w:r w:rsidRPr="00D71846">
        <w:rPr>
          <w:rFonts w:ascii="Times New Roman" w:hAnsi="Times New Roman" w:cs="Times New Roman"/>
          <w:sz w:val="24"/>
          <w:szCs w:val="24"/>
        </w:rPr>
        <w:t>We can see that the s</w:t>
      </w:r>
      <w:r w:rsidRPr="00D71846">
        <w:rPr>
          <w:rFonts w:ascii="Times New Roman" w:hAnsi="Times New Roman" w:cs="Times New Roman"/>
          <w:bCs/>
          <w:iCs/>
          <w:sz w:val="24"/>
          <w:szCs w:val="24"/>
        </w:rPr>
        <w:t>ize of the bank</w:t>
      </w:r>
      <w:r w:rsidRPr="00D71846">
        <w:rPr>
          <w:rFonts w:ascii="Times New Roman" w:hAnsi="Times New Roman" w:cs="Times New Roman"/>
          <w:sz w:val="24"/>
          <w:szCs w:val="24"/>
        </w:rPr>
        <w:t xml:space="preserve"> (.021),</w:t>
      </w:r>
      <w:r w:rsidRPr="00D71846">
        <w:rPr>
          <w:rFonts w:ascii="Times New Roman" w:hAnsi="Times New Roman" w:cs="Times New Roman"/>
          <w:bCs/>
          <w:iCs/>
          <w:sz w:val="24"/>
          <w:szCs w:val="24"/>
        </w:rPr>
        <w:t xml:space="preserve"> the provisions index (0.049), the net interest as a percentage of interest receivable (0.052),</w:t>
      </w:r>
      <w:r w:rsidRPr="00D71846">
        <w:rPr>
          <w:rFonts w:ascii="Times New Roman" w:hAnsi="Times New Roman" w:cs="Times New Roman"/>
          <w:sz w:val="24"/>
          <w:szCs w:val="24"/>
        </w:rPr>
        <w:t xml:space="preserve"> and risk (.018) are significant predictors (or significantly related to) of </w:t>
      </w:r>
      <w:r w:rsidRPr="00D71846">
        <w:rPr>
          <w:rFonts w:ascii="Times New Roman" w:hAnsi="Times New Roman" w:cs="Times New Roman"/>
          <w:bCs/>
          <w:iCs/>
          <w:sz w:val="24"/>
          <w:szCs w:val="24"/>
        </w:rPr>
        <w:t>Capital Adequacy Ratio</w:t>
      </w:r>
      <w:r w:rsidRPr="00D71846">
        <w:rPr>
          <w:rFonts w:ascii="Times New Roman" w:hAnsi="Times New Roman" w:cs="Times New Roman"/>
          <w:sz w:val="24"/>
          <w:szCs w:val="24"/>
        </w:rPr>
        <w:t>.</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 xml:space="preserve">The </w:t>
      </w:r>
      <w:proofErr w:type="spellStart"/>
      <w:r w:rsidRPr="00D71846">
        <w:rPr>
          <w:rFonts w:ascii="Times New Roman" w:hAnsi="Times New Roman" w:cs="Times New Roman"/>
          <w:sz w:val="24"/>
          <w:szCs w:val="24"/>
        </w:rPr>
        <w:t>standardised</w:t>
      </w:r>
      <w:proofErr w:type="spellEnd"/>
      <w:r w:rsidRPr="00D71846">
        <w:rPr>
          <w:rFonts w:ascii="Times New Roman" w:hAnsi="Times New Roman" w:cs="Times New Roman"/>
          <w:sz w:val="24"/>
          <w:szCs w:val="24"/>
        </w:rPr>
        <w:t xml:space="preserve"> beta indicates the strength and direction of the relationships (interpreted like correlation coefficients). Size, LEV, LQDT, and RISK are negatively to CAR [(-0.045)</w:t>
      </w:r>
      <w:proofErr w:type="gramStart"/>
      <w:r w:rsidRPr="00D71846">
        <w:rPr>
          <w:rFonts w:ascii="Times New Roman" w:hAnsi="Times New Roman" w:cs="Times New Roman"/>
          <w:sz w:val="24"/>
          <w:szCs w:val="24"/>
        </w:rPr>
        <w:t>,(</w:t>
      </w:r>
      <w:proofErr w:type="gramEnd"/>
      <w:r w:rsidRPr="00D71846">
        <w:rPr>
          <w:rFonts w:ascii="Times New Roman" w:hAnsi="Times New Roman" w:cs="Times New Roman"/>
          <w:sz w:val="24"/>
          <w:szCs w:val="24"/>
        </w:rPr>
        <w:t>-0.196),(-0.299),( -0.605) respectively] while PROV, NIM, and ROA are positively related [(0.014),( 0.453), (0.287)</w:t>
      </w:r>
      <w:r w:rsidRPr="00D71846">
        <w:rPr>
          <w:rFonts w:ascii="Times New Roman" w:hAnsi="Times New Roman" w:cs="Times New Roman"/>
        </w:rPr>
        <w:t xml:space="preserve"> </w:t>
      </w:r>
      <w:r w:rsidRPr="00D71846">
        <w:rPr>
          <w:rFonts w:ascii="Times New Roman" w:hAnsi="Times New Roman" w:cs="Times New Roman"/>
          <w:sz w:val="24"/>
          <w:szCs w:val="24"/>
        </w:rPr>
        <w:t>respectively].</w:t>
      </w:r>
      <w:r w:rsidRPr="00D71846">
        <w:rPr>
          <w:rFonts w:ascii="Times New Roman" w:hAnsi="Times New Roman" w:cs="Times New Roman"/>
        </w:rPr>
        <w:t xml:space="preserve"> </w:t>
      </w:r>
      <w:r w:rsidRPr="00D71846">
        <w:rPr>
          <w:rFonts w:ascii="Times New Roman" w:hAnsi="Times New Roman" w:cs="Times New Roman"/>
          <w:sz w:val="24"/>
          <w:szCs w:val="24"/>
        </w:rPr>
        <w:t>Inspection of individual predictors reveals that s</w:t>
      </w:r>
      <w:r w:rsidRPr="00D71846">
        <w:rPr>
          <w:rFonts w:ascii="Times New Roman" w:hAnsi="Times New Roman" w:cs="Times New Roman"/>
          <w:bCs/>
          <w:iCs/>
          <w:sz w:val="24"/>
          <w:szCs w:val="24"/>
        </w:rPr>
        <w:t xml:space="preserve">ize </w:t>
      </w:r>
      <w:r w:rsidRPr="00D71846">
        <w:rPr>
          <w:rFonts w:ascii="Times New Roman" w:hAnsi="Times New Roman" w:cs="Times New Roman"/>
          <w:sz w:val="24"/>
          <w:szCs w:val="24"/>
        </w:rPr>
        <w:t xml:space="preserve">(Beta = -2.801, p &lt; .05), </w:t>
      </w:r>
      <w:r w:rsidRPr="00D71846">
        <w:rPr>
          <w:rFonts w:ascii="Times New Roman" w:hAnsi="Times New Roman" w:cs="Times New Roman"/>
          <w:bCs/>
          <w:iCs/>
          <w:sz w:val="24"/>
          <w:szCs w:val="24"/>
        </w:rPr>
        <w:t>the provisions index</w:t>
      </w:r>
      <w:r w:rsidRPr="00D71846">
        <w:rPr>
          <w:rFonts w:ascii="Times New Roman" w:hAnsi="Times New Roman" w:cs="Times New Roman"/>
          <w:sz w:val="24"/>
          <w:szCs w:val="24"/>
        </w:rPr>
        <w:t xml:space="preserve"> (Beta = 0.011, p &lt; .05), </w:t>
      </w:r>
      <w:r w:rsidRPr="00D71846">
        <w:rPr>
          <w:rFonts w:ascii="Times New Roman" w:hAnsi="Times New Roman" w:cs="Times New Roman"/>
          <w:bCs/>
          <w:iCs/>
          <w:sz w:val="24"/>
          <w:szCs w:val="24"/>
        </w:rPr>
        <w:t xml:space="preserve">the net interest as a percentage of interest receivable </w:t>
      </w:r>
      <w:r w:rsidRPr="00D71846">
        <w:rPr>
          <w:rFonts w:ascii="Times New Roman" w:hAnsi="Times New Roman" w:cs="Times New Roman"/>
          <w:sz w:val="24"/>
          <w:szCs w:val="24"/>
        </w:rPr>
        <w:t xml:space="preserve">(Beta = 0.245, </w:t>
      </w:r>
      <w:proofErr w:type="spellStart"/>
      <w:r w:rsidRPr="00D71846">
        <w:rPr>
          <w:rFonts w:ascii="Times New Roman" w:hAnsi="Times New Roman" w:cs="Times New Roman"/>
          <w:sz w:val="24"/>
          <w:szCs w:val="24"/>
        </w:rPr>
        <w:t>appr</w:t>
      </w:r>
      <w:proofErr w:type="spellEnd"/>
      <w:r w:rsidRPr="00D71846">
        <w:rPr>
          <w:rFonts w:ascii="Times New Roman" w:hAnsi="Times New Roman" w:cs="Times New Roman"/>
          <w:sz w:val="24"/>
          <w:szCs w:val="24"/>
        </w:rPr>
        <w:t xml:space="preserve">. p &lt; .05), and risk </w:t>
      </w:r>
      <w:r w:rsidRPr="00D71846">
        <w:rPr>
          <w:rFonts w:ascii="Times New Roman" w:hAnsi="Times New Roman" w:cs="Times New Roman"/>
          <w:bCs/>
          <w:iCs/>
          <w:sz w:val="24"/>
          <w:szCs w:val="24"/>
        </w:rPr>
        <w:t>of the bank</w:t>
      </w:r>
      <w:r w:rsidRPr="00D71846">
        <w:rPr>
          <w:rFonts w:ascii="Times New Roman" w:hAnsi="Times New Roman" w:cs="Times New Roman"/>
          <w:sz w:val="24"/>
          <w:szCs w:val="24"/>
        </w:rPr>
        <w:t xml:space="preserve"> (Beta = -0.215, p &lt; .05) are significant predictors of </w:t>
      </w:r>
      <w:r w:rsidRPr="00D71846">
        <w:rPr>
          <w:rFonts w:ascii="Times New Roman" w:hAnsi="Times New Roman" w:cs="Times New Roman"/>
          <w:bCs/>
          <w:iCs/>
          <w:sz w:val="24"/>
          <w:szCs w:val="24"/>
        </w:rPr>
        <w:t>Capital Adequacy Ratio</w:t>
      </w:r>
      <w:r w:rsidRPr="00D71846">
        <w:rPr>
          <w:rFonts w:ascii="Times New Roman" w:hAnsi="Times New Roman" w:cs="Times New Roman"/>
          <w:sz w:val="24"/>
          <w:szCs w:val="24"/>
        </w:rPr>
        <w:t>. The other individual predictors are significant at higher levels.</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6F3149" w:rsidP="00976DC4">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Table 6</w:t>
      </w:r>
      <w:r w:rsidR="00976DC4" w:rsidRPr="00D71846">
        <w:rPr>
          <w:rFonts w:ascii="Times New Roman" w:hAnsi="Times New Roman" w:cs="Times New Roman"/>
          <w:sz w:val="24"/>
          <w:szCs w:val="24"/>
        </w:rPr>
        <w:t xml:space="preserve"> shows whether there is a positive or negative relationship between the independent and each explanatory variable and whether it is statistically significant.</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ab/>
      </w:r>
      <w:r>
        <w:rPr>
          <w:rFonts w:ascii="Times New Roman" w:hAnsi="Times New Roman" w:cs="Times New Roman"/>
          <w:b/>
          <w:sz w:val="24"/>
          <w:szCs w:val="24"/>
        </w:rPr>
        <w:t xml:space="preserve">              </w:t>
      </w:r>
      <w:r w:rsidRPr="00D71846">
        <w:rPr>
          <w:rFonts w:ascii="Times New Roman" w:hAnsi="Times New Roman" w:cs="Times New Roman"/>
          <w:b/>
          <w:sz w:val="24"/>
          <w:szCs w:val="24"/>
        </w:rPr>
        <w:t xml:space="preserve">Table </w:t>
      </w:r>
      <w:r w:rsidR="006F3149">
        <w:rPr>
          <w:rFonts w:ascii="Times New Roman" w:hAnsi="Times New Roman" w:cs="Times New Roman"/>
          <w:b/>
          <w:sz w:val="24"/>
          <w:szCs w:val="24"/>
        </w:rPr>
        <w:t>6</w:t>
      </w:r>
      <w:r w:rsidRPr="00D71846">
        <w:rPr>
          <w:rFonts w:ascii="Times New Roman" w:hAnsi="Times New Roman" w:cs="Times New Roman"/>
          <w:b/>
          <w:sz w:val="24"/>
          <w:szCs w:val="24"/>
        </w:rPr>
        <w:t xml:space="preserve"> Type of a Relationship</w:t>
      </w:r>
    </w:p>
    <w:tbl>
      <w:tblPr>
        <w:tblW w:w="0" w:type="auto"/>
        <w:jc w:val="center"/>
        <w:tblLook w:val="04A0" w:firstRow="1" w:lastRow="0" w:firstColumn="1" w:lastColumn="0" w:noHBand="0" w:noVBand="1"/>
      </w:tblPr>
      <w:tblGrid>
        <w:gridCol w:w="803"/>
        <w:gridCol w:w="632"/>
        <w:gridCol w:w="1205"/>
        <w:gridCol w:w="1202"/>
        <w:gridCol w:w="1202"/>
        <w:gridCol w:w="1202"/>
      </w:tblGrid>
      <w:tr w:rsidR="00976DC4" w:rsidRPr="006F3149" w:rsidTr="006F3149">
        <w:trPr>
          <w:trHeight w:val="522"/>
          <w:jc w:val="center"/>
        </w:trPr>
        <w:tc>
          <w:tcPr>
            <w:tcW w:w="0" w:type="auto"/>
            <w:tcBorders>
              <w:top w:val="single" w:sz="12" w:space="0" w:color="auto"/>
              <w:bottom w:val="single" w:sz="4" w:space="0" w:color="auto"/>
            </w:tcBorders>
            <w:shd w:val="clear" w:color="auto" w:fill="auto"/>
            <w:noWrap/>
            <w:vAlign w:val="center"/>
          </w:tcPr>
          <w:p w:rsidR="00976DC4" w:rsidRPr="009A6873" w:rsidRDefault="00976DC4" w:rsidP="006F3149">
            <w:pPr>
              <w:spacing w:after="0" w:line="240" w:lineRule="auto"/>
              <w:rPr>
                <w:rFonts w:ascii="Times New Roman" w:hAnsi="Times New Roman" w:cs="Times New Roman"/>
                <w:b/>
              </w:rPr>
            </w:pPr>
            <w:r w:rsidRPr="009A6873">
              <w:rPr>
                <w:rFonts w:ascii="Times New Roman" w:hAnsi="Times New Roman" w:cs="Times New Roman"/>
                <w:b/>
              </w:rPr>
              <w:t xml:space="preserve">CAR                                    </w:t>
            </w:r>
          </w:p>
        </w:tc>
        <w:tc>
          <w:tcPr>
            <w:tcW w:w="0" w:type="auto"/>
            <w:tcBorders>
              <w:top w:val="single" w:sz="12" w:space="0" w:color="auto"/>
              <w:bottom w:val="single" w:sz="4" w:space="0" w:color="auto"/>
            </w:tcBorders>
            <w:shd w:val="clear" w:color="auto" w:fill="auto"/>
            <w:vAlign w:val="center"/>
          </w:tcPr>
          <w:p w:rsidR="00976DC4" w:rsidRPr="009A6873" w:rsidRDefault="00976DC4" w:rsidP="006F3149">
            <w:pPr>
              <w:spacing w:after="0" w:line="240" w:lineRule="auto"/>
              <w:rPr>
                <w:rFonts w:ascii="Times New Roman" w:hAnsi="Times New Roman" w:cs="Times New Roman"/>
                <w:b/>
              </w:rPr>
            </w:pPr>
            <w:r w:rsidRPr="009A6873">
              <w:rPr>
                <w:rFonts w:ascii="Times New Roman" w:hAnsi="Times New Roman" w:cs="Times New Roman"/>
                <w:b/>
              </w:rPr>
              <w:t>Sign</w:t>
            </w:r>
          </w:p>
        </w:tc>
        <w:tc>
          <w:tcPr>
            <w:tcW w:w="0" w:type="auto"/>
            <w:tcBorders>
              <w:top w:val="single" w:sz="12" w:space="0" w:color="auto"/>
              <w:bottom w:val="single" w:sz="4" w:space="0" w:color="auto"/>
            </w:tcBorders>
            <w:shd w:val="clear" w:color="auto" w:fill="auto"/>
            <w:vAlign w:val="center"/>
          </w:tcPr>
          <w:p w:rsidR="00976DC4" w:rsidRPr="006F3149" w:rsidRDefault="00976DC4" w:rsidP="006F3149">
            <w:pPr>
              <w:spacing w:after="0" w:line="240" w:lineRule="auto"/>
              <w:rPr>
                <w:rFonts w:ascii="Times New Roman" w:hAnsi="Times New Roman" w:cs="Times New Roman"/>
                <w:lang w:val="el-GR"/>
              </w:rPr>
            </w:pPr>
          </w:p>
        </w:tc>
        <w:tc>
          <w:tcPr>
            <w:tcW w:w="0" w:type="auto"/>
            <w:tcBorders>
              <w:top w:val="single" w:sz="12" w:space="0" w:color="auto"/>
              <w:bottom w:val="single" w:sz="4" w:space="0" w:color="auto"/>
            </w:tcBorders>
            <w:shd w:val="clear" w:color="auto" w:fill="auto"/>
            <w:vAlign w:val="center"/>
          </w:tcPr>
          <w:p w:rsidR="00976DC4" w:rsidRPr="006F3149" w:rsidRDefault="00976DC4" w:rsidP="006F3149">
            <w:pPr>
              <w:spacing w:after="0" w:line="240" w:lineRule="auto"/>
              <w:rPr>
                <w:rFonts w:ascii="Times New Roman" w:hAnsi="Times New Roman" w:cs="Times New Roman"/>
                <w:lang w:val="el-GR"/>
              </w:rPr>
            </w:pPr>
          </w:p>
        </w:tc>
        <w:tc>
          <w:tcPr>
            <w:tcW w:w="0" w:type="auto"/>
            <w:tcBorders>
              <w:top w:val="single" w:sz="12" w:space="0" w:color="auto"/>
              <w:bottom w:val="single" w:sz="4" w:space="0" w:color="auto"/>
            </w:tcBorders>
            <w:shd w:val="clear" w:color="auto" w:fill="auto"/>
            <w:vAlign w:val="center"/>
          </w:tcPr>
          <w:p w:rsidR="00976DC4" w:rsidRPr="006F3149" w:rsidRDefault="00976DC4" w:rsidP="006F3149">
            <w:pPr>
              <w:spacing w:after="0" w:line="240" w:lineRule="auto"/>
              <w:rPr>
                <w:rFonts w:ascii="Times New Roman" w:hAnsi="Times New Roman" w:cs="Times New Roman"/>
                <w:lang w:val="el-GR"/>
              </w:rPr>
            </w:pPr>
          </w:p>
        </w:tc>
        <w:tc>
          <w:tcPr>
            <w:tcW w:w="0" w:type="auto"/>
            <w:tcBorders>
              <w:top w:val="single" w:sz="12" w:space="0" w:color="auto"/>
              <w:bottom w:val="single" w:sz="4" w:space="0" w:color="auto"/>
            </w:tcBorders>
            <w:shd w:val="clear" w:color="auto" w:fill="auto"/>
            <w:vAlign w:val="center"/>
          </w:tcPr>
          <w:p w:rsidR="00976DC4" w:rsidRPr="006F3149" w:rsidRDefault="00976DC4" w:rsidP="006F3149">
            <w:pPr>
              <w:spacing w:after="0" w:line="240" w:lineRule="auto"/>
              <w:rPr>
                <w:rFonts w:ascii="Times New Roman" w:hAnsi="Times New Roman" w:cs="Times New Roman"/>
                <w:lang w:val="el-GR"/>
              </w:rPr>
            </w:pPr>
          </w:p>
        </w:tc>
      </w:tr>
      <w:tr w:rsidR="00976DC4" w:rsidRPr="006F3149" w:rsidTr="006F3149">
        <w:trPr>
          <w:trHeight w:val="409"/>
          <w:jc w:val="center"/>
        </w:trPr>
        <w:tc>
          <w:tcPr>
            <w:tcW w:w="0" w:type="auto"/>
            <w:tcBorders>
              <w:top w:val="single" w:sz="4" w:space="0" w:color="auto"/>
            </w:tcBorders>
            <w:noWrap/>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SIZE</w:t>
            </w:r>
          </w:p>
        </w:tc>
        <w:tc>
          <w:tcPr>
            <w:tcW w:w="0" w:type="auto"/>
            <w:tcBorders>
              <w:top w:val="single" w:sz="4" w:space="0" w:color="auto"/>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w:t>
            </w:r>
          </w:p>
        </w:tc>
        <w:tc>
          <w:tcPr>
            <w:tcW w:w="0" w:type="auto"/>
            <w:gridSpan w:val="4"/>
            <w:tcBorders>
              <w:top w:val="single" w:sz="4" w:space="0" w:color="auto"/>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significant relationship at the 1% level</w:t>
            </w:r>
          </w:p>
        </w:tc>
      </w:tr>
      <w:tr w:rsidR="00976DC4" w:rsidRPr="006F3149" w:rsidTr="006F3149">
        <w:trPr>
          <w:trHeight w:val="409"/>
          <w:jc w:val="center"/>
        </w:trPr>
        <w:tc>
          <w:tcPr>
            <w:tcW w:w="0" w:type="auto"/>
            <w:noWrap/>
            <w:vAlign w:val="center"/>
          </w:tcPr>
          <w:p w:rsidR="00976DC4" w:rsidRPr="006F3149" w:rsidRDefault="00976DC4" w:rsidP="006F3149">
            <w:pPr>
              <w:spacing w:after="0" w:line="240" w:lineRule="auto"/>
              <w:rPr>
                <w:rFonts w:ascii="Times New Roman" w:hAnsi="Times New Roman" w:cs="Times New Roman"/>
                <w:lang w:val="el-GR"/>
              </w:rPr>
            </w:pPr>
            <w:r w:rsidRPr="006F3149">
              <w:rPr>
                <w:rFonts w:ascii="Times New Roman" w:hAnsi="Times New Roman" w:cs="Times New Roman"/>
              </w:rPr>
              <w:t>PROV</w:t>
            </w:r>
          </w:p>
        </w:tc>
        <w:tc>
          <w:tcPr>
            <w:tcW w:w="0" w:type="auto"/>
            <w:vAlign w:val="center"/>
          </w:tcPr>
          <w:p w:rsidR="00976DC4" w:rsidRPr="006F3149" w:rsidRDefault="00976DC4" w:rsidP="006F3149">
            <w:pPr>
              <w:spacing w:after="0" w:line="240" w:lineRule="auto"/>
              <w:rPr>
                <w:rFonts w:ascii="Times New Roman" w:hAnsi="Times New Roman" w:cs="Times New Roman"/>
                <w:lang w:val="el-GR"/>
              </w:rPr>
            </w:pPr>
            <w:r w:rsidRPr="006F3149">
              <w:rPr>
                <w:rFonts w:ascii="Times New Roman" w:hAnsi="Times New Roman" w:cs="Times New Roman"/>
                <w:lang w:val="el-GR"/>
              </w:rPr>
              <w:t>+</w:t>
            </w:r>
          </w:p>
        </w:tc>
        <w:tc>
          <w:tcPr>
            <w:tcW w:w="0" w:type="auto"/>
            <w:gridSpan w:val="4"/>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significant relationship at the 5% level</w:t>
            </w:r>
          </w:p>
        </w:tc>
      </w:tr>
      <w:tr w:rsidR="00976DC4" w:rsidRPr="006F3149" w:rsidTr="006F3149">
        <w:trPr>
          <w:trHeight w:val="435"/>
          <w:jc w:val="center"/>
        </w:trPr>
        <w:tc>
          <w:tcPr>
            <w:tcW w:w="0" w:type="auto"/>
            <w:noWrap/>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NIM</w:t>
            </w:r>
          </w:p>
        </w:tc>
        <w:tc>
          <w:tcPr>
            <w:tcW w:w="0" w:type="auto"/>
            <w:vAlign w:val="center"/>
          </w:tcPr>
          <w:p w:rsidR="00976DC4" w:rsidRPr="006F3149" w:rsidRDefault="00976DC4" w:rsidP="006F3149">
            <w:pPr>
              <w:spacing w:after="0" w:line="240" w:lineRule="auto"/>
              <w:rPr>
                <w:rFonts w:ascii="Times New Roman" w:hAnsi="Times New Roman" w:cs="Times New Roman"/>
                <w:lang w:val="el-GR"/>
              </w:rPr>
            </w:pPr>
            <w:r w:rsidRPr="006F3149">
              <w:rPr>
                <w:rFonts w:ascii="Times New Roman" w:hAnsi="Times New Roman" w:cs="Times New Roman"/>
                <w:lang w:val="el-GR"/>
              </w:rPr>
              <w:t>+</w:t>
            </w:r>
          </w:p>
        </w:tc>
        <w:tc>
          <w:tcPr>
            <w:tcW w:w="0" w:type="auto"/>
            <w:gridSpan w:val="4"/>
            <w:tcBorders>
              <w:bottom w:val="single" w:sz="4" w:space="0" w:color="DEEAF6" w:themeColor="accent1" w:themeTint="33"/>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significant relationship at the 10% level</w:t>
            </w:r>
          </w:p>
        </w:tc>
      </w:tr>
      <w:tr w:rsidR="00976DC4" w:rsidRPr="006F3149" w:rsidTr="00441642">
        <w:trPr>
          <w:trHeight w:val="409"/>
          <w:jc w:val="center"/>
        </w:trPr>
        <w:tc>
          <w:tcPr>
            <w:tcW w:w="0" w:type="auto"/>
            <w:noWrap/>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LEV</w:t>
            </w:r>
          </w:p>
        </w:tc>
        <w:tc>
          <w:tcPr>
            <w:tcW w:w="0" w:type="auto"/>
            <w:tcBorders>
              <w:bottom w:val="single" w:sz="4" w:space="0" w:color="DEEAF6" w:themeColor="accent1" w:themeTint="33"/>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w:t>
            </w:r>
          </w:p>
        </w:tc>
        <w:tc>
          <w:tcPr>
            <w:tcW w:w="0" w:type="auto"/>
            <w:gridSpan w:val="4"/>
            <w:tcBorders>
              <w:top w:val="single" w:sz="4" w:space="0" w:color="DEEAF6" w:themeColor="accent1" w:themeTint="33"/>
              <w:bottom w:val="single" w:sz="4" w:space="0" w:color="DEEAF6" w:themeColor="accent1" w:themeTint="33"/>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insignificant relationship</w:t>
            </w:r>
          </w:p>
        </w:tc>
      </w:tr>
      <w:tr w:rsidR="00976DC4" w:rsidRPr="006F3149" w:rsidTr="00441642">
        <w:trPr>
          <w:trHeight w:val="409"/>
          <w:jc w:val="center"/>
        </w:trPr>
        <w:tc>
          <w:tcPr>
            <w:tcW w:w="0" w:type="auto"/>
            <w:noWrap/>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ROA</w:t>
            </w:r>
          </w:p>
        </w:tc>
        <w:tc>
          <w:tcPr>
            <w:tcW w:w="0" w:type="auto"/>
            <w:tcBorders>
              <w:top w:val="single" w:sz="4" w:space="0" w:color="DEEAF6" w:themeColor="accent1" w:themeTint="33"/>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lang w:val="el-GR"/>
              </w:rPr>
              <w:t>+</w:t>
            </w:r>
          </w:p>
        </w:tc>
        <w:tc>
          <w:tcPr>
            <w:tcW w:w="0" w:type="auto"/>
            <w:gridSpan w:val="4"/>
            <w:tcBorders>
              <w:top w:val="single" w:sz="4" w:space="0" w:color="DEEAF6" w:themeColor="accent1" w:themeTint="33"/>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insignificant relationship</w:t>
            </w:r>
          </w:p>
        </w:tc>
      </w:tr>
      <w:tr w:rsidR="00976DC4" w:rsidRPr="006F3149" w:rsidTr="006F3149">
        <w:trPr>
          <w:trHeight w:val="409"/>
          <w:jc w:val="center"/>
        </w:trPr>
        <w:tc>
          <w:tcPr>
            <w:tcW w:w="0" w:type="auto"/>
            <w:noWrap/>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LQDT</w:t>
            </w:r>
          </w:p>
        </w:tc>
        <w:tc>
          <w:tcPr>
            <w:tcW w:w="0" w:type="auto"/>
            <w:vAlign w:val="center"/>
          </w:tcPr>
          <w:p w:rsidR="00976DC4" w:rsidRPr="006F3149" w:rsidRDefault="00976DC4" w:rsidP="006F3149">
            <w:pPr>
              <w:spacing w:after="0" w:line="240" w:lineRule="auto"/>
              <w:rPr>
                <w:rFonts w:ascii="Times New Roman" w:hAnsi="Times New Roman" w:cs="Times New Roman"/>
                <w:lang w:val="el-GR"/>
              </w:rPr>
            </w:pPr>
            <w:r w:rsidRPr="006F3149">
              <w:rPr>
                <w:rFonts w:ascii="Times New Roman" w:hAnsi="Times New Roman" w:cs="Times New Roman"/>
              </w:rPr>
              <w:t>-</w:t>
            </w:r>
          </w:p>
        </w:tc>
        <w:tc>
          <w:tcPr>
            <w:tcW w:w="0" w:type="auto"/>
            <w:gridSpan w:val="4"/>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insignificant relationship</w:t>
            </w:r>
          </w:p>
        </w:tc>
      </w:tr>
      <w:tr w:rsidR="00976DC4" w:rsidRPr="006F3149" w:rsidTr="006F3149">
        <w:trPr>
          <w:trHeight w:val="133"/>
          <w:jc w:val="center"/>
        </w:trPr>
        <w:tc>
          <w:tcPr>
            <w:tcW w:w="0" w:type="auto"/>
            <w:tcBorders>
              <w:bottom w:val="single" w:sz="12" w:space="0" w:color="auto"/>
            </w:tcBorders>
            <w:noWrap/>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RISK</w:t>
            </w:r>
          </w:p>
        </w:tc>
        <w:tc>
          <w:tcPr>
            <w:tcW w:w="0" w:type="auto"/>
            <w:tcBorders>
              <w:bottom w:val="single" w:sz="12" w:space="0" w:color="auto"/>
            </w:tcBorders>
            <w:vAlign w:val="center"/>
          </w:tcPr>
          <w:p w:rsidR="00976DC4" w:rsidRPr="006F3149" w:rsidRDefault="00976DC4" w:rsidP="006F3149">
            <w:pPr>
              <w:spacing w:after="0" w:line="240" w:lineRule="auto"/>
              <w:rPr>
                <w:rFonts w:ascii="Times New Roman" w:hAnsi="Times New Roman" w:cs="Times New Roman"/>
                <w:lang w:val="el-GR"/>
              </w:rPr>
            </w:pPr>
            <w:r w:rsidRPr="006F3149">
              <w:rPr>
                <w:rFonts w:ascii="Times New Roman" w:hAnsi="Times New Roman" w:cs="Times New Roman"/>
              </w:rPr>
              <w:t>-</w:t>
            </w:r>
          </w:p>
        </w:tc>
        <w:tc>
          <w:tcPr>
            <w:tcW w:w="0" w:type="auto"/>
            <w:gridSpan w:val="4"/>
            <w:tcBorders>
              <w:bottom w:val="single" w:sz="12" w:space="0" w:color="auto"/>
            </w:tcBorders>
            <w:vAlign w:val="center"/>
          </w:tcPr>
          <w:p w:rsidR="00976DC4" w:rsidRPr="006F3149" w:rsidRDefault="00976DC4" w:rsidP="006F3149">
            <w:pPr>
              <w:spacing w:after="0" w:line="240" w:lineRule="auto"/>
              <w:rPr>
                <w:rFonts w:ascii="Times New Roman" w:hAnsi="Times New Roman" w:cs="Times New Roman"/>
              </w:rPr>
            </w:pPr>
            <w:r w:rsidRPr="006F3149">
              <w:rPr>
                <w:rFonts w:ascii="Times New Roman" w:hAnsi="Times New Roman" w:cs="Times New Roman"/>
              </w:rPr>
              <w:t>Statistically significant relationship at the 5% level</w:t>
            </w:r>
          </w:p>
        </w:tc>
      </w:tr>
    </w:tbl>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6D344E" w:rsidRDefault="00976DC4" w:rsidP="0097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lang w:val="en"/>
        </w:rPr>
        <w:t>T</w:t>
      </w:r>
      <w:r w:rsidRPr="00D71846">
        <w:rPr>
          <w:rFonts w:ascii="Times New Roman" w:hAnsi="Times New Roman" w:cs="Times New Roman"/>
          <w:color w:val="222222"/>
          <w:sz w:val="24"/>
          <w:szCs w:val="24"/>
          <w:lang w:val="en"/>
        </w:rPr>
        <w:t xml:space="preserve">able </w:t>
      </w:r>
      <w:r w:rsidR="006F3149">
        <w:rPr>
          <w:rFonts w:ascii="Times New Roman" w:hAnsi="Times New Roman" w:cs="Times New Roman"/>
          <w:color w:val="222222"/>
          <w:sz w:val="24"/>
          <w:szCs w:val="24"/>
          <w:lang w:val="en"/>
        </w:rPr>
        <w:t>7</w:t>
      </w:r>
      <w:r>
        <w:rPr>
          <w:rFonts w:ascii="Times New Roman" w:hAnsi="Times New Roman" w:cs="Times New Roman"/>
          <w:color w:val="222222"/>
          <w:sz w:val="24"/>
          <w:szCs w:val="24"/>
          <w:lang w:val="en"/>
        </w:rPr>
        <w:t xml:space="preserve"> </w:t>
      </w:r>
      <w:r w:rsidRPr="00D71846">
        <w:rPr>
          <w:rFonts w:ascii="Times New Roman" w:hAnsi="Times New Roman" w:cs="Times New Roman"/>
          <w:color w:val="222222"/>
          <w:sz w:val="24"/>
          <w:szCs w:val="24"/>
          <w:lang w:val="en"/>
        </w:rPr>
        <w:t xml:space="preserve">presents the aggregated data </w:t>
      </w:r>
      <w:r>
        <w:rPr>
          <w:rFonts w:ascii="Times New Roman" w:hAnsi="Times New Roman" w:cs="Times New Roman"/>
          <w:color w:val="222222"/>
          <w:sz w:val="24"/>
          <w:szCs w:val="24"/>
          <w:lang w:val="en"/>
        </w:rPr>
        <w:t xml:space="preserve">over the five year period </w:t>
      </w:r>
      <w:r w:rsidRPr="00D71846">
        <w:rPr>
          <w:rFonts w:ascii="Times New Roman" w:hAnsi="Times New Roman" w:cs="Times New Roman"/>
          <w:color w:val="222222"/>
          <w:sz w:val="24"/>
          <w:szCs w:val="24"/>
          <w:lang w:val="en"/>
        </w:rPr>
        <w:t>of the banking sector in Cyprus.</w:t>
      </w:r>
      <w:r w:rsidRPr="006D344E">
        <w:rPr>
          <w:rFonts w:ascii="Times New Roman" w:hAnsi="Times New Roman" w:cs="Times New Roman"/>
          <w:sz w:val="24"/>
          <w:szCs w:val="24"/>
        </w:rPr>
        <w:t xml:space="preserve"> Aggregated data indicate that the banking sector as a whole is well capitalized. </w:t>
      </w:r>
      <w:r w:rsidR="00D25416">
        <w:rPr>
          <w:rFonts w:ascii="Times New Roman" w:hAnsi="Times New Roman" w:cs="Times New Roman"/>
          <w:sz w:val="24"/>
          <w:szCs w:val="24"/>
        </w:rPr>
        <w:t xml:space="preserve">Over </w:t>
      </w:r>
      <w:r w:rsidRPr="006D344E">
        <w:rPr>
          <w:rFonts w:ascii="Times New Roman" w:hAnsi="Times New Roman" w:cs="Times New Roman"/>
          <w:sz w:val="24"/>
          <w:szCs w:val="24"/>
          <w:lang w:val="en"/>
        </w:rPr>
        <w:t xml:space="preserve">the five year period, </w:t>
      </w:r>
      <w:r w:rsidRPr="006D344E">
        <w:rPr>
          <w:rFonts w:ascii="Times New Roman" w:hAnsi="Times New Roman" w:cs="Times New Roman"/>
          <w:sz w:val="24"/>
          <w:szCs w:val="24"/>
        </w:rPr>
        <w:t xml:space="preserve">the average capital adequacy ratio was 11.8%, well above the minimum requirement. Nonperforming loans (NPLs) remain relatively high, reflecting the economic slowdown in Cyprus in the period after 2009. </w:t>
      </w:r>
      <w:r w:rsidRPr="006D344E">
        <w:rPr>
          <w:rFonts w:ascii="Times New Roman" w:hAnsi="Times New Roman" w:cs="Times New Roman"/>
          <w:bCs/>
          <w:sz w:val="24"/>
          <w:szCs w:val="24"/>
        </w:rPr>
        <w:t xml:space="preserve">The Cypriot banking sector remains relatively large despite the reduction in size </w:t>
      </w:r>
      <w:r w:rsidR="002F3B9A" w:rsidRPr="006D344E">
        <w:rPr>
          <w:rFonts w:ascii="Times New Roman" w:hAnsi="Times New Roman" w:cs="Times New Roman"/>
          <w:bCs/>
          <w:sz w:val="24"/>
          <w:szCs w:val="24"/>
        </w:rPr>
        <w:t>during</w:t>
      </w:r>
      <w:r w:rsidRPr="006D344E">
        <w:rPr>
          <w:rFonts w:ascii="Times New Roman" w:hAnsi="Times New Roman" w:cs="Times New Roman"/>
          <w:bCs/>
          <w:sz w:val="24"/>
          <w:szCs w:val="24"/>
        </w:rPr>
        <w:t xml:space="preserve"> the five year period and well-developed.</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 xml:space="preserve">Table </w:t>
      </w:r>
      <w:r w:rsidR="006F3149">
        <w:rPr>
          <w:rFonts w:ascii="Times New Roman" w:hAnsi="Times New Roman" w:cs="Times New Roman"/>
          <w:b/>
          <w:sz w:val="24"/>
          <w:szCs w:val="24"/>
        </w:rPr>
        <w:t>7</w:t>
      </w:r>
      <w:r w:rsidRPr="00D71846">
        <w:rPr>
          <w:rFonts w:ascii="Times New Roman" w:hAnsi="Times New Roman" w:cs="Times New Roman"/>
          <w:color w:val="222222"/>
          <w:sz w:val="24"/>
          <w:szCs w:val="24"/>
          <w:lang w:val="en"/>
        </w:rPr>
        <w:t xml:space="preserve"> </w:t>
      </w:r>
      <w:r w:rsidRPr="00D71846">
        <w:rPr>
          <w:rFonts w:ascii="Times New Roman" w:hAnsi="Times New Roman" w:cs="Times New Roman"/>
          <w:b/>
          <w:color w:val="222222"/>
          <w:sz w:val="24"/>
          <w:szCs w:val="24"/>
          <w:lang w:val="en"/>
        </w:rPr>
        <w:t xml:space="preserve">Aggregated </w:t>
      </w:r>
      <w:r w:rsidR="0011696C">
        <w:rPr>
          <w:rFonts w:ascii="Times New Roman" w:hAnsi="Times New Roman" w:cs="Times New Roman"/>
          <w:b/>
          <w:color w:val="222222"/>
          <w:sz w:val="24"/>
          <w:szCs w:val="24"/>
          <w:lang w:val="en"/>
        </w:rPr>
        <w:t>D</w:t>
      </w:r>
      <w:r w:rsidRPr="00D71846">
        <w:rPr>
          <w:rFonts w:ascii="Times New Roman" w:hAnsi="Times New Roman" w:cs="Times New Roman"/>
          <w:b/>
          <w:color w:val="222222"/>
          <w:sz w:val="24"/>
          <w:szCs w:val="24"/>
          <w:lang w:val="en"/>
        </w:rPr>
        <w:t xml:space="preserve">ata of the </w:t>
      </w:r>
      <w:r>
        <w:rPr>
          <w:rFonts w:ascii="Times New Roman" w:hAnsi="Times New Roman" w:cs="Times New Roman"/>
          <w:b/>
          <w:color w:val="222222"/>
          <w:sz w:val="24"/>
          <w:szCs w:val="24"/>
          <w:lang w:val="en"/>
        </w:rPr>
        <w:t>Cypriot B</w:t>
      </w:r>
      <w:r w:rsidRPr="00D71846">
        <w:rPr>
          <w:rFonts w:ascii="Times New Roman" w:hAnsi="Times New Roman" w:cs="Times New Roman"/>
          <w:b/>
          <w:color w:val="222222"/>
          <w:sz w:val="24"/>
          <w:szCs w:val="24"/>
          <w:lang w:val="en"/>
        </w:rPr>
        <w:t xml:space="preserve">anking </w:t>
      </w:r>
      <w:r>
        <w:rPr>
          <w:rFonts w:ascii="Times New Roman" w:hAnsi="Times New Roman" w:cs="Times New Roman"/>
          <w:b/>
          <w:color w:val="222222"/>
          <w:sz w:val="24"/>
          <w:szCs w:val="24"/>
          <w:lang w:val="en"/>
        </w:rPr>
        <w:t>System</w:t>
      </w:r>
    </w:p>
    <w:tbl>
      <w:tblPr>
        <w:tblpPr w:leftFromText="180" w:rightFromText="180" w:vertAnchor="text" w:horzAnchor="margin" w:tblpXSpec="center" w:tblpY="177"/>
        <w:tblW w:w="9134" w:type="dxa"/>
        <w:tblLook w:val="0000" w:firstRow="0" w:lastRow="0" w:firstColumn="0" w:lastColumn="0" w:noHBand="0" w:noVBand="0"/>
      </w:tblPr>
      <w:tblGrid>
        <w:gridCol w:w="803"/>
        <w:gridCol w:w="790"/>
        <w:gridCol w:w="1288"/>
        <w:gridCol w:w="1541"/>
        <w:gridCol w:w="1045"/>
        <w:gridCol w:w="1147"/>
        <w:gridCol w:w="907"/>
        <w:gridCol w:w="907"/>
        <w:gridCol w:w="754"/>
      </w:tblGrid>
      <w:tr w:rsidR="00976DC4" w:rsidRPr="006F3149" w:rsidTr="009A6873">
        <w:trPr>
          <w:trHeight w:val="363"/>
        </w:trPr>
        <w:tc>
          <w:tcPr>
            <w:tcW w:w="803" w:type="dxa"/>
            <w:tcBorders>
              <w:top w:val="single" w:sz="12" w:space="0" w:color="auto"/>
              <w:bottom w:val="single" w:sz="12" w:space="0" w:color="auto"/>
            </w:tcBorders>
            <w:shd w:val="clear" w:color="auto" w:fill="auto"/>
            <w:noWrap/>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Year</w:t>
            </w:r>
          </w:p>
        </w:tc>
        <w:tc>
          <w:tcPr>
            <w:tcW w:w="790"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CAR</w:t>
            </w:r>
          </w:p>
        </w:tc>
        <w:tc>
          <w:tcPr>
            <w:tcW w:w="1288"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SIZE</w:t>
            </w:r>
          </w:p>
        </w:tc>
        <w:tc>
          <w:tcPr>
            <w:tcW w:w="1541"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NPL/L</w:t>
            </w:r>
            <w:r w:rsidRPr="006F3149">
              <w:rPr>
                <w:rFonts w:ascii="Times New Roman" w:eastAsia="Times New Roman" w:hAnsi="Times New Roman" w:cs="Times New Roman"/>
                <w:b/>
                <w:lang w:val="el-GR"/>
              </w:rPr>
              <w:t>ΟΑΝ</w:t>
            </w:r>
            <w:r w:rsidRPr="006F3149">
              <w:rPr>
                <w:rFonts w:ascii="Times New Roman" w:eastAsia="Times New Roman" w:hAnsi="Times New Roman" w:cs="Times New Roman"/>
                <w:b/>
              </w:rPr>
              <w:t>S</w:t>
            </w:r>
          </w:p>
        </w:tc>
        <w:tc>
          <w:tcPr>
            <w:tcW w:w="1045"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NIM</w:t>
            </w:r>
          </w:p>
        </w:tc>
        <w:tc>
          <w:tcPr>
            <w:tcW w:w="1147"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ROA</w:t>
            </w:r>
          </w:p>
        </w:tc>
        <w:tc>
          <w:tcPr>
            <w:tcW w:w="907"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LEV</w:t>
            </w:r>
          </w:p>
        </w:tc>
        <w:tc>
          <w:tcPr>
            <w:tcW w:w="907"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LQDT</w:t>
            </w:r>
          </w:p>
        </w:tc>
        <w:tc>
          <w:tcPr>
            <w:tcW w:w="706" w:type="dxa"/>
            <w:tcBorders>
              <w:top w:val="single" w:sz="12" w:space="0" w:color="auto"/>
              <w:bottom w:val="single" w:sz="12" w:space="0" w:color="auto"/>
            </w:tcBorders>
            <w:shd w:val="clear" w:color="auto" w:fill="auto"/>
            <w:vAlign w:val="center"/>
            <w:hideMark/>
          </w:tcPr>
          <w:p w:rsidR="00976DC4" w:rsidRPr="006F3149" w:rsidRDefault="00976DC4" w:rsidP="006F3149">
            <w:pPr>
              <w:spacing w:after="0" w:line="240" w:lineRule="auto"/>
              <w:jc w:val="center"/>
              <w:rPr>
                <w:rFonts w:ascii="Times New Roman" w:eastAsia="Times New Roman" w:hAnsi="Times New Roman" w:cs="Times New Roman"/>
                <w:b/>
              </w:rPr>
            </w:pPr>
            <w:r w:rsidRPr="006F3149">
              <w:rPr>
                <w:rFonts w:ascii="Times New Roman" w:eastAsia="Times New Roman" w:hAnsi="Times New Roman" w:cs="Times New Roman"/>
                <w:b/>
              </w:rPr>
              <w:t>RISK</w:t>
            </w:r>
          </w:p>
        </w:tc>
      </w:tr>
      <w:tr w:rsidR="00976DC4" w:rsidRPr="006F3149" w:rsidTr="006F3149">
        <w:trPr>
          <w:trHeight w:val="363"/>
        </w:trPr>
        <w:tc>
          <w:tcPr>
            <w:tcW w:w="803"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lastRenderedPageBreak/>
              <w:t>2010</w:t>
            </w:r>
          </w:p>
        </w:tc>
        <w:tc>
          <w:tcPr>
            <w:tcW w:w="790"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0.13</w:t>
            </w:r>
          </w:p>
        </w:tc>
        <w:tc>
          <w:tcPr>
            <w:tcW w:w="1288"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154105188</w:t>
            </w:r>
          </w:p>
        </w:tc>
        <w:tc>
          <w:tcPr>
            <w:tcW w:w="1541" w:type="dxa"/>
            <w:tcBorders>
              <w:top w:val="single" w:sz="12" w:space="0" w:color="auto"/>
            </w:tcBorders>
            <w:shd w:val="clear" w:color="auto" w:fill="FFFFFF" w:themeFill="background1"/>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0.08</w:t>
            </w:r>
          </w:p>
        </w:tc>
        <w:tc>
          <w:tcPr>
            <w:tcW w:w="1045"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2941800</w:t>
            </w:r>
          </w:p>
        </w:tc>
        <w:tc>
          <w:tcPr>
            <w:tcW w:w="1147"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0.01</w:t>
            </w:r>
          </w:p>
        </w:tc>
        <w:tc>
          <w:tcPr>
            <w:tcW w:w="907"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0.93</w:t>
            </w:r>
          </w:p>
        </w:tc>
        <w:tc>
          <w:tcPr>
            <w:tcW w:w="907"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0.15</w:t>
            </w:r>
          </w:p>
        </w:tc>
        <w:tc>
          <w:tcPr>
            <w:tcW w:w="706" w:type="dxa"/>
            <w:tcBorders>
              <w:top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0.15</w:t>
            </w:r>
          </w:p>
        </w:tc>
      </w:tr>
      <w:tr w:rsidR="00976DC4" w:rsidRPr="006F3149" w:rsidTr="006F3149">
        <w:trPr>
          <w:trHeight w:val="363"/>
        </w:trPr>
        <w:tc>
          <w:tcPr>
            <w:tcW w:w="803"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2011</w:t>
            </w:r>
          </w:p>
        </w:tc>
        <w:tc>
          <w:tcPr>
            <w:tcW w:w="790"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0.09</w:t>
            </w:r>
          </w:p>
        </w:tc>
        <w:tc>
          <w:tcPr>
            <w:tcW w:w="1288"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135803715</w:t>
            </w:r>
          </w:p>
        </w:tc>
        <w:tc>
          <w:tcPr>
            <w:tcW w:w="1541" w:type="dxa"/>
            <w:shd w:val="clear" w:color="auto" w:fill="FFFFFF" w:themeFill="background1"/>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0.09</w:t>
            </w:r>
          </w:p>
        </w:tc>
        <w:tc>
          <w:tcPr>
            <w:tcW w:w="1045"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3307791</w:t>
            </w:r>
          </w:p>
        </w:tc>
        <w:tc>
          <w:tcPr>
            <w:tcW w:w="114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-0.04</w:t>
            </w:r>
          </w:p>
        </w:tc>
        <w:tc>
          <w:tcPr>
            <w:tcW w:w="90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0.95</w:t>
            </w:r>
          </w:p>
        </w:tc>
        <w:tc>
          <w:tcPr>
            <w:tcW w:w="90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0.09</w:t>
            </w:r>
          </w:p>
        </w:tc>
        <w:tc>
          <w:tcPr>
            <w:tcW w:w="706"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0.09</w:t>
            </w:r>
          </w:p>
        </w:tc>
      </w:tr>
      <w:tr w:rsidR="00976DC4" w:rsidRPr="006F3149" w:rsidTr="006F3149">
        <w:trPr>
          <w:trHeight w:val="363"/>
        </w:trPr>
        <w:tc>
          <w:tcPr>
            <w:tcW w:w="803"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2012</w:t>
            </w:r>
          </w:p>
        </w:tc>
        <w:tc>
          <w:tcPr>
            <w:tcW w:w="790"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0.08</w:t>
            </w:r>
          </w:p>
        </w:tc>
        <w:tc>
          <w:tcPr>
            <w:tcW w:w="1288"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122925342</w:t>
            </w:r>
          </w:p>
        </w:tc>
        <w:tc>
          <w:tcPr>
            <w:tcW w:w="1541" w:type="dxa"/>
            <w:shd w:val="clear" w:color="auto" w:fill="FFFFFF" w:themeFill="background1"/>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0.21</w:t>
            </w:r>
          </w:p>
        </w:tc>
        <w:tc>
          <w:tcPr>
            <w:tcW w:w="1045"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2819711</w:t>
            </w:r>
          </w:p>
        </w:tc>
        <w:tc>
          <w:tcPr>
            <w:tcW w:w="114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-0.04</w:t>
            </w:r>
          </w:p>
        </w:tc>
        <w:tc>
          <w:tcPr>
            <w:tcW w:w="90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0.96</w:t>
            </w:r>
          </w:p>
        </w:tc>
        <w:tc>
          <w:tcPr>
            <w:tcW w:w="90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0.12</w:t>
            </w:r>
          </w:p>
        </w:tc>
        <w:tc>
          <w:tcPr>
            <w:tcW w:w="706"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0.12</w:t>
            </w:r>
          </w:p>
        </w:tc>
      </w:tr>
      <w:tr w:rsidR="00976DC4" w:rsidRPr="006F3149" w:rsidTr="006F3149">
        <w:trPr>
          <w:trHeight w:val="363"/>
        </w:trPr>
        <w:tc>
          <w:tcPr>
            <w:tcW w:w="803"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2013</w:t>
            </w:r>
          </w:p>
        </w:tc>
        <w:tc>
          <w:tcPr>
            <w:tcW w:w="790"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0.14</w:t>
            </w:r>
          </w:p>
        </w:tc>
        <w:tc>
          <w:tcPr>
            <w:tcW w:w="1288"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77603543</w:t>
            </w:r>
          </w:p>
        </w:tc>
        <w:tc>
          <w:tcPr>
            <w:tcW w:w="1541"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0.44</w:t>
            </w:r>
          </w:p>
        </w:tc>
        <w:tc>
          <w:tcPr>
            <w:tcW w:w="1045"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2204380</w:t>
            </w:r>
          </w:p>
        </w:tc>
        <w:tc>
          <w:tcPr>
            <w:tcW w:w="114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-0.03</w:t>
            </w:r>
          </w:p>
        </w:tc>
        <w:tc>
          <w:tcPr>
            <w:tcW w:w="90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0.94</w:t>
            </w:r>
          </w:p>
        </w:tc>
        <w:tc>
          <w:tcPr>
            <w:tcW w:w="907"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0.12</w:t>
            </w:r>
          </w:p>
        </w:tc>
        <w:tc>
          <w:tcPr>
            <w:tcW w:w="706" w:type="dxa"/>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0.12</w:t>
            </w:r>
          </w:p>
        </w:tc>
      </w:tr>
      <w:tr w:rsidR="00976DC4" w:rsidRPr="006F3149" w:rsidTr="006F3149">
        <w:trPr>
          <w:trHeight w:val="363"/>
        </w:trPr>
        <w:tc>
          <w:tcPr>
            <w:tcW w:w="803"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2014</w:t>
            </w:r>
          </w:p>
        </w:tc>
        <w:tc>
          <w:tcPr>
            <w:tcW w:w="790"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0.15</w:t>
            </w:r>
          </w:p>
        </w:tc>
        <w:tc>
          <w:tcPr>
            <w:tcW w:w="1288"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75610737</w:t>
            </w:r>
          </w:p>
        </w:tc>
        <w:tc>
          <w:tcPr>
            <w:tcW w:w="1541"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0.48</w:t>
            </w:r>
          </w:p>
        </w:tc>
        <w:tc>
          <w:tcPr>
            <w:tcW w:w="1045"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2125980</w:t>
            </w:r>
          </w:p>
        </w:tc>
        <w:tc>
          <w:tcPr>
            <w:tcW w:w="1147"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0.00</w:t>
            </w:r>
          </w:p>
        </w:tc>
        <w:tc>
          <w:tcPr>
            <w:tcW w:w="907"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0.90</w:t>
            </w:r>
          </w:p>
        </w:tc>
        <w:tc>
          <w:tcPr>
            <w:tcW w:w="907"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0.13</w:t>
            </w:r>
          </w:p>
        </w:tc>
        <w:tc>
          <w:tcPr>
            <w:tcW w:w="706" w:type="dxa"/>
            <w:tcBorders>
              <w:bottom w:val="single" w:sz="12" w:space="0" w:color="auto"/>
            </w:tcBorders>
            <w:shd w:val="clear" w:color="auto" w:fill="FFFFFF" w:themeFill="background1"/>
            <w:noWrap/>
            <w:vAlign w:val="center"/>
            <w:hideMark/>
          </w:tcPr>
          <w:p w:rsidR="00976DC4" w:rsidRPr="006F3149" w:rsidRDefault="00976DC4" w:rsidP="006F3149">
            <w:pPr>
              <w:spacing w:after="0" w:line="240" w:lineRule="auto"/>
              <w:jc w:val="center"/>
              <w:rPr>
                <w:rFonts w:ascii="Times New Roman" w:eastAsia="Times New Roman" w:hAnsi="Times New Roman" w:cs="Times New Roman"/>
              </w:rPr>
            </w:pPr>
            <w:r w:rsidRPr="006F3149">
              <w:rPr>
                <w:rFonts w:ascii="Times New Roman" w:eastAsia="Times New Roman" w:hAnsi="Times New Roman" w:cs="Times New Roman"/>
              </w:rPr>
              <w:t>0.13</w:t>
            </w:r>
          </w:p>
        </w:tc>
      </w:tr>
    </w:tbl>
    <w:p w:rsidR="00976DC4" w:rsidRPr="006D344E" w:rsidRDefault="00976DC4" w:rsidP="00976DC4">
      <w:pPr>
        <w:pStyle w:val="HTMLPreformatted"/>
        <w:shd w:val="clear" w:color="auto" w:fill="FFFFFF"/>
        <w:jc w:val="both"/>
        <w:rPr>
          <w:rFonts w:ascii="Times New Roman" w:hAnsi="Times New Roman" w:cs="Times New Roman"/>
          <w:sz w:val="24"/>
          <w:szCs w:val="24"/>
        </w:rPr>
      </w:pPr>
    </w:p>
    <w:p w:rsidR="00976DC4" w:rsidRPr="006D344E" w:rsidRDefault="00976DC4" w:rsidP="00976DC4">
      <w:pPr>
        <w:pStyle w:val="HTMLPreformatted"/>
        <w:numPr>
          <w:ilvl w:val="0"/>
          <w:numId w:val="14"/>
        </w:numPr>
        <w:shd w:val="clear" w:color="auto" w:fill="FFFFFF"/>
        <w:ind w:left="360"/>
        <w:rPr>
          <w:rFonts w:ascii="Times New Roman" w:hAnsi="Times New Roman" w:cs="Times New Roman"/>
          <w:b/>
          <w:caps/>
          <w:sz w:val="24"/>
          <w:szCs w:val="24"/>
        </w:rPr>
      </w:pPr>
      <w:r w:rsidRPr="00D71846">
        <w:rPr>
          <w:rFonts w:ascii="Times New Roman" w:hAnsi="Times New Roman" w:cs="Times New Roman"/>
          <w:b/>
          <w:caps/>
          <w:sz w:val="24"/>
          <w:szCs w:val="24"/>
        </w:rPr>
        <w:t>C</w:t>
      </w:r>
      <w:r w:rsidRPr="00D71846">
        <w:rPr>
          <w:rFonts w:ascii="Times New Roman" w:hAnsi="Times New Roman" w:cs="Times New Roman"/>
          <w:b/>
          <w:sz w:val="24"/>
          <w:szCs w:val="24"/>
        </w:rPr>
        <w:t>onclusions</w:t>
      </w:r>
    </w:p>
    <w:p w:rsidR="00976DC4" w:rsidRPr="006D344E" w:rsidRDefault="00976DC4" w:rsidP="00976DC4">
      <w:pPr>
        <w:pStyle w:val="HTMLPreformatted"/>
        <w:shd w:val="clear" w:color="auto" w:fill="FFFFFF"/>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sz w:val="24"/>
          <w:szCs w:val="24"/>
        </w:rPr>
      </w:pPr>
      <w:r w:rsidRPr="00D71846">
        <w:rPr>
          <w:rFonts w:ascii="Times New Roman" w:hAnsi="Times New Roman" w:cs="Times New Roman"/>
          <w:sz w:val="24"/>
          <w:szCs w:val="24"/>
        </w:rPr>
        <w:t>The recent financial crisis has led to increasing capital requirements in the Cypriot banking sector so as to achieve financial stability. Capital adequacy is considered one of the most important indicators of a bank’s ability to protect itself and its shareholders against default. The level of this in</w:t>
      </w:r>
      <w:r w:rsidR="002F3B9A">
        <w:rPr>
          <w:rFonts w:ascii="Times New Roman" w:hAnsi="Times New Roman" w:cs="Times New Roman"/>
          <w:sz w:val="24"/>
          <w:szCs w:val="24"/>
        </w:rPr>
        <w:t xml:space="preserve">dicator is partly affected by </w:t>
      </w:r>
      <w:r w:rsidRPr="00D71846">
        <w:rPr>
          <w:rFonts w:ascii="Times New Roman" w:hAnsi="Times New Roman" w:cs="Times New Roman"/>
          <w:sz w:val="24"/>
          <w:szCs w:val="24"/>
        </w:rPr>
        <w:t xml:space="preserve">regulatory decisions but it is also affected by a number of other factors. Multiple </w:t>
      </w:r>
      <w:proofErr w:type="gramStart"/>
      <w:r w:rsidRPr="00D71846">
        <w:rPr>
          <w:rFonts w:ascii="Times New Roman" w:hAnsi="Times New Roman" w:cs="Times New Roman"/>
          <w:sz w:val="24"/>
          <w:szCs w:val="24"/>
        </w:rPr>
        <w:t>regression</w:t>
      </w:r>
      <w:proofErr w:type="gramEnd"/>
      <w:r w:rsidRPr="00D71846">
        <w:rPr>
          <w:rFonts w:ascii="Times New Roman" w:hAnsi="Times New Roman" w:cs="Times New Roman"/>
          <w:sz w:val="24"/>
          <w:szCs w:val="24"/>
        </w:rPr>
        <w:t xml:space="preserve"> has been conducted to examine and </w:t>
      </w:r>
      <w:proofErr w:type="spellStart"/>
      <w:r w:rsidRPr="00D71846">
        <w:rPr>
          <w:rFonts w:ascii="Times New Roman" w:hAnsi="Times New Roman" w:cs="Times New Roman"/>
          <w:sz w:val="24"/>
          <w:szCs w:val="24"/>
        </w:rPr>
        <w:t>analy</w:t>
      </w:r>
      <w:r>
        <w:rPr>
          <w:rFonts w:ascii="Times New Roman" w:hAnsi="Times New Roman" w:cs="Times New Roman"/>
          <w:sz w:val="24"/>
          <w:szCs w:val="24"/>
        </w:rPr>
        <w:t>s</w:t>
      </w:r>
      <w:r w:rsidRPr="00D71846">
        <w:rPr>
          <w:rFonts w:ascii="Times New Roman" w:hAnsi="Times New Roman" w:cs="Times New Roman"/>
          <w:sz w:val="24"/>
          <w:szCs w:val="24"/>
        </w:rPr>
        <w:t>e</w:t>
      </w:r>
      <w:proofErr w:type="spellEnd"/>
      <w:r w:rsidRPr="00D71846">
        <w:rPr>
          <w:rFonts w:ascii="Times New Roman" w:hAnsi="Times New Roman" w:cs="Times New Roman"/>
          <w:sz w:val="24"/>
          <w:szCs w:val="24"/>
        </w:rPr>
        <w:t xml:space="preserve"> the factors that affect the capital adequacy ratio (CAR) of banks in Cyprus and empirical support has been established for a number of hypotheses cited in the relevant literature. The current study focused on a number of bank characteristics like risk, liquidity and return, in order to establish whether these factors affect the variability of capital adequacy. </w:t>
      </w:r>
    </w:p>
    <w:p w:rsidR="00976DC4" w:rsidRPr="00D71846" w:rsidRDefault="00976DC4" w:rsidP="00976DC4">
      <w:pPr>
        <w:pStyle w:val="HTMLPreformatted"/>
        <w:shd w:val="clear" w:color="auto" w:fill="FFFFFF"/>
        <w:jc w:val="both"/>
        <w:rPr>
          <w:rFonts w:ascii="Times New Roman" w:hAnsi="Times New Roman" w:cs="Times New Roman"/>
          <w:sz w:val="24"/>
          <w:szCs w:val="24"/>
        </w:rPr>
      </w:pP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sz w:val="24"/>
          <w:szCs w:val="24"/>
        </w:rPr>
        <w:t xml:space="preserve">According to our findings, there is a significant negative statistical relationship between CAR and size and risk and significant positive statistical relationship between CAR and provisions and net interest margin, as expected. The factors that affected CAR in the banking sector of Cyprus, were the increase in credit risk and </w:t>
      </w:r>
      <w:r w:rsidR="002F3B9A" w:rsidRPr="00D71846">
        <w:rPr>
          <w:rFonts w:ascii="Times New Roman" w:hAnsi="Times New Roman" w:cs="Times New Roman"/>
          <w:sz w:val="24"/>
          <w:szCs w:val="24"/>
        </w:rPr>
        <w:t>non-performing</w:t>
      </w:r>
      <w:r w:rsidRPr="00D71846">
        <w:rPr>
          <w:rFonts w:ascii="Times New Roman" w:hAnsi="Times New Roman" w:cs="Times New Roman"/>
          <w:sz w:val="24"/>
          <w:szCs w:val="24"/>
        </w:rPr>
        <w:t xml:space="preserve"> loans, excessive leverage, extra regulatory requirements in accordance with BASEL III, the negative environment and lack of confidence, intensive competition among banks, the small individual size of banks in relation to the total industry size, very low rate of return and development prospects, lack of effective corporate governance and information asymmetry. Furthermore, in the case of Cyprus</w:t>
      </w:r>
      <w:r w:rsidR="002F3B9A">
        <w:rPr>
          <w:rFonts w:ascii="Times New Roman" w:hAnsi="Times New Roman" w:cs="Times New Roman"/>
          <w:sz w:val="24"/>
          <w:szCs w:val="24"/>
        </w:rPr>
        <w:t>,</w:t>
      </w:r>
      <w:r w:rsidRPr="00D71846">
        <w:rPr>
          <w:rFonts w:ascii="Times New Roman" w:hAnsi="Times New Roman" w:cs="Times New Roman"/>
          <w:sz w:val="24"/>
          <w:szCs w:val="24"/>
        </w:rPr>
        <w:t xml:space="preserve"> extra capital is a strategic hedging instrument for gaining access to deposits and the capital markets. It is also a buffer reserve acting as insurance against unforeseen events in the future due to the very bad experience in the past. However strict supervision may lead to increased risk taking in order to meet the capital requirements and also slow development. Bank managers will be faced with many challenges in the future as they have to study alternative strategies and solutions regarding risk management and also manage opportunities. They must strike a balance so that the level of own funds does not prevent the long-term sound development of Cypriot banks.  </w:t>
      </w:r>
    </w:p>
    <w:p w:rsidR="00976DC4" w:rsidRPr="00D71846" w:rsidRDefault="00976DC4" w:rsidP="00976DC4">
      <w:pPr>
        <w:rPr>
          <w:rFonts w:ascii="Times New Roman" w:eastAsia="Times New Roman" w:hAnsi="Times New Roman" w:cs="Times New Roman"/>
          <w:b/>
          <w:sz w:val="24"/>
          <w:szCs w:val="24"/>
        </w:rPr>
      </w:pPr>
      <w:r w:rsidRPr="00D71846">
        <w:rPr>
          <w:rFonts w:ascii="Times New Roman" w:hAnsi="Times New Roman" w:cs="Times New Roman"/>
          <w:b/>
          <w:sz w:val="24"/>
          <w:szCs w:val="24"/>
        </w:rPr>
        <w:br w:type="page"/>
      </w:r>
    </w:p>
    <w:p w:rsidR="00976DC4" w:rsidRPr="00D71846" w:rsidRDefault="00976DC4" w:rsidP="00976DC4">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lastRenderedPageBreak/>
        <w:t>References</w:t>
      </w:r>
    </w:p>
    <w:p w:rsidR="00976DC4" w:rsidRPr="00D71846" w:rsidRDefault="00976DC4" w:rsidP="00976DC4">
      <w:pPr>
        <w:pStyle w:val="ListParagraph"/>
        <w:spacing w:after="0" w:line="240" w:lineRule="auto"/>
        <w:ind w:left="0"/>
        <w:rPr>
          <w:rFonts w:ascii="Times New Roman" w:hAnsi="Times New Roman" w:cs="Times New Roman"/>
          <w:b/>
          <w:sz w:val="24"/>
          <w:szCs w:val="24"/>
        </w:rPr>
      </w:pPr>
    </w:p>
    <w:p w:rsidR="007B4E3E" w:rsidRDefault="007B4E3E"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E0549C">
        <w:rPr>
          <w:rFonts w:ascii="Times New Roman" w:hAnsi="Times New Roman" w:cs="Times New Roman"/>
          <w:sz w:val="24"/>
          <w:szCs w:val="24"/>
        </w:rPr>
        <w:t>Angbazo</w:t>
      </w:r>
      <w:proofErr w:type="spellEnd"/>
      <w:r w:rsidRPr="00E0549C">
        <w:rPr>
          <w:rFonts w:ascii="Times New Roman" w:hAnsi="Times New Roman" w:cs="Times New Roman"/>
          <w:sz w:val="24"/>
          <w:szCs w:val="24"/>
        </w:rPr>
        <w:t>, L. (1997). Commercial Bank Interest Margins, Default Risk, Interest-rate Risk, and Off-balance Sheet Banking, Journal of Banking and Finance, 21(1): 55-87.</w:t>
      </w:r>
    </w:p>
    <w:p w:rsidR="0076104A" w:rsidRDefault="0076104A"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6C44D5">
        <w:rPr>
          <w:rFonts w:ascii="Times New Roman" w:hAnsi="Times New Roman" w:cs="Times New Roman"/>
          <w:sz w:val="24"/>
          <w:szCs w:val="24"/>
        </w:rPr>
        <w:t>Asarkaya</w:t>
      </w:r>
      <w:proofErr w:type="spellEnd"/>
      <w:r w:rsidRPr="006C44D5">
        <w:rPr>
          <w:rFonts w:ascii="Times New Roman" w:hAnsi="Times New Roman" w:cs="Times New Roman"/>
          <w:sz w:val="24"/>
          <w:szCs w:val="24"/>
        </w:rPr>
        <w:t xml:space="preserve">, Y. and S. </w:t>
      </w:r>
      <w:proofErr w:type="spellStart"/>
      <w:r w:rsidRPr="006C44D5">
        <w:rPr>
          <w:rFonts w:ascii="Times New Roman" w:hAnsi="Times New Roman" w:cs="Times New Roman"/>
          <w:sz w:val="24"/>
          <w:szCs w:val="24"/>
        </w:rPr>
        <w:t>Ozcan</w:t>
      </w:r>
      <w:proofErr w:type="spellEnd"/>
      <w:r w:rsidRPr="006C44D5">
        <w:rPr>
          <w:rFonts w:ascii="Times New Roman" w:hAnsi="Times New Roman" w:cs="Times New Roman"/>
          <w:sz w:val="24"/>
          <w:szCs w:val="24"/>
        </w:rPr>
        <w:t xml:space="preserve">, </w:t>
      </w:r>
      <w:r>
        <w:rPr>
          <w:rFonts w:ascii="Times New Roman" w:hAnsi="Times New Roman" w:cs="Times New Roman"/>
          <w:sz w:val="24"/>
          <w:szCs w:val="24"/>
        </w:rPr>
        <w:t>(</w:t>
      </w:r>
      <w:r w:rsidRPr="006C44D5">
        <w:rPr>
          <w:rFonts w:ascii="Times New Roman" w:hAnsi="Times New Roman" w:cs="Times New Roman"/>
          <w:sz w:val="24"/>
          <w:szCs w:val="24"/>
        </w:rPr>
        <w:t>2007</w:t>
      </w:r>
      <w:r>
        <w:rPr>
          <w:rFonts w:ascii="Times New Roman" w:hAnsi="Times New Roman" w:cs="Times New Roman"/>
          <w:sz w:val="24"/>
          <w:szCs w:val="24"/>
        </w:rPr>
        <w:t>)</w:t>
      </w:r>
      <w:r w:rsidRPr="006C44D5">
        <w:rPr>
          <w:rFonts w:ascii="Times New Roman" w:hAnsi="Times New Roman" w:cs="Times New Roman"/>
          <w:sz w:val="24"/>
          <w:szCs w:val="24"/>
        </w:rPr>
        <w:t xml:space="preserve"> Determinants of capital structure in financial institutions: The case of Turkey. </w:t>
      </w:r>
      <w:r w:rsidRPr="006C44D5">
        <w:rPr>
          <w:rFonts w:ascii="Times New Roman" w:hAnsi="Times New Roman" w:cs="Times New Roman"/>
          <w:i/>
          <w:sz w:val="24"/>
          <w:szCs w:val="24"/>
        </w:rPr>
        <w:t>Journal of BRSA Banking and Financial Markets, Banking Regulation and Supervision Agency</w:t>
      </w:r>
      <w:r w:rsidRPr="006C44D5">
        <w:rPr>
          <w:rFonts w:ascii="Times New Roman" w:hAnsi="Times New Roman" w:cs="Times New Roman"/>
          <w:sz w:val="24"/>
          <w:szCs w:val="24"/>
        </w:rPr>
        <w:t>, 1(1)</w:t>
      </w:r>
      <w:r>
        <w:rPr>
          <w:rFonts w:ascii="Times New Roman" w:hAnsi="Times New Roman" w:cs="Times New Roman"/>
          <w:sz w:val="24"/>
          <w:szCs w:val="24"/>
        </w:rPr>
        <w:t>, pp.</w:t>
      </w:r>
      <w:r w:rsidRPr="006C44D5">
        <w:rPr>
          <w:rFonts w:ascii="Times New Roman" w:hAnsi="Times New Roman" w:cs="Times New Roman"/>
          <w:sz w:val="24"/>
          <w:szCs w:val="24"/>
        </w:rPr>
        <w:t xml:space="preserve"> 91-109.</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 xml:space="preserve">Ashcraft, A. (2008) </w:t>
      </w:r>
      <w:proofErr w:type="gramStart"/>
      <w:r w:rsidRPr="007227ED">
        <w:rPr>
          <w:rFonts w:ascii="Times New Roman" w:hAnsi="Times New Roman" w:cs="Times New Roman"/>
          <w:sz w:val="24"/>
          <w:szCs w:val="24"/>
        </w:rPr>
        <w:t>Does</w:t>
      </w:r>
      <w:proofErr w:type="gramEnd"/>
      <w:r w:rsidRPr="007227ED">
        <w:rPr>
          <w:rFonts w:ascii="Times New Roman" w:hAnsi="Times New Roman" w:cs="Times New Roman"/>
          <w:sz w:val="24"/>
          <w:szCs w:val="24"/>
        </w:rPr>
        <w:t xml:space="preserve"> the market discipline bank? New evidence from regulatory capital mix, </w:t>
      </w:r>
      <w:r w:rsidRPr="007227ED">
        <w:rPr>
          <w:rFonts w:ascii="Times New Roman" w:hAnsi="Times New Roman" w:cs="Times New Roman"/>
          <w:i/>
          <w:iCs/>
          <w:sz w:val="24"/>
          <w:szCs w:val="24"/>
        </w:rPr>
        <w:t xml:space="preserve">Journal of Financial Intermediation </w:t>
      </w:r>
      <w:r w:rsidRPr="007227ED">
        <w:rPr>
          <w:rFonts w:ascii="Times New Roman" w:hAnsi="Times New Roman" w:cs="Times New Roman"/>
          <w:sz w:val="24"/>
          <w:szCs w:val="24"/>
        </w:rPr>
        <w:t>17, pp. 543-561.</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7227ED">
        <w:rPr>
          <w:rFonts w:ascii="Times New Roman" w:hAnsi="Times New Roman" w:cs="Times New Roman"/>
          <w:sz w:val="24"/>
          <w:szCs w:val="24"/>
        </w:rPr>
        <w:t>Ayuso</w:t>
      </w:r>
      <w:proofErr w:type="spellEnd"/>
      <w:r w:rsidRPr="007227ED">
        <w:rPr>
          <w:rFonts w:ascii="Times New Roman" w:hAnsi="Times New Roman" w:cs="Times New Roman"/>
          <w:sz w:val="24"/>
          <w:szCs w:val="24"/>
        </w:rPr>
        <w:t xml:space="preserve">, J., Perez, D. and </w:t>
      </w:r>
      <w:proofErr w:type="spellStart"/>
      <w:r w:rsidRPr="007227ED">
        <w:rPr>
          <w:rFonts w:ascii="Times New Roman" w:hAnsi="Times New Roman" w:cs="Times New Roman"/>
          <w:sz w:val="24"/>
          <w:szCs w:val="24"/>
        </w:rPr>
        <w:t>Saurina</w:t>
      </w:r>
      <w:proofErr w:type="spellEnd"/>
      <w:r w:rsidRPr="007227ED">
        <w:rPr>
          <w:rFonts w:ascii="Times New Roman" w:hAnsi="Times New Roman" w:cs="Times New Roman"/>
          <w:sz w:val="24"/>
          <w:szCs w:val="24"/>
        </w:rPr>
        <w:t xml:space="preserve">, J. (2004). Are capital buffers pro-cyclical? Evidence from Spanish panel data, </w:t>
      </w:r>
      <w:r w:rsidRPr="007227ED">
        <w:rPr>
          <w:rFonts w:ascii="Times New Roman" w:hAnsi="Times New Roman" w:cs="Times New Roman"/>
          <w:i/>
          <w:iCs/>
          <w:sz w:val="24"/>
          <w:szCs w:val="24"/>
        </w:rPr>
        <w:t xml:space="preserve">Journal of Financial Intermediation </w:t>
      </w:r>
      <w:r w:rsidRPr="007227ED">
        <w:rPr>
          <w:rFonts w:ascii="Times New Roman" w:hAnsi="Times New Roman" w:cs="Times New Roman"/>
          <w:sz w:val="24"/>
          <w:szCs w:val="24"/>
        </w:rPr>
        <w:t>13, pp. 249-264.</w:t>
      </w:r>
    </w:p>
    <w:p w:rsidR="0076104A" w:rsidRDefault="0076104A"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837A3">
        <w:rPr>
          <w:rFonts w:ascii="Times New Roman" w:hAnsi="Times New Roman" w:cs="Times New Roman"/>
          <w:sz w:val="24"/>
          <w:szCs w:val="24"/>
        </w:rPr>
        <w:t>Baltaci</w:t>
      </w:r>
      <w:proofErr w:type="spellEnd"/>
      <w:r w:rsidRPr="008837A3">
        <w:rPr>
          <w:rFonts w:ascii="Times New Roman" w:hAnsi="Times New Roman" w:cs="Times New Roman"/>
          <w:sz w:val="24"/>
          <w:szCs w:val="24"/>
        </w:rPr>
        <w:t xml:space="preserve">, N. and </w:t>
      </w:r>
      <w:proofErr w:type="spellStart"/>
      <w:r w:rsidRPr="008837A3">
        <w:rPr>
          <w:rFonts w:ascii="Times New Roman" w:hAnsi="Times New Roman" w:cs="Times New Roman"/>
          <w:sz w:val="24"/>
          <w:szCs w:val="24"/>
        </w:rPr>
        <w:t>Ayaydin</w:t>
      </w:r>
      <w:proofErr w:type="spellEnd"/>
      <w:r w:rsidRPr="008837A3">
        <w:rPr>
          <w:rFonts w:ascii="Times New Roman" w:hAnsi="Times New Roman" w:cs="Times New Roman"/>
          <w:sz w:val="24"/>
          <w:szCs w:val="24"/>
        </w:rPr>
        <w:t xml:space="preserve">, H. (2014) Firm, Country and Macroeconomic Determinants of Capital Structure: Evidence from Turkish Banking Sector. </w:t>
      </w:r>
      <w:r w:rsidRPr="008837A3">
        <w:rPr>
          <w:rFonts w:ascii="Times New Roman" w:hAnsi="Times New Roman" w:cs="Times New Roman"/>
          <w:i/>
          <w:sz w:val="24"/>
          <w:szCs w:val="24"/>
        </w:rPr>
        <w:t>EMAJ: Emerging Markets Journal</w:t>
      </w:r>
      <w:r w:rsidRPr="008837A3">
        <w:rPr>
          <w:rFonts w:ascii="Times New Roman" w:hAnsi="Times New Roman" w:cs="Times New Roman"/>
          <w:sz w:val="24"/>
          <w:szCs w:val="24"/>
        </w:rPr>
        <w:t xml:space="preserve">, 3, </w:t>
      </w:r>
      <w:r>
        <w:rPr>
          <w:rFonts w:ascii="Times New Roman" w:hAnsi="Times New Roman" w:cs="Times New Roman"/>
          <w:sz w:val="24"/>
          <w:szCs w:val="24"/>
        </w:rPr>
        <w:t xml:space="preserve">pp. </w:t>
      </w:r>
      <w:r w:rsidRPr="008837A3">
        <w:rPr>
          <w:rFonts w:ascii="Times New Roman" w:hAnsi="Times New Roman" w:cs="Times New Roman"/>
          <w:sz w:val="24"/>
          <w:szCs w:val="24"/>
        </w:rPr>
        <w:t>47-58.</w:t>
      </w:r>
    </w:p>
    <w:p w:rsidR="00F51080" w:rsidRDefault="00F51080"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E0549C">
        <w:rPr>
          <w:rFonts w:ascii="Times New Roman" w:hAnsi="Times New Roman" w:cs="Times New Roman"/>
          <w:sz w:val="24"/>
          <w:szCs w:val="24"/>
          <w:lang w:val="en"/>
        </w:rPr>
        <w:t xml:space="preserve">Barth, J. R., G. </w:t>
      </w:r>
      <w:proofErr w:type="spellStart"/>
      <w:r w:rsidRPr="00E0549C">
        <w:rPr>
          <w:rFonts w:ascii="Times New Roman" w:hAnsi="Times New Roman" w:cs="Times New Roman"/>
          <w:sz w:val="24"/>
          <w:szCs w:val="24"/>
          <w:lang w:val="en"/>
        </w:rPr>
        <w:t>Caprio</w:t>
      </w:r>
      <w:proofErr w:type="spellEnd"/>
      <w:r w:rsidRPr="00E0549C">
        <w:rPr>
          <w:rFonts w:ascii="Times New Roman" w:hAnsi="Times New Roman" w:cs="Times New Roman"/>
          <w:sz w:val="24"/>
          <w:szCs w:val="24"/>
          <w:lang w:val="en"/>
        </w:rPr>
        <w:t>, Jr., R. Levine, 2004, “Bank regulation and supervision: What works best?,” Journal of Financial Intermediation, Vol. 13, pp. 205–248</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 xml:space="preserve">Berger, A., Herring, R. and </w:t>
      </w:r>
      <w:proofErr w:type="spellStart"/>
      <w:r w:rsidRPr="007227ED">
        <w:rPr>
          <w:rFonts w:ascii="Times New Roman" w:hAnsi="Times New Roman" w:cs="Times New Roman"/>
          <w:sz w:val="24"/>
          <w:szCs w:val="24"/>
        </w:rPr>
        <w:t>Szegö</w:t>
      </w:r>
      <w:proofErr w:type="spellEnd"/>
      <w:r w:rsidRPr="007227ED">
        <w:rPr>
          <w:rFonts w:ascii="Times New Roman" w:hAnsi="Times New Roman" w:cs="Times New Roman"/>
          <w:sz w:val="24"/>
          <w:szCs w:val="24"/>
        </w:rPr>
        <w:t xml:space="preserve">, G. (1995) </w:t>
      </w:r>
      <w:proofErr w:type="gramStart"/>
      <w:r w:rsidRPr="007227ED">
        <w:rPr>
          <w:rFonts w:ascii="Times New Roman" w:hAnsi="Times New Roman" w:cs="Times New Roman"/>
          <w:sz w:val="24"/>
          <w:szCs w:val="24"/>
        </w:rPr>
        <w:t>The</w:t>
      </w:r>
      <w:proofErr w:type="gramEnd"/>
      <w:r w:rsidRPr="007227ED">
        <w:rPr>
          <w:rFonts w:ascii="Times New Roman" w:hAnsi="Times New Roman" w:cs="Times New Roman"/>
          <w:sz w:val="24"/>
          <w:szCs w:val="24"/>
        </w:rPr>
        <w:t xml:space="preserve"> role of capital in financial institutions, </w:t>
      </w:r>
      <w:r w:rsidRPr="007227ED">
        <w:rPr>
          <w:rFonts w:ascii="Times New Roman" w:hAnsi="Times New Roman" w:cs="Times New Roman"/>
          <w:i/>
          <w:iCs/>
          <w:sz w:val="24"/>
          <w:szCs w:val="24"/>
        </w:rPr>
        <w:t xml:space="preserve">Journal of Banking and Finance </w:t>
      </w:r>
      <w:r w:rsidRPr="007227ED">
        <w:rPr>
          <w:rFonts w:ascii="Times New Roman" w:hAnsi="Times New Roman" w:cs="Times New Roman"/>
          <w:sz w:val="24"/>
          <w:szCs w:val="24"/>
        </w:rPr>
        <w:t>19, pp. 393-430.</w:t>
      </w:r>
    </w:p>
    <w:p w:rsidR="00F51080" w:rsidRDefault="00F51080" w:rsidP="00B04169">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E0549C">
        <w:rPr>
          <w:rFonts w:ascii="Times New Roman" w:hAnsi="Times New Roman" w:cs="Times New Roman"/>
          <w:sz w:val="24"/>
          <w:szCs w:val="24"/>
        </w:rPr>
        <w:t>Berger, A.., R. DeYoung, M. J.  Flannery</w:t>
      </w:r>
      <w:r>
        <w:rPr>
          <w:rFonts w:ascii="Times New Roman" w:hAnsi="Times New Roman" w:cs="Times New Roman"/>
          <w:sz w:val="24"/>
          <w:szCs w:val="24"/>
        </w:rPr>
        <w:t xml:space="preserve"> (</w:t>
      </w:r>
      <w:r w:rsidRPr="00E0549C">
        <w:rPr>
          <w:rFonts w:ascii="Times New Roman" w:hAnsi="Times New Roman" w:cs="Times New Roman"/>
          <w:sz w:val="24"/>
          <w:szCs w:val="24"/>
        </w:rPr>
        <w:t>2008</w:t>
      </w:r>
      <w:r>
        <w:rPr>
          <w:rFonts w:ascii="Times New Roman" w:hAnsi="Times New Roman" w:cs="Times New Roman"/>
          <w:sz w:val="24"/>
          <w:szCs w:val="24"/>
        </w:rPr>
        <w:t>)</w:t>
      </w:r>
      <w:r w:rsidRPr="00E0549C">
        <w:rPr>
          <w:rFonts w:ascii="Times New Roman" w:hAnsi="Times New Roman" w:cs="Times New Roman"/>
          <w:sz w:val="24"/>
          <w:szCs w:val="24"/>
        </w:rPr>
        <w:t xml:space="preserve"> “</w:t>
      </w:r>
      <w:proofErr w:type="gramStart"/>
      <w:r w:rsidRPr="00E0549C">
        <w:rPr>
          <w:rFonts w:ascii="Times New Roman" w:hAnsi="Times New Roman" w:cs="Times New Roman"/>
          <w:sz w:val="24"/>
          <w:szCs w:val="24"/>
        </w:rPr>
        <w:t>Why  Do</w:t>
      </w:r>
      <w:proofErr w:type="gramEnd"/>
      <w:r w:rsidRPr="00E0549C">
        <w:rPr>
          <w:rFonts w:ascii="Times New Roman" w:hAnsi="Times New Roman" w:cs="Times New Roman"/>
          <w:sz w:val="24"/>
          <w:szCs w:val="24"/>
        </w:rPr>
        <w:t xml:space="preserve">  Large  Banking  Organizations Manage Their Capital Ratios?”, Journal of Financial Services Research 34:123-149.</w:t>
      </w:r>
    </w:p>
    <w:p w:rsidR="00B04169" w:rsidRPr="00B04169" w:rsidRDefault="00976DC4" w:rsidP="00B04169">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 xml:space="preserve">Berger, A., DeYoung, R., Flannery, M., Lee, D. and </w:t>
      </w:r>
      <w:proofErr w:type="spellStart"/>
      <w:r w:rsidRPr="007227ED">
        <w:rPr>
          <w:rFonts w:ascii="Times New Roman" w:hAnsi="Times New Roman" w:cs="Times New Roman"/>
          <w:sz w:val="24"/>
          <w:szCs w:val="24"/>
        </w:rPr>
        <w:t>Öztekin</w:t>
      </w:r>
      <w:proofErr w:type="spellEnd"/>
      <w:r w:rsidRPr="007227ED">
        <w:rPr>
          <w:rFonts w:ascii="Times New Roman" w:hAnsi="Times New Roman" w:cs="Times New Roman"/>
          <w:sz w:val="24"/>
          <w:szCs w:val="24"/>
        </w:rPr>
        <w:t xml:space="preserve">, Ö. (2008) </w:t>
      </w:r>
      <w:proofErr w:type="gramStart"/>
      <w:r w:rsidRPr="007227ED">
        <w:rPr>
          <w:rFonts w:ascii="Times New Roman" w:hAnsi="Times New Roman" w:cs="Times New Roman"/>
          <w:sz w:val="24"/>
          <w:szCs w:val="24"/>
        </w:rPr>
        <w:t>How</w:t>
      </w:r>
      <w:proofErr w:type="gramEnd"/>
      <w:r w:rsidRPr="007227ED">
        <w:rPr>
          <w:rFonts w:ascii="Times New Roman" w:hAnsi="Times New Roman" w:cs="Times New Roman"/>
          <w:sz w:val="24"/>
          <w:szCs w:val="24"/>
        </w:rPr>
        <w:t xml:space="preserve"> do large banking organizations manage their capital ratios? </w:t>
      </w:r>
      <w:r w:rsidRPr="007227ED">
        <w:rPr>
          <w:rFonts w:ascii="Times New Roman" w:hAnsi="Times New Roman" w:cs="Times New Roman"/>
          <w:i/>
          <w:iCs/>
          <w:sz w:val="24"/>
          <w:szCs w:val="24"/>
        </w:rPr>
        <w:t xml:space="preserve">Journal of Financial Services Research </w:t>
      </w:r>
      <w:r w:rsidRPr="007227ED">
        <w:rPr>
          <w:rFonts w:ascii="Times New Roman" w:hAnsi="Times New Roman" w:cs="Times New Roman"/>
          <w:sz w:val="24"/>
          <w:szCs w:val="24"/>
        </w:rPr>
        <w:t>34, pp. 123-149.</w:t>
      </w:r>
    </w:p>
    <w:p w:rsidR="00B04169" w:rsidRPr="00B04169" w:rsidRDefault="00B04169" w:rsidP="00976DC4">
      <w:pPr>
        <w:pStyle w:val="ListParagraph"/>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B04169">
        <w:rPr>
          <w:rFonts w:ascii="Times New Roman" w:eastAsia="Times New Roman" w:hAnsi="Times New Roman" w:cs="Times New Roman"/>
          <w:sz w:val="24"/>
          <w:szCs w:val="24"/>
        </w:rPr>
        <w:t>Besanko</w:t>
      </w:r>
      <w:proofErr w:type="spellEnd"/>
      <w:r w:rsidRPr="00B04169">
        <w:rPr>
          <w:rFonts w:ascii="Times New Roman" w:eastAsia="Times New Roman" w:hAnsi="Times New Roman" w:cs="Times New Roman"/>
          <w:sz w:val="24"/>
          <w:szCs w:val="24"/>
        </w:rPr>
        <w:t xml:space="preserve">, D. and </w:t>
      </w:r>
      <w:proofErr w:type="spellStart"/>
      <w:r w:rsidRPr="00B04169">
        <w:rPr>
          <w:rFonts w:ascii="Times New Roman" w:eastAsia="Times New Roman" w:hAnsi="Times New Roman" w:cs="Times New Roman"/>
          <w:sz w:val="24"/>
          <w:szCs w:val="24"/>
        </w:rPr>
        <w:t>Kanatas</w:t>
      </w:r>
      <w:proofErr w:type="spellEnd"/>
      <w:r w:rsidRPr="00B04169">
        <w:rPr>
          <w:rFonts w:ascii="Times New Roman" w:eastAsia="Times New Roman" w:hAnsi="Times New Roman" w:cs="Times New Roman"/>
          <w:sz w:val="24"/>
          <w:szCs w:val="24"/>
        </w:rPr>
        <w:t xml:space="preserve">, G. (1996) </w:t>
      </w:r>
      <w:proofErr w:type="gramStart"/>
      <w:r w:rsidRPr="00B04169">
        <w:rPr>
          <w:rFonts w:ascii="Times New Roman" w:eastAsia="Times New Roman" w:hAnsi="Times New Roman" w:cs="Times New Roman"/>
          <w:sz w:val="24"/>
          <w:szCs w:val="24"/>
        </w:rPr>
        <w:t>The</w:t>
      </w:r>
      <w:proofErr w:type="gramEnd"/>
      <w:r w:rsidRPr="00B04169">
        <w:rPr>
          <w:rFonts w:ascii="Times New Roman" w:eastAsia="Times New Roman" w:hAnsi="Times New Roman" w:cs="Times New Roman"/>
          <w:sz w:val="24"/>
          <w:szCs w:val="24"/>
        </w:rPr>
        <w:t xml:space="preserve"> Regulation of Bank Capital: Do Capital Standards Promote Bank Safety? Journal of Financial </w:t>
      </w:r>
      <w:proofErr w:type="spellStart"/>
      <w:r w:rsidRPr="00B04169">
        <w:rPr>
          <w:rFonts w:ascii="Times New Roman" w:eastAsia="Times New Roman" w:hAnsi="Times New Roman" w:cs="Times New Roman"/>
          <w:sz w:val="24"/>
          <w:szCs w:val="24"/>
        </w:rPr>
        <w:t>Intermwdiaries</w:t>
      </w:r>
      <w:proofErr w:type="spellEnd"/>
      <w:r w:rsidRPr="00B04169">
        <w:rPr>
          <w:rFonts w:ascii="Times New Roman" w:eastAsia="Times New Roman" w:hAnsi="Times New Roman" w:cs="Times New Roman"/>
          <w:sz w:val="24"/>
          <w:szCs w:val="24"/>
        </w:rPr>
        <w:t>, pp. 160-183.</w:t>
      </w:r>
    </w:p>
    <w:p w:rsidR="00976DC4" w:rsidRPr="00CD7D82"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7227ED">
        <w:rPr>
          <w:rFonts w:ascii="Times New Roman" w:hAnsi="Times New Roman" w:cs="Times New Roman"/>
          <w:sz w:val="24"/>
          <w:szCs w:val="24"/>
        </w:rPr>
        <w:t>Borio</w:t>
      </w:r>
      <w:proofErr w:type="spellEnd"/>
      <w:r w:rsidRPr="007227ED">
        <w:rPr>
          <w:rFonts w:ascii="Times New Roman" w:hAnsi="Times New Roman" w:cs="Times New Roman"/>
          <w:sz w:val="24"/>
          <w:szCs w:val="24"/>
        </w:rPr>
        <w:t xml:space="preserve">, C., </w:t>
      </w:r>
      <w:proofErr w:type="spellStart"/>
      <w:r w:rsidRPr="007227ED">
        <w:rPr>
          <w:rFonts w:ascii="Times New Roman" w:hAnsi="Times New Roman" w:cs="Times New Roman"/>
          <w:sz w:val="24"/>
          <w:szCs w:val="24"/>
        </w:rPr>
        <w:t>Furfine</w:t>
      </w:r>
      <w:proofErr w:type="spellEnd"/>
      <w:r w:rsidRPr="007227ED">
        <w:rPr>
          <w:rFonts w:ascii="Times New Roman" w:hAnsi="Times New Roman" w:cs="Times New Roman"/>
          <w:sz w:val="24"/>
          <w:szCs w:val="24"/>
        </w:rPr>
        <w:t xml:space="preserve">, C., Lowe, P., 2001. </w:t>
      </w:r>
      <w:proofErr w:type="spellStart"/>
      <w:r w:rsidRPr="007227ED">
        <w:rPr>
          <w:rFonts w:ascii="Times New Roman" w:hAnsi="Times New Roman" w:cs="Times New Roman"/>
          <w:sz w:val="24"/>
          <w:szCs w:val="24"/>
        </w:rPr>
        <w:t>Procyclicality</w:t>
      </w:r>
      <w:proofErr w:type="spellEnd"/>
      <w:r w:rsidRPr="007227ED">
        <w:rPr>
          <w:rFonts w:ascii="Times New Roman" w:hAnsi="Times New Roman" w:cs="Times New Roman"/>
          <w:sz w:val="24"/>
          <w:szCs w:val="24"/>
        </w:rPr>
        <w:t xml:space="preserve"> of </w:t>
      </w:r>
      <w:r w:rsidRPr="00CD7D82">
        <w:rPr>
          <w:rFonts w:ascii="Times New Roman" w:hAnsi="Times New Roman" w:cs="Times New Roman"/>
          <w:sz w:val="24"/>
          <w:szCs w:val="24"/>
        </w:rPr>
        <w:t>the financial system and financial stability: Issues and policy options. BIS Papers (No. 1).</w:t>
      </w:r>
    </w:p>
    <w:p w:rsidR="007B4E3E" w:rsidRDefault="007B4E3E"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E0549C">
        <w:rPr>
          <w:rFonts w:ascii="Times New Roman" w:hAnsi="Times New Roman" w:cs="Times New Roman"/>
          <w:sz w:val="24"/>
          <w:szCs w:val="24"/>
        </w:rPr>
        <w:t>Bourke, P. (1989). Concentration and Other Determinants of Bank Profitability in Europe, North America and Australia, Journal of Banking and Finance, 13(1), 65-79.</w:t>
      </w:r>
    </w:p>
    <w:p w:rsidR="00CD7D82" w:rsidRPr="00CD7D82" w:rsidRDefault="00CD7D82"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CD7D82">
        <w:rPr>
          <w:rFonts w:ascii="Times New Roman" w:hAnsi="Times New Roman" w:cs="Times New Roman"/>
          <w:sz w:val="24"/>
          <w:szCs w:val="24"/>
        </w:rPr>
        <w:t>Büyüksalvarc</w:t>
      </w:r>
      <w:proofErr w:type="spellEnd"/>
      <w:r w:rsidRPr="00CD7D82">
        <w:rPr>
          <w:rFonts w:ascii="Times New Roman" w:hAnsi="Times New Roman" w:cs="Times New Roman"/>
          <w:sz w:val="24"/>
          <w:szCs w:val="24"/>
        </w:rPr>
        <w:t xml:space="preserve">, A, and </w:t>
      </w:r>
      <w:proofErr w:type="spellStart"/>
      <w:r w:rsidRPr="00CD7D82">
        <w:rPr>
          <w:rFonts w:ascii="Times New Roman" w:hAnsi="Times New Roman" w:cs="Times New Roman"/>
          <w:sz w:val="24"/>
          <w:szCs w:val="24"/>
        </w:rPr>
        <w:t>Abdioğlu</w:t>
      </w:r>
      <w:proofErr w:type="spellEnd"/>
      <w:r w:rsidRPr="00CD7D82">
        <w:rPr>
          <w:rFonts w:ascii="Times New Roman" w:hAnsi="Times New Roman" w:cs="Times New Roman"/>
          <w:sz w:val="24"/>
          <w:szCs w:val="24"/>
        </w:rPr>
        <w:t xml:space="preserve">, H (2011), ‘Determinants of Capital Adequacy Ratio in Banks’, </w:t>
      </w:r>
      <w:r w:rsidRPr="00CD7D82">
        <w:rPr>
          <w:rFonts w:ascii="Times New Roman" w:hAnsi="Times New Roman" w:cs="Times New Roman"/>
          <w:i/>
          <w:iCs/>
          <w:sz w:val="24"/>
          <w:szCs w:val="24"/>
        </w:rPr>
        <w:t>Master thesis</w:t>
      </w:r>
      <w:r w:rsidRPr="00CD7D82">
        <w:rPr>
          <w:rFonts w:ascii="Times New Roman" w:hAnsi="Times New Roman" w:cs="Times New Roman"/>
          <w:sz w:val="24"/>
          <w:szCs w:val="24"/>
        </w:rPr>
        <w:t>, Yarmouk University. Irbid, Jordan. 30 March.</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7227ED">
        <w:rPr>
          <w:rFonts w:ascii="Times New Roman" w:hAnsi="Times New Roman" w:cs="Times New Roman"/>
          <w:sz w:val="24"/>
          <w:szCs w:val="24"/>
        </w:rPr>
        <w:t>Calomiris</w:t>
      </w:r>
      <w:proofErr w:type="spellEnd"/>
      <w:r w:rsidRPr="007227ED">
        <w:rPr>
          <w:rFonts w:ascii="Times New Roman" w:hAnsi="Times New Roman" w:cs="Times New Roman"/>
          <w:sz w:val="24"/>
          <w:szCs w:val="24"/>
        </w:rPr>
        <w:t xml:space="preserve">, C. and Wilson, B. (2004) Bank capital and portfolio management: the 1930’s “capital crunch” and the scramble to shed risk, </w:t>
      </w:r>
      <w:r w:rsidRPr="007227ED">
        <w:rPr>
          <w:rFonts w:ascii="Times New Roman" w:hAnsi="Times New Roman" w:cs="Times New Roman"/>
          <w:i/>
          <w:iCs/>
          <w:sz w:val="24"/>
          <w:szCs w:val="24"/>
        </w:rPr>
        <w:t xml:space="preserve">Journal of Business </w:t>
      </w:r>
      <w:r w:rsidRPr="007227ED">
        <w:rPr>
          <w:rFonts w:ascii="Times New Roman" w:hAnsi="Times New Roman" w:cs="Times New Roman"/>
          <w:sz w:val="24"/>
          <w:szCs w:val="24"/>
        </w:rPr>
        <w:t>77, pp. 421-455.</w:t>
      </w:r>
    </w:p>
    <w:p w:rsidR="007B4E3E" w:rsidRDefault="007B4E3E"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E0549C">
        <w:rPr>
          <w:rFonts w:ascii="Times New Roman" w:hAnsi="Times New Roman" w:cs="Times New Roman"/>
          <w:sz w:val="24"/>
          <w:szCs w:val="24"/>
        </w:rPr>
        <w:t>Demirguc-Kunt</w:t>
      </w:r>
      <w:proofErr w:type="spellEnd"/>
      <w:r w:rsidRPr="00E0549C">
        <w:rPr>
          <w:rFonts w:ascii="Times New Roman" w:hAnsi="Times New Roman" w:cs="Times New Roman"/>
          <w:sz w:val="24"/>
          <w:szCs w:val="24"/>
        </w:rPr>
        <w:t>, A., Huizinga, H., 1998. Determinants of commercial bank interest margins and profitability: some international evidence. World Bank Economic Review 13, 379-408.</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 xml:space="preserve">Diamond, D. and </w:t>
      </w:r>
      <w:proofErr w:type="spellStart"/>
      <w:r w:rsidRPr="007227ED">
        <w:rPr>
          <w:rFonts w:ascii="Times New Roman" w:hAnsi="Times New Roman" w:cs="Times New Roman"/>
          <w:sz w:val="24"/>
          <w:szCs w:val="24"/>
        </w:rPr>
        <w:t>Rajan</w:t>
      </w:r>
      <w:proofErr w:type="spellEnd"/>
      <w:r w:rsidRPr="007227ED">
        <w:rPr>
          <w:rFonts w:ascii="Times New Roman" w:hAnsi="Times New Roman" w:cs="Times New Roman"/>
          <w:sz w:val="24"/>
          <w:szCs w:val="24"/>
        </w:rPr>
        <w:t xml:space="preserve">, R. (2000) A theory of bank capital, </w:t>
      </w:r>
      <w:r w:rsidRPr="007227ED">
        <w:rPr>
          <w:rFonts w:ascii="Times New Roman" w:hAnsi="Times New Roman" w:cs="Times New Roman"/>
          <w:i/>
          <w:iCs/>
          <w:sz w:val="24"/>
          <w:szCs w:val="24"/>
        </w:rPr>
        <w:t xml:space="preserve">Journal of Finance </w:t>
      </w:r>
      <w:r w:rsidRPr="007227ED">
        <w:rPr>
          <w:rFonts w:ascii="Times New Roman" w:hAnsi="Times New Roman" w:cs="Times New Roman"/>
          <w:sz w:val="24"/>
          <w:szCs w:val="24"/>
        </w:rPr>
        <w:t>55, pp. 2431- 2465.</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7227ED">
        <w:rPr>
          <w:rFonts w:ascii="Times New Roman" w:hAnsi="Times New Roman" w:cs="Times New Roman"/>
          <w:sz w:val="24"/>
          <w:szCs w:val="24"/>
        </w:rPr>
        <w:t>Ediz</w:t>
      </w:r>
      <w:proofErr w:type="spellEnd"/>
      <w:r w:rsidRPr="007227ED">
        <w:rPr>
          <w:rFonts w:ascii="Times New Roman" w:hAnsi="Times New Roman" w:cs="Times New Roman"/>
          <w:sz w:val="24"/>
          <w:szCs w:val="24"/>
        </w:rPr>
        <w:t xml:space="preserve">, T., Michael, I., </w:t>
      </w:r>
      <w:proofErr w:type="spellStart"/>
      <w:r w:rsidRPr="007227ED">
        <w:rPr>
          <w:rFonts w:ascii="Times New Roman" w:hAnsi="Times New Roman" w:cs="Times New Roman"/>
          <w:sz w:val="24"/>
          <w:szCs w:val="24"/>
        </w:rPr>
        <w:t>Perraudin</w:t>
      </w:r>
      <w:proofErr w:type="spellEnd"/>
      <w:r w:rsidRPr="007227ED">
        <w:rPr>
          <w:rFonts w:ascii="Times New Roman" w:hAnsi="Times New Roman" w:cs="Times New Roman"/>
          <w:sz w:val="24"/>
          <w:szCs w:val="24"/>
        </w:rPr>
        <w:t xml:space="preserve">, W., 1998. The impact of capital adequacy standard on UK bank </w:t>
      </w:r>
      <w:proofErr w:type="spellStart"/>
      <w:r w:rsidRPr="007227ED">
        <w:rPr>
          <w:rFonts w:ascii="Times New Roman" w:hAnsi="Times New Roman" w:cs="Times New Roman"/>
          <w:sz w:val="24"/>
          <w:szCs w:val="24"/>
        </w:rPr>
        <w:t>behaviour</w:t>
      </w:r>
      <w:proofErr w:type="spellEnd"/>
      <w:r w:rsidRPr="007227ED">
        <w:rPr>
          <w:rFonts w:ascii="Times New Roman" w:hAnsi="Times New Roman" w:cs="Times New Roman"/>
          <w:sz w:val="24"/>
          <w:szCs w:val="24"/>
        </w:rPr>
        <w:t>. Federal Reserve Bank of New York Economic Policy Review 4, pp. 15-22.</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El-</w:t>
      </w:r>
      <w:proofErr w:type="spellStart"/>
      <w:r w:rsidRPr="007227ED">
        <w:rPr>
          <w:rFonts w:ascii="Times New Roman" w:hAnsi="Times New Roman" w:cs="Times New Roman"/>
          <w:sz w:val="24"/>
          <w:szCs w:val="24"/>
        </w:rPr>
        <w:t>Ansary</w:t>
      </w:r>
      <w:proofErr w:type="spellEnd"/>
      <w:r w:rsidRPr="007227ED">
        <w:rPr>
          <w:rFonts w:ascii="Times New Roman" w:hAnsi="Times New Roman" w:cs="Times New Roman"/>
          <w:sz w:val="24"/>
          <w:szCs w:val="24"/>
        </w:rPr>
        <w:t>, O. and Hafez, H. (2016).  Determinants of Capital Adequacy Ratio: An Empirical Study on Egyptian Banks, Corporate Ownership &amp; Control / Volume 13, Issue 1, 2015</w:t>
      </w:r>
    </w:p>
    <w:p w:rsidR="00976DC4" w:rsidRDefault="00976DC4"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 xml:space="preserve">Flannery, M. and </w:t>
      </w:r>
      <w:proofErr w:type="spellStart"/>
      <w:r w:rsidRPr="007227ED">
        <w:rPr>
          <w:rFonts w:ascii="Times New Roman" w:hAnsi="Times New Roman" w:cs="Times New Roman"/>
          <w:sz w:val="24"/>
          <w:szCs w:val="24"/>
        </w:rPr>
        <w:t>Rangan</w:t>
      </w:r>
      <w:proofErr w:type="spellEnd"/>
      <w:r w:rsidRPr="007227ED">
        <w:rPr>
          <w:rFonts w:ascii="Times New Roman" w:hAnsi="Times New Roman" w:cs="Times New Roman"/>
          <w:sz w:val="24"/>
          <w:szCs w:val="24"/>
        </w:rPr>
        <w:t>, K. (2008)</w:t>
      </w:r>
      <w:r w:rsidR="00851947">
        <w:rPr>
          <w:rFonts w:ascii="Times New Roman" w:hAnsi="Times New Roman" w:cs="Times New Roman"/>
          <w:sz w:val="24"/>
          <w:szCs w:val="24"/>
        </w:rPr>
        <w:t>.</w:t>
      </w:r>
      <w:r w:rsidRPr="007227ED">
        <w:rPr>
          <w:rFonts w:ascii="Times New Roman" w:hAnsi="Times New Roman" w:cs="Times New Roman"/>
          <w:sz w:val="24"/>
          <w:szCs w:val="24"/>
        </w:rPr>
        <w:t xml:space="preserve"> What caused the bank capital build-up of the 1990s? </w:t>
      </w:r>
      <w:r w:rsidRPr="007227ED">
        <w:rPr>
          <w:rFonts w:ascii="Times New Roman" w:hAnsi="Times New Roman" w:cs="Times New Roman"/>
          <w:i/>
          <w:iCs/>
          <w:sz w:val="24"/>
          <w:szCs w:val="24"/>
        </w:rPr>
        <w:t xml:space="preserve">Review of Finance </w:t>
      </w:r>
      <w:r w:rsidRPr="007227ED">
        <w:rPr>
          <w:rFonts w:ascii="Times New Roman" w:hAnsi="Times New Roman" w:cs="Times New Roman"/>
          <w:sz w:val="24"/>
          <w:szCs w:val="24"/>
        </w:rPr>
        <w:t>12, pp. 391-429.</w:t>
      </w:r>
    </w:p>
    <w:p w:rsidR="0076104A" w:rsidRDefault="0076104A" w:rsidP="00976DC4">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837A3">
        <w:rPr>
          <w:rFonts w:ascii="Times New Roman" w:hAnsi="Times New Roman" w:cs="Times New Roman"/>
          <w:color w:val="222222"/>
          <w:sz w:val="24"/>
          <w:szCs w:val="24"/>
          <w:lang w:val="en"/>
        </w:rPr>
        <w:lastRenderedPageBreak/>
        <w:t xml:space="preserve">Francis, W. B. and Osborne. M. (2010) </w:t>
      </w:r>
      <w:r w:rsidRPr="008837A3">
        <w:rPr>
          <w:rFonts w:ascii="Times New Roman" w:hAnsi="Times New Roman" w:cs="Times New Roman"/>
          <w:sz w:val="24"/>
          <w:szCs w:val="24"/>
          <w:lang w:val="en"/>
        </w:rPr>
        <w:t xml:space="preserve">On the Behavior and Determinants of Risk-Based Capital Ratios: Revisiting the Evidence from UK Banking Institutions, </w:t>
      </w:r>
      <w:r w:rsidRPr="008837A3">
        <w:rPr>
          <w:rFonts w:ascii="Times New Roman" w:hAnsi="Times New Roman" w:cs="Times New Roman"/>
          <w:i/>
          <w:sz w:val="24"/>
          <w:szCs w:val="24"/>
          <w:lang w:val="en"/>
        </w:rPr>
        <w:t>International Review of Finance</w:t>
      </w:r>
      <w:r w:rsidRPr="008837A3">
        <w:rPr>
          <w:rFonts w:ascii="Times New Roman" w:hAnsi="Times New Roman" w:cs="Times New Roman"/>
          <w:sz w:val="24"/>
          <w:szCs w:val="24"/>
          <w:lang w:val="en"/>
        </w:rPr>
        <w:t>, Vol. 10 (4), pp. 485-518.</w:t>
      </w:r>
    </w:p>
    <w:p w:rsidR="00F51080" w:rsidRDefault="00976DC4" w:rsidP="00F51080">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227ED">
        <w:rPr>
          <w:rFonts w:ascii="Times New Roman" w:hAnsi="Times New Roman" w:cs="Times New Roman"/>
          <w:sz w:val="24"/>
          <w:szCs w:val="24"/>
        </w:rPr>
        <w:t xml:space="preserve">Frank, M. and Goyal, V. (2008) Trade-off and pecking order theories of debt, in: E. </w:t>
      </w:r>
      <w:proofErr w:type="spellStart"/>
      <w:r w:rsidRPr="007227ED">
        <w:rPr>
          <w:rFonts w:ascii="Times New Roman" w:hAnsi="Times New Roman" w:cs="Times New Roman"/>
          <w:sz w:val="24"/>
          <w:szCs w:val="24"/>
        </w:rPr>
        <w:t>Eckbo</w:t>
      </w:r>
      <w:proofErr w:type="spellEnd"/>
    </w:p>
    <w:p w:rsidR="00F51080" w:rsidRDefault="00F51080" w:rsidP="00F51080">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710ED2">
        <w:rPr>
          <w:rFonts w:ascii="Times New Roman" w:eastAsia="Times New Roman" w:hAnsi="Times New Roman" w:cs="Times New Roman"/>
          <w:color w:val="111111"/>
          <w:sz w:val="24"/>
          <w:szCs w:val="24"/>
          <w:lang w:val="en"/>
        </w:rPr>
        <w:t xml:space="preserve">Flannery, M., K.  </w:t>
      </w:r>
      <w:proofErr w:type="spellStart"/>
      <w:r w:rsidRPr="00710ED2">
        <w:rPr>
          <w:rFonts w:ascii="Times New Roman" w:eastAsia="Times New Roman" w:hAnsi="Times New Roman" w:cs="Times New Roman"/>
          <w:color w:val="111111"/>
          <w:sz w:val="24"/>
          <w:szCs w:val="24"/>
          <w:lang w:val="en"/>
        </w:rPr>
        <w:t>Rangan</w:t>
      </w:r>
      <w:proofErr w:type="spellEnd"/>
      <w:r w:rsidRPr="00710ED2">
        <w:rPr>
          <w:rFonts w:ascii="Times New Roman" w:eastAsia="Times New Roman" w:hAnsi="Times New Roman" w:cs="Times New Roman"/>
          <w:color w:val="111111"/>
          <w:sz w:val="24"/>
          <w:szCs w:val="24"/>
          <w:lang w:val="en"/>
        </w:rPr>
        <w:t>, 2008, “What Caused the Bank Cap</w:t>
      </w:r>
      <w:r w:rsidRPr="00F51080">
        <w:rPr>
          <w:rFonts w:ascii="Times New Roman" w:eastAsia="Times New Roman" w:hAnsi="Times New Roman" w:cs="Times New Roman"/>
          <w:color w:val="111111"/>
          <w:sz w:val="24"/>
          <w:szCs w:val="24"/>
          <w:lang w:val="en"/>
        </w:rPr>
        <w:t>ital Build-up of the 1990s</w:t>
      </w:r>
      <w:proofErr w:type="gramStart"/>
      <w:r w:rsidRPr="00F51080">
        <w:rPr>
          <w:rFonts w:ascii="Times New Roman" w:eastAsia="Times New Roman" w:hAnsi="Times New Roman" w:cs="Times New Roman"/>
          <w:color w:val="111111"/>
          <w:sz w:val="24"/>
          <w:szCs w:val="24"/>
          <w:lang w:val="en"/>
        </w:rPr>
        <w:t>?,</w:t>
      </w:r>
      <w:proofErr w:type="gramEnd"/>
      <w:r w:rsidRPr="00F51080">
        <w:rPr>
          <w:rFonts w:ascii="Times New Roman" w:eastAsia="Times New Roman" w:hAnsi="Times New Roman" w:cs="Times New Roman"/>
          <w:color w:val="111111"/>
          <w:sz w:val="24"/>
          <w:szCs w:val="24"/>
          <w:lang w:val="en"/>
        </w:rPr>
        <w:t xml:space="preserve">” </w:t>
      </w:r>
      <w:r w:rsidRPr="00710ED2">
        <w:rPr>
          <w:rFonts w:ascii="Times New Roman" w:eastAsia="Times New Roman" w:hAnsi="Times New Roman" w:cs="Times New Roman"/>
          <w:color w:val="111111"/>
          <w:sz w:val="24"/>
          <w:szCs w:val="24"/>
          <w:lang w:val="en"/>
        </w:rPr>
        <w:t>Review of Finance 12, 391-429.</w:t>
      </w:r>
    </w:p>
    <w:p w:rsidR="008107B7" w:rsidRDefault="00F51080"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62730A">
        <w:rPr>
          <w:rFonts w:ascii="Times New Roman" w:eastAsia="Times New Roman" w:hAnsi="Times New Roman" w:cs="Times New Roman"/>
          <w:color w:val="111111"/>
          <w:sz w:val="24"/>
          <w:szCs w:val="24"/>
          <w:lang w:val="en"/>
        </w:rPr>
        <w:t>Gropp</w:t>
      </w:r>
      <w:proofErr w:type="spellEnd"/>
      <w:r w:rsidRPr="0062730A">
        <w:rPr>
          <w:rFonts w:ascii="Times New Roman" w:eastAsia="Times New Roman" w:hAnsi="Times New Roman" w:cs="Times New Roman"/>
          <w:color w:val="111111"/>
          <w:sz w:val="24"/>
          <w:szCs w:val="24"/>
          <w:lang w:val="en"/>
        </w:rPr>
        <w:t xml:space="preserve">, R., and F. </w:t>
      </w:r>
      <w:proofErr w:type="spellStart"/>
      <w:r w:rsidRPr="0062730A">
        <w:rPr>
          <w:rFonts w:ascii="Times New Roman" w:eastAsia="Times New Roman" w:hAnsi="Times New Roman" w:cs="Times New Roman"/>
          <w:color w:val="111111"/>
          <w:sz w:val="24"/>
          <w:szCs w:val="24"/>
          <w:lang w:val="en"/>
        </w:rPr>
        <w:t>Heider</w:t>
      </w:r>
      <w:proofErr w:type="spellEnd"/>
      <w:r w:rsidRPr="0062730A">
        <w:rPr>
          <w:rFonts w:ascii="Times New Roman" w:eastAsia="Times New Roman" w:hAnsi="Times New Roman" w:cs="Times New Roman"/>
          <w:color w:val="111111"/>
          <w:sz w:val="24"/>
          <w:szCs w:val="24"/>
          <w:lang w:val="en"/>
        </w:rPr>
        <w:t>, 2008, “The determinants of Capital Structure: Some evidence from banks</w:t>
      </w:r>
      <w:proofErr w:type="gramStart"/>
      <w:r w:rsidRPr="0062730A">
        <w:rPr>
          <w:rFonts w:ascii="Times New Roman" w:eastAsia="Times New Roman" w:hAnsi="Times New Roman" w:cs="Times New Roman"/>
          <w:color w:val="111111"/>
          <w:sz w:val="24"/>
          <w:szCs w:val="24"/>
          <w:lang w:val="en"/>
        </w:rPr>
        <w:t>, ”</w:t>
      </w:r>
      <w:proofErr w:type="gramEnd"/>
      <w:r w:rsidRPr="0062730A">
        <w:rPr>
          <w:rFonts w:ascii="Times New Roman" w:eastAsia="Times New Roman" w:hAnsi="Times New Roman" w:cs="Times New Roman"/>
          <w:color w:val="111111"/>
          <w:sz w:val="24"/>
          <w:szCs w:val="24"/>
          <w:lang w:val="en"/>
        </w:rPr>
        <w:t xml:space="preserve"> ZEW Discussion Papers: 08-015.</w:t>
      </w:r>
    </w:p>
    <w:p w:rsidR="008107B7" w:rsidRDefault="0076104A"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color w:val="222222"/>
          <w:sz w:val="24"/>
          <w:szCs w:val="24"/>
          <w:lang w:val="en"/>
        </w:rPr>
        <w:t>Gropp</w:t>
      </w:r>
      <w:proofErr w:type="spellEnd"/>
      <w:r w:rsidRPr="008107B7">
        <w:rPr>
          <w:rFonts w:ascii="Times New Roman" w:hAnsi="Times New Roman" w:cs="Times New Roman"/>
          <w:color w:val="222222"/>
          <w:sz w:val="24"/>
          <w:szCs w:val="24"/>
          <w:lang w:val="en"/>
        </w:rPr>
        <w:t xml:space="preserve">, R. and </w:t>
      </w:r>
      <w:proofErr w:type="spellStart"/>
      <w:r w:rsidRPr="008107B7">
        <w:rPr>
          <w:rFonts w:ascii="Times New Roman" w:hAnsi="Times New Roman" w:cs="Times New Roman"/>
          <w:color w:val="222222"/>
          <w:sz w:val="24"/>
          <w:szCs w:val="24"/>
          <w:lang w:val="en"/>
        </w:rPr>
        <w:t>Heider</w:t>
      </w:r>
      <w:proofErr w:type="spellEnd"/>
      <w:r w:rsidRPr="008107B7">
        <w:rPr>
          <w:rFonts w:ascii="Times New Roman" w:hAnsi="Times New Roman" w:cs="Times New Roman"/>
          <w:color w:val="222222"/>
          <w:sz w:val="24"/>
          <w:szCs w:val="24"/>
          <w:lang w:val="en"/>
        </w:rPr>
        <w:t xml:space="preserve">, F. (2010) </w:t>
      </w:r>
      <w:proofErr w:type="gramStart"/>
      <w:r w:rsidRPr="008107B7">
        <w:rPr>
          <w:rFonts w:ascii="Times New Roman" w:hAnsi="Times New Roman" w:cs="Times New Roman"/>
          <w:sz w:val="24"/>
          <w:szCs w:val="24"/>
          <w:lang w:val="en"/>
        </w:rPr>
        <w:t>The</w:t>
      </w:r>
      <w:proofErr w:type="gramEnd"/>
      <w:r w:rsidRPr="008107B7">
        <w:rPr>
          <w:rFonts w:ascii="Times New Roman" w:hAnsi="Times New Roman" w:cs="Times New Roman"/>
          <w:sz w:val="24"/>
          <w:szCs w:val="24"/>
          <w:lang w:val="en"/>
        </w:rPr>
        <w:t xml:space="preserve"> Determinants of Bank Capital Structure, </w:t>
      </w:r>
      <w:r w:rsidRPr="008107B7">
        <w:rPr>
          <w:rFonts w:ascii="Times New Roman" w:hAnsi="Times New Roman" w:cs="Times New Roman"/>
          <w:i/>
          <w:sz w:val="24"/>
          <w:szCs w:val="24"/>
          <w:lang w:val="en"/>
        </w:rPr>
        <w:t>Review of Finance</w:t>
      </w:r>
      <w:r w:rsidRPr="008107B7">
        <w:rPr>
          <w:rFonts w:ascii="Times New Roman" w:hAnsi="Times New Roman" w:cs="Times New Roman"/>
          <w:sz w:val="24"/>
          <w:szCs w:val="24"/>
          <w:lang w:val="en"/>
        </w:rPr>
        <w:t>, Vol. 14, pp. 587-622.</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Harris, M. and </w:t>
      </w:r>
      <w:proofErr w:type="spellStart"/>
      <w:r w:rsidRPr="008107B7">
        <w:rPr>
          <w:rFonts w:ascii="Times New Roman" w:hAnsi="Times New Roman" w:cs="Times New Roman"/>
          <w:sz w:val="24"/>
          <w:szCs w:val="24"/>
        </w:rPr>
        <w:t>Raviv</w:t>
      </w:r>
      <w:proofErr w:type="spellEnd"/>
      <w:r w:rsidRPr="008107B7">
        <w:rPr>
          <w:rFonts w:ascii="Times New Roman" w:hAnsi="Times New Roman" w:cs="Times New Roman"/>
          <w:sz w:val="24"/>
          <w:szCs w:val="24"/>
        </w:rPr>
        <w:t xml:space="preserve">, A. (1991) </w:t>
      </w:r>
      <w:proofErr w:type="gramStart"/>
      <w:r w:rsidRPr="008107B7">
        <w:rPr>
          <w:rFonts w:ascii="Times New Roman" w:hAnsi="Times New Roman" w:cs="Times New Roman"/>
          <w:sz w:val="24"/>
          <w:szCs w:val="24"/>
        </w:rPr>
        <w:t>The</w:t>
      </w:r>
      <w:proofErr w:type="gramEnd"/>
      <w:r w:rsidRPr="008107B7">
        <w:rPr>
          <w:rFonts w:ascii="Times New Roman" w:hAnsi="Times New Roman" w:cs="Times New Roman"/>
          <w:sz w:val="24"/>
          <w:szCs w:val="24"/>
        </w:rPr>
        <w:t xml:space="preserve"> theory of capital structure, </w:t>
      </w:r>
      <w:r w:rsidRPr="008107B7">
        <w:rPr>
          <w:rFonts w:ascii="Times New Roman" w:hAnsi="Times New Roman" w:cs="Times New Roman"/>
          <w:i/>
          <w:iCs/>
          <w:sz w:val="24"/>
          <w:szCs w:val="24"/>
        </w:rPr>
        <w:t xml:space="preserve">Journal of Finance </w:t>
      </w:r>
      <w:r w:rsidRPr="008107B7">
        <w:rPr>
          <w:rFonts w:ascii="Times New Roman" w:hAnsi="Times New Roman" w:cs="Times New Roman"/>
          <w:sz w:val="24"/>
          <w:szCs w:val="24"/>
        </w:rPr>
        <w:t xml:space="preserve">46, pp. 297-356. </w:t>
      </w:r>
    </w:p>
    <w:p w:rsidR="008107B7" w:rsidRDefault="00433922"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Jacobson T, </w:t>
      </w:r>
      <w:proofErr w:type="spellStart"/>
      <w:r w:rsidRPr="008107B7">
        <w:rPr>
          <w:rFonts w:ascii="Times New Roman" w:hAnsi="Times New Roman" w:cs="Times New Roman"/>
          <w:sz w:val="24"/>
          <w:szCs w:val="24"/>
        </w:rPr>
        <w:t>Linde</w:t>
      </w:r>
      <w:proofErr w:type="spellEnd"/>
      <w:r w:rsidRPr="008107B7">
        <w:rPr>
          <w:rFonts w:ascii="Times New Roman" w:hAnsi="Times New Roman" w:cs="Times New Roman"/>
          <w:sz w:val="24"/>
          <w:szCs w:val="24"/>
        </w:rPr>
        <w:t xml:space="preserve"> J, </w:t>
      </w:r>
      <w:proofErr w:type="spellStart"/>
      <w:r w:rsidRPr="008107B7">
        <w:rPr>
          <w:rFonts w:ascii="Times New Roman" w:hAnsi="Times New Roman" w:cs="Times New Roman"/>
          <w:sz w:val="24"/>
          <w:szCs w:val="24"/>
        </w:rPr>
        <w:t>Roszbach</w:t>
      </w:r>
      <w:proofErr w:type="spellEnd"/>
      <w:r w:rsidRPr="008107B7">
        <w:rPr>
          <w:rFonts w:ascii="Times New Roman" w:hAnsi="Times New Roman" w:cs="Times New Roman"/>
          <w:sz w:val="24"/>
          <w:szCs w:val="24"/>
        </w:rPr>
        <w:t xml:space="preserve"> K (2002), “The IRB Approach in the Basel Committee’s Proposal for new Capital Adequacy Rules: Some Simulation-based illustrations, </w:t>
      </w:r>
      <w:r w:rsidRPr="008107B7">
        <w:rPr>
          <w:rFonts w:ascii="Times New Roman" w:hAnsi="Times New Roman" w:cs="Times New Roman"/>
          <w:i/>
          <w:iCs/>
          <w:sz w:val="24"/>
          <w:szCs w:val="24"/>
        </w:rPr>
        <w:t xml:space="preserve">Economics Review, </w:t>
      </w:r>
      <w:r w:rsidRPr="008107B7">
        <w:rPr>
          <w:rFonts w:ascii="Times New Roman" w:hAnsi="Times New Roman" w:cs="Times New Roman"/>
          <w:sz w:val="24"/>
          <w:szCs w:val="24"/>
        </w:rPr>
        <w:t>Vol. 4, pp. 35-72.</w:t>
      </w:r>
    </w:p>
    <w:p w:rsidR="008107B7" w:rsidRDefault="00BC6531"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Jeff, L (1990), “Capital adequacy: The benchmark of the 1990’s”. </w:t>
      </w:r>
      <w:r w:rsidRPr="008107B7">
        <w:rPr>
          <w:rFonts w:ascii="Times New Roman" w:hAnsi="Times New Roman" w:cs="Times New Roman"/>
          <w:i/>
          <w:iCs/>
          <w:sz w:val="24"/>
          <w:szCs w:val="24"/>
        </w:rPr>
        <w:t>Bankers Magazine</w:t>
      </w:r>
      <w:r w:rsidRPr="008107B7">
        <w:rPr>
          <w:rFonts w:ascii="Times New Roman" w:hAnsi="Times New Roman" w:cs="Times New Roman"/>
          <w:sz w:val="24"/>
          <w:szCs w:val="24"/>
        </w:rPr>
        <w:t>, Vol. 173, No. 1, pp. 14-18.</w:t>
      </w:r>
    </w:p>
    <w:p w:rsidR="008107B7" w:rsidRDefault="00FD6FF1"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eastAsia="Times New Roman" w:hAnsi="Times New Roman" w:cs="Times New Roman"/>
          <w:color w:val="111111"/>
          <w:sz w:val="24"/>
          <w:szCs w:val="24"/>
          <w:lang w:val="en"/>
        </w:rPr>
        <w:t>Jokipii</w:t>
      </w:r>
      <w:proofErr w:type="spellEnd"/>
      <w:r w:rsidRPr="008107B7">
        <w:rPr>
          <w:rFonts w:ascii="Times New Roman" w:eastAsia="Times New Roman" w:hAnsi="Times New Roman" w:cs="Times New Roman"/>
          <w:color w:val="111111"/>
          <w:sz w:val="24"/>
          <w:szCs w:val="24"/>
          <w:lang w:val="en"/>
        </w:rPr>
        <w:t xml:space="preserve">, T. and A. Milne, 2008, “The cyclical </w:t>
      </w:r>
      <w:proofErr w:type="spellStart"/>
      <w:r w:rsidRPr="008107B7">
        <w:rPr>
          <w:rFonts w:ascii="Times New Roman" w:eastAsia="Times New Roman" w:hAnsi="Times New Roman" w:cs="Times New Roman"/>
          <w:color w:val="111111"/>
          <w:sz w:val="24"/>
          <w:szCs w:val="24"/>
          <w:lang w:val="en"/>
        </w:rPr>
        <w:t>behaviour</w:t>
      </w:r>
      <w:proofErr w:type="spellEnd"/>
      <w:r w:rsidRPr="008107B7">
        <w:rPr>
          <w:rFonts w:ascii="Times New Roman" w:eastAsia="Times New Roman" w:hAnsi="Times New Roman" w:cs="Times New Roman"/>
          <w:color w:val="111111"/>
          <w:sz w:val="24"/>
          <w:szCs w:val="24"/>
          <w:lang w:val="en"/>
        </w:rPr>
        <w:t xml:space="preserve"> of European bank </w:t>
      </w:r>
      <w:proofErr w:type="gramStart"/>
      <w:r w:rsidRPr="008107B7">
        <w:rPr>
          <w:rFonts w:ascii="Times New Roman" w:eastAsia="Times New Roman" w:hAnsi="Times New Roman" w:cs="Times New Roman"/>
          <w:color w:val="111111"/>
          <w:sz w:val="24"/>
          <w:szCs w:val="24"/>
          <w:lang w:val="en"/>
        </w:rPr>
        <w:t>capital  buffers</w:t>
      </w:r>
      <w:proofErr w:type="gramEnd"/>
      <w:r w:rsidRPr="008107B7">
        <w:rPr>
          <w:rFonts w:ascii="Times New Roman" w:eastAsia="Times New Roman" w:hAnsi="Times New Roman" w:cs="Times New Roman"/>
          <w:color w:val="111111"/>
          <w:sz w:val="24"/>
          <w:szCs w:val="24"/>
          <w:lang w:val="en"/>
        </w:rPr>
        <w:t>”, Journal of Banking &amp; Finance 32, 1440–1451.</w:t>
      </w:r>
    </w:p>
    <w:p w:rsidR="008107B7" w:rsidRDefault="00851947"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eastAsiaTheme="minorHAnsi" w:hAnsi="Times New Roman" w:cs="Times New Roman"/>
          <w:color w:val="000000"/>
          <w:sz w:val="23"/>
          <w:szCs w:val="23"/>
        </w:rPr>
        <w:t xml:space="preserve">Kumar, P. and </w:t>
      </w:r>
      <w:proofErr w:type="spellStart"/>
      <w:r w:rsidRPr="008107B7">
        <w:rPr>
          <w:rFonts w:ascii="Times New Roman" w:eastAsiaTheme="minorHAnsi" w:hAnsi="Times New Roman" w:cs="Times New Roman"/>
          <w:color w:val="000000"/>
          <w:sz w:val="23"/>
          <w:szCs w:val="23"/>
        </w:rPr>
        <w:t>Nazneen</w:t>
      </w:r>
      <w:proofErr w:type="spellEnd"/>
      <w:r w:rsidRPr="008107B7">
        <w:rPr>
          <w:rFonts w:ascii="Times New Roman" w:eastAsiaTheme="minorHAnsi" w:hAnsi="Times New Roman" w:cs="Times New Roman"/>
          <w:color w:val="000000"/>
          <w:sz w:val="23"/>
          <w:szCs w:val="23"/>
        </w:rPr>
        <w:t xml:space="preserve">, A. (2014) </w:t>
      </w:r>
      <w:proofErr w:type="gramStart"/>
      <w:r w:rsidRPr="008107B7">
        <w:rPr>
          <w:rFonts w:ascii="Times New Roman" w:eastAsiaTheme="minorHAnsi" w:hAnsi="Times New Roman" w:cs="Times New Roman"/>
          <w:color w:val="000000"/>
          <w:sz w:val="23"/>
          <w:szCs w:val="23"/>
        </w:rPr>
        <w:t>An</w:t>
      </w:r>
      <w:proofErr w:type="gramEnd"/>
      <w:r w:rsidRPr="008107B7">
        <w:rPr>
          <w:rFonts w:ascii="Times New Roman" w:eastAsiaTheme="minorHAnsi" w:hAnsi="Times New Roman" w:cs="Times New Roman"/>
          <w:color w:val="000000"/>
          <w:sz w:val="23"/>
          <w:szCs w:val="23"/>
        </w:rPr>
        <w:t xml:space="preserve"> empirical analysis of capital adequacy in the Indian private sector banks, </w:t>
      </w:r>
      <w:r w:rsidRPr="008107B7">
        <w:rPr>
          <w:rFonts w:ascii="Times New Roman" w:eastAsiaTheme="minorHAnsi" w:hAnsi="Times New Roman" w:cs="Times New Roman"/>
          <w:i/>
          <w:color w:val="000000"/>
          <w:sz w:val="23"/>
          <w:szCs w:val="23"/>
        </w:rPr>
        <w:t>American Journal of Research Communication</w:t>
      </w:r>
      <w:r w:rsidRPr="008107B7">
        <w:rPr>
          <w:rFonts w:ascii="Times New Roman" w:eastAsiaTheme="minorHAnsi" w:hAnsi="Times New Roman" w:cs="Times New Roman"/>
          <w:color w:val="000000"/>
          <w:sz w:val="23"/>
          <w:szCs w:val="23"/>
        </w:rPr>
        <w:t>, 2(11): 28-42} www.usa-journals.com, ISSN: 2325-4076.</w:t>
      </w:r>
    </w:p>
    <w:p w:rsidR="008107B7" w:rsidRDefault="00F51080"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eastAsia="Times New Roman" w:hAnsi="Times New Roman" w:cs="Times New Roman"/>
          <w:color w:val="111111"/>
          <w:sz w:val="24"/>
          <w:szCs w:val="24"/>
          <w:lang w:val="en"/>
        </w:rPr>
        <w:t>Lindquist, K., 2004, “Banks’ buffer capital: how important is risk?</w:t>
      </w:r>
      <w:proofErr w:type="gramStart"/>
      <w:r w:rsidRPr="008107B7">
        <w:rPr>
          <w:rFonts w:ascii="Times New Roman" w:eastAsia="Times New Roman" w:hAnsi="Times New Roman" w:cs="Times New Roman"/>
          <w:color w:val="111111"/>
          <w:sz w:val="24"/>
          <w:szCs w:val="24"/>
          <w:lang w:val="en"/>
        </w:rPr>
        <w:t>”,</w:t>
      </w:r>
      <w:proofErr w:type="gramEnd"/>
      <w:r w:rsidRPr="008107B7">
        <w:rPr>
          <w:rFonts w:ascii="Times New Roman" w:eastAsia="Times New Roman" w:hAnsi="Times New Roman" w:cs="Times New Roman"/>
          <w:color w:val="111111"/>
          <w:sz w:val="24"/>
          <w:szCs w:val="24"/>
          <w:lang w:val="en"/>
        </w:rPr>
        <w:t xml:space="preserve"> Journal of International Money and Finance 23 (3), 493–513.</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Marcus, A. (1983) </w:t>
      </w:r>
      <w:proofErr w:type="gramStart"/>
      <w:r w:rsidRPr="008107B7">
        <w:rPr>
          <w:rFonts w:ascii="Times New Roman" w:hAnsi="Times New Roman" w:cs="Times New Roman"/>
          <w:sz w:val="24"/>
          <w:szCs w:val="24"/>
        </w:rPr>
        <w:t>The</w:t>
      </w:r>
      <w:proofErr w:type="gramEnd"/>
      <w:r w:rsidRPr="008107B7">
        <w:rPr>
          <w:rFonts w:ascii="Times New Roman" w:hAnsi="Times New Roman" w:cs="Times New Roman"/>
          <w:sz w:val="24"/>
          <w:szCs w:val="24"/>
        </w:rPr>
        <w:t xml:space="preserve"> bank capital decision: a time series-cross section analysis, </w:t>
      </w:r>
      <w:r w:rsidRPr="008107B7">
        <w:rPr>
          <w:rFonts w:ascii="Times New Roman" w:hAnsi="Times New Roman" w:cs="Times New Roman"/>
          <w:i/>
          <w:iCs/>
          <w:sz w:val="24"/>
          <w:szCs w:val="24"/>
        </w:rPr>
        <w:t xml:space="preserve">Journal of Finance </w:t>
      </w:r>
      <w:r w:rsidRPr="008107B7">
        <w:rPr>
          <w:rFonts w:ascii="Times New Roman" w:hAnsi="Times New Roman" w:cs="Times New Roman"/>
          <w:sz w:val="24"/>
          <w:szCs w:val="24"/>
        </w:rPr>
        <w:t>38, pp. 1217-1232.</w:t>
      </w:r>
    </w:p>
    <w:p w:rsidR="008107B7" w:rsidRDefault="00F51080"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Milne, A., E. </w:t>
      </w:r>
      <w:proofErr w:type="spellStart"/>
      <w:r w:rsidRPr="008107B7">
        <w:rPr>
          <w:rFonts w:ascii="Times New Roman" w:hAnsi="Times New Roman" w:cs="Times New Roman"/>
          <w:sz w:val="24"/>
          <w:szCs w:val="24"/>
        </w:rPr>
        <w:t>Whalley</w:t>
      </w:r>
      <w:proofErr w:type="spellEnd"/>
      <w:r w:rsidRPr="008107B7">
        <w:rPr>
          <w:rFonts w:ascii="Times New Roman" w:hAnsi="Times New Roman" w:cs="Times New Roman"/>
          <w:sz w:val="24"/>
          <w:szCs w:val="24"/>
        </w:rPr>
        <w:t xml:space="preserve">, (2001) Bank capital and incentives for risk-taking, In: </w:t>
      </w:r>
      <w:r w:rsidRPr="008107B7">
        <w:rPr>
          <w:rFonts w:ascii="Times New Roman" w:hAnsi="Times New Roman" w:cs="Times New Roman"/>
          <w:i/>
          <w:iCs/>
          <w:sz w:val="24"/>
          <w:szCs w:val="24"/>
        </w:rPr>
        <w:t>Cass Business School Research Paper</w:t>
      </w:r>
      <w:r w:rsidRPr="008107B7">
        <w:rPr>
          <w:rFonts w:ascii="Times New Roman" w:hAnsi="Times New Roman" w:cs="Times New Roman"/>
          <w:sz w:val="24"/>
          <w:szCs w:val="24"/>
        </w:rPr>
        <w:t>.</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Mishkin</w:t>
      </w:r>
      <w:proofErr w:type="spellEnd"/>
      <w:r w:rsidRPr="008107B7">
        <w:rPr>
          <w:rFonts w:ascii="Times New Roman" w:hAnsi="Times New Roman" w:cs="Times New Roman"/>
          <w:sz w:val="24"/>
          <w:szCs w:val="24"/>
        </w:rPr>
        <w:t xml:space="preserve">, F. (2000) </w:t>
      </w:r>
      <w:proofErr w:type="gramStart"/>
      <w:r w:rsidRPr="002907C7">
        <w:rPr>
          <w:rFonts w:ascii="Times New Roman" w:hAnsi="Times New Roman" w:cs="Times New Roman"/>
          <w:iCs/>
          <w:sz w:val="24"/>
          <w:szCs w:val="24"/>
        </w:rPr>
        <w:t>The</w:t>
      </w:r>
      <w:proofErr w:type="gramEnd"/>
      <w:r w:rsidRPr="002907C7">
        <w:rPr>
          <w:rFonts w:ascii="Times New Roman" w:hAnsi="Times New Roman" w:cs="Times New Roman"/>
          <w:iCs/>
          <w:sz w:val="24"/>
          <w:szCs w:val="24"/>
        </w:rPr>
        <w:t xml:space="preserve"> economics of money, banking and financial markets</w:t>
      </w:r>
      <w:r w:rsidRPr="008107B7">
        <w:rPr>
          <w:rFonts w:ascii="Times New Roman" w:hAnsi="Times New Roman" w:cs="Times New Roman"/>
          <w:sz w:val="24"/>
          <w:szCs w:val="24"/>
        </w:rPr>
        <w:t>, Addison Wesley, New York, 6th edition.</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Modigliani, F. and Miller, M. (1958) </w:t>
      </w:r>
      <w:proofErr w:type="gramStart"/>
      <w:r w:rsidRPr="008107B7">
        <w:rPr>
          <w:rFonts w:ascii="Times New Roman" w:hAnsi="Times New Roman" w:cs="Times New Roman"/>
          <w:sz w:val="24"/>
          <w:szCs w:val="24"/>
        </w:rPr>
        <w:t>The</w:t>
      </w:r>
      <w:proofErr w:type="gramEnd"/>
      <w:r w:rsidRPr="008107B7">
        <w:rPr>
          <w:rFonts w:ascii="Times New Roman" w:hAnsi="Times New Roman" w:cs="Times New Roman"/>
          <w:sz w:val="24"/>
          <w:szCs w:val="24"/>
        </w:rPr>
        <w:t xml:space="preserve"> cost of capital, corporation finance and the theory of investment, </w:t>
      </w:r>
      <w:r w:rsidRPr="008107B7">
        <w:rPr>
          <w:rFonts w:ascii="Times New Roman" w:hAnsi="Times New Roman" w:cs="Times New Roman"/>
          <w:i/>
          <w:iCs/>
          <w:sz w:val="24"/>
          <w:szCs w:val="24"/>
        </w:rPr>
        <w:t xml:space="preserve">American Economic Review </w:t>
      </w:r>
      <w:r w:rsidRPr="008107B7">
        <w:rPr>
          <w:rFonts w:ascii="Times New Roman" w:hAnsi="Times New Roman" w:cs="Times New Roman"/>
          <w:sz w:val="24"/>
          <w:szCs w:val="24"/>
        </w:rPr>
        <w:t>48, pp. 261-297.</w:t>
      </w:r>
    </w:p>
    <w:p w:rsidR="008107B7" w:rsidRDefault="00851947"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Morgan, GE (1984), “On the Adequacy of Bank Capital Regulation”, </w:t>
      </w:r>
      <w:r w:rsidRPr="008107B7">
        <w:rPr>
          <w:rFonts w:ascii="Times New Roman" w:hAnsi="Times New Roman" w:cs="Times New Roman"/>
          <w:i/>
          <w:iCs/>
          <w:sz w:val="24"/>
          <w:szCs w:val="24"/>
        </w:rPr>
        <w:t>Journal of Financial Quantitative Analysis</w:t>
      </w:r>
      <w:r w:rsidRPr="008107B7">
        <w:rPr>
          <w:rFonts w:ascii="Times New Roman" w:hAnsi="Times New Roman" w:cs="Times New Roman"/>
          <w:sz w:val="24"/>
          <w:szCs w:val="24"/>
        </w:rPr>
        <w:t>, Vol. 19, No. 2, pp. 141-162.</w:t>
      </w:r>
    </w:p>
    <w:p w:rsidR="008107B7" w:rsidRDefault="007B4E3E"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Naceur</w:t>
      </w:r>
      <w:proofErr w:type="spellEnd"/>
      <w:r w:rsidRPr="008107B7">
        <w:rPr>
          <w:rFonts w:ascii="Times New Roman" w:hAnsi="Times New Roman" w:cs="Times New Roman"/>
          <w:sz w:val="24"/>
          <w:szCs w:val="24"/>
        </w:rPr>
        <w:t xml:space="preserve">, S. B. (2003). The Determinants of the Tunisian Banking Industry Profitability: Panel Evidence, </w:t>
      </w:r>
      <w:proofErr w:type="spellStart"/>
      <w:r w:rsidRPr="008107B7">
        <w:rPr>
          <w:rFonts w:ascii="Times New Roman" w:hAnsi="Times New Roman" w:cs="Times New Roman"/>
          <w:sz w:val="24"/>
          <w:szCs w:val="24"/>
        </w:rPr>
        <w:t>UniversiteLibre</w:t>
      </w:r>
      <w:proofErr w:type="spellEnd"/>
      <w:r w:rsidRPr="008107B7">
        <w:rPr>
          <w:rFonts w:ascii="Times New Roman" w:hAnsi="Times New Roman" w:cs="Times New Roman"/>
          <w:sz w:val="24"/>
          <w:szCs w:val="24"/>
        </w:rPr>
        <w:t xml:space="preserve"> de Tunis Working Papers. Available at: </w:t>
      </w:r>
      <w:r w:rsidRPr="002907C7">
        <w:rPr>
          <w:rFonts w:ascii="Times New Roman" w:hAnsi="Times New Roman" w:cs="Times New Roman"/>
          <w:sz w:val="24"/>
          <w:szCs w:val="24"/>
        </w:rPr>
        <w:t>http://www.mafhoum.com/press6/174E11.pdf</w:t>
      </w:r>
    </w:p>
    <w:p w:rsidR="008107B7" w:rsidRDefault="00FD6FF1"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Nier</w:t>
      </w:r>
      <w:proofErr w:type="gramStart"/>
      <w:r w:rsidRPr="008107B7">
        <w:rPr>
          <w:rFonts w:ascii="Times New Roman" w:hAnsi="Times New Roman" w:cs="Times New Roman"/>
          <w:sz w:val="24"/>
          <w:szCs w:val="24"/>
        </w:rPr>
        <w:t>,E.W</w:t>
      </w:r>
      <w:proofErr w:type="spellEnd"/>
      <w:proofErr w:type="gramEnd"/>
      <w:r w:rsidRPr="008107B7">
        <w:rPr>
          <w:rFonts w:ascii="Times New Roman" w:hAnsi="Times New Roman" w:cs="Times New Roman"/>
          <w:sz w:val="24"/>
          <w:szCs w:val="24"/>
        </w:rPr>
        <w:t xml:space="preserve">., </w:t>
      </w:r>
      <w:r w:rsidR="00F51080" w:rsidRPr="008107B7">
        <w:rPr>
          <w:rFonts w:ascii="Times New Roman" w:hAnsi="Times New Roman" w:cs="Times New Roman"/>
          <w:sz w:val="24"/>
          <w:szCs w:val="24"/>
        </w:rPr>
        <w:t xml:space="preserve">and </w:t>
      </w:r>
      <w:proofErr w:type="spellStart"/>
      <w:r w:rsidRPr="008107B7">
        <w:rPr>
          <w:rFonts w:ascii="Times New Roman" w:hAnsi="Times New Roman" w:cs="Times New Roman"/>
          <w:sz w:val="24"/>
          <w:szCs w:val="24"/>
        </w:rPr>
        <w:t>Baumann,U</w:t>
      </w:r>
      <w:proofErr w:type="spellEnd"/>
      <w:r w:rsidRPr="008107B7">
        <w:rPr>
          <w:rFonts w:ascii="Times New Roman" w:hAnsi="Times New Roman" w:cs="Times New Roman"/>
          <w:sz w:val="24"/>
          <w:szCs w:val="24"/>
        </w:rPr>
        <w:t xml:space="preserve">. (2006). Market Discipline, Disclosure and Moral Hazard in Banking. </w:t>
      </w:r>
      <w:r w:rsidRPr="008107B7">
        <w:rPr>
          <w:rFonts w:ascii="Times New Roman" w:hAnsi="Times New Roman" w:cs="Times New Roman"/>
          <w:i/>
          <w:iCs/>
          <w:sz w:val="24"/>
          <w:szCs w:val="24"/>
        </w:rPr>
        <w:t>Journal of Financial Intermediation, 15</w:t>
      </w:r>
      <w:r w:rsidRPr="008107B7">
        <w:rPr>
          <w:rFonts w:ascii="Times New Roman" w:hAnsi="Times New Roman" w:cs="Times New Roman"/>
          <w:sz w:val="24"/>
          <w:szCs w:val="24"/>
        </w:rPr>
        <w:t xml:space="preserve">, 332-361. </w:t>
      </w:r>
      <w:r w:rsidR="002907C7" w:rsidRPr="008107B7">
        <w:rPr>
          <w:rFonts w:ascii="Times New Roman" w:hAnsi="Times New Roman" w:cs="Times New Roman"/>
          <w:sz w:val="24"/>
          <w:szCs w:val="24"/>
        </w:rPr>
        <w:t xml:space="preserve">Available at: </w:t>
      </w:r>
      <w:r w:rsidRPr="002907C7">
        <w:rPr>
          <w:rFonts w:ascii="Times New Roman" w:hAnsi="Times New Roman" w:cs="Times New Roman"/>
          <w:sz w:val="24"/>
          <w:szCs w:val="24"/>
        </w:rPr>
        <w:t>http://dx.doi.org/10.1016/j.jfi.2006.03.001</w:t>
      </w:r>
    </w:p>
    <w:p w:rsidR="008107B7" w:rsidRDefault="00851947"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Oloo</w:t>
      </w:r>
      <w:proofErr w:type="spellEnd"/>
      <w:r w:rsidRPr="008107B7">
        <w:rPr>
          <w:rFonts w:ascii="Times New Roman" w:hAnsi="Times New Roman" w:cs="Times New Roman"/>
          <w:sz w:val="24"/>
          <w:szCs w:val="24"/>
        </w:rPr>
        <w:t xml:space="preserve">, O. (2011) Banking Survey Report, The best banks this decade 2001-2010, Think Business Limited, Kenya, </w:t>
      </w:r>
      <w:r w:rsidR="002907C7" w:rsidRPr="008107B7">
        <w:rPr>
          <w:rFonts w:ascii="Times New Roman" w:hAnsi="Times New Roman" w:cs="Times New Roman"/>
          <w:sz w:val="24"/>
          <w:szCs w:val="24"/>
        </w:rPr>
        <w:t xml:space="preserve">Available at: </w:t>
      </w:r>
      <w:r w:rsidR="00F51080" w:rsidRPr="002907C7">
        <w:rPr>
          <w:rFonts w:ascii="Times New Roman" w:hAnsi="Times New Roman" w:cs="Times New Roman"/>
          <w:sz w:val="24"/>
          <w:szCs w:val="24"/>
        </w:rPr>
        <w:t>www.bankingsurvey.co.ke</w:t>
      </w:r>
    </w:p>
    <w:p w:rsidR="008107B7" w:rsidRDefault="00BC6531"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Onoh</w:t>
      </w:r>
      <w:proofErr w:type="spellEnd"/>
      <w:r w:rsidRPr="008107B7">
        <w:rPr>
          <w:rFonts w:ascii="Times New Roman" w:hAnsi="Times New Roman" w:cs="Times New Roman"/>
          <w:sz w:val="24"/>
          <w:szCs w:val="24"/>
        </w:rPr>
        <w:t xml:space="preserve">, J.K (2002), “Dynamics of Money, Banking and Finance in Nigeria, an Emerging Market”, </w:t>
      </w:r>
      <w:r w:rsidRPr="008107B7">
        <w:rPr>
          <w:rFonts w:ascii="Times New Roman" w:hAnsi="Times New Roman" w:cs="Times New Roman"/>
          <w:i/>
          <w:iCs/>
          <w:sz w:val="24"/>
          <w:szCs w:val="24"/>
        </w:rPr>
        <w:t>Astra Meridian Publishers</w:t>
      </w:r>
      <w:r w:rsidRPr="008107B7">
        <w:rPr>
          <w:rFonts w:ascii="Times New Roman" w:hAnsi="Times New Roman" w:cs="Times New Roman"/>
          <w:sz w:val="24"/>
          <w:szCs w:val="24"/>
        </w:rPr>
        <w:t>, Lagos</w:t>
      </w:r>
      <w:r w:rsidRPr="008107B7">
        <w:rPr>
          <w:rFonts w:ascii="Times New Roman" w:hAnsi="Times New Roman" w:cs="Times New Roman"/>
          <w:i/>
          <w:iCs/>
          <w:sz w:val="24"/>
          <w:szCs w:val="24"/>
        </w:rPr>
        <w:t>.</w:t>
      </w:r>
    </w:p>
    <w:p w:rsidR="008107B7" w:rsidRDefault="00DA02F5"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Orgler</w:t>
      </w:r>
      <w:proofErr w:type="spellEnd"/>
      <w:r w:rsidRPr="008107B7">
        <w:rPr>
          <w:rFonts w:ascii="Times New Roman" w:hAnsi="Times New Roman" w:cs="Times New Roman"/>
          <w:sz w:val="24"/>
          <w:szCs w:val="24"/>
        </w:rPr>
        <w:t xml:space="preserve">, Y. E. and Taggart, R. A. (1983) Risk based equity cost calculation in banking, </w:t>
      </w:r>
      <w:r w:rsidRPr="008107B7">
        <w:rPr>
          <w:rFonts w:ascii="Times New Roman" w:hAnsi="Times New Roman" w:cs="Times New Roman"/>
          <w:i/>
          <w:sz w:val="24"/>
          <w:szCs w:val="24"/>
        </w:rPr>
        <w:t>Journal of Money, Credit, and Banking</w:t>
      </w:r>
      <w:r w:rsidRPr="008107B7">
        <w:rPr>
          <w:rFonts w:ascii="Times New Roman" w:hAnsi="Times New Roman" w:cs="Times New Roman"/>
          <w:sz w:val="24"/>
          <w:szCs w:val="24"/>
        </w:rPr>
        <w:t>, 15, 212-221.</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lastRenderedPageBreak/>
        <w:t>Rajan</w:t>
      </w:r>
      <w:proofErr w:type="spellEnd"/>
      <w:r w:rsidRPr="008107B7">
        <w:rPr>
          <w:rFonts w:ascii="Times New Roman" w:hAnsi="Times New Roman" w:cs="Times New Roman"/>
          <w:sz w:val="24"/>
          <w:szCs w:val="24"/>
        </w:rPr>
        <w:t xml:space="preserve">, R. and </w:t>
      </w:r>
      <w:proofErr w:type="spellStart"/>
      <w:r w:rsidRPr="008107B7">
        <w:rPr>
          <w:rFonts w:ascii="Times New Roman" w:hAnsi="Times New Roman" w:cs="Times New Roman"/>
          <w:sz w:val="24"/>
          <w:szCs w:val="24"/>
        </w:rPr>
        <w:t>Zingales</w:t>
      </w:r>
      <w:proofErr w:type="spellEnd"/>
      <w:r w:rsidRPr="008107B7">
        <w:rPr>
          <w:rFonts w:ascii="Times New Roman" w:hAnsi="Times New Roman" w:cs="Times New Roman"/>
          <w:sz w:val="24"/>
          <w:szCs w:val="24"/>
        </w:rPr>
        <w:t xml:space="preserve">, L. (1995) </w:t>
      </w:r>
      <w:proofErr w:type="gramStart"/>
      <w:r w:rsidRPr="008107B7">
        <w:rPr>
          <w:rFonts w:ascii="Times New Roman" w:hAnsi="Times New Roman" w:cs="Times New Roman"/>
          <w:sz w:val="24"/>
          <w:szCs w:val="24"/>
        </w:rPr>
        <w:t>What</w:t>
      </w:r>
      <w:proofErr w:type="gramEnd"/>
      <w:r w:rsidRPr="008107B7">
        <w:rPr>
          <w:rFonts w:ascii="Times New Roman" w:hAnsi="Times New Roman" w:cs="Times New Roman"/>
          <w:sz w:val="24"/>
          <w:szCs w:val="24"/>
        </w:rPr>
        <w:t xml:space="preserve"> do we know about capital structure? Some evidence</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Rauh</w:t>
      </w:r>
      <w:proofErr w:type="spellEnd"/>
      <w:r w:rsidRPr="008107B7">
        <w:rPr>
          <w:rFonts w:ascii="Times New Roman" w:hAnsi="Times New Roman" w:cs="Times New Roman"/>
          <w:sz w:val="24"/>
          <w:szCs w:val="24"/>
        </w:rPr>
        <w:t>, J. and Sufi, A. (2008) Capital structure and debt structure, unpublished working paper, University of Chicago.</w:t>
      </w:r>
    </w:p>
    <w:p w:rsidR="008107B7" w:rsidRDefault="00E245FA"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Reynolds, SE and </w:t>
      </w:r>
      <w:proofErr w:type="spellStart"/>
      <w:r w:rsidRPr="008107B7">
        <w:rPr>
          <w:rFonts w:ascii="Times New Roman" w:hAnsi="Times New Roman" w:cs="Times New Roman"/>
          <w:sz w:val="24"/>
          <w:szCs w:val="24"/>
        </w:rPr>
        <w:t>Ratanakomut</w:t>
      </w:r>
      <w:proofErr w:type="spellEnd"/>
      <w:r w:rsidRPr="008107B7">
        <w:rPr>
          <w:rFonts w:ascii="Times New Roman" w:hAnsi="Times New Roman" w:cs="Times New Roman"/>
          <w:sz w:val="24"/>
          <w:szCs w:val="24"/>
        </w:rPr>
        <w:t xml:space="preserve">, SG (2000), “Bank Financial Structure in Pre-crisis East and South East Asia”, </w:t>
      </w:r>
      <w:r w:rsidRPr="008107B7">
        <w:rPr>
          <w:rFonts w:ascii="Times New Roman" w:hAnsi="Times New Roman" w:cs="Times New Roman"/>
          <w:i/>
          <w:iCs/>
          <w:sz w:val="24"/>
          <w:szCs w:val="24"/>
        </w:rPr>
        <w:t>Journal of Asian Economy</w:t>
      </w:r>
      <w:r w:rsidRPr="008107B7">
        <w:rPr>
          <w:rFonts w:ascii="Times New Roman" w:hAnsi="Times New Roman" w:cs="Times New Roman"/>
          <w:sz w:val="24"/>
          <w:szCs w:val="24"/>
        </w:rPr>
        <w:t>, Vol. 11, No. 3, pp. 319-331.</w:t>
      </w:r>
    </w:p>
    <w:p w:rsidR="008107B7" w:rsidRDefault="00FD6FF1"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Rime, B. (2001) Capital Requirements and Bank Behavior: Empirical Evidence for Switzerland», </w:t>
      </w:r>
      <w:r w:rsidRPr="008107B7">
        <w:rPr>
          <w:rFonts w:ascii="Times New Roman" w:hAnsi="Times New Roman" w:cs="Times New Roman"/>
          <w:i/>
          <w:sz w:val="24"/>
          <w:szCs w:val="24"/>
        </w:rPr>
        <w:t>Journal of Banking and Finance</w:t>
      </w:r>
      <w:r w:rsidRPr="008107B7">
        <w:rPr>
          <w:rFonts w:ascii="Times New Roman" w:hAnsi="Times New Roman" w:cs="Times New Roman"/>
          <w:sz w:val="24"/>
          <w:szCs w:val="24"/>
        </w:rPr>
        <w:t>, 25(4), pp. 789-805.</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Santos, J. (2001) Bank capital regulation in contemporary banking theory: A review of the literature, </w:t>
      </w:r>
      <w:r w:rsidRPr="008107B7">
        <w:rPr>
          <w:rFonts w:ascii="Times New Roman" w:hAnsi="Times New Roman" w:cs="Times New Roman"/>
          <w:i/>
          <w:iCs/>
          <w:sz w:val="24"/>
          <w:szCs w:val="24"/>
        </w:rPr>
        <w:t xml:space="preserve">Financial Markets, Institutions &amp; Instruments </w:t>
      </w:r>
      <w:r w:rsidRPr="008107B7">
        <w:rPr>
          <w:rFonts w:ascii="Times New Roman" w:hAnsi="Times New Roman" w:cs="Times New Roman"/>
          <w:sz w:val="24"/>
          <w:szCs w:val="24"/>
        </w:rPr>
        <w:t>10, pp. 41-84.</w:t>
      </w:r>
    </w:p>
    <w:p w:rsidR="008107B7" w:rsidRDefault="00CA6B4D"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lang w:val="en"/>
        </w:rPr>
        <w:t xml:space="preserve">Saunders, A., </w:t>
      </w:r>
      <w:proofErr w:type="spellStart"/>
      <w:r w:rsidRPr="008107B7">
        <w:rPr>
          <w:rFonts w:ascii="Times New Roman" w:hAnsi="Times New Roman" w:cs="Times New Roman"/>
          <w:sz w:val="24"/>
          <w:szCs w:val="24"/>
          <w:lang w:val="en"/>
        </w:rPr>
        <w:t>Strock</w:t>
      </w:r>
      <w:proofErr w:type="spellEnd"/>
      <w:r w:rsidRPr="008107B7">
        <w:rPr>
          <w:rFonts w:ascii="Times New Roman" w:hAnsi="Times New Roman" w:cs="Times New Roman"/>
          <w:sz w:val="24"/>
          <w:szCs w:val="24"/>
          <w:lang w:val="en"/>
        </w:rPr>
        <w:t xml:space="preserve">, E. and </w:t>
      </w:r>
      <w:proofErr w:type="spellStart"/>
      <w:r w:rsidRPr="008107B7">
        <w:rPr>
          <w:rFonts w:ascii="Times New Roman" w:hAnsi="Times New Roman" w:cs="Times New Roman"/>
          <w:sz w:val="24"/>
          <w:szCs w:val="24"/>
          <w:lang w:val="en"/>
        </w:rPr>
        <w:t>Travlos</w:t>
      </w:r>
      <w:proofErr w:type="spellEnd"/>
      <w:r w:rsidRPr="008107B7">
        <w:rPr>
          <w:rFonts w:ascii="Times New Roman" w:hAnsi="Times New Roman" w:cs="Times New Roman"/>
          <w:sz w:val="24"/>
          <w:szCs w:val="24"/>
          <w:lang w:val="en"/>
        </w:rPr>
        <w:t>, N. (1990) Ownership Structure, Deregulation, and Bank Risk Taking, `</w:t>
      </w:r>
      <w:proofErr w:type="gramStart"/>
      <w:r w:rsidRPr="008107B7">
        <w:rPr>
          <w:rFonts w:ascii="Times New Roman" w:hAnsi="Times New Roman" w:cs="Times New Roman"/>
          <w:sz w:val="24"/>
          <w:szCs w:val="24"/>
          <w:lang w:val="en"/>
        </w:rPr>
        <w:t>The</w:t>
      </w:r>
      <w:proofErr w:type="gramEnd"/>
      <w:r w:rsidRPr="008107B7">
        <w:rPr>
          <w:rFonts w:ascii="Times New Roman" w:hAnsi="Times New Roman" w:cs="Times New Roman"/>
          <w:sz w:val="24"/>
          <w:szCs w:val="24"/>
          <w:lang w:val="en"/>
        </w:rPr>
        <w:t xml:space="preserve"> Journal of Finance, Vol. 45 (2), pp. 643-654.</w:t>
      </w:r>
    </w:p>
    <w:p w:rsidR="008107B7" w:rsidRDefault="00F51080"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eastAsia="Times New Roman" w:hAnsi="Times New Roman" w:cs="Times New Roman"/>
          <w:color w:val="111111"/>
          <w:sz w:val="24"/>
          <w:szCs w:val="24"/>
          <w:lang w:val="en"/>
        </w:rPr>
        <w:t>Schaeck</w:t>
      </w:r>
      <w:proofErr w:type="spellEnd"/>
      <w:r w:rsidRPr="008107B7">
        <w:rPr>
          <w:rFonts w:ascii="Times New Roman" w:eastAsia="Times New Roman" w:hAnsi="Times New Roman" w:cs="Times New Roman"/>
          <w:color w:val="111111"/>
          <w:sz w:val="24"/>
          <w:szCs w:val="24"/>
          <w:lang w:val="en"/>
        </w:rPr>
        <w:t xml:space="preserve"> K. and M. </w:t>
      </w:r>
      <w:proofErr w:type="spellStart"/>
      <w:r w:rsidRPr="008107B7">
        <w:rPr>
          <w:rFonts w:ascii="Times New Roman" w:eastAsia="Times New Roman" w:hAnsi="Times New Roman" w:cs="Times New Roman"/>
          <w:color w:val="111111"/>
          <w:sz w:val="24"/>
          <w:szCs w:val="24"/>
          <w:lang w:val="en"/>
        </w:rPr>
        <w:t>Cihak</w:t>
      </w:r>
      <w:proofErr w:type="spellEnd"/>
      <w:r w:rsidRPr="008107B7">
        <w:rPr>
          <w:rFonts w:ascii="Times New Roman" w:eastAsia="Times New Roman" w:hAnsi="Times New Roman" w:cs="Times New Roman"/>
          <w:color w:val="111111"/>
          <w:sz w:val="24"/>
          <w:szCs w:val="24"/>
          <w:lang w:val="en"/>
        </w:rPr>
        <w:t>, 2007, “Bank Competition and Capital Ratios,” International Monetary Fund working paper 07/216, Washington D. C.</w:t>
      </w:r>
    </w:p>
    <w:p w:rsidR="008107B7" w:rsidRDefault="004728BA"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Shrieves</w:t>
      </w:r>
      <w:proofErr w:type="spellEnd"/>
      <w:r w:rsidRPr="008107B7">
        <w:rPr>
          <w:rFonts w:ascii="Times New Roman" w:hAnsi="Times New Roman" w:cs="Times New Roman"/>
          <w:sz w:val="24"/>
          <w:szCs w:val="24"/>
        </w:rPr>
        <w:t xml:space="preserve">, R.E. and Dahl, D. (1992) </w:t>
      </w:r>
      <w:proofErr w:type="gramStart"/>
      <w:r w:rsidRPr="008107B7">
        <w:rPr>
          <w:rFonts w:ascii="Times New Roman" w:hAnsi="Times New Roman" w:cs="Times New Roman"/>
          <w:sz w:val="24"/>
          <w:szCs w:val="24"/>
        </w:rPr>
        <w:t>The</w:t>
      </w:r>
      <w:proofErr w:type="gramEnd"/>
      <w:r w:rsidRPr="008107B7">
        <w:rPr>
          <w:rFonts w:ascii="Times New Roman" w:hAnsi="Times New Roman" w:cs="Times New Roman"/>
          <w:sz w:val="24"/>
          <w:szCs w:val="24"/>
        </w:rPr>
        <w:t xml:space="preserve"> Relationship between Risk and Capital in Commercial Banks. Journal of Banking &amp; Finance, 16, 439-457.</w:t>
      </w:r>
    </w:p>
    <w:p w:rsidR="008107B7" w:rsidRDefault="00F51080"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4"/>
          <w:szCs w:val="24"/>
        </w:rPr>
        <w:t>Stolz</w:t>
      </w:r>
      <w:proofErr w:type="spellEnd"/>
      <w:r w:rsidRPr="008107B7">
        <w:rPr>
          <w:rFonts w:ascii="Times New Roman" w:hAnsi="Times New Roman" w:cs="Times New Roman"/>
          <w:sz w:val="24"/>
          <w:szCs w:val="24"/>
        </w:rPr>
        <w:t xml:space="preserve">, S., </w:t>
      </w:r>
      <w:proofErr w:type="spellStart"/>
      <w:r w:rsidRPr="008107B7">
        <w:rPr>
          <w:rFonts w:ascii="Times New Roman" w:hAnsi="Times New Roman" w:cs="Times New Roman"/>
          <w:sz w:val="24"/>
          <w:szCs w:val="24"/>
        </w:rPr>
        <w:t>Wedow</w:t>
      </w:r>
      <w:proofErr w:type="spellEnd"/>
      <w:r w:rsidRPr="008107B7">
        <w:rPr>
          <w:rFonts w:ascii="Times New Roman" w:hAnsi="Times New Roman" w:cs="Times New Roman"/>
          <w:sz w:val="24"/>
          <w:szCs w:val="24"/>
        </w:rPr>
        <w:t xml:space="preserve">, M., 2005. Banks’ regulatory capital buffer and the business cycle: Evidence for German saving and cooperative banks. Deutsche </w:t>
      </w:r>
      <w:proofErr w:type="spellStart"/>
      <w:r w:rsidRPr="008107B7">
        <w:rPr>
          <w:rFonts w:ascii="Times New Roman" w:hAnsi="Times New Roman" w:cs="Times New Roman"/>
          <w:sz w:val="24"/>
          <w:szCs w:val="24"/>
        </w:rPr>
        <w:t>Bundes</w:t>
      </w:r>
      <w:proofErr w:type="spellEnd"/>
      <w:r w:rsidRPr="008107B7">
        <w:rPr>
          <w:rFonts w:ascii="Times New Roman" w:hAnsi="Times New Roman" w:cs="Times New Roman"/>
          <w:sz w:val="24"/>
          <w:szCs w:val="24"/>
        </w:rPr>
        <w:t xml:space="preserve"> bank Discussion Paper Series 2, 2005, No.07</w:t>
      </w:r>
      <w:r w:rsidR="007B4E3E" w:rsidRPr="008107B7">
        <w:rPr>
          <w:rFonts w:ascii="Times New Roman" w:hAnsi="Times New Roman" w:cs="Times New Roman"/>
          <w:sz w:val="24"/>
          <w:szCs w:val="24"/>
        </w:rPr>
        <w:t>,</w:t>
      </w:r>
      <w:r w:rsidR="007B4E3E" w:rsidRPr="008107B7">
        <w:rPr>
          <w:rFonts w:ascii="Times New Roman" w:eastAsia="MS Gothic" w:hAnsi="Times New Roman" w:cs="Times New Roman"/>
          <w:sz w:val="24"/>
          <w:szCs w:val="24"/>
        </w:rPr>
        <w:t xml:space="preserve"> pp</w:t>
      </w:r>
      <w:r w:rsidRPr="008107B7">
        <w:rPr>
          <w:rFonts w:ascii="Times New Roman" w:hAnsi="Times New Roman" w:cs="Times New Roman"/>
          <w:sz w:val="24"/>
          <w:szCs w:val="24"/>
        </w:rPr>
        <w:t xml:space="preserve"> 1-42.</w:t>
      </w:r>
    </w:p>
    <w:p w:rsidR="008107B7" w:rsidRDefault="00976DC4"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Titman, S. and </w:t>
      </w:r>
      <w:proofErr w:type="spellStart"/>
      <w:r w:rsidRPr="008107B7">
        <w:rPr>
          <w:rFonts w:ascii="Times New Roman" w:hAnsi="Times New Roman" w:cs="Times New Roman"/>
          <w:sz w:val="24"/>
          <w:szCs w:val="24"/>
        </w:rPr>
        <w:t>Wessels</w:t>
      </w:r>
      <w:proofErr w:type="spellEnd"/>
      <w:r w:rsidRPr="008107B7">
        <w:rPr>
          <w:rFonts w:ascii="Times New Roman" w:hAnsi="Times New Roman" w:cs="Times New Roman"/>
          <w:sz w:val="24"/>
          <w:szCs w:val="24"/>
        </w:rPr>
        <w:t xml:space="preserve">, (1988) </w:t>
      </w:r>
      <w:proofErr w:type="gramStart"/>
      <w:r w:rsidRPr="008107B7">
        <w:rPr>
          <w:rFonts w:ascii="Times New Roman" w:hAnsi="Times New Roman" w:cs="Times New Roman"/>
          <w:sz w:val="24"/>
          <w:szCs w:val="24"/>
        </w:rPr>
        <w:t>The</w:t>
      </w:r>
      <w:proofErr w:type="gramEnd"/>
      <w:r w:rsidRPr="008107B7">
        <w:rPr>
          <w:rFonts w:ascii="Times New Roman" w:hAnsi="Times New Roman" w:cs="Times New Roman"/>
          <w:sz w:val="24"/>
          <w:szCs w:val="24"/>
        </w:rPr>
        <w:t xml:space="preserve"> determinants of capital structure choice, </w:t>
      </w:r>
      <w:r w:rsidRPr="008107B7">
        <w:rPr>
          <w:rFonts w:ascii="Times New Roman" w:hAnsi="Times New Roman" w:cs="Times New Roman"/>
          <w:i/>
          <w:iCs/>
          <w:sz w:val="24"/>
          <w:szCs w:val="24"/>
        </w:rPr>
        <w:t xml:space="preserve">Journal of Finance </w:t>
      </w:r>
      <w:r w:rsidRPr="008107B7">
        <w:rPr>
          <w:rFonts w:ascii="Times New Roman" w:hAnsi="Times New Roman" w:cs="Times New Roman"/>
          <w:sz w:val="24"/>
          <w:szCs w:val="24"/>
        </w:rPr>
        <w:t>43, pp. 1-19.</w:t>
      </w:r>
    </w:p>
    <w:p w:rsidR="008107B7" w:rsidRDefault="00F362DC"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sz w:val="23"/>
          <w:szCs w:val="23"/>
        </w:rPr>
        <w:t>Umoh</w:t>
      </w:r>
      <w:proofErr w:type="spellEnd"/>
      <w:r w:rsidRPr="008107B7">
        <w:rPr>
          <w:rFonts w:ascii="Times New Roman" w:hAnsi="Times New Roman" w:cs="Times New Roman"/>
          <w:sz w:val="23"/>
          <w:szCs w:val="23"/>
        </w:rPr>
        <w:t>, Peter 1991, ‘Capital Standards and Bank Deposit Insurance Scheme</w:t>
      </w:r>
      <w:r w:rsidRPr="008107B7">
        <w:rPr>
          <w:rFonts w:ascii="Times New Roman" w:hAnsi="Times New Roman" w:cs="Times New Roman"/>
          <w:i/>
          <w:iCs/>
          <w:sz w:val="23"/>
          <w:szCs w:val="23"/>
        </w:rPr>
        <w:t>’</w:t>
      </w:r>
      <w:r w:rsidRPr="008107B7">
        <w:rPr>
          <w:rFonts w:ascii="Times New Roman" w:hAnsi="Times New Roman" w:cs="Times New Roman"/>
          <w:sz w:val="23"/>
          <w:szCs w:val="23"/>
        </w:rPr>
        <w:t xml:space="preserve">, </w:t>
      </w:r>
      <w:r w:rsidRPr="008107B7">
        <w:rPr>
          <w:rFonts w:ascii="Times New Roman" w:hAnsi="Times New Roman" w:cs="Times New Roman"/>
          <w:i/>
          <w:iCs/>
          <w:sz w:val="23"/>
          <w:szCs w:val="23"/>
        </w:rPr>
        <w:t>NDIC Quarterly</w:t>
      </w:r>
      <w:r w:rsidRPr="008107B7">
        <w:rPr>
          <w:rFonts w:ascii="Times New Roman" w:hAnsi="Times New Roman" w:cs="Times New Roman"/>
          <w:sz w:val="23"/>
          <w:szCs w:val="23"/>
        </w:rPr>
        <w:t>, Vol. 1, N</w:t>
      </w:r>
      <w:r w:rsidRPr="008107B7">
        <w:rPr>
          <w:rFonts w:ascii="Times New Roman" w:hAnsi="Times New Roman" w:cs="Times New Roman"/>
          <w:sz w:val="24"/>
          <w:szCs w:val="24"/>
        </w:rPr>
        <w:t>o. 2, pp. 18-25.</w:t>
      </w:r>
    </w:p>
    <w:p w:rsidR="008107B7" w:rsidRDefault="007B4E3E"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proofErr w:type="spellStart"/>
      <w:r w:rsidRPr="008107B7">
        <w:rPr>
          <w:rFonts w:ascii="Times New Roman" w:hAnsi="Times New Roman" w:cs="Times New Roman"/>
          <w:color w:val="000000"/>
          <w:sz w:val="24"/>
          <w:szCs w:val="24"/>
        </w:rPr>
        <w:t>VanHoose</w:t>
      </w:r>
      <w:proofErr w:type="spellEnd"/>
      <w:r w:rsidRPr="008107B7">
        <w:rPr>
          <w:rFonts w:ascii="Times New Roman" w:hAnsi="Times New Roman" w:cs="Times New Roman"/>
          <w:color w:val="000000"/>
          <w:sz w:val="24"/>
          <w:szCs w:val="24"/>
        </w:rPr>
        <w:t>, D</w:t>
      </w:r>
      <w:proofErr w:type="gramStart"/>
      <w:r w:rsidRPr="008107B7">
        <w:rPr>
          <w:rFonts w:ascii="Times New Roman" w:hAnsi="Times New Roman" w:cs="Times New Roman"/>
          <w:color w:val="000000"/>
          <w:sz w:val="24"/>
          <w:szCs w:val="24"/>
        </w:rPr>
        <w:t>.(</w:t>
      </w:r>
      <w:proofErr w:type="gramEnd"/>
      <w:r w:rsidRPr="008107B7">
        <w:rPr>
          <w:rFonts w:ascii="Times New Roman" w:hAnsi="Times New Roman" w:cs="Times New Roman"/>
          <w:color w:val="000000"/>
          <w:sz w:val="24"/>
          <w:szCs w:val="24"/>
        </w:rPr>
        <w:t>2007), “Theories of bank behavior under capital regulation”, Journal of Banking and Finance 31, 3680-3697.</w:t>
      </w:r>
    </w:p>
    <w:p w:rsidR="008107B7" w:rsidRDefault="00A13EDE"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Williams, Harley </w:t>
      </w:r>
      <w:proofErr w:type="spellStart"/>
      <w:r w:rsidRPr="008107B7">
        <w:rPr>
          <w:rFonts w:ascii="Times New Roman" w:hAnsi="Times New Roman" w:cs="Times New Roman"/>
          <w:sz w:val="24"/>
          <w:szCs w:val="24"/>
        </w:rPr>
        <w:t>Tega</w:t>
      </w:r>
      <w:proofErr w:type="spellEnd"/>
      <w:r w:rsidRPr="008107B7">
        <w:rPr>
          <w:rFonts w:ascii="Times New Roman" w:hAnsi="Times New Roman" w:cs="Times New Roman"/>
          <w:sz w:val="24"/>
          <w:szCs w:val="24"/>
        </w:rPr>
        <w:t xml:space="preserve"> (2011), “Determinants of capital adequacy in the Banking Sub-Sector of the Nigeria Economy: Efficacy of Camels. (A Model Specification with Co-Integration Analysis)” </w:t>
      </w:r>
      <w:r w:rsidRPr="008107B7">
        <w:rPr>
          <w:rFonts w:ascii="Times New Roman" w:hAnsi="Times New Roman" w:cs="Times New Roman"/>
          <w:i/>
          <w:iCs/>
          <w:sz w:val="24"/>
          <w:szCs w:val="24"/>
        </w:rPr>
        <w:t xml:space="preserve">International Journal of Academic Research in Business and Social Sciences, </w:t>
      </w:r>
      <w:r w:rsidRPr="008107B7">
        <w:rPr>
          <w:rFonts w:ascii="Times New Roman" w:hAnsi="Times New Roman" w:cs="Times New Roman"/>
          <w:sz w:val="24"/>
          <w:szCs w:val="24"/>
        </w:rPr>
        <w:t>Vol. 1, No. 3, pp. 233-248.</w:t>
      </w:r>
    </w:p>
    <w:p w:rsidR="00CD7D82" w:rsidRPr="008107B7" w:rsidRDefault="00CD7D82" w:rsidP="008107B7">
      <w:pPr>
        <w:numPr>
          <w:ilvl w:val="0"/>
          <w:numId w:val="20"/>
        </w:numPr>
        <w:tabs>
          <w:tab w:val="clear" w:pos="480"/>
          <w:tab w:val="num" w:pos="720"/>
        </w:tabs>
        <w:autoSpaceDE w:val="0"/>
        <w:autoSpaceDN w:val="0"/>
        <w:adjustRightInd w:val="0"/>
        <w:spacing w:after="0" w:line="240" w:lineRule="auto"/>
        <w:ind w:left="540" w:hanging="475"/>
        <w:jc w:val="both"/>
        <w:textAlignment w:val="bottom"/>
        <w:rPr>
          <w:rFonts w:ascii="Times New Roman" w:hAnsi="Times New Roman" w:cs="Times New Roman"/>
          <w:sz w:val="24"/>
          <w:szCs w:val="24"/>
        </w:rPr>
      </w:pPr>
      <w:r w:rsidRPr="008107B7">
        <w:rPr>
          <w:rFonts w:ascii="Times New Roman" w:hAnsi="Times New Roman" w:cs="Times New Roman"/>
          <w:sz w:val="24"/>
          <w:szCs w:val="24"/>
        </w:rPr>
        <w:t xml:space="preserve">Yu, HC (2000), “Banks' Capital Structure and the Liquid Asset-Policy Implication of Taiwan. </w:t>
      </w:r>
      <w:r w:rsidRPr="008107B7">
        <w:rPr>
          <w:rFonts w:ascii="Times New Roman" w:hAnsi="Times New Roman" w:cs="Times New Roman"/>
          <w:i/>
          <w:iCs/>
          <w:sz w:val="24"/>
          <w:szCs w:val="24"/>
        </w:rPr>
        <w:t>Pacific Economic Review</w:t>
      </w:r>
      <w:r w:rsidRPr="008107B7">
        <w:rPr>
          <w:rFonts w:ascii="Times New Roman" w:hAnsi="Times New Roman" w:cs="Times New Roman"/>
          <w:sz w:val="24"/>
          <w:szCs w:val="24"/>
        </w:rPr>
        <w:t>, Vol. 5, No. 1, pp. 109-114.</w:t>
      </w:r>
    </w:p>
    <w:p w:rsidR="008527C3" w:rsidRPr="008527C3" w:rsidRDefault="008527C3" w:rsidP="008527C3">
      <w:pPr>
        <w:spacing w:after="160" w:line="259" w:lineRule="auto"/>
        <w:jc w:val="center"/>
        <w:rPr>
          <w:rFonts w:ascii="Times New Roman" w:hAnsi="Times New Roman" w:cs="Times New Roman"/>
          <w:b/>
          <w:sz w:val="24"/>
          <w:szCs w:val="24"/>
        </w:rPr>
      </w:pPr>
      <w:r>
        <w:br w:type="page"/>
      </w:r>
      <w:r w:rsidRPr="008527C3">
        <w:rPr>
          <w:rFonts w:ascii="Times New Roman" w:hAnsi="Times New Roman" w:cs="Times New Roman"/>
          <w:b/>
          <w:sz w:val="24"/>
          <w:szCs w:val="24"/>
        </w:rPr>
        <w:lastRenderedPageBreak/>
        <w:t>Appendix</w:t>
      </w:r>
    </w:p>
    <w:p w:rsidR="008527C3" w:rsidRPr="00D71846" w:rsidRDefault="008527C3" w:rsidP="008527C3">
      <w:pPr>
        <w:pStyle w:val="HTMLPreformatted"/>
        <w:shd w:val="clear" w:color="auto" w:fill="FFFFFF"/>
        <w:jc w:val="both"/>
        <w:rPr>
          <w:rFonts w:ascii="Times New Roman" w:hAnsi="Times New Roman" w:cs="Times New Roman"/>
          <w:sz w:val="24"/>
          <w:szCs w:val="24"/>
        </w:rPr>
      </w:pPr>
    </w:p>
    <w:p w:rsidR="008527C3" w:rsidRPr="00D71846" w:rsidRDefault="008527C3" w:rsidP="008527C3">
      <w:pPr>
        <w:pStyle w:val="HTMLPreformatted"/>
        <w:shd w:val="clear" w:color="auto" w:fill="FFFFFF"/>
        <w:jc w:val="both"/>
        <w:rPr>
          <w:rFonts w:ascii="Times New Roman" w:hAnsi="Times New Roman" w:cs="Times New Roman"/>
          <w:b/>
          <w:sz w:val="24"/>
          <w:szCs w:val="24"/>
        </w:rPr>
      </w:pPr>
      <w:r w:rsidRPr="00D71846">
        <w:rPr>
          <w:rFonts w:ascii="Times New Roman" w:hAnsi="Times New Roman" w:cs="Times New Roman"/>
          <w:b/>
          <w:sz w:val="24"/>
          <w:szCs w:val="24"/>
        </w:rPr>
        <w:tab/>
        <w:t xml:space="preserve">Table </w:t>
      </w:r>
      <w:r>
        <w:rPr>
          <w:rFonts w:ascii="Times New Roman" w:hAnsi="Times New Roman" w:cs="Times New Roman"/>
          <w:b/>
          <w:sz w:val="24"/>
          <w:szCs w:val="24"/>
        </w:rPr>
        <w:t>1</w:t>
      </w:r>
      <w:r w:rsidRPr="00D71846">
        <w:rPr>
          <w:rFonts w:ascii="Times New Roman" w:hAnsi="Times New Roman" w:cs="Times New Roman"/>
          <w:b/>
          <w:sz w:val="24"/>
          <w:szCs w:val="24"/>
        </w:rPr>
        <w:t xml:space="preserve"> ANOVA</w:t>
      </w:r>
    </w:p>
    <w:tbl>
      <w:tblPr>
        <w:tblW w:w="7323" w:type="dxa"/>
        <w:jc w:val="center"/>
        <w:tblLook w:val="04A0" w:firstRow="1" w:lastRow="0" w:firstColumn="1" w:lastColumn="0" w:noHBand="0" w:noVBand="1"/>
      </w:tblPr>
      <w:tblGrid>
        <w:gridCol w:w="236"/>
        <w:gridCol w:w="1218"/>
        <w:gridCol w:w="1660"/>
        <w:gridCol w:w="794"/>
        <w:gridCol w:w="1350"/>
        <w:gridCol w:w="970"/>
        <w:gridCol w:w="1095"/>
      </w:tblGrid>
      <w:tr w:rsidR="008527C3" w:rsidRPr="00D71846" w:rsidTr="008527C3">
        <w:trPr>
          <w:trHeight w:val="465"/>
          <w:jc w:val="center"/>
        </w:trPr>
        <w:tc>
          <w:tcPr>
            <w:tcW w:w="145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Model</w:t>
            </w:r>
          </w:p>
        </w:tc>
        <w:tc>
          <w:tcPr>
            <w:tcW w:w="1660" w:type="dxa"/>
            <w:tcBorders>
              <w:top w:val="single" w:sz="12" w:space="0" w:color="000000"/>
              <w:left w:val="nil"/>
              <w:bottom w:val="single" w:sz="12" w:space="0" w:color="000000"/>
              <w:right w:val="single" w:sz="4" w:space="0" w:color="000000"/>
            </w:tcBorders>
            <w:shd w:val="clear" w:color="auto" w:fill="auto"/>
            <w:vAlign w:val="bottom"/>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Sum of Squares</w:t>
            </w:r>
          </w:p>
        </w:tc>
        <w:tc>
          <w:tcPr>
            <w:tcW w:w="794" w:type="dxa"/>
            <w:tcBorders>
              <w:top w:val="single" w:sz="12" w:space="0" w:color="000000"/>
              <w:left w:val="nil"/>
              <w:bottom w:val="single" w:sz="12" w:space="0" w:color="000000"/>
              <w:right w:val="single" w:sz="4" w:space="0" w:color="000000"/>
            </w:tcBorders>
            <w:shd w:val="clear" w:color="auto" w:fill="auto"/>
            <w:vAlign w:val="bottom"/>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roofErr w:type="spellStart"/>
            <w:r w:rsidRPr="00D71846">
              <w:rPr>
                <w:rFonts w:ascii="Times New Roman" w:eastAsia="Times New Roman" w:hAnsi="Times New Roman" w:cs="Times New Roman"/>
                <w:sz w:val="20"/>
                <w:szCs w:val="20"/>
              </w:rPr>
              <w:t>Df</w:t>
            </w:r>
            <w:proofErr w:type="spellEnd"/>
          </w:p>
        </w:tc>
        <w:tc>
          <w:tcPr>
            <w:tcW w:w="1350" w:type="dxa"/>
            <w:tcBorders>
              <w:top w:val="single" w:sz="12" w:space="0" w:color="000000"/>
              <w:left w:val="nil"/>
              <w:bottom w:val="single" w:sz="12" w:space="0" w:color="000000"/>
              <w:right w:val="single" w:sz="4" w:space="0" w:color="000000"/>
            </w:tcBorders>
            <w:shd w:val="clear" w:color="auto" w:fill="auto"/>
            <w:vAlign w:val="bottom"/>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Mean Square</w:t>
            </w:r>
          </w:p>
        </w:tc>
        <w:tc>
          <w:tcPr>
            <w:tcW w:w="970" w:type="dxa"/>
            <w:tcBorders>
              <w:top w:val="single" w:sz="12" w:space="0" w:color="000000"/>
              <w:left w:val="nil"/>
              <w:bottom w:val="single" w:sz="12" w:space="0" w:color="000000"/>
              <w:right w:val="single" w:sz="4" w:space="0" w:color="000000"/>
            </w:tcBorders>
            <w:shd w:val="clear" w:color="auto" w:fill="auto"/>
            <w:vAlign w:val="bottom"/>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F</w:t>
            </w:r>
          </w:p>
        </w:tc>
        <w:tc>
          <w:tcPr>
            <w:tcW w:w="1095" w:type="dxa"/>
            <w:tcBorders>
              <w:top w:val="single" w:sz="12" w:space="0" w:color="000000"/>
              <w:left w:val="nil"/>
              <w:bottom w:val="single" w:sz="12" w:space="0" w:color="000000"/>
              <w:right w:val="single" w:sz="12" w:space="0" w:color="000000"/>
            </w:tcBorders>
            <w:shd w:val="clear" w:color="auto" w:fill="auto"/>
            <w:vAlign w:val="bottom"/>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Sig.</w:t>
            </w:r>
          </w:p>
        </w:tc>
      </w:tr>
      <w:tr w:rsidR="008527C3" w:rsidRPr="00D71846" w:rsidTr="008527C3">
        <w:trPr>
          <w:trHeight w:val="240"/>
          <w:jc w:val="center"/>
        </w:trPr>
        <w:tc>
          <w:tcPr>
            <w:tcW w:w="236" w:type="dxa"/>
            <w:vMerge w:val="restart"/>
            <w:tcBorders>
              <w:top w:val="nil"/>
              <w:left w:val="single" w:sz="12" w:space="0" w:color="000000"/>
              <w:bottom w:val="single" w:sz="12" w:space="0" w:color="000000"/>
              <w:right w:val="nil"/>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lang w:val="el-GR"/>
              </w:rPr>
            </w:pPr>
          </w:p>
        </w:tc>
        <w:tc>
          <w:tcPr>
            <w:tcW w:w="1218" w:type="dxa"/>
            <w:tcBorders>
              <w:top w:val="nil"/>
              <w:left w:val="nil"/>
              <w:bottom w:val="nil"/>
              <w:right w:val="single" w:sz="12"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Regression</w:t>
            </w:r>
          </w:p>
        </w:tc>
        <w:tc>
          <w:tcPr>
            <w:tcW w:w="1660"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lang w:val="el-GR"/>
              </w:rPr>
              <w:t>0</w:t>
            </w:r>
            <w:r w:rsidRPr="00D71846">
              <w:rPr>
                <w:rFonts w:ascii="Times New Roman" w:eastAsia="Times New Roman" w:hAnsi="Times New Roman" w:cs="Times New Roman"/>
                <w:sz w:val="20"/>
                <w:szCs w:val="20"/>
              </w:rPr>
              <w:t>.107</w:t>
            </w:r>
          </w:p>
        </w:tc>
        <w:tc>
          <w:tcPr>
            <w:tcW w:w="794"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7</w:t>
            </w:r>
          </w:p>
        </w:tc>
        <w:tc>
          <w:tcPr>
            <w:tcW w:w="1350"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0.015</w:t>
            </w:r>
          </w:p>
        </w:tc>
        <w:tc>
          <w:tcPr>
            <w:tcW w:w="970"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3.690</w:t>
            </w:r>
          </w:p>
        </w:tc>
        <w:tc>
          <w:tcPr>
            <w:tcW w:w="1095" w:type="dxa"/>
            <w:tcBorders>
              <w:top w:val="nil"/>
              <w:left w:val="nil"/>
              <w:bottom w:val="nil"/>
              <w:right w:val="single" w:sz="12"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lang w:val="el-GR"/>
              </w:rPr>
            </w:pPr>
            <w:r w:rsidRPr="00D71846">
              <w:rPr>
                <w:rFonts w:ascii="Times New Roman" w:eastAsia="Times New Roman" w:hAnsi="Times New Roman" w:cs="Times New Roman"/>
                <w:sz w:val="20"/>
                <w:szCs w:val="20"/>
                <w:lang w:val="el-GR"/>
              </w:rPr>
              <w:t>0</w:t>
            </w:r>
            <w:r w:rsidRPr="00D71846">
              <w:rPr>
                <w:rFonts w:ascii="Times New Roman" w:eastAsia="Times New Roman" w:hAnsi="Times New Roman" w:cs="Times New Roman"/>
                <w:sz w:val="20"/>
                <w:szCs w:val="20"/>
              </w:rPr>
              <w:t>.006</w:t>
            </w:r>
          </w:p>
        </w:tc>
      </w:tr>
      <w:tr w:rsidR="008527C3" w:rsidRPr="00D71846" w:rsidTr="008527C3">
        <w:trPr>
          <w:trHeight w:val="240"/>
          <w:jc w:val="center"/>
        </w:trPr>
        <w:tc>
          <w:tcPr>
            <w:tcW w:w="236" w:type="dxa"/>
            <w:vMerge/>
            <w:tcBorders>
              <w:top w:val="nil"/>
              <w:left w:val="single" w:sz="12" w:space="0" w:color="000000"/>
              <w:bottom w:val="single" w:sz="12" w:space="0" w:color="000000"/>
              <w:right w:val="nil"/>
            </w:tcBorders>
            <w:vAlign w:val="center"/>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c>
          <w:tcPr>
            <w:tcW w:w="1218" w:type="dxa"/>
            <w:tcBorders>
              <w:top w:val="nil"/>
              <w:left w:val="nil"/>
              <w:bottom w:val="nil"/>
              <w:right w:val="single" w:sz="12"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Residual</w:t>
            </w:r>
          </w:p>
        </w:tc>
        <w:tc>
          <w:tcPr>
            <w:tcW w:w="1660"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lang w:val="el-GR"/>
              </w:rPr>
              <w:t>0</w:t>
            </w:r>
            <w:r w:rsidRPr="00D71846">
              <w:rPr>
                <w:rFonts w:ascii="Times New Roman" w:eastAsia="Times New Roman" w:hAnsi="Times New Roman" w:cs="Times New Roman"/>
                <w:sz w:val="20"/>
                <w:szCs w:val="20"/>
              </w:rPr>
              <w:t>.120</w:t>
            </w:r>
          </w:p>
        </w:tc>
        <w:tc>
          <w:tcPr>
            <w:tcW w:w="794"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29</w:t>
            </w:r>
          </w:p>
        </w:tc>
        <w:tc>
          <w:tcPr>
            <w:tcW w:w="1350" w:type="dxa"/>
            <w:tcBorders>
              <w:top w:val="nil"/>
              <w:left w:val="nil"/>
              <w:bottom w:val="nil"/>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0.004</w:t>
            </w:r>
          </w:p>
        </w:tc>
        <w:tc>
          <w:tcPr>
            <w:tcW w:w="970" w:type="dxa"/>
            <w:tcBorders>
              <w:top w:val="nil"/>
              <w:left w:val="nil"/>
              <w:bottom w:val="nil"/>
              <w:right w:val="single" w:sz="4"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single" w:sz="12"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r>
      <w:tr w:rsidR="008527C3" w:rsidRPr="00D71846" w:rsidTr="008527C3">
        <w:trPr>
          <w:trHeight w:val="168"/>
          <w:jc w:val="center"/>
        </w:trPr>
        <w:tc>
          <w:tcPr>
            <w:tcW w:w="236" w:type="dxa"/>
            <w:vMerge/>
            <w:tcBorders>
              <w:top w:val="nil"/>
              <w:left w:val="single" w:sz="12" w:space="0" w:color="000000"/>
              <w:bottom w:val="single" w:sz="12" w:space="0" w:color="000000"/>
              <w:right w:val="nil"/>
            </w:tcBorders>
            <w:vAlign w:val="center"/>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c>
          <w:tcPr>
            <w:tcW w:w="1218" w:type="dxa"/>
            <w:tcBorders>
              <w:top w:val="nil"/>
              <w:left w:val="nil"/>
              <w:bottom w:val="single" w:sz="12" w:space="0" w:color="000000"/>
              <w:right w:val="single" w:sz="12"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Total</w:t>
            </w:r>
          </w:p>
        </w:tc>
        <w:tc>
          <w:tcPr>
            <w:tcW w:w="1660" w:type="dxa"/>
            <w:tcBorders>
              <w:top w:val="nil"/>
              <w:left w:val="nil"/>
              <w:bottom w:val="single" w:sz="12" w:space="0" w:color="000000"/>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lang w:val="el-GR"/>
              </w:rPr>
              <w:t>0</w:t>
            </w:r>
            <w:r w:rsidRPr="00D71846">
              <w:rPr>
                <w:rFonts w:ascii="Times New Roman" w:eastAsia="Times New Roman" w:hAnsi="Times New Roman" w:cs="Times New Roman"/>
                <w:sz w:val="20"/>
                <w:szCs w:val="20"/>
              </w:rPr>
              <w:t>.228</w:t>
            </w:r>
          </w:p>
        </w:tc>
        <w:tc>
          <w:tcPr>
            <w:tcW w:w="794" w:type="dxa"/>
            <w:tcBorders>
              <w:top w:val="nil"/>
              <w:left w:val="nil"/>
              <w:bottom w:val="single" w:sz="12" w:space="0" w:color="000000"/>
              <w:right w:val="single" w:sz="4" w:space="0" w:color="000000"/>
            </w:tcBorders>
            <w:shd w:val="clear" w:color="auto" w:fill="auto"/>
            <w:noWrap/>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r w:rsidRPr="00D71846">
              <w:rPr>
                <w:rFonts w:ascii="Times New Roman" w:eastAsia="Times New Roman" w:hAnsi="Times New Roman" w:cs="Times New Roman"/>
                <w:sz w:val="20"/>
                <w:szCs w:val="20"/>
              </w:rPr>
              <w:t>36</w:t>
            </w:r>
          </w:p>
        </w:tc>
        <w:tc>
          <w:tcPr>
            <w:tcW w:w="1350" w:type="dxa"/>
            <w:tcBorders>
              <w:top w:val="nil"/>
              <w:left w:val="nil"/>
              <w:bottom w:val="single" w:sz="12" w:space="0" w:color="000000"/>
              <w:right w:val="single" w:sz="4"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single" w:sz="12" w:space="0" w:color="000000"/>
              <w:right w:val="single" w:sz="4"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c>
          <w:tcPr>
            <w:tcW w:w="1095" w:type="dxa"/>
            <w:tcBorders>
              <w:top w:val="nil"/>
              <w:left w:val="nil"/>
              <w:bottom w:val="single" w:sz="12" w:space="0" w:color="000000"/>
              <w:right w:val="single" w:sz="12" w:space="0" w:color="000000"/>
            </w:tcBorders>
            <w:shd w:val="clear" w:color="auto" w:fill="auto"/>
            <w:hideMark/>
          </w:tcPr>
          <w:p w:rsidR="008527C3" w:rsidRPr="00D71846" w:rsidRDefault="008527C3" w:rsidP="008527C3">
            <w:pPr>
              <w:spacing w:after="0" w:line="240" w:lineRule="auto"/>
              <w:jc w:val="center"/>
              <w:rPr>
                <w:rFonts w:ascii="Times New Roman" w:eastAsia="Times New Roman" w:hAnsi="Times New Roman" w:cs="Times New Roman"/>
                <w:sz w:val="20"/>
                <w:szCs w:val="20"/>
              </w:rPr>
            </w:pPr>
          </w:p>
        </w:tc>
      </w:tr>
    </w:tbl>
    <w:p w:rsidR="008527C3" w:rsidRPr="00D71846" w:rsidRDefault="008527C3" w:rsidP="008527C3">
      <w:pPr>
        <w:pStyle w:val="HTMLPreformatted"/>
        <w:shd w:val="clear" w:color="auto" w:fill="FFFFFF"/>
        <w:jc w:val="both"/>
        <w:rPr>
          <w:rFonts w:ascii="Times New Roman" w:hAnsi="Times New Roman" w:cs="Times New Roman"/>
          <w:sz w:val="24"/>
          <w:szCs w:val="24"/>
        </w:rPr>
      </w:pPr>
    </w:p>
    <w:p w:rsidR="008527C3" w:rsidRDefault="008527C3">
      <w:pPr>
        <w:spacing w:after="160" w:line="259" w:lineRule="auto"/>
      </w:pPr>
      <w:r>
        <w:br w:type="page"/>
      </w:r>
    </w:p>
    <w:p w:rsidR="008527C3" w:rsidRDefault="008527C3">
      <w:pPr>
        <w:spacing w:after="160" w:line="259" w:lineRule="auto"/>
      </w:pPr>
    </w:p>
    <w:p w:rsidR="00FC62AC" w:rsidRDefault="00FC62AC"/>
    <w:sectPr w:rsidR="00FC62AC" w:rsidSect="00441642">
      <w:footerReference w:type="default" r:id="rId10"/>
      <w:pgSz w:w="12240" w:h="15840"/>
      <w:pgMar w:top="1440" w:right="1440" w:bottom="1440" w:left="1440"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A1" w:rsidRDefault="004466A1" w:rsidP="00976DC4">
      <w:pPr>
        <w:spacing w:after="0" w:line="240" w:lineRule="auto"/>
      </w:pPr>
      <w:r>
        <w:separator/>
      </w:r>
    </w:p>
  </w:endnote>
  <w:endnote w:type="continuationSeparator" w:id="0">
    <w:p w:rsidR="004466A1" w:rsidRDefault="004466A1" w:rsidP="0097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PFCatalog-BoldItalic">
    <w:altName w:val="MS Gothic"/>
    <w:panose1 w:val="00000000000000000000"/>
    <w:charset w:val="80"/>
    <w:family w:val="auto"/>
    <w:notTrueType/>
    <w:pitch w:val="default"/>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C3" w:rsidRDefault="008527C3">
    <w:pPr>
      <w:pStyle w:val="Footer"/>
      <w:jc w:val="center"/>
    </w:pPr>
  </w:p>
  <w:p w:rsidR="008527C3" w:rsidRDefault="00852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A1" w:rsidRDefault="004466A1" w:rsidP="00976DC4">
      <w:pPr>
        <w:spacing w:after="0" w:line="240" w:lineRule="auto"/>
      </w:pPr>
      <w:r>
        <w:separator/>
      </w:r>
    </w:p>
  </w:footnote>
  <w:footnote w:type="continuationSeparator" w:id="0">
    <w:p w:rsidR="004466A1" w:rsidRDefault="004466A1" w:rsidP="00976DC4">
      <w:pPr>
        <w:spacing w:after="0" w:line="240" w:lineRule="auto"/>
      </w:pPr>
      <w:r>
        <w:continuationSeparator/>
      </w:r>
    </w:p>
  </w:footnote>
  <w:footnote w:id="1">
    <w:p w:rsidR="008527C3" w:rsidRPr="004F1C07" w:rsidRDefault="008527C3" w:rsidP="00976DC4">
      <w:pPr>
        <w:pStyle w:val="FootnoteText"/>
        <w:rPr>
          <w:rFonts w:ascii="Times New Roman" w:hAnsi="Times New Roman" w:cs="Times New Roman"/>
          <w:sz w:val="22"/>
          <w:szCs w:val="22"/>
        </w:rPr>
      </w:pPr>
      <w:r w:rsidRPr="004F1C07">
        <w:rPr>
          <w:rStyle w:val="FootnoteReference"/>
          <w:rFonts w:ascii="Times New Roman" w:hAnsi="Times New Roman" w:cs="Times New Roman"/>
        </w:rPr>
        <w:footnoteRef/>
      </w:r>
      <w:r w:rsidRPr="004F1C07">
        <w:rPr>
          <w:rFonts w:ascii="Times New Roman" w:hAnsi="Times New Roman" w:cs="Times New Roman"/>
        </w:rPr>
        <w:t xml:space="preserve"> </w:t>
      </w:r>
      <w:proofErr w:type="gramStart"/>
      <w:r w:rsidRPr="004F1C07">
        <w:rPr>
          <w:rFonts w:ascii="Times New Roman" w:eastAsia="Calibri" w:hAnsi="Times New Roman" w:cs="Times New Roman"/>
          <w:color w:val="000000"/>
        </w:rPr>
        <w:t xml:space="preserve">School of Economics and Business, </w:t>
      </w:r>
      <w:proofErr w:type="spellStart"/>
      <w:r w:rsidRPr="004F1C07">
        <w:rPr>
          <w:rFonts w:ascii="Times New Roman" w:eastAsia="Calibri" w:hAnsi="Times New Roman" w:cs="Times New Roman"/>
          <w:color w:val="000000"/>
        </w:rPr>
        <w:t>Neapolis</w:t>
      </w:r>
      <w:proofErr w:type="spellEnd"/>
      <w:r w:rsidRPr="004F1C07">
        <w:rPr>
          <w:rFonts w:ascii="Times New Roman" w:eastAsia="Calibri" w:hAnsi="Times New Roman" w:cs="Times New Roman"/>
          <w:color w:val="000000"/>
        </w:rPr>
        <w:t xml:space="preserve"> University </w:t>
      </w:r>
      <w:proofErr w:type="spellStart"/>
      <w:r w:rsidRPr="004F1C07">
        <w:rPr>
          <w:rFonts w:ascii="Times New Roman" w:eastAsia="Calibri" w:hAnsi="Times New Roman" w:cs="Times New Roman"/>
          <w:color w:val="000000"/>
        </w:rPr>
        <w:t>Pafos</w:t>
      </w:r>
      <w:proofErr w:type="spellEnd"/>
      <w:r w:rsidRPr="004F1C07">
        <w:rPr>
          <w:rFonts w:ascii="Times New Roman" w:eastAsia="Calibri" w:hAnsi="Times New Roman" w:cs="Times New Roman"/>
          <w:color w:val="000000"/>
        </w:rPr>
        <w:t>, Cyprus</w:t>
      </w:r>
      <w:r w:rsidRPr="004F1C07">
        <w:rPr>
          <w:rFonts w:ascii="Times New Roman" w:hAnsi="Times New Roman" w:cs="Times New Roman"/>
          <w:sz w:val="22"/>
          <w:szCs w:val="22"/>
        </w:rPr>
        <w:t>.</w:t>
      </w:r>
      <w:proofErr w:type="gramEnd"/>
      <w:r w:rsidRPr="004F1C07">
        <w:rPr>
          <w:rFonts w:ascii="Times New Roman" w:hAnsi="Times New Roman" w:cs="Times New Roman"/>
          <w:sz w:val="22"/>
          <w:szCs w:val="22"/>
        </w:rPr>
        <w:t xml:space="preserve"> e-mail: a.hadjixenophontos@nup.ac.cy </w:t>
      </w:r>
    </w:p>
  </w:footnote>
  <w:footnote w:id="2">
    <w:p w:rsidR="008527C3" w:rsidRPr="004F1C07" w:rsidRDefault="008527C3" w:rsidP="00976DC4">
      <w:pPr>
        <w:pStyle w:val="FootnoteText"/>
        <w:rPr>
          <w:rFonts w:ascii="Times New Roman" w:hAnsi="Times New Roman" w:cs="Times New Roman"/>
          <w:sz w:val="22"/>
          <w:szCs w:val="22"/>
        </w:rPr>
      </w:pPr>
      <w:r w:rsidRPr="004F1C07">
        <w:rPr>
          <w:rStyle w:val="FootnoteReference"/>
          <w:rFonts w:ascii="Times New Roman" w:hAnsi="Times New Roman" w:cs="Times New Roman"/>
          <w:sz w:val="22"/>
          <w:szCs w:val="22"/>
        </w:rPr>
        <w:footnoteRef/>
      </w:r>
      <w:r w:rsidRPr="004F1C07">
        <w:rPr>
          <w:rFonts w:ascii="Times New Roman" w:hAnsi="Times New Roman" w:cs="Times New Roman"/>
          <w:sz w:val="22"/>
          <w:szCs w:val="22"/>
        </w:rPr>
        <w:t xml:space="preserve"> </w:t>
      </w:r>
      <w:proofErr w:type="gramStart"/>
      <w:r w:rsidRPr="004F1C07">
        <w:rPr>
          <w:rFonts w:ascii="Times New Roman" w:eastAsia="Calibri" w:hAnsi="Times New Roman" w:cs="Times New Roman"/>
          <w:color w:val="000000"/>
        </w:rPr>
        <w:t xml:space="preserve">School of Economics and Business, </w:t>
      </w:r>
      <w:proofErr w:type="spellStart"/>
      <w:r w:rsidRPr="004F1C07">
        <w:rPr>
          <w:rFonts w:ascii="Times New Roman" w:eastAsia="Calibri" w:hAnsi="Times New Roman" w:cs="Times New Roman"/>
          <w:color w:val="000000"/>
        </w:rPr>
        <w:t>Neapolis</w:t>
      </w:r>
      <w:proofErr w:type="spellEnd"/>
      <w:r w:rsidRPr="004F1C07">
        <w:rPr>
          <w:rFonts w:ascii="Times New Roman" w:eastAsia="Calibri" w:hAnsi="Times New Roman" w:cs="Times New Roman"/>
          <w:color w:val="000000"/>
        </w:rPr>
        <w:t xml:space="preserve"> University </w:t>
      </w:r>
      <w:proofErr w:type="spellStart"/>
      <w:r w:rsidRPr="004F1C07">
        <w:rPr>
          <w:rFonts w:ascii="Times New Roman" w:eastAsia="Calibri" w:hAnsi="Times New Roman" w:cs="Times New Roman"/>
          <w:color w:val="000000"/>
        </w:rPr>
        <w:t>Pafos</w:t>
      </w:r>
      <w:proofErr w:type="spellEnd"/>
      <w:r w:rsidRPr="004F1C07">
        <w:rPr>
          <w:rFonts w:ascii="Times New Roman" w:eastAsia="Calibri" w:hAnsi="Times New Roman" w:cs="Times New Roman"/>
          <w:color w:val="000000"/>
        </w:rPr>
        <w:t>, Cyprus</w:t>
      </w:r>
      <w:r w:rsidRPr="004F1C07">
        <w:rPr>
          <w:rFonts w:ascii="Times New Roman" w:hAnsi="Times New Roman" w:cs="Times New Roman"/>
          <w:sz w:val="22"/>
          <w:szCs w:val="22"/>
        </w:rPr>
        <w:t>.</w:t>
      </w:r>
      <w:proofErr w:type="gramEnd"/>
      <w:r w:rsidRPr="004F1C07">
        <w:rPr>
          <w:rFonts w:ascii="Times New Roman" w:hAnsi="Times New Roman" w:cs="Times New Roman"/>
          <w:sz w:val="22"/>
          <w:szCs w:val="22"/>
        </w:rPr>
        <w:t xml:space="preserve"> e-mail:</w:t>
      </w:r>
      <w:r w:rsidRPr="004F1C07">
        <w:rPr>
          <w:rFonts w:ascii="Times New Roman" w:hAnsi="Times New Roman" w:cs="Times New Roman"/>
        </w:rPr>
        <w:t xml:space="preserve"> </w:t>
      </w:r>
      <w:r w:rsidRPr="004F1C07">
        <w:rPr>
          <w:rFonts w:ascii="Times New Roman" w:hAnsi="Times New Roman" w:cs="Times New Roman"/>
          <w:sz w:val="22"/>
          <w:szCs w:val="22"/>
        </w:rPr>
        <w:t>c.volos@nup.ac.cy</w:t>
      </w:r>
    </w:p>
    <w:p w:rsidR="008527C3" w:rsidRPr="004F1C07" w:rsidRDefault="008527C3" w:rsidP="00976DC4">
      <w:pPr>
        <w:pStyle w:val="FootnoteText"/>
        <w:rPr>
          <w:rFonts w:ascii="Times New Roman" w:hAnsi="Times New Roman" w:cs="Times New Roman"/>
          <w:sz w:val="22"/>
          <w:szCs w:val="22"/>
        </w:rPr>
      </w:pPr>
    </w:p>
    <w:p w:rsidR="008527C3" w:rsidRPr="004F1C07" w:rsidRDefault="008527C3" w:rsidP="00976DC4">
      <w:pPr>
        <w:pStyle w:val="BodyText"/>
        <w:spacing w:line="240" w:lineRule="auto"/>
        <w:jc w:val="left"/>
        <w:rPr>
          <w:rFonts w:ascii="Times New Roman" w:eastAsia="MS Mincho" w:hAnsi="Times New Roman"/>
          <w:b w:val="0"/>
          <w:color w:val="000000"/>
          <w:sz w:val="22"/>
          <w:szCs w:val="22"/>
          <w:lang w:eastAsia="ja-JP"/>
        </w:rPr>
      </w:pPr>
      <w:r w:rsidRPr="004F1C07">
        <w:rPr>
          <w:rFonts w:ascii="Times New Roman" w:eastAsia="MS Mincho" w:hAnsi="Times New Roman"/>
          <w:b w:val="0"/>
          <w:color w:val="000000"/>
          <w:sz w:val="22"/>
          <w:szCs w:val="22"/>
          <w:lang w:eastAsia="ja-JP"/>
        </w:rPr>
        <w:t xml:space="preserve">Article Info: </w:t>
      </w:r>
      <w:proofErr w:type="gramStart"/>
      <w:r w:rsidRPr="004F1C07">
        <w:rPr>
          <w:rFonts w:ascii="Times New Roman" w:eastAsia="MS Mincho" w:hAnsi="Times New Roman"/>
          <w:b w:val="0"/>
          <w:i/>
          <w:color w:val="000000"/>
          <w:sz w:val="22"/>
          <w:szCs w:val="22"/>
          <w:lang w:eastAsia="ja-JP"/>
        </w:rPr>
        <w:t xml:space="preserve">Received </w:t>
      </w:r>
      <w:r w:rsidRPr="004F1C07">
        <w:rPr>
          <w:rFonts w:ascii="Times New Roman" w:eastAsia="MS Mincho" w:hAnsi="Times New Roman"/>
          <w:b w:val="0"/>
          <w:color w:val="000000"/>
          <w:sz w:val="22"/>
          <w:szCs w:val="22"/>
          <w:lang w:eastAsia="ja-JP"/>
        </w:rPr>
        <w:t>:</w:t>
      </w:r>
      <w:proofErr w:type="gramEnd"/>
      <w:r w:rsidRPr="004F1C07">
        <w:rPr>
          <w:rFonts w:ascii="Times New Roman" w:eastAsia="MS Mincho" w:hAnsi="Times New Roman"/>
          <w:b w:val="0"/>
          <w:i/>
          <w:color w:val="000000"/>
          <w:sz w:val="22"/>
          <w:szCs w:val="22"/>
          <w:lang w:eastAsia="ja-JP"/>
        </w:rPr>
        <w:t xml:space="preserve"> </w:t>
      </w:r>
      <w:r>
        <w:rPr>
          <w:rFonts w:ascii="Times New Roman" w:eastAsia="MS Mincho" w:hAnsi="Times New Roman"/>
          <w:b w:val="0"/>
          <w:i/>
          <w:color w:val="000000"/>
          <w:sz w:val="22"/>
          <w:szCs w:val="22"/>
          <w:lang w:eastAsia="ja-JP"/>
        </w:rPr>
        <w:t>October 4, 2017</w:t>
      </w:r>
      <w:r w:rsidRPr="004F1C07">
        <w:rPr>
          <w:rFonts w:ascii="Times New Roman" w:eastAsia="MS Mincho" w:hAnsi="Times New Roman"/>
          <w:b w:val="0"/>
          <w:i/>
          <w:color w:val="000000"/>
          <w:sz w:val="22"/>
          <w:szCs w:val="22"/>
          <w:lang w:eastAsia="ja-JP"/>
        </w:rPr>
        <w:t>. Published online</w:t>
      </w:r>
      <w:r w:rsidRPr="004F1C07">
        <w:rPr>
          <w:rFonts w:ascii="Times New Roman" w:eastAsia="MS Mincho" w:hAnsi="Times New Roman"/>
          <w:b w:val="0"/>
          <w:color w:val="000000"/>
          <w:sz w:val="22"/>
          <w:szCs w:val="22"/>
          <w:lang w:eastAsia="ja-JP"/>
        </w:rPr>
        <w:t xml:space="preserve"> : xx </w:t>
      </w:r>
      <w:proofErr w:type="spellStart"/>
      <w:r w:rsidRPr="004F1C07">
        <w:rPr>
          <w:rFonts w:ascii="Times New Roman" w:eastAsia="MS Mincho" w:hAnsi="Times New Roman"/>
          <w:b w:val="0"/>
          <w:color w:val="000000"/>
          <w:sz w:val="22"/>
          <w:szCs w:val="22"/>
          <w:lang w:eastAsia="ja-JP"/>
        </w:rPr>
        <w:t>xx</w:t>
      </w:r>
      <w:proofErr w:type="spellEnd"/>
      <w:r w:rsidRPr="004F1C07">
        <w:rPr>
          <w:rFonts w:ascii="Times New Roman" w:eastAsia="MS Mincho" w:hAnsi="Times New Roman"/>
          <w:b w:val="0"/>
          <w:color w:val="000000"/>
          <w:sz w:val="22"/>
          <w:szCs w:val="22"/>
          <w:lang w:eastAsia="ja-JP"/>
        </w:rPr>
        <w: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9BC"/>
    <w:multiLevelType w:val="hybridMultilevel"/>
    <w:tmpl w:val="77487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77E6"/>
    <w:multiLevelType w:val="multilevel"/>
    <w:tmpl w:val="FC76D7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7E1D2F"/>
    <w:multiLevelType w:val="hybridMultilevel"/>
    <w:tmpl w:val="A274E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22897"/>
    <w:multiLevelType w:val="hybridMultilevel"/>
    <w:tmpl w:val="F12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E21ED"/>
    <w:multiLevelType w:val="multilevel"/>
    <w:tmpl w:val="8990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96924"/>
    <w:multiLevelType w:val="multilevel"/>
    <w:tmpl w:val="D114A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A551CD"/>
    <w:multiLevelType w:val="hybridMultilevel"/>
    <w:tmpl w:val="BA1ECB1C"/>
    <w:lvl w:ilvl="0" w:tplc="08F03C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7E2C"/>
    <w:multiLevelType w:val="singleLevel"/>
    <w:tmpl w:val="58F41EEC"/>
    <w:lvl w:ilvl="0">
      <w:start w:val="1"/>
      <w:numFmt w:val="decimal"/>
      <w:lvlText w:val="[%1]"/>
      <w:lvlJc w:val="left"/>
      <w:pPr>
        <w:tabs>
          <w:tab w:val="num" w:pos="480"/>
        </w:tabs>
        <w:ind w:left="480" w:hanging="480"/>
      </w:pPr>
      <w:rPr>
        <w:rFonts w:hint="eastAsia"/>
        <w:i w:val="0"/>
        <w:color w:val="auto"/>
      </w:rPr>
    </w:lvl>
  </w:abstractNum>
  <w:abstractNum w:abstractNumId="8">
    <w:nsid w:val="24B5643B"/>
    <w:multiLevelType w:val="singleLevel"/>
    <w:tmpl w:val="58F41EEC"/>
    <w:lvl w:ilvl="0">
      <w:start w:val="1"/>
      <w:numFmt w:val="decimal"/>
      <w:lvlText w:val="[%1]"/>
      <w:lvlJc w:val="left"/>
      <w:pPr>
        <w:tabs>
          <w:tab w:val="num" w:pos="480"/>
        </w:tabs>
        <w:ind w:left="480" w:hanging="480"/>
      </w:pPr>
      <w:rPr>
        <w:rFonts w:hint="eastAsia"/>
        <w:i w:val="0"/>
        <w:color w:val="auto"/>
      </w:rPr>
    </w:lvl>
  </w:abstractNum>
  <w:abstractNum w:abstractNumId="9">
    <w:nsid w:val="2688634C"/>
    <w:multiLevelType w:val="hybridMultilevel"/>
    <w:tmpl w:val="4BB82B16"/>
    <w:lvl w:ilvl="0" w:tplc="3C921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86445"/>
    <w:multiLevelType w:val="hybridMultilevel"/>
    <w:tmpl w:val="FF24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9637B"/>
    <w:multiLevelType w:val="hybridMultilevel"/>
    <w:tmpl w:val="04FCAB8E"/>
    <w:lvl w:ilvl="0" w:tplc="08F03C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F185F"/>
    <w:multiLevelType w:val="hybridMultilevel"/>
    <w:tmpl w:val="74D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F47D2"/>
    <w:multiLevelType w:val="singleLevel"/>
    <w:tmpl w:val="58F41EEC"/>
    <w:lvl w:ilvl="0">
      <w:start w:val="1"/>
      <w:numFmt w:val="decimal"/>
      <w:lvlText w:val="[%1]"/>
      <w:lvlJc w:val="left"/>
      <w:pPr>
        <w:tabs>
          <w:tab w:val="num" w:pos="480"/>
        </w:tabs>
        <w:ind w:left="480" w:hanging="480"/>
      </w:pPr>
      <w:rPr>
        <w:rFonts w:hint="eastAsia"/>
        <w:i w:val="0"/>
        <w:color w:val="auto"/>
      </w:rPr>
    </w:lvl>
  </w:abstractNum>
  <w:abstractNum w:abstractNumId="14">
    <w:nsid w:val="40890F67"/>
    <w:multiLevelType w:val="singleLevel"/>
    <w:tmpl w:val="58F41EEC"/>
    <w:lvl w:ilvl="0">
      <w:start w:val="1"/>
      <w:numFmt w:val="decimal"/>
      <w:lvlText w:val="[%1]"/>
      <w:lvlJc w:val="left"/>
      <w:pPr>
        <w:tabs>
          <w:tab w:val="num" w:pos="480"/>
        </w:tabs>
        <w:ind w:left="480" w:hanging="480"/>
      </w:pPr>
      <w:rPr>
        <w:rFonts w:hint="eastAsia"/>
        <w:i w:val="0"/>
        <w:color w:val="auto"/>
      </w:rPr>
    </w:lvl>
  </w:abstractNum>
  <w:abstractNum w:abstractNumId="15">
    <w:nsid w:val="48245993"/>
    <w:multiLevelType w:val="hybridMultilevel"/>
    <w:tmpl w:val="95542CEA"/>
    <w:lvl w:ilvl="0" w:tplc="6D9ED9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E4FFD"/>
    <w:multiLevelType w:val="hybridMultilevel"/>
    <w:tmpl w:val="78F6DF40"/>
    <w:lvl w:ilvl="0" w:tplc="3E82831C">
      <w:start w:val="1"/>
      <w:numFmt w:val="decimal"/>
      <w:lvlText w:val="%1."/>
      <w:lvlJc w:val="left"/>
      <w:pPr>
        <w:ind w:left="720" w:hanging="360"/>
      </w:pPr>
      <w:rPr>
        <w:rFonts w:ascii="Arial" w:eastAsiaTheme="minorHAnsi"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86023"/>
    <w:multiLevelType w:val="hybridMultilevel"/>
    <w:tmpl w:val="0910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66865"/>
    <w:multiLevelType w:val="hybridMultilevel"/>
    <w:tmpl w:val="C6BA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B1E3F"/>
    <w:multiLevelType w:val="hybridMultilevel"/>
    <w:tmpl w:val="D6E6E16C"/>
    <w:lvl w:ilvl="0" w:tplc="71A08444">
      <w:start w:val="1"/>
      <w:numFmt w:val="upperLetter"/>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726655C"/>
    <w:multiLevelType w:val="multilevel"/>
    <w:tmpl w:val="1D4C3510"/>
    <w:lvl w:ilvl="0">
      <w:start w:val="1"/>
      <w:numFmt w:val="decimal"/>
      <w:lvlText w:val="%1."/>
      <w:lvlJc w:val="left"/>
      <w:pPr>
        <w:ind w:left="720" w:hanging="360"/>
      </w:pPr>
    </w:lvl>
    <w:lvl w:ilvl="1">
      <w:start w:val="1"/>
      <w:numFmt w:val="decimal"/>
      <w:isLgl/>
      <w:lvlText w:val="%1.%2"/>
      <w:lvlJc w:val="left"/>
      <w:pPr>
        <w:ind w:left="720" w:hanging="360"/>
      </w:pPr>
      <w:rPr>
        <w:rFonts w:hint="default"/>
        <w:i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D60006"/>
    <w:multiLevelType w:val="singleLevel"/>
    <w:tmpl w:val="58F41EEC"/>
    <w:lvl w:ilvl="0">
      <w:start w:val="1"/>
      <w:numFmt w:val="decimal"/>
      <w:lvlText w:val="[%1]"/>
      <w:lvlJc w:val="left"/>
      <w:pPr>
        <w:tabs>
          <w:tab w:val="num" w:pos="480"/>
        </w:tabs>
        <w:ind w:left="480" w:hanging="480"/>
      </w:pPr>
      <w:rPr>
        <w:rFonts w:hint="eastAsia"/>
        <w:i w:val="0"/>
        <w:color w:val="auto"/>
      </w:rPr>
    </w:lvl>
  </w:abstractNum>
  <w:abstractNum w:abstractNumId="22">
    <w:nsid w:val="6AC301DA"/>
    <w:multiLevelType w:val="multilevel"/>
    <w:tmpl w:val="59EC0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2F7A08"/>
    <w:multiLevelType w:val="multilevel"/>
    <w:tmpl w:val="F9B092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23A7BB2"/>
    <w:multiLevelType w:val="multilevel"/>
    <w:tmpl w:val="55668C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9"/>
  </w:num>
  <w:num w:numId="3">
    <w:abstractNumId w:val="23"/>
  </w:num>
  <w:num w:numId="4">
    <w:abstractNumId w:val="12"/>
  </w:num>
  <w:num w:numId="5">
    <w:abstractNumId w:val="17"/>
  </w:num>
  <w:num w:numId="6">
    <w:abstractNumId w:val="16"/>
  </w:num>
  <w:num w:numId="7">
    <w:abstractNumId w:val="24"/>
  </w:num>
  <w:num w:numId="8">
    <w:abstractNumId w:val="18"/>
  </w:num>
  <w:num w:numId="9">
    <w:abstractNumId w:val="3"/>
  </w:num>
  <w:num w:numId="10">
    <w:abstractNumId w:val="1"/>
  </w:num>
  <w:num w:numId="11">
    <w:abstractNumId w:val="20"/>
  </w:num>
  <w:num w:numId="12">
    <w:abstractNumId w:val="15"/>
  </w:num>
  <w:num w:numId="13">
    <w:abstractNumId w:val="10"/>
  </w:num>
  <w:num w:numId="14">
    <w:abstractNumId w:val="0"/>
  </w:num>
  <w:num w:numId="15">
    <w:abstractNumId w:val="5"/>
  </w:num>
  <w:num w:numId="16">
    <w:abstractNumId w:val="11"/>
  </w:num>
  <w:num w:numId="17">
    <w:abstractNumId w:val="6"/>
  </w:num>
  <w:num w:numId="18">
    <w:abstractNumId w:val="9"/>
  </w:num>
  <w:num w:numId="19">
    <w:abstractNumId w:val="22"/>
  </w:num>
  <w:num w:numId="20">
    <w:abstractNumId w:val="14"/>
    <w:lvlOverride w:ilvl="0">
      <w:startOverride w:val="1"/>
    </w:lvlOverride>
  </w:num>
  <w:num w:numId="21">
    <w:abstractNumId w:val="4"/>
  </w:num>
  <w:num w:numId="22">
    <w:abstractNumId w:val="8"/>
  </w:num>
  <w:num w:numId="23">
    <w:abstractNumId w:val="13"/>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C4"/>
    <w:rsid w:val="000F5E42"/>
    <w:rsid w:val="0011696C"/>
    <w:rsid w:val="00142CD3"/>
    <w:rsid w:val="00226955"/>
    <w:rsid w:val="002907C7"/>
    <w:rsid w:val="002C5AD1"/>
    <w:rsid w:val="002F3B9A"/>
    <w:rsid w:val="00304676"/>
    <w:rsid w:val="003140A4"/>
    <w:rsid w:val="00356012"/>
    <w:rsid w:val="003F6FB9"/>
    <w:rsid w:val="00403095"/>
    <w:rsid w:val="00433922"/>
    <w:rsid w:val="00441642"/>
    <w:rsid w:val="004466A1"/>
    <w:rsid w:val="004728BA"/>
    <w:rsid w:val="004C28E0"/>
    <w:rsid w:val="005216AC"/>
    <w:rsid w:val="0056656C"/>
    <w:rsid w:val="0059055B"/>
    <w:rsid w:val="006F3149"/>
    <w:rsid w:val="0076104A"/>
    <w:rsid w:val="007B4E3E"/>
    <w:rsid w:val="008107B7"/>
    <w:rsid w:val="00851947"/>
    <w:rsid w:val="008527C3"/>
    <w:rsid w:val="008F5CD4"/>
    <w:rsid w:val="0094228F"/>
    <w:rsid w:val="00976DC4"/>
    <w:rsid w:val="009A6873"/>
    <w:rsid w:val="00A13EDE"/>
    <w:rsid w:val="00A83594"/>
    <w:rsid w:val="00B04169"/>
    <w:rsid w:val="00B1795E"/>
    <w:rsid w:val="00B32766"/>
    <w:rsid w:val="00BB35DC"/>
    <w:rsid w:val="00BC6531"/>
    <w:rsid w:val="00BF7B7F"/>
    <w:rsid w:val="00CA6B4D"/>
    <w:rsid w:val="00CD7D82"/>
    <w:rsid w:val="00CF0BBF"/>
    <w:rsid w:val="00D25416"/>
    <w:rsid w:val="00D66019"/>
    <w:rsid w:val="00DA02F5"/>
    <w:rsid w:val="00E245FA"/>
    <w:rsid w:val="00E31C5D"/>
    <w:rsid w:val="00E76A3F"/>
    <w:rsid w:val="00EC585C"/>
    <w:rsid w:val="00F362DC"/>
    <w:rsid w:val="00F51080"/>
    <w:rsid w:val="00F96C3D"/>
    <w:rsid w:val="00FC62AC"/>
    <w:rsid w:val="00F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C4"/>
    <w:pPr>
      <w:spacing w:after="200" w:line="276" w:lineRule="auto"/>
    </w:pPr>
    <w:rPr>
      <w:rFonts w:eastAsiaTheme="minorEastAsia"/>
    </w:rPr>
  </w:style>
  <w:style w:type="paragraph" w:styleId="Heading1">
    <w:name w:val="heading 1"/>
    <w:basedOn w:val="Normal"/>
    <w:next w:val="Normal"/>
    <w:link w:val="Heading1Char"/>
    <w:uiPriority w:val="9"/>
    <w:qFormat/>
    <w:rsid w:val="00976D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976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6D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DC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976D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6DC4"/>
    <w:rPr>
      <w:rFonts w:ascii="Times New Roman" w:eastAsia="Times New Roman" w:hAnsi="Times New Roman" w:cs="Times New Roman"/>
      <w:b/>
      <w:bCs/>
      <w:sz w:val="24"/>
      <w:szCs w:val="24"/>
    </w:rPr>
  </w:style>
  <w:style w:type="paragraph" w:styleId="NormalWeb">
    <w:name w:val="Normal (Web)"/>
    <w:basedOn w:val="Normal"/>
    <w:uiPriority w:val="99"/>
    <w:unhideWhenUsed/>
    <w:rsid w:val="00976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h">
    <w:name w:val="punch"/>
    <w:basedOn w:val="Normal"/>
    <w:rsid w:val="00976D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7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DC4"/>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976DC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976DC4"/>
    <w:pPr>
      <w:spacing w:after="0" w:line="240" w:lineRule="auto"/>
    </w:pPr>
    <w:rPr>
      <w:rFonts w:ascii="Tahoma" w:hAnsi="Tahoma" w:cs="Tahoma"/>
      <w:sz w:val="16"/>
      <w:szCs w:val="16"/>
    </w:rPr>
  </w:style>
  <w:style w:type="paragraph" w:styleId="ListParagraph">
    <w:name w:val="List Paragraph"/>
    <w:basedOn w:val="Normal"/>
    <w:uiPriority w:val="34"/>
    <w:qFormat/>
    <w:rsid w:val="00976DC4"/>
    <w:pPr>
      <w:ind w:left="720"/>
      <w:contextualSpacing/>
    </w:pPr>
  </w:style>
  <w:style w:type="paragraph" w:customStyle="1" w:styleId="Default">
    <w:name w:val="Default"/>
    <w:rsid w:val="00976DC4"/>
    <w:pPr>
      <w:autoSpaceDE w:val="0"/>
      <w:autoSpaceDN w:val="0"/>
      <w:adjustRightInd w:val="0"/>
      <w:spacing w:after="0" w:line="240" w:lineRule="auto"/>
    </w:pPr>
    <w:rPr>
      <w:rFonts w:ascii="Arial" w:eastAsiaTheme="minorEastAsia" w:hAnsi="Arial" w:cs="Arial"/>
      <w:color w:val="000000"/>
      <w:sz w:val="24"/>
      <w:szCs w:val="24"/>
    </w:rPr>
  </w:style>
  <w:style w:type="paragraph" w:styleId="TOCHeading">
    <w:name w:val="TOC Heading"/>
    <w:basedOn w:val="Heading1"/>
    <w:next w:val="Normal"/>
    <w:uiPriority w:val="39"/>
    <w:unhideWhenUsed/>
    <w:qFormat/>
    <w:rsid w:val="00976DC4"/>
    <w:pPr>
      <w:outlineLvl w:val="9"/>
    </w:pPr>
  </w:style>
  <w:style w:type="paragraph" w:styleId="TOC1">
    <w:name w:val="toc 1"/>
    <w:basedOn w:val="Normal"/>
    <w:next w:val="Normal"/>
    <w:autoRedefine/>
    <w:uiPriority w:val="39"/>
    <w:unhideWhenUsed/>
    <w:qFormat/>
    <w:rsid w:val="00976DC4"/>
    <w:pPr>
      <w:spacing w:after="100"/>
      <w:jc w:val="both"/>
    </w:pPr>
    <w:rPr>
      <w:rFonts w:ascii="Arial" w:eastAsia="PFCatalog-BoldItalic" w:hAnsi="Arial" w:cs="Arial"/>
      <w:b/>
      <w:bCs/>
      <w:iCs/>
      <w:caps/>
      <w:color w:val="002060"/>
      <w:sz w:val="28"/>
      <w:szCs w:val="28"/>
      <w:u w:val="single"/>
      <w:lang w:val="el-GR"/>
    </w:rPr>
  </w:style>
  <w:style w:type="character" w:customStyle="1" w:styleId="apple-converted-space">
    <w:name w:val="apple-converted-space"/>
    <w:basedOn w:val="DefaultParagraphFont"/>
    <w:rsid w:val="00976DC4"/>
  </w:style>
  <w:style w:type="paragraph" w:customStyle="1" w:styleId="ecxmsonormal">
    <w:name w:val="ecxmsonormal"/>
    <w:basedOn w:val="Normal"/>
    <w:rsid w:val="00976D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6DC4"/>
    <w:pPr>
      <w:spacing w:after="0" w:line="240" w:lineRule="auto"/>
    </w:pPr>
    <w:rPr>
      <w:rFonts w:eastAsiaTheme="minorEastAsia"/>
    </w:rPr>
  </w:style>
  <w:style w:type="character" w:customStyle="1" w:styleId="NoSpacingChar">
    <w:name w:val="No Spacing Char"/>
    <w:basedOn w:val="DefaultParagraphFont"/>
    <w:link w:val="NoSpacing"/>
    <w:uiPriority w:val="1"/>
    <w:rsid w:val="00976DC4"/>
    <w:rPr>
      <w:rFonts w:eastAsiaTheme="minorEastAsia"/>
    </w:rPr>
  </w:style>
  <w:style w:type="character" w:styleId="Hyperlink">
    <w:name w:val="Hyperlink"/>
    <w:basedOn w:val="DefaultParagraphFont"/>
    <w:uiPriority w:val="99"/>
    <w:unhideWhenUsed/>
    <w:rsid w:val="00976DC4"/>
    <w:rPr>
      <w:color w:val="0000FF"/>
      <w:u w:val="single"/>
    </w:rPr>
  </w:style>
  <w:style w:type="paragraph" w:styleId="TOC3">
    <w:name w:val="toc 3"/>
    <w:basedOn w:val="Normal"/>
    <w:next w:val="Normal"/>
    <w:autoRedefine/>
    <w:uiPriority w:val="39"/>
    <w:unhideWhenUsed/>
    <w:qFormat/>
    <w:rsid w:val="00976DC4"/>
    <w:pPr>
      <w:spacing w:after="100"/>
      <w:ind w:left="1080" w:hanging="720"/>
    </w:pPr>
    <w:rPr>
      <w:rFonts w:ascii="Arial" w:hAnsi="Arial" w:cs="Arial"/>
      <w:b/>
      <w:caps/>
      <w:color w:val="002060"/>
      <w:sz w:val="24"/>
      <w:szCs w:val="24"/>
      <w:u w:val="single"/>
      <w:lang w:val="el-GR"/>
    </w:rPr>
  </w:style>
  <w:style w:type="paragraph" w:styleId="Header">
    <w:name w:val="header"/>
    <w:basedOn w:val="Normal"/>
    <w:link w:val="HeaderChar"/>
    <w:uiPriority w:val="99"/>
    <w:unhideWhenUsed/>
    <w:rsid w:val="0097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C4"/>
    <w:rPr>
      <w:rFonts w:eastAsiaTheme="minorEastAsia"/>
    </w:rPr>
  </w:style>
  <w:style w:type="paragraph" w:styleId="Footer">
    <w:name w:val="footer"/>
    <w:basedOn w:val="Normal"/>
    <w:link w:val="FooterChar"/>
    <w:uiPriority w:val="99"/>
    <w:unhideWhenUsed/>
    <w:rsid w:val="0097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DC4"/>
    <w:rPr>
      <w:rFonts w:eastAsiaTheme="minorEastAsia"/>
    </w:rPr>
  </w:style>
  <w:style w:type="table" w:styleId="MediumList2-Accent1">
    <w:name w:val="Medium List 2 Accent 1"/>
    <w:basedOn w:val="TableNormal"/>
    <w:uiPriority w:val="66"/>
    <w:rsid w:val="00976DC4"/>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ndnoteTextChar">
    <w:name w:val="Endnote Text Char"/>
    <w:basedOn w:val="DefaultParagraphFont"/>
    <w:link w:val="EndnoteText"/>
    <w:uiPriority w:val="99"/>
    <w:semiHidden/>
    <w:rsid w:val="00976DC4"/>
    <w:rPr>
      <w:rFonts w:eastAsiaTheme="minorEastAsia"/>
      <w:sz w:val="20"/>
      <w:szCs w:val="20"/>
    </w:rPr>
  </w:style>
  <w:style w:type="paragraph" w:styleId="EndnoteText">
    <w:name w:val="endnote text"/>
    <w:basedOn w:val="Normal"/>
    <w:link w:val="EndnoteTextChar"/>
    <w:uiPriority w:val="99"/>
    <w:semiHidden/>
    <w:unhideWhenUsed/>
    <w:rsid w:val="00976DC4"/>
    <w:pPr>
      <w:spacing w:after="0" w:line="240" w:lineRule="auto"/>
    </w:pPr>
    <w:rPr>
      <w:sz w:val="20"/>
      <w:szCs w:val="20"/>
    </w:rPr>
  </w:style>
  <w:style w:type="character" w:customStyle="1" w:styleId="EndnoteTextChar1">
    <w:name w:val="Endnote Text Char1"/>
    <w:basedOn w:val="DefaultParagraphFont"/>
    <w:uiPriority w:val="99"/>
    <w:semiHidden/>
    <w:rsid w:val="00976DC4"/>
    <w:rPr>
      <w:rFonts w:eastAsiaTheme="minorEastAsia"/>
      <w:sz w:val="20"/>
      <w:szCs w:val="20"/>
    </w:rPr>
  </w:style>
  <w:style w:type="character" w:styleId="Strong">
    <w:name w:val="Strong"/>
    <w:basedOn w:val="DefaultParagraphFont"/>
    <w:uiPriority w:val="22"/>
    <w:qFormat/>
    <w:rsid w:val="00976DC4"/>
    <w:rPr>
      <w:b/>
      <w:bCs/>
    </w:rPr>
  </w:style>
  <w:style w:type="paragraph" w:customStyle="1" w:styleId="Standard">
    <w:name w:val="Standard"/>
    <w:basedOn w:val="Default"/>
    <w:next w:val="Default"/>
    <w:uiPriority w:val="99"/>
    <w:rsid w:val="00976DC4"/>
    <w:rPr>
      <w:rFonts w:ascii="Times New Roman" w:hAnsi="Times New Roman" w:cs="Times New Roman"/>
      <w:color w:val="auto"/>
    </w:rPr>
  </w:style>
  <w:style w:type="paragraph" w:customStyle="1" w:styleId="DecimalAligned">
    <w:name w:val="Decimal Aligned"/>
    <w:basedOn w:val="Normal"/>
    <w:uiPriority w:val="40"/>
    <w:qFormat/>
    <w:rsid w:val="00976DC4"/>
    <w:pPr>
      <w:tabs>
        <w:tab w:val="decimal" w:pos="360"/>
      </w:tabs>
    </w:pPr>
  </w:style>
  <w:style w:type="paragraph" w:styleId="FootnoteText">
    <w:name w:val="footnote text"/>
    <w:basedOn w:val="Normal"/>
    <w:link w:val="FootnoteTextChar"/>
    <w:uiPriority w:val="99"/>
    <w:unhideWhenUsed/>
    <w:rsid w:val="00976DC4"/>
    <w:pPr>
      <w:spacing w:after="0" w:line="240" w:lineRule="auto"/>
    </w:pPr>
    <w:rPr>
      <w:sz w:val="20"/>
      <w:szCs w:val="20"/>
    </w:rPr>
  </w:style>
  <w:style w:type="character" w:customStyle="1" w:styleId="FootnoteTextChar">
    <w:name w:val="Footnote Text Char"/>
    <w:basedOn w:val="DefaultParagraphFont"/>
    <w:link w:val="FootnoteText"/>
    <w:uiPriority w:val="99"/>
    <w:rsid w:val="00976DC4"/>
    <w:rPr>
      <w:rFonts w:eastAsiaTheme="minorEastAsia"/>
      <w:sz w:val="20"/>
      <w:szCs w:val="20"/>
    </w:rPr>
  </w:style>
  <w:style w:type="character" w:styleId="SubtleEmphasis">
    <w:name w:val="Subtle Emphasis"/>
    <w:basedOn w:val="DefaultParagraphFont"/>
    <w:uiPriority w:val="19"/>
    <w:qFormat/>
    <w:rsid w:val="00976DC4"/>
    <w:rPr>
      <w:rFonts w:eastAsiaTheme="minorEastAsia" w:cstheme="minorBidi"/>
      <w:bCs w:val="0"/>
      <w:i/>
      <w:iCs/>
      <w:color w:val="808080" w:themeColor="text1" w:themeTint="7F"/>
      <w:szCs w:val="22"/>
      <w:lang w:val="en-US"/>
    </w:rPr>
  </w:style>
  <w:style w:type="character" w:styleId="Emphasis">
    <w:name w:val="Emphasis"/>
    <w:basedOn w:val="DefaultParagraphFont"/>
    <w:uiPriority w:val="20"/>
    <w:qFormat/>
    <w:rsid w:val="00976DC4"/>
    <w:rPr>
      <w:i/>
      <w:iCs/>
    </w:rPr>
  </w:style>
  <w:style w:type="character" w:customStyle="1" w:styleId="s-variable">
    <w:name w:val="s-variable"/>
    <w:basedOn w:val="DefaultParagraphFont"/>
    <w:rsid w:val="00976DC4"/>
  </w:style>
  <w:style w:type="table" w:styleId="LightGrid-Accent5">
    <w:name w:val="Light Grid Accent 5"/>
    <w:basedOn w:val="TableNormal"/>
    <w:uiPriority w:val="62"/>
    <w:rsid w:val="00976DC4"/>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Accent5">
    <w:name w:val="Medium Shading 1 Accent 5"/>
    <w:basedOn w:val="TableNormal"/>
    <w:uiPriority w:val="63"/>
    <w:rsid w:val="00976DC4"/>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76DC4"/>
    <w:pPr>
      <w:spacing w:after="0" w:line="240" w:lineRule="auto"/>
    </w:pPr>
    <w:rPr>
      <w:rFonts w:eastAsiaTheme="minorEastAsi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976DC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ediumGrid2-Accent5">
    <w:name w:val="Medium Grid 2 Accent 5"/>
    <w:basedOn w:val="TableNormal"/>
    <w:uiPriority w:val="68"/>
    <w:rsid w:val="00976D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googielink">
    <w:name w:val="googie_link"/>
    <w:basedOn w:val="DefaultParagraphFont"/>
    <w:rsid w:val="00976DC4"/>
  </w:style>
  <w:style w:type="paragraph" w:styleId="Subtitle">
    <w:name w:val="Subtitle"/>
    <w:basedOn w:val="Normal"/>
    <w:next w:val="Normal"/>
    <w:link w:val="SubtitleChar"/>
    <w:uiPriority w:val="11"/>
    <w:qFormat/>
    <w:rsid w:val="00976DC4"/>
    <w:pPr>
      <w:numPr>
        <w:ilvl w:val="1"/>
      </w:numPr>
      <w:spacing w:line="240" w:lineRule="auto"/>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uiPriority w:val="11"/>
    <w:rsid w:val="00976DC4"/>
    <w:rPr>
      <w:rFonts w:ascii="Times New Roman" w:eastAsiaTheme="majorEastAsia" w:hAnsi="Times New Roman" w:cstheme="majorBidi"/>
      <w:iCs/>
      <w:sz w:val="24"/>
      <w:szCs w:val="24"/>
    </w:rPr>
  </w:style>
  <w:style w:type="paragraph" w:customStyle="1" w:styleId="AcknowledgementDedicationTitle">
    <w:name w:val="Acknowledgement/Dedication Title"/>
    <w:basedOn w:val="Subtitle"/>
    <w:qFormat/>
    <w:rsid w:val="00976DC4"/>
    <w:pPr>
      <w:spacing w:after="800"/>
    </w:pPr>
    <w:rPr>
      <w:rFonts w:cs="Times New Roman"/>
      <w:sz w:val="32"/>
    </w:rPr>
  </w:style>
  <w:style w:type="paragraph" w:styleId="TableofFigures">
    <w:name w:val="table of figures"/>
    <w:basedOn w:val="Normal"/>
    <w:next w:val="Normal"/>
    <w:uiPriority w:val="99"/>
    <w:unhideWhenUsed/>
    <w:rsid w:val="00976DC4"/>
    <w:pPr>
      <w:spacing w:after="0" w:line="360" w:lineRule="auto"/>
      <w:jc w:val="both"/>
    </w:pPr>
    <w:rPr>
      <w:rFonts w:ascii="Times New Roman" w:hAnsi="Times New Roman"/>
    </w:rPr>
  </w:style>
  <w:style w:type="character" w:customStyle="1" w:styleId="shorttext">
    <w:name w:val="short_text"/>
    <w:basedOn w:val="DefaultParagraphFont"/>
    <w:rsid w:val="00976DC4"/>
  </w:style>
  <w:style w:type="character" w:styleId="FootnoteReference">
    <w:name w:val="footnote reference"/>
    <w:basedOn w:val="DefaultParagraphFont"/>
    <w:uiPriority w:val="99"/>
    <w:semiHidden/>
    <w:unhideWhenUsed/>
    <w:rsid w:val="00976DC4"/>
    <w:rPr>
      <w:vertAlign w:val="superscript"/>
    </w:rPr>
  </w:style>
  <w:style w:type="paragraph" w:styleId="BodyText">
    <w:name w:val="Body Text"/>
    <w:basedOn w:val="Normal"/>
    <w:link w:val="BodyTextChar"/>
    <w:rsid w:val="00976DC4"/>
    <w:pPr>
      <w:autoSpaceDE w:val="0"/>
      <w:autoSpaceDN w:val="0"/>
      <w:adjustRightInd w:val="0"/>
      <w:spacing w:after="0" w:line="300" w:lineRule="atLeast"/>
      <w:jc w:val="center"/>
      <w:textAlignment w:val="bottom"/>
    </w:pPr>
    <w:rPr>
      <w:rFonts w:ascii="Tms Rmn" w:eastAsia="PMingLiU" w:hAnsi="Tms Rmn" w:cs="Times New Roman"/>
      <w:b/>
      <w:sz w:val="32"/>
      <w:szCs w:val="20"/>
      <w:lang w:eastAsia="zh-TW"/>
    </w:rPr>
  </w:style>
  <w:style w:type="character" w:customStyle="1" w:styleId="BodyTextChar">
    <w:name w:val="Body Text Char"/>
    <w:basedOn w:val="DefaultParagraphFont"/>
    <w:link w:val="BodyText"/>
    <w:rsid w:val="00976DC4"/>
    <w:rPr>
      <w:rFonts w:ascii="Tms Rmn" w:eastAsia="PMingLiU" w:hAnsi="Tms Rmn" w:cs="Times New Roman"/>
      <w:b/>
      <w:sz w:val="32"/>
      <w:szCs w:val="20"/>
      <w:lang w:eastAsia="zh-TW"/>
    </w:rPr>
  </w:style>
  <w:style w:type="character" w:customStyle="1" w:styleId="is-accessible">
    <w:name w:val="is-accessible"/>
    <w:basedOn w:val="DefaultParagraphFont"/>
    <w:rsid w:val="00CA6B4D"/>
  </w:style>
  <w:style w:type="character" w:customStyle="1" w:styleId="js-revealercontrol-toggle">
    <w:name w:val="js-revealer__control-toggle"/>
    <w:basedOn w:val="DefaultParagraphFont"/>
    <w:rsid w:val="00CA6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C4"/>
    <w:pPr>
      <w:spacing w:after="200" w:line="276" w:lineRule="auto"/>
    </w:pPr>
    <w:rPr>
      <w:rFonts w:eastAsiaTheme="minorEastAsia"/>
    </w:rPr>
  </w:style>
  <w:style w:type="paragraph" w:styleId="Heading1">
    <w:name w:val="heading 1"/>
    <w:basedOn w:val="Normal"/>
    <w:next w:val="Normal"/>
    <w:link w:val="Heading1Char"/>
    <w:uiPriority w:val="9"/>
    <w:qFormat/>
    <w:rsid w:val="00976D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976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6D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DC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976D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6DC4"/>
    <w:rPr>
      <w:rFonts w:ascii="Times New Roman" w:eastAsia="Times New Roman" w:hAnsi="Times New Roman" w:cs="Times New Roman"/>
      <w:b/>
      <w:bCs/>
      <w:sz w:val="24"/>
      <w:szCs w:val="24"/>
    </w:rPr>
  </w:style>
  <w:style w:type="paragraph" w:styleId="NormalWeb">
    <w:name w:val="Normal (Web)"/>
    <w:basedOn w:val="Normal"/>
    <w:uiPriority w:val="99"/>
    <w:unhideWhenUsed/>
    <w:rsid w:val="00976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h">
    <w:name w:val="punch"/>
    <w:basedOn w:val="Normal"/>
    <w:rsid w:val="00976D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7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DC4"/>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976DC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976DC4"/>
    <w:pPr>
      <w:spacing w:after="0" w:line="240" w:lineRule="auto"/>
    </w:pPr>
    <w:rPr>
      <w:rFonts w:ascii="Tahoma" w:hAnsi="Tahoma" w:cs="Tahoma"/>
      <w:sz w:val="16"/>
      <w:szCs w:val="16"/>
    </w:rPr>
  </w:style>
  <w:style w:type="paragraph" w:styleId="ListParagraph">
    <w:name w:val="List Paragraph"/>
    <w:basedOn w:val="Normal"/>
    <w:uiPriority w:val="34"/>
    <w:qFormat/>
    <w:rsid w:val="00976DC4"/>
    <w:pPr>
      <w:ind w:left="720"/>
      <w:contextualSpacing/>
    </w:pPr>
  </w:style>
  <w:style w:type="paragraph" w:customStyle="1" w:styleId="Default">
    <w:name w:val="Default"/>
    <w:rsid w:val="00976DC4"/>
    <w:pPr>
      <w:autoSpaceDE w:val="0"/>
      <w:autoSpaceDN w:val="0"/>
      <w:adjustRightInd w:val="0"/>
      <w:spacing w:after="0" w:line="240" w:lineRule="auto"/>
    </w:pPr>
    <w:rPr>
      <w:rFonts w:ascii="Arial" w:eastAsiaTheme="minorEastAsia" w:hAnsi="Arial" w:cs="Arial"/>
      <w:color w:val="000000"/>
      <w:sz w:val="24"/>
      <w:szCs w:val="24"/>
    </w:rPr>
  </w:style>
  <w:style w:type="paragraph" w:styleId="TOCHeading">
    <w:name w:val="TOC Heading"/>
    <w:basedOn w:val="Heading1"/>
    <w:next w:val="Normal"/>
    <w:uiPriority w:val="39"/>
    <w:unhideWhenUsed/>
    <w:qFormat/>
    <w:rsid w:val="00976DC4"/>
    <w:pPr>
      <w:outlineLvl w:val="9"/>
    </w:pPr>
  </w:style>
  <w:style w:type="paragraph" w:styleId="TOC1">
    <w:name w:val="toc 1"/>
    <w:basedOn w:val="Normal"/>
    <w:next w:val="Normal"/>
    <w:autoRedefine/>
    <w:uiPriority w:val="39"/>
    <w:unhideWhenUsed/>
    <w:qFormat/>
    <w:rsid w:val="00976DC4"/>
    <w:pPr>
      <w:spacing w:after="100"/>
      <w:jc w:val="both"/>
    </w:pPr>
    <w:rPr>
      <w:rFonts w:ascii="Arial" w:eastAsia="PFCatalog-BoldItalic" w:hAnsi="Arial" w:cs="Arial"/>
      <w:b/>
      <w:bCs/>
      <w:iCs/>
      <w:caps/>
      <w:color w:val="002060"/>
      <w:sz w:val="28"/>
      <w:szCs w:val="28"/>
      <w:u w:val="single"/>
      <w:lang w:val="el-GR"/>
    </w:rPr>
  </w:style>
  <w:style w:type="character" w:customStyle="1" w:styleId="apple-converted-space">
    <w:name w:val="apple-converted-space"/>
    <w:basedOn w:val="DefaultParagraphFont"/>
    <w:rsid w:val="00976DC4"/>
  </w:style>
  <w:style w:type="paragraph" w:customStyle="1" w:styleId="ecxmsonormal">
    <w:name w:val="ecxmsonormal"/>
    <w:basedOn w:val="Normal"/>
    <w:rsid w:val="00976D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6DC4"/>
    <w:pPr>
      <w:spacing w:after="0" w:line="240" w:lineRule="auto"/>
    </w:pPr>
    <w:rPr>
      <w:rFonts w:eastAsiaTheme="minorEastAsia"/>
    </w:rPr>
  </w:style>
  <w:style w:type="character" w:customStyle="1" w:styleId="NoSpacingChar">
    <w:name w:val="No Spacing Char"/>
    <w:basedOn w:val="DefaultParagraphFont"/>
    <w:link w:val="NoSpacing"/>
    <w:uiPriority w:val="1"/>
    <w:rsid w:val="00976DC4"/>
    <w:rPr>
      <w:rFonts w:eastAsiaTheme="minorEastAsia"/>
    </w:rPr>
  </w:style>
  <w:style w:type="character" w:styleId="Hyperlink">
    <w:name w:val="Hyperlink"/>
    <w:basedOn w:val="DefaultParagraphFont"/>
    <w:uiPriority w:val="99"/>
    <w:unhideWhenUsed/>
    <w:rsid w:val="00976DC4"/>
    <w:rPr>
      <w:color w:val="0000FF"/>
      <w:u w:val="single"/>
    </w:rPr>
  </w:style>
  <w:style w:type="paragraph" w:styleId="TOC3">
    <w:name w:val="toc 3"/>
    <w:basedOn w:val="Normal"/>
    <w:next w:val="Normal"/>
    <w:autoRedefine/>
    <w:uiPriority w:val="39"/>
    <w:unhideWhenUsed/>
    <w:qFormat/>
    <w:rsid w:val="00976DC4"/>
    <w:pPr>
      <w:spacing w:after="100"/>
      <w:ind w:left="1080" w:hanging="720"/>
    </w:pPr>
    <w:rPr>
      <w:rFonts w:ascii="Arial" w:hAnsi="Arial" w:cs="Arial"/>
      <w:b/>
      <w:caps/>
      <w:color w:val="002060"/>
      <w:sz w:val="24"/>
      <w:szCs w:val="24"/>
      <w:u w:val="single"/>
      <w:lang w:val="el-GR"/>
    </w:rPr>
  </w:style>
  <w:style w:type="paragraph" w:styleId="Header">
    <w:name w:val="header"/>
    <w:basedOn w:val="Normal"/>
    <w:link w:val="HeaderChar"/>
    <w:uiPriority w:val="99"/>
    <w:unhideWhenUsed/>
    <w:rsid w:val="0097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C4"/>
    <w:rPr>
      <w:rFonts w:eastAsiaTheme="minorEastAsia"/>
    </w:rPr>
  </w:style>
  <w:style w:type="paragraph" w:styleId="Footer">
    <w:name w:val="footer"/>
    <w:basedOn w:val="Normal"/>
    <w:link w:val="FooterChar"/>
    <w:uiPriority w:val="99"/>
    <w:unhideWhenUsed/>
    <w:rsid w:val="0097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DC4"/>
    <w:rPr>
      <w:rFonts w:eastAsiaTheme="minorEastAsia"/>
    </w:rPr>
  </w:style>
  <w:style w:type="table" w:styleId="MediumList2-Accent1">
    <w:name w:val="Medium List 2 Accent 1"/>
    <w:basedOn w:val="TableNormal"/>
    <w:uiPriority w:val="66"/>
    <w:rsid w:val="00976DC4"/>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ndnoteTextChar">
    <w:name w:val="Endnote Text Char"/>
    <w:basedOn w:val="DefaultParagraphFont"/>
    <w:link w:val="EndnoteText"/>
    <w:uiPriority w:val="99"/>
    <w:semiHidden/>
    <w:rsid w:val="00976DC4"/>
    <w:rPr>
      <w:rFonts w:eastAsiaTheme="minorEastAsia"/>
      <w:sz w:val="20"/>
      <w:szCs w:val="20"/>
    </w:rPr>
  </w:style>
  <w:style w:type="paragraph" w:styleId="EndnoteText">
    <w:name w:val="endnote text"/>
    <w:basedOn w:val="Normal"/>
    <w:link w:val="EndnoteTextChar"/>
    <w:uiPriority w:val="99"/>
    <w:semiHidden/>
    <w:unhideWhenUsed/>
    <w:rsid w:val="00976DC4"/>
    <w:pPr>
      <w:spacing w:after="0" w:line="240" w:lineRule="auto"/>
    </w:pPr>
    <w:rPr>
      <w:sz w:val="20"/>
      <w:szCs w:val="20"/>
    </w:rPr>
  </w:style>
  <w:style w:type="character" w:customStyle="1" w:styleId="EndnoteTextChar1">
    <w:name w:val="Endnote Text Char1"/>
    <w:basedOn w:val="DefaultParagraphFont"/>
    <w:uiPriority w:val="99"/>
    <w:semiHidden/>
    <w:rsid w:val="00976DC4"/>
    <w:rPr>
      <w:rFonts w:eastAsiaTheme="minorEastAsia"/>
      <w:sz w:val="20"/>
      <w:szCs w:val="20"/>
    </w:rPr>
  </w:style>
  <w:style w:type="character" w:styleId="Strong">
    <w:name w:val="Strong"/>
    <w:basedOn w:val="DefaultParagraphFont"/>
    <w:uiPriority w:val="22"/>
    <w:qFormat/>
    <w:rsid w:val="00976DC4"/>
    <w:rPr>
      <w:b/>
      <w:bCs/>
    </w:rPr>
  </w:style>
  <w:style w:type="paragraph" w:customStyle="1" w:styleId="Standard">
    <w:name w:val="Standard"/>
    <w:basedOn w:val="Default"/>
    <w:next w:val="Default"/>
    <w:uiPriority w:val="99"/>
    <w:rsid w:val="00976DC4"/>
    <w:rPr>
      <w:rFonts w:ascii="Times New Roman" w:hAnsi="Times New Roman" w:cs="Times New Roman"/>
      <w:color w:val="auto"/>
    </w:rPr>
  </w:style>
  <w:style w:type="paragraph" w:customStyle="1" w:styleId="DecimalAligned">
    <w:name w:val="Decimal Aligned"/>
    <w:basedOn w:val="Normal"/>
    <w:uiPriority w:val="40"/>
    <w:qFormat/>
    <w:rsid w:val="00976DC4"/>
    <w:pPr>
      <w:tabs>
        <w:tab w:val="decimal" w:pos="360"/>
      </w:tabs>
    </w:pPr>
  </w:style>
  <w:style w:type="paragraph" w:styleId="FootnoteText">
    <w:name w:val="footnote text"/>
    <w:basedOn w:val="Normal"/>
    <w:link w:val="FootnoteTextChar"/>
    <w:uiPriority w:val="99"/>
    <w:unhideWhenUsed/>
    <w:rsid w:val="00976DC4"/>
    <w:pPr>
      <w:spacing w:after="0" w:line="240" w:lineRule="auto"/>
    </w:pPr>
    <w:rPr>
      <w:sz w:val="20"/>
      <w:szCs w:val="20"/>
    </w:rPr>
  </w:style>
  <w:style w:type="character" w:customStyle="1" w:styleId="FootnoteTextChar">
    <w:name w:val="Footnote Text Char"/>
    <w:basedOn w:val="DefaultParagraphFont"/>
    <w:link w:val="FootnoteText"/>
    <w:uiPriority w:val="99"/>
    <w:rsid w:val="00976DC4"/>
    <w:rPr>
      <w:rFonts w:eastAsiaTheme="minorEastAsia"/>
      <w:sz w:val="20"/>
      <w:szCs w:val="20"/>
    </w:rPr>
  </w:style>
  <w:style w:type="character" w:styleId="SubtleEmphasis">
    <w:name w:val="Subtle Emphasis"/>
    <w:basedOn w:val="DefaultParagraphFont"/>
    <w:uiPriority w:val="19"/>
    <w:qFormat/>
    <w:rsid w:val="00976DC4"/>
    <w:rPr>
      <w:rFonts w:eastAsiaTheme="minorEastAsia" w:cstheme="minorBidi"/>
      <w:bCs w:val="0"/>
      <w:i/>
      <w:iCs/>
      <w:color w:val="808080" w:themeColor="text1" w:themeTint="7F"/>
      <w:szCs w:val="22"/>
      <w:lang w:val="en-US"/>
    </w:rPr>
  </w:style>
  <w:style w:type="character" w:styleId="Emphasis">
    <w:name w:val="Emphasis"/>
    <w:basedOn w:val="DefaultParagraphFont"/>
    <w:uiPriority w:val="20"/>
    <w:qFormat/>
    <w:rsid w:val="00976DC4"/>
    <w:rPr>
      <w:i/>
      <w:iCs/>
    </w:rPr>
  </w:style>
  <w:style w:type="character" w:customStyle="1" w:styleId="s-variable">
    <w:name w:val="s-variable"/>
    <w:basedOn w:val="DefaultParagraphFont"/>
    <w:rsid w:val="00976DC4"/>
  </w:style>
  <w:style w:type="table" w:styleId="LightGrid-Accent5">
    <w:name w:val="Light Grid Accent 5"/>
    <w:basedOn w:val="TableNormal"/>
    <w:uiPriority w:val="62"/>
    <w:rsid w:val="00976DC4"/>
    <w:pPr>
      <w:spacing w:after="0" w:line="240" w:lineRule="auto"/>
    </w:pPr>
    <w:rPr>
      <w:rFonts w:eastAsiaTheme="minorEastAsia"/>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Accent5">
    <w:name w:val="Medium Shading 1 Accent 5"/>
    <w:basedOn w:val="TableNormal"/>
    <w:uiPriority w:val="63"/>
    <w:rsid w:val="00976DC4"/>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76DC4"/>
    <w:pPr>
      <w:spacing w:after="0" w:line="240" w:lineRule="auto"/>
    </w:pPr>
    <w:rPr>
      <w:rFonts w:eastAsiaTheme="minorEastAsi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976DC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ediumGrid2-Accent5">
    <w:name w:val="Medium Grid 2 Accent 5"/>
    <w:basedOn w:val="TableNormal"/>
    <w:uiPriority w:val="68"/>
    <w:rsid w:val="00976D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googielink">
    <w:name w:val="googie_link"/>
    <w:basedOn w:val="DefaultParagraphFont"/>
    <w:rsid w:val="00976DC4"/>
  </w:style>
  <w:style w:type="paragraph" w:styleId="Subtitle">
    <w:name w:val="Subtitle"/>
    <w:basedOn w:val="Normal"/>
    <w:next w:val="Normal"/>
    <w:link w:val="SubtitleChar"/>
    <w:uiPriority w:val="11"/>
    <w:qFormat/>
    <w:rsid w:val="00976DC4"/>
    <w:pPr>
      <w:numPr>
        <w:ilvl w:val="1"/>
      </w:numPr>
      <w:spacing w:line="240" w:lineRule="auto"/>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uiPriority w:val="11"/>
    <w:rsid w:val="00976DC4"/>
    <w:rPr>
      <w:rFonts w:ascii="Times New Roman" w:eastAsiaTheme="majorEastAsia" w:hAnsi="Times New Roman" w:cstheme="majorBidi"/>
      <w:iCs/>
      <w:sz w:val="24"/>
      <w:szCs w:val="24"/>
    </w:rPr>
  </w:style>
  <w:style w:type="paragraph" w:customStyle="1" w:styleId="AcknowledgementDedicationTitle">
    <w:name w:val="Acknowledgement/Dedication Title"/>
    <w:basedOn w:val="Subtitle"/>
    <w:qFormat/>
    <w:rsid w:val="00976DC4"/>
    <w:pPr>
      <w:spacing w:after="800"/>
    </w:pPr>
    <w:rPr>
      <w:rFonts w:cs="Times New Roman"/>
      <w:sz w:val="32"/>
    </w:rPr>
  </w:style>
  <w:style w:type="paragraph" w:styleId="TableofFigures">
    <w:name w:val="table of figures"/>
    <w:basedOn w:val="Normal"/>
    <w:next w:val="Normal"/>
    <w:uiPriority w:val="99"/>
    <w:unhideWhenUsed/>
    <w:rsid w:val="00976DC4"/>
    <w:pPr>
      <w:spacing w:after="0" w:line="360" w:lineRule="auto"/>
      <w:jc w:val="both"/>
    </w:pPr>
    <w:rPr>
      <w:rFonts w:ascii="Times New Roman" w:hAnsi="Times New Roman"/>
    </w:rPr>
  </w:style>
  <w:style w:type="character" w:customStyle="1" w:styleId="shorttext">
    <w:name w:val="short_text"/>
    <w:basedOn w:val="DefaultParagraphFont"/>
    <w:rsid w:val="00976DC4"/>
  </w:style>
  <w:style w:type="character" w:styleId="FootnoteReference">
    <w:name w:val="footnote reference"/>
    <w:basedOn w:val="DefaultParagraphFont"/>
    <w:uiPriority w:val="99"/>
    <w:semiHidden/>
    <w:unhideWhenUsed/>
    <w:rsid w:val="00976DC4"/>
    <w:rPr>
      <w:vertAlign w:val="superscript"/>
    </w:rPr>
  </w:style>
  <w:style w:type="paragraph" w:styleId="BodyText">
    <w:name w:val="Body Text"/>
    <w:basedOn w:val="Normal"/>
    <w:link w:val="BodyTextChar"/>
    <w:rsid w:val="00976DC4"/>
    <w:pPr>
      <w:autoSpaceDE w:val="0"/>
      <w:autoSpaceDN w:val="0"/>
      <w:adjustRightInd w:val="0"/>
      <w:spacing w:after="0" w:line="300" w:lineRule="atLeast"/>
      <w:jc w:val="center"/>
      <w:textAlignment w:val="bottom"/>
    </w:pPr>
    <w:rPr>
      <w:rFonts w:ascii="Tms Rmn" w:eastAsia="PMingLiU" w:hAnsi="Tms Rmn" w:cs="Times New Roman"/>
      <w:b/>
      <w:sz w:val="32"/>
      <w:szCs w:val="20"/>
      <w:lang w:eastAsia="zh-TW"/>
    </w:rPr>
  </w:style>
  <w:style w:type="character" w:customStyle="1" w:styleId="BodyTextChar">
    <w:name w:val="Body Text Char"/>
    <w:basedOn w:val="DefaultParagraphFont"/>
    <w:link w:val="BodyText"/>
    <w:rsid w:val="00976DC4"/>
    <w:rPr>
      <w:rFonts w:ascii="Tms Rmn" w:eastAsia="PMingLiU" w:hAnsi="Tms Rmn" w:cs="Times New Roman"/>
      <w:b/>
      <w:sz w:val="32"/>
      <w:szCs w:val="20"/>
      <w:lang w:eastAsia="zh-TW"/>
    </w:rPr>
  </w:style>
  <w:style w:type="character" w:customStyle="1" w:styleId="is-accessible">
    <w:name w:val="is-accessible"/>
    <w:basedOn w:val="DefaultParagraphFont"/>
    <w:rsid w:val="00CA6B4D"/>
  </w:style>
  <w:style w:type="character" w:customStyle="1" w:styleId="js-revealercontrol-toggle">
    <w:name w:val="js-revealer__control-toggle"/>
    <w:basedOn w:val="DefaultParagraphFont"/>
    <w:rsid w:val="00CA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2217">
      <w:marLeft w:val="0"/>
      <w:marRight w:val="0"/>
      <w:marTop w:val="0"/>
      <w:marBottom w:val="0"/>
      <w:divBdr>
        <w:top w:val="none" w:sz="0" w:space="0" w:color="auto"/>
        <w:left w:val="none" w:sz="0" w:space="0" w:color="auto"/>
        <w:bottom w:val="none" w:sz="0" w:space="0" w:color="auto"/>
        <w:right w:val="none" w:sz="0" w:space="0" w:color="auto"/>
      </w:divBdr>
    </w:div>
    <w:div w:id="1411122682">
      <w:bodyDiv w:val="1"/>
      <w:marLeft w:val="0"/>
      <w:marRight w:val="0"/>
      <w:marTop w:val="0"/>
      <w:marBottom w:val="0"/>
      <w:divBdr>
        <w:top w:val="none" w:sz="0" w:space="0" w:color="auto"/>
        <w:left w:val="none" w:sz="0" w:space="0" w:color="auto"/>
        <w:bottom w:val="none" w:sz="0" w:space="0" w:color="auto"/>
        <w:right w:val="none" w:sz="0" w:space="0" w:color="auto"/>
      </w:divBdr>
      <w:divsChild>
        <w:div w:id="198906857">
          <w:marLeft w:val="0"/>
          <w:marRight w:val="0"/>
          <w:marTop w:val="0"/>
          <w:marBottom w:val="0"/>
          <w:divBdr>
            <w:top w:val="none" w:sz="0" w:space="0" w:color="auto"/>
            <w:left w:val="none" w:sz="0" w:space="0" w:color="auto"/>
            <w:bottom w:val="none" w:sz="0" w:space="0" w:color="auto"/>
            <w:right w:val="none" w:sz="0" w:space="0" w:color="auto"/>
          </w:divBdr>
          <w:divsChild>
            <w:div w:id="1552422694">
              <w:marLeft w:val="0"/>
              <w:marRight w:val="0"/>
              <w:marTop w:val="0"/>
              <w:marBottom w:val="0"/>
              <w:divBdr>
                <w:top w:val="none" w:sz="0" w:space="0" w:color="auto"/>
                <w:left w:val="none" w:sz="0" w:space="0" w:color="auto"/>
                <w:bottom w:val="none" w:sz="0" w:space="0" w:color="auto"/>
                <w:right w:val="none" w:sz="0" w:space="0" w:color="auto"/>
              </w:divBdr>
              <w:divsChild>
                <w:div w:id="1022324159">
                  <w:marLeft w:val="0"/>
                  <w:marRight w:val="0"/>
                  <w:marTop w:val="0"/>
                  <w:marBottom w:val="0"/>
                  <w:divBdr>
                    <w:top w:val="none" w:sz="0" w:space="0" w:color="auto"/>
                    <w:left w:val="none" w:sz="0" w:space="0" w:color="auto"/>
                    <w:bottom w:val="none" w:sz="0" w:space="0" w:color="auto"/>
                    <w:right w:val="none" w:sz="0" w:space="0" w:color="auto"/>
                  </w:divBdr>
                  <w:divsChild>
                    <w:div w:id="1321075463">
                      <w:marLeft w:val="0"/>
                      <w:marRight w:val="0"/>
                      <w:marTop w:val="0"/>
                      <w:marBottom w:val="0"/>
                      <w:divBdr>
                        <w:top w:val="none" w:sz="0" w:space="0" w:color="auto"/>
                        <w:left w:val="none" w:sz="0" w:space="0" w:color="auto"/>
                        <w:bottom w:val="none" w:sz="0" w:space="0" w:color="auto"/>
                        <w:right w:val="none" w:sz="0" w:space="0" w:color="auto"/>
                      </w:divBdr>
                      <w:divsChild>
                        <w:div w:id="1678533904">
                          <w:marLeft w:val="0"/>
                          <w:marRight w:val="0"/>
                          <w:marTop w:val="0"/>
                          <w:marBottom w:val="0"/>
                          <w:divBdr>
                            <w:top w:val="none" w:sz="0" w:space="0" w:color="auto"/>
                            <w:left w:val="none" w:sz="0" w:space="0" w:color="auto"/>
                            <w:bottom w:val="none" w:sz="0" w:space="0" w:color="auto"/>
                            <w:right w:val="none" w:sz="0" w:space="0" w:color="auto"/>
                          </w:divBdr>
                          <w:divsChild>
                            <w:div w:id="135728071">
                              <w:marLeft w:val="0"/>
                              <w:marRight w:val="0"/>
                              <w:marTop w:val="0"/>
                              <w:marBottom w:val="0"/>
                              <w:divBdr>
                                <w:top w:val="none" w:sz="0" w:space="0" w:color="auto"/>
                                <w:left w:val="none" w:sz="0" w:space="0" w:color="auto"/>
                                <w:bottom w:val="none" w:sz="0" w:space="0" w:color="auto"/>
                                <w:right w:val="none" w:sz="0" w:space="0" w:color="auto"/>
                              </w:divBdr>
                              <w:divsChild>
                                <w:div w:id="793982026">
                                  <w:marLeft w:val="0"/>
                                  <w:marRight w:val="0"/>
                                  <w:marTop w:val="0"/>
                                  <w:marBottom w:val="0"/>
                                  <w:divBdr>
                                    <w:top w:val="none" w:sz="0" w:space="0" w:color="auto"/>
                                    <w:left w:val="none" w:sz="0" w:space="0" w:color="auto"/>
                                    <w:bottom w:val="none" w:sz="0" w:space="0" w:color="auto"/>
                                    <w:right w:val="none" w:sz="0" w:space="0" w:color="auto"/>
                                  </w:divBdr>
                                  <w:divsChild>
                                    <w:div w:id="1005209589">
                                      <w:marLeft w:val="0"/>
                                      <w:marRight w:val="0"/>
                                      <w:marTop w:val="0"/>
                                      <w:marBottom w:val="0"/>
                                      <w:divBdr>
                                        <w:top w:val="none" w:sz="0" w:space="0" w:color="auto"/>
                                        <w:left w:val="none" w:sz="0" w:space="0" w:color="auto"/>
                                        <w:bottom w:val="none" w:sz="0" w:space="0" w:color="auto"/>
                                        <w:right w:val="none" w:sz="0" w:space="0" w:color="auto"/>
                                      </w:divBdr>
                                      <w:divsChild>
                                        <w:div w:id="2010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756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as\Desktop\aggreg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as\Desktop\BAN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1"/>
    <c:plotArea>
      <c:layout>
        <c:manualLayout>
          <c:layoutTarget val="inner"/>
          <c:xMode val="edge"/>
          <c:yMode val="edge"/>
          <c:x val="3.6111111111111108E-2"/>
          <c:y val="0.24749850713105306"/>
          <c:w val="0.93888888888888888"/>
          <c:h val="0.57577025094085466"/>
        </c:manualLayout>
      </c:layout>
      <c:lineChart>
        <c:grouping val="standard"/>
        <c:varyColors val="0"/>
        <c:ser>
          <c:idx val="1"/>
          <c:order val="1"/>
          <c:tx>
            <c:strRef>
              <c:f>Sheet2!$M$6</c:f>
              <c:strCache>
                <c:ptCount val="1"/>
                <c:pt idx="0">
                  <c:v>CAR</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Sheet2!$A$2:$A$6</c:f>
              <c:numCache>
                <c:formatCode>General</c:formatCode>
                <c:ptCount val="5"/>
                <c:pt idx="0">
                  <c:v>2010</c:v>
                </c:pt>
                <c:pt idx="1">
                  <c:v>2011</c:v>
                </c:pt>
                <c:pt idx="2">
                  <c:v>2012</c:v>
                </c:pt>
                <c:pt idx="3">
                  <c:v>2013</c:v>
                </c:pt>
                <c:pt idx="4">
                  <c:v>2014</c:v>
                </c:pt>
              </c:numCache>
            </c:numRef>
          </c:cat>
          <c:val>
            <c:numRef>
              <c:f>Sheet2!$M$7:$M$11</c:f>
              <c:numCache>
                <c:formatCode>#,##0.00</c:formatCode>
                <c:ptCount val="5"/>
                <c:pt idx="0">
                  <c:v>0.12562705882407887</c:v>
                </c:pt>
                <c:pt idx="1">
                  <c:v>8.9512450232701712E-2</c:v>
                </c:pt>
                <c:pt idx="2">
                  <c:v>7.6912920913032076E-2</c:v>
                </c:pt>
                <c:pt idx="3">
                  <c:v>0.13998928285854301</c:v>
                </c:pt>
                <c:pt idx="4">
                  <c:v>0.14944437111220493</c:v>
                </c:pt>
              </c:numCache>
            </c:numRef>
          </c:val>
          <c:smooth val="0"/>
        </c:ser>
        <c:ser>
          <c:idx val="0"/>
          <c:order val="0"/>
          <c:tx>
            <c:strRef>
              <c:f>Sheet2!$M$6</c:f>
              <c:strCache>
                <c:ptCount val="1"/>
                <c:pt idx="0">
                  <c:v>CAR</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Sheet2!$A$2:$A$6</c:f>
              <c:numCache>
                <c:formatCode>General</c:formatCode>
                <c:ptCount val="5"/>
                <c:pt idx="0">
                  <c:v>2010</c:v>
                </c:pt>
                <c:pt idx="1">
                  <c:v>2011</c:v>
                </c:pt>
                <c:pt idx="2">
                  <c:v>2012</c:v>
                </c:pt>
                <c:pt idx="3">
                  <c:v>2013</c:v>
                </c:pt>
                <c:pt idx="4">
                  <c:v>2014</c:v>
                </c:pt>
              </c:numCache>
            </c:numRef>
          </c:cat>
          <c:val>
            <c:numRef>
              <c:f>Sheet2!$M$7:$M$11</c:f>
              <c:numCache>
                <c:formatCode>#,##0.00</c:formatCode>
                <c:ptCount val="5"/>
                <c:pt idx="0">
                  <c:v>0.12562705882407887</c:v>
                </c:pt>
                <c:pt idx="1">
                  <c:v>8.9512450232701712E-2</c:v>
                </c:pt>
                <c:pt idx="2">
                  <c:v>7.6912920913032076E-2</c:v>
                </c:pt>
                <c:pt idx="3">
                  <c:v>0.13998928285854301</c:v>
                </c:pt>
                <c:pt idx="4">
                  <c:v>0.14944437111220493</c:v>
                </c:pt>
              </c:numCache>
            </c:numRef>
          </c:val>
          <c:smooth val="0"/>
        </c:ser>
        <c:dLbls>
          <c:showLegendKey val="0"/>
          <c:showVal val="1"/>
          <c:showCatName val="0"/>
          <c:showSerName val="0"/>
          <c:showPercent val="0"/>
          <c:showBubbleSize val="0"/>
        </c:dLbls>
        <c:marker val="1"/>
        <c:smooth val="0"/>
        <c:axId val="70317568"/>
        <c:axId val="70319104"/>
      </c:lineChart>
      <c:catAx>
        <c:axId val="70317568"/>
        <c:scaling>
          <c:orientation val="minMax"/>
        </c:scaling>
        <c:delete val="0"/>
        <c:axPos val="b"/>
        <c:numFmt formatCode="General" sourceLinked="1"/>
        <c:majorTickMark val="none"/>
        <c:minorTickMark val="none"/>
        <c:tickLblPos val="nextTo"/>
        <c:crossAx val="70319104"/>
        <c:crosses val="autoZero"/>
        <c:auto val="1"/>
        <c:lblAlgn val="ctr"/>
        <c:lblOffset val="100"/>
        <c:noMultiLvlLbl val="0"/>
      </c:catAx>
      <c:valAx>
        <c:axId val="70319104"/>
        <c:scaling>
          <c:orientation val="minMax"/>
        </c:scaling>
        <c:delete val="1"/>
        <c:axPos val="l"/>
        <c:numFmt formatCode="#,##0.00" sourceLinked="1"/>
        <c:majorTickMark val="none"/>
        <c:minorTickMark val="none"/>
        <c:tickLblPos val="nextTo"/>
        <c:crossAx val="70317568"/>
        <c:crosses val="autoZero"/>
        <c:crossBetween val="between"/>
      </c:valAx>
      <c:spPr>
        <a:noFill/>
      </c:spPr>
    </c:plotArea>
    <c:legend>
      <c:legendPos val="t"/>
      <c:legendEntry>
        <c:idx val="1"/>
        <c:delete val="1"/>
      </c:legendEntry>
      <c:overlay val="0"/>
      <c:txPr>
        <a:bodyPr/>
        <a:lstStyle/>
        <a:p>
          <a:pPr rtl="0">
            <a:defRPr/>
          </a:pPr>
          <a:endParaRPr lang="en-US"/>
        </a:p>
      </c:txPr>
    </c:legend>
    <c:plotVisOnly val="1"/>
    <c:dispBlanksAs val="gap"/>
    <c:showDLblsOverMax val="0"/>
  </c:chart>
  <c:spPr>
    <a:solidFill>
      <a:schemeClr val="bg1"/>
    </a:solidFill>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Sheet1!$A$2</c:f>
              <c:strCache>
                <c:ptCount val="1"/>
                <c:pt idx="0">
                  <c:v>Bank of Cyprus</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Sheet1!$B$2:$G$2</c:f>
              <c:numCache>
                <c:formatCode>#,##0.00</c:formatCode>
                <c:ptCount val="6"/>
                <c:pt idx="0">
                  <c:v>0.11700000000000003</c:v>
                </c:pt>
                <c:pt idx="1">
                  <c:v>0.11899999999999998</c:v>
                </c:pt>
                <c:pt idx="2">
                  <c:v>0.11500000000000002</c:v>
                </c:pt>
                <c:pt idx="3">
                  <c:v>0.12200000000000009</c:v>
                </c:pt>
                <c:pt idx="4">
                  <c:v>0.10600000000000002</c:v>
                </c:pt>
                <c:pt idx="5">
                  <c:v>0.14200000000000004</c:v>
                </c:pt>
              </c:numCache>
            </c:numRef>
          </c:val>
        </c:ser>
        <c:ser>
          <c:idx val="1"/>
          <c:order val="1"/>
          <c:tx>
            <c:strRef>
              <c:f>Sheet1!$A$3</c:f>
              <c:strCache>
                <c:ptCount val="1"/>
                <c:pt idx="0">
                  <c:v>Cyprus Development Bank </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Sheet1!$B$3:$G$3</c:f>
              <c:numCache>
                <c:formatCode>#,##0.00</c:formatCode>
                <c:ptCount val="6"/>
                <c:pt idx="0">
                  <c:v>0.20950000000000021</c:v>
                </c:pt>
                <c:pt idx="1">
                  <c:v>0.16300000000000003</c:v>
                </c:pt>
                <c:pt idx="2">
                  <c:v>0.11680000000000001</c:v>
                </c:pt>
                <c:pt idx="3">
                  <c:v>0.11509999999999998</c:v>
                </c:pt>
                <c:pt idx="4">
                  <c:v>0.11500000000000002</c:v>
                </c:pt>
                <c:pt idx="5">
                  <c:v>0.12470000000000053</c:v>
                </c:pt>
              </c:numCache>
            </c:numRef>
          </c:val>
        </c:ser>
        <c:ser>
          <c:idx val="2"/>
          <c:order val="2"/>
          <c:tx>
            <c:strRef>
              <c:f>Sheet1!$A$4</c:f>
              <c:strCache>
                <c:ptCount val="1"/>
                <c:pt idx="0">
                  <c:v>Hellenic Bank</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Sheet1!$B$4:$G$4</c:f>
              <c:numCache>
                <c:formatCode>#,##0.00</c:formatCode>
                <c:ptCount val="6"/>
                <c:pt idx="0">
                  <c:v>0.14000000000000001</c:v>
                </c:pt>
                <c:pt idx="1">
                  <c:v>0.15000000000000024</c:v>
                </c:pt>
                <c:pt idx="2">
                  <c:v>0.129</c:v>
                </c:pt>
                <c:pt idx="3">
                  <c:v>0.13600000000000001</c:v>
                </c:pt>
                <c:pt idx="4">
                  <c:v>0.14300000000000004</c:v>
                </c:pt>
                <c:pt idx="5">
                  <c:v>0.18200000000000024</c:v>
                </c:pt>
              </c:numCache>
            </c:numRef>
          </c:val>
        </c:ser>
        <c:ser>
          <c:idx val="3"/>
          <c:order val="3"/>
          <c:tx>
            <c:strRef>
              <c:f>Sheet1!$A$5</c:f>
              <c:strCache>
                <c:ptCount val="1"/>
                <c:pt idx="0">
                  <c:v>RCB</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Sheet1!$B$5:$G$5</c:f>
              <c:numCache>
                <c:formatCode>General</c:formatCode>
                <c:ptCount val="6"/>
                <c:pt idx="2" formatCode="#,##0.00">
                  <c:v>0.17200000000000001</c:v>
                </c:pt>
                <c:pt idx="3" formatCode="#,##0.00">
                  <c:v>0.20800000000000021</c:v>
                </c:pt>
                <c:pt idx="4" formatCode="#,##0.00">
                  <c:v>0.21200000000000024</c:v>
                </c:pt>
                <c:pt idx="5" formatCode="#,##0.00">
                  <c:v>0.24600000000000041</c:v>
                </c:pt>
              </c:numCache>
            </c:numRef>
          </c:val>
        </c:ser>
        <c:ser>
          <c:idx val="4"/>
          <c:order val="4"/>
          <c:tx>
            <c:strRef>
              <c:f>Sheet1!$A$6</c:f>
              <c:strCache>
                <c:ptCount val="1"/>
                <c:pt idx="0">
                  <c:v>Alpha Bank</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Sheet1!$B$6:$G$6</c:f>
              <c:numCache>
                <c:formatCode>General</c:formatCode>
                <c:ptCount val="6"/>
                <c:pt idx="3" formatCode="#,##0.00">
                  <c:v>0.18400000000000041</c:v>
                </c:pt>
                <c:pt idx="4" formatCode="#,##0.00">
                  <c:v>0.21100000000000024</c:v>
                </c:pt>
                <c:pt idx="5" formatCode="#,##0.00">
                  <c:v>0.20300000000000001</c:v>
                </c:pt>
              </c:numCache>
            </c:numRef>
          </c:val>
        </c:ser>
        <c:ser>
          <c:idx val="5"/>
          <c:order val="5"/>
          <c:tx>
            <c:strRef>
              <c:f>Sheet1!$A$7</c:f>
              <c:strCache>
                <c:ptCount val="1"/>
                <c:pt idx="0">
                  <c:v>Eurobank</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Sheet1!$B$7:$G$7</c:f>
              <c:numCache>
                <c:formatCode>#,##0.00</c:formatCode>
                <c:ptCount val="6"/>
                <c:pt idx="0">
                  <c:v>0.11300000000000002</c:v>
                </c:pt>
                <c:pt idx="1">
                  <c:v>0.15700000000000044</c:v>
                </c:pt>
                <c:pt idx="2">
                  <c:v>0.27400000000000002</c:v>
                </c:pt>
                <c:pt idx="3">
                  <c:v>0.3230000000000019</c:v>
                </c:pt>
                <c:pt idx="4">
                  <c:v>0.45</c:v>
                </c:pt>
                <c:pt idx="5">
                  <c:v>0.37800000000000167</c:v>
                </c:pt>
              </c:numCache>
            </c:numRef>
          </c:val>
        </c:ser>
        <c:ser>
          <c:idx val="6"/>
          <c:order val="6"/>
          <c:tx>
            <c:strRef>
              <c:f>Sheet1!$A$8</c:f>
              <c:strCache>
                <c:ptCount val="1"/>
                <c:pt idx="0">
                  <c:v>USB</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Sheet1!$B$8:$G$8</c:f>
              <c:numCache>
                <c:formatCode>#,##0.00</c:formatCode>
                <c:ptCount val="6"/>
                <c:pt idx="0">
                  <c:v>0.11730000000000002</c:v>
                </c:pt>
                <c:pt idx="1">
                  <c:v>9.3000000000000208E-2</c:v>
                </c:pt>
                <c:pt idx="2">
                  <c:v>8.6000000000000035E-2</c:v>
                </c:pt>
                <c:pt idx="3">
                  <c:v>0.125</c:v>
                </c:pt>
                <c:pt idx="4">
                  <c:v>0.13400000000000001</c:v>
                </c:pt>
                <c:pt idx="5">
                  <c:v>0.1019</c:v>
                </c:pt>
              </c:numCache>
            </c:numRef>
          </c:val>
        </c:ser>
        <c:ser>
          <c:idx val="7"/>
          <c:order val="7"/>
          <c:tx>
            <c:strRef>
              <c:f>Sheet1!$A$9</c:f>
              <c:strCache>
                <c:ptCount val="1"/>
                <c:pt idx="0">
                  <c:v> COOPERATIVE CENTRAL BANK</c:v>
                </c:pt>
              </c:strCache>
            </c:strRef>
          </c:tx>
          <c:invertIfNegative val="0"/>
          <c:cat>
            <c:numRef>
              <c:f>Sheet1!$B$1:$G$1</c:f>
              <c:numCache>
                <c:formatCode>General</c:formatCode>
                <c:ptCount val="6"/>
                <c:pt idx="0">
                  <c:v>2009</c:v>
                </c:pt>
                <c:pt idx="1">
                  <c:v>2010</c:v>
                </c:pt>
                <c:pt idx="2">
                  <c:v>2011</c:v>
                </c:pt>
                <c:pt idx="3">
                  <c:v>2012</c:v>
                </c:pt>
                <c:pt idx="4">
                  <c:v>2013</c:v>
                </c:pt>
                <c:pt idx="5">
                  <c:v>2014</c:v>
                </c:pt>
              </c:numCache>
            </c:numRef>
          </c:cat>
          <c:val>
            <c:numRef>
              <c:f>Sheet1!$B$9:$G$9</c:f>
              <c:numCache>
                <c:formatCode>General</c:formatCode>
                <c:ptCount val="6"/>
                <c:pt idx="3" formatCode="#,##0.00">
                  <c:v>0.12100000000000002</c:v>
                </c:pt>
                <c:pt idx="4" formatCode="#,##0.00">
                  <c:v>0.126</c:v>
                </c:pt>
                <c:pt idx="5" formatCode="#,##0.00">
                  <c:v>0.1356</c:v>
                </c:pt>
              </c:numCache>
            </c:numRef>
          </c:val>
        </c:ser>
        <c:dLbls>
          <c:showLegendKey val="0"/>
          <c:showVal val="0"/>
          <c:showCatName val="0"/>
          <c:showSerName val="0"/>
          <c:showPercent val="0"/>
          <c:showBubbleSize val="0"/>
        </c:dLbls>
        <c:gapWidth val="150"/>
        <c:axId val="119227136"/>
        <c:axId val="119228672"/>
      </c:barChart>
      <c:catAx>
        <c:axId val="119227136"/>
        <c:scaling>
          <c:orientation val="minMax"/>
        </c:scaling>
        <c:delete val="0"/>
        <c:axPos val="b"/>
        <c:numFmt formatCode="General" sourceLinked="1"/>
        <c:majorTickMark val="none"/>
        <c:minorTickMark val="none"/>
        <c:tickLblPos val="nextTo"/>
        <c:crossAx val="119228672"/>
        <c:crosses val="autoZero"/>
        <c:auto val="1"/>
        <c:lblAlgn val="ctr"/>
        <c:lblOffset val="100"/>
        <c:noMultiLvlLbl val="0"/>
      </c:catAx>
      <c:valAx>
        <c:axId val="119228672"/>
        <c:scaling>
          <c:orientation val="minMax"/>
        </c:scaling>
        <c:delete val="0"/>
        <c:axPos val="l"/>
        <c:majorGridlines/>
        <c:numFmt formatCode="#,##0.00" sourceLinked="1"/>
        <c:majorTickMark val="none"/>
        <c:minorTickMark val="none"/>
        <c:tickLblPos val="nextTo"/>
        <c:crossAx val="119227136"/>
        <c:crosses val="autoZero"/>
        <c:crossBetween val="between"/>
      </c:valAx>
      <c:dTable>
        <c:showHorzBorder val="1"/>
        <c:showVertBorder val="1"/>
        <c:showOutline val="1"/>
        <c:showKeys val="1"/>
      </c:dTable>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7717</Words>
  <Characters>43987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Hadjixenophontos</dc:creator>
  <cp:lastModifiedBy>Volos Chris</cp:lastModifiedBy>
  <cp:revision>3</cp:revision>
  <cp:lastPrinted>2018-01-15T09:18:00Z</cp:lastPrinted>
  <dcterms:created xsi:type="dcterms:W3CDTF">2018-01-15T10:34:00Z</dcterms:created>
  <dcterms:modified xsi:type="dcterms:W3CDTF">2018-01-15T10:36:00Z</dcterms:modified>
</cp:coreProperties>
</file>